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69"/>
        <w:gridCol w:w="4811"/>
        <w:gridCol w:w="3454"/>
      </w:tblGrid>
      <w:tr w:rsidR="00032E4E" w:rsidRPr="00110AE6" w14:paraId="4B9F0F9B" w14:textId="77777777" w:rsidTr="00CB007D">
        <w:trPr>
          <w:cantSplit/>
          <w:trHeight w:val="850"/>
          <w:jc w:val="right"/>
        </w:trPr>
        <w:tc>
          <w:tcPr>
            <w:tcW w:w="1550" w:type="dxa"/>
          </w:tcPr>
          <w:p w14:paraId="2A9B9F9D" w14:textId="73511665" w:rsidR="00032E4E" w:rsidRPr="00110AE6" w:rsidRDefault="001D1F84" w:rsidP="00023DA9">
            <w:pPr>
              <w:rPr>
                <w:rFonts w:ascii="Univers" w:hAnsi="Univers"/>
                <w:b/>
                <w:noProof/>
                <w:sz w:val="27"/>
                <w:szCs w:val="27"/>
                <w:lang w:val="fr-FR"/>
              </w:rPr>
            </w:pPr>
            <w:bookmarkStart w:id="0" w:name="_GoBack"/>
            <w:bookmarkEnd w:id="0"/>
            <w:r w:rsidRPr="00110AE6">
              <w:rPr>
                <w:rFonts w:ascii="Univers" w:hAnsi="Univers"/>
                <w:b/>
                <w:noProof/>
                <w:sz w:val="27"/>
                <w:szCs w:val="27"/>
                <w:lang w:val="fr-FR"/>
              </w:rPr>
              <w:t>NATIONS</w:t>
            </w:r>
            <w:r w:rsidRPr="00110AE6">
              <w:rPr>
                <w:rFonts w:ascii="Univers" w:hAnsi="Univers"/>
                <w:b/>
                <w:noProof/>
                <w:sz w:val="27"/>
                <w:szCs w:val="27"/>
                <w:lang w:val="fr-FR"/>
              </w:rPr>
              <w:br/>
              <w:t>UNIES</w:t>
            </w:r>
          </w:p>
        </w:tc>
        <w:tc>
          <w:tcPr>
            <w:tcW w:w="4751" w:type="dxa"/>
          </w:tcPr>
          <w:p w14:paraId="2F47229A" w14:textId="77777777" w:rsidR="00032E4E" w:rsidRPr="00110AE6" w:rsidRDefault="00032E4E" w:rsidP="00023DA9">
            <w:pPr>
              <w:rPr>
                <w:rFonts w:ascii="Univers" w:hAnsi="Univers"/>
                <w:b/>
                <w:noProof/>
                <w:sz w:val="27"/>
                <w:szCs w:val="27"/>
                <w:lang w:val="fr-FR"/>
              </w:rPr>
            </w:pPr>
          </w:p>
        </w:tc>
        <w:tc>
          <w:tcPr>
            <w:tcW w:w="3411" w:type="dxa"/>
          </w:tcPr>
          <w:p w14:paraId="57073C3F" w14:textId="77777777" w:rsidR="00032E4E" w:rsidRPr="00110AE6" w:rsidRDefault="00787688" w:rsidP="00023DA9">
            <w:pPr>
              <w:jc w:val="right"/>
              <w:rPr>
                <w:rFonts w:ascii="Arial" w:hAnsi="Arial" w:cs="Arial"/>
                <w:b/>
                <w:noProof/>
                <w:sz w:val="64"/>
                <w:szCs w:val="64"/>
                <w:lang w:val="fr-FR"/>
              </w:rPr>
            </w:pPr>
            <w:r w:rsidRPr="00110AE6">
              <w:rPr>
                <w:rFonts w:ascii="Arial" w:hAnsi="Arial" w:cs="Arial"/>
                <w:b/>
                <w:noProof/>
                <w:sz w:val="64"/>
                <w:szCs w:val="64"/>
                <w:lang w:val="fr-FR"/>
              </w:rPr>
              <w:t>MC</w:t>
            </w:r>
          </w:p>
        </w:tc>
      </w:tr>
      <w:tr w:rsidR="00032E4E" w:rsidRPr="00110AE6" w14:paraId="0DEAC680" w14:textId="77777777" w:rsidTr="00CB007D">
        <w:trPr>
          <w:cantSplit/>
          <w:trHeight w:val="281"/>
          <w:jc w:val="right"/>
        </w:trPr>
        <w:tc>
          <w:tcPr>
            <w:tcW w:w="1550" w:type="dxa"/>
            <w:tcBorders>
              <w:bottom w:val="single" w:sz="4" w:space="0" w:color="auto"/>
            </w:tcBorders>
          </w:tcPr>
          <w:p w14:paraId="30269B88" w14:textId="77777777" w:rsidR="00032E4E" w:rsidRPr="00110AE6" w:rsidRDefault="00032E4E" w:rsidP="00023DA9">
            <w:pPr>
              <w:rPr>
                <w:noProof/>
                <w:sz w:val="18"/>
                <w:szCs w:val="18"/>
                <w:lang w:val="fr-FR"/>
              </w:rPr>
            </w:pPr>
          </w:p>
        </w:tc>
        <w:tc>
          <w:tcPr>
            <w:tcW w:w="4751" w:type="dxa"/>
            <w:tcBorders>
              <w:bottom w:val="single" w:sz="4" w:space="0" w:color="auto"/>
            </w:tcBorders>
          </w:tcPr>
          <w:p w14:paraId="54296B4D" w14:textId="77777777" w:rsidR="00032E4E" w:rsidRPr="00110AE6" w:rsidRDefault="00032E4E" w:rsidP="00023DA9">
            <w:pPr>
              <w:rPr>
                <w:rFonts w:ascii="Univers" w:hAnsi="Univers"/>
                <w:b/>
                <w:noProof/>
                <w:sz w:val="18"/>
                <w:szCs w:val="18"/>
                <w:lang w:val="fr-FR"/>
              </w:rPr>
            </w:pPr>
          </w:p>
        </w:tc>
        <w:tc>
          <w:tcPr>
            <w:tcW w:w="3411" w:type="dxa"/>
            <w:tcBorders>
              <w:bottom w:val="single" w:sz="4" w:space="0" w:color="auto"/>
            </w:tcBorders>
          </w:tcPr>
          <w:p w14:paraId="540639F8" w14:textId="3F8807CC" w:rsidR="00032E4E" w:rsidRPr="00110AE6" w:rsidRDefault="00032E4E" w:rsidP="00434321">
            <w:pPr>
              <w:rPr>
                <w:noProof/>
                <w:sz w:val="18"/>
                <w:szCs w:val="18"/>
                <w:lang w:val="fr-FR"/>
              </w:rPr>
            </w:pPr>
            <w:r w:rsidRPr="00110AE6">
              <w:rPr>
                <w:b/>
                <w:noProof/>
                <w:sz w:val="28"/>
                <w:szCs w:val="28"/>
                <w:lang w:val="fr-FR"/>
              </w:rPr>
              <w:t>UNEP</w:t>
            </w:r>
            <w:r w:rsidRPr="00110AE6">
              <w:rPr>
                <w:noProof/>
                <w:lang w:val="fr-FR"/>
              </w:rPr>
              <w:t>/MC/COP.2/18</w:t>
            </w:r>
            <w:bookmarkStart w:id="1" w:name="OLE_LINK1"/>
            <w:bookmarkStart w:id="2" w:name="OLE_LINK2"/>
            <w:bookmarkEnd w:id="1"/>
            <w:bookmarkEnd w:id="2"/>
          </w:p>
        </w:tc>
      </w:tr>
      <w:bookmarkStart w:id="3" w:name="_MON_1021710510"/>
      <w:bookmarkEnd w:id="3"/>
      <w:bookmarkStart w:id="4" w:name="_MON_1021710482"/>
      <w:bookmarkEnd w:id="4"/>
      <w:tr w:rsidR="00032E4E" w:rsidRPr="00110AE6"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110AE6" w:rsidRDefault="00032E4E" w:rsidP="00023DA9">
            <w:pPr>
              <w:rPr>
                <w:noProof/>
                <w:lang w:val="fr-FR"/>
              </w:rPr>
            </w:pPr>
            <w:r w:rsidRPr="00110AE6">
              <w:rPr>
                <w:noProof/>
                <w:lang w:val="fr-FR"/>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0pt" o:ole="" fillcolor="window">
                  <v:imagedata r:id="rId8" o:title=""/>
                </v:shape>
                <o:OLEObject Type="Embed" ProgID="Word.Picture.8" ShapeID="_x0000_i1025" DrawAspect="Content" ObjectID="_1603190435" r:id="rId9"/>
              </w:object>
            </w:r>
            <w:r w:rsidR="00011A16" w:rsidRPr="00110AE6">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2BD8B9A7" w:rsidR="00032E4E" w:rsidRPr="00110AE6" w:rsidRDefault="00032E4E" w:rsidP="00023DA9">
            <w:pPr>
              <w:spacing w:before="1200"/>
              <w:rPr>
                <w:rFonts w:ascii="Arial" w:hAnsi="Arial" w:cs="Arial"/>
                <w:b/>
                <w:noProof/>
                <w:sz w:val="28"/>
                <w:lang w:val="fr-FR"/>
              </w:rPr>
            </w:pPr>
            <w:r w:rsidRPr="00110AE6">
              <w:rPr>
                <w:rFonts w:ascii="Arial" w:hAnsi="Arial" w:cs="Arial"/>
                <w:b/>
                <w:noProof/>
                <w:sz w:val="32"/>
                <w:szCs w:val="32"/>
                <w:lang w:val="fr-FR"/>
              </w:rPr>
              <w:t>Programme</w:t>
            </w:r>
            <w:r w:rsidR="001D1F84" w:rsidRPr="00110AE6">
              <w:rPr>
                <w:rFonts w:ascii="Arial" w:hAnsi="Arial" w:cs="Arial"/>
                <w:b/>
                <w:noProof/>
                <w:sz w:val="32"/>
                <w:szCs w:val="32"/>
                <w:lang w:val="fr-FR"/>
              </w:rPr>
              <w:br/>
              <w:t>des Nations Unies</w:t>
            </w:r>
            <w:r w:rsidR="001D1F84" w:rsidRPr="00110AE6">
              <w:rPr>
                <w:rFonts w:ascii="Arial" w:hAnsi="Arial" w:cs="Arial"/>
                <w:b/>
                <w:noProof/>
                <w:sz w:val="32"/>
                <w:szCs w:val="32"/>
                <w:lang w:val="fr-FR"/>
              </w:rPr>
              <w:br/>
              <w:t>pour l’environnement</w:t>
            </w:r>
          </w:p>
        </w:tc>
        <w:tc>
          <w:tcPr>
            <w:tcW w:w="3411" w:type="dxa"/>
            <w:tcBorders>
              <w:top w:val="single" w:sz="4" w:space="0" w:color="auto"/>
              <w:bottom w:val="single" w:sz="24" w:space="0" w:color="auto"/>
            </w:tcBorders>
          </w:tcPr>
          <w:p w14:paraId="722F44F8" w14:textId="12C44E80" w:rsidR="00032E4E" w:rsidRPr="00110AE6" w:rsidRDefault="00032E4E" w:rsidP="0082498C">
            <w:pPr>
              <w:spacing w:before="120"/>
              <w:rPr>
                <w:noProof/>
                <w:lang w:val="fr-FR"/>
              </w:rPr>
            </w:pPr>
            <w:r w:rsidRPr="00110AE6">
              <w:rPr>
                <w:noProof/>
                <w:lang w:val="fr-FR"/>
              </w:rPr>
              <w:t>Distr. générale</w:t>
            </w:r>
            <w:r w:rsidR="001D1F84" w:rsidRPr="00110AE6">
              <w:rPr>
                <w:noProof/>
                <w:lang w:val="fr-FR"/>
              </w:rPr>
              <w:br/>
            </w:r>
            <w:r w:rsidRPr="00110AE6">
              <w:rPr>
                <w:noProof/>
                <w:lang w:val="fr-FR"/>
              </w:rPr>
              <w:t>28</w:t>
            </w:r>
            <w:r w:rsidR="001D1F84" w:rsidRPr="00110AE6">
              <w:rPr>
                <w:noProof/>
                <w:lang w:val="fr-FR"/>
              </w:rPr>
              <w:t> </w:t>
            </w:r>
            <w:r w:rsidRPr="00110AE6">
              <w:rPr>
                <w:noProof/>
                <w:lang w:val="fr-FR"/>
              </w:rPr>
              <w:t>septembre 2018</w:t>
            </w:r>
          </w:p>
          <w:p w14:paraId="1A75CF9D" w14:textId="2FF1D027" w:rsidR="00032E4E" w:rsidRPr="00110AE6" w:rsidRDefault="00032E4E" w:rsidP="001D1F84">
            <w:pPr>
              <w:spacing w:before="120"/>
              <w:rPr>
                <w:noProof/>
                <w:lang w:val="fr-FR"/>
              </w:rPr>
            </w:pPr>
            <w:r w:rsidRPr="00110AE6">
              <w:rPr>
                <w:noProof/>
                <w:lang w:val="fr-FR"/>
              </w:rPr>
              <w:t>Français</w:t>
            </w:r>
            <w:r w:rsidR="001D1F84" w:rsidRPr="00110AE6">
              <w:rPr>
                <w:noProof/>
                <w:lang w:val="fr-FR"/>
              </w:rPr>
              <w:br/>
            </w:r>
            <w:r w:rsidRPr="00110AE6">
              <w:rPr>
                <w:noProof/>
                <w:lang w:val="fr-FR"/>
              </w:rPr>
              <w:t>Original : anglais</w:t>
            </w:r>
          </w:p>
        </w:tc>
      </w:tr>
    </w:tbl>
    <w:p w14:paraId="0A4BFFDA" w14:textId="0E39113D" w:rsidR="00E976AB" w:rsidRPr="00110AE6" w:rsidRDefault="00FA5356" w:rsidP="00E976AB">
      <w:pPr>
        <w:pStyle w:val="AATitle"/>
        <w:keepNext w:val="0"/>
        <w:keepLines w:val="0"/>
        <w:rPr>
          <w:noProof/>
          <w:lang w:val="fr-FR"/>
        </w:rPr>
      </w:pPr>
      <w:r w:rsidRPr="00110AE6">
        <w:rPr>
          <w:bCs/>
          <w:noProof/>
          <w:lang w:val="fr-FR"/>
        </w:rPr>
        <w:t>Conférence des Parties</w:t>
      </w:r>
      <w:r w:rsidR="00CB007D" w:rsidRPr="00110AE6">
        <w:rPr>
          <w:bCs/>
          <w:noProof/>
          <w:lang w:val="fr-FR"/>
        </w:rPr>
        <w:t xml:space="preserve"> à la Convention de Minamata sur le mercure</w:t>
      </w:r>
    </w:p>
    <w:p w14:paraId="26A6CAA0" w14:textId="77194A37" w:rsidR="00E976AB" w:rsidRPr="00110AE6" w:rsidRDefault="00434321" w:rsidP="00E976AB">
      <w:pPr>
        <w:pStyle w:val="AATitle"/>
        <w:keepNext w:val="0"/>
        <w:keepLines w:val="0"/>
        <w:rPr>
          <w:noProof/>
          <w:lang w:val="fr-FR"/>
        </w:rPr>
      </w:pPr>
      <w:r w:rsidRPr="00110AE6">
        <w:rPr>
          <w:bCs/>
          <w:noProof/>
          <w:lang w:val="fr-FR"/>
        </w:rPr>
        <w:t>Deuxième réunion</w:t>
      </w:r>
    </w:p>
    <w:p w14:paraId="67B82F12" w14:textId="7086A1BA" w:rsidR="00787688" w:rsidRPr="00110AE6" w:rsidRDefault="00FA2D60" w:rsidP="00434321">
      <w:pPr>
        <w:pStyle w:val="AATitle"/>
        <w:rPr>
          <w:b w:val="0"/>
          <w:noProof/>
          <w:lang w:val="fr-FR"/>
        </w:rPr>
      </w:pPr>
      <w:r w:rsidRPr="00110AE6">
        <w:rPr>
          <w:b w:val="0"/>
          <w:noProof/>
          <w:lang w:val="fr-FR"/>
        </w:rPr>
        <w:t>Genève, 19–23 </w:t>
      </w:r>
      <w:r w:rsidR="00787688" w:rsidRPr="00110AE6">
        <w:rPr>
          <w:b w:val="0"/>
          <w:noProof/>
          <w:lang w:val="fr-FR"/>
        </w:rPr>
        <w:t>novembre 2018</w:t>
      </w:r>
    </w:p>
    <w:p w14:paraId="41CF4448" w14:textId="5451461D" w:rsidR="00F15578" w:rsidRPr="00110AE6" w:rsidRDefault="00FA2D60" w:rsidP="00F15578">
      <w:pPr>
        <w:pStyle w:val="AATitle"/>
        <w:keepNext w:val="0"/>
        <w:keepLines w:val="0"/>
        <w:rPr>
          <w:b w:val="0"/>
          <w:noProof/>
          <w:lang w:val="fr-FR"/>
        </w:rPr>
      </w:pPr>
      <w:r w:rsidRPr="00110AE6">
        <w:rPr>
          <w:b w:val="0"/>
          <w:noProof/>
          <w:lang w:val="fr-FR"/>
        </w:rPr>
        <w:t>Point </w:t>
      </w:r>
      <w:r w:rsidR="00E54866" w:rsidRPr="00110AE6">
        <w:rPr>
          <w:b w:val="0"/>
          <w:noProof/>
          <w:lang w:val="fr-FR"/>
        </w:rPr>
        <w:t>6 de l</w:t>
      </w:r>
      <w:r w:rsidR="00D05492" w:rsidRPr="00110AE6">
        <w:rPr>
          <w:b w:val="0"/>
          <w:noProof/>
          <w:lang w:val="fr-FR"/>
        </w:rPr>
        <w:t>’</w:t>
      </w:r>
      <w:r w:rsidR="00E54866" w:rsidRPr="00110AE6">
        <w:rPr>
          <w:b w:val="0"/>
          <w:noProof/>
          <w:lang w:val="fr-FR"/>
        </w:rPr>
        <w:t>ordre du jour provisoire</w:t>
      </w:r>
      <w:r w:rsidR="00E54866" w:rsidRPr="00110AE6">
        <w:rPr>
          <w:b w:val="0"/>
          <w:noProof/>
          <w:lang w:val="fr-FR"/>
        </w:rPr>
        <w:footnoteReference w:customMarkFollows="1" w:id="1"/>
        <w:t>*</w:t>
      </w:r>
    </w:p>
    <w:p w14:paraId="2D8757BE" w14:textId="18929193" w:rsidR="00F15578" w:rsidRPr="00110AE6" w:rsidRDefault="00175C76" w:rsidP="008B6C91">
      <w:pPr>
        <w:pStyle w:val="AATitle"/>
        <w:keepNext w:val="0"/>
        <w:keepLines w:val="0"/>
        <w:rPr>
          <w:noProof/>
          <w:lang w:val="fr-FR"/>
        </w:rPr>
      </w:pPr>
      <w:r w:rsidRPr="00110AE6">
        <w:rPr>
          <w:bCs/>
          <w:noProof/>
          <w:lang w:val="fr-FR"/>
        </w:rPr>
        <w:t>Programme de travail et budget</w:t>
      </w:r>
    </w:p>
    <w:p w14:paraId="21601396" w14:textId="04FDE839" w:rsidR="001C70A9" w:rsidRPr="00110AE6" w:rsidRDefault="00EE255A" w:rsidP="00BC5579">
      <w:pPr>
        <w:pStyle w:val="BBTitle"/>
        <w:rPr>
          <w:noProof/>
          <w:lang w:val="fr-FR"/>
        </w:rPr>
      </w:pPr>
      <w:r w:rsidRPr="00110AE6">
        <w:rPr>
          <w:bCs/>
          <w:noProof/>
          <w:lang w:val="fr-FR"/>
        </w:rPr>
        <w:t>Informations actualisées sur le programme de travail et le budget pour l</w:t>
      </w:r>
      <w:r w:rsidR="00D05492" w:rsidRPr="00110AE6">
        <w:rPr>
          <w:bCs/>
          <w:noProof/>
          <w:lang w:val="fr-FR"/>
        </w:rPr>
        <w:t>’</w:t>
      </w:r>
      <w:r w:rsidRPr="00110AE6">
        <w:rPr>
          <w:bCs/>
          <w:noProof/>
          <w:lang w:val="fr-FR"/>
        </w:rPr>
        <w:t>exercice biennal</w:t>
      </w:r>
      <w:r w:rsidR="00FA2D60" w:rsidRPr="00110AE6">
        <w:rPr>
          <w:bCs/>
          <w:noProof/>
          <w:lang w:val="fr-FR"/>
        </w:rPr>
        <w:t> </w:t>
      </w:r>
      <w:r w:rsidRPr="00110AE6">
        <w:rPr>
          <w:bCs/>
          <w:noProof/>
          <w:lang w:val="fr-FR"/>
        </w:rPr>
        <w:t>2018-2019</w:t>
      </w:r>
    </w:p>
    <w:p w14:paraId="7DDC37BB" w14:textId="1D6373F4" w:rsidR="001C70A9" w:rsidRPr="00110AE6" w:rsidRDefault="001C70A9" w:rsidP="00FA2D60">
      <w:pPr>
        <w:pStyle w:val="CH2"/>
        <w:ind w:firstLine="27"/>
        <w:rPr>
          <w:noProof/>
          <w:lang w:val="fr-FR"/>
        </w:rPr>
      </w:pPr>
      <w:r w:rsidRPr="00110AE6">
        <w:rPr>
          <w:bCs/>
          <w:noProof/>
          <w:lang w:val="fr-FR"/>
        </w:rPr>
        <w:t>Note du secrétariat</w:t>
      </w:r>
    </w:p>
    <w:p w14:paraId="045303C3" w14:textId="77067145" w:rsidR="001C70A9" w:rsidRPr="00110AE6" w:rsidRDefault="001C70A9" w:rsidP="00FA2D60">
      <w:pPr>
        <w:pStyle w:val="CH1"/>
        <w:numPr>
          <w:ilvl w:val="0"/>
          <w:numId w:val="20"/>
        </w:numPr>
        <w:tabs>
          <w:tab w:val="clear" w:pos="851"/>
        </w:tabs>
        <w:rPr>
          <w:noProof/>
          <w:lang w:val="fr-FR"/>
        </w:rPr>
      </w:pPr>
      <w:r w:rsidRPr="00110AE6">
        <w:rPr>
          <w:noProof/>
          <w:lang w:val="fr-FR"/>
        </w:rPr>
        <w:t>Introduction</w:t>
      </w:r>
    </w:p>
    <w:p w14:paraId="179B66CF" w14:textId="5047C344" w:rsidR="005853DE" w:rsidRPr="00110AE6" w:rsidRDefault="00FA2D60" w:rsidP="0082498C">
      <w:pPr>
        <w:pStyle w:val="Normalnumber"/>
        <w:rPr>
          <w:noProof/>
          <w:lang w:val="fr-FR"/>
        </w:rPr>
      </w:pPr>
      <w:r w:rsidRPr="00110AE6">
        <w:rPr>
          <w:noProof/>
          <w:lang w:val="fr-FR"/>
        </w:rPr>
        <w:t>La période </w:t>
      </w:r>
      <w:r w:rsidR="001C70A9" w:rsidRPr="00110AE6">
        <w:rPr>
          <w:noProof/>
          <w:lang w:val="fr-FR"/>
        </w:rPr>
        <w:t>2018–2019 sont les deux premières années d</w:t>
      </w:r>
      <w:r w:rsidR="00D05492" w:rsidRPr="00110AE6">
        <w:rPr>
          <w:noProof/>
          <w:lang w:val="fr-FR"/>
        </w:rPr>
        <w:t>’</w:t>
      </w:r>
      <w:r w:rsidR="001C70A9" w:rsidRPr="00110AE6">
        <w:rPr>
          <w:noProof/>
          <w:lang w:val="fr-FR"/>
        </w:rPr>
        <w:t>activité pour la Convention de Minamata s</w:t>
      </w:r>
      <w:r w:rsidRPr="00110AE6">
        <w:rPr>
          <w:noProof/>
          <w:lang w:val="fr-FR"/>
        </w:rPr>
        <w:t>ur le mercure. Dans sa décision </w:t>
      </w:r>
      <w:r w:rsidR="001C70A9" w:rsidRPr="00110AE6">
        <w:rPr>
          <w:noProof/>
          <w:lang w:val="fr-FR"/>
        </w:rPr>
        <w:t>MC-1/15 (Programme de travail du secrétariat et projet de budget pour l</w:t>
      </w:r>
      <w:r w:rsidR="00D05492" w:rsidRPr="00110AE6">
        <w:rPr>
          <w:noProof/>
          <w:lang w:val="fr-FR"/>
        </w:rPr>
        <w:t>’</w:t>
      </w:r>
      <w:r w:rsidR="001C70A9" w:rsidRPr="00110AE6">
        <w:rPr>
          <w:noProof/>
          <w:lang w:val="fr-FR"/>
        </w:rPr>
        <w:t>exercice biennal</w:t>
      </w:r>
      <w:r w:rsidR="003A0769" w:rsidRPr="00110AE6">
        <w:rPr>
          <w:noProof/>
          <w:lang w:val="fr-FR"/>
        </w:rPr>
        <w:t> </w:t>
      </w:r>
      <w:r w:rsidR="001C70A9" w:rsidRPr="00110AE6">
        <w:rPr>
          <w:noProof/>
          <w:lang w:val="fr-FR"/>
        </w:rPr>
        <w:t xml:space="preserve">2018–2019), la Conférence des Parties a décrit les modalités de mise en </w:t>
      </w:r>
      <w:r w:rsidR="00667E3E" w:rsidRPr="00110AE6">
        <w:rPr>
          <w:noProof/>
          <w:lang w:val="fr-FR"/>
        </w:rPr>
        <w:t>œuvre</w:t>
      </w:r>
      <w:r w:rsidR="001C70A9" w:rsidRPr="00110AE6">
        <w:rPr>
          <w:noProof/>
          <w:lang w:val="fr-FR"/>
        </w:rPr>
        <w:t xml:space="preserve"> du program</w:t>
      </w:r>
      <w:r w:rsidRPr="00110AE6">
        <w:rPr>
          <w:noProof/>
          <w:lang w:val="fr-FR"/>
        </w:rPr>
        <w:t>me de travail. Dans sa décision </w:t>
      </w:r>
      <w:r w:rsidR="001C70A9" w:rsidRPr="00110AE6">
        <w:rPr>
          <w:noProof/>
          <w:lang w:val="fr-FR"/>
        </w:rPr>
        <w:t>MC-1/11 (Secrétariat), la Conférence des Parties a prié le Directeur exécutif du Programme des Nations Unies pour l</w:t>
      </w:r>
      <w:r w:rsidR="00D05492" w:rsidRPr="00110AE6">
        <w:rPr>
          <w:noProof/>
          <w:lang w:val="fr-FR"/>
        </w:rPr>
        <w:t>’</w:t>
      </w:r>
      <w:r w:rsidR="001C70A9" w:rsidRPr="00110AE6">
        <w:rPr>
          <w:noProof/>
          <w:lang w:val="fr-FR"/>
        </w:rPr>
        <w:t>environnement d</w:t>
      </w:r>
      <w:r w:rsidR="00D05492" w:rsidRPr="00110AE6">
        <w:rPr>
          <w:noProof/>
          <w:lang w:val="fr-FR"/>
        </w:rPr>
        <w:t>’</w:t>
      </w:r>
      <w:r w:rsidR="001C70A9" w:rsidRPr="00110AE6">
        <w:rPr>
          <w:noProof/>
          <w:lang w:val="fr-FR"/>
        </w:rPr>
        <w:t>assurer les fonctions de secrétariat initialement par l</w:t>
      </w:r>
      <w:r w:rsidR="00D05492" w:rsidRPr="00110AE6">
        <w:rPr>
          <w:noProof/>
          <w:lang w:val="fr-FR"/>
        </w:rPr>
        <w:t>’</w:t>
      </w:r>
      <w:r w:rsidR="001C70A9" w:rsidRPr="00110AE6">
        <w:rPr>
          <w:noProof/>
          <w:lang w:val="fr-FR"/>
        </w:rPr>
        <w:t>intermédiaire d</w:t>
      </w:r>
      <w:r w:rsidR="00D05492" w:rsidRPr="00110AE6">
        <w:rPr>
          <w:noProof/>
          <w:lang w:val="fr-FR"/>
        </w:rPr>
        <w:t>’</w:t>
      </w:r>
      <w:r w:rsidR="001C70A9" w:rsidRPr="00110AE6">
        <w:rPr>
          <w:noProof/>
          <w:lang w:val="fr-FR"/>
        </w:rPr>
        <w:t>un secrétariat de la Convention de Minamata implanté à Genève.</w:t>
      </w:r>
    </w:p>
    <w:p w14:paraId="1E9A8245" w14:textId="3B5FC5AB" w:rsidR="001C70A9" w:rsidRPr="00110AE6" w:rsidRDefault="00FA2D60" w:rsidP="0082498C">
      <w:pPr>
        <w:pStyle w:val="Normalnumber"/>
        <w:rPr>
          <w:noProof/>
          <w:lang w:val="fr-FR"/>
        </w:rPr>
      </w:pPr>
      <w:r w:rsidRPr="00110AE6">
        <w:rPr>
          <w:noProof/>
          <w:lang w:val="fr-FR"/>
        </w:rPr>
        <w:t>Dans sa décision </w:t>
      </w:r>
      <w:r w:rsidR="008D65BD" w:rsidRPr="00110AE6">
        <w:rPr>
          <w:noProof/>
          <w:lang w:val="fr-FR"/>
        </w:rPr>
        <w:t>MC-1/15, la Conférence des Parties a également prié le Secrétaire exécutif de lui fournir, à sa deuxième réunion, des informations actualisées sur l</w:t>
      </w:r>
      <w:r w:rsidR="00D05492" w:rsidRPr="00110AE6">
        <w:rPr>
          <w:noProof/>
          <w:lang w:val="fr-FR"/>
        </w:rPr>
        <w:t>’</w:t>
      </w:r>
      <w:r w:rsidR="008D65BD" w:rsidRPr="00110AE6">
        <w:rPr>
          <w:noProof/>
          <w:lang w:val="fr-FR"/>
        </w:rPr>
        <w:t>exécution du programme de travail et, le</w:t>
      </w:r>
      <w:r w:rsidR="0002712B" w:rsidRPr="00110AE6">
        <w:rPr>
          <w:noProof/>
          <w:lang w:val="fr-FR"/>
        </w:rPr>
        <w:t> </w:t>
      </w:r>
      <w:r w:rsidR="008D65BD" w:rsidRPr="00110AE6">
        <w:rPr>
          <w:noProof/>
          <w:lang w:val="fr-FR"/>
        </w:rPr>
        <w:t>cas échéant, une estimation du coût des activités qui ont des incidences budgétaires qui n</w:t>
      </w:r>
      <w:r w:rsidR="00D05492" w:rsidRPr="00110AE6">
        <w:rPr>
          <w:noProof/>
          <w:lang w:val="fr-FR"/>
        </w:rPr>
        <w:t>’</w:t>
      </w:r>
      <w:r w:rsidR="008D65BD" w:rsidRPr="00110AE6">
        <w:rPr>
          <w:noProof/>
          <w:lang w:val="fr-FR"/>
        </w:rPr>
        <w:t>étaient pas prévues dans le premier programme de travail mais figuraient dans les projets de décision proposés, avant l</w:t>
      </w:r>
      <w:r w:rsidR="00D05492" w:rsidRPr="00110AE6">
        <w:rPr>
          <w:noProof/>
          <w:lang w:val="fr-FR"/>
        </w:rPr>
        <w:t>’</w:t>
      </w:r>
      <w:r w:rsidR="008D65BD" w:rsidRPr="00110AE6">
        <w:rPr>
          <w:noProof/>
          <w:lang w:val="fr-FR"/>
        </w:rPr>
        <w:t>adoption de ces décisions par la Conférence des Parties, et avaient donc des incidences budgétaires s</w:t>
      </w:r>
      <w:r w:rsidR="000B446E" w:rsidRPr="00110AE6">
        <w:rPr>
          <w:noProof/>
          <w:lang w:val="fr-FR"/>
        </w:rPr>
        <w:t>ur le premier exercice biennal.</w:t>
      </w:r>
    </w:p>
    <w:p w14:paraId="0D6415A0" w14:textId="050965CD" w:rsidR="000A352A" w:rsidRPr="00110AE6" w:rsidRDefault="00FA2D60" w:rsidP="0082498C">
      <w:pPr>
        <w:pStyle w:val="Normalnumber"/>
        <w:rPr>
          <w:noProof/>
          <w:lang w:val="fr-FR"/>
        </w:rPr>
      </w:pPr>
      <w:r w:rsidRPr="00110AE6">
        <w:rPr>
          <w:noProof/>
          <w:lang w:val="fr-FR"/>
        </w:rPr>
        <w:t>En conséquence, la section </w:t>
      </w:r>
      <w:r w:rsidR="00BC2473" w:rsidRPr="00110AE6">
        <w:rPr>
          <w:noProof/>
          <w:lang w:val="fr-FR"/>
        </w:rPr>
        <w:t>II de la présente note rend compte de l</w:t>
      </w:r>
      <w:r w:rsidR="00D05492" w:rsidRPr="00110AE6">
        <w:rPr>
          <w:noProof/>
          <w:lang w:val="fr-FR"/>
        </w:rPr>
        <w:t>’</w:t>
      </w:r>
      <w:r w:rsidR="00BC2473" w:rsidRPr="00110AE6">
        <w:rPr>
          <w:noProof/>
          <w:lang w:val="fr-FR"/>
        </w:rPr>
        <w:t>exécution du budget de la Convention de Minamata au cours de l</w:t>
      </w:r>
      <w:r w:rsidR="00D05492" w:rsidRPr="00110AE6">
        <w:rPr>
          <w:noProof/>
          <w:lang w:val="fr-FR"/>
        </w:rPr>
        <w:t>’</w:t>
      </w:r>
      <w:r w:rsidRPr="00110AE6">
        <w:rPr>
          <w:noProof/>
          <w:lang w:val="fr-FR"/>
        </w:rPr>
        <w:t>exercice </w:t>
      </w:r>
      <w:r w:rsidR="00BC2473" w:rsidRPr="00110AE6">
        <w:rPr>
          <w:noProof/>
          <w:lang w:val="fr-FR"/>
        </w:rPr>
        <w:t>2018</w:t>
      </w:r>
      <w:r w:rsidR="00667E3E" w:rsidRPr="00110AE6">
        <w:rPr>
          <w:noProof/>
          <w:lang w:val="fr-FR"/>
        </w:rPr>
        <w:t> ;</w:t>
      </w:r>
      <w:r w:rsidRPr="00110AE6">
        <w:rPr>
          <w:noProof/>
          <w:lang w:val="fr-FR"/>
        </w:rPr>
        <w:t xml:space="preserve"> la section </w:t>
      </w:r>
      <w:r w:rsidR="00BC2473" w:rsidRPr="00110AE6">
        <w:rPr>
          <w:noProof/>
          <w:lang w:val="fr-FR"/>
        </w:rPr>
        <w:t>III présente le budget approuvé pour</w:t>
      </w:r>
      <w:r w:rsidRPr="00110AE6">
        <w:rPr>
          <w:noProof/>
          <w:lang w:val="fr-FR"/>
        </w:rPr>
        <w:t> </w:t>
      </w:r>
      <w:r w:rsidR="00BC2473" w:rsidRPr="00110AE6">
        <w:rPr>
          <w:noProof/>
          <w:lang w:val="fr-FR"/>
        </w:rPr>
        <w:t>2019</w:t>
      </w:r>
      <w:r w:rsidR="00667E3E" w:rsidRPr="00110AE6">
        <w:rPr>
          <w:noProof/>
          <w:lang w:val="fr-FR"/>
        </w:rPr>
        <w:t> ;</w:t>
      </w:r>
      <w:r w:rsidR="00BC2473" w:rsidRPr="00110AE6">
        <w:rPr>
          <w:noProof/>
          <w:lang w:val="fr-FR"/>
        </w:rPr>
        <w:t xml:space="preserve"> la section IV décrit les questions financières afférentes à la mise en </w:t>
      </w:r>
      <w:r w:rsidR="00667E3E" w:rsidRPr="00110AE6">
        <w:rPr>
          <w:noProof/>
          <w:lang w:val="fr-FR"/>
        </w:rPr>
        <w:t>œuvre</w:t>
      </w:r>
      <w:r w:rsidR="00BC2473" w:rsidRPr="00110AE6">
        <w:rPr>
          <w:noProof/>
          <w:lang w:val="fr-FR"/>
        </w:rPr>
        <w:t xml:space="preserve"> effective de la Convention</w:t>
      </w:r>
      <w:r w:rsidR="00667E3E" w:rsidRPr="00110AE6">
        <w:rPr>
          <w:noProof/>
          <w:lang w:val="fr-FR"/>
        </w:rPr>
        <w:t> ;</w:t>
      </w:r>
      <w:r w:rsidR="00BC2473" w:rsidRPr="00110AE6">
        <w:rPr>
          <w:noProof/>
          <w:lang w:val="fr-FR"/>
        </w:rPr>
        <w:t xml:space="preserve"> et la section V présente les mesures que pourrait prendre la Conférence des Parties. L</w:t>
      </w:r>
      <w:r w:rsidR="00D05492" w:rsidRPr="00110AE6">
        <w:rPr>
          <w:noProof/>
          <w:lang w:val="fr-FR"/>
        </w:rPr>
        <w:t>’</w:t>
      </w:r>
      <w:r w:rsidR="00BC2473" w:rsidRPr="00110AE6">
        <w:rPr>
          <w:noProof/>
          <w:lang w:val="fr-FR"/>
        </w:rPr>
        <w:t>annexe</w:t>
      </w:r>
      <w:r w:rsidRPr="00110AE6">
        <w:rPr>
          <w:noProof/>
          <w:lang w:val="fr-FR"/>
        </w:rPr>
        <w:t> </w:t>
      </w:r>
      <w:r w:rsidR="00BC2473" w:rsidRPr="00110AE6">
        <w:rPr>
          <w:noProof/>
          <w:lang w:val="fr-FR"/>
        </w:rPr>
        <w:t>I de la présente note contient un projet de décision concernant les informations actualisées sur le programme de travail et le budget pour l</w:t>
      </w:r>
      <w:r w:rsidR="00D05492" w:rsidRPr="00110AE6">
        <w:rPr>
          <w:noProof/>
          <w:lang w:val="fr-FR"/>
        </w:rPr>
        <w:t>’</w:t>
      </w:r>
      <w:r w:rsidR="00BC2473" w:rsidRPr="00110AE6">
        <w:rPr>
          <w:noProof/>
          <w:lang w:val="fr-FR"/>
        </w:rPr>
        <w:t>exercice biennal 2018–2019</w:t>
      </w:r>
      <w:r w:rsidR="00667E3E" w:rsidRPr="00110AE6">
        <w:rPr>
          <w:noProof/>
          <w:lang w:val="fr-FR"/>
        </w:rPr>
        <w:t> ;</w:t>
      </w:r>
      <w:r w:rsidR="00BC2473" w:rsidRPr="00110AE6">
        <w:rPr>
          <w:noProof/>
          <w:lang w:val="fr-FR"/>
        </w:rPr>
        <w:t xml:space="preserve"> l</w:t>
      </w:r>
      <w:r w:rsidR="00D05492" w:rsidRPr="00110AE6">
        <w:rPr>
          <w:noProof/>
          <w:lang w:val="fr-FR"/>
        </w:rPr>
        <w:t>’</w:t>
      </w:r>
      <w:r w:rsidRPr="00110AE6">
        <w:rPr>
          <w:noProof/>
          <w:lang w:val="fr-FR"/>
        </w:rPr>
        <w:t>annexe </w:t>
      </w:r>
      <w:r w:rsidR="00BC2473" w:rsidRPr="00110AE6">
        <w:rPr>
          <w:noProof/>
          <w:lang w:val="fr-FR"/>
        </w:rPr>
        <w:t>II présente le barème indicatif des quotes-parts pour le Fonds général d</w:t>
      </w:r>
      <w:r w:rsidR="00D05492" w:rsidRPr="00110AE6">
        <w:rPr>
          <w:noProof/>
          <w:lang w:val="fr-FR"/>
        </w:rPr>
        <w:t>’</w:t>
      </w:r>
      <w:r w:rsidR="00BC2473" w:rsidRPr="00110AE6">
        <w:rPr>
          <w:noProof/>
          <w:lang w:val="fr-FR"/>
        </w:rPr>
        <w:t>affectation spéciale pour 2019</w:t>
      </w:r>
      <w:r w:rsidR="00667E3E" w:rsidRPr="00110AE6">
        <w:rPr>
          <w:noProof/>
          <w:lang w:val="fr-FR"/>
        </w:rPr>
        <w:t> ;</w:t>
      </w:r>
      <w:r w:rsidR="00BC2473" w:rsidRPr="00110AE6">
        <w:rPr>
          <w:noProof/>
          <w:lang w:val="fr-FR"/>
        </w:rPr>
        <w:t xml:space="preserve"> et l</w:t>
      </w:r>
      <w:r w:rsidR="00D05492" w:rsidRPr="00110AE6">
        <w:rPr>
          <w:noProof/>
          <w:lang w:val="fr-FR"/>
        </w:rPr>
        <w:t>’</w:t>
      </w:r>
      <w:r w:rsidRPr="00110AE6">
        <w:rPr>
          <w:noProof/>
          <w:lang w:val="fr-FR"/>
        </w:rPr>
        <w:t>annexe </w:t>
      </w:r>
      <w:r w:rsidR="00BC2473" w:rsidRPr="00110AE6">
        <w:rPr>
          <w:noProof/>
          <w:lang w:val="fr-FR"/>
        </w:rPr>
        <w:t>III contient l</w:t>
      </w:r>
      <w:r w:rsidR="00D05492" w:rsidRPr="00110AE6">
        <w:rPr>
          <w:noProof/>
          <w:lang w:val="fr-FR"/>
        </w:rPr>
        <w:t>’</w:t>
      </w:r>
      <w:r w:rsidR="000B446E" w:rsidRPr="00110AE6">
        <w:rPr>
          <w:noProof/>
          <w:lang w:val="fr-FR"/>
        </w:rPr>
        <w:t>organigramme du secrétariat.</w:t>
      </w:r>
    </w:p>
    <w:p w14:paraId="322E8CCE" w14:textId="2AAAC960" w:rsidR="00177626" w:rsidRPr="00110AE6" w:rsidRDefault="00177626" w:rsidP="0082498C">
      <w:pPr>
        <w:pStyle w:val="Normalnumber"/>
        <w:rPr>
          <w:noProof/>
          <w:lang w:val="fr-FR"/>
        </w:rPr>
      </w:pPr>
      <w:r w:rsidRPr="00110AE6">
        <w:rPr>
          <w:noProof/>
          <w:lang w:val="fr-FR"/>
        </w:rPr>
        <w:t>La présente note doit être lue à la lumière du rapport sur les activités menées par le secrétariat en</w:t>
      </w:r>
      <w:r w:rsidR="00FA2D60" w:rsidRPr="00110AE6">
        <w:rPr>
          <w:noProof/>
          <w:lang w:val="fr-FR"/>
        </w:rPr>
        <w:t> </w:t>
      </w:r>
      <w:r w:rsidRPr="00110AE6">
        <w:rPr>
          <w:noProof/>
          <w:lang w:val="fr-FR"/>
        </w:rPr>
        <w:t>2018 (UNEP/MC/COP.2/17, annexe) et les informations détaillées sur le programme de travail et le tableau budgétaire détaillé (UNEP/MC/COP.2/INF/9, annexe), qui présente en détai</w:t>
      </w:r>
      <w:r w:rsidR="00FA2D60" w:rsidRPr="00110AE6">
        <w:rPr>
          <w:noProof/>
          <w:lang w:val="fr-FR"/>
        </w:rPr>
        <w:t>l le budget révisé proposé pour </w:t>
      </w:r>
      <w:r w:rsidR="000B446E" w:rsidRPr="00110AE6">
        <w:rPr>
          <w:noProof/>
          <w:lang w:val="fr-FR"/>
        </w:rPr>
        <w:t>2019.</w:t>
      </w:r>
    </w:p>
    <w:p w14:paraId="3166F3D6" w14:textId="7037F8AF" w:rsidR="00D102BD" w:rsidRPr="00110AE6" w:rsidRDefault="000A352A" w:rsidP="00FA2D60">
      <w:pPr>
        <w:pStyle w:val="CH1"/>
        <w:numPr>
          <w:ilvl w:val="0"/>
          <w:numId w:val="20"/>
        </w:numPr>
        <w:tabs>
          <w:tab w:val="clear" w:pos="851"/>
        </w:tabs>
        <w:rPr>
          <w:noProof/>
          <w:lang w:val="fr-FR"/>
        </w:rPr>
      </w:pPr>
      <w:r w:rsidRPr="00110AE6">
        <w:rPr>
          <w:bCs/>
          <w:noProof/>
          <w:lang w:val="fr-FR"/>
        </w:rPr>
        <w:lastRenderedPageBreak/>
        <w:t>Exécution du budget de la Convention de Minamata au cours de</w:t>
      </w:r>
      <w:r w:rsidR="0002712B" w:rsidRPr="00110AE6">
        <w:rPr>
          <w:bCs/>
          <w:noProof/>
          <w:lang w:val="fr-FR"/>
        </w:rPr>
        <w:t> </w:t>
      </w:r>
      <w:r w:rsidRPr="00110AE6">
        <w:rPr>
          <w:bCs/>
          <w:noProof/>
          <w:lang w:val="fr-FR"/>
        </w:rPr>
        <w:t>l</w:t>
      </w:r>
      <w:r w:rsidR="00D05492" w:rsidRPr="00110AE6">
        <w:rPr>
          <w:bCs/>
          <w:noProof/>
          <w:lang w:val="fr-FR"/>
        </w:rPr>
        <w:t>’</w:t>
      </w:r>
      <w:r w:rsidRPr="00110AE6">
        <w:rPr>
          <w:bCs/>
          <w:noProof/>
          <w:lang w:val="fr-FR"/>
        </w:rPr>
        <w:t>exercice 2018</w:t>
      </w:r>
    </w:p>
    <w:p w14:paraId="261170F9" w14:textId="56F8FA01" w:rsidR="00D102BD" w:rsidRPr="00110AE6" w:rsidRDefault="00D102BD" w:rsidP="00FA2D60">
      <w:pPr>
        <w:pStyle w:val="CH2"/>
        <w:numPr>
          <w:ilvl w:val="0"/>
          <w:numId w:val="21"/>
        </w:numPr>
        <w:tabs>
          <w:tab w:val="clear" w:pos="851"/>
        </w:tabs>
        <w:ind w:left="1302" w:hanging="700"/>
        <w:rPr>
          <w:noProof/>
          <w:lang w:val="fr-FR"/>
        </w:rPr>
      </w:pPr>
      <w:r w:rsidRPr="00110AE6">
        <w:rPr>
          <w:noProof/>
          <w:lang w:val="fr-FR"/>
        </w:rPr>
        <w:t>Aperçu de la suite donnée en matière budgétaire à l</w:t>
      </w:r>
      <w:r w:rsidR="00D05492" w:rsidRPr="00110AE6">
        <w:rPr>
          <w:noProof/>
          <w:lang w:val="fr-FR"/>
        </w:rPr>
        <w:t>’</w:t>
      </w:r>
      <w:r w:rsidRPr="00110AE6">
        <w:rPr>
          <w:noProof/>
          <w:lang w:val="fr-FR"/>
        </w:rPr>
        <w:t>issue de la première réunion de la Conférence des Parties</w:t>
      </w:r>
    </w:p>
    <w:p w14:paraId="73604402" w14:textId="1C3D7892" w:rsidR="009D5A40" w:rsidRPr="00110AE6" w:rsidRDefault="00040FC9" w:rsidP="0082498C">
      <w:pPr>
        <w:pStyle w:val="Normalnumber"/>
        <w:rPr>
          <w:noProof/>
          <w:lang w:val="fr-FR"/>
        </w:rPr>
      </w:pPr>
      <w:r w:rsidRPr="00110AE6">
        <w:rPr>
          <w:noProof/>
          <w:lang w:val="fr-FR"/>
        </w:rPr>
        <w:t>En application de la décision MC-1/15, le Directeur exécutif du Programme des Nations Unies pour l</w:t>
      </w:r>
      <w:r w:rsidR="00D05492" w:rsidRPr="00110AE6">
        <w:rPr>
          <w:noProof/>
          <w:lang w:val="fr-FR"/>
        </w:rPr>
        <w:t>’</w:t>
      </w:r>
      <w:r w:rsidRPr="00110AE6">
        <w:rPr>
          <w:noProof/>
          <w:lang w:val="fr-FR"/>
        </w:rPr>
        <w:t>environnement a créé trois fonds d</w:t>
      </w:r>
      <w:r w:rsidR="00D05492" w:rsidRPr="00110AE6">
        <w:rPr>
          <w:noProof/>
          <w:lang w:val="fr-FR"/>
        </w:rPr>
        <w:t>’</w:t>
      </w:r>
      <w:r w:rsidRPr="00110AE6">
        <w:rPr>
          <w:noProof/>
          <w:lang w:val="fr-FR"/>
        </w:rPr>
        <w:t>affectation spéciale à l</w:t>
      </w:r>
      <w:r w:rsidR="00D05492" w:rsidRPr="00110AE6">
        <w:rPr>
          <w:noProof/>
          <w:lang w:val="fr-FR"/>
        </w:rPr>
        <w:t>’</w:t>
      </w:r>
      <w:r w:rsidRPr="00110AE6">
        <w:rPr>
          <w:noProof/>
          <w:lang w:val="fr-FR"/>
        </w:rPr>
        <w:t>appui</w:t>
      </w:r>
      <w:r w:rsidR="000B446E" w:rsidRPr="00110AE6">
        <w:rPr>
          <w:noProof/>
          <w:lang w:val="fr-FR"/>
        </w:rPr>
        <w:t xml:space="preserve"> des travaux de la Convention :</w:t>
      </w:r>
    </w:p>
    <w:p w14:paraId="4F1DF0BE" w14:textId="51AE8911" w:rsidR="009D5A40" w:rsidRPr="00110AE6" w:rsidRDefault="00803579" w:rsidP="00667E3E">
      <w:pPr>
        <w:pStyle w:val="Normalnumber"/>
        <w:numPr>
          <w:ilvl w:val="1"/>
          <w:numId w:val="4"/>
        </w:numPr>
        <w:rPr>
          <w:noProof/>
          <w:lang w:val="fr-FR"/>
        </w:rPr>
      </w:pPr>
      <w:r w:rsidRPr="00110AE6">
        <w:rPr>
          <w:noProof/>
          <w:lang w:val="fr-FR"/>
        </w:rPr>
        <w:t>Le Fonds général d</w:t>
      </w:r>
      <w:r w:rsidR="00D05492" w:rsidRPr="00110AE6">
        <w:rPr>
          <w:noProof/>
          <w:lang w:val="fr-FR"/>
        </w:rPr>
        <w:t>’</w:t>
      </w:r>
      <w:r w:rsidRPr="00110AE6">
        <w:rPr>
          <w:noProof/>
          <w:lang w:val="fr-FR"/>
        </w:rPr>
        <w:t xml:space="preserve">affectation spéciale de la Convention de Minamata sur le mercure destiné à fournir un appui financier aux travaux du secrétariat de la Convention, </w:t>
      </w:r>
      <w:r w:rsidR="00FA5356" w:rsidRPr="00110AE6">
        <w:rPr>
          <w:noProof/>
          <w:lang w:val="fr-FR"/>
        </w:rPr>
        <w:t>qui expire le</w:t>
      </w:r>
      <w:r w:rsidR="0002712B" w:rsidRPr="00110AE6">
        <w:rPr>
          <w:noProof/>
          <w:lang w:val="fr-FR"/>
        </w:rPr>
        <w:t> </w:t>
      </w:r>
      <w:r w:rsidR="00FA5356" w:rsidRPr="00110AE6">
        <w:rPr>
          <w:noProof/>
          <w:lang w:val="fr-FR"/>
        </w:rPr>
        <w:t>31</w:t>
      </w:r>
      <w:r w:rsidR="00FA2D60" w:rsidRPr="00110AE6">
        <w:rPr>
          <w:noProof/>
          <w:lang w:val="fr-FR"/>
        </w:rPr>
        <w:t> </w:t>
      </w:r>
      <w:r w:rsidR="00FA5356" w:rsidRPr="00110AE6">
        <w:rPr>
          <w:noProof/>
          <w:lang w:val="fr-FR"/>
        </w:rPr>
        <w:t>décembre</w:t>
      </w:r>
      <w:r w:rsidR="00FA2D60" w:rsidRPr="00110AE6">
        <w:rPr>
          <w:noProof/>
          <w:lang w:val="fr-FR"/>
        </w:rPr>
        <w:t> </w:t>
      </w:r>
      <w:r w:rsidR="00FA5356" w:rsidRPr="00110AE6">
        <w:rPr>
          <w:noProof/>
          <w:lang w:val="fr-FR"/>
        </w:rPr>
        <w:t>2035 ;</w:t>
      </w:r>
    </w:p>
    <w:p w14:paraId="4AA99824" w14:textId="022DED72" w:rsidR="009D5A40" w:rsidRPr="00110AE6" w:rsidRDefault="00803579" w:rsidP="0082498C">
      <w:pPr>
        <w:pStyle w:val="Normalnumber"/>
        <w:numPr>
          <w:ilvl w:val="1"/>
          <w:numId w:val="4"/>
        </w:numPr>
        <w:rPr>
          <w:noProof/>
          <w:lang w:val="fr-FR"/>
        </w:rPr>
      </w:pPr>
      <w:r w:rsidRPr="00110AE6">
        <w:rPr>
          <w:noProof/>
          <w:lang w:val="fr-FR"/>
        </w:rPr>
        <w:t>Le Fonds d</w:t>
      </w:r>
      <w:r w:rsidR="00D05492" w:rsidRPr="00110AE6">
        <w:rPr>
          <w:noProof/>
          <w:lang w:val="fr-FR"/>
        </w:rPr>
        <w:t>’</w:t>
      </w:r>
      <w:r w:rsidRPr="00110AE6">
        <w:rPr>
          <w:noProof/>
          <w:lang w:val="fr-FR"/>
        </w:rPr>
        <w:t>affectation spéciale à des fins déterminées de la Convention de Minamata sur le mercure destiné à appuyer les activités de renforcement des capacités et d</w:t>
      </w:r>
      <w:r w:rsidR="00D05492" w:rsidRPr="00110AE6">
        <w:rPr>
          <w:noProof/>
          <w:lang w:val="fr-FR"/>
        </w:rPr>
        <w:t>’</w:t>
      </w:r>
      <w:r w:rsidRPr="00110AE6">
        <w:rPr>
          <w:noProof/>
          <w:lang w:val="fr-FR"/>
        </w:rPr>
        <w:t>assistance technique entreprises par le secrétariat comme suite à l</w:t>
      </w:r>
      <w:r w:rsidR="00D05492" w:rsidRPr="00110AE6">
        <w:rPr>
          <w:noProof/>
          <w:lang w:val="fr-FR"/>
        </w:rPr>
        <w:t>’</w:t>
      </w:r>
      <w:r w:rsidRPr="00110AE6">
        <w:rPr>
          <w:noProof/>
          <w:lang w:val="fr-FR"/>
        </w:rPr>
        <w:t>article 14, q</w:t>
      </w:r>
      <w:r w:rsidR="000B446E" w:rsidRPr="00110AE6">
        <w:rPr>
          <w:noProof/>
          <w:lang w:val="fr-FR"/>
        </w:rPr>
        <w:t>ui expire le 31 décembre 2035 ;</w:t>
      </w:r>
    </w:p>
    <w:p w14:paraId="085A17D2" w14:textId="26ECAD2C" w:rsidR="009D5A40" w:rsidRPr="00110AE6" w:rsidRDefault="00803579" w:rsidP="0082498C">
      <w:pPr>
        <w:pStyle w:val="Normalnumber"/>
        <w:numPr>
          <w:ilvl w:val="1"/>
          <w:numId w:val="4"/>
        </w:numPr>
        <w:rPr>
          <w:noProof/>
          <w:lang w:val="fr-FR"/>
        </w:rPr>
      </w:pPr>
      <w:r w:rsidRPr="00110AE6">
        <w:rPr>
          <w:noProof/>
          <w:lang w:val="fr-FR"/>
        </w:rPr>
        <w:t>Le Fonds d</w:t>
      </w:r>
      <w:r w:rsidR="00D05492" w:rsidRPr="00110AE6">
        <w:rPr>
          <w:noProof/>
          <w:lang w:val="fr-FR"/>
        </w:rPr>
        <w:t>’</w:t>
      </w:r>
      <w:r w:rsidRPr="00110AE6">
        <w:rPr>
          <w:noProof/>
          <w:lang w:val="fr-FR"/>
        </w:rPr>
        <w:t>affectation spéciale particulier de la Convention de Minamata sur le mercure pour le programme international spécifique visant à soutenir le renforcement des capacités et l</w:t>
      </w:r>
      <w:r w:rsidR="00D05492" w:rsidRPr="00110AE6">
        <w:rPr>
          <w:noProof/>
          <w:lang w:val="fr-FR"/>
        </w:rPr>
        <w:t>’</w:t>
      </w:r>
      <w:r w:rsidRPr="00110AE6">
        <w:rPr>
          <w:noProof/>
          <w:lang w:val="fr-FR"/>
        </w:rPr>
        <w:t>assistance technique conformément à l</w:t>
      </w:r>
      <w:r w:rsidR="00D05492" w:rsidRPr="00110AE6">
        <w:rPr>
          <w:noProof/>
          <w:lang w:val="fr-FR"/>
        </w:rPr>
        <w:t>’</w:t>
      </w:r>
      <w:r w:rsidRPr="00110AE6">
        <w:rPr>
          <w:noProof/>
          <w:lang w:val="fr-FR"/>
        </w:rPr>
        <w:t>article 13. Sachant que le Programme international spécifique est limité dans le temps, la date d</w:t>
      </w:r>
      <w:r w:rsidR="00D05492" w:rsidRPr="00110AE6">
        <w:rPr>
          <w:noProof/>
          <w:lang w:val="fr-FR"/>
        </w:rPr>
        <w:t>’</w:t>
      </w:r>
      <w:r w:rsidRPr="00110AE6">
        <w:rPr>
          <w:noProof/>
          <w:lang w:val="fr-FR"/>
        </w:rPr>
        <w:t>expiration de ce fonds d</w:t>
      </w:r>
      <w:r w:rsidR="00D05492" w:rsidRPr="00110AE6">
        <w:rPr>
          <w:noProof/>
          <w:lang w:val="fr-FR"/>
        </w:rPr>
        <w:t>’</w:t>
      </w:r>
      <w:r w:rsidRPr="00110AE6">
        <w:rPr>
          <w:noProof/>
          <w:lang w:val="fr-FR"/>
        </w:rPr>
        <w:t>affec</w:t>
      </w:r>
      <w:r w:rsidR="00FA2D60" w:rsidRPr="00110AE6">
        <w:rPr>
          <w:noProof/>
          <w:lang w:val="fr-FR"/>
        </w:rPr>
        <w:t>tation spéciale est fixée au 31 </w:t>
      </w:r>
      <w:r w:rsidR="000B446E" w:rsidRPr="00110AE6">
        <w:rPr>
          <w:noProof/>
          <w:lang w:val="fr-FR"/>
        </w:rPr>
        <w:t>décembre 2028.</w:t>
      </w:r>
    </w:p>
    <w:p w14:paraId="000FAFB7" w14:textId="65990D43" w:rsidR="00D43884" w:rsidRPr="00110AE6" w:rsidRDefault="00FA2D60" w:rsidP="00906661">
      <w:pPr>
        <w:pStyle w:val="Normalnumber"/>
        <w:rPr>
          <w:noProof/>
          <w:lang w:val="fr-FR"/>
        </w:rPr>
      </w:pPr>
      <w:r w:rsidRPr="00110AE6">
        <w:rPr>
          <w:noProof/>
          <w:lang w:val="fr-FR"/>
        </w:rPr>
        <w:t>À sa première </w:t>
      </w:r>
      <w:r w:rsidR="0053493B" w:rsidRPr="00110AE6">
        <w:rPr>
          <w:noProof/>
          <w:lang w:val="fr-FR"/>
        </w:rPr>
        <w:t>réunion, la Conférence des Parties a approuvé le budget du Fonds général d</w:t>
      </w:r>
      <w:r w:rsidR="00D05492" w:rsidRPr="00110AE6">
        <w:rPr>
          <w:noProof/>
          <w:lang w:val="fr-FR"/>
        </w:rPr>
        <w:t>’</w:t>
      </w:r>
      <w:r w:rsidR="0053493B" w:rsidRPr="00110AE6">
        <w:rPr>
          <w:noProof/>
          <w:lang w:val="fr-FR"/>
        </w:rPr>
        <w:t>affectation spéciale, qui s</w:t>
      </w:r>
      <w:r w:rsidR="00D05492" w:rsidRPr="00110AE6">
        <w:rPr>
          <w:noProof/>
          <w:lang w:val="fr-FR"/>
        </w:rPr>
        <w:t>’</w:t>
      </w:r>
      <w:r w:rsidRPr="00110AE6">
        <w:rPr>
          <w:noProof/>
          <w:lang w:val="fr-FR"/>
        </w:rPr>
        <w:t>élève à 3 916 524 dollars pour 2018 et à 3 843 074 dollars pour </w:t>
      </w:r>
      <w:r w:rsidR="0053493B" w:rsidRPr="00110AE6">
        <w:rPr>
          <w:noProof/>
          <w:lang w:val="fr-FR"/>
        </w:rPr>
        <w:t>2019, et</w:t>
      </w:r>
      <w:r w:rsidR="0002712B" w:rsidRPr="00110AE6">
        <w:rPr>
          <w:noProof/>
          <w:lang w:val="fr-FR"/>
        </w:rPr>
        <w:t> </w:t>
      </w:r>
      <w:r w:rsidR="0053493B" w:rsidRPr="00110AE6">
        <w:rPr>
          <w:noProof/>
          <w:lang w:val="fr-FR"/>
        </w:rPr>
        <w:t>a</w:t>
      </w:r>
      <w:r w:rsidR="0002712B" w:rsidRPr="00110AE6">
        <w:rPr>
          <w:noProof/>
          <w:lang w:val="fr-FR"/>
        </w:rPr>
        <w:t> </w:t>
      </w:r>
      <w:r w:rsidR="0053493B" w:rsidRPr="00110AE6">
        <w:rPr>
          <w:noProof/>
          <w:lang w:val="fr-FR"/>
        </w:rPr>
        <w:t>autorisé le Secrétaire exécutif de la Convention de Minamata à engager des dépenses à hauteur du montant approuvé pour le budget opérationnel, en prélevant sur les liquidités disponibles. Elle a également approuvé des prévisions de dépenses d</w:t>
      </w:r>
      <w:r w:rsidR="00D05492" w:rsidRPr="00110AE6">
        <w:rPr>
          <w:noProof/>
          <w:lang w:val="fr-FR"/>
        </w:rPr>
        <w:t>’</w:t>
      </w:r>
      <w:r w:rsidRPr="00110AE6">
        <w:rPr>
          <w:noProof/>
          <w:lang w:val="fr-FR"/>
        </w:rPr>
        <w:t>un montant de 3 192 250 dollars pour 2018 et de 3 565 150 dollars pour </w:t>
      </w:r>
      <w:r w:rsidR="0053493B" w:rsidRPr="00110AE6">
        <w:rPr>
          <w:noProof/>
          <w:lang w:val="fr-FR"/>
        </w:rPr>
        <w:t>2019 au titre du Fonds d</w:t>
      </w:r>
      <w:r w:rsidR="00D05492" w:rsidRPr="00110AE6">
        <w:rPr>
          <w:noProof/>
          <w:lang w:val="fr-FR"/>
        </w:rPr>
        <w:t>’</w:t>
      </w:r>
      <w:r w:rsidR="0053493B" w:rsidRPr="00110AE6">
        <w:rPr>
          <w:noProof/>
          <w:lang w:val="fr-FR"/>
        </w:rPr>
        <w:t>affectation spéciale à des fins déterminées. En outre, elle a salué la contribution annuelle d</w:t>
      </w:r>
      <w:r w:rsidR="00D05492" w:rsidRPr="00110AE6">
        <w:rPr>
          <w:noProof/>
          <w:lang w:val="fr-FR"/>
        </w:rPr>
        <w:t>’</w:t>
      </w:r>
      <w:r w:rsidR="0053493B" w:rsidRPr="00110AE6">
        <w:rPr>
          <w:noProof/>
          <w:lang w:val="fr-FR"/>
        </w:rPr>
        <w:t xml:space="preserve">un million de francs suisses octroyée par le Gouvernement suisse, pays accueillant le secrétariat, </w:t>
      </w:r>
      <w:r w:rsidRPr="00110AE6">
        <w:rPr>
          <w:noProof/>
          <w:lang w:val="fr-FR"/>
        </w:rPr>
        <w:t>qui se répartit comme suit : 60 </w:t>
      </w:r>
      <w:r w:rsidR="0053493B" w:rsidRPr="00110AE6">
        <w:rPr>
          <w:noProof/>
          <w:lang w:val="fr-FR"/>
        </w:rPr>
        <w:t>% au Fonds général d</w:t>
      </w:r>
      <w:r w:rsidR="00D05492" w:rsidRPr="00110AE6">
        <w:rPr>
          <w:noProof/>
          <w:lang w:val="fr-FR"/>
        </w:rPr>
        <w:t>’</w:t>
      </w:r>
      <w:r w:rsidR="000B446E" w:rsidRPr="00110AE6">
        <w:rPr>
          <w:noProof/>
          <w:lang w:val="fr-FR"/>
        </w:rPr>
        <w:t>affectation spéciale et 40 </w:t>
      </w:r>
      <w:r w:rsidR="0053493B" w:rsidRPr="00110AE6">
        <w:rPr>
          <w:noProof/>
          <w:lang w:val="fr-FR"/>
        </w:rPr>
        <w:t>% au Fonds d</w:t>
      </w:r>
      <w:r w:rsidR="00D05492" w:rsidRPr="00110AE6">
        <w:rPr>
          <w:noProof/>
          <w:lang w:val="fr-FR"/>
        </w:rPr>
        <w:t>’</w:t>
      </w:r>
      <w:r w:rsidR="0053493B" w:rsidRPr="00110AE6">
        <w:rPr>
          <w:noProof/>
          <w:lang w:val="fr-FR"/>
        </w:rPr>
        <w:t xml:space="preserve">affectation spéciale à des fins déterminées pour 2018, </w:t>
      </w:r>
      <w:r w:rsidR="000B446E" w:rsidRPr="00110AE6">
        <w:rPr>
          <w:noProof/>
          <w:lang w:val="fr-FR"/>
        </w:rPr>
        <w:t>2019 et les années ultérieures.</w:t>
      </w:r>
    </w:p>
    <w:p w14:paraId="3C1B4036" w14:textId="32C4A231" w:rsidR="00D63C6F" w:rsidRPr="00110AE6" w:rsidRDefault="00D63C6F" w:rsidP="0082498C">
      <w:pPr>
        <w:pStyle w:val="Normalnumber"/>
        <w:rPr>
          <w:noProof/>
          <w:lang w:val="fr-FR"/>
        </w:rPr>
      </w:pPr>
      <w:r w:rsidRPr="00110AE6">
        <w:rPr>
          <w:noProof/>
          <w:lang w:val="fr-FR"/>
        </w:rPr>
        <w:t>L</w:t>
      </w:r>
      <w:r w:rsidR="00D05492" w:rsidRPr="00110AE6">
        <w:rPr>
          <w:noProof/>
          <w:lang w:val="fr-FR"/>
        </w:rPr>
        <w:t>’</w:t>
      </w:r>
      <w:r w:rsidR="00FA2D60" w:rsidRPr="00110AE6">
        <w:rPr>
          <w:noProof/>
          <w:lang w:val="fr-FR"/>
        </w:rPr>
        <w:t>article </w:t>
      </w:r>
      <w:r w:rsidRPr="00110AE6">
        <w:rPr>
          <w:noProof/>
          <w:lang w:val="fr-FR"/>
        </w:rPr>
        <w:t xml:space="preserve">6 des règles de gestion financière de la Conférence des Parties à la Convention de Minamata sur le mercure, de ses organes subsidiaires et du secrétariat de la Convention (les </w:t>
      </w:r>
      <w:r w:rsidR="00657F55" w:rsidRPr="00110AE6">
        <w:rPr>
          <w:noProof/>
          <w:lang w:val="fr-FR"/>
        </w:rPr>
        <w:t>« </w:t>
      </w:r>
      <w:r w:rsidRPr="00110AE6">
        <w:rPr>
          <w:noProof/>
          <w:lang w:val="fr-FR"/>
        </w:rPr>
        <w:t>règles de gestion financière</w:t>
      </w:r>
      <w:r w:rsidR="00657F55" w:rsidRPr="00110AE6">
        <w:rPr>
          <w:noProof/>
          <w:lang w:val="fr-FR"/>
        </w:rPr>
        <w:t> »</w:t>
      </w:r>
      <w:r w:rsidRPr="00110AE6">
        <w:rPr>
          <w:noProof/>
          <w:lang w:val="fr-FR"/>
        </w:rPr>
        <w:t>), que la Conférence des Part</w:t>
      </w:r>
      <w:r w:rsidR="00FA2D60" w:rsidRPr="00110AE6">
        <w:rPr>
          <w:noProof/>
          <w:lang w:val="fr-FR"/>
        </w:rPr>
        <w:t>ies a adoptées dans sa décision </w:t>
      </w:r>
      <w:r w:rsidRPr="00110AE6">
        <w:rPr>
          <w:noProof/>
          <w:lang w:val="fr-FR"/>
        </w:rPr>
        <w:t>MC-1/10, dispose qu</w:t>
      </w:r>
      <w:r w:rsidR="00D05492" w:rsidRPr="00110AE6">
        <w:rPr>
          <w:noProof/>
          <w:lang w:val="fr-FR"/>
        </w:rPr>
        <w:t>’</w:t>
      </w:r>
      <w:r w:rsidRPr="00110AE6">
        <w:rPr>
          <w:noProof/>
          <w:lang w:val="fr-FR"/>
        </w:rPr>
        <w:t>un état provisoire des comptes de l</w:t>
      </w:r>
      <w:r w:rsidR="00D05492" w:rsidRPr="00110AE6">
        <w:rPr>
          <w:noProof/>
          <w:lang w:val="fr-FR"/>
        </w:rPr>
        <w:t>’</w:t>
      </w:r>
      <w:r w:rsidRPr="00110AE6">
        <w:rPr>
          <w:noProof/>
          <w:lang w:val="fr-FR"/>
        </w:rPr>
        <w:t>exercice financier est fourni à la Conférence des Parties et un état vérifié définitif des comptes pour l</w:t>
      </w:r>
      <w:r w:rsidR="00D05492" w:rsidRPr="00110AE6">
        <w:rPr>
          <w:noProof/>
          <w:lang w:val="fr-FR"/>
        </w:rPr>
        <w:t>’</w:t>
      </w:r>
      <w:r w:rsidRPr="00110AE6">
        <w:rPr>
          <w:noProof/>
          <w:lang w:val="fr-FR"/>
        </w:rPr>
        <w:t>ensemble de l</w:t>
      </w:r>
      <w:r w:rsidR="00D05492" w:rsidRPr="00110AE6">
        <w:rPr>
          <w:noProof/>
          <w:lang w:val="fr-FR"/>
        </w:rPr>
        <w:t>’</w:t>
      </w:r>
      <w:r w:rsidRPr="00110AE6">
        <w:rPr>
          <w:noProof/>
          <w:lang w:val="fr-FR"/>
        </w:rPr>
        <w:t>exercice est présenté à la Conférence des Parties dès que possible après la clôture des comptes de l</w:t>
      </w:r>
      <w:r w:rsidR="00D05492" w:rsidRPr="00110AE6">
        <w:rPr>
          <w:noProof/>
          <w:lang w:val="fr-FR"/>
        </w:rPr>
        <w:t>’</w:t>
      </w:r>
      <w:r w:rsidRPr="00110AE6">
        <w:rPr>
          <w:noProof/>
          <w:lang w:val="fr-FR"/>
        </w:rPr>
        <w:t>exercice. Etant donné que les fonds d</w:t>
      </w:r>
      <w:r w:rsidR="00D05492" w:rsidRPr="00110AE6">
        <w:rPr>
          <w:noProof/>
          <w:lang w:val="fr-FR"/>
        </w:rPr>
        <w:t>’</w:t>
      </w:r>
      <w:r w:rsidRPr="00110AE6">
        <w:rPr>
          <w:noProof/>
          <w:lang w:val="fr-FR"/>
        </w:rPr>
        <w:t>affectation spéciale de la Convention de Minamata ont été ouverts le 1</w:t>
      </w:r>
      <w:r w:rsidR="00FA2D60" w:rsidRPr="00110AE6">
        <w:rPr>
          <w:noProof/>
          <w:vertAlign w:val="superscript"/>
          <w:lang w:val="fr-FR"/>
        </w:rPr>
        <w:t>er</w:t>
      </w:r>
      <w:r w:rsidR="00FA2D60" w:rsidRPr="00110AE6">
        <w:rPr>
          <w:noProof/>
          <w:lang w:val="fr-FR"/>
        </w:rPr>
        <w:t> </w:t>
      </w:r>
      <w:r w:rsidRPr="00110AE6">
        <w:rPr>
          <w:noProof/>
          <w:lang w:val="fr-FR"/>
        </w:rPr>
        <w:t>janvier 2018 et que le budget a pris effet à la même date, aucune transaction n</w:t>
      </w:r>
      <w:r w:rsidR="00D05492" w:rsidRPr="00110AE6">
        <w:rPr>
          <w:noProof/>
          <w:lang w:val="fr-FR"/>
        </w:rPr>
        <w:t>’</w:t>
      </w:r>
      <w:r w:rsidRPr="00110AE6">
        <w:rPr>
          <w:noProof/>
          <w:lang w:val="fr-FR"/>
        </w:rPr>
        <w:t>est à signaler durant l</w:t>
      </w:r>
      <w:r w:rsidR="00D05492" w:rsidRPr="00110AE6">
        <w:rPr>
          <w:noProof/>
          <w:lang w:val="fr-FR"/>
        </w:rPr>
        <w:t>’</w:t>
      </w:r>
      <w:r w:rsidR="000B446E" w:rsidRPr="00110AE6">
        <w:rPr>
          <w:noProof/>
          <w:lang w:val="fr-FR"/>
        </w:rPr>
        <w:t>exercice précédent.</w:t>
      </w:r>
    </w:p>
    <w:p w14:paraId="4AC5A5DC" w14:textId="4BBB62DF" w:rsidR="007A73F7" w:rsidRPr="00110AE6" w:rsidRDefault="007A73F7" w:rsidP="00781184">
      <w:pPr>
        <w:pStyle w:val="CH2"/>
        <w:numPr>
          <w:ilvl w:val="0"/>
          <w:numId w:val="21"/>
        </w:numPr>
        <w:tabs>
          <w:tab w:val="clear" w:pos="851"/>
        </w:tabs>
        <w:ind w:left="1302" w:hanging="700"/>
        <w:rPr>
          <w:noProof/>
          <w:lang w:val="fr-FR"/>
        </w:rPr>
      </w:pPr>
      <w:r w:rsidRPr="00110AE6">
        <w:rPr>
          <w:bCs/>
          <w:noProof/>
          <w:lang w:val="fr-FR"/>
        </w:rPr>
        <w:t>État du Fonds général d</w:t>
      </w:r>
      <w:r w:rsidR="00D05492" w:rsidRPr="00110AE6">
        <w:rPr>
          <w:bCs/>
          <w:noProof/>
          <w:lang w:val="fr-FR"/>
        </w:rPr>
        <w:t>’</w:t>
      </w:r>
      <w:r w:rsidR="00FA2D60" w:rsidRPr="00110AE6">
        <w:rPr>
          <w:bCs/>
          <w:noProof/>
          <w:lang w:val="fr-FR"/>
        </w:rPr>
        <w:t>affectation spéciale au 31 </w:t>
      </w:r>
      <w:r w:rsidRPr="00110AE6">
        <w:rPr>
          <w:bCs/>
          <w:noProof/>
          <w:lang w:val="fr-FR"/>
        </w:rPr>
        <w:t>août 2018</w:t>
      </w:r>
    </w:p>
    <w:p w14:paraId="58C77778" w14:textId="691F5AD0" w:rsidR="00BF4A05" w:rsidRPr="00110AE6" w:rsidRDefault="00BF4A05" w:rsidP="0082498C">
      <w:pPr>
        <w:pStyle w:val="Normalnumber"/>
        <w:rPr>
          <w:noProof/>
          <w:lang w:val="fr-FR"/>
        </w:rPr>
      </w:pPr>
      <w:r w:rsidRPr="00110AE6">
        <w:rPr>
          <w:noProof/>
          <w:lang w:val="fr-FR"/>
        </w:rPr>
        <w:t>Toutes les Parties à la Convention de Minamata sur le mercure contribuent au Fonds général d</w:t>
      </w:r>
      <w:r w:rsidR="00D05492" w:rsidRPr="00110AE6">
        <w:rPr>
          <w:noProof/>
          <w:lang w:val="fr-FR"/>
        </w:rPr>
        <w:t>’</w:t>
      </w:r>
      <w:r w:rsidRPr="00110AE6">
        <w:rPr>
          <w:noProof/>
          <w:lang w:val="fr-FR"/>
        </w:rPr>
        <w:t>affectation spéciale sur la base d</w:t>
      </w:r>
      <w:r w:rsidR="00D05492" w:rsidRPr="00110AE6">
        <w:rPr>
          <w:noProof/>
          <w:lang w:val="fr-FR"/>
        </w:rPr>
        <w:t>’</w:t>
      </w:r>
      <w:r w:rsidRPr="00110AE6">
        <w:rPr>
          <w:noProof/>
          <w:lang w:val="fr-FR"/>
        </w:rPr>
        <w:t>un barème indicatif adopté par consensus par la Conférence des Parties, lequel est fondé sur le barème des quotes-parts de l</w:t>
      </w:r>
      <w:r w:rsidR="00D05492" w:rsidRPr="00110AE6">
        <w:rPr>
          <w:noProof/>
          <w:lang w:val="fr-FR"/>
        </w:rPr>
        <w:t>’</w:t>
      </w:r>
      <w:r w:rsidRPr="00110AE6">
        <w:rPr>
          <w:noProof/>
          <w:lang w:val="fr-FR"/>
        </w:rPr>
        <w:t>Organisation des Nations Unies adopté par l</w:t>
      </w:r>
      <w:r w:rsidR="00D05492" w:rsidRPr="00110AE6">
        <w:rPr>
          <w:noProof/>
          <w:lang w:val="fr-FR"/>
        </w:rPr>
        <w:t>’</w:t>
      </w:r>
      <w:r w:rsidRPr="00110AE6">
        <w:rPr>
          <w:noProof/>
          <w:lang w:val="fr-FR"/>
        </w:rPr>
        <w:t>Assemblée générale. Ainsi que le prévoient les règles de gestion financière, aucune Partie ne contribue moins de 0,01</w:t>
      </w:r>
      <w:r w:rsidR="00781184" w:rsidRPr="00110AE6">
        <w:rPr>
          <w:noProof/>
          <w:lang w:val="fr-FR"/>
        </w:rPr>
        <w:t> </w:t>
      </w:r>
      <w:r w:rsidRPr="00110AE6">
        <w:rPr>
          <w:noProof/>
          <w:lang w:val="fr-FR"/>
        </w:rPr>
        <w:t>% du total, aucune contri</w:t>
      </w:r>
      <w:r w:rsidR="00781184" w:rsidRPr="00110AE6">
        <w:rPr>
          <w:noProof/>
          <w:lang w:val="fr-FR"/>
        </w:rPr>
        <w:t>bution ne représente plus de 22 </w:t>
      </w:r>
      <w:r w:rsidRPr="00110AE6">
        <w:rPr>
          <w:noProof/>
          <w:lang w:val="fr-FR"/>
        </w:rPr>
        <w:t>% du total et aucune contribution d</w:t>
      </w:r>
      <w:r w:rsidR="00D05492" w:rsidRPr="00110AE6">
        <w:rPr>
          <w:noProof/>
          <w:lang w:val="fr-FR"/>
        </w:rPr>
        <w:t>’</w:t>
      </w:r>
      <w:r w:rsidRPr="00110AE6">
        <w:rPr>
          <w:noProof/>
          <w:lang w:val="fr-FR"/>
        </w:rPr>
        <w:t>une Partie figurant parmi les pays les moins avancés n</w:t>
      </w:r>
      <w:r w:rsidR="00D05492" w:rsidRPr="00110AE6">
        <w:rPr>
          <w:noProof/>
          <w:lang w:val="fr-FR"/>
        </w:rPr>
        <w:t>’</w:t>
      </w:r>
      <w:r w:rsidRPr="00110AE6">
        <w:rPr>
          <w:noProof/>
          <w:lang w:val="fr-FR"/>
        </w:rPr>
        <w:t>excède 0,01</w:t>
      </w:r>
      <w:r w:rsidR="00781184" w:rsidRPr="00110AE6">
        <w:rPr>
          <w:noProof/>
          <w:lang w:val="fr-FR"/>
        </w:rPr>
        <w:t> </w:t>
      </w:r>
      <w:r w:rsidR="000B446E" w:rsidRPr="00110AE6">
        <w:rPr>
          <w:noProof/>
          <w:lang w:val="fr-FR"/>
        </w:rPr>
        <w:t>% du total.</w:t>
      </w:r>
    </w:p>
    <w:p w14:paraId="23B7F17B" w14:textId="348BE6D8" w:rsidR="00F94A05" w:rsidRPr="00110AE6" w:rsidRDefault="00F94A05" w:rsidP="00F94A05">
      <w:pPr>
        <w:pStyle w:val="Normalnumber"/>
        <w:rPr>
          <w:noProof/>
          <w:lang w:val="fr-FR"/>
        </w:rPr>
      </w:pPr>
      <w:r w:rsidRPr="00110AE6">
        <w:rPr>
          <w:noProof/>
          <w:lang w:val="fr-FR"/>
        </w:rPr>
        <w:t>Une fois que 60</w:t>
      </w:r>
      <w:r w:rsidR="00781184" w:rsidRPr="00110AE6">
        <w:rPr>
          <w:noProof/>
          <w:lang w:val="fr-FR"/>
        </w:rPr>
        <w:t> </w:t>
      </w:r>
      <w:r w:rsidRPr="00110AE6">
        <w:rPr>
          <w:noProof/>
          <w:lang w:val="fr-FR"/>
        </w:rPr>
        <w:t>% de la contribution du pays hôte sont alloués au Fonds général d</w:t>
      </w:r>
      <w:r w:rsidR="00D05492" w:rsidRPr="00110AE6">
        <w:rPr>
          <w:noProof/>
          <w:lang w:val="fr-FR"/>
        </w:rPr>
        <w:t>’</w:t>
      </w:r>
      <w:r w:rsidRPr="00110AE6">
        <w:rPr>
          <w:noProof/>
          <w:lang w:val="fr-FR"/>
        </w:rPr>
        <w:t xml:space="preserve">affectation spéciale, le reliquat est réparti selon le barème indicatif des quotes-parts pour la répartition des dépenses de la Convention de </w:t>
      </w:r>
      <w:r w:rsidR="00781184" w:rsidRPr="00110AE6">
        <w:rPr>
          <w:noProof/>
          <w:lang w:val="fr-FR"/>
        </w:rPr>
        <w:t>Minamata pour 2018 entre les 83 </w:t>
      </w:r>
      <w:r w:rsidRPr="00110AE6">
        <w:rPr>
          <w:noProof/>
          <w:lang w:val="fr-FR"/>
        </w:rPr>
        <w:t>Parties à la Convention au 1</w:t>
      </w:r>
      <w:r w:rsidR="00781184" w:rsidRPr="00110AE6">
        <w:rPr>
          <w:noProof/>
          <w:vertAlign w:val="superscript"/>
          <w:lang w:val="fr-FR"/>
        </w:rPr>
        <w:t>er </w:t>
      </w:r>
      <w:r w:rsidRPr="00110AE6">
        <w:rPr>
          <w:noProof/>
          <w:lang w:val="fr-FR"/>
        </w:rPr>
        <w:t>janvier 2018.</w:t>
      </w:r>
    </w:p>
    <w:p w14:paraId="3E6B990C" w14:textId="5D557110" w:rsidR="008A326C" w:rsidRPr="00110AE6" w:rsidRDefault="000438B3" w:rsidP="0082498C">
      <w:pPr>
        <w:pStyle w:val="Normalnumber"/>
        <w:rPr>
          <w:noProof/>
          <w:lang w:val="fr-FR"/>
        </w:rPr>
      </w:pPr>
      <w:r w:rsidRPr="00110AE6">
        <w:rPr>
          <w:noProof/>
          <w:lang w:val="fr-FR"/>
        </w:rPr>
        <w:t>Conformément au Règlement financier et règles de gestion financière de l</w:t>
      </w:r>
      <w:r w:rsidR="00D05492" w:rsidRPr="00110AE6">
        <w:rPr>
          <w:noProof/>
          <w:lang w:val="fr-FR"/>
        </w:rPr>
        <w:t>’</w:t>
      </w:r>
      <w:r w:rsidRPr="00110AE6">
        <w:rPr>
          <w:noProof/>
          <w:lang w:val="fr-FR"/>
        </w:rPr>
        <w:t xml:space="preserve">Organisation des Nations Unies, la Conférence </w:t>
      </w:r>
      <w:r w:rsidR="00781184" w:rsidRPr="00110AE6">
        <w:rPr>
          <w:noProof/>
          <w:lang w:val="fr-FR"/>
        </w:rPr>
        <w:t>des Parties a, dans la décision </w:t>
      </w:r>
      <w:r w:rsidRPr="00110AE6">
        <w:rPr>
          <w:noProof/>
          <w:lang w:val="fr-FR"/>
        </w:rPr>
        <w:t>MC-1/15, autorisé le Secrétaire exécutif à ajuster ce barème pour y inclure toutes les Parties pour lesquelles la Convention entrera en vigueur avant le 1</w:t>
      </w:r>
      <w:r w:rsidRPr="00110AE6">
        <w:rPr>
          <w:noProof/>
          <w:vertAlign w:val="superscript"/>
          <w:lang w:val="fr-FR"/>
        </w:rPr>
        <w:t>er</w:t>
      </w:r>
      <w:r w:rsidR="0002712B" w:rsidRPr="00110AE6">
        <w:rPr>
          <w:noProof/>
          <w:vertAlign w:val="superscript"/>
          <w:lang w:val="fr-FR"/>
        </w:rPr>
        <w:t> </w:t>
      </w:r>
      <w:r w:rsidRPr="00110AE6">
        <w:rPr>
          <w:noProof/>
          <w:lang w:val="fr-FR"/>
        </w:rPr>
        <w:t>janvier 2018 pour 2018 et avant le 1</w:t>
      </w:r>
      <w:r w:rsidR="00781184" w:rsidRPr="00110AE6">
        <w:rPr>
          <w:noProof/>
          <w:vertAlign w:val="superscript"/>
          <w:lang w:val="fr-FR"/>
        </w:rPr>
        <w:t>er</w:t>
      </w:r>
      <w:r w:rsidR="00781184" w:rsidRPr="00110AE6">
        <w:rPr>
          <w:noProof/>
          <w:lang w:val="fr-FR"/>
        </w:rPr>
        <w:t> </w:t>
      </w:r>
      <w:r w:rsidR="000B446E" w:rsidRPr="00110AE6">
        <w:rPr>
          <w:noProof/>
          <w:lang w:val="fr-FR"/>
        </w:rPr>
        <w:t>janvier 2019 pour 2019.</w:t>
      </w:r>
    </w:p>
    <w:p w14:paraId="7A9DB566" w14:textId="765E52D8" w:rsidR="001706FD" w:rsidRPr="00110AE6" w:rsidRDefault="00781184" w:rsidP="0082498C">
      <w:pPr>
        <w:pStyle w:val="Normalnumber"/>
        <w:rPr>
          <w:noProof/>
          <w:lang w:val="fr-FR"/>
        </w:rPr>
      </w:pPr>
      <w:r w:rsidRPr="00110AE6">
        <w:rPr>
          <w:noProof/>
          <w:lang w:val="fr-FR"/>
        </w:rPr>
        <w:t>En application du paragraphe </w:t>
      </w:r>
      <w:r w:rsidR="00D31A6B" w:rsidRPr="00110AE6">
        <w:rPr>
          <w:noProof/>
          <w:lang w:val="fr-FR"/>
        </w:rPr>
        <w:t>5 de l</w:t>
      </w:r>
      <w:r w:rsidR="00D05492" w:rsidRPr="00110AE6">
        <w:rPr>
          <w:noProof/>
          <w:lang w:val="fr-FR"/>
        </w:rPr>
        <w:t>’</w:t>
      </w:r>
      <w:r w:rsidRPr="00110AE6">
        <w:rPr>
          <w:noProof/>
          <w:lang w:val="fr-FR"/>
        </w:rPr>
        <w:t>article </w:t>
      </w:r>
      <w:r w:rsidR="00D31A6B" w:rsidRPr="00110AE6">
        <w:rPr>
          <w:noProof/>
          <w:lang w:val="fr-FR"/>
        </w:rPr>
        <w:t>5 des règles de gestion financière, les contributions provenant d</w:t>
      </w:r>
      <w:r w:rsidR="00D05492" w:rsidRPr="00110AE6">
        <w:rPr>
          <w:noProof/>
          <w:lang w:val="fr-FR"/>
        </w:rPr>
        <w:t>’</w:t>
      </w:r>
      <w:r w:rsidR="00D31A6B" w:rsidRPr="00110AE6">
        <w:rPr>
          <w:noProof/>
          <w:lang w:val="fr-FR"/>
        </w:rPr>
        <w:t>États devenus parties à la Convention après le début d</w:t>
      </w:r>
      <w:r w:rsidR="00D05492" w:rsidRPr="00110AE6">
        <w:rPr>
          <w:noProof/>
          <w:lang w:val="fr-FR"/>
        </w:rPr>
        <w:t>’</w:t>
      </w:r>
      <w:r w:rsidR="00D31A6B" w:rsidRPr="00110AE6">
        <w:rPr>
          <w:noProof/>
          <w:lang w:val="fr-FR"/>
        </w:rPr>
        <w:t>un exercice financier sont calculées au pro rata temporis pour le reste de cet exercice</w:t>
      </w:r>
      <w:r w:rsidR="00FA5356" w:rsidRPr="00110AE6">
        <w:rPr>
          <w:noProof/>
          <w:lang w:val="fr-FR"/>
        </w:rPr>
        <w:t> </w:t>
      </w:r>
      <w:r w:rsidR="00D31A6B" w:rsidRPr="00110AE6">
        <w:rPr>
          <w:noProof/>
          <w:lang w:val="fr-FR"/>
        </w:rPr>
        <w:t>; à la fin de chaque exercice, les contributions des autres Partie</w:t>
      </w:r>
      <w:r w:rsidR="000B446E" w:rsidRPr="00110AE6">
        <w:rPr>
          <w:noProof/>
          <w:lang w:val="fr-FR"/>
        </w:rPr>
        <w:t>s sont ajustées en conséquence.</w:t>
      </w:r>
    </w:p>
    <w:p w14:paraId="1B9D181D" w14:textId="77777777" w:rsidR="001706FD" w:rsidRPr="00110AE6" w:rsidRDefault="001706FD">
      <w:pPr>
        <w:tabs>
          <w:tab w:val="clear" w:pos="1247"/>
          <w:tab w:val="clear" w:pos="1814"/>
          <w:tab w:val="clear" w:pos="2381"/>
          <w:tab w:val="clear" w:pos="2948"/>
          <w:tab w:val="clear" w:pos="3515"/>
        </w:tabs>
        <w:rPr>
          <w:noProof/>
          <w:lang w:val="fr-FR"/>
        </w:rPr>
      </w:pPr>
      <w:r w:rsidRPr="00110AE6">
        <w:rPr>
          <w:noProof/>
          <w:lang w:val="fr-FR"/>
        </w:rPr>
        <w:br w:type="page"/>
      </w:r>
    </w:p>
    <w:p w14:paraId="4CBC3E81" w14:textId="5DD743DD" w:rsidR="00175143" w:rsidRPr="00110AE6" w:rsidRDefault="00781184" w:rsidP="00906661">
      <w:pPr>
        <w:pStyle w:val="Normalnumber"/>
        <w:rPr>
          <w:noProof/>
          <w:lang w:val="fr-FR"/>
        </w:rPr>
      </w:pPr>
      <w:r w:rsidRPr="00110AE6">
        <w:rPr>
          <w:noProof/>
          <w:lang w:val="fr-FR"/>
        </w:rPr>
        <w:lastRenderedPageBreak/>
        <w:t>Au 31 </w:t>
      </w:r>
      <w:r w:rsidR="009D5A40" w:rsidRPr="00110AE6">
        <w:rPr>
          <w:noProof/>
          <w:lang w:val="fr-FR"/>
        </w:rPr>
        <w:t>août 2018, les contributions au Fonds général d</w:t>
      </w:r>
      <w:r w:rsidR="00D05492" w:rsidRPr="00110AE6">
        <w:rPr>
          <w:noProof/>
          <w:lang w:val="fr-FR"/>
        </w:rPr>
        <w:t>’</w:t>
      </w:r>
      <w:r w:rsidR="009D5A40" w:rsidRPr="00110AE6">
        <w:rPr>
          <w:noProof/>
          <w:lang w:val="fr-FR"/>
        </w:rPr>
        <w:t>affectation spéciale, qui provenaient de 32</w:t>
      </w:r>
      <w:r w:rsidRPr="00110AE6">
        <w:rPr>
          <w:noProof/>
          <w:lang w:val="fr-FR"/>
        </w:rPr>
        <w:t> </w:t>
      </w:r>
      <w:r w:rsidR="009D5A40" w:rsidRPr="00110AE6">
        <w:rPr>
          <w:noProof/>
          <w:lang w:val="fr-FR"/>
        </w:rPr>
        <w:t>Parties, s</w:t>
      </w:r>
      <w:r w:rsidR="00D05492" w:rsidRPr="00110AE6">
        <w:rPr>
          <w:noProof/>
          <w:lang w:val="fr-FR"/>
        </w:rPr>
        <w:t>’</w:t>
      </w:r>
      <w:r w:rsidRPr="00110AE6">
        <w:rPr>
          <w:noProof/>
          <w:lang w:val="fr-FR"/>
        </w:rPr>
        <w:t>élevaient à 2 768 264 dollars, soit 72 </w:t>
      </w:r>
      <w:r w:rsidR="009D5A40" w:rsidRPr="00110AE6">
        <w:rPr>
          <w:noProof/>
          <w:lang w:val="fr-FR"/>
        </w:rPr>
        <w:t xml:space="preserve">% du total des contributions attendues. Ce total </w:t>
      </w:r>
      <w:r w:rsidRPr="00110AE6">
        <w:rPr>
          <w:noProof/>
          <w:lang w:val="fr-FR"/>
        </w:rPr>
        <w:t>comprend 60 </w:t>
      </w:r>
      <w:r w:rsidR="009D5A40" w:rsidRPr="00110AE6">
        <w:rPr>
          <w:noProof/>
          <w:lang w:val="fr-FR"/>
        </w:rPr>
        <w:t>% de la contribution d</w:t>
      </w:r>
      <w:r w:rsidR="00D05492" w:rsidRPr="00110AE6">
        <w:rPr>
          <w:noProof/>
          <w:lang w:val="fr-FR"/>
        </w:rPr>
        <w:t>’</w:t>
      </w:r>
      <w:r w:rsidR="009D5A40" w:rsidRPr="00110AE6">
        <w:rPr>
          <w:noProof/>
          <w:lang w:val="fr-FR"/>
        </w:rPr>
        <w:t>un million de francs suisses a</w:t>
      </w:r>
      <w:r w:rsidRPr="00110AE6">
        <w:rPr>
          <w:noProof/>
          <w:lang w:val="fr-FR"/>
        </w:rPr>
        <w:t>ccordée par la Suisse, soit 599 </w:t>
      </w:r>
      <w:r w:rsidR="009D5A40" w:rsidRPr="00110AE6">
        <w:rPr>
          <w:noProof/>
          <w:lang w:val="fr-FR"/>
        </w:rPr>
        <w:t>640</w:t>
      </w:r>
      <w:r w:rsidRPr="00110AE6">
        <w:rPr>
          <w:noProof/>
          <w:lang w:val="fr-FR"/>
        </w:rPr>
        <w:t> </w:t>
      </w:r>
      <w:r w:rsidR="009D5A40" w:rsidRPr="00110AE6">
        <w:rPr>
          <w:noProof/>
          <w:lang w:val="fr-FR"/>
        </w:rPr>
        <w:t>dollars.</w:t>
      </w:r>
    </w:p>
    <w:p w14:paraId="00598EE1" w14:textId="0A8E829C" w:rsidR="008A326C" w:rsidRPr="00110AE6" w:rsidRDefault="008A326C" w:rsidP="0082498C">
      <w:pPr>
        <w:pStyle w:val="Normalnumber"/>
        <w:rPr>
          <w:noProof/>
          <w:lang w:val="fr-FR"/>
        </w:rPr>
      </w:pPr>
      <w:r w:rsidRPr="00110AE6">
        <w:rPr>
          <w:noProof/>
          <w:lang w:val="fr-FR"/>
        </w:rPr>
        <w:t>Les contributions au Fonds général d</w:t>
      </w:r>
      <w:r w:rsidR="00D05492" w:rsidRPr="00110AE6">
        <w:rPr>
          <w:noProof/>
          <w:lang w:val="fr-FR"/>
        </w:rPr>
        <w:t>’</w:t>
      </w:r>
      <w:r w:rsidRPr="00110AE6">
        <w:rPr>
          <w:noProof/>
          <w:lang w:val="fr-FR"/>
        </w:rPr>
        <w:t>affectation spéciale dev</w:t>
      </w:r>
      <w:r w:rsidR="00781184" w:rsidRPr="00110AE6">
        <w:rPr>
          <w:noProof/>
          <w:lang w:val="fr-FR"/>
        </w:rPr>
        <w:t>aient être versées avant le 1</w:t>
      </w:r>
      <w:r w:rsidR="00781184" w:rsidRPr="00110AE6">
        <w:rPr>
          <w:noProof/>
          <w:vertAlign w:val="superscript"/>
          <w:lang w:val="fr-FR"/>
        </w:rPr>
        <w:t>er</w:t>
      </w:r>
      <w:r w:rsidR="00781184" w:rsidRPr="00110AE6">
        <w:rPr>
          <w:noProof/>
          <w:lang w:val="fr-FR"/>
        </w:rPr>
        <w:t> </w:t>
      </w:r>
      <w:r w:rsidRPr="00110AE6">
        <w:rPr>
          <w:noProof/>
          <w:lang w:val="fr-FR"/>
        </w:rPr>
        <w:t>janvier</w:t>
      </w:r>
      <w:r w:rsidR="00781184" w:rsidRPr="00110AE6">
        <w:rPr>
          <w:noProof/>
          <w:lang w:val="fr-FR"/>
        </w:rPr>
        <w:t> </w:t>
      </w:r>
      <w:r w:rsidRPr="00110AE6">
        <w:rPr>
          <w:noProof/>
          <w:lang w:val="fr-FR"/>
        </w:rPr>
        <w:t>2018, promptement et intégralem</w:t>
      </w:r>
      <w:r w:rsidR="00781184" w:rsidRPr="00110AE6">
        <w:rPr>
          <w:noProof/>
          <w:lang w:val="fr-FR"/>
        </w:rPr>
        <w:t>ent, conformément au paragraphe </w:t>
      </w:r>
      <w:r w:rsidRPr="00110AE6">
        <w:rPr>
          <w:noProof/>
          <w:lang w:val="fr-FR"/>
        </w:rPr>
        <w:t>3 de l</w:t>
      </w:r>
      <w:r w:rsidR="00D05492" w:rsidRPr="00110AE6">
        <w:rPr>
          <w:noProof/>
          <w:lang w:val="fr-FR"/>
        </w:rPr>
        <w:t>’</w:t>
      </w:r>
      <w:r w:rsidR="00781184" w:rsidRPr="00110AE6">
        <w:rPr>
          <w:noProof/>
          <w:lang w:val="fr-FR"/>
        </w:rPr>
        <w:t>article </w:t>
      </w:r>
      <w:r w:rsidRPr="00110AE6">
        <w:rPr>
          <w:noProof/>
          <w:lang w:val="fr-FR"/>
        </w:rPr>
        <w:t>5 des règles de gestion financière. Les contributions non ver</w:t>
      </w:r>
      <w:r w:rsidR="00781184" w:rsidRPr="00110AE6">
        <w:rPr>
          <w:noProof/>
          <w:lang w:val="fr-FR"/>
        </w:rPr>
        <w:t>sées doivent lui parvenir le 31 décembre </w:t>
      </w:r>
      <w:r w:rsidR="000B446E" w:rsidRPr="00110AE6">
        <w:rPr>
          <w:noProof/>
          <w:lang w:val="fr-FR"/>
        </w:rPr>
        <w:t>2018 au plus tard.</w:t>
      </w:r>
    </w:p>
    <w:p w14:paraId="7ADCCB3E" w14:textId="68271D97" w:rsidR="00C854D1" w:rsidRPr="00110AE6" w:rsidRDefault="009B0D9D" w:rsidP="0082498C">
      <w:pPr>
        <w:pStyle w:val="Normalnumber"/>
        <w:rPr>
          <w:noProof/>
          <w:lang w:val="fr-FR"/>
        </w:rPr>
      </w:pPr>
      <w:r w:rsidRPr="00110AE6">
        <w:rPr>
          <w:noProof/>
          <w:lang w:val="fr-FR"/>
        </w:rPr>
        <w:t>Aucune contribution au Fonds général d</w:t>
      </w:r>
      <w:r w:rsidR="00D05492" w:rsidRPr="00110AE6">
        <w:rPr>
          <w:noProof/>
          <w:lang w:val="fr-FR"/>
        </w:rPr>
        <w:t>’</w:t>
      </w:r>
      <w:r w:rsidRPr="00110AE6">
        <w:rPr>
          <w:noProof/>
          <w:lang w:val="fr-FR"/>
        </w:rPr>
        <w:t>affectation spéciale n</w:t>
      </w:r>
      <w:r w:rsidR="00D05492" w:rsidRPr="00110AE6">
        <w:rPr>
          <w:noProof/>
          <w:lang w:val="fr-FR"/>
        </w:rPr>
        <w:t>’</w:t>
      </w:r>
      <w:r w:rsidRPr="00110AE6">
        <w:rPr>
          <w:noProof/>
          <w:lang w:val="fr-FR"/>
        </w:rPr>
        <w:t>a été reçue d</w:t>
      </w:r>
      <w:r w:rsidR="00D05492" w:rsidRPr="00110AE6">
        <w:rPr>
          <w:noProof/>
          <w:lang w:val="fr-FR"/>
        </w:rPr>
        <w:t>’</w:t>
      </w:r>
      <w:r w:rsidRPr="00110AE6">
        <w:rPr>
          <w:noProof/>
          <w:lang w:val="fr-FR"/>
        </w:rPr>
        <w:t>États qui ne sont pas parties à la Convention ni d</w:t>
      </w:r>
      <w:r w:rsidR="00D05492" w:rsidRPr="00110AE6">
        <w:rPr>
          <w:noProof/>
          <w:lang w:val="fr-FR"/>
        </w:rPr>
        <w:t>’</w:t>
      </w:r>
      <w:r w:rsidRPr="00110AE6">
        <w:rPr>
          <w:noProof/>
          <w:lang w:val="fr-FR"/>
        </w:rPr>
        <w:t>autres organisations gouvernementales, intergouvernementales ou non gouvernementales ou d</w:t>
      </w:r>
      <w:r w:rsidR="00D05492" w:rsidRPr="00110AE6">
        <w:rPr>
          <w:noProof/>
          <w:lang w:val="fr-FR"/>
        </w:rPr>
        <w:t>’</w:t>
      </w:r>
      <w:r w:rsidR="000B446E" w:rsidRPr="00110AE6">
        <w:rPr>
          <w:noProof/>
          <w:lang w:val="fr-FR"/>
        </w:rPr>
        <w:t>autres sources.</w:t>
      </w:r>
    </w:p>
    <w:p w14:paraId="03CE1EAF" w14:textId="5A7EFA88" w:rsidR="008A326C" w:rsidRPr="00110AE6" w:rsidRDefault="00DB53F5" w:rsidP="0082498C">
      <w:pPr>
        <w:pStyle w:val="Normalnumber"/>
        <w:rPr>
          <w:noProof/>
          <w:lang w:val="fr-FR"/>
        </w:rPr>
      </w:pPr>
      <w:r w:rsidRPr="00110AE6">
        <w:rPr>
          <w:noProof/>
          <w:lang w:val="fr-FR"/>
        </w:rPr>
        <w:t>Un tableau détaillé de l</w:t>
      </w:r>
      <w:r w:rsidR="00D05492" w:rsidRPr="00110AE6">
        <w:rPr>
          <w:noProof/>
          <w:lang w:val="fr-FR"/>
        </w:rPr>
        <w:t>’</w:t>
      </w:r>
      <w:r w:rsidRPr="00110AE6">
        <w:rPr>
          <w:noProof/>
          <w:lang w:val="fr-FR"/>
        </w:rPr>
        <w:t>état des contributions au Fonds général d</w:t>
      </w:r>
      <w:r w:rsidR="00D05492" w:rsidRPr="00110AE6">
        <w:rPr>
          <w:noProof/>
          <w:lang w:val="fr-FR"/>
        </w:rPr>
        <w:t>’</w:t>
      </w:r>
      <w:r w:rsidRPr="00110AE6">
        <w:rPr>
          <w:noProof/>
          <w:lang w:val="fr-FR"/>
        </w:rPr>
        <w:t>affectation spéciale pour 2018 sera mis à disposition à la clôture de l</w:t>
      </w:r>
      <w:r w:rsidR="00D05492" w:rsidRPr="00110AE6">
        <w:rPr>
          <w:noProof/>
          <w:lang w:val="fr-FR"/>
        </w:rPr>
        <w:t>’</w:t>
      </w:r>
      <w:r w:rsidRPr="00110AE6">
        <w:rPr>
          <w:noProof/>
          <w:lang w:val="fr-FR"/>
        </w:rPr>
        <w:t>exercice</w:t>
      </w:r>
      <w:r w:rsidR="00781184" w:rsidRPr="00110AE6">
        <w:rPr>
          <w:noProof/>
          <w:lang w:val="fr-FR"/>
        </w:rPr>
        <w:t> </w:t>
      </w:r>
      <w:r w:rsidRPr="00110AE6">
        <w:rPr>
          <w:noProof/>
          <w:lang w:val="fr-FR"/>
        </w:rPr>
        <w:t xml:space="preserve">2018 et fera partie des documents budgétaires de la troisième réunion de la Conférence des </w:t>
      </w:r>
      <w:r w:rsidR="000B446E" w:rsidRPr="00110AE6">
        <w:rPr>
          <w:noProof/>
          <w:lang w:val="fr-FR"/>
        </w:rPr>
        <w:t>Parties.</w:t>
      </w:r>
    </w:p>
    <w:p w14:paraId="4749634C" w14:textId="1FD305DF" w:rsidR="007A73F7" w:rsidRPr="00110AE6" w:rsidRDefault="007A73F7" w:rsidP="00781184">
      <w:pPr>
        <w:pStyle w:val="CH2"/>
        <w:numPr>
          <w:ilvl w:val="0"/>
          <w:numId w:val="21"/>
        </w:numPr>
        <w:tabs>
          <w:tab w:val="clear" w:pos="851"/>
        </w:tabs>
        <w:ind w:left="1302" w:hanging="700"/>
        <w:rPr>
          <w:noProof/>
          <w:lang w:val="fr-FR"/>
        </w:rPr>
      </w:pPr>
      <w:r w:rsidRPr="00110AE6">
        <w:rPr>
          <w:bCs/>
          <w:noProof/>
          <w:lang w:val="fr-FR"/>
        </w:rPr>
        <w:t>État du Fonds d</w:t>
      </w:r>
      <w:r w:rsidR="00D05492" w:rsidRPr="00110AE6">
        <w:rPr>
          <w:bCs/>
          <w:noProof/>
          <w:lang w:val="fr-FR"/>
        </w:rPr>
        <w:t>’</w:t>
      </w:r>
      <w:r w:rsidRPr="00110AE6">
        <w:rPr>
          <w:bCs/>
          <w:noProof/>
          <w:lang w:val="fr-FR"/>
        </w:rPr>
        <w:t>affectation spécia</w:t>
      </w:r>
      <w:r w:rsidR="0002712B" w:rsidRPr="00110AE6">
        <w:rPr>
          <w:bCs/>
          <w:noProof/>
          <w:lang w:val="fr-FR"/>
        </w:rPr>
        <w:t>le à des fins déterminées au 31 </w:t>
      </w:r>
      <w:r w:rsidRPr="00110AE6">
        <w:rPr>
          <w:bCs/>
          <w:noProof/>
          <w:lang w:val="fr-FR"/>
        </w:rPr>
        <w:t>août 2018</w:t>
      </w:r>
    </w:p>
    <w:p w14:paraId="4C6E5160" w14:textId="4ADC90C7" w:rsidR="00403B87" w:rsidRPr="00110AE6" w:rsidRDefault="00D31A6B" w:rsidP="00EE01BE">
      <w:pPr>
        <w:pStyle w:val="Normalnumber"/>
        <w:rPr>
          <w:noProof/>
          <w:lang w:val="fr-FR"/>
        </w:rPr>
      </w:pPr>
      <w:r w:rsidRPr="00110AE6">
        <w:rPr>
          <w:noProof/>
          <w:lang w:val="fr-FR"/>
        </w:rPr>
        <w:t>Conformément à l</w:t>
      </w:r>
      <w:r w:rsidR="00D05492" w:rsidRPr="00110AE6">
        <w:rPr>
          <w:noProof/>
          <w:lang w:val="fr-FR"/>
        </w:rPr>
        <w:t>’</w:t>
      </w:r>
      <w:r w:rsidR="00781184" w:rsidRPr="00110AE6">
        <w:rPr>
          <w:noProof/>
          <w:lang w:val="fr-FR"/>
        </w:rPr>
        <w:t>article </w:t>
      </w:r>
      <w:r w:rsidRPr="00110AE6">
        <w:rPr>
          <w:noProof/>
          <w:lang w:val="fr-FR"/>
        </w:rPr>
        <w:t>4 des règles de gestion financière, le Fonds d</w:t>
      </w:r>
      <w:r w:rsidR="00D05492" w:rsidRPr="00110AE6">
        <w:rPr>
          <w:noProof/>
          <w:lang w:val="fr-FR"/>
        </w:rPr>
        <w:t>’</w:t>
      </w:r>
      <w:r w:rsidRPr="00110AE6">
        <w:rPr>
          <w:noProof/>
          <w:lang w:val="fr-FR"/>
        </w:rPr>
        <w:t>affectation spéciale reçoit des contributions des Parties et non-Parties à la Convention et d</w:t>
      </w:r>
      <w:r w:rsidR="00D05492" w:rsidRPr="00110AE6">
        <w:rPr>
          <w:noProof/>
          <w:lang w:val="fr-FR"/>
        </w:rPr>
        <w:t>’</w:t>
      </w:r>
      <w:r w:rsidRPr="00110AE6">
        <w:rPr>
          <w:noProof/>
          <w:lang w:val="fr-FR"/>
        </w:rPr>
        <w:t>autres intéressés en mesure de le faire pour appuyer les activités du secrétariat de la Convention de Minamata, conformément aux dispositions de l</w:t>
      </w:r>
      <w:r w:rsidR="00D05492" w:rsidRPr="00110AE6">
        <w:rPr>
          <w:noProof/>
          <w:lang w:val="fr-FR"/>
        </w:rPr>
        <w:t>’</w:t>
      </w:r>
      <w:r w:rsidR="00781184" w:rsidRPr="00110AE6">
        <w:rPr>
          <w:noProof/>
          <w:lang w:val="fr-FR"/>
        </w:rPr>
        <w:t>article </w:t>
      </w:r>
      <w:r w:rsidRPr="00110AE6">
        <w:rPr>
          <w:noProof/>
          <w:lang w:val="fr-FR"/>
        </w:rPr>
        <w:t>14 de la Convention, ainsi que pour appuyer la participation de représentant(e)s de Parties qui sont des pays en développement, en particulier les moins avancés d</w:t>
      </w:r>
      <w:r w:rsidR="00D05492" w:rsidRPr="00110AE6">
        <w:rPr>
          <w:noProof/>
          <w:lang w:val="fr-FR"/>
        </w:rPr>
        <w:t>’</w:t>
      </w:r>
      <w:r w:rsidRPr="00110AE6">
        <w:rPr>
          <w:noProof/>
          <w:lang w:val="fr-FR"/>
        </w:rPr>
        <w:t>entre eux et les petits États insulaires en développement, et de représentant(e)s de Parties qui sont des pays à économie en transition aux réunions de la Conférence des Parties et de ses organes su</w:t>
      </w:r>
      <w:r w:rsidR="000B446E" w:rsidRPr="00110AE6">
        <w:rPr>
          <w:noProof/>
          <w:lang w:val="fr-FR"/>
        </w:rPr>
        <w:t>bsidiaires.</w:t>
      </w:r>
    </w:p>
    <w:p w14:paraId="62A0760F" w14:textId="46EA5EFC" w:rsidR="00F85FE5" w:rsidRPr="00110AE6" w:rsidRDefault="0097509D" w:rsidP="0082498C">
      <w:pPr>
        <w:pStyle w:val="Normalnumber"/>
        <w:rPr>
          <w:noProof/>
          <w:lang w:val="fr-FR"/>
        </w:rPr>
      </w:pPr>
      <w:r w:rsidRPr="00110AE6">
        <w:rPr>
          <w:noProof/>
          <w:lang w:val="fr-FR"/>
        </w:rPr>
        <w:t>Il convient de noter que, dans l</w:t>
      </w:r>
      <w:r w:rsidR="00D05492" w:rsidRPr="00110AE6">
        <w:rPr>
          <w:noProof/>
          <w:lang w:val="fr-FR"/>
        </w:rPr>
        <w:t>’</w:t>
      </w:r>
      <w:r w:rsidRPr="00110AE6">
        <w:rPr>
          <w:noProof/>
          <w:lang w:val="fr-FR"/>
        </w:rPr>
        <w:t>annexe des règles de gestion financière, le (la) chef du secrétariat est invité(e) à prendre contact avec le (la) Directeur(trice) exécutif(ve) du Programme des Nations Unies pour l</w:t>
      </w:r>
      <w:r w:rsidR="00D05492" w:rsidRPr="00110AE6">
        <w:rPr>
          <w:noProof/>
          <w:lang w:val="fr-FR"/>
        </w:rPr>
        <w:t>’</w:t>
      </w:r>
      <w:r w:rsidRPr="00110AE6">
        <w:rPr>
          <w:noProof/>
          <w:lang w:val="fr-FR"/>
        </w:rPr>
        <w:t>environnement en vue de faire exonérer les contributions au Fonds d</w:t>
      </w:r>
      <w:r w:rsidR="00D05492" w:rsidRPr="00110AE6">
        <w:rPr>
          <w:noProof/>
          <w:lang w:val="fr-FR"/>
        </w:rPr>
        <w:t>’</w:t>
      </w:r>
      <w:r w:rsidRPr="00110AE6">
        <w:rPr>
          <w:noProof/>
          <w:lang w:val="fr-FR"/>
        </w:rPr>
        <w:t>affectation spéciale à des fins déterminées destinées à financer la participation de représentant(e)s de pays en développement et de pays à économie en transition du prélèvement au titre des dépenses d</w:t>
      </w:r>
      <w:r w:rsidR="00D05492" w:rsidRPr="00110AE6">
        <w:rPr>
          <w:noProof/>
          <w:lang w:val="fr-FR"/>
        </w:rPr>
        <w:t>’</w:t>
      </w:r>
      <w:r w:rsidRPr="00110AE6">
        <w:rPr>
          <w:noProof/>
          <w:lang w:val="fr-FR"/>
        </w:rPr>
        <w:t>appui au programme, étant entendu que les fonds ainsi dégagés serviront à améliorer la représentation des Parties rempl</w:t>
      </w:r>
      <w:r w:rsidR="000B446E" w:rsidRPr="00110AE6">
        <w:rPr>
          <w:noProof/>
          <w:lang w:val="fr-FR"/>
        </w:rPr>
        <w:t>issant les conditions requises.</w:t>
      </w:r>
    </w:p>
    <w:p w14:paraId="37478B45" w14:textId="416D00F4" w:rsidR="00F85FE5" w:rsidRPr="00110AE6" w:rsidRDefault="00403B87" w:rsidP="0082498C">
      <w:pPr>
        <w:pStyle w:val="Normalnumber"/>
        <w:rPr>
          <w:noProof/>
          <w:lang w:val="fr-FR"/>
        </w:rPr>
      </w:pPr>
      <w:r w:rsidRPr="00110AE6">
        <w:rPr>
          <w:noProof/>
          <w:lang w:val="fr-FR"/>
        </w:rPr>
        <w:t>En outre, conformé</w:t>
      </w:r>
      <w:r w:rsidR="00781184" w:rsidRPr="00110AE6">
        <w:rPr>
          <w:noProof/>
          <w:lang w:val="fr-FR"/>
        </w:rPr>
        <w:t>ment aux articles </w:t>
      </w:r>
      <w:r w:rsidRPr="00110AE6">
        <w:rPr>
          <w:noProof/>
          <w:lang w:val="fr-FR"/>
        </w:rPr>
        <w:t>4 et 5 des règles de gestion financière, la contribution du pays hôte, à savoir la Suisse, au Fonds d</w:t>
      </w:r>
      <w:r w:rsidR="00D05492" w:rsidRPr="00110AE6">
        <w:rPr>
          <w:noProof/>
          <w:lang w:val="fr-FR"/>
        </w:rPr>
        <w:t>’</w:t>
      </w:r>
      <w:r w:rsidRPr="00110AE6">
        <w:rPr>
          <w:noProof/>
          <w:lang w:val="fr-FR"/>
        </w:rPr>
        <w:t>affectation spéciale à des fins déterminées doit être alloué en priorité aux fins de la participation de représentant(e)s de Parties qui sont des pays en développement, en particulier les moins avancés d</w:t>
      </w:r>
      <w:r w:rsidR="00D05492" w:rsidRPr="00110AE6">
        <w:rPr>
          <w:noProof/>
          <w:lang w:val="fr-FR"/>
        </w:rPr>
        <w:t>’</w:t>
      </w:r>
      <w:r w:rsidRPr="00110AE6">
        <w:rPr>
          <w:noProof/>
          <w:lang w:val="fr-FR"/>
        </w:rPr>
        <w:t xml:space="preserve">entre eux et les petits États insulaires en développement, et de représentant(e)s de Parties qui sont des pays à économie en transition aux réunions de la Conférence des Parties </w:t>
      </w:r>
      <w:r w:rsidR="000B446E" w:rsidRPr="00110AE6">
        <w:rPr>
          <w:noProof/>
          <w:lang w:val="fr-FR"/>
        </w:rPr>
        <w:t>et de ses organes subsidiaires.</w:t>
      </w:r>
    </w:p>
    <w:p w14:paraId="040627DE" w14:textId="4015CDC5" w:rsidR="00F85FE5" w:rsidRPr="00110AE6" w:rsidRDefault="00F85FE5" w:rsidP="0082498C">
      <w:pPr>
        <w:pStyle w:val="Normalnumber"/>
        <w:rPr>
          <w:noProof/>
          <w:lang w:val="fr-FR"/>
        </w:rPr>
      </w:pPr>
      <w:r w:rsidRPr="00110AE6">
        <w:rPr>
          <w:noProof/>
          <w:lang w:val="fr-FR"/>
        </w:rPr>
        <w:t>La contribution de la Suisse au Fonds d</w:t>
      </w:r>
      <w:r w:rsidR="00D05492" w:rsidRPr="00110AE6">
        <w:rPr>
          <w:noProof/>
          <w:lang w:val="fr-FR"/>
        </w:rPr>
        <w:t>’</w:t>
      </w:r>
      <w:r w:rsidRPr="00110AE6">
        <w:rPr>
          <w:noProof/>
          <w:lang w:val="fr-FR"/>
        </w:rPr>
        <w:t xml:space="preserve">affectation </w:t>
      </w:r>
      <w:r w:rsidR="00781184" w:rsidRPr="00110AE6">
        <w:rPr>
          <w:noProof/>
          <w:lang w:val="fr-FR"/>
        </w:rPr>
        <w:t>à des fins déterminées, soit 40 </w:t>
      </w:r>
      <w:r w:rsidRPr="00110AE6">
        <w:rPr>
          <w:noProof/>
          <w:lang w:val="fr-FR"/>
        </w:rPr>
        <w:t>% de la contribution du pays hôte, a été reçue et s</w:t>
      </w:r>
      <w:r w:rsidR="00D05492" w:rsidRPr="00110AE6">
        <w:rPr>
          <w:noProof/>
          <w:lang w:val="fr-FR"/>
        </w:rPr>
        <w:t>’</w:t>
      </w:r>
      <w:r w:rsidR="00781184" w:rsidRPr="00110AE6">
        <w:rPr>
          <w:noProof/>
          <w:lang w:val="fr-FR"/>
        </w:rPr>
        <w:t>élevait à 399 760 </w:t>
      </w:r>
      <w:r w:rsidR="000B446E" w:rsidRPr="00110AE6">
        <w:rPr>
          <w:noProof/>
          <w:lang w:val="fr-FR"/>
        </w:rPr>
        <w:t>dollars.</w:t>
      </w:r>
    </w:p>
    <w:p w14:paraId="5C61B0DF" w14:textId="410D1828" w:rsidR="00933EF9" w:rsidRPr="00110AE6" w:rsidRDefault="00781184" w:rsidP="0082498C">
      <w:pPr>
        <w:pStyle w:val="Normalnumber"/>
        <w:rPr>
          <w:noProof/>
          <w:lang w:val="fr-FR"/>
        </w:rPr>
      </w:pPr>
      <w:r w:rsidRPr="00110AE6">
        <w:rPr>
          <w:noProof/>
          <w:lang w:val="fr-FR"/>
        </w:rPr>
        <w:t>Au 31 </w:t>
      </w:r>
      <w:r w:rsidR="00933EF9" w:rsidRPr="00110AE6">
        <w:rPr>
          <w:noProof/>
          <w:lang w:val="fr-FR"/>
        </w:rPr>
        <w:t>août 2018, le montant des annonces de contributions au Fonds d</w:t>
      </w:r>
      <w:r w:rsidR="00D05492" w:rsidRPr="00110AE6">
        <w:rPr>
          <w:noProof/>
          <w:lang w:val="fr-FR"/>
        </w:rPr>
        <w:t>’</w:t>
      </w:r>
      <w:r w:rsidR="00933EF9" w:rsidRPr="00110AE6">
        <w:rPr>
          <w:noProof/>
          <w:lang w:val="fr-FR"/>
        </w:rPr>
        <w:t>affectation spéciale à des fins déterminées s</w:t>
      </w:r>
      <w:r w:rsidR="00D05492" w:rsidRPr="00110AE6">
        <w:rPr>
          <w:noProof/>
          <w:lang w:val="fr-FR"/>
        </w:rPr>
        <w:t>’</w:t>
      </w:r>
      <w:r w:rsidRPr="00110AE6">
        <w:rPr>
          <w:noProof/>
          <w:lang w:val="fr-FR"/>
        </w:rPr>
        <w:t>élevait à 1 851 156 </w:t>
      </w:r>
      <w:r w:rsidR="00933EF9" w:rsidRPr="00110AE6">
        <w:rPr>
          <w:noProof/>
          <w:lang w:val="fr-FR"/>
        </w:rPr>
        <w:t>dollars. En plus de la contribution du pays hôte, des contributions ont été annoncées par l</w:t>
      </w:r>
      <w:r w:rsidR="00D05492" w:rsidRPr="00110AE6">
        <w:rPr>
          <w:noProof/>
          <w:lang w:val="fr-FR"/>
        </w:rPr>
        <w:t>’</w:t>
      </w:r>
      <w:r w:rsidR="00933EF9" w:rsidRPr="00110AE6">
        <w:rPr>
          <w:noProof/>
          <w:lang w:val="fr-FR"/>
        </w:rPr>
        <w:t>Autriche, la Finlande, la France, le Japon, la Norvège, les Philippines, la Suède, la Suisse et l</w:t>
      </w:r>
      <w:r w:rsidR="00D05492" w:rsidRPr="00110AE6">
        <w:rPr>
          <w:noProof/>
          <w:lang w:val="fr-FR"/>
        </w:rPr>
        <w:t>’</w:t>
      </w:r>
      <w:r w:rsidR="00933EF9" w:rsidRPr="00110AE6">
        <w:rPr>
          <w:noProof/>
          <w:lang w:val="fr-FR"/>
        </w:rPr>
        <w:t>Union européenne.</w:t>
      </w:r>
    </w:p>
    <w:p w14:paraId="32694EA6" w14:textId="6160BE9F" w:rsidR="00AE4D0D" w:rsidRPr="00110AE6" w:rsidRDefault="00AE4D0D" w:rsidP="0082498C">
      <w:pPr>
        <w:pStyle w:val="Normalnumber"/>
        <w:rPr>
          <w:noProof/>
          <w:lang w:val="fr-FR"/>
        </w:rPr>
      </w:pPr>
      <w:r w:rsidRPr="00110AE6">
        <w:rPr>
          <w:noProof/>
          <w:lang w:val="fr-FR"/>
        </w:rPr>
        <w:t>Un tableau détaillé de l</w:t>
      </w:r>
      <w:r w:rsidR="00D05492" w:rsidRPr="00110AE6">
        <w:rPr>
          <w:noProof/>
          <w:lang w:val="fr-FR"/>
        </w:rPr>
        <w:t>’</w:t>
      </w:r>
      <w:r w:rsidRPr="00110AE6">
        <w:rPr>
          <w:noProof/>
          <w:lang w:val="fr-FR"/>
        </w:rPr>
        <w:t>état des contributions au Fonds d</w:t>
      </w:r>
      <w:r w:rsidR="00D05492" w:rsidRPr="00110AE6">
        <w:rPr>
          <w:noProof/>
          <w:lang w:val="fr-FR"/>
        </w:rPr>
        <w:t>’</w:t>
      </w:r>
      <w:r w:rsidRPr="00110AE6">
        <w:rPr>
          <w:noProof/>
          <w:lang w:val="fr-FR"/>
        </w:rPr>
        <w:t>affectation spéci</w:t>
      </w:r>
      <w:r w:rsidR="00781184" w:rsidRPr="00110AE6">
        <w:rPr>
          <w:noProof/>
          <w:lang w:val="fr-FR"/>
        </w:rPr>
        <w:t>ale à des fins déterminées pour </w:t>
      </w:r>
      <w:r w:rsidRPr="00110AE6">
        <w:rPr>
          <w:noProof/>
          <w:lang w:val="fr-FR"/>
        </w:rPr>
        <w:t>2018 sera mis à disposition à la clôture de l</w:t>
      </w:r>
      <w:r w:rsidR="00D05492" w:rsidRPr="00110AE6">
        <w:rPr>
          <w:noProof/>
          <w:lang w:val="fr-FR"/>
        </w:rPr>
        <w:t>’</w:t>
      </w:r>
      <w:r w:rsidR="00781184" w:rsidRPr="00110AE6">
        <w:rPr>
          <w:noProof/>
          <w:lang w:val="fr-FR"/>
        </w:rPr>
        <w:t>exercice </w:t>
      </w:r>
      <w:r w:rsidRPr="00110AE6">
        <w:rPr>
          <w:noProof/>
          <w:lang w:val="fr-FR"/>
        </w:rPr>
        <w:t>2018 et fera partie des documents budgétaires de la troisième réunio</w:t>
      </w:r>
      <w:r w:rsidR="000B446E" w:rsidRPr="00110AE6">
        <w:rPr>
          <w:noProof/>
          <w:lang w:val="fr-FR"/>
        </w:rPr>
        <w:t>n de la Conférence des Parties.</w:t>
      </w:r>
    </w:p>
    <w:p w14:paraId="69EE04A2" w14:textId="2B483445" w:rsidR="0011532C" w:rsidRPr="00110AE6" w:rsidRDefault="006008E7" w:rsidP="00781184">
      <w:pPr>
        <w:pStyle w:val="CH2"/>
        <w:numPr>
          <w:ilvl w:val="0"/>
          <w:numId w:val="21"/>
        </w:numPr>
        <w:tabs>
          <w:tab w:val="clear" w:pos="851"/>
        </w:tabs>
        <w:ind w:left="1302" w:hanging="700"/>
        <w:rPr>
          <w:noProof/>
          <w:lang w:val="fr-FR"/>
        </w:rPr>
      </w:pPr>
      <w:r w:rsidRPr="00110AE6">
        <w:rPr>
          <w:bCs/>
          <w:noProof/>
          <w:lang w:val="fr-FR"/>
        </w:rPr>
        <w:t>État du Fonds d</w:t>
      </w:r>
      <w:r w:rsidR="00D05492" w:rsidRPr="00110AE6">
        <w:rPr>
          <w:bCs/>
          <w:noProof/>
          <w:lang w:val="fr-FR"/>
        </w:rPr>
        <w:t>’</w:t>
      </w:r>
      <w:r w:rsidRPr="00110AE6">
        <w:rPr>
          <w:bCs/>
          <w:noProof/>
          <w:lang w:val="fr-FR"/>
        </w:rPr>
        <w:t>affecta</w:t>
      </w:r>
      <w:r w:rsidR="00781184" w:rsidRPr="00110AE6">
        <w:rPr>
          <w:bCs/>
          <w:noProof/>
          <w:lang w:val="fr-FR"/>
        </w:rPr>
        <w:t>tion spéciale particulier au 31 </w:t>
      </w:r>
      <w:r w:rsidRPr="00110AE6">
        <w:rPr>
          <w:bCs/>
          <w:noProof/>
          <w:lang w:val="fr-FR"/>
        </w:rPr>
        <w:t>août 2018</w:t>
      </w:r>
    </w:p>
    <w:p w14:paraId="2376FF65" w14:textId="3F96A3C8" w:rsidR="00340BD1" w:rsidRPr="00110AE6" w:rsidRDefault="0011532C" w:rsidP="0082498C">
      <w:pPr>
        <w:pStyle w:val="Normalnumber"/>
        <w:rPr>
          <w:noProof/>
          <w:lang w:val="fr-FR"/>
        </w:rPr>
      </w:pPr>
      <w:r w:rsidRPr="00110AE6">
        <w:rPr>
          <w:noProof/>
          <w:lang w:val="fr-FR"/>
        </w:rPr>
        <w:t xml:space="preserve"> Ainsi qu</w:t>
      </w:r>
      <w:r w:rsidR="00D05492" w:rsidRPr="00110AE6">
        <w:rPr>
          <w:noProof/>
          <w:lang w:val="fr-FR"/>
        </w:rPr>
        <w:t>’</w:t>
      </w:r>
      <w:r w:rsidRPr="00110AE6">
        <w:rPr>
          <w:noProof/>
          <w:lang w:val="fr-FR"/>
        </w:rPr>
        <w:t>il est indiqué dans l</w:t>
      </w:r>
      <w:r w:rsidR="00D05492" w:rsidRPr="00110AE6">
        <w:rPr>
          <w:noProof/>
          <w:lang w:val="fr-FR"/>
        </w:rPr>
        <w:t>’</w:t>
      </w:r>
      <w:r w:rsidR="00781184" w:rsidRPr="00110AE6">
        <w:rPr>
          <w:noProof/>
          <w:lang w:val="fr-FR"/>
        </w:rPr>
        <w:t>annexe I de la décision </w:t>
      </w:r>
      <w:r w:rsidRPr="00110AE6">
        <w:rPr>
          <w:noProof/>
          <w:lang w:val="fr-FR"/>
        </w:rPr>
        <w:t>MC-1/6, les contributions au Fonds d</w:t>
      </w:r>
      <w:r w:rsidR="00D05492" w:rsidRPr="00110AE6">
        <w:rPr>
          <w:noProof/>
          <w:lang w:val="fr-FR"/>
        </w:rPr>
        <w:t>’</w:t>
      </w:r>
      <w:r w:rsidRPr="00110AE6">
        <w:rPr>
          <w:noProof/>
          <w:lang w:val="fr-FR"/>
        </w:rPr>
        <w:t>affectation spéciale particulier devraient être encouragées auprès de nombreuses sources, notamment l</w:t>
      </w:r>
      <w:r w:rsidR="00D05492" w:rsidRPr="00110AE6">
        <w:rPr>
          <w:noProof/>
          <w:lang w:val="fr-FR"/>
        </w:rPr>
        <w:t>’</w:t>
      </w:r>
      <w:r w:rsidRPr="00110AE6">
        <w:rPr>
          <w:noProof/>
          <w:lang w:val="fr-FR"/>
        </w:rPr>
        <w:t>ensemble des Parties à la Convention de Minamata ayant les moyens d</w:t>
      </w:r>
      <w:r w:rsidR="00D05492" w:rsidRPr="00110AE6">
        <w:rPr>
          <w:noProof/>
          <w:lang w:val="fr-FR"/>
        </w:rPr>
        <w:t>’</w:t>
      </w:r>
      <w:r w:rsidRPr="00110AE6">
        <w:rPr>
          <w:noProof/>
          <w:lang w:val="fr-FR"/>
        </w:rPr>
        <w:t>apporter une contribution, ainsi que d</w:t>
      </w:r>
      <w:r w:rsidR="00D05492" w:rsidRPr="00110AE6">
        <w:rPr>
          <w:noProof/>
          <w:lang w:val="fr-FR"/>
        </w:rPr>
        <w:t>’</w:t>
      </w:r>
      <w:r w:rsidRPr="00110AE6">
        <w:rPr>
          <w:noProof/>
          <w:lang w:val="fr-FR"/>
        </w:rPr>
        <w:t>autres parties prenantes concernées, notamment les gouvernements, le secteur privé, les fondations, les organisations non gouvernementales, les organisations intergouvernementales, les universités et d</w:t>
      </w:r>
      <w:r w:rsidR="00D05492" w:rsidRPr="00110AE6">
        <w:rPr>
          <w:noProof/>
          <w:lang w:val="fr-FR"/>
        </w:rPr>
        <w:t>’</w:t>
      </w:r>
      <w:r w:rsidRPr="00110AE6">
        <w:rPr>
          <w:noProof/>
          <w:lang w:val="fr-FR"/>
        </w:rPr>
        <w:t>autres types d</w:t>
      </w:r>
      <w:r w:rsidR="00D05492" w:rsidRPr="00110AE6">
        <w:rPr>
          <w:noProof/>
          <w:lang w:val="fr-FR"/>
        </w:rPr>
        <w:t>’</w:t>
      </w:r>
      <w:r w:rsidRPr="00110AE6">
        <w:rPr>
          <w:noProof/>
          <w:lang w:val="fr-FR"/>
        </w:rPr>
        <w:t>acte</w:t>
      </w:r>
      <w:r w:rsidR="00D859F8" w:rsidRPr="00110AE6">
        <w:rPr>
          <w:noProof/>
          <w:lang w:val="fr-FR"/>
        </w:rPr>
        <w:t>urs de la société civile.</w:t>
      </w:r>
    </w:p>
    <w:p w14:paraId="5FDD10C7" w14:textId="4F2C3064" w:rsidR="0011532C" w:rsidRPr="00110AE6" w:rsidRDefault="00781184" w:rsidP="0082498C">
      <w:pPr>
        <w:pStyle w:val="Normalnumber"/>
        <w:rPr>
          <w:noProof/>
          <w:lang w:val="fr-FR"/>
        </w:rPr>
      </w:pPr>
      <w:r w:rsidRPr="00110AE6">
        <w:rPr>
          <w:noProof/>
          <w:lang w:val="fr-FR"/>
        </w:rPr>
        <w:t>Au 31 </w:t>
      </w:r>
      <w:r w:rsidR="00340BD1" w:rsidRPr="00110AE6">
        <w:rPr>
          <w:noProof/>
          <w:lang w:val="fr-FR"/>
        </w:rPr>
        <w:t>août 2018, le montant des annonces de contributions au Fonds d</w:t>
      </w:r>
      <w:r w:rsidR="00D05492" w:rsidRPr="00110AE6">
        <w:rPr>
          <w:noProof/>
          <w:lang w:val="fr-FR"/>
        </w:rPr>
        <w:t>’</w:t>
      </w:r>
      <w:r w:rsidR="00340BD1" w:rsidRPr="00110AE6">
        <w:rPr>
          <w:noProof/>
          <w:lang w:val="fr-FR"/>
        </w:rPr>
        <w:t>affectation spéciale particulier s</w:t>
      </w:r>
      <w:r w:rsidR="00D05492" w:rsidRPr="00110AE6">
        <w:rPr>
          <w:noProof/>
          <w:lang w:val="fr-FR"/>
        </w:rPr>
        <w:t>’</w:t>
      </w:r>
      <w:r w:rsidRPr="00110AE6">
        <w:rPr>
          <w:noProof/>
          <w:lang w:val="fr-FR"/>
        </w:rPr>
        <w:t>élevait à 1 281 448 </w:t>
      </w:r>
      <w:r w:rsidR="00340BD1" w:rsidRPr="00110AE6">
        <w:rPr>
          <w:noProof/>
          <w:lang w:val="fr-FR"/>
        </w:rPr>
        <w:t>dollars. Des contributions ont été annoncées par l</w:t>
      </w:r>
      <w:r w:rsidR="00D05492" w:rsidRPr="00110AE6">
        <w:rPr>
          <w:noProof/>
          <w:lang w:val="fr-FR"/>
        </w:rPr>
        <w:t>’</w:t>
      </w:r>
      <w:r w:rsidR="00340BD1" w:rsidRPr="00110AE6">
        <w:rPr>
          <w:noProof/>
          <w:lang w:val="fr-FR"/>
        </w:rPr>
        <w:t>Allemagne, l</w:t>
      </w:r>
      <w:r w:rsidR="00D05492" w:rsidRPr="00110AE6">
        <w:rPr>
          <w:noProof/>
          <w:lang w:val="fr-FR"/>
        </w:rPr>
        <w:t>’</w:t>
      </w:r>
      <w:r w:rsidR="00340BD1" w:rsidRPr="00110AE6">
        <w:rPr>
          <w:noProof/>
          <w:lang w:val="fr-FR"/>
        </w:rPr>
        <w:t>Autriche, le Danemark, les États-Unis</w:t>
      </w:r>
      <w:r w:rsidR="00657F55" w:rsidRPr="00110AE6">
        <w:rPr>
          <w:noProof/>
          <w:lang w:val="fr-FR"/>
        </w:rPr>
        <w:t xml:space="preserve"> d’Amérique</w:t>
      </w:r>
      <w:r w:rsidR="00340BD1" w:rsidRPr="00110AE6">
        <w:rPr>
          <w:noProof/>
          <w:lang w:val="fr-FR"/>
        </w:rPr>
        <w:t>, la Norvège, les Pays-Bas, le Royaume-Uni de Grande-Bretagne et d</w:t>
      </w:r>
      <w:r w:rsidR="00D05492" w:rsidRPr="00110AE6">
        <w:rPr>
          <w:noProof/>
          <w:lang w:val="fr-FR"/>
        </w:rPr>
        <w:t>’</w:t>
      </w:r>
      <w:r w:rsidR="00D859F8" w:rsidRPr="00110AE6">
        <w:rPr>
          <w:noProof/>
          <w:lang w:val="fr-FR"/>
        </w:rPr>
        <w:t>Irlande du Nord et la Suède.</w:t>
      </w:r>
    </w:p>
    <w:p w14:paraId="6EDEB5A2" w14:textId="7BDE8B07" w:rsidR="001706FD" w:rsidRPr="00110AE6" w:rsidRDefault="001706FD">
      <w:pPr>
        <w:tabs>
          <w:tab w:val="clear" w:pos="1247"/>
          <w:tab w:val="clear" w:pos="1814"/>
          <w:tab w:val="clear" w:pos="2381"/>
          <w:tab w:val="clear" w:pos="2948"/>
          <w:tab w:val="clear" w:pos="3515"/>
        </w:tabs>
        <w:rPr>
          <w:noProof/>
          <w:lang w:val="fr-FR"/>
        </w:rPr>
      </w:pPr>
      <w:r w:rsidRPr="00110AE6">
        <w:rPr>
          <w:noProof/>
          <w:lang w:val="fr-FR"/>
        </w:rPr>
        <w:br w:type="page"/>
      </w:r>
    </w:p>
    <w:p w14:paraId="2D8254B9" w14:textId="02FB5DE1" w:rsidR="00340BD1" w:rsidRPr="00110AE6" w:rsidRDefault="00781184" w:rsidP="0082498C">
      <w:pPr>
        <w:pStyle w:val="Normalnumber"/>
        <w:rPr>
          <w:noProof/>
          <w:lang w:val="fr-FR"/>
        </w:rPr>
      </w:pPr>
      <w:r w:rsidRPr="00110AE6">
        <w:rPr>
          <w:noProof/>
          <w:lang w:val="fr-FR"/>
        </w:rPr>
        <w:t>Au 31 </w:t>
      </w:r>
      <w:r w:rsidR="00340BD1" w:rsidRPr="00110AE6">
        <w:rPr>
          <w:noProof/>
          <w:lang w:val="fr-FR"/>
        </w:rPr>
        <w:t>août 2018, la contribution de la Suisse d</w:t>
      </w:r>
      <w:r w:rsidR="00D05492" w:rsidRPr="00110AE6">
        <w:rPr>
          <w:noProof/>
          <w:lang w:val="fr-FR"/>
        </w:rPr>
        <w:t>’</w:t>
      </w:r>
      <w:r w:rsidR="00340BD1" w:rsidRPr="00110AE6">
        <w:rPr>
          <w:noProof/>
          <w:lang w:val="fr-FR"/>
        </w:rPr>
        <w:t>un montant d</w:t>
      </w:r>
      <w:r w:rsidR="00D05492" w:rsidRPr="00110AE6">
        <w:rPr>
          <w:noProof/>
          <w:lang w:val="fr-FR"/>
        </w:rPr>
        <w:t>’</w:t>
      </w:r>
      <w:r w:rsidR="00340BD1" w:rsidRPr="00110AE6">
        <w:rPr>
          <w:noProof/>
          <w:lang w:val="fr-FR"/>
        </w:rPr>
        <w:t>un million de francs suisses destinée à financer le Programme international spécifique avait été reçue et était détenue en fiducie dans l</w:t>
      </w:r>
      <w:r w:rsidR="00D05492" w:rsidRPr="00110AE6">
        <w:rPr>
          <w:noProof/>
          <w:lang w:val="fr-FR"/>
        </w:rPr>
        <w:t>’</w:t>
      </w:r>
      <w:r w:rsidR="00340BD1" w:rsidRPr="00110AE6">
        <w:rPr>
          <w:noProof/>
          <w:lang w:val="fr-FR"/>
        </w:rPr>
        <w:t>attent</w:t>
      </w:r>
      <w:r w:rsidR="003A0769" w:rsidRPr="00110AE6">
        <w:rPr>
          <w:noProof/>
          <w:lang w:val="fr-FR"/>
        </w:rPr>
        <w:t>e de la décision de la deuxième </w:t>
      </w:r>
      <w:r w:rsidR="00340BD1" w:rsidRPr="00110AE6">
        <w:rPr>
          <w:noProof/>
          <w:lang w:val="fr-FR"/>
        </w:rPr>
        <w:t>réunion de la Conférence des Parties concernant les dispositions relatives au secrétariat de la Convention de Minamata.</w:t>
      </w:r>
    </w:p>
    <w:p w14:paraId="1AAA065C" w14:textId="3D6AD842" w:rsidR="0059406D" w:rsidRPr="00110AE6" w:rsidRDefault="0059406D" w:rsidP="0082498C">
      <w:pPr>
        <w:pStyle w:val="Normalnumber"/>
        <w:rPr>
          <w:noProof/>
          <w:lang w:val="fr-FR"/>
        </w:rPr>
      </w:pPr>
      <w:r w:rsidRPr="00110AE6">
        <w:rPr>
          <w:noProof/>
          <w:lang w:val="fr-FR"/>
        </w:rPr>
        <w:t>Les contributions au Fonds d</w:t>
      </w:r>
      <w:r w:rsidR="00D05492" w:rsidRPr="00110AE6">
        <w:rPr>
          <w:noProof/>
          <w:lang w:val="fr-FR"/>
        </w:rPr>
        <w:t>’</w:t>
      </w:r>
      <w:r w:rsidRPr="00110AE6">
        <w:rPr>
          <w:noProof/>
          <w:lang w:val="fr-FR"/>
        </w:rPr>
        <w:t>affectation spéciale particulier seront affectées à des projets pilotés par les pays à la suite de la sélection des projets par le Conseil d</w:t>
      </w:r>
      <w:r w:rsidR="00D05492" w:rsidRPr="00110AE6">
        <w:rPr>
          <w:noProof/>
          <w:lang w:val="fr-FR"/>
        </w:rPr>
        <w:t>’</w:t>
      </w:r>
      <w:r w:rsidRPr="00110AE6">
        <w:rPr>
          <w:noProof/>
          <w:lang w:val="fr-FR"/>
        </w:rPr>
        <w:t>administration du Programme international spécifique. Le Fonds d</w:t>
      </w:r>
      <w:r w:rsidR="00D05492" w:rsidRPr="00110AE6">
        <w:rPr>
          <w:noProof/>
          <w:lang w:val="fr-FR"/>
        </w:rPr>
        <w:t>’</w:t>
      </w:r>
      <w:r w:rsidRPr="00110AE6">
        <w:rPr>
          <w:noProof/>
          <w:lang w:val="fr-FR"/>
        </w:rPr>
        <w:t>affectation spéciale particulier sert également à financer toutes les dépenses afférentes aux réunions et aux travaux du Conseil d</w:t>
      </w:r>
      <w:r w:rsidR="00D05492" w:rsidRPr="00110AE6">
        <w:rPr>
          <w:noProof/>
          <w:lang w:val="fr-FR"/>
        </w:rPr>
        <w:t>’</w:t>
      </w:r>
      <w:r w:rsidRPr="00110AE6">
        <w:rPr>
          <w:noProof/>
          <w:lang w:val="fr-FR"/>
        </w:rPr>
        <w:t>administration et du Programme international spécifique (à l</w:t>
      </w:r>
      <w:r w:rsidR="00D05492" w:rsidRPr="00110AE6">
        <w:rPr>
          <w:noProof/>
          <w:lang w:val="fr-FR"/>
        </w:rPr>
        <w:t>’</w:t>
      </w:r>
      <w:r w:rsidRPr="00110AE6">
        <w:rPr>
          <w:noProof/>
          <w:lang w:val="fr-FR"/>
        </w:rPr>
        <w:t>except</w:t>
      </w:r>
      <w:r w:rsidR="00D859F8" w:rsidRPr="00110AE6">
        <w:rPr>
          <w:noProof/>
          <w:lang w:val="fr-FR"/>
        </w:rPr>
        <w:t>ion des dépenses de personnel).</w:t>
      </w:r>
    </w:p>
    <w:p w14:paraId="62A448D4" w14:textId="73426821" w:rsidR="0034668D" w:rsidRPr="00110AE6" w:rsidRDefault="00781184" w:rsidP="0082498C">
      <w:pPr>
        <w:pStyle w:val="Normalnumber"/>
        <w:rPr>
          <w:noProof/>
          <w:lang w:val="fr-FR"/>
        </w:rPr>
      </w:pPr>
      <w:r w:rsidRPr="00110AE6">
        <w:rPr>
          <w:noProof/>
          <w:lang w:val="fr-FR"/>
        </w:rPr>
        <w:t>On trouvera dans le document </w:t>
      </w:r>
      <w:r w:rsidR="003471FB" w:rsidRPr="00110AE6">
        <w:rPr>
          <w:noProof/>
          <w:lang w:val="fr-FR"/>
        </w:rPr>
        <w:t>UNEP/MC/COP.2/9 de plus amples renseignements concernant le Programme international spécifique.</w:t>
      </w:r>
    </w:p>
    <w:p w14:paraId="777B972C" w14:textId="24768CE6" w:rsidR="004A718B" w:rsidRPr="00110AE6" w:rsidRDefault="00BC5579" w:rsidP="00781184">
      <w:pPr>
        <w:pStyle w:val="CH2"/>
        <w:numPr>
          <w:ilvl w:val="0"/>
          <w:numId w:val="21"/>
        </w:numPr>
        <w:tabs>
          <w:tab w:val="clear" w:pos="851"/>
        </w:tabs>
        <w:ind w:left="1302" w:hanging="700"/>
        <w:rPr>
          <w:noProof/>
          <w:lang w:val="fr-FR"/>
        </w:rPr>
      </w:pPr>
      <w:r w:rsidRPr="00110AE6">
        <w:rPr>
          <w:bCs/>
          <w:noProof/>
          <w:lang w:val="fr-FR"/>
        </w:rPr>
        <w:t>Exécution du programme de travail et du budget pour 2018</w:t>
      </w:r>
    </w:p>
    <w:p w14:paraId="78015D57" w14:textId="4817BAD2" w:rsidR="00ED1FB1" w:rsidRPr="00110AE6" w:rsidRDefault="00781184" w:rsidP="007959C2">
      <w:pPr>
        <w:pStyle w:val="Normalnumber"/>
        <w:keepNext/>
        <w:keepLines/>
        <w:rPr>
          <w:noProof/>
          <w:lang w:val="fr-FR"/>
        </w:rPr>
      </w:pPr>
      <w:r w:rsidRPr="00110AE6">
        <w:rPr>
          <w:noProof/>
          <w:lang w:val="fr-FR"/>
        </w:rPr>
        <w:t>En application des décisions </w:t>
      </w:r>
      <w:r w:rsidR="006C410C" w:rsidRPr="00110AE6">
        <w:rPr>
          <w:noProof/>
          <w:lang w:val="fr-FR"/>
        </w:rPr>
        <w:t xml:space="preserve">MC-1/15 et MC-1/11, le secrétariat met en </w:t>
      </w:r>
      <w:r w:rsidRPr="00110AE6">
        <w:rPr>
          <w:noProof/>
          <w:lang w:val="fr-FR"/>
        </w:rPr>
        <w:t>œuvre</w:t>
      </w:r>
      <w:r w:rsidR="006C410C" w:rsidRPr="00110AE6">
        <w:rPr>
          <w:noProof/>
          <w:lang w:val="fr-FR"/>
        </w:rPr>
        <w:t xml:space="preserve"> le programme de travail et exécute le budget de la Convention de Minamata pour 2018, comme indiqué ci-après. Il convient de noter que la présente note a été établie </w:t>
      </w:r>
      <w:r w:rsidR="00657F55" w:rsidRPr="00110AE6">
        <w:rPr>
          <w:noProof/>
          <w:lang w:val="fr-FR"/>
        </w:rPr>
        <w:t>à la fin du mois d’</w:t>
      </w:r>
      <w:r w:rsidR="003A0769" w:rsidRPr="00110AE6">
        <w:rPr>
          <w:noProof/>
          <w:lang w:val="fr-FR"/>
        </w:rPr>
        <w:t>août 2018, soit huit </w:t>
      </w:r>
      <w:r w:rsidR="006C410C" w:rsidRPr="00110AE6">
        <w:rPr>
          <w:noProof/>
          <w:lang w:val="fr-FR"/>
        </w:rPr>
        <w:t>mois seulement après l</w:t>
      </w:r>
      <w:r w:rsidR="00D05492" w:rsidRPr="00110AE6">
        <w:rPr>
          <w:noProof/>
          <w:lang w:val="fr-FR"/>
        </w:rPr>
        <w:t>’</w:t>
      </w:r>
      <w:r w:rsidR="006C410C" w:rsidRPr="00110AE6">
        <w:rPr>
          <w:noProof/>
          <w:lang w:val="fr-FR"/>
        </w:rPr>
        <w:t>ouverture du premier program</w:t>
      </w:r>
      <w:r w:rsidR="00D859F8" w:rsidRPr="00110AE6">
        <w:rPr>
          <w:noProof/>
          <w:lang w:val="fr-FR"/>
        </w:rPr>
        <w:t>me de travail de la Convention.</w:t>
      </w:r>
    </w:p>
    <w:p w14:paraId="5709AB9F" w14:textId="6542313C" w:rsidR="00ED1FB1" w:rsidRPr="00110AE6" w:rsidRDefault="00BC5579" w:rsidP="00E916AE">
      <w:pPr>
        <w:pStyle w:val="CH3"/>
        <w:numPr>
          <w:ilvl w:val="6"/>
          <w:numId w:val="22"/>
        </w:numPr>
        <w:tabs>
          <w:tab w:val="clear" w:pos="851"/>
        </w:tabs>
        <w:ind w:left="1276" w:hanging="632"/>
        <w:rPr>
          <w:noProof/>
          <w:lang w:val="fr-FR"/>
        </w:rPr>
      </w:pPr>
      <w:r w:rsidRPr="00110AE6">
        <w:rPr>
          <w:noProof/>
          <w:lang w:val="fr-FR"/>
        </w:rPr>
        <w:t>Effectifs du secrétariat de la Convention de Minamata en 2018</w:t>
      </w:r>
    </w:p>
    <w:p w14:paraId="5F483226" w14:textId="060F78C1" w:rsidR="000430A5" w:rsidRPr="00110AE6" w:rsidRDefault="00B5793E" w:rsidP="0082498C">
      <w:pPr>
        <w:pStyle w:val="Normalnumber"/>
        <w:rPr>
          <w:noProof/>
          <w:lang w:val="fr-FR"/>
        </w:rPr>
      </w:pPr>
      <w:r w:rsidRPr="00110AE6">
        <w:rPr>
          <w:noProof/>
          <w:lang w:val="fr-FR"/>
        </w:rPr>
        <w:t>Dans sa décision</w:t>
      </w:r>
      <w:r w:rsidR="007135AC" w:rsidRPr="00110AE6">
        <w:rPr>
          <w:noProof/>
          <w:lang w:val="fr-FR"/>
        </w:rPr>
        <w:t> </w:t>
      </w:r>
      <w:r w:rsidRPr="00110AE6">
        <w:rPr>
          <w:noProof/>
          <w:lang w:val="fr-FR"/>
        </w:rPr>
        <w:t>MC-1/15, la Conférence des Parties a approuvé le tableau d</w:t>
      </w:r>
      <w:r w:rsidR="00D05492" w:rsidRPr="00110AE6">
        <w:rPr>
          <w:noProof/>
          <w:lang w:val="fr-FR"/>
        </w:rPr>
        <w:t>’</w:t>
      </w:r>
      <w:r w:rsidR="00D859F8" w:rsidRPr="00110AE6">
        <w:rPr>
          <w:noProof/>
          <w:lang w:val="fr-FR"/>
        </w:rPr>
        <w:t>effectifs indicatif ci</w:t>
      </w:r>
      <w:r w:rsidR="00D859F8" w:rsidRPr="00110AE6">
        <w:rPr>
          <w:noProof/>
          <w:lang w:val="fr-FR"/>
        </w:rPr>
        <w:noBreakHyphen/>
      </w:r>
      <w:r w:rsidRPr="00110AE6">
        <w:rPr>
          <w:noProof/>
          <w:lang w:val="fr-FR"/>
        </w:rPr>
        <w:t>après pour l</w:t>
      </w:r>
      <w:r w:rsidR="00D05492" w:rsidRPr="00110AE6">
        <w:rPr>
          <w:noProof/>
          <w:lang w:val="fr-FR"/>
        </w:rPr>
        <w:t>’</w:t>
      </w:r>
      <w:r w:rsidR="007135AC" w:rsidRPr="00110AE6">
        <w:rPr>
          <w:noProof/>
          <w:lang w:val="fr-FR"/>
        </w:rPr>
        <w:t>exercice biennal </w:t>
      </w:r>
      <w:r w:rsidRPr="00110AE6">
        <w:rPr>
          <w:noProof/>
          <w:lang w:val="fr-FR"/>
        </w:rPr>
        <w:t>2018–2019, qui repose sur les coûts standard afférents au</w:t>
      </w:r>
      <w:r w:rsidR="00D859F8" w:rsidRPr="00110AE6">
        <w:rPr>
          <w:noProof/>
          <w:lang w:val="fr-FR"/>
        </w:rPr>
        <w:t>x postes applicables à Genève :</w:t>
      </w:r>
    </w:p>
    <w:p w14:paraId="381F1F09" w14:textId="4B42DFF2" w:rsidR="007E2DF9" w:rsidRPr="00110AE6" w:rsidRDefault="000430A5" w:rsidP="000F744B">
      <w:pPr>
        <w:pStyle w:val="Titlefigure"/>
        <w:rPr>
          <w:noProof/>
          <w:lang w:val="fr-FR"/>
        </w:rPr>
      </w:pPr>
      <w:r w:rsidRPr="00110AE6">
        <w:rPr>
          <w:b w:val="0"/>
          <w:noProof/>
          <w:lang w:val="fr-FR"/>
        </w:rPr>
        <w:t xml:space="preserve">Tableau 1 </w:t>
      </w:r>
      <w:r w:rsidR="0002712B" w:rsidRPr="00110AE6">
        <w:rPr>
          <w:noProof/>
          <w:lang w:val="fr-FR"/>
        </w:rPr>
        <w:br/>
      </w:r>
      <w:r w:rsidRPr="00110AE6">
        <w:rPr>
          <w:noProof/>
          <w:lang w:val="fr-FR"/>
        </w:rPr>
        <w:t>Effectifs nécessaires indicatifs pour le secrétariat de la Convention de Minamata à Genève</w:t>
      </w:r>
    </w:p>
    <w:p w14:paraId="336A2F53" w14:textId="15222618" w:rsidR="000430A5" w:rsidRPr="00110AE6" w:rsidRDefault="00D859F8" w:rsidP="000F744B">
      <w:pPr>
        <w:pStyle w:val="Titlefigure"/>
        <w:rPr>
          <w:b w:val="0"/>
          <w:noProof/>
          <w:sz w:val="18"/>
          <w:szCs w:val="18"/>
          <w:lang w:val="fr-FR"/>
        </w:rPr>
      </w:pPr>
      <w:r w:rsidRPr="00110AE6">
        <w:rPr>
          <w:b w:val="0"/>
          <w:noProof/>
          <w:lang w:val="fr-FR"/>
        </w:rPr>
        <w:t>(En dollars des États-Unis)</w:t>
      </w:r>
    </w:p>
    <w:tbl>
      <w:tblPr>
        <w:tblW w:w="8335" w:type="dxa"/>
        <w:jc w:val="right"/>
        <w:tblLayout w:type="fixed"/>
        <w:tblLook w:val="04A0" w:firstRow="1" w:lastRow="0" w:firstColumn="1" w:lastColumn="0" w:noHBand="0" w:noVBand="1"/>
      </w:tblPr>
      <w:tblGrid>
        <w:gridCol w:w="3658"/>
        <w:gridCol w:w="1186"/>
        <w:gridCol w:w="2305"/>
        <w:gridCol w:w="1186"/>
      </w:tblGrid>
      <w:tr w:rsidR="000430A5" w:rsidRPr="00110AE6" w14:paraId="4EAA08AC" w14:textId="77777777" w:rsidTr="00E916AE">
        <w:trPr>
          <w:trHeight w:val="300"/>
          <w:jc w:val="right"/>
        </w:trPr>
        <w:tc>
          <w:tcPr>
            <w:tcW w:w="4844" w:type="dxa"/>
            <w:gridSpan w:val="2"/>
            <w:tcBorders>
              <w:top w:val="single" w:sz="4" w:space="0" w:color="auto"/>
              <w:bottom w:val="single" w:sz="12" w:space="0" w:color="auto"/>
            </w:tcBorders>
            <w:shd w:val="clear" w:color="auto" w:fill="auto"/>
            <w:noWrap/>
            <w:vAlign w:val="bottom"/>
          </w:tcPr>
          <w:p w14:paraId="0BA64FBC" w14:textId="4B465627" w:rsidR="000430A5" w:rsidRPr="00110AE6" w:rsidRDefault="000430A5" w:rsidP="00ED1FB1">
            <w:pPr>
              <w:spacing w:before="40" w:after="40"/>
              <w:rPr>
                <w:bCs/>
                <w:i/>
                <w:noProof/>
                <w:color w:val="000000"/>
                <w:sz w:val="18"/>
                <w:szCs w:val="18"/>
                <w:lang w:val="fr-FR"/>
              </w:rPr>
            </w:pPr>
            <w:r w:rsidRPr="00110AE6">
              <w:rPr>
                <w:i/>
                <w:iCs/>
                <w:noProof/>
                <w:sz w:val="18"/>
                <w:szCs w:val="18"/>
                <w:lang w:val="fr-FR"/>
              </w:rPr>
              <w:t>Secrétariat de la Convention de Minamata – Genève</w:t>
            </w:r>
          </w:p>
        </w:tc>
        <w:tc>
          <w:tcPr>
            <w:tcW w:w="2305" w:type="dxa"/>
            <w:tcBorders>
              <w:top w:val="single" w:sz="4" w:space="0" w:color="auto"/>
              <w:bottom w:val="single" w:sz="12" w:space="0" w:color="auto"/>
            </w:tcBorders>
            <w:shd w:val="clear" w:color="auto" w:fill="auto"/>
            <w:noWrap/>
            <w:vAlign w:val="bottom"/>
            <w:hideMark/>
          </w:tcPr>
          <w:p w14:paraId="064D84D7" w14:textId="77777777" w:rsidR="000430A5" w:rsidRPr="00110AE6" w:rsidRDefault="000430A5" w:rsidP="00ED1FB1">
            <w:pPr>
              <w:spacing w:before="40" w:after="40"/>
              <w:rPr>
                <w:b/>
                <w:bCs/>
                <w:noProof/>
                <w:color w:val="000000"/>
                <w:sz w:val="18"/>
                <w:szCs w:val="18"/>
                <w:lang w:val="fr-FR" w:eastAsia="zh-TW"/>
              </w:rPr>
            </w:pPr>
          </w:p>
        </w:tc>
        <w:tc>
          <w:tcPr>
            <w:tcW w:w="1186" w:type="dxa"/>
            <w:tcBorders>
              <w:top w:val="single" w:sz="4" w:space="0" w:color="auto"/>
              <w:bottom w:val="single" w:sz="12" w:space="0" w:color="auto"/>
            </w:tcBorders>
            <w:shd w:val="clear" w:color="auto" w:fill="auto"/>
            <w:noWrap/>
            <w:vAlign w:val="bottom"/>
            <w:hideMark/>
          </w:tcPr>
          <w:p w14:paraId="66EDDFA7" w14:textId="77777777" w:rsidR="000430A5" w:rsidRPr="00110AE6" w:rsidRDefault="000430A5" w:rsidP="00ED1FB1">
            <w:pPr>
              <w:spacing w:before="40" w:after="40"/>
              <w:rPr>
                <w:noProof/>
                <w:sz w:val="18"/>
                <w:szCs w:val="18"/>
                <w:lang w:val="fr-FR" w:eastAsia="zh-TW"/>
              </w:rPr>
            </w:pPr>
          </w:p>
        </w:tc>
      </w:tr>
      <w:tr w:rsidR="000430A5" w:rsidRPr="00110AE6" w14:paraId="4C7DF7B6" w14:textId="77777777" w:rsidTr="00E916AE">
        <w:trPr>
          <w:trHeight w:val="300"/>
          <w:jc w:val="right"/>
        </w:trPr>
        <w:tc>
          <w:tcPr>
            <w:tcW w:w="3658" w:type="dxa"/>
            <w:tcBorders>
              <w:top w:val="single" w:sz="12" w:space="0" w:color="auto"/>
              <w:bottom w:val="single" w:sz="4" w:space="0" w:color="auto"/>
            </w:tcBorders>
            <w:shd w:val="clear" w:color="auto" w:fill="auto"/>
            <w:noWrap/>
            <w:vAlign w:val="bottom"/>
            <w:hideMark/>
          </w:tcPr>
          <w:p w14:paraId="6C1B83C0" w14:textId="64640386" w:rsidR="000430A5" w:rsidRPr="00110AE6" w:rsidRDefault="000430A5" w:rsidP="00ED1FB1">
            <w:pPr>
              <w:spacing w:before="40" w:after="40"/>
              <w:jc w:val="center"/>
              <w:rPr>
                <w:b/>
                <w:bCs/>
                <w:noProof/>
                <w:color w:val="000000"/>
                <w:sz w:val="18"/>
                <w:szCs w:val="18"/>
                <w:lang w:val="fr-FR"/>
              </w:rPr>
            </w:pPr>
            <w:r w:rsidRPr="00110AE6">
              <w:rPr>
                <w:b/>
                <w:bCs/>
                <w:noProof/>
                <w:sz w:val="18"/>
                <w:szCs w:val="18"/>
                <w:lang w:val="fr-FR"/>
              </w:rPr>
              <w:t>Poste</w:t>
            </w:r>
          </w:p>
        </w:tc>
        <w:tc>
          <w:tcPr>
            <w:tcW w:w="1186" w:type="dxa"/>
            <w:tcBorders>
              <w:top w:val="single" w:sz="12" w:space="0" w:color="auto"/>
              <w:bottom w:val="single" w:sz="4" w:space="0" w:color="auto"/>
            </w:tcBorders>
            <w:shd w:val="clear" w:color="auto" w:fill="auto"/>
            <w:noWrap/>
            <w:vAlign w:val="bottom"/>
            <w:hideMark/>
          </w:tcPr>
          <w:p w14:paraId="769A51B6" w14:textId="2729BF8F" w:rsidR="000430A5" w:rsidRPr="00110AE6" w:rsidRDefault="006A139C" w:rsidP="00ED1FB1">
            <w:pPr>
              <w:spacing w:before="40" w:after="40"/>
              <w:jc w:val="right"/>
              <w:rPr>
                <w:b/>
                <w:bCs/>
                <w:noProof/>
                <w:color w:val="000000"/>
                <w:sz w:val="18"/>
                <w:szCs w:val="18"/>
                <w:lang w:val="fr-FR"/>
              </w:rPr>
            </w:pPr>
            <w:r w:rsidRPr="00110AE6">
              <w:rPr>
                <w:b/>
                <w:bCs/>
                <w:noProof/>
                <w:sz w:val="18"/>
                <w:szCs w:val="18"/>
                <w:lang w:val="fr-FR"/>
              </w:rPr>
              <w:t>Nombre de postes</w:t>
            </w:r>
          </w:p>
        </w:tc>
        <w:tc>
          <w:tcPr>
            <w:tcW w:w="2305" w:type="dxa"/>
            <w:tcBorders>
              <w:top w:val="single" w:sz="12" w:space="0" w:color="auto"/>
              <w:bottom w:val="single" w:sz="4" w:space="0" w:color="auto"/>
            </w:tcBorders>
            <w:shd w:val="clear" w:color="auto" w:fill="auto"/>
            <w:noWrap/>
            <w:vAlign w:val="bottom"/>
            <w:hideMark/>
          </w:tcPr>
          <w:p w14:paraId="193DA1CA" w14:textId="565AEB50" w:rsidR="006A139C" w:rsidRPr="00110AE6" w:rsidRDefault="000430A5" w:rsidP="006A139C">
            <w:pPr>
              <w:spacing w:before="40" w:after="40"/>
              <w:jc w:val="right"/>
              <w:rPr>
                <w:b/>
                <w:bCs/>
                <w:noProof/>
                <w:color w:val="000000"/>
                <w:sz w:val="18"/>
                <w:szCs w:val="18"/>
                <w:lang w:val="fr-FR"/>
              </w:rPr>
            </w:pPr>
            <w:r w:rsidRPr="00110AE6">
              <w:rPr>
                <w:b/>
                <w:bCs/>
                <w:noProof/>
                <w:sz w:val="18"/>
                <w:szCs w:val="18"/>
                <w:lang w:val="fr-FR"/>
              </w:rPr>
              <w:t>Coûts standard afférents aux postes applicables à</w:t>
            </w:r>
            <w:r w:rsidR="003A0769" w:rsidRPr="00110AE6">
              <w:rPr>
                <w:b/>
                <w:bCs/>
                <w:noProof/>
                <w:sz w:val="18"/>
                <w:szCs w:val="18"/>
                <w:lang w:val="fr-FR"/>
              </w:rPr>
              <w:t> </w:t>
            </w:r>
            <w:r w:rsidRPr="00110AE6">
              <w:rPr>
                <w:b/>
                <w:bCs/>
                <w:noProof/>
                <w:sz w:val="18"/>
                <w:szCs w:val="18"/>
                <w:lang w:val="fr-FR"/>
              </w:rPr>
              <w:t>Genève</w:t>
            </w:r>
          </w:p>
        </w:tc>
        <w:tc>
          <w:tcPr>
            <w:tcW w:w="1186" w:type="dxa"/>
            <w:tcBorders>
              <w:top w:val="single" w:sz="12" w:space="0" w:color="auto"/>
              <w:bottom w:val="single" w:sz="4" w:space="0" w:color="auto"/>
            </w:tcBorders>
            <w:shd w:val="clear" w:color="auto" w:fill="auto"/>
            <w:noWrap/>
            <w:vAlign w:val="bottom"/>
            <w:hideMark/>
          </w:tcPr>
          <w:p w14:paraId="6C7480CC" w14:textId="2B4371EE" w:rsidR="006A139C" w:rsidRPr="00110AE6" w:rsidRDefault="000430A5" w:rsidP="00ED1FB1">
            <w:pPr>
              <w:spacing w:before="40" w:after="40"/>
              <w:jc w:val="right"/>
              <w:rPr>
                <w:b/>
                <w:bCs/>
                <w:noProof/>
                <w:color w:val="000000"/>
                <w:sz w:val="18"/>
                <w:szCs w:val="18"/>
                <w:lang w:val="fr-FR"/>
              </w:rPr>
            </w:pPr>
            <w:r w:rsidRPr="00110AE6">
              <w:rPr>
                <w:b/>
                <w:bCs/>
                <w:noProof/>
                <w:sz w:val="18"/>
                <w:szCs w:val="18"/>
                <w:lang w:val="fr-FR"/>
              </w:rPr>
              <w:t>Total</w:t>
            </w:r>
          </w:p>
        </w:tc>
      </w:tr>
      <w:tr w:rsidR="000430A5" w:rsidRPr="00110AE6" w14:paraId="2016E148" w14:textId="77777777" w:rsidTr="00E916AE">
        <w:trPr>
          <w:trHeight w:val="300"/>
          <w:jc w:val="right"/>
        </w:trPr>
        <w:tc>
          <w:tcPr>
            <w:tcW w:w="3658" w:type="dxa"/>
            <w:tcBorders>
              <w:top w:val="single" w:sz="4" w:space="0" w:color="auto"/>
            </w:tcBorders>
            <w:shd w:val="clear" w:color="auto" w:fill="auto"/>
            <w:noWrap/>
            <w:vAlign w:val="bottom"/>
            <w:hideMark/>
          </w:tcPr>
          <w:p w14:paraId="1794E6A6" w14:textId="42A0C907" w:rsidR="000430A5" w:rsidRPr="00110AE6" w:rsidRDefault="000430A5" w:rsidP="00ED1FB1">
            <w:pPr>
              <w:spacing w:before="40" w:after="40"/>
              <w:rPr>
                <w:noProof/>
                <w:color w:val="000000"/>
                <w:sz w:val="18"/>
                <w:szCs w:val="18"/>
                <w:lang w:val="fr-FR"/>
              </w:rPr>
            </w:pPr>
            <w:r w:rsidRPr="00110AE6">
              <w:rPr>
                <w:noProof/>
                <w:sz w:val="18"/>
                <w:szCs w:val="18"/>
                <w:lang w:val="fr-FR"/>
              </w:rPr>
              <w:t>D-1 Secrétaire exécutif(ve)</w:t>
            </w:r>
          </w:p>
        </w:tc>
        <w:tc>
          <w:tcPr>
            <w:tcW w:w="1186" w:type="dxa"/>
            <w:tcBorders>
              <w:top w:val="single" w:sz="4" w:space="0" w:color="auto"/>
            </w:tcBorders>
            <w:shd w:val="clear" w:color="auto" w:fill="auto"/>
            <w:noWrap/>
            <w:vAlign w:val="bottom"/>
            <w:hideMark/>
          </w:tcPr>
          <w:p w14:paraId="46612680" w14:textId="2D4CE39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w:t>
            </w:r>
          </w:p>
        </w:tc>
        <w:tc>
          <w:tcPr>
            <w:tcW w:w="2305" w:type="dxa"/>
            <w:tcBorders>
              <w:top w:val="single" w:sz="4" w:space="0" w:color="auto"/>
            </w:tcBorders>
            <w:shd w:val="clear" w:color="auto" w:fill="auto"/>
            <w:noWrap/>
            <w:vAlign w:val="bottom"/>
            <w:hideMark/>
          </w:tcPr>
          <w:p w14:paraId="180EDF2F" w14:textId="6A05C8B9" w:rsidR="000430A5" w:rsidRPr="00110AE6" w:rsidRDefault="007135AC" w:rsidP="00ED1FB1">
            <w:pPr>
              <w:spacing w:before="40" w:after="40"/>
              <w:jc w:val="right"/>
              <w:rPr>
                <w:noProof/>
                <w:color w:val="000000"/>
                <w:sz w:val="18"/>
                <w:szCs w:val="18"/>
                <w:lang w:val="fr-FR"/>
              </w:rPr>
            </w:pPr>
            <w:r w:rsidRPr="00110AE6">
              <w:rPr>
                <w:noProof/>
                <w:sz w:val="18"/>
                <w:szCs w:val="18"/>
                <w:lang w:val="fr-FR"/>
              </w:rPr>
              <w:t>290 </w:t>
            </w:r>
            <w:r w:rsidR="000430A5" w:rsidRPr="00110AE6">
              <w:rPr>
                <w:noProof/>
                <w:sz w:val="18"/>
                <w:szCs w:val="18"/>
                <w:lang w:val="fr-FR"/>
              </w:rPr>
              <w:t>100</w:t>
            </w:r>
          </w:p>
        </w:tc>
        <w:tc>
          <w:tcPr>
            <w:tcW w:w="1186" w:type="dxa"/>
            <w:tcBorders>
              <w:top w:val="single" w:sz="4" w:space="0" w:color="auto"/>
            </w:tcBorders>
            <w:shd w:val="clear" w:color="auto" w:fill="auto"/>
            <w:noWrap/>
            <w:vAlign w:val="bottom"/>
            <w:hideMark/>
          </w:tcPr>
          <w:p w14:paraId="0D94CA05"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290 100</w:t>
            </w:r>
          </w:p>
        </w:tc>
      </w:tr>
      <w:tr w:rsidR="000430A5" w:rsidRPr="00110AE6" w14:paraId="1B065079" w14:textId="77777777" w:rsidTr="00E916AE">
        <w:trPr>
          <w:trHeight w:val="300"/>
          <w:jc w:val="right"/>
        </w:trPr>
        <w:tc>
          <w:tcPr>
            <w:tcW w:w="3658" w:type="dxa"/>
            <w:shd w:val="clear" w:color="auto" w:fill="auto"/>
            <w:noWrap/>
            <w:vAlign w:val="bottom"/>
            <w:hideMark/>
          </w:tcPr>
          <w:p w14:paraId="28CD5B3A" w14:textId="79C3EDB8" w:rsidR="000430A5" w:rsidRPr="00110AE6" w:rsidRDefault="000430A5" w:rsidP="00ED1FB1">
            <w:pPr>
              <w:spacing w:before="40" w:after="40"/>
              <w:rPr>
                <w:noProof/>
                <w:color w:val="000000"/>
                <w:sz w:val="18"/>
                <w:szCs w:val="18"/>
                <w:lang w:val="fr-FR"/>
              </w:rPr>
            </w:pPr>
            <w:r w:rsidRPr="00110AE6">
              <w:rPr>
                <w:noProof/>
                <w:sz w:val="18"/>
                <w:szCs w:val="18"/>
                <w:lang w:val="fr-FR"/>
              </w:rPr>
              <w:t>P-5 Coordination et politique générale</w:t>
            </w:r>
          </w:p>
        </w:tc>
        <w:tc>
          <w:tcPr>
            <w:tcW w:w="1186" w:type="dxa"/>
            <w:shd w:val="clear" w:color="auto" w:fill="auto"/>
            <w:noWrap/>
            <w:vAlign w:val="bottom"/>
            <w:hideMark/>
          </w:tcPr>
          <w:p w14:paraId="69319244" w14:textId="6C83B230" w:rsidR="000430A5" w:rsidRPr="00110AE6" w:rsidRDefault="000430A5" w:rsidP="00ED1FB1">
            <w:pPr>
              <w:spacing w:before="40" w:after="40"/>
              <w:jc w:val="right"/>
              <w:rPr>
                <w:noProof/>
                <w:color w:val="000000"/>
                <w:sz w:val="18"/>
                <w:szCs w:val="18"/>
                <w:lang w:val="fr-FR"/>
              </w:rPr>
            </w:pPr>
            <w:r w:rsidRPr="00110AE6">
              <w:rPr>
                <w:noProof/>
                <w:sz w:val="18"/>
                <w:szCs w:val="18"/>
                <w:lang w:val="fr-FR"/>
              </w:rPr>
              <w:t>1</w:t>
            </w:r>
          </w:p>
        </w:tc>
        <w:tc>
          <w:tcPr>
            <w:tcW w:w="2305" w:type="dxa"/>
            <w:shd w:val="clear" w:color="auto" w:fill="auto"/>
            <w:noWrap/>
            <w:vAlign w:val="bottom"/>
            <w:hideMark/>
          </w:tcPr>
          <w:p w14:paraId="2DC51E82"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257 150</w:t>
            </w:r>
          </w:p>
        </w:tc>
        <w:tc>
          <w:tcPr>
            <w:tcW w:w="1186" w:type="dxa"/>
            <w:shd w:val="clear" w:color="auto" w:fill="auto"/>
            <w:noWrap/>
            <w:vAlign w:val="bottom"/>
            <w:hideMark/>
          </w:tcPr>
          <w:p w14:paraId="7E3038F7"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257 150</w:t>
            </w:r>
          </w:p>
        </w:tc>
      </w:tr>
      <w:tr w:rsidR="000430A5" w:rsidRPr="00110AE6" w14:paraId="01584753" w14:textId="77777777" w:rsidTr="00E916AE">
        <w:trPr>
          <w:trHeight w:val="300"/>
          <w:jc w:val="right"/>
        </w:trPr>
        <w:tc>
          <w:tcPr>
            <w:tcW w:w="3658" w:type="dxa"/>
            <w:shd w:val="clear" w:color="auto" w:fill="auto"/>
            <w:noWrap/>
            <w:vAlign w:val="bottom"/>
            <w:hideMark/>
          </w:tcPr>
          <w:p w14:paraId="5C49E56E" w14:textId="1357CF81" w:rsidR="000430A5" w:rsidRPr="00110AE6" w:rsidRDefault="000430A5" w:rsidP="00ED1FB1">
            <w:pPr>
              <w:spacing w:before="40" w:after="40"/>
              <w:rPr>
                <w:noProof/>
                <w:color w:val="000000"/>
                <w:sz w:val="18"/>
                <w:szCs w:val="18"/>
                <w:lang w:val="fr-FR"/>
              </w:rPr>
            </w:pPr>
            <w:r w:rsidRPr="00110AE6">
              <w:rPr>
                <w:noProof/>
                <w:sz w:val="18"/>
                <w:szCs w:val="18"/>
                <w:lang w:val="fr-FR"/>
              </w:rPr>
              <w:t>P-4 Science et technologie</w:t>
            </w:r>
          </w:p>
        </w:tc>
        <w:tc>
          <w:tcPr>
            <w:tcW w:w="1186" w:type="dxa"/>
            <w:shd w:val="clear" w:color="auto" w:fill="auto"/>
            <w:noWrap/>
            <w:vAlign w:val="bottom"/>
            <w:hideMark/>
          </w:tcPr>
          <w:p w14:paraId="19F3A500" w14:textId="2AC0494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w:t>
            </w:r>
          </w:p>
        </w:tc>
        <w:tc>
          <w:tcPr>
            <w:tcW w:w="2305" w:type="dxa"/>
            <w:shd w:val="clear" w:color="auto" w:fill="auto"/>
            <w:noWrap/>
            <w:vAlign w:val="bottom"/>
            <w:hideMark/>
          </w:tcPr>
          <w:p w14:paraId="330DA407"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221 150</w:t>
            </w:r>
          </w:p>
        </w:tc>
        <w:tc>
          <w:tcPr>
            <w:tcW w:w="1186" w:type="dxa"/>
            <w:shd w:val="clear" w:color="auto" w:fill="auto"/>
            <w:noWrap/>
            <w:vAlign w:val="bottom"/>
            <w:hideMark/>
          </w:tcPr>
          <w:p w14:paraId="2D5A6EC5"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221 150</w:t>
            </w:r>
          </w:p>
        </w:tc>
      </w:tr>
      <w:tr w:rsidR="000430A5" w:rsidRPr="00110AE6" w14:paraId="63A95228" w14:textId="77777777" w:rsidTr="00E916AE">
        <w:trPr>
          <w:trHeight w:val="300"/>
          <w:jc w:val="right"/>
        </w:trPr>
        <w:tc>
          <w:tcPr>
            <w:tcW w:w="3658" w:type="dxa"/>
            <w:shd w:val="clear" w:color="auto" w:fill="auto"/>
            <w:noWrap/>
            <w:vAlign w:val="bottom"/>
            <w:hideMark/>
          </w:tcPr>
          <w:p w14:paraId="32B4E0C4" w14:textId="2DC7F239" w:rsidR="000430A5" w:rsidRPr="00110AE6" w:rsidRDefault="000430A5" w:rsidP="00ED1FB1">
            <w:pPr>
              <w:spacing w:before="40" w:after="40"/>
              <w:rPr>
                <w:noProof/>
                <w:color w:val="000000"/>
                <w:sz w:val="18"/>
                <w:szCs w:val="18"/>
                <w:lang w:val="fr-FR"/>
              </w:rPr>
            </w:pPr>
            <w:r w:rsidRPr="00110AE6">
              <w:rPr>
                <w:noProof/>
                <w:sz w:val="18"/>
                <w:szCs w:val="18"/>
                <w:lang w:val="fr-FR"/>
              </w:rPr>
              <w:t xml:space="preserve">P-4 Renforcement des capacités et assistance technique </w:t>
            </w:r>
          </w:p>
        </w:tc>
        <w:tc>
          <w:tcPr>
            <w:tcW w:w="1186" w:type="dxa"/>
            <w:shd w:val="clear" w:color="auto" w:fill="auto"/>
            <w:noWrap/>
            <w:vAlign w:val="bottom"/>
            <w:hideMark/>
          </w:tcPr>
          <w:p w14:paraId="601FA016" w14:textId="6AA44ED8" w:rsidR="000430A5" w:rsidRPr="00110AE6" w:rsidRDefault="000430A5" w:rsidP="00ED1FB1">
            <w:pPr>
              <w:spacing w:before="40" w:after="40"/>
              <w:jc w:val="right"/>
              <w:rPr>
                <w:noProof/>
                <w:color w:val="000000"/>
                <w:sz w:val="18"/>
                <w:szCs w:val="18"/>
                <w:lang w:val="fr-FR"/>
              </w:rPr>
            </w:pPr>
            <w:r w:rsidRPr="00110AE6">
              <w:rPr>
                <w:noProof/>
                <w:sz w:val="18"/>
                <w:szCs w:val="18"/>
                <w:lang w:val="fr-FR"/>
              </w:rPr>
              <w:t>1</w:t>
            </w:r>
          </w:p>
        </w:tc>
        <w:tc>
          <w:tcPr>
            <w:tcW w:w="2305" w:type="dxa"/>
            <w:shd w:val="clear" w:color="auto" w:fill="auto"/>
            <w:noWrap/>
            <w:vAlign w:val="bottom"/>
            <w:hideMark/>
          </w:tcPr>
          <w:p w14:paraId="384D4C03"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221 150</w:t>
            </w:r>
          </w:p>
        </w:tc>
        <w:tc>
          <w:tcPr>
            <w:tcW w:w="1186" w:type="dxa"/>
            <w:shd w:val="clear" w:color="auto" w:fill="auto"/>
            <w:noWrap/>
            <w:vAlign w:val="bottom"/>
            <w:hideMark/>
          </w:tcPr>
          <w:p w14:paraId="0869F359"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221 150</w:t>
            </w:r>
          </w:p>
        </w:tc>
      </w:tr>
      <w:tr w:rsidR="000430A5" w:rsidRPr="00110AE6" w14:paraId="799CE6D8" w14:textId="77777777" w:rsidTr="00E916AE">
        <w:trPr>
          <w:trHeight w:val="300"/>
          <w:jc w:val="right"/>
        </w:trPr>
        <w:tc>
          <w:tcPr>
            <w:tcW w:w="3658" w:type="dxa"/>
            <w:shd w:val="clear" w:color="auto" w:fill="auto"/>
            <w:noWrap/>
            <w:vAlign w:val="bottom"/>
            <w:hideMark/>
          </w:tcPr>
          <w:p w14:paraId="71C1A48A" w14:textId="77777777" w:rsidR="000430A5" w:rsidRPr="00110AE6" w:rsidRDefault="000430A5" w:rsidP="00ED1FB1">
            <w:pPr>
              <w:spacing w:before="40" w:after="40"/>
              <w:rPr>
                <w:noProof/>
                <w:color w:val="000000"/>
                <w:sz w:val="18"/>
                <w:szCs w:val="18"/>
                <w:lang w:val="fr-FR"/>
              </w:rPr>
            </w:pPr>
            <w:r w:rsidRPr="00110AE6">
              <w:rPr>
                <w:noProof/>
                <w:sz w:val="18"/>
                <w:szCs w:val="18"/>
                <w:lang w:val="fr-FR"/>
              </w:rPr>
              <w:t>P-3 Communication et gestion des connaissances</w:t>
            </w:r>
          </w:p>
        </w:tc>
        <w:tc>
          <w:tcPr>
            <w:tcW w:w="1186" w:type="dxa"/>
            <w:shd w:val="clear" w:color="auto" w:fill="auto"/>
            <w:noWrap/>
            <w:vAlign w:val="bottom"/>
            <w:hideMark/>
          </w:tcPr>
          <w:p w14:paraId="2CD2446F" w14:textId="3C71A204" w:rsidR="000430A5" w:rsidRPr="00110AE6" w:rsidRDefault="000430A5" w:rsidP="00ED1FB1">
            <w:pPr>
              <w:spacing w:before="40" w:after="40"/>
              <w:jc w:val="right"/>
              <w:rPr>
                <w:noProof/>
                <w:color w:val="000000"/>
                <w:sz w:val="18"/>
                <w:szCs w:val="18"/>
                <w:lang w:val="fr-FR"/>
              </w:rPr>
            </w:pPr>
            <w:r w:rsidRPr="00110AE6">
              <w:rPr>
                <w:noProof/>
                <w:sz w:val="18"/>
                <w:szCs w:val="18"/>
                <w:lang w:val="fr-FR"/>
              </w:rPr>
              <w:t>1</w:t>
            </w:r>
          </w:p>
        </w:tc>
        <w:tc>
          <w:tcPr>
            <w:tcW w:w="2305" w:type="dxa"/>
            <w:shd w:val="clear" w:color="auto" w:fill="auto"/>
            <w:noWrap/>
            <w:vAlign w:val="bottom"/>
            <w:hideMark/>
          </w:tcPr>
          <w:p w14:paraId="19982B5F"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182 900</w:t>
            </w:r>
          </w:p>
        </w:tc>
        <w:tc>
          <w:tcPr>
            <w:tcW w:w="1186" w:type="dxa"/>
            <w:shd w:val="clear" w:color="auto" w:fill="auto"/>
            <w:noWrap/>
            <w:vAlign w:val="bottom"/>
            <w:hideMark/>
          </w:tcPr>
          <w:p w14:paraId="7DC49534"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182 900</w:t>
            </w:r>
          </w:p>
        </w:tc>
      </w:tr>
      <w:tr w:rsidR="000430A5" w:rsidRPr="00110AE6" w14:paraId="7F4B0357" w14:textId="77777777" w:rsidTr="00E916AE">
        <w:trPr>
          <w:trHeight w:val="300"/>
          <w:jc w:val="right"/>
        </w:trPr>
        <w:tc>
          <w:tcPr>
            <w:tcW w:w="3658" w:type="dxa"/>
            <w:shd w:val="clear" w:color="auto" w:fill="auto"/>
            <w:noWrap/>
            <w:vAlign w:val="bottom"/>
            <w:hideMark/>
          </w:tcPr>
          <w:p w14:paraId="1350EF85" w14:textId="6E613C5B" w:rsidR="000430A5" w:rsidRPr="00110AE6" w:rsidRDefault="000430A5" w:rsidP="00ED1FB1">
            <w:pPr>
              <w:spacing w:before="40" w:after="40"/>
              <w:rPr>
                <w:noProof/>
                <w:color w:val="000000"/>
                <w:sz w:val="18"/>
                <w:szCs w:val="18"/>
                <w:lang w:val="fr-FR"/>
              </w:rPr>
            </w:pPr>
            <w:r w:rsidRPr="00110AE6">
              <w:rPr>
                <w:noProof/>
                <w:sz w:val="18"/>
                <w:szCs w:val="18"/>
                <w:lang w:val="fr-FR"/>
              </w:rPr>
              <w:t>P-3 Juriste/administrateur(trice) de programmes</w:t>
            </w:r>
          </w:p>
        </w:tc>
        <w:tc>
          <w:tcPr>
            <w:tcW w:w="1186" w:type="dxa"/>
            <w:shd w:val="clear" w:color="auto" w:fill="auto"/>
            <w:noWrap/>
            <w:vAlign w:val="bottom"/>
            <w:hideMark/>
          </w:tcPr>
          <w:p w14:paraId="23018F52" w14:textId="23556526" w:rsidR="000430A5" w:rsidRPr="00110AE6" w:rsidRDefault="000430A5" w:rsidP="00ED1FB1">
            <w:pPr>
              <w:spacing w:before="40" w:after="40"/>
              <w:jc w:val="right"/>
              <w:rPr>
                <w:noProof/>
                <w:color w:val="000000"/>
                <w:sz w:val="18"/>
                <w:szCs w:val="18"/>
                <w:lang w:val="fr-FR"/>
              </w:rPr>
            </w:pPr>
            <w:r w:rsidRPr="00110AE6">
              <w:rPr>
                <w:noProof/>
                <w:sz w:val="18"/>
                <w:szCs w:val="18"/>
                <w:lang w:val="fr-FR"/>
              </w:rPr>
              <w:t>1</w:t>
            </w:r>
          </w:p>
        </w:tc>
        <w:tc>
          <w:tcPr>
            <w:tcW w:w="2305" w:type="dxa"/>
            <w:shd w:val="clear" w:color="auto" w:fill="auto"/>
            <w:noWrap/>
            <w:vAlign w:val="bottom"/>
            <w:hideMark/>
          </w:tcPr>
          <w:p w14:paraId="0DE3F3A4"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182 900</w:t>
            </w:r>
          </w:p>
        </w:tc>
        <w:tc>
          <w:tcPr>
            <w:tcW w:w="1186" w:type="dxa"/>
            <w:shd w:val="clear" w:color="auto" w:fill="auto"/>
            <w:noWrap/>
            <w:vAlign w:val="bottom"/>
            <w:hideMark/>
          </w:tcPr>
          <w:p w14:paraId="7D068C8D"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182 900</w:t>
            </w:r>
          </w:p>
        </w:tc>
      </w:tr>
      <w:tr w:rsidR="000430A5" w:rsidRPr="00110AE6" w14:paraId="0B5DAD5C" w14:textId="77777777" w:rsidTr="00E916AE">
        <w:trPr>
          <w:trHeight w:val="300"/>
          <w:jc w:val="right"/>
        </w:trPr>
        <w:tc>
          <w:tcPr>
            <w:tcW w:w="3658" w:type="dxa"/>
            <w:tcBorders>
              <w:bottom w:val="single" w:sz="4" w:space="0" w:color="auto"/>
            </w:tcBorders>
            <w:shd w:val="clear" w:color="auto" w:fill="auto"/>
            <w:noWrap/>
            <w:vAlign w:val="bottom"/>
            <w:hideMark/>
          </w:tcPr>
          <w:p w14:paraId="7BCC2633" w14:textId="77777777" w:rsidR="000430A5" w:rsidRPr="00110AE6" w:rsidRDefault="000430A5" w:rsidP="00ED1FB1">
            <w:pPr>
              <w:spacing w:before="40" w:after="40"/>
              <w:rPr>
                <w:noProof/>
                <w:color w:val="000000"/>
                <w:sz w:val="18"/>
                <w:szCs w:val="18"/>
                <w:lang w:val="fr-FR"/>
              </w:rPr>
            </w:pPr>
            <w:r w:rsidRPr="00110AE6">
              <w:rPr>
                <w:noProof/>
                <w:sz w:val="18"/>
                <w:szCs w:val="18"/>
                <w:lang w:val="fr-FR"/>
              </w:rPr>
              <w:t>G Assistant(e) (programmes)</w:t>
            </w:r>
          </w:p>
        </w:tc>
        <w:tc>
          <w:tcPr>
            <w:tcW w:w="1186" w:type="dxa"/>
            <w:tcBorders>
              <w:bottom w:val="single" w:sz="4" w:space="0" w:color="auto"/>
            </w:tcBorders>
            <w:shd w:val="clear" w:color="auto" w:fill="auto"/>
            <w:noWrap/>
            <w:vAlign w:val="bottom"/>
            <w:hideMark/>
          </w:tcPr>
          <w:p w14:paraId="61E26DA2" w14:textId="1E162079" w:rsidR="000430A5" w:rsidRPr="00110AE6" w:rsidRDefault="000430A5" w:rsidP="00ED1FB1">
            <w:pPr>
              <w:spacing w:before="40" w:after="40"/>
              <w:jc w:val="right"/>
              <w:rPr>
                <w:noProof/>
                <w:color w:val="000000"/>
                <w:sz w:val="18"/>
                <w:szCs w:val="18"/>
                <w:lang w:val="fr-FR"/>
              </w:rPr>
            </w:pPr>
            <w:r w:rsidRPr="00110AE6">
              <w:rPr>
                <w:noProof/>
                <w:sz w:val="18"/>
                <w:szCs w:val="18"/>
                <w:lang w:val="fr-FR"/>
              </w:rPr>
              <w:t>4</w:t>
            </w:r>
          </w:p>
        </w:tc>
        <w:tc>
          <w:tcPr>
            <w:tcW w:w="2305" w:type="dxa"/>
            <w:tcBorders>
              <w:bottom w:val="single" w:sz="4" w:space="0" w:color="auto"/>
            </w:tcBorders>
            <w:shd w:val="clear" w:color="auto" w:fill="auto"/>
            <w:noWrap/>
            <w:vAlign w:val="bottom"/>
            <w:hideMark/>
          </w:tcPr>
          <w:p w14:paraId="4694CA79"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143 900</w:t>
            </w:r>
          </w:p>
        </w:tc>
        <w:tc>
          <w:tcPr>
            <w:tcW w:w="1186" w:type="dxa"/>
            <w:tcBorders>
              <w:bottom w:val="single" w:sz="4" w:space="0" w:color="auto"/>
            </w:tcBorders>
            <w:shd w:val="clear" w:color="auto" w:fill="auto"/>
            <w:noWrap/>
            <w:vAlign w:val="bottom"/>
            <w:hideMark/>
          </w:tcPr>
          <w:p w14:paraId="55287001" w14:textId="77777777" w:rsidR="000430A5" w:rsidRPr="00110AE6" w:rsidRDefault="000430A5" w:rsidP="00ED1FB1">
            <w:pPr>
              <w:spacing w:before="40" w:after="40"/>
              <w:jc w:val="right"/>
              <w:rPr>
                <w:noProof/>
                <w:color w:val="000000"/>
                <w:sz w:val="18"/>
                <w:szCs w:val="18"/>
                <w:lang w:val="fr-FR"/>
              </w:rPr>
            </w:pPr>
            <w:r w:rsidRPr="00110AE6">
              <w:rPr>
                <w:noProof/>
                <w:sz w:val="18"/>
                <w:szCs w:val="18"/>
                <w:lang w:val="fr-FR"/>
              </w:rPr>
              <w:t>575 600</w:t>
            </w:r>
          </w:p>
        </w:tc>
      </w:tr>
      <w:tr w:rsidR="000430A5" w:rsidRPr="00110AE6" w14:paraId="68A856C6" w14:textId="77777777" w:rsidTr="00E916AE">
        <w:trPr>
          <w:trHeight w:val="300"/>
          <w:jc w:val="right"/>
        </w:trPr>
        <w:tc>
          <w:tcPr>
            <w:tcW w:w="3658" w:type="dxa"/>
            <w:tcBorders>
              <w:top w:val="single" w:sz="4" w:space="0" w:color="auto"/>
              <w:bottom w:val="single" w:sz="12" w:space="0" w:color="auto"/>
            </w:tcBorders>
            <w:shd w:val="clear" w:color="auto" w:fill="auto"/>
            <w:noWrap/>
            <w:vAlign w:val="bottom"/>
            <w:hideMark/>
          </w:tcPr>
          <w:p w14:paraId="23D0517B" w14:textId="77777777" w:rsidR="000430A5" w:rsidRPr="00110AE6" w:rsidRDefault="000430A5" w:rsidP="00ED1FB1">
            <w:pPr>
              <w:spacing w:before="40" w:after="40"/>
              <w:rPr>
                <w:b/>
                <w:bCs/>
                <w:noProof/>
                <w:color w:val="000000"/>
                <w:sz w:val="18"/>
                <w:szCs w:val="18"/>
                <w:lang w:val="fr-FR"/>
              </w:rPr>
            </w:pPr>
            <w:r w:rsidRPr="00110AE6">
              <w:rPr>
                <w:b/>
                <w:bCs/>
                <w:noProof/>
                <w:sz w:val="18"/>
                <w:szCs w:val="18"/>
                <w:lang w:val="fr-FR"/>
              </w:rPr>
              <w:t>Total</w:t>
            </w:r>
          </w:p>
        </w:tc>
        <w:tc>
          <w:tcPr>
            <w:tcW w:w="1186" w:type="dxa"/>
            <w:tcBorders>
              <w:top w:val="single" w:sz="4" w:space="0" w:color="auto"/>
              <w:bottom w:val="single" w:sz="12" w:space="0" w:color="auto"/>
            </w:tcBorders>
            <w:shd w:val="clear" w:color="auto" w:fill="auto"/>
            <w:noWrap/>
            <w:vAlign w:val="bottom"/>
            <w:hideMark/>
          </w:tcPr>
          <w:p w14:paraId="09D291DC" w14:textId="51E8883D" w:rsidR="000430A5" w:rsidRPr="00110AE6" w:rsidRDefault="000430A5" w:rsidP="00ED1FB1">
            <w:pPr>
              <w:spacing w:before="40" w:after="40"/>
              <w:jc w:val="right"/>
              <w:rPr>
                <w:b/>
                <w:bCs/>
                <w:noProof/>
                <w:color w:val="000000"/>
                <w:sz w:val="18"/>
                <w:szCs w:val="18"/>
                <w:lang w:val="fr-FR"/>
              </w:rPr>
            </w:pPr>
            <w:r w:rsidRPr="00110AE6">
              <w:rPr>
                <w:b/>
                <w:noProof/>
                <w:sz w:val="18"/>
                <w:szCs w:val="18"/>
                <w:lang w:val="fr-FR"/>
              </w:rPr>
              <w:t>10</w:t>
            </w:r>
          </w:p>
        </w:tc>
        <w:tc>
          <w:tcPr>
            <w:tcW w:w="2305" w:type="dxa"/>
            <w:tcBorders>
              <w:top w:val="single" w:sz="4" w:space="0" w:color="auto"/>
              <w:bottom w:val="single" w:sz="12" w:space="0" w:color="auto"/>
            </w:tcBorders>
            <w:shd w:val="clear" w:color="auto" w:fill="auto"/>
            <w:noWrap/>
            <w:vAlign w:val="bottom"/>
            <w:hideMark/>
          </w:tcPr>
          <w:p w14:paraId="6E3264E8" w14:textId="77777777" w:rsidR="000430A5" w:rsidRPr="00110AE6" w:rsidRDefault="000430A5" w:rsidP="00ED1FB1">
            <w:pPr>
              <w:spacing w:before="40" w:after="40"/>
              <w:rPr>
                <w:b/>
                <w:noProof/>
                <w:color w:val="000000"/>
                <w:sz w:val="18"/>
                <w:szCs w:val="18"/>
                <w:lang w:val="fr-FR" w:eastAsia="zh-TW"/>
              </w:rPr>
            </w:pPr>
            <w:r w:rsidRPr="00110AE6">
              <w:rPr>
                <w:b/>
                <w:noProof/>
                <w:color w:val="000000"/>
                <w:sz w:val="18"/>
                <w:szCs w:val="18"/>
                <w:lang w:val="fr-FR" w:eastAsia="zh-TW"/>
              </w:rPr>
              <w:t> </w:t>
            </w:r>
          </w:p>
        </w:tc>
        <w:tc>
          <w:tcPr>
            <w:tcW w:w="1186" w:type="dxa"/>
            <w:tcBorders>
              <w:top w:val="single" w:sz="4" w:space="0" w:color="auto"/>
              <w:bottom w:val="single" w:sz="12" w:space="0" w:color="auto"/>
            </w:tcBorders>
            <w:shd w:val="clear" w:color="auto" w:fill="auto"/>
            <w:noWrap/>
            <w:vAlign w:val="bottom"/>
            <w:hideMark/>
          </w:tcPr>
          <w:p w14:paraId="1E561D22" w14:textId="77777777" w:rsidR="000430A5" w:rsidRPr="00110AE6" w:rsidRDefault="000430A5" w:rsidP="00ED1FB1">
            <w:pPr>
              <w:spacing w:before="40" w:after="40"/>
              <w:jc w:val="right"/>
              <w:rPr>
                <w:b/>
                <w:bCs/>
                <w:noProof/>
                <w:color w:val="000000"/>
                <w:sz w:val="18"/>
                <w:szCs w:val="18"/>
                <w:lang w:val="fr-FR"/>
              </w:rPr>
            </w:pPr>
            <w:r w:rsidRPr="00110AE6">
              <w:rPr>
                <w:b/>
                <w:noProof/>
                <w:sz w:val="18"/>
                <w:szCs w:val="18"/>
                <w:lang w:val="fr-FR"/>
              </w:rPr>
              <w:t>1 930 950</w:t>
            </w:r>
          </w:p>
        </w:tc>
      </w:tr>
    </w:tbl>
    <w:p w14:paraId="1D15D754" w14:textId="73417490" w:rsidR="000430A5" w:rsidRPr="00110AE6" w:rsidRDefault="000430A5" w:rsidP="007135AC">
      <w:pPr>
        <w:spacing w:before="40"/>
        <w:ind w:left="1484"/>
        <w:rPr>
          <w:noProof/>
          <w:sz w:val="16"/>
          <w:szCs w:val="16"/>
          <w:lang w:val="fr-FR"/>
        </w:rPr>
      </w:pPr>
      <w:r w:rsidRPr="00110AE6">
        <w:rPr>
          <w:i/>
          <w:iCs/>
          <w:noProof/>
          <w:sz w:val="16"/>
          <w:szCs w:val="16"/>
          <w:lang w:val="fr-FR"/>
        </w:rPr>
        <w:t>Note</w:t>
      </w:r>
      <w:r w:rsidRPr="00110AE6">
        <w:rPr>
          <w:noProof/>
          <w:sz w:val="16"/>
          <w:szCs w:val="16"/>
          <w:lang w:val="fr-FR"/>
        </w:rPr>
        <w:t xml:space="preserve"> : outre les effectifs indiqués ci-dessus, un poste P-3 et un poste d</w:t>
      </w:r>
      <w:r w:rsidR="00D05492" w:rsidRPr="00110AE6">
        <w:rPr>
          <w:noProof/>
          <w:sz w:val="16"/>
          <w:szCs w:val="16"/>
          <w:lang w:val="fr-FR"/>
        </w:rPr>
        <w:t>’</w:t>
      </w:r>
      <w:r w:rsidRPr="00110AE6">
        <w:rPr>
          <w:noProof/>
          <w:sz w:val="16"/>
          <w:szCs w:val="16"/>
          <w:lang w:val="fr-FR"/>
        </w:rPr>
        <w:t>agent des services généraux seront financés au moyen des crédits prévus au titre des dépenses d</w:t>
      </w:r>
      <w:r w:rsidR="00D05492" w:rsidRPr="00110AE6">
        <w:rPr>
          <w:noProof/>
          <w:sz w:val="16"/>
          <w:szCs w:val="16"/>
          <w:lang w:val="fr-FR"/>
        </w:rPr>
        <w:t>’</w:t>
      </w:r>
      <w:r w:rsidR="00D859F8" w:rsidRPr="00110AE6">
        <w:rPr>
          <w:noProof/>
          <w:sz w:val="16"/>
          <w:szCs w:val="16"/>
          <w:lang w:val="fr-FR"/>
        </w:rPr>
        <w:t>appui aux programmes.</w:t>
      </w:r>
    </w:p>
    <w:p w14:paraId="4324AC34" w14:textId="0AC43113" w:rsidR="00936E32" w:rsidRPr="00110AE6" w:rsidRDefault="007135AC" w:rsidP="00227CD4">
      <w:pPr>
        <w:pStyle w:val="Normalnumber"/>
        <w:spacing w:before="120"/>
        <w:rPr>
          <w:noProof/>
          <w:lang w:val="fr-FR"/>
        </w:rPr>
      </w:pPr>
      <w:r w:rsidRPr="00110AE6">
        <w:rPr>
          <w:noProof/>
          <w:lang w:val="fr-FR"/>
        </w:rPr>
        <w:t>Au 31 </w:t>
      </w:r>
      <w:r w:rsidR="000430A5" w:rsidRPr="00110AE6">
        <w:rPr>
          <w:noProof/>
          <w:lang w:val="fr-FR"/>
        </w:rPr>
        <w:t>août 2018, les postes suivants ont été pourvus : Secrétaire exécutif(ve) (D-1), Coordination et politique générale (P-5), Juriste/administrateur(trice) de programmes (P-3) et un poste d</w:t>
      </w:r>
      <w:r w:rsidR="00D05492" w:rsidRPr="00110AE6">
        <w:rPr>
          <w:noProof/>
          <w:lang w:val="fr-FR"/>
        </w:rPr>
        <w:t>’</w:t>
      </w:r>
      <w:r w:rsidR="000430A5" w:rsidRPr="00110AE6">
        <w:rPr>
          <w:noProof/>
          <w:lang w:val="fr-FR"/>
        </w:rPr>
        <w:t>agent des services généraux chargé de l</w:t>
      </w:r>
      <w:r w:rsidR="00D05492" w:rsidRPr="00110AE6">
        <w:rPr>
          <w:noProof/>
          <w:lang w:val="fr-FR"/>
        </w:rPr>
        <w:t>’</w:t>
      </w:r>
      <w:r w:rsidR="000430A5" w:rsidRPr="00110AE6">
        <w:rPr>
          <w:noProof/>
          <w:lang w:val="fr-FR"/>
        </w:rPr>
        <w:t>appui aux programmes. Le poste P-4 (Science et technologie) était occupé jusqu</w:t>
      </w:r>
      <w:r w:rsidR="00D05492" w:rsidRPr="00110AE6">
        <w:rPr>
          <w:noProof/>
          <w:lang w:val="fr-FR"/>
        </w:rPr>
        <w:t>’</w:t>
      </w:r>
      <w:r w:rsidR="000430A5" w:rsidRPr="00110AE6">
        <w:rPr>
          <w:noProof/>
          <w:lang w:val="fr-FR"/>
        </w:rPr>
        <w:t>au début du mois d</w:t>
      </w:r>
      <w:r w:rsidR="00D05492" w:rsidRPr="00110AE6">
        <w:rPr>
          <w:noProof/>
          <w:lang w:val="fr-FR"/>
        </w:rPr>
        <w:t>’</w:t>
      </w:r>
      <w:r w:rsidR="000430A5" w:rsidRPr="00110AE6">
        <w:rPr>
          <w:noProof/>
          <w:lang w:val="fr-FR"/>
        </w:rPr>
        <w:t>août. Au début du mois d</w:t>
      </w:r>
      <w:r w:rsidR="00D05492" w:rsidRPr="00110AE6">
        <w:rPr>
          <w:noProof/>
          <w:lang w:val="fr-FR"/>
        </w:rPr>
        <w:t>’</w:t>
      </w:r>
      <w:r w:rsidR="000430A5" w:rsidRPr="00110AE6">
        <w:rPr>
          <w:noProof/>
          <w:lang w:val="fr-FR"/>
        </w:rPr>
        <w:t>août, le poste P-4 (Renforcement des capacités et assistance technique), le poste P-3 (Communication et gestion des connaissances) et trois postes d</w:t>
      </w:r>
      <w:r w:rsidR="00D05492" w:rsidRPr="00110AE6">
        <w:rPr>
          <w:noProof/>
          <w:lang w:val="fr-FR"/>
        </w:rPr>
        <w:t>’</w:t>
      </w:r>
      <w:r w:rsidR="000430A5" w:rsidRPr="00110AE6">
        <w:rPr>
          <w:noProof/>
          <w:lang w:val="fr-FR"/>
        </w:rPr>
        <w:t>agent des services généraux (Appui aux programmes) ainsi que le poste P-4 (Science et technologie) étaient vacants.</w:t>
      </w:r>
      <w:r w:rsidR="009E3F15" w:rsidRPr="00110AE6">
        <w:rPr>
          <w:noProof/>
          <w:lang w:val="fr-FR"/>
        </w:rPr>
        <w:t xml:space="preserve"> </w:t>
      </w:r>
      <w:r w:rsidR="000430A5" w:rsidRPr="00110AE6">
        <w:rPr>
          <w:noProof/>
          <w:lang w:val="fr-FR"/>
        </w:rPr>
        <w:t>Le recrutement est en cours pour pourvoir les postes vacants.</w:t>
      </w:r>
    </w:p>
    <w:p w14:paraId="7B4D130C" w14:textId="19D0387B" w:rsidR="00BE4163" w:rsidRPr="00110AE6" w:rsidRDefault="00FD5100" w:rsidP="0082498C">
      <w:pPr>
        <w:pStyle w:val="Normalnumber"/>
        <w:rPr>
          <w:noProof/>
          <w:lang w:val="fr-FR"/>
        </w:rPr>
      </w:pPr>
      <w:r w:rsidRPr="00110AE6">
        <w:rPr>
          <w:noProof/>
          <w:lang w:val="fr-FR"/>
        </w:rPr>
        <w:t>Le recrutement est également en cours pour le</w:t>
      </w:r>
      <w:r w:rsidR="00FA5356" w:rsidRPr="00110AE6">
        <w:rPr>
          <w:noProof/>
          <w:lang w:val="fr-FR"/>
        </w:rPr>
        <w:t>s deux postes financés au moyen</w:t>
      </w:r>
      <w:r w:rsidRPr="00110AE6">
        <w:rPr>
          <w:noProof/>
          <w:lang w:val="fr-FR"/>
        </w:rPr>
        <w:t xml:space="preserve"> de crédits affectés au titre des dépenses d</w:t>
      </w:r>
      <w:r w:rsidR="00D05492" w:rsidRPr="00110AE6">
        <w:rPr>
          <w:noProof/>
          <w:lang w:val="fr-FR"/>
        </w:rPr>
        <w:t>’</w:t>
      </w:r>
      <w:r w:rsidRPr="00110AE6">
        <w:rPr>
          <w:noProof/>
          <w:lang w:val="fr-FR"/>
        </w:rPr>
        <w:t>appui aux programmes pour l</w:t>
      </w:r>
      <w:r w:rsidR="00D05492" w:rsidRPr="00110AE6">
        <w:rPr>
          <w:noProof/>
          <w:lang w:val="fr-FR"/>
        </w:rPr>
        <w:t>’</w:t>
      </w:r>
      <w:r w:rsidRPr="00110AE6">
        <w:rPr>
          <w:noProof/>
          <w:lang w:val="fr-FR"/>
        </w:rPr>
        <w:t>appui administratif [un poste P-3 de fonctionnaire d</w:t>
      </w:r>
      <w:r w:rsidR="00D05492" w:rsidRPr="00110AE6">
        <w:rPr>
          <w:noProof/>
          <w:lang w:val="fr-FR"/>
        </w:rPr>
        <w:t>’</w:t>
      </w:r>
      <w:r w:rsidRPr="00110AE6">
        <w:rPr>
          <w:noProof/>
          <w:lang w:val="fr-FR"/>
        </w:rPr>
        <w:t>administration et un poste G-5 d</w:t>
      </w:r>
      <w:r w:rsidR="00D05492" w:rsidRPr="00110AE6">
        <w:rPr>
          <w:noProof/>
          <w:lang w:val="fr-FR"/>
        </w:rPr>
        <w:t>’</w:t>
      </w:r>
      <w:r w:rsidR="00D859F8" w:rsidRPr="00110AE6">
        <w:rPr>
          <w:noProof/>
          <w:lang w:val="fr-FR"/>
        </w:rPr>
        <w:t>assistant(e) (finances)].</w:t>
      </w:r>
    </w:p>
    <w:p w14:paraId="2EF46C28" w14:textId="7AC8529B" w:rsidR="00BE4163" w:rsidRPr="00110AE6" w:rsidRDefault="009364FE" w:rsidP="00AE3F3F">
      <w:pPr>
        <w:pStyle w:val="Normalnumber"/>
        <w:rPr>
          <w:noProof/>
          <w:lang w:val="fr-FR"/>
        </w:rPr>
      </w:pPr>
      <w:r w:rsidRPr="00110AE6">
        <w:rPr>
          <w:noProof/>
          <w:lang w:val="fr-FR"/>
        </w:rPr>
        <w:t>Pour que toute l</w:t>
      </w:r>
      <w:r w:rsidR="00D05492" w:rsidRPr="00110AE6">
        <w:rPr>
          <w:noProof/>
          <w:lang w:val="fr-FR"/>
        </w:rPr>
        <w:t>’</w:t>
      </w:r>
      <w:r w:rsidRPr="00110AE6">
        <w:rPr>
          <w:noProof/>
          <w:lang w:val="fr-FR"/>
        </w:rPr>
        <w:t>assistance administrative nécessaire soit assurée dans le cadre des préparatifs de la deuxième réunion de la Conférence des Parties, le secrétariat a sollicité la Division des services internes du Programme des Nations Unies pour l</w:t>
      </w:r>
      <w:r w:rsidR="00D05492" w:rsidRPr="00110AE6">
        <w:rPr>
          <w:noProof/>
          <w:lang w:val="fr-FR"/>
        </w:rPr>
        <w:t>’</w:t>
      </w:r>
      <w:r w:rsidRPr="00110AE6">
        <w:rPr>
          <w:noProof/>
          <w:lang w:val="fr-FR"/>
        </w:rPr>
        <w:t>environnement, recruté à titre temporaire des assistants administratifs et bénéficie de l</w:t>
      </w:r>
      <w:r w:rsidR="00D05492" w:rsidRPr="00110AE6">
        <w:rPr>
          <w:noProof/>
          <w:lang w:val="fr-FR"/>
        </w:rPr>
        <w:t>’</w:t>
      </w:r>
      <w:r w:rsidRPr="00110AE6">
        <w:rPr>
          <w:noProof/>
          <w:lang w:val="fr-FR"/>
        </w:rPr>
        <w:t xml:space="preserve">appui, moyennant remboursement, du Secrétariat des </w:t>
      </w:r>
      <w:r w:rsidR="0002712B" w:rsidRPr="00110AE6">
        <w:rPr>
          <w:noProof/>
          <w:lang w:val="fr-FR"/>
        </w:rPr>
        <w:t>c</w:t>
      </w:r>
      <w:r w:rsidRPr="00110AE6">
        <w:rPr>
          <w:noProof/>
          <w:lang w:val="fr-FR"/>
        </w:rPr>
        <w:t>onventions de Bâle, de Rotterdam et de Stockholm pour l</w:t>
      </w:r>
      <w:r w:rsidR="00D05492" w:rsidRPr="00110AE6">
        <w:rPr>
          <w:noProof/>
          <w:lang w:val="fr-FR"/>
        </w:rPr>
        <w:t>’</w:t>
      </w:r>
      <w:r w:rsidRPr="00110AE6">
        <w:rPr>
          <w:noProof/>
          <w:lang w:val="fr-FR"/>
        </w:rPr>
        <w:t>organisation des déplacements des participant(e)s issu(e)s de certaines régions de l</w:t>
      </w:r>
      <w:r w:rsidR="00D05492" w:rsidRPr="00110AE6">
        <w:rPr>
          <w:noProof/>
          <w:lang w:val="fr-FR"/>
        </w:rPr>
        <w:t>’</w:t>
      </w:r>
      <w:r w:rsidRPr="00110AE6">
        <w:rPr>
          <w:noProof/>
          <w:lang w:val="fr-FR"/>
        </w:rPr>
        <w:t>ONU à la deuxième</w:t>
      </w:r>
      <w:r w:rsidR="00E863D5" w:rsidRPr="00110AE6">
        <w:rPr>
          <w:noProof/>
          <w:lang w:val="fr-FR"/>
        </w:rPr>
        <w:t> </w:t>
      </w:r>
      <w:r w:rsidRPr="00110AE6">
        <w:rPr>
          <w:noProof/>
          <w:lang w:val="fr-FR"/>
        </w:rPr>
        <w:t>réunion de la Conférence des Parties.</w:t>
      </w:r>
    </w:p>
    <w:p w14:paraId="66AD02BE" w14:textId="31BCA7F9" w:rsidR="00BD15AE" w:rsidRPr="00110AE6" w:rsidRDefault="00AC6760" w:rsidP="0082498C">
      <w:pPr>
        <w:pStyle w:val="Normalnumber"/>
        <w:rPr>
          <w:noProof/>
          <w:lang w:val="fr-FR"/>
        </w:rPr>
      </w:pPr>
      <w:r w:rsidRPr="00110AE6">
        <w:rPr>
          <w:noProof/>
          <w:lang w:val="fr-FR"/>
        </w:rPr>
        <w:t>Outre les postes visés dans le tableau indicatif des effectifs approuvé par la Conférence des Parties, un poste d</w:t>
      </w:r>
      <w:r w:rsidR="00D05492" w:rsidRPr="00110AE6">
        <w:rPr>
          <w:noProof/>
          <w:lang w:val="fr-FR"/>
        </w:rPr>
        <w:t>’</w:t>
      </w:r>
      <w:r w:rsidRPr="00110AE6">
        <w:rPr>
          <w:noProof/>
          <w:lang w:val="fr-FR"/>
        </w:rPr>
        <w:t>administrateur(trice) de programmes hors classe (P-5) pour l</w:t>
      </w:r>
      <w:r w:rsidR="00D05492" w:rsidRPr="00110AE6">
        <w:rPr>
          <w:noProof/>
          <w:lang w:val="fr-FR"/>
        </w:rPr>
        <w:t>’</w:t>
      </w:r>
      <w:r w:rsidRPr="00110AE6">
        <w:rPr>
          <w:noProof/>
          <w:lang w:val="fr-FR"/>
        </w:rPr>
        <w:t>appui scientifique a été financé par le Japon grâce à des contributions préaffectées au Fonds d</w:t>
      </w:r>
      <w:r w:rsidR="00D05492" w:rsidRPr="00110AE6">
        <w:rPr>
          <w:noProof/>
          <w:lang w:val="fr-FR"/>
        </w:rPr>
        <w:t>’</w:t>
      </w:r>
      <w:r w:rsidRPr="00110AE6">
        <w:rPr>
          <w:noProof/>
          <w:lang w:val="fr-FR"/>
        </w:rPr>
        <w:t>affectation spéciale à des fins déterminées.</w:t>
      </w:r>
    </w:p>
    <w:p w14:paraId="48A1E5E2" w14:textId="14246058" w:rsidR="00B25234" w:rsidRPr="00110AE6" w:rsidRDefault="00B25234" w:rsidP="0082498C">
      <w:pPr>
        <w:pStyle w:val="Normalnumber"/>
        <w:rPr>
          <w:noProof/>
          <w:lang w:val="fr-FR"/>
        </w:rPr>
      </w:pPr>
      <w:r w:rsidRPr="00110AE6">
        <w:rPr>
          <w:noProof/>
          <w:lang w:val="fr-FR"/>
        </w:rPr>
        <w:t>L</w:t>
      </w:r>
      <w:r w:rsidR="00D05492" w:rsidRPr="00110AE6">
        <w:rPr>
          <w:noProof/>
          <w:lang w:val="fr-FR"/>
        </w:rPr>
        <w:t>’</w:t>
      </w:r>
      <w:r w:rsidRPr="00110AE6">
        <w:rPr>
          <w:noProof/>
          <w:lang w:val="fr-FR"/>
        </w:rPr>
        <w:t>annexe</w:t>
      </w:r>
      <w:r w:rsidR="00E863D5" w:rsidRPr="00110AE6">
        <w:rPr>
          <w:noProof/>
          <w:lang w:val="fr-FR"/>
        </w:rPr>
        <w:t> </w:t>
      </w:r>
      <w:r w:rsidRPr="00110AE6">
        <w:rPr>
          <w:noProof/>
          <w:lang w:val="fr-FR"/>
        </w:rPr>
        <w:t>III de la présente note contient l</w:t>
      </w:r>
      <w:r w:rsidR="00D05492" w:rsidRPr="00110AE6">
        <w:rPr>
          <w:noProof/>
          <w:lang w:val="fr-FR"/>
        </w:rPr>
        <w:t>’</w:t>
      </w:r>
      <w:r w:rsidRPr="00110AE6">
        <w:rPr>
          <w:noProof/>
          <w:lang w:val="fr-FR"/>
        </w:rPr>
        <w:t>organigramme du secrétaria</w:t>
      </w:r>
      <w:r w:rsidR="00D859F8" w:rsidRPr="00110AE6">
        <w:rPr>
          <w:noProof/>
          <w:lang w:val="fr-FR"/>
        </w:rPr>
        <w:t>t de la Convention de Minamata.</w:t>
      </w:r>
    </w:p>
    <w:p w14:paraId="4ECBDFEA" w14:textId="7EC672BA" w:rsidR="00ED1FB1" w:rsidRPr="00110AE6" w:rsidRDefault="00FF6A70" w:rsidP="00E916AE">
      <w:pPr>
        <w:pStyle w:val="CH3"/>
        <w:numPr>
          <w:ilvl w:val="6"/>
          <w:numId w:val="22"/>
        </w:numPr>
        <w:tabs>
          <w:tab w:val="clear" w:pos="851"/>
        </w:tabs>
        <w:ind w:left="1276" w:hanging="632"/>
        <w:rPr>
          <w:noProof/>
          <w:lang w:val="fr-FR"/>
        </w:rPr>
      </w:pPr>
      <w:r w:rsidRPr="00110AE6">
        <w:rPr>
          <w:bCs/>
          <w:noProof/>
          <w:lang w:val="fr-FR"/>
        </w:rPr>
        <w:t>Activités du secrétariat de la Convention de Minamata en 2018</w:t>
      </w:r>
    </w:p>
    <w:p w14:paraId="2D18788E" w14:textId="7FC854C6" w:rsidR="008964D8" w:rsidRPr="00110AE6" w:rsidRDefault="00AC6760" w:rsidP="0082498C">
      <w:pPr>
        <w:pStyle w:val="Normalnumber"/>
        <w:rPr>
          <w:noProof/>
          <w:lang w:val="fr-FR"/>
        </w:rPr>
      </w:pPr>
      <w:r w:rsidRPr="00110AE6">
        <w:rPr>
          <w:noProof/>
          <w:lang w:val="fr-FR"/>
        </w:rPr>
        <w:t>Le tableau</w:t>
      </w:r>
      <w:r w:rsidR="00E863D5" w:rsidRPr="00110AE6">
        <w:rPr>
          <w:noProof/>
          <w:lang w:val="fr-FR"/>
        </w:rPr>
        <w:t> </w:t>
      </w:r>
      <w:r w:rsidRPr="00110AE6">
        <w:rPr>
          <w:noProof/>
          <w:lang w:val="fr-FR"/>
        </w:rPr>
        <w:t>2 présente le budget de 2018 approuvé par la Conférence des Parties concernant les activités du secrétariat ainsi que les prévisions de dépenses pour 2018. Le rapport sur les activités menées par le secrétariat en 2018 figure dans</w:t>
      </w:r>
      <w:r w:rsidR="00E916AE" w:rsidRPr="00110AE6">
        <w:rPr>
          <w:noProof/>
          <w:lang w:val="fr-FR"/>
        </w:rPr>
        <w:t xml:space="preserve"> le document UNEP/MC/COP.2/17.</w:t>
      </w:r>
    </w:p>
    <w:p w14:paraId="4F7B84C5" w14:textId="16E488D3" w:rsidR="007921FA" w:rsidRPr="00110AE6" w:rsidRDefault="000430A5" w:rsidP="007959C2">
      <w:pPr>
        <w:pStyle w:val="Titlefigure"/>
        <w:rPr>
          <w:noProof/>
          <w:lang w:val="fr-FR"/>
        </w:rPr>
      </w:pPr>
      <w:r w:rsidRPr="00110AE6">
        <w:rPr>
          <w:b w:val="0"/>
          <w:noProof/>
          <w:lang w:val="fr-FR"/>
        </w:rPr>
        <w:t>Tableau</w:t>
      </w:r>
      <w:r w:rsidR="00E863D5" w:rsidRPr="00110AE6">
        <w:rPr>
          <w:b w:val="0"/>
          <w:noProof/>
          <w:lang w:val="fr-FR"/>
        </w:rPr>
        <w:t> </w:t>
      </w:r>
      <w:r w:rsidRPr="00110AE6">
        <w:rPr>
          <w:b w:val="0"/>
          <w:noProof/>
          <w:lang w:val="fr-FR"/>
        </w:rPr>
        <w:t xml:space="preserve">2 </w:t>
      </w:r>
      <w:r w:rsidR="00236B58" w:rsidRPr="00110AE6">
        <w:rPr>
          <w:bCs/>
          <w:noProof/>
          <w:lang w:val="fr-FR"/>
        </w:rPr>
        <w:br/>
      </w:r>
      <w:r w:rsidRPr="00110AE6">
        <w:rPr>
          <w:bCs/>
          <w:noProof/>
          <w:lang w:val="fr-FR"/>
        </w:rPr>
        <w:t>Budget approuvé par la Conférence des Parties pour f</w:t>
      </w:r>
      <w:r w:rsidR="00E863D5" w:rsidRPr="00110AE6">
        <w:rPr>
          <w:bCs/>
          <w:noProof/>
          <w:lang w:val="fr-FR"/>
        </w:rPr>
        <w:t>inancer les activités menées en </w:t>
      </w:r>
      <w:r w:rsidRPr="00110AE6">
        <w:rPr>
          <w:bCs/>
          <w:noProof/>
          <w:lang w:val="fr-FR"/>
        </w:rPr>
        <w:t>2018 qui sont inscrites au programme de travail de la Convention de Minamata pour l</w:t>
      </w:r>
      <w:r w:rsidR="00D05492" w:rsidRPr="00110AE6">
        <w:rPr>
          <w:bCs/>
          <w:noProof/>
          <w:lang w:val="fr-FR"/>
        </w:rPr>
        <w:t>’</w:t>
      </w:r>
      <w:r w:rsidRPr="00110AE6">
        <w:rPr>
          <w:bCs/>
          <w:noProof/>
          <w:lang w:val="fr-FR"/>
        </w:rPr>
        <w:t>exercice biennal 2018–2019 et prévisions de dépenses pour 2018, pour le Fonds général d</w:t>
      </w:r>
      <w:r w:rsidR="00D05492" w:rsidRPr="00110AE6">
        <w:rPr>
          <w:bCs/>
          <w:noProof/>
          <w:lang w:val="fr-FR"/>
        </w:rPr>
        <w:t>’</w:t>
      </w:r>
      <w:r w:rsidRPr="00110AE6">
        <w:rPr>
          <w:bCs/>
          <w:noProof/>
          <w:lang w:val="fr-FR"/>
        </w:rPr>
        <w:t>affectation spéciale et le Fonds d</w:t>
      </w:r>
      <w:r w:rsidR="00D05492" w:rsidRPr="00110AE6">
        <w:rPr>
          <w:bCs/>
          <w:noProof/>
          <w:lang w:val="fr-FR"/>
        </w:rPr>
        <w:t>’</w:t>
      </w:r>
      <w:r w:rsidRPr="00110AE6">
        <w:rPr>
          <w:bCs/>
          <w:noProof/>
          <w:lang w:val="fr-FR"/>
        </w:rPr>
        <w:t>affectation spéciale à des fins déterminées</w:t>
      </w:r>
    </w:p>
    <w:p w14:paraId="08DA3834" w14:textId="28EE606F" w:rsidR="00941E96" w:rsidRPr="00110AE6" w:rsidRDefault="00941E96" w:rsidP="00227CD4">
      <w:pPr>
        <w:pStyle w:val="NormalNonumber"/>
        <w:keepNext/>
        <w:keepLines/>
        <w:rPr>
          <w:noProof/>
          <w:sz w:val="18"/>
          <w:szCs w:val="18"/>
          <w:lang w:val="fr-FR"/>
        </w:rPr>
      </w:pPr>
      <w:r w:rsidRPr="00110AE6">
        <w:rPr>
          <w:noProof/>
          <w:sz w:val="18"/>
          <w:szCs w:val="18"/>
          <w:lang w:val="fr-FR"/>
        </w:rPr>
        <w:t>(En dollars des États-Unis)</w:t>
      </w:r>
    </w:p>
    <w:tbl>
      <w:tblPr>
        <w:tblW w:w="4759" w:type="pct"/>
        <w:tblInd w:w="494" w:type="dxa"/>
        <w:tblLayout w:type="fixed"/>
        <w:tblLook w:val="04A0" w:firstRow="1" w:lastRow="0" w:firstColumn="1" w:lastColumn="0" w:noHBand="0" w:noVBand="1"/>
      </w:tblPr>
      <w:tblGrid>
        <w:gridCol w:w="242"/>
        <w:gridCol w:w="876"/>
        <w:gridCol w:w="3635"/>
        <w:gridCol w:w="1134"/>
        <w:gridCol w:w="1134"/>
        <w:gridCol w:w="1133"/>
        <w:gridCol w:w="1206"/>
      </w:tblGrid>
      <w:tr w:rsidR="001401D9" w:rsidRPr="00110AE6" w14:paraId="2E5CE729" w14:textId="77777777" w:rsidTr="00227CD4">
        <w:trPr>
          <w:trHeight w:val="315"/>
          <w:tblHeader/>
        </w:trPr>
        <w:tc>
          <w:tcPr>
            <w:tcW w:w="129" w:type="pct"/>
            <w:tcBorders>
              <w:top w:val="single" w:sz="4" w:space="0" w:color="auto"/>
              <w:bottom w:val="single" w:sz="4" w:space="0" w:color="auto"/>
            </w:tcBorders>
            <w:shd w:val="clear" w:color="000000" w:fill="FFFFFF"/>
            <w:noWrap/>
            <w:vAlign w:val="center"/>
            <w:hideMark/>
          </w:tcPr>
          <w:p w14:paraId="4257C39C" w14:textId="77777777" w:rsidR="00F7445B" w:rsidRPr="00110AE6" w:rsidRDefault="00F7445B" w:rsidP="007959C2">
            <w:pPr>
              <w:keepNext/>
              <w:keepLines/>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4" w:space="0" w:color="auto"/>
              <w:bottom w:val="single" w:sz="4" w:space="0" w:color="auto"/>
            </w:tcBorders>
            <w:shd w:val="clear" w:color="000000" w:fill="FFFFFF"/>
            <w:vAlign w:val="center"/>
            <w:hideMark/>
          </w:tcPr>
          <w:p w14:paraId="3BF821C5" w14:textId="77777777" w:rsidR="00F7445B" w:rsidRPr="00110AE6" w:rsidRDefault="00F7445B" w:rsidP="007959C2">
            <w:pPr>
              <w:keepNext/>
              <w:keepLines/>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1212" w:type="pct"/>
            <w:gridSpan w:val="2"/>
            <w:tcBorders>
              <w:top w:val="single" w:sz="4" w:space="0" w:color="auto"/>
              <w:bottom w:val="single" w:sz="4" w:space="0" w:color="auto"/>
            </w:tcBorders>
            <w:shd w:val="clear" w:color="000000" w:fill="FFFFFF"/>
            <w:vAlign w:val="center"/>
            <w:hideMark/>
          </w:tcPr>
          <w:p w14:paraId="39346433" w14:textId="790DEE97" w:rsidR="00F7445B" w:rsidRPr="00110AE6" w:rsidRDefault="00F7445B" w:rsidP="007959C2">
            <w:pPr>
              <w:keepNext/>
              <w:keepLines/>
              <w:tabs>
                <w:tab w:val="clear" w:pos="1247"/>
                <w:tab w:val="clear" w:pos="1814"/>
                <w:tab w:val="clear" w:pos="2381"/>
                <w:tab w:val="clear" w:pos="2948"/>
                <w:tab w:val="clear" w:pos="3515"/>
              </w:tabs>
              <w:jc w:val="center"/>
              <w:rPr>
                <w:i/>
                <w:iCs/>
                <w:noProof/>
                <w:color w:val="000000"/>
                <w:sz w:val="17"/>
                <w:szCs w:val="17"/>
                <w:lang w:val="fr-FR"/>
              </w:rPr>
            </w:pPr>
            <w:r w:rsidRPr="00110AE6">
              <w:rPr>
                <w:i/>
                <w:iCs/>
                <w:noProof/>
                <w:sz w:val="17"/>
                <w:szCs w:val="17"/>
                <w:lang w:val="fr-FR"/>
              </w:rPr>
              <w:t>Budget approuvé pour 2018</w:t>
            </w:r>
          </w:p>
        </w:tc>
        <w:tc>
          <w:tcPr>
            <w:tcW w:w="1250" w:type="pct"/>
            <w:gridSpan w:val="2"/>
            <w:tcBorders>
              <w:top w:val="single" w:sz="4" w:space="0" w:color="auto"/>
              <w:bottom w:val="single" w:sz="4" w:space="0" w:color="auto"/>
            </w:tcBorders>
            <w:shd w:val="clear" w:color="auto" w:fill="FFFFFF" w:themeFill="background1"/>
            <w:noWrap/>
            <w:vAlign w:val="center"/>
            <w:hideMark/>
          </w:tcPr>
          <w:p w14:paraId="29F4C601" w14:textId="26870022" w:rsidR="00F7445B" w:rsidRPr="00110AE6" w:rsidRDefault="00F7445B" w:rsidP="007959C2">
            <w:pPr>
              <w:keepNext/>
              <w:keepLines/>
              <w:tabs>
                <w:tab w:val="clear" w:pos="1247"/>
                <w:tab w:val="clear" w:pos="1814"/>
                <w:tab w:val="clear" w:pos="2381"/>
                <w:tab w:val="clear" w:pos="2948"/>
                <w:tab w:val="clear" w:pos="3515"/>
              </w:tabs>
              <w:jc w:val="center"/>
              <w:rPr>
                <w:i/>
                <w:iCs/>
                <w:noProof/>
                <w:color w:val="000000"/>
                <w:sz w:val="17"/>
                <w:szCs w:val="17"/>
                <w:lang w:val="fr-FR"/>
              </w:rPr>
            </w:pPr>
            <w:bookmarkStart w:id="5" w:name="RANGE!G1"/>
            <w:r w:rsidRPr="00110AE6">
              <w:rPr>
                <w:i/>
                <w:iCs/>
                <w:noProof/>
                <w:sz w:val="17"/>
                <w:szCs w:val="17"/>
                <w:lang w:val="fr-FR"/>
              </w:rPr>
              <w:t>Dépenses prévues en 2018</w:t>
            </w:r>
            <w:bookmarkEnd w:id="5"/>
          </w:p>
        </w:tc>
      </w:tr>
      <w:tr w:rsidR="00227CD4" w:rsidRPr="00110AE6" w14:paraId="4166395E" w14:textId="77777777" w:rsidTr="00227CD4">
        <w:trPr>
          <w:trHeight w:val="315"/>
          <w:tblHeader/>
        </w:trPr>
        <w:tc>
          <w:tcPr>
            <w:tcW w:w="129" w:type="pct"/>
            <w:tcBorders>
              <w:bottom w:val="single" w:sz="12" w:space="0" w:color="auto"/>
            </w:tcBorders>
            <w:vAlign w:val="center"/>
            <w:hideMark/>
          </w:tcPr>
          <w:p w14:paraId="29701222" w14:textId="77777777" w:rsidR="00F7445B" w:rsidRPr="00110AE6" w:rsidRDefault="00F7445B" w:rsidP="007959C2">
            <w:pPr>
              <w:keepNext/>
              <w:keepLines/>
              <w:tabs>
                <w:tab w:val="clear" w:pos="1247"/>
                <w:tab w:val="clear" w:pos="1814"/>
                <w:tab w:val="clear" w:pos="2381"/>
                <w:tab w:val="clear" w:pos="2948"/>
                <w:tab w:val="clear" w:pos="3515"/>
              </w:tabs>
              <w:rPr>
                <w:noProof/>
                <w:color w:val="000000"/>
                <w:sz w:val="17"/>
                <w:szCs w:val="17"/>
                <w:lang w:val="fr-FR" w:eastAsia="zh-CN"/>
              </w:rPr>
            </w:pPr>
          </w:p>
        </w:tc>
        <w:tc>
          <w:tcPr>
            <w:tcW w:w="2409" w:type="pct"/>
            <w:gridSpan w:val="2"/>
            <w:tcBorders>
              <w:bottom w:val="single" w:sz="12" w:space="0" w:color="auto"/>
            </w:tcBorders>
            <w:vAlign w:val="center"/>
            <w:hideMark/>
          </w:tcPr>
          <w:p w14:paraId="4B746F61" w14:textId="77777777" w:rsidR="00F7445B" w:rsidRPr="00110AE6" w:rsidRDefault="00F7445B" w:rsidP="007959C2">
            <w:pPr>
              <w:keepNext/>
              <w:keepLines/>
              <w:tabs>
                <w:tab w:val="clear" w:pos="1247"/>
                <w:tab w:val="clear" w:pos="1814"/>
                <w:tab w:val="clear" w:pos="2381"/>
                <w:tab w:val="clear" w:pos="2948"/>
                <w:tab w:val="clear" w:pos="3515"/>
              </w:tabs>
              <w:rPr>
                <w:noProof/>
                <w:color w:val="000000"/>
                <w:sz w:val="17"/>
                <w:szCs w:val="17"/>
                <w:lang w:val="fr-FR" w:eastAsia="zh-CN"/>
              </w:rPr>
            </w:pPr>
          </w:p>
        </w:tc>
        <w:tc>
          <w:tcPr>
            <w:tcW w:w="606" w:type="pct"/>
            <w:tcBorders>
              <w:bottom w:val="single" w:sz="12" w:space="0" w:color="auto"/>
            </w:tcBorders>
            <w:shd w:val="clear" w:color="auto" w:fill="auto"/>
            <w:noWrap/>
            <w:hideMark/>
          </w:tcPr>
          <w:p w14:paraId="4CE1AB96" w14:textId="4C9A7EC6" w:rsidR="00F7445B" w:rsidRPr="00110AE6" w:rsidRDefault="00F7445B" w:rsidP="00227CD4">
            <w:pPr>
              <w:keepNext/>
              <w:keepLines/>
              <w:tabs>
                <w:tab w:val="clear" w:pos="1247"/>
                <w:tab w:val="clear" w:pos="1814"/>
                <w:tab w:val="clear" w:pos="2381"/>
                <w:tab w:val="clear" w:pos="2948"/>
                <w:tab w:val="clear" w:pos="3515"/>
              </w:tabs>
              <w:jc w:val="right"/>
              <w:rPr>
                <w:i/>
                <w:iCs/>
                <w:noProof/>
                <w:color w:val="000000"/>
                <w:sz w:val="17"/>
                <w:szCs w:val="17"/>
                <w:lang w:val="fr-FR"/>
              </w:rPr>
            </w:pPr>
            <w:r w:rsidRPr="00110AE6">
              <w:rPr>
                <w:i/>
                <w:iCs/>
                <w:noProof/>
                <w:sz w:val="17"/>
                <w:szCs w:val="17"/>
                <w:lang w:val="fr-FR"/>
              </w:rPr>
              <w:t>Fonds</w:t>
            </w:r>
            <w:r w:rsidR="00FA5356" w:rsidRPr="00110AE6">
              <w:rPr>
                <w:i/>
                <w:iCs/>
                <w:noProof/>
                <w:sz w:val="17"/>
                <w:szCs w:val="17"/>
                <w:lang w:val="fr-FR"/>
              </w:rPr>
              <w:t xml:space="preserve"> général</w:t>
            </w:r>
            <w:r w:rsidRPr="00110AE6">
              <w:rPr>
                <w:i/>
                <w:iCs/>
                <w:noProof/>
                <w:sz w:val="17"/>
                <w:szCs w:val="17"/>
                <w:lang w:val="fr-FR"/>
              </w:rPr>
              <w:t xml:space="preserve"> d</w:t>
            </w:r>
            <w:r w:rsidR="00D05492" w:rsidRPr="00110AE6">
              <w:rPr>
                <w:i/>
                <w:iCs/>
                <w:noProof/>
                <w:sz w:val="17"/>
                <w:szCs w:val="17"/>
                <w:lang w:val="fr-FR"/>
              </w:rPr>
              <w:t>’</w:t>
            </w:r>
            <w:r w:rsidRPr="00110AE6">
              <w:rPr>
                <w:i/>
                <w:iCs/>
                <w:noProof/>
                <w:sz w:val="17"/>
                <w:szCs w:val="17"/>
                <w:lang w:val="fr-FR"/>
              </w:rPr>
              <w:t>affectation spéciale</w:t>
            </w:r>
          </w:p>
        </w:tc>
        <w:tc>
          <w:tcPr>
            <w:tcW w:w="606" w:type="pct"/>
            <w:tcBorders>
              <w:bottom w:val="single" w:sz="12" w:space="0" w:color="auto"/>
            </w:tcBorders>
            <w:shd w:val="clear" w:color="000000" w:fill="FFFFFF"/>
            <w:noWrap/>
            <w:hideMark/>
          </w:tcPr>
          <w:p w14:paraId="0880810C" w14:textId="027F15C8" w:rsidR="00F7445B" w:rsidRPr="00110AE6" w:rsidRDefault="00F7445B" w:rsidP="00227CD4">
            <w:pPr>
              <w:keepNext/>
              <w:keepLines/>
              <w:tabs>
                <w:tab w:val="clear" w:pos="1247"/>
                <w:tab w:val="clear" w:pos="1814"/>
                <w:tab w:val="clear" w:pos="2381"/>
                <w:tab w:val="clear" w:pos="2948"/>
                <w:tab w:val="clear" w:pos="3515"/>
              </w:tabs>
              <w:jc w:val="right"/>
              <w:rPr>
                <w:i/>
                <w:iCs/>
                <w:noProof/>
                <w:color w:val="000000"/>
                <w:sz w:val="17"/>
                <w:szCs w:val="17"/>
                <w:lang w:val="fr-FR"/>
              </w:rPr>
            </w:pPr>
            <w:r w:rsidRPr="00110AE6">
              <w:rPr>
                <w:i/>
                <w:iCs/>
                <w:noProof/>
                <w:sz w:val="17"/>
                <w:szCs w:val="17"/>
                <w:lang w:val="fr-FR"/>
              </w:rPr>
              <w:t>Fonds d</w:t>
            </w:r>
            <w:r w:rsidR="00D05492" w:rsidRPr="00110AE6">
              <w:rPr>
                <w:i/>
                <w:iCs/>
                <w:noProof/>
                <w:sz w:val="17"/>
                <w:szCs w:val="17"/>
                <w:lang w:val="fr-FR"/>
              </w:rPr>
              <w:t>’</w:t>
            </w:r>
            <w:r w:rsidRPr="00110AE6">
              <w:rPr>
                <w:i/>
                <w:iCs/>
                <w:noProof/>
                <w:sz w:val="17"/>
                <w:szCs w:val="17"/>
                <w:lang w:val="fr-FR"/>
              </w:rPr>
              <w:t>affectation spéciale</w:t>
            </w:r>
            <w:r w:rsidR="00FA5356" w:rsidRPr="00110AE6">
              <w:rPr>
                <w:i/>
                <w:iCs/>
                <w:noProof/>
                <w:sz w:val="17"/>
                <w:szCs w:val="17"/>
                <w:lang w:val="fr-FR"/>
              </w:rPr>
              <w:t xml:space="preserve"> à des fins déterminées</w:t>
            </w:r>
          </w:p>
        </w:tc>
        <w:tc>
          <w:tcPr>
            <w:tcW w:w="605" w:type="pct"/>
            <w:tcBorders>
              <w:bottom w:val="single" w:sz="12" w:space="0" w:color="auto"/>
            </w:tcBorders>
            <w:shd w:val="clear" w:color="auto" w:fill="FFFFFF" w:themeFill="background1"/>
            <w:noWrap/>
            <w:hideMark/>
          </w:tcPr>
          <w:p w14:paraId="44E35DE2" w14:textId="42884158" w:rsidR="00F7445B" w:rsidRPr="00110AE6" w:rsidRDefault="00F7445B" w:rsidP="00227CD4">
            <w:pPr>
              <w:keepNext/>
              <w:keepLines/>
              <w:tabs>
                <w:tab w:val="clear" w:pos="1247"/>
                <w:tab w:val="clear" w:pos="1814"/>
                <w:tab w:val="clear" w:pos="2381"/>
                <w:tab w:val="clear" w:pos="2948"/>
                <w:tab w:val="clear" w:pos="3515"/>
              </w:tabs>
              <w:jc w:val="right"/>
              <w:rPr>
                <w:i/>
                <w:iCs/>
                <w:noProof/>
                <w:color w:val="000000"/>
                <w:sz w:val="17"/>
                <w:szCs w:val="17"/>
                <w:lang w:val="fr-FR"/>
              </w:rPr>
            </w:pPr>
            <w:r w:rsidRPr="00110AE6">
              <w:rPr>
                <w:i/>
                <w:iCs/>
                <w:noProof/>
                <w:sz w:val="17"/>
                <w:szCs w:val="17"/>
                <w:lang w:val="fr-FR"/>
              </w:rPr>
              <w:t>Fonds</w:t>
            </w:r>
            <w:r w:rsidR="00FA5356" w:rsidRPr="00110AE6">
              <w:rPr>
                <w:i/>
                <w:iCs/>
                <w:noProof/>
                <w:sz w:val="17"/>
                <w:szCs w:val="17"/>
                <w:lang w:val="fr-FR"/>
              </w:rPr>
              <w:t xml:space="preserve"> général</w:t>
            </w:r>
            <w:r w:rsidRPr="00110AE6">
              <w:rPr>
                <w:i/>
                <w:iCs/>
                <w:noProof/>
                <w:sz w:val="17"/>
                <w:szCs w:val="17"/>
                <w:lang w:val="fr-FR"/>
              </w:rPr>
              <w:t xml:space="preserve"> d</w:t>
            </w:r>
            <w:r w:rsidR="00D05492" w:rsidRPr="00110AE6">
              <w:rPr>
                <w:i/>
                <w:iCs/>
                <w:noProof/>
                <w:sz w:val="17"/>
                <w:szCs w:val="17"/>
                <w:lang w:val="fr-FR"/>
              </w:rPr>
              <w:t>’</w:t>
            </w:r>
            <w:r w:rsidRPr="00110AE6">
              <w:rPr>
                <w:i/>
                <w:iCs/>
                <w:noProof/>
                <w:sz w:val="17"/>
                <w:szCs w:val="17"/>
                <w:lang w:val="fr-FR"/>
              </w:rPr>
              <w:t>affectation spéciale</w:t>
            </w:r>
          </w:p>
        </w:tc>
        <w:tc>
          <w:tcPr>
            <w:tcW w:w="645" w:type="pct"/>
            <w:tcBorders>
              <w:left w:val="nil"/>
              <w:bottom w:val="single" w:sz="12" w:space="0" w:color="auto"/>
            </w:tcBorders>
            <w:shd w:val="clear" w:color="auto" w:fill="FFFFFF" w:themeFill="background1"/>
            <w:noWrap/>
            <w:hideMark/>
          </w:tcPr>
          <w:p w14:paraId="61958D9A" w14:textId="2608D833" w:rsidR="00F7445B" w:rsidRPr="00110AE6" w:rsidRDefault="00F7445B" w:rsidP="00227CD4">
            <w:pPr>
              <w:keepNext/>
              <w:keepLines/>
              <w:tabs>
                <w:tab w:val="clear" w:pos="1247"/>
                <w:tab w:val="clear" w:pos="1814"/>
                <w:tab w:val="clear" w:pos="2381"/>
                <w:tab w:val="clear" w:pos="2948"/>
                <w:tab w:val="clear" w:pos="3515"/>
              </w:tabs>
              <w:jc w:val="right"/>
              <w:rPr>
                <w:i/>
                <w:iCs/>
                <w:noProof/>
                <w:color w:val="000000"/>
                <w:sz w:val="17"/>
                <w:szCs w:val="17"/>
                <w:lang w:val="fr-FR"/>
              </w:rPr>
            </w:pPr>
            <w:r w:rsidRPr="00110AE6">
              <w:rPr>
                <w:i/>
                <w:iCs/>
                <w:noProof/>
                <w:sz w:val="17"/>
                <w:szCs w:val="17"/>
                <w:lang w:val="fr-FR"/>
              </w:rPr>
              <w:t>Fonds d</w:t>
            </w:r>
            <w:r w:rsidR="00D05492" w:rsidRPr="00110AE6">
              <w:rPr>
                <w:i/>
                <w:iCs/>
                <w:noProof/>
                <w:sz w:val="17"/>
                <w:szCs w:val="17"/>
                <w:lang w:val="fr-FR"/>
              </w:rPr>
              <w:t>’</w:t>
            </w:r>
            <w:r w:rsidRPr="00110AE6">
              <w:rPr>
                <w:i/>
                <w:iCs/>
                <w:noProof/>
                <w:sz w:val="17"/>
                <w:szCs w:val="17"/>
                <w:lang w:val="fr-FR"/>
              </w:rPr>
              <w:t>affectation spéciale</w:t>
            </w:r>
            <w:r w:rsidR="00FA5356" w:rsidRPr="00110AE6">
              <w:rPr>
                <w:i/>
                <w:iCs/>
                <w:noProof/>
                <w:sz w:val="17"/>
                <w:szCs w:val="17"/>
                <w:lang w:val="fr-FR"/>
              </w:rPr>
              <w:t xml:space="preserve"> à des fins déterminées</w:t>
            </w:r>
          </w:p>
        </w:tc>
      </w:tr>
      <w:tr w:rsidR="00F7445B" w:rsidRPr="00110AE6" w14:paraId="4AD8FA93" w14:textId="77777777" w:rsidTr="00227CD4">
        <w:trPr>
          <w:trHeight w:val="315"/>
        </w:trPr>
        <w:tc>
          <w:tcPr>
            <w:tcW w:w="5000" w:type="pct"/>
            <w:gridSpan w:val="7"/>
            <w:tcBorders>
              <w:top w:val="single" w:sz="12" w:space="0" w:color="auto"/>
              <w:bottom w:val="single" w:sz="2" w:space="0" w:color="auto"/>
            </w:tcBorders>
            <w:shd w:val="clear" w:color="auto" w:fill="FFFFFF" w:themeFill="background1"/>
            <w:noWrap/>
            <w:vAlign w:val="center"/>
            <w:hideMark/>
          </w:tcPr>
          <w:p w14:paraId="09B39E9F"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A. </w:t>
            </w:r>
            <w:r w:rsidRPr="00110AE6">
              <w:rPr>
                <w:b/>
                <w:bCs/>
                <w:noProof/>
                <w:sz w:val="17"/>
                <w:szCs w:val="17"/>
                <w:lang w:val="fr-FR"/>
              </w:rPr>
              <w:t>Conférences et réunions</w:t>
            </w:r>
          </w:p>
        </w:tc>
      </w:tr>
      <w:tr w:rsidR="00F7445B" w:rsidRPr="00110AE6" w14:paraId="1FC57B4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0111B7D1" w14:textId="503C99A1"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 </w:t>
            </w:r>
            <w:r w:rsidR="008A733D" w:rsidRPr="00110AE6">
              <w:rPr>
                <w:b/>
                <w:bCs/>
                <w:noProof/>
                <w:sz w:val="17"/>
                <w:szCs w:val="17"/>
                <w:lang w:val="fr-FR"/>
              </w:rPr>
              <w:t>Deuxième </w:t>
            </w:r>
            <w:r w:rsidRPr="00110AE6">
              <w:rPr>
                <w:b/>
                <w:bCs/>
                <w:noProof/>
                <w:sz w:val="17"/>
                <w:szCs w:val="17"/>
                <w:lang w:val="fr-FR"/>
              </w:rPr>
              <w:t>réunion de la Conférence des Parties</w:t>
            </w:r>
          </w:p>
        </w:tc>
      </w:tr>
      <w:tr w:rsidR="00227CD4" w:rsidRPr="00110AE6" w14:paraId="361B21E4" w14:textId="77777777" w:rsidTr="00227CD4">
        <w:trPr>
          <w:trHeight w:val="315"/>
        </w:trPr>
        <w:tc>
          <w:tcPr>
            <w:tcW w:w="129" w:type="pct"/>
            <w:tcBorders>
              <w:top w:val="single" w:sz="2" w:space="0" w:color="auto"/>
            </w:tcBorders>
            <w:shd w:val="clear" w:color="000000" w:fill="FFFFFF"/>
            <w:noWrap/>
          </w:tcPr>
          <w:p w14:paraId="3B613E51" w14:textId="77777777" w:rsidR="00916926" w:rsidRPr="00110AE6" w:rsidRDefault="00916926" w:rsidP="00227CD4">
            <w:pPr>
              <w:tabs>
                <w:tab w:val="clear" w:pos="1247"/>
                <w:tab w:val="clear" w:pos="1814"/>
                <w:tab w:val="clear" w:pos="2381"/>
                <w:tab w:val="clear" w:pos="2948"/>
                <w:tab w:val="clear" w:pos="3515"/>
              </w:tabs>
              <w:rPr>
                <w:noProof/>
                <w:color w:val="000000"/>
                <w:sz w:val="17"/>
                <w:szCs w:val="17"/>
                <w:lang w:val="fr-FR" w:eastAsia="zh-CN"/>
              </w:rPr>
            </w:pPr>
          </w:p>
        </w:tc>
        <w:tc>
          <w:tcPr>
            <w:tcW w:w="2409" w:type="pct"/>
            <w:gridSpan w:val="2"/>
            <w:tcBorders>
              <w:top w:val="single" w:sz="2" w:space="0" w:color="auto"/>
            </w:tcBorders>
            <w:shd w:val="clear" w:color="000000" w:fill="FFFFFF"/>
            <w:noWrap/>
            <w:vAlign w:val="center"/>
          </w:tcPr>
          <w:p w14:paraId="1CA08CEF" w14:textId="1063BEB3" w:rsidR="00916926" w:rsidRPr="00110AE6" w:rsidRDefault="008A733D"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1.1. Deuxième </w:t>
            </w:r>
            <w:r w:rsidR="00916926" w:rsidRPr="00110AE6">
              <w:rPr>
                <w:noProof/>
                <w:sz w:val="17"/>
                <w:szCs w:val="17"/>
                <w:lang w:val="fr-FR"/>
              </w:rPr>
              <w:t>réunion</w:t>
            </w:r>
          </w:p>
        </w:tc>
        <w:tc>
          <w:tcPr>
            <w:tcW w:w="606" w:type="pct"/>
            <w:tcBorders>
              <w:top w:val="single" w:sz="2" w:space="0" w:color="auto"/>
            </w:tcBorders>
            <w:shd w:val="clear" w:color="000000" w:fill="FFFFFF"/>
            <w:noWrap/>
            <w:vAlign w:val="center"/>
          </w:tcPr>
          <w:p w14:paraId="564B68B1" w14:textId="353F809F" w:rsidR="00916926" w:rsidRPr="00110AE6" w:rsidRDefault="00927489"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noProof/>
                <w:sz w:val="17"/>
                <w:szCs w:val="17"/>
                <w:lang w:val="fr-FR"/>
              </w:rPr>
              <w:t xml:space="preserve">840 000 </w:t>
            </w:r>
          </w:p>
        </w:tc>
        <w:tc>
          <w:tcPr>
            <w:tcW w:w="606" w:type="pct"/>
            <w:tcBorders>
              <w:top w:val="single" w:sz="2" w:space="0" w:color="auto"/>
            </w:tcBorders>
            <w:shd w:val="clear" w:color="000000" w:fill="FFFFFF"/>
            <w:noWrap/>
            <w:vAlign w:val="center"/>
          </w:tcPr>
          <w:p w14:paraId="25FC2D29" w14:textId="1497DF71" w:rsidR="00916926" w:rsidRPr="00110AE6" w:rsidRDefault="00927489"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640 000 </w:t>
            </w:r>
          </w:p>
        </w:tc>
        <w:tc>
          <w:tcPr>
            <w:tcW w:w="605" w:type="pct"/>
            <w:tcBorders>
              <w:top w:val="single" w:sz="2" w:space="0" w:color="auto"/>
            </w:tcBorders>
            <w:shd w:val="clear" w:color="auto" w:fill="FFFFFF" w:themeFill="background1"/>
            <w:noWrap/>
            <w:vAlign w:val="center"/>
          </w:tcPr>
          <w:p w14:paraId="565D5616" w14:textId="6943C5AB" w:rsidR="00916926" w:rsidRPr="00110AE6" w:rsidRDefault="00927489"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840 000 </w:t>
            </w:r>
          </w:p>
        </w:tc>
        <w:tc>
          <w:tcPr>
            <w:tcW w:w="645" w:type="pct"/>
            <w:tcBorders>
              <w:top w:val="single" w:sz="2" w:space="0" w:color="auto"/>
            </w:tcBorders>
            <w:shd w:val="clear" w:color="auto" w:fill="FFFFFF" w:themeFill="background1"/>
            <w:noWrap/>
            <w:vAlign w:val="center"/>
          </w:tcPr>
          <w:p w14:paraId="55BC5BD0" w14:textId="6BAEFC1E" w:rsidR="00916926" w:rsidRPr="00110AE6" w:rsidRDefault="00BA2224"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414 760 </w:t>
            </w:r>
          </w:p>
        </w:tc>
      </w:tr>
      <w:tr w:rsidR="00227CD4" w:rsidRPr="00110AE6" w14:paraId="2CFC046A" w14:textId="77777777" w:rsidTr="00227CD4">
        <w:trPr>
          <w:trHeight w:val="315"/>
        </w:trPr>
        <w:tc>
          <w:tcPr>
            <w:tcW w:w="129" w:type="pct"/>
            <w:shd w:val="clear" w:color="000000" w:fill="FFFFFF"/>
            <w:noWrap/>
            <w:hideMark/>
          </w:tcPr>
          <w:p w14:paraId="2A9B2E92"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1E566318" w14:textId="5744CDAD"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 Réunions préparatoires régionales</w:t>
            </w:r>
          </w:p>
        </w:tc>
        <w:tc>
          <w:tcPr>
            <w:tcW w:w="606" w:type="pct"/>
            <w:shd w:val="clear" w:color="000000" w:fill="FFFFFF"/>
            <w:noWrap/>
            <w:vAlign w:val="center"/>
            <w:hideMark/>
          </w:tcPr>
          <w:p w14:paraId="73245134"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6" w:type="pct"/>
            <w:shd w:val="clear" w:color="000000" w:fill="FFFFFF"/>
            <w:noWrap/>
            <w:vAlign w:val="center"/>
            <w:hideMark/>
          </w:tcPr>
          <w:p w14:paraId="534C2EA7" w14:textId="03E64C18"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535 000 </w:t>
            </w:r>
          </w:p>
        </w:tc>
        <w:tc>
          <w:tcPr>
            <w:tcW w:w="605" w:type="pct"/>
            <w:shd w:val="clear" w:color="auto" w:fill="FFFFFF" w:themeFill="background1"/>
            <w:noWrap/>
            <w:vAlign w:val="center"/>
            <w:hideMark/>
          </w:tcPr>
          <w:p w14:paraId="2CA692C3"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0D59115E" w14:textId="330B015C"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431 178 </w:t>
            </w:r>
          </w:p>
        </w:tc>
      </w:tr>
      <w:tr w:rsidR="00227CD4" w:rsidRPr="00110AE6" w14:paraId="2EFB1262" w14:textId="77777777" w:rsidTr="00227CD4">
        <w:trPr>
          <w:trHeight w:val="555"/>
        </w:trPr>
        <w:tc>
          <w:tcPr>
            <w:tcW w:w="129" w:type="pct"/>
            <w:tcBorders>
              <w:bottom w:val="single" w:sz="2" w:space="0" w:color="auto"/>
            </w:tcBorders>
            <w:shd w:val="clear" w:color="000000" w:fill="FFFFFF"/>
            <w:noWrap/>
            <w:vAlign w:val="center"/>
            <w:hideMark/>
          </w:tcPr>
          <w:p w14:paraId="5B421200"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bottom w:val="single" w:sz="2" w:space="0" w:color="auto"/>
            </w:tcBorders>
            <w:shd w:val="clear" w:color="000000" w:fill="FFFFFF"/>
            <w:vAlign w:val="center"/>
            <w:hideMark/>
          </w:tcPr>
          <w:p w14:paraId="10B96C62" w14:textId="019B1F35"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1.3. Groupes d</w:t>
            </w:r>
            <w:r w:rsidR="00D05492" w:rsidRPr="00110AE6">
              <w:rPr>
                <w:noProof/>
                <w:sz w:val="17"/>
                <w:szCs w:val="17"/>
                <w:lang w:val="fr-FR"/>
              </w:rPr>
              <w:t>’</w:t>
            </w:r>
            <w:r w:rsidRPr="00110AE6">
              <w:rPr>
                <w:noProof/>
                <w:sz w:val="17"/>
                <w:szCs w:val="17"/>
                <w:lang w:val="fr-FR"/>
              </w:rPr>
              <w:t>experts intersessions dotés d</w:t>
            </w:r>
            <w:r w:rsidR="00D05492" w:rsidRPr="00110AE6">
              <w:rPr>
                <w:noProof/>
                <w:sz w:val="17"/>
                <w:szCs w:val="17"/>
                <w:lang w:val="fr-FR"/>
              </w:rPr>
              <w:t>’</w:t>
            </w:r>
            <w:r w:rsidRPr="00110AE6">
              <w:rPr>
                <w:noProof/>
                <w:sz w:val="17"/>
                <w:szCs w:val="17"/>
                <w:lang w:val="fr-FR"/>
              </w:rPr>
              <w:t>un mandat à durée déterminée prescrit par la Conférence des Parties à ses première</w:t>
            </w:r>
            <w:r w:rsidR="00227CD4" w:rsidRPr="00110AE6">
              <w:rPr>
                <w:noProof/>
                <w:sz w:val="17"/>
                <w:szCs w:val="17"/>
                <w:lang w:val="fr-FR"/>
              </w:rPr>
              <w:t> </w:t>
            </w:r>
            <w:r w:rsidRPr="00110AE6">
              <w:rPr>
                <w:noProof/>
                <w:sz w:val="17"/>
                <w:szCs w:val="17"/>
                <w:lang w:val="fr-FR"/>
              </w:rPr>
              <w:t>et deuxième réunions</w:t>
            </w:r>
          </w:p>
        </w:tc>
        <w:tc>
          <w:tcPr>
            <w:tcW w:w="606" w:type="pct"/>
            <w:tcBorders>
              <w:bottom w:val="single" w:sz="2" w:space="0" w:color="auto"/>
            </w:tcBorders>
            <w:shd w:val="clear" w:color="000000" w:fill="FFFFFF"/>
            <w:noWrap/>
            <w:vAlign w:val="center"/>
            <w:hideMark/>
          </w:tcPr>
          <w:p w14:paraId="347FB209" w14:textId="0DDFBF99"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105 000 </w:t>
            </w:r>
          </w:p>
        </w:tc>
        <w:tc>
          <w:tcPr>
            <w:tcW w:w="606" w:type="pct"/>
            <w:tcBorders>
              <w:bottom w:val="single" w:sz="2" w:space="0" w:color="auto"/>
            </w:tcBorders>
            <w:shd w:val="clear" w:color="000000" w:fill="FFFFFF"/>
            <w:noWrap/>
            <w:vAlign w:val="center"/>
            <w:hideMark/>
          </w:tcPr>
          <w:p w14:paraId="21DDD338"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bottom w:val="single" w:sz="2" w:space="0" w:color="auto"/>
            </w:tcBorders>
            <w:shd w:val="clear" w:color="auto" w:fill="FFFFFF" w:themeFill="background1"/>
            <w:noWrap/>
            <w:vAlign w:val="center"/>
            <w:hideMark/>
          </w:tcPr>
          <w:p w14:paraId="55FCDDEA" w14:textId="44F11675"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75 000 </w:t>
            </w:r>
          </w:p>
        </w:tc>
        <w:tc>
          <w:tcPr>
            <w:tcW w:w="645" w:type="pct"/>
            <w:tcBorders>
              <w:bottom w:val="single" w:sz="2" w:space="0" w:color="auto"/>
            </w:tcBorders>
            <w:shd w:val="clear" w:color="auto" w:fill="FFFFFF" w:themeFill="background1"/>
            <w:noWrap/>
            <w:vAlign w:val="center"/>
            <w:hideMark/>
          </w:tcPr>
          <w:p w14:paraId="60DA3A4A"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0D38DCD2"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70FD09D9"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366FB847" w14:textId="33AB0C53"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945 000 </w:t>
            </w:r>
          </w:p>
        </w:tc>
        <w:tc>
          <w:tcPr>
            <w:tcW w:w="606" w:type="pct"/>
            <w:tcBorders>
              <w:top w:val="single" w:sz="2" w:space="0" w:color="auto"/>
              <w:bottom w:val="single" w:sz="2" w:space="0" w:color="auto"/>
            </w:tcBorders>
            <w:shd w:val="clear" w:color="000000" w:fill="FFFFFF"/>
            <w:noWrap/>
            <w:vAlign w:val="center"/>
            <w:hideMark/>
          </w:tcPr>
          <w:p w14:paraId="76FD4BBD" w14:textId="6FAADE84"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1 175 000 </w:t>
            </w:r>
          </w:p>
        </w:tc>
        <w:tc>
          <w:tcPr>
            <w:tcW w:w="605" w:type="pct"/>
            <w:tcBorders>
              <w:top w:val="single" w:sz="2" w:space="0" w:color="auto"/>
              <w:bottom w:val="single" w:sz="2" w:space="0" w:color="auto"/>
            </w:tcBorders>
            <w:shd w:val="clear" w:color="auto" w:fill="FFFFFF" w:themeFill="background1"/>
            <w:noWrap/>
            <w:vAlign w:val="center"/>
            <w:hideMark/>
          </w:tcPr>
          <w:p w14:paraId="6E4F8A98" w14:textId="52746BCB"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915 000 </w:t>
            </w:r>
          </w:p>
        </w:tc>
        <w:tc>
          <w:tcPr>
            <w:tcW w:w="645" w:type="pct"/>
            <w:tcBorders>
              <w:top w:val="single" w:sz="2" w:space="0" w:color="auto"/>
              <w:bottom w:val="single" w:sz="2" w:space="0" w:color="auto"/>
            </w:tcBorders>
            <w:shd w:val="clear" w:color="auto" w:fill="FFFFFF" w:themeFill="background1"/>
            <w:noWrap/>
            <w:vAlign w:val="center"/>
            <w:hideMark/>
          </w:tcPr>
          <w:p w14:paraId="7C84C9A6" w14:textId="7EC6814B"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845 938 </w:t>
            </w:r>
          </w:p>
        </w:tc>
      </w:tr>
      <w:tr w:rsidR="00F7445B" w:rsidRPr="00110AE6" w14:paraId="070A9E80"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597C0CF9" w14:textId="2DF78D6D"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2. </w:t>
            </w:r>
            <w:r w:rsidR="008A733D" w:rsidRPr="00110AE6">
              <w:rPr>
                <w:b/>
                <w:bCs/>
                <w:noProof/>
                <w:sz w:val="17"/>
                <w:szCs w:val="17"/>
                <w:lang w:val="fr-FR"/>
              </w:rPr>
              <w:t>Troisième </w:t>
            </w:r>
            <w:r w:rsidRPr="00110AE6">
              <w:rPr>
                <w:b/>
                <w:bCs/>
                <w:noProof/>
                <w:sz w:val="17"/>
                <w:szCs w:val="17"/>
                <w:lang w:val="fr-FR"/>
              </w:rPr>
              <w:t>réunion de la Conférence des Parties</w:t>
            </w:r>
          </w:p>
        </w:tc>
      </w:tr>
      <w:tr w:rsidR="00227CD4" w:rsidRPr="00110AE6" w14:paraId="37522402" w14:textId="77777777" w:rsidTr="00227CD4">
        <w:trPr>
          <w:trHeight w:val="315"/>
        </w:trPr>
        <w:tc>
          <w:tcPr>
            <w:tcW w:w="129" w:type="pct"/>
            <w:tcBorders>
              <w:top w:val="single" w:sz="2" w:space="0" w:color="auto"/>
            </w:tcBorders>
            <w:shd w:val="clear" w:color="000000" w:fill="FFFFFF"/>
            <w:noWrap/>
            <w:hideMark/>
          </w:tcPr>
          <w:p w14:paraId="3D6F5982"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tcBorders>
            <w:shd w:val="clear" w:color="000000" w:fill="FFFFFF"/>
            <w:noWrap/>
            <w:vAlign w:val="center"/>
            <w:hideMark/>
          </w:tcPr>
          <w:p w14:paraId="73C9B53A" w14:textId="03D69F7E" w:rsidR="00F7445B" w:rsidRPr="00110AE6" w:rsidRDefault="008A733D"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2.1. Troisième </w:t>
            </w:r>
            <w:r w:rsidR="00F7445B" w:rsidRPr="00110AE6">
              <w:rPr>
                <w:noProof/>
                <w:sz w:val="17"/>
                <w:szCs w:val="17"/>
                <w:lang w:val="fr-FR"/>
              </w:rPr>
              <w:t>réunion</w:t>
            </w:r>
          </w:p>
        </w:tc>
        <w:tc>
          <w:tcPr>
            <w:tcW w:w="606" w:type="pct"/>
            <w:tcBorders>
              <w:top w:val="single" w:sz="2" w:space="0" w:color="auto"/>
            </w:tcBorders>
            <w:shd w:val="clear" w:color="000000" w:fill="FFFFFF"/>
            <w:noWrap/>
            <w:vAlign w:val="center"/>
            <w:hideMark/>
          </w:tcPr>
          <w:p w14:paraId="1C3A6C9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top w:val="single" w:sz="2" w:space="0" w:color="auto"/>
            </w:tcBorders>
            <w:shd w:val="clear" w:color="000000" w:fill="FFFFFF"/>
            <w:noWrap/>
            <w:vAlign w:val="center"/>
            <w:hideMark/>
          </w:tcPr>
          <w:p w14:paraId="08644302"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tcBorders>
            <w:shd w:val="clear" w:color="auto" w:fill="FFFFFF" w:themeFill="background1"/>
            <w:noWrap/>
            <w:vAlign w:val="center"/>
            <w:hideMark/>
          </w:tcPr>
          <w:p w14:paraId="096B640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tcBorders>
            <w:shd w:val="clear" w:color="auto" w:fill="FFFFFF" w:themeFill="background1"/>
            <w:noWrap/>
            <w:vAlign w:val="center"/>
            <w:hideMark/>
          </w:tcPr>
          <w:p w14:paraId="77E8C172"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315C5E5D" w14:textId="77777777" w:rsidTr="00227CD4">
        <w:trPr>
          <w:trHeight w:val="315"/>
        </w:trPr>
        <w:tc>
          <w:tcPr>
            <w:tcW w:w="129" w:type="pct"/>
            <w:tcBorders>
              <w:bottom w:val="single" w:sz="2" w:space="0" w:color="auto"/>
            </w:tcBorders>
            <w:shd w:val="clear" w:color="000000" w:fill="FFFFFF"/>
            <w:noWrap/>
            <w:hideMark/>
          </w:tcPr>
          <w:p w14:paraId="653C2249"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bottom w:val="single" w:sz="2" w:space="0" w:color="auto"/>
            </w:tcBorders>
            <w:shd w:val="clear" w:color="000000" w:fill="FFFFFF"/>
            <w:noWrap/>
            <w:vAlign w:val="center"/>
            <w:hideMark/>
          </w:tcPr>
          <w:p w14:paraId="4EFC4840"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2.2. Réunions préparatoires régionales</w:t>
            </w:r>
          </w:p>
        </w:tc>
        <w:tc>
          <w:tcPr>
            <w:tcW w:w="606" w:type="pct"/>
            <w:tcBorders>
              <w:bottom w:val="single" w:sz="2" w:space="0" w:color="auto"/>
            </w:tcBorders>
            <w:shd w:val="clear" w:color="000000" w:fill="FFFFFF"/>
            <w:noWrap/>
            <w:vAlign w:val="center"/>
            <w:hideMark/>
          </w:tcPr>
          <w:p w14:paraId="3F6C912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bottom w:val="single" w:sz="2" w:space="0" w:color="auto"/>
            </w:tcBorders>
            <w:shd w:val="clear" w:color="000000" w:fill="FFFFFF"/>
            <w:noWrap/>
            <w:vAlign w:val="center"/>
            <w:hideMark/>
          </w:tcPr>
          <w:p w14:paraId="430926BC"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bottom w:val="single" w:sz="2" w:space="0" w:color="auto"/>
            </w:tcBorders>
            <w:shd w:val="clear" w:color="auto" w:fill="FFFFFF" w:themeFill="background1"/>
            <w:noWrap/>
            <w:vAlign w:val="center"/>
            <w:hideMark/>
          </w:tcPr>
          <w:p w14:paraId="511FE28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bottom w:val="single" w:sz="2" w:space="0" w:color="auto"/>
            </w:tcBorders>
            <w:shd w:val="clear" w:color="auto" w:fill="FFFFFF" w:themeFill="background1"/>
            <w:noWrap/>
            <w:vAlign w:val="center"/>
            <w:hideMark/>
          </w:tcPr>
          <w:p w14:paraId="4F41FB8E"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130BF6CB"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3F9CDF37"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002C1B20"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37193B72"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5E0A4D52"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4C4520E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F7445B" w:rsidRPr="00110AE6" w14:paraId="32956E4E"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4D07780D"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3. </w:t>
            </w:r>
            <w:r w:rsidRPr="00110AE6">
              <w:rPr>
                <w:b/>
                <w:bCs/>
                <w:noProof/>
                <w:sz w:val="17"/>
                <w:szCs w:val="17"/>
                <w:lang w:val="fr-FR"/>
              </w:rPr>
              <w:t>Bureau de la Conférence des Parties</w:t>
            </w:r>
          </w:p>
        </w:tc>
      </w:tr>
      <w:tr w:rsidR="00227CD4" w:rsidRPr="00110AE6" w14:paraId="102FAD3A" w14:textId="77777777" w:rsidTr="00227CD4">
        <w:trPr>
          <w:trHeight w:val="315"/>
        </w:trPr>
        <w:tc>
          <w:tcPr>
            <w:tcW w:w="129" w:type="pct"/>
            <w:tcBorders>
              <w:top w:val="single" w:sz="2" w:space="0" w:color="auto"/>
              <w:bottom w:val="single" w:sz="2" w:space="0" w:color="auto"/>
            </w:tcBorders>
            <w:shd w:val="clear" w:color="000000" w:fill="FFFFFF"/>
            <w:noWrap/>
            <w:hideMark/>
          </w:tcPr>
          <w:p w14:paraId="29B5692C"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000000" w:fill="FFFFFF"/>
            <w:noWrap/>
            <w:vAlign w:val="center"/>
            <w:hideMark/>
          </w:tcPr>
          <w:p w14:paraId="2F9097B9"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3.1. Réunions du Bureau</w:t>
            </w:r>
          </w:p>
        </w:tc>
        <w:tc>
          <w:tcPr>
            <w:tcW w:w="606" w:type="pct"/>
            <w:tcBorders>
              <w:top w:val="single" w:sz="2" w:space="0" w:color="auto"/>
              <w:bottom w:val="single" w:sz="2" w:space="0" w:color="auto"/>
            </w:tcBorders>
            <w:shd w:val="clear" w:color="000000" w:fill="FFFFFF"/>
            <w:noWrap/>
            <w:vAlign w:val="center"/>
            <w:hideMark/>
          </w:tcPr>
          <w:p w14:paraId="59196CC5" w14:textId="78CDE106"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25 000 </w:t>
            </w:r>
          </w:p>
        </w:tc>
        <w:tc>
          <w:tcPr>
            <w:tcW w:w="606" w:type="pct"/>
            <w:tcBorders>
              <w:top w:val="single" w:sz="2" w:space="0" w:color="auto"/>
              <w:bottom w:val="single" w:sz="2" w:space="0" w:color="auto"/>
            </w:tcBorders>
            <w:shd w:val="clear" w:color="000000" w:fill="FFFFFF"/>
            <w:noWrap/>
            <w:vAlign w:val="center"/>
            <w:hideMark/>
          </w:tcPr>
          <w:p w14:paraId="3F6EB63B"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1551C828" w14:textId="2F8C2F50"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25 000 </w:t>
            </w:r>
          </w:p>
        </w:tc>
        <w:tc>
          <w:tcPr>
            <w:tcW w:w="645" w:type="pct"/>
            <w:tcBorders>
              <w:top w:val="single" w:sz="2" w:space="0" w:color="auto"/>
              <w:bottom w:val="single" w:sz="2" w:space="0" w:color="auto"/>
            </w:tcBorders>
            <w:shd w:val="clear" w:color="auto" w:fill="FFFFFF" w:themeFill="background1"/>
            <w:noWrap/>
            <w:vAlign w:val="center"/>
            <w:hideMark/>
          </w:tcPr>
          <w:p w14:paraId="7D786E62" w14:textId="01B2BFA0" w:rsidR="00F7445B" w:rsidRPr="00110AE6" w:rsidRDefault="00311F6E"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w:t>
            </w:r>
          </w:p>
        </w:tc>
      </w:tr>
      <w:tr w:rsidR="00227CD4" w:rsidRPr="00110AE6" w14:paraId="6D0A6E77"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101534DC"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18998489" w14:textId="0EE1E528"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25 000 </w:t>
            </w:r>
          </w:p>
        </w:tc>
        <w:tc>
          <w:tcPr>
            <w:tcW w:w="606" w:type="pct"/>
            <w:tcBorders>
              <w:top w:val="single" w:sz="2" w:space="0" w:color="auto"/>
              <w:bottom w:val="single" w:sz="2" w:space="0" w:color="auto"/>
            </w:tcBorders>
            <w:shd w:val="clear" w:color="000000" w:fill="FFFFFF"/>
            <w:noWrap/>
            <w:vAlign w:val="center"/>
            <w:hideMark/>
          </w:tcPr>
          <w:p w14:paraId="547E407A" w14:textId="5AAE1F45"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w:t>
            </w:r>
          </w:p>
        </w:tc>
        <w:tc>
          <w:tcPr>
            <w:tcW w:w="605" w:type="pct"/>
            <w:tcBorders>
              <w:top w:val="single" w:sz="2" w:space="0" w:color="auto"/>
              <w:bottom w:val="single" w:sz="2" w:space="0" w:color="auto"/>
            </w:tcBorders>
            <w:shd w:val="clear" w:color="auto" w:fill="FFFFFF" w:themeFill="background1"/>
            <w:noWrap/>
            <w:vAlign w:val="center"/>
            <w:hideMark/>
          </w:tcPr>
          <w:p w14:paraId="0A7C77D1" w14:textId="024ECBA8"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25 000 </w:t>
            </w:r>
          </w:p>
        </w:tc>
        <w:tc>
          <w:tcPr>
            <w:tcW w:w="645" w:type="pct"/>
            <w:tcBorders>
              <w:top w:val="single" w:sz="2" w:space="0" w:color="auto"/>
              <w:bottom w:val="single" w:sz="2" w:space="0" w:color="auto"/>
            </w:tcBorders>
            <w:shd w:val="clear" w:color="auto" w:fill="FFFFFF" w:themeFill="background1"/>
            <w:noWrap/>
            <w:vAlign w:val="center"/>
            <w:hideMark/>
          </w:tcPr>
          <w:p w14:paraId="640D4B30" w14:textId="4EB4D008" w:rsidR="00F7445B" w:rsidRPr="00110AE6" w:rsidRDefault="00311F6E" w:rsidP="00227CD4">
            <w:pPr>
              <w:tabs>
                <w:tab w:val="clear" w:pos="1247"/>
                <w:tab w:val="clear" w:pos="1814"/>
                <w:tab w:val="clear" w:pos="2381"/>
                <w:tab w:val="clear" w:pos="2948"/>
                <w:tab w:val="clear" w:pos="3515"/>
              </w:tabs>
              <w:jc w:val="right"/>
              <w:rPr>
                <w:b/>
                <w:bCs/>
                <w:noProof/>
                <w:color w:val="000000"/>
                <w:sz w:val="17"/>
                <w:szCs w:val="17"/>
                <w:vertAlign w:val="subscript"/>
                <w:lang w:val="fr-FR"/>
              </w:rPr>
            </w:pPr>
            <w:r w:rsidRPr="00110AE6">
              <w:rPr>
                <w:b/>
                <w:noProof/>
                <w:sz w:val="17"/>
                <w:szCs w:val="17"/>
                <w:lang w:val="fr-FR"/>
              </w:rPr>
              <w:t>–</w:t>
            </w:r>
          </w:p>
        </w:tc>
      </w:tr>
      <w:tr w:rsidR="00F7445B" w:rsidRPr="00110AE6" w14:paraId="689212E2"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443CB900" w14:textId="5B59905F"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4. Comité de mise en œuvre et du respect des obligations</w:t>
            </w:r>
          </w:p>
        </w:tc>
      </w:tr>
      <w:tr w:rsidR="00227CD4" w:rsidRPr="00110AE6" w14:paraId="1E94A1C8" w14:textId="77777777" w:rsidTr="00227CD4">
        <w:trPr>
          <w:trHeight w:val="315"/>
        </w:trPr>
        <w:tc>
          <w:tcPr>
            <w:tcW w:w="129" w:type="pct"/>
            <w:tcBorders>
              <w:top w:val="single" w:sz="2" w:space="0" w:color="auto"/>
              <w:bottom w:val="single" w:sz="2" w:space="0" w:color="auto"/>
            </w:tcBorders>
            <w:shd w:val="clear" w:color="auto" w:fill="auto"/>
            <w:noWrap/>
            <w:hideMark/>
          </w:tcPr>
          <w:p w14:paraId="46EB58CB"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auto" w:fill="auto"/>
            <w:noWrap/>
            <w:vAlign w:val="center"/>
            <w:hideMark/>
          </w:tcPr>
          <w:p w14:paraId="4DBA44C7" w14:textId="160472A4"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4.1. Réunion du Comité</w:t>
            </w:r>
          </w:p>
        </w:tc>
        <w:tc>
          <w:tcPr>
            <w:tcW w:w="606" w:type="pct"/>
            <w:tcBorders>
              <w:top w:val="single" w:sz="2" w:space="0" w:color="auto"/>
              <w:bottom w:val="single" w:sz="2" w:space="0" w:color="auto"/>
            </w:tcBorders>
            <w:shd w:val="clear" w:color="auto" w:fill="auto"/>
            <w:noWrap/>
            <w:vAlign w:val="center"/>
            <w:hideMark/>
          </w:tcPr>
          <w:p w14:paraId="7DED68BF" w14:textId="3F09701E"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30 000</w:t>
            </w:r>
          </w:p>
        </w:tc>
        <w:tc>
          <w:tcPr>
            <w:tcW w:w="606" w:type="pct"/>
            <w:tcBorders>
              <w:top w:val="single" w:sz="2" w:space="0" w:color="auto"/>
              <w:bottom w:val="single" w:sz="2" w:space="0" w:color="auto"/>
            </w:tcBorders>
            <w:shd w:val="clear" w:color="auto" w:fill="auto"/>
            <w:noWrap/>
            <w:vAlign w:val="center"/>
            <w:hideMark/>
          </w:tcPr>
          <w:p w14:paraId="17D85B27"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622DB312" w14:textId="6DE6FAD3"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645" w:type="pct"/>
            <w:tcBorders>
              <w:top w:val="single" w:sz="2" w:space="0" w:color="auto"/>
              <w:bottom w:val="single" w:sz="2" w:space="0" w:color="auto"/>
            </w:tcBorders>
            <w:shd w:val="clear" w:color="auto" w:fill="FFFFFF" w:themeFill="background1"/>
            <w:noWrap/>
            <w:vAlign w:val="center"/>
            <w:hideMark/>
          </w:tcPr>
          <w:p w14:paraId="0E3B937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6BE0C027"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470F4AED"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30BA34B3" w14:textId="65E59F22"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30 000</w:t>
            </w:r>
          </w:p>
        </w:tc>
        <w:tc>
          <w:tcPr>
            <w:tcW w:w="606" w:type="pct"/>
            <w:tcBorders>
              <w:top w:val="single" w:sz="2" w:space="0" w:color="auto"/>
              <w:bottom w:val="single" w:sz="2" w:space="0" w:color="auto"/>
            </w:tcBorders>
            <w:shd w:val="clear" w:color="000000" w:fill="FFFFFF"/>
            <w:noWrap/>
            <w:vAlign w:val="center"/>
            <w:hideMark/>
          </w:tcPr>
          <w:p w14:paraId="72847F41"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6012E4B6" w14:textId="294EA37A"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45" w:type="pct"/>
            <w:tcBorders>
              <w:top w:val="single" w:sz="2" w:space="0" w:color="auto"/>
              <w:bottom w:val="single" w:sz="2" w:space="0" w:color="auto"/>
            </w:tcBorders>
            <w:shd w:val="clear" w:color="auto" w:fill="FFFFFF" w:themeFill="background1"/>
            <w:noWrap/>
            <w:vAlign w:val="center"/>
            <w:hideMark/>
          </w:tcPr>
          <w:p w14:paraId="4FDCFCF2"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227CD4" w:rsidRPr="00110AE6" w14:paraId="03D2B1CC"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28389C1E" w14:textId="77777777"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(A)</w:t>
            </w:r>
          </w:p>
        </w:tc>
        <w:tc>
          <w:tcPr>
            <w:tcW w:w="606" w:type="pct"/>
            <w:tcBorders>
              <w:top w:val="single" w:sz="2" w:space="0" w:color="auto"/>
              <w:bottom w:val="single" w:sz="2" w:space="0" w:color="auto"/>
            </w:tcBorders>
            <w:shd w:val="clear" w:color="000000" w:fill="FFFFFF"/>
            <w:noWrap/>
            <w:vAlign w:val="center"/>
            <w:hideMark/>
          </w:tcPr>
          <w:p w14:paraId="1EC9FFCB" w14:textId="0123D394"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1 000 000 </w:t>
            </w:r>
          </w:p>
        </w:tc>
        <w:tc>
          <w:tcPr>
            <w:tcW w:w="606" w:type="pct"/>
            <w:tcBorders>
              <w:top w:val="single" w:sz="2" w:space="0" w:color="auto"/>
              <w:bottom w:val="single" w:sz="2" w:space="0" w:color="auto"/>
            </w:tcBorders>
            <w:shd w:val="clear" w:color="000000" w:fill="FFFFFF"/>
            <w:noWrap/>
            <w:vAlign w:val="center"/>
            <w:hideMark/>
          </w:tcPr>
          <w:p w14:paraId="4666E0DE" w14:textId="6A820AF4"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1 175 000 </w:t>
            </w:r>
          </w:p>
        </w:tc>
        <w:tc>
          <w:tcPr>
            <w:tcW w:w="605" w:type="pct"/>
            <w:tcBorders>
              <w:top w:val="single" w:sz="2" w:space="0" w:color="auto"/>
              <w:bottom w:val="single" w:sz="2" w:space="0" w:color="auto"/>
            </w:tcBorders>
            <w:shd w:val="clear" w:color="auto" w:fill="FFFFFF" w:themeFill="background1"/>
            <w:noWrap/>
            <w:vAlign w:val="center"/>
            <w:hideMark/>
          </w:tcPr>
          <w:p w14:paraId="73CD817B" w14:textId="0836D122"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970 000 </w:t>
            </w:r>
          </w:p>
        </w:tc>
        <w:tc>
          <w:tcPr>
            <w:tcW w:w="645" w:type="pct"/>
            <w:tcBorders>
              <w:top w:val="single" w:sz="2" w:space="0" w:color="auto"/>
              <w:bottom w:val="single" w:sz="2" w:space="0" w:color="auto"/>
            </w:tcBorders>
            <w:shd w:val="clear" w:color="auto" w:fill="FFFFFF" w:themeFill="background1"/>
            <w:noWrap/>
            <w:vAlign w:val="center"/>
            <w:hideMark/>
          </w:tcPr>
          <w:p w14:paraId="2DED4DE9" w14:textId="43AEC728"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845 938 </w:t>
            </w:r>
          </w:p>
        </w:tc>
      </w:tr>
      <w:tr w:rsidR="00F7445B" w:rsidRPr="00110AE6" w14:paraId="04CB584B"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44FBA3E5"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B. </w:t>
            </w:r>
            <w:r w:rsidRPr="00110AE6">
              <w:rPr>
                <w:b/>
                <w:bCs/>
                <w:noProof/>
                <w:sz w:val="17"/>
                <w:szCs w:val="17"/>
                <w:lang w:val="fr-FR"/>
              </w:rPr>
              <w:t>Renforcement des capacités et assistance technique</w:t>
            </w:r>
          </w:p>
        </w:tc>
      </w:tr>
      <w:tr w:rsidR="00F7445B" w:rsidRPr="00110AE6" w14:paraId="0D1AA75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0806EF65" w14:textId="46C476B3"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5. </w:t>
            </w:r>
            <w:r w:rsidRPr="00110AE6">
              <w:rPr>
                <w:b/>
                <w:bCs/>
                <w:noProof/>
                <w:sz w:val="17"/>
                <w:szCs w:val="17"/>
                <w:lang w:val="fr-FR"/>
              </w:rPr>
              <w:t>Programme de renforcement des capacités et d</w:t>
            </w:r>
            <w:r w:rsidR="00D05492" w:rsidRPr="00110AE6">
              <w:rPr>
                <w:b/>
                <w:bCs/>
                <w:noProof/>
                <w:sz w:val="17"/>
                <w:szCs w:val="17"/>
                <w:lang w:val="fr-FR"/>
              </w:rPr>
              <w:t>’</w:t>
            </w:r>
            <w:r w:rsidRPr="00110AE6">
              <w:rPr>
                <w:b/>
                <w:bCs/>
                <w:noProof/>
                <w:sz w:val="17"/>
                <w:szCs w:val="17"/>
                <w:lang w:val="fr-FR"/>
              </w:rPr>
              <w:t>assistance technique de la Convention de Minamata</w:t>
            </w:r>
          </w:p>
        </w:tc>
      </w:tr>
      <w:tr w:rsidR="00227CD4" w:rsidRPr="00110AE6" w14:paraId="165C1CC8" w14:textId="77777777" w:rsidTr="00227CD4">
        <w:trPr>
          <w:trHeight w:val="375"/>
        </w:trPr>
        <w:tc>
          <w:tcPr>
            <w:tcW w:w="129" w:type="pct"/>
            <w:tcBorders>
              <w:top w:val="single" w:sz="2" w:space="0" w:color="auto"/>
            </w:tcBorders>
            <w:shd w:val="clear" w:color="000000" w:fill="FFFFFF"/>
            <w:noWrap/>
            <w:hideMark/>
          </w:tcPr>
          <w:p w14:paraId="5293AB65"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tcBorders>
            <w:shd w:val="clear" w:color="000000" w:fill="FFFFFF"/>
            <w:noWrap/>
            <w:vAlign w:val="center"/>
            <w:hideMark/>
          </w:tcPr>
          <w:p w14:paraId="06233143"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5.1. Activités intersectorielles</w:t>
            </w:r>
          </w:p>
        </w:tc>
        <w:tc>
          <w:tcPr>
            <w:tcW w:w="606" w:type="pct"/>
            <w:tcBorders>
              <w:top w:val="single" w:sz="2" w:space="0" w:color="auto"/>
            </w:tcBorders>
            <w:shd w:val="clear" w:color="000000" w:fill="FFFFFF"/>
            <w:noWrap/>
            <w:vAlign w:val="center"/>
            <w:hideMark/>
          </w:tcPr>
          <w:p w14:paraId="0F259C9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top w:val="single" w:sz="2" w:space="0" w:color="auto"/>
            </w:tcBorders>
            <w:shd w:val="clear" w:color="000000" w:fill="FFFFFF"/>
            <w:noWrap/>
            <w:vAlign w:val="center"/>
            <w:hideMark/>
          </w:tcPr>
          <w:p w14:paraId="30F486F3" w14:textId="61E314B6"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300 000 </w:t>
            </w:r>
          </w:p>
        </w:tc>
        <w:tc>
          <w:tcPr>
            <w:tcW w:w="605" w:type="pct"/>
            <w:tcBorders>
              <w:top w:val="single" w:sz="2" w:space="0" w:color="auto"/>
            </w:tcBorders>
            <w:shd w:val="clear" w:color="auto" w:fill="FFFFFF" w:themeFill="background1"/>
            <w:noWrap/>
            <w:vAlign w:val="center"/>
            <w:hideMark/>
          </w:tcPr>
          <w:p w14:paraId="2FE9E00F"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tcBorders>
            <w:shd w:val="clear" w:color="auto" w:fill="FFFFFF" w:themeFill="background1"/>
            <w:noWrap/>
            <w:vAlign w:val="center"/>
            <w:hideMark/>
          </w:tcPr>
          <w:p w14:paraId="3A4579BD"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64F9DEC0" w14:textId="77777777" w:rsidTr="00227CD4">
        <w:trPr>
          <w:trHeight w:val="315"/>
        </w:trPr>
        <w:tc>
          <w:tcPr>
            <w:tcW w:w="129" w:type="pct"/>
            <w:shd w:val="clear" w:color="000000" w:fill="FFFFFF"/>
            <w:noWrap/>
            <w:hideMark/>
          </w:tcPr>
          <w:p w14:paraId="66C8E551"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44124B43" w14:textId="7F1713FE"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5.2. Étude d</w:t>
            </w:r>
            <w:r w:rsidR="00D05492" w:rsidRPr="00110AE6">
              <w:rPr>
                <w:noProof/>
                <w:sz w:val="17"/>
                <w:szCs w:val="17"/>
                <w:lang w:val="fr-FR"/>
              </w:rPr>
              <w:t>’</w:t>
            </w:r>
            <w:r w:rsidRPr="00110AE6">
              <w:rPr>
                <w:noProof/>
                <w:sz w:val="17"/>
                <w:szCs w:val="17"/>
                <w:lang w:val="fr-FR"/>
              </w:rPr>
              <w:t>impact</w:t>
            </w:r>
          </w:p>
        </w:tc>
        <w:tc>
          <w:tcPr>
            <w:tcW w:w="606" w:type="pct"/>
            <w:shd w:val="clear" w:color="000000" w:fill="FFFFFF"/>
            <w:noWrap/>
            <w:vAlign w:val="center"/>
            <w:hideMark/>
          </w:tcPr>
          <w:p w14:paraId="0CDE265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417127F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2D16816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536F040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7C554A52" w14:textId="77777777" w:rsidTr="00227CD4">
        <w:trPr>
          <w:trHeight w:val="315"/>
        </w:trPr>
        <w:tc>
          <w:tcPr>
            <w:tcW w:w="129" w:type="pct"/>
            <w:shd w:val="clear" w:color="000000" w:fill="FFFFFF"/>
            <w:noWrap/>
            <w:hideMark/>
          </w:tcPr>
          <w:p w14:paraId="60E348A9"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0A675E3B"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5.3. Outils et méthodes</w:t>
            </w:r>
          </w:p>
        </w:tc>
        <w:tc>
          <w:tcPr>
            <w:tcW w:w="606" w:type="pct"/>
            <w:shd w:val="clear" w:color="000000" w:fill="FFFFFF"/>
            <w:noWrap/>
            <w:vAlign w:val="center"/>
            <w:hideMark/>
          </w:tcPr>
          <w:p w14:paraId="3A96A0F3"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3FA967DD" w14:textId="1B1BC065"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605" w:type="pct"/>
            <w:shd w:val="clear" w:color="auto" w:fill="FFFFFF" w:themeFill="background1"/>
            <w:noWrap/>
            <w:vAlign w:val="center"/>
            <w:hideMark/>
          </w:tcPr>
          <w:p w14:paraId="61025E1A"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32E0FCF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746004E2" w14:textId="77777777" w:rsidTr="00227CD4">
        <w:trPr>
          <w:trHeight w:val="315"/>
        </w:trPr>
        <w:tc>
          <w:tcPr>
            <w:tcW w:w="129" w:type="pct"/>
            <w:shd w:val="clear" w:color="000000" w:fill="FFFFFF"/>
            <w:noWrap/>
            <w:hideMark/>
          </w:tcPr>
          <w:p w14:paraId="6F112DA3"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0110BE2E"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5.4. Évaluation des besoins</w:t>
            </w:r>
          </w:p>
        </w:tc>
        <w:tc>
          <w:tcPr>
            <w:tcW w:w="606" w:type="pct"/>
            <w:shd w:val="clear" w:color="000000" w:fill="FFFFFF"/>
            <w:noWrap/>
            <w:vAlign w:val="center"/>
            <w:hideMark/>
          </w:tcPr>
          <w:p w14:paraId="7A5C96D7"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hideMark/>
          </w:tcPr>
          <w:p w14:paraId="4D13B5C9"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0831B2D2"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75A5CABF"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2D228AA5" w14:textId="77777777" w:rsidTr="00227CD4">
        <w:trPr>
          <w:trHeight w:val="315"/>
        </w:trPr>
        <w:tc>
          <w:tcPr>
            <w:tcW w:w="129" w:type="pct"/>
            <w:shd w:val="clear" w:color="000000" w:fill="FFFFFF"/>
            <w:noWrap/>
            <w:hideMark/>
          </w:tcPr>
          <w:p w14:paraId="22A849EA"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2D285A92"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 xml:space="preserve">5.5. Activités de développement de capacités spécifiques </w:t>
            </w:r>
          </w:p>
        </w:tc>
        <w:tc>
          <w:tcPr>
            <w:tcW w:w="606" w:type="pct"/>
            <w:shd w:val="clear" w:color="000000" w:fill="FFFFFF"/>
            <w:noWrap/>
            <w:vAlign w:val="center"/>
            <w:hideMark/>
          </w:tcPr>
          <w:p w14:paraId="00274E3D"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7EF11A4D" w14:textId="0BA0BAE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500 000 </w:t>
            </w:r>
          </w:p>
        </w:tc>
        <w:tc>
          <w:tcPr>
            <w:tcW w:w="605" w:type="pct"/>
            <w:shd w:val="clear" w:color="auto" w:fill="FFFFFF" w:themeFill="background1"/>
            <w:noWrap/>
            <w:vAlign w:val="center"/>
            <w:hideMark/>
          </w:tcPr>
          <w:p w14:paraId="028AF942"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28890F7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5E10711D" w14:textId="77777777" w:rsidTr="00227CD4">
        <w:trPr>
          <w:trHeight w:val="315"/>
        </w:trPr>
        <w:tc>
          <w:tcPr>
            <w:tcW w:w="129" w:type="pct"/>
            <w:tcBorders>
              <w:bottom w:val="single" w:sz="2" w:space="0" w:color="auto"/>
            </w:tcBorders>
            <w:shd w:val="clear" w:color="000000" w:fill="FFFFFF"/>
            <w:noWrap/>
            <w:hideMark/>
          </w:tcPr>
          <w:p w14:paraId="212D9A95" w14:textId="77777777" w:rsidR="00F7445B" w:rsidRPr="00110AE6" w:rsidRDefault="00F7445B" w:rsidP="00A94420">
            <w:pPr>
              <w:keepNext/>
              <w:widowControl w:val="0"/>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bottom w:val="single" w:sz="2" w:space="0" w:color="auto"/>
            </w:tcBorders>
            <w:shd w:val="clear" w:color="000000" w:fill="FFFFFF"/>
            <w:noWrap/>
            <w:vAlign w:val="center"/>
            <w:hideMark/>
          </w:tcPr>
          <w:p w14:paraId="6D901A45" w14:textId="77777777" w:rsidR="00F7445B" w:rsidRPr="00110AE6" w:rsidRDefault="00F7445B" w:rsidP="00A94420">
            <w:pPr>
              <w:keepNext/>
              <w:widowControl w:val="0"/>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5.6. Activités de renforcement des capacités menées sur demande</w:t>
            </w:r>
          </w:p>
        </w:tc>
        <w:tc>
          <w:tcPr>
            <w:tcW w:w="606" w:type="pct"/>
            <w:tcBorders>
              <w:bottom w:val="single" w:sz="2" w:space="0" w:color="auto"/>
            </w:tcBorders>
            <w:shd w:val="clear" w:color="000000" w:fill="FFFFFF"/>
            <w:noWrap/>
            <w:vAlign w:val="center"/>
            <w:hideMark/>
          </w:tcPr>
          <w:p w14:paraId="4C4CC898" w14:textId="77777777" w:rsidR="00F7445B" w:rsidRPr="00110AE6" w:rsidRDefault="00F7445B" w:rsidP="00A94420">
            <w:pPr>
              <w:keepNext/>
              <w:widowControl w:val="0"/>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bottom w:val="single" w:sz="2" w:space="0" w:color="auto"/>
            </w:tcBorders>
            <w:shd w:val="clear" w:color="000000" w:fill="FFFFFF"/>
            <w:noWrap/>
            <w:vAlign w:val="center"/>
            <w:hideMark/>
          </w:tcPr>
          <w:p w14:paraId="38B84F0E" w14:textId="21A479D2" w:rsidR="00F7445B" w:rsidRPr="00110AE6" w:rsidRDefault="00F7445B" w:rsidP="00A94420">
            <w:pPr>
              <w:keepNext/>
              <w:widowControl w:val="0"/>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800 000 </w:t>
            </w:r>
          </w:p>
        </w:tc>
        <w:tc>
          <w:tcPr>
            <w:tcW w:w="605" w:type="pct"/>
            <w:tcBorders>
              <w:bottom w:val="single" w:sz="2" w:space="0" w:color="auto"/>
            </w:tcBorders>
            <w:shd w:val="clear" w:color="auto" w:fill="FFFFFF" w:themeFill="background1"/>
            <w:noWrap/>
            <w:vAlign w:val="center"/>
            <w:hideMark/>
          </w:tcPr>
          <w:p w14:paraId="11BD8BC7" w14:textId="77777777" w:rsidR="00F7445B" w:rsidRPr="00110AE6" w:rsidRDefault="00F7445B" w:rsidP="00A94420">
            <w:pPr>
              <w:keepNext/>
              <w:widowControl w:val="0"/>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bottom w:val="single" w:sz="2" w:space="0" w:color="auto"/>
            </w:tcBorders>
            <w:shd w:val="clear" w:color="auto" w:fill="FFFFFF" w:themeFill="background1"/>
            <w:noWrap/>
            <w:vAlign w:val="center"/>
            <w:hideMark/>
          </w:tcPr>
          <w:p w14:paraId="2FA813E8" w14:textId="57802C76" w:rsidR="00F7445B" w:rsidRPr="00110AE6" w:rsidRDefault="00FA7C72" w:rsidP="00A94420">
            <w:pPr>
              <w:keepNext/>
              <w:widowControl w:val="0"/>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11 640 </w:t>
            </w:r>
          </w:p>
        </w:tc>
      </w:tr>
      <w:tr w:rsidR="00227CD4" w:rsidRPr="00110AE6" w14:paraId="460FCF08"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37D04A77" w14:textId="77777777" w:rsidR="00F7445B" w:rsidRPr="00110AE6" w:rsidRDefault="00F7445B" w:rsidP="00A94420">
            <w:pPr>
              <w:keepNext/>
              <w:widowControl w:val="0"/>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(B)</w:t>
            </w:r>
          </w:p>
        </w:tc>
        <w:tc>
          <w:tcPr>
            <w:tcW w:w="606" w:type="pct"/>
            <w:tcBorders>
              <w:top w:val="single" w:sz="2" w:space="0" w:color="auto"/>
              <w:bottom w:val="single" w:sz="2" w:space="0" w:color="auto"/>
            </w:tcBorders>
            <w:shd w:val="clear" w:color="000000" w:fill="FFFFFF"/>
            <w:noWrap/>
            <w:vAlign w:val="center"/>
            <w:hideMark/>
          </w:tcPr>
          <w:p w14:paraId="4CC58468" w14:textId="437F0A43" w:rsidR="00F7445B" w:rsidRPr="00110AE6" w:rsidRDefault="00F7445B" w:rsidP="00A94420">
            <w:pPr>
              <w:keepNext/>
              <w:widowControl w:val="0"/>
              <w:tabs>
                <w:tab w:val="clear" w:pos="1247"/>
                <w:tab w:val="clear" w:pos="1814"/>
                <w:tab w:val="clear" w:pos="2381"/>
                <w:tab w:val="clear" w:pos="2948"/>
                <w:tab w:val="clear" w:pos="3515"/>
              </w:tabs>
              <w:jc w:val="right"/>
              <w:rPr>
                <w:b/>
                <w:bCs/>
                <w:noProof/>
                <w:color w:val="000000"/>
                <w:sz w:val="17"/>
                <w:szCs w:val="17"/>
                <w:lang w:val="fr-FR"/>
              </w:rPr>
            </w:pPr>
            <w:r w:rsidRPr="00110AE6">
              <w:rPr>
                <w:b/>
                <w:bCs/>
                <w:noProof/>
                <w:sz w:val="17"/>
                <w:szCs w:val="17"/>
                <w:lang w:val="fr-FR"/>
              </w:rPr>
              <w:t>-</w:t>
            </w:r>
          </w:p>
        </w:tc>
        <w:tc>
          <w:tcPr>
            <w:tcW w:w="606" w:type="pct"/>
            <w:tcBorders>
              <w:top w:val="single" w:sz="2" w:space="0" w:color="auto"/>
              <w:bottom w:val="single" w:sz="2" w:space="0" w:color="auto"/>
            </w:tcBorders>
            <w:shd w:val="clear" w:color="000000" w:fill="FFFFFF"/>
            <w:noWrap/>
            <w:vAlign w:val="center"/>
            <w:hideMark/>
          </w:tcPr>
          <w:p w14:paraId="50756711" w14:textId="12B16F87" w:rsidR="00F7445B" w:rsidRPr="00110AE6" w:rsidRDefault="00F7445B" w:rsidP="00A94420">
            <w:pPr>
              <w:keepNext/>
              <w:widowControl w:val="0"/>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1 650 000 </w:t>
            </w:r>
          </w:p>
        </w:tc>
        <w:tc>
          <w:tcPr>
            <w:tcW w:w="605" w:type="pct"/>
            <w:tcBorders>
              <w:top w:val="single" w:sz="2" w:space="0" w:color="auto"/>
              <w:bottom w:val="single" w:sz="2" w:space="0" w:color="auto"/>
            </w:tcBorders>
            <w:shd w:val="clear" w:color="auto" w:fill="FFFFFF" w:themeFill="background1"/>
            <w:noWrap/>
            <w:vAlign w:val="center"/>
            <w:hideMark/>
          </w:tcPr>
          <w:p w14:paraId="42FFD67C" w14:textId="41A45C6F" w:rsidR="00F7445B" w:rsidRPr="00110AE6" w:rsidRDefault="00F7445B" w:rsidP="00A94420">
            <w:pPr>
              <w:keepNext/>
              <w:widowControl w:val="0"/>
              <w:tabs>
                <w:tab w:val="clear" w:pos="1247"/>
                <w:tab w:val="clear" w:pos="1814"/>
                <w:tab w:val="clear" w:pos="2381"/>
                <w:tab w:val="clear" w:pos="2948"/>
                <w:tab w:val="clear" w:pos="3515"/>
              </w:tabs>
              <w:jc w:val="right"/>
              <w:rPr>
                <w:b/>
                <w:bCs/>
                <w:noProof/>
                <w:color w:val="000000"/>
                <w:sz w:val="17"/>
                <w:szCs w:val="17"/>
                <w:lang w:val="fr-FR"/>
              </w:rPr>
            </w:pPr>
            <w:r w:rsidRPr="00110AE6">
              <w:rPr>
                <w:b/>
                <w:bCs/>
                <w:noProof/>
                <w:sz w:val="17"/>
                <w:szCs w:val="17"/>
                <w:lang w:val="fr-FR"/>
              </w:rPr>
              <w:t>-</w:t>
            </w:r>
          </w:p>
        </w:tc>
        <w:tc>
          <w:tcPr>
            <w:tcW w:w="645" w:type="pct"/>
            <w:tcBorders>
              <w:top w:val="single" w:sz="2" w:space="0" w:color="auto"/>
              <w:bottom w:val="single" w:sz="2" w:space="0" w:color="auto"/>
            </w:tcBorders>
            <w:shd w:val="clear" w:color="auto" w:fill="FFFFFF" w:themeFill="background1"/>
            <w:noWrap/>
            <w:vAlign w:val="center"/>
            <w:hideMark/>
          </w:tcPr>
          <w:p w14:paraId="6BD42EAF" w14:textId="0D348A82" w:rsidR="00F7445B" w:rsidRPr="00110AE6" w:rsidRDefault="00FA7C72" w:rsidP="00A94420">
            <w:pPr>
              <w:keepNext/>
              <w:widowControl w:val="0"/>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11 640 </w:t>
            </w:r>
          </w:p>
        </w:tc>
      </w:tr>
      <w:tr w:rsidR="00F7445B" w:rsidRPr="00110AE6" w14:paraId="26A9B8A5"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67864FA1"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C.</w:t>
            </w:r>
            <w:r w:rsidRPr="00110AE6">
              <w:rPr>
                <w:noProof/>
                <w:sz w:val="17"/>
                <w:szCs w:val="17"/>
                <w:lang w:val="fr-FR"/>
              </w:rPr>
              <w:t xml:space="preserve"> </w:t>
            </w:r>
            <w:r w:rsidRPr="00110AE6">
              <w:rPr>
                <w:b/>
                <w:bCs/>
                <w:noProof/>
                <w:sz w:val="17"/>
                <w:szCs w:val="17"/>
                <w:lang w:val="fr-FR"/>
              </w:rPr>
              <w:t>Activités scientifiques et techniques</w:t>
            </w:r>
          </w:p>
        </w:tc>
      </w:tr>
      <w:tr w:rsidR="00F7445B" w:rsidRPr="00110AE6" w14:paraId="77391D50"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581D4DA8"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6. </w:t>
            </w:r>
            <w:r w:rsidRPr="00110AE6">
              <w:rPr>
                <w:b/>
                <w:bCs/>
                <w:noProof/>
                <w:sz w:val="17"/>
                <w:szCs w:val="17"/>
                <w:lang w:val="fr-FR"/>
              </w:rPr>
              <w:t>Appui scientifique aux États parties à la Convention de Minamata</w:t>
            </w:r>
          </w:p>
        </w:tc>
      </w:tr>
      <w:tr w:rsidR="00227CD4" w:rsidRPr="00110AE6" w14:paraId="6289B562" w14:textId="77777777" w:rsidTr="00227CD4">
        <w:trPr>
          <w:trHeight w:val="315"/>
        </w:trPr>
        <w:tc>
          <w:tcPr>
            <w:tcW w:w="129" w:type="pct"/>
            <w:tcBorders>
              <w:top w:val="single" w:sz="2" w:space="0" w:color="auto"/>
              <w:bottom w:val="single" w:sz="2" w:space="0" w:color="auto"/>
            </w:tcBorders>
            <w:shd w:val="clear" w:color="000000" w:fill="FFFFFF"/>
            <w:noWrap/>
            <w:vAlign w:val="center"/>
            <w:hideMark/>
          </w:tcPr>
          <w:p w14:paraId="65268CDB"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000000" w:fill="FFFFFF"/>
            <w:noWrap/>
            <w:vAlign w:val="center"/>
            <w:hideMark/>
          </w:tcPr>
          <w:p w14:paraId="12F6A513"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6.1. Appui scientifique aux États parties à la Convention</w:t>
            </w:r>
          </w:p>
        </w:tc>
        <w:tc>
          <w:tcPr>
            <w:tcW w:w="606" w:type="pct"/>
            <w:tcBorders>
              <w:top w:val="single" w:sz="2" w:space="0" w:color="auto"/>
              <w:bottom w:val="single" w:sz="2" w:space="0" w:color="auto"/>
            </w:tcBorders>
            <w:shd w:val="clear" w:color="000000" w:fill="FFFFFF"/>
            <w:noWrap/>
            <w:vAlign w:val="center"/>
            <w:hideMark/>
          </w:tcPr>
          <w:p w14:paraId="1B27728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5360F6A9"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49E3A0E3"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3CA00918" w14:textId="59228E55"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162 000 </w:t>
            </w:r>
          </w:p>
        </w:tc>
      </w:tr>
      <w:tr w:rsidR="00227CD4" w:rsidRPr="00110AE6" w14:paraId="1061207A"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58005E5F"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2131405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797D7382"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5CC54DBE"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18445442" w14:textId="1DBB2C7F"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162 000 </w:t>
            </w:r>
          </w:p>
        </w:tc>
      </w:tr>
      <w:tr w:rsidR="00F7445B" w:rsidRPr="00110AE6" w14:paraId="7F51759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79279A25" w14:textId="100E569F"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7. </w:t>
            </w:r>
            <w:r w:rsidRPr="00110AE6">
              <w:rPr>
                <w:b/>
                <w:bCs/>
                <w:noProof/>
                <w:sz w:val="17"/>
                <w:szCs w:val="17"/>
                <w:lang w:val="fr-FR"/>
              </w:rPr>
              <w:t>Évaluation de l</w:t>
            </w:r>
            <w:r w:rsidR="00D05492" w:rsidRPr="00110AE6">
              <w:rPr>
                <w:b/>
                <w:bCs/>
                <w:noProof/>
                <w:sz w:val="17"/>
                <w:szCs w:val="17"/>
                <w:lang w:val="fr-FR"/>
              </w:rPr>
              <w:t>’</w:t>
            </w:r>
            <w:r w:rsidRPr="00110AE6">
              <w:rPr>
                <w:b/>
                <w:bCs/>
                <w:noProof/>
                <w:sz w:val="17"/>
                <w:szCs w:val="17"/>
                <w:lang w:val="fr-FR"/>
              </w:rPr>
              <w:t>efficacité et plan mondial de surveillance</w:t>
            </w:r>
          </w:p>
        </w:tc>
      </w:tr>
      <w:tr w:rsidR="00227CD4" w:rsidRPr="00110AE6" w14:paraId="205F3A72" w14:textId="77777777" w:rsidTr="00227CD4">
        <w:trPr>
          <w:trHeight w:val="315"/>
        </w:trPr>
        <w:tc>
          <w:tcPr>
            <w:tcW w:w="129" w:type="pct"/>
            <w:tcBorders>
              <w:top w:val="single" w:sz="2" w:space="0" w:color="auto"/>
              <w:bottom w:val="single" w:sz="2" w:space="0" w:color="auto"/>
            </w:tcBorders>
            <w:shd w:val="clear" w:color="000000" w:fill="FFFFFF"/>
            <w:noWrap/>
            <w:vAlign w:val="center"/>
            <w:hideMark/>
          </w:tcPr>
          <w:p w14:paraId="731A6273"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000000" w:fill="FFFFFF"/>
            <w:noWrap/>
            <w:vAlign w:val="center"/>
            <w:hideMark/>
          </w:tcPr>
          <w:p w14:paraId="563FC233" w14:textId="40C80871"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7.1. Évaluation de l</w:t>
            </w:r>
            <w:r w:rsidR="00D05492" w:rsidRPr="00110AE6">
              <w:rPr>
                <w:noProof/>
                <w:sz w:val="17"/>
                <w:szCs w:val="17"/>
                <w:lang w:val="fr-FR"/>
              </w:rPr>
              <w:t>’</w:t>
            </w:r>
            <w:r w:rsidRPr="00110AE6">
              <w:rPr>
                <w:noProof/>
                <w:sz w:val="17"/>
                <w:szCs w:val="17"/>
                <w:lang w:val="fr-FR"/>
              </w:rPr>
              <w:t>efficacité et plan mondial de surveillance</w:t>
            </w:r>
          </w:p>
        </w:tc>
        <w:tc>
          <w:tcPr>
            <w:tcW w:w="606" w:type="pct"/>
            <w:tcBorders>
              <w:top w:val="single" w:sz="2" w:space="0" w:color="auto"/>
              <w:bottom w:val="single" w:sz="2" w:space="0" w:color="auto"/>
            </w:tcBorders>
            <w:shd w:val="clear" w:color="000000" w:fill="FFFFFF"/>
            <w:noWrap/>
            <w:vAlign w:val="center"/>
            <w:hideMark/>
          </w:tcPr>
          <w:p w14:paraId="6709F212"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03988AB0"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0E0D35DE"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2BD83468"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184479C2"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0051F7E4"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639F9C7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7D41D19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6111EEE9"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080739E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0DD3BE67"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15FFB51C"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8. </w:t>
            </w:r>
            <w:r w:rsidRPr="00110AE6">
              <w:rPr>
                <w:b/>
                <w:bCs/>
                <w:noProof/>
                <w:sz w:val="17"/>
                <w:szCs w:val="17"/>
                <w:lang w:val="fr-FR"/>
              </w:rPr>
              <w:t>Rapports nationaux présentés au titre de la Convention de Minamata</w:t>
            </w:r>
          </w:p>
        </w:tc>
      </w:tr>
      <w:tr w:rsidR="00227CD4" w:rsidRPr="00110AE6" w14:paraId="28261385" w14:textId="77777777" w:rsidTr="00227CD4">
        <w:trPr>
          <w:trHeight w:val="315"/>
        </w:trPr>
        <w:tc>
          <w:tcPr>
            <w:tcW w:w="129" w:type="pct"/>
            <w:tcBorders>
              <w:top w:val="single" w:sz="2" w:space="0" w:color="auto"/>
              <w:bottom w:val="single" w:sz="2" w:space="0" w:color="auto"/>
            </w:tcBorders>
            <w:shd w:val="clear" w:color="000000" w:fill="FFFFFF"/>
            <w:noWrap/>
            <w:vAlign w:val="center"/>
            <w:hideMark/>
          </w:tcPr>
          <w:p w14:paraId="0F3C36FC"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000000" w:fill="FFFFFF"/>
            <w:noWrap/>
            <w:vAlign w:val="center"/>
            <w:hideMark/>
          </w:tcPr>
          <w:p w14:paraId="1416128E"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8.1. Rapports nationaux présentés au titre de la Convention de Minamata</w:t>
            </w:r>
          </w:p>
        </w:tc>
        <w:tc>
          <w:tcPr>
            <w:tcW w:w="606" w:type="pct"/>
            <w:tcBorders>
              <w:top w:val="single" w:sz="2" w:space="0" w:color="auto"/>
              <w:bottom w:val="single" w:sz="2" w:space="0" w:color="auto"/>
            </w:tcBorders>
            <w:shd w:val="clear" w:color="000000" w:fill="FFFFFF"/>
            <w:noWrap/>
            <w:vAlign w:val="center"/>
            <w:hideMark/>
          </w:tcPr>
          <w:p w14:paraId="2DD27D1F" w14:textId="33C34096"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606" w:type="pct"/>
            <w:tcBorders>
              <w:top w:val="single" w:sz="2" w:space="0" w:color="auto"/>
              <w:bottom w:val="single" w:sz="2" w:space="0" w:color="auto"/>
            </w:tcBorders>
            <w:shd w:val="clear" w:color="000000" w:fill="FFFFFF"/>
            <w:noWrap/>
            <w:vAlign w:val="center"/>
            <w:hideMark/>
          </w:tcPr>
          <w:p w14:paraId="7F16D630"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2A23FE07"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41D51F7F"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7D96E0AB"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57C79AA0"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1F83C6A4" w14:textId="4BDADC81"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06" w:type="pct"/>
            <w:tcBorders>
              <w:top w:val="single" w:sz="2" w:space="0" w:color="auto"/>
              <w:bottom w:val="single" w:sz="2" w:space="0" w:color="auto"/>
            </w:tcBorders>
            <w:shd w:val="clear" w:color="000000" w:fill="FFFFFF"/>
            <w:noWrap/>
            <w:vAlign w:val="center"/>
            <w:hideMark/>
          </w:tcPr>
          <w:p w14:paraId="1D68453E"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44350FD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42ACE340"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227CD4" w:rsidRPr="00110AE6" w14:paraId="61AFEA91" w14:textId="77777777" w:rsidTr="00227CD4">
        <w:trPr>
          <w:trHeight w:val="355"/>
        </w:trPr>
        <w:tc>
          <w:tcPr>
            <w:tcW w:w="2538" w:type="pct"/>
            <w:gridSpan w:val="3"/>
            <w:tcBorders>
              <w:top w:val="single" w:sz="2" w:space="0" w:color="auto"/>
              <w:bottom w:val="single" w:sz="2" w:space="0" w:color="auto"/>
            </w:tcBorders>
            <w:shd w:val="clear" w:color="000000" w:fill="FFFFFF"/>
            <w:noWrap/>
            <w:vAlign w:val="center"/>
            <w:hideMark/>
          </w:tcPr>
          <w:p w14:paraId="2035F8D5" w14:textId="77777777"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(C)</w:t>
            </w:r>
          </w:p>
        </w:tc>
        <w:tc>
          <w:tcPr>
            <w:tcW w:w="606" w:type="pct"/>
            <w:tcBorders>
              <w:top w:val="single" w:sz="2" w:space="0" w:color="auto"/>
              <w:bottom w:val="single" w:sz="2" w:space="0" w:color="auto"/>
            </w:tcBorders>
            <w:shd w:val="clear" w:color="000000" w:fill="FFFFFF"/>
            <w:noWrap/>
            <w:vAlign w:val="center"/>
            <w:hideMark/>
          </w:tcPr>
          <w:p w14:paraId="5197CED5" w14:textId="5FD75770"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06" w:type="pct"/>
            <w:tcBorders>
              <w:top w:val="single" w:sz="2" w:space="0" w:color="auto"/>
              <w:bottom w:val="single" w:sz="2" w:space="0" w:color="auto"/>
            </w:tcBorders>
            <w:shd w:val="clear" w:color="000000" w:fill="FFFFFF"/>
            <w:noWrap/>
            <w:vAlign w:val="center"/>
            <w:hideMark/>
          </w:tcPr>
          <w:p w14:paraId="47E697D9"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745C2AD5"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0EE426C4" w14:textId="5396F375" w:rsidR="00F7445B" w:rsidRPr="00110AE6" w:rsidRDefault="009649F6"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162 000 </w:t>
            </w:r>
          </w:p>
        </w:tc>
      </w:tr>
      <w:tr w:rsidR="00F7445B" w:rsidRPr="00110AE6" w14:paraId="45ED050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34C6B3D0" w14:textId="622E5D71"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D. Gestion des connaissances et de l</w:t>
            </w:r>
            <w:r w:rsidR="00D05492" w:rsidRPr="00110AE6">
              <w:rPr>
                <w:b/>
                <w:noProof/>
                <w:sz w:val="17"/>
                <w:szCs w:val="17"/>
                <w:lang w:val="fr-FR"/>
              </w:rPr>
              <w:t>’</w:t>
            </w:r>
            <w:r w:rsidRPr="00110AE6">
              <w:rPr>
                <w:b/>
                <w:noProof/>
                <w:sz w:val="17"/>
                <w:szCs w:val="17"/>
                <w:lang w:val="fr-FR"/>
              </w:rPr>
              <w:t xml:space="preserve">information et communication </w:t>
            </w:r>
          </w:p>
        </w:tc>
      </w:tr>
      <w:tr w:rsidR="00F7445B" w:rsidRPr="00110AE6" w14:paraId="4BFFCB76" w14:textId="77777777" w:rsidTr="00227CD4">
        <w:trPr>
          <w:trHeight w:val="315"/>
        </w:trPr>
        <w:tc>
          <w:tcPr>
            <w:tcW w:w="5000" w:type="pct"/>
            <w:gridSpan w:val="7"/>
            <w:tcBorders>
              <w:top w:val="single" w:sz="2" w:space="0" w:color="auto"/>
            </w:tcBorders>
            <w:shd w:val="clear" w:color="auto" w:fill="FFFFFF" w:themeFill="background1"/>
            <w:noWrap/>
            <w:vAlign w:val="center"/>
            <w:hideMark/>
          </w:tcPr>
          <w:p w14:paraId="30E7E9C4"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9. </w:t>
            </w:r>
            <w:r w:rsidRPr="00110AE6">
              <w:rPr>
                <w:b/>
                <w:bCs/>
                <w:noProof/>
                <w:sz w:val="17"/>
                <w:szCs w:val="17"/>
                <w:lang w:val="fr-FR"/>
              </w:rPr>
              <w:t>Publications</w:t>
            </w:r>
          </w:p>
        </w:tc>
      </w:tr>
      <w:tr w:rsidR="00227CD4" w:rsidRPr="00110AE6" w14:paraId="1CC34FE2" w14:textId="77777777" w:rsidTr="00227CD4">
        <w:trPr>
          <w:trHeight w:val="315"/>
        </w:trPr>
        <w:tc>
          <w:tcPr>
            <w:tcW w:w="129" w:type="pct"/>
            <w:tcBorders>
              <w:bottom w:val="single" w:sz="2" w:space="0" w:color="auto"/>
            </w:tcBorders>
            <w:shd w:val="clear" w:color="000000" w:fill="FFFFFF"/>
            <w:noWrap/>
            <w:vAlign w:val="center"/>
            <w:hideMark/>
          </w:tcPr>
          <w:p w14:paraId="2F2D3DBE"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bottom w:val="single" w:sz="2" w:space="0" w:color="auto"/>
            </w:tcBorders>
            <w:shd w:val="clear" w:color="000000" w:fill="FFFFFF"/>
            <w:noWrap/>
            <w:vAlign w:val="center"/>
            <w:hideMark/>
          </w:tcPr>
          <w:p w14:paraId="75A66DA0"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9.1. Publications</w:t>
            </w:r>
          </w:p>
        </w:tc>
        <w:tc>
          <w:tcPr>
            <w:tcW w:w="606" w:type="pct"/>
            <w:tcBorders>
              <w:bottom w:val="single" w:sz="2" w:space="0" w:color="auto"/>
            </w:tcBorders>
            <w:shd w:val="clear" w:color="000000" w:fill="FFFFFF"/>
            <w:noWrap/>
            <w:vAlign w:val="center"/>
            <w:hideMark/>
          </w:tcPr>
          <w:p w14:paraId="0CC87788" w14:textId="64A90F74"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606" w:type="pct"/>
            <w:tcBorders>
              <w:bottom w:val="single" w:sz="2" w:space="0" w:color="auto"/>
            </w:tcBorders>
            <w:shd w:val="clear" w:color="000000" w:fill="FFFFFF"/>
            <w:noWrap/>
            <w:vAlign w:val="center"/>
            <w:hideMark/>
          </w:tcPr>
          <w:p w14:paraId="019E5F2C"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bottom w:val="single" w:sz="2" w:space="0" w:color="auto"/>
            </w:tcBorders>
            <w:shd w:val="clear" w:color="auto" w:fill="FFFFFF" w:themeFill="background1"/>
            <w:noWrap/>
            <w:vAlign w:val="center"/>
            <w:hideMark/>
          </w:tcPr>
          <w:p w14:paraId="33B5C864" w14:textId="182C592D"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645" w:type="pct"/>
            <w:tcBorders>
              <w:bottom w:val="single" w:sz="2" w:space="0" w:color="auto"/>
            </w:tcBorders>
            <w:shd w:val="clear" w:color="auto" w:fill="FFFFFF" w:themeFill="background1"/>
            <w:noWrap/>
            <w:vAlign w:val="center"/>
            <w:hideMark/>
          </w:tcPr>
          <w:p w14:paraId="5FD5810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5DF48D45"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0BDC4F98"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1DE6406E" w14:textId="74C2840E"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06" w:type="pct"/>
            <w:tcBorders>
              <w:top w:val="single" w:sz="2" w:space="0" w:color="auto"/>
              <w:bottom w:val="single" w:sz="2" w:space="0" w:color="auto"/>
            </w:tcBorders>
            <w:shd w:val="clear" w:color="000000" w:fill="FFFFFF"/>
            <w:noWrap/>
            <w:vAlign w:val="center"/>
            <w:hideMark/>
          </w:tcPr>
          <w:p w14:paraId="25427702"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01DC404D" w14:textId="65BF83AB"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45" w:type="pct"/>
            <w:tcBorders>
              <w:top w:val="single" w:sz="2" w:space="0" w:color="auto"/>
              <w:bottom w:val="single" w:sz="2" w:space="0" w:color="auto"/>
            </w:tcBorders>
            <w:shd w:val="clear" w:color="auto" w:fill="FFFFFF" w:themeFill="background1"/>
            <w:noWrap/>
            <w:vAlign w:val="center"/>
            <w:hideMark/>
          </w:tcPr>
          <w:p w14:paraId="799B82C4"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679E3D8A"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09DC6869"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10. </w:t>
            </w:r>
            <w:r w:rsidRPr="00110AE6">
              <w:rPr>
                <w:b/>
                <w:bCs/>
                <w:noProof/>
                <w:sz w:val="17"/>
                <w:szCs w:val="17"/>
                <w:lang w:val="fr-FR"/>
              </w:rPr>
              <w:t>Communication, information et sensibilisation du public</w:t>
            </w:r>
          </w:p>
        </w:tc>
      </w:tr>
      <w:tr w:rsidR="00227CD4" w:rsidRPr="00110AE6" w14:paraId="1D6B2B61" w14:textId="77777777" w:rsidTr="00227CD4">
        <w:trPr>
          <w:trHeight w:val="315"/>
        </w:trPr>
        <w:tc>
          <w:tcPr>
            <w:tcW w:w="129" w:type="pct"/>
            <w:tcBorders>
              <w:top w:val="single" w:sz="2" w:space="0" w:color="auto"/>
              <w:bottom w:val="single" w:sz="2" w:space="0" w:color="auto"/>
            </w:tcBorders>
            <w:shd w:val="clear" w:color="000000" w:fill="FFFFFF"/>
            <w:noWrap/>
            <w:vAlign w:val="center"/>
            <w:hideMark/>
          </w:tcPr>
          <w:p w14:paraId="3CABB638"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000000" w:fill="FFFFFF"/>
            <w:noWrap/>
            <w:vAlign w:val="center"/>
            <w:hideMark/>
          </w:tcPr>
          <w:p w14:paraId="227A4914"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10.1. Communication, information et sensibilisation du public</w:t>
            </w:r>
          </w:p>
        </w:tc>
        <w:tc>
          <w:tcPr>
            <w:tcW w:w="606" w:type="pct"/>
            <w:tcBorders>
              <w:top w:val="single" w:sz="2" w:space="0" w:color="auto"/>
              <w:bottom w:val="single" w:sz="2" w:space="0" w:color="auto"/>
            </w:tcBorders>
            <w:shd w:val="clear" w:color="000000" w:fill="FFFFFF"/>
            <w:noWrap/>
            <w:vAlign w:val="center"/>
            <w:hideMark/>
          </w:tcPr>
          <w:p w14:paraId="485249B9" w14:textId="0B59B2FC"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100 000 </w:t>
            </w:r>
          </w:p>
        </w:tc>
        <w:tc>
          <w:tcPr>
            <w:tcW w:w="606" w:type="pct"/>
            <w:tcBorders>
              <w:top w:val="single" w:sz="2" w:space="0" w:color="auto"/>
              <w:bottom w:val="single" w:sz="2" w:space="0" w:color="auto"/>
            </w:tcBorders>
            <w:shd w:val="clear" w:color="000000" w:fill="FFFFFF"/>
            <w:noWrap/>
            <w:vAlign w:val="center"/>
            <w:hideMark/>
          </w:tcPr>
          <w:p w14:paraId="17E326A9"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004EDCD1"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6C79F2F9" w14:textId="18F93D0B"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xml:space="preserve">         </w:t>
            </w:r>
          </w:p>
        </w:tc>
      </w:tr>
      <w:tr w:rsidR="00227CD4" w:rsidRPr="00110AE6" w14:paraId="51516442"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336BDFE9"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4C79C5E9" w14:textId="430FC162"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100 000 </w:t>
            </w:r>
          </w:p>
        </w:tc>
        <w:tc>
          <w:tcPr>
            <w:tcW w:w="606" w:type="pct"/>
            <w:tcBorders>
              <w:top w:val="single" w:sz="2" w:space="0" w:color="auto"/>
              <w:bottom w:val="single" w:sz="2" w:space="0" w:color="auto"/>
            </w:tcBorders>
            <w:shd w:val="clear" w:color="000000" w:fill="FFFFFF"/>
            <w:noWrap/>
            <w:vAlign w:val="center"/>
            <w:hideMark/>
          </w:tcPr>
          <w:p w14:paraId="76AA546E"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7F760987"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6E586CC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227CD4" w:rsidRPr="00110AE6" w14:paraId="74D586A0" w14:textId="77777777" w:rsidTr="00227CD4">
        <w:trPr>
          <w:trHeight w:val="223"/>
        </w:trPr>
        <w:tc>
          <w:tcPr>
            <w:tcW w:w="2538" w:type="pct"/>
            <w:gridSpan w:val="3"/>
            <w:tcBorders>
              <w:top w:val="single" w:sz="2" w:space="0" w:color="auto"/>
              <w:bottom w:val="single" w:sz="2" w:space="0" w:color="auto"/>
            </w:tcBorders>
            <w:shd w:val="clear" w:color="000000" w:fill="FFFFFF"/>
            <w:noWrap/>
            <w:vAlign w:val="center"/>
            <w:hideMark/>
          </w:tcPr>
          <w:p w14:paraId="3A8015B6" w14:textId="77777777"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(D)</w:t>
            </w:r>
          </w:p>
        </w:tc>
        <w:tc>
          <w:tcPr>
            <w:tcW w:w="606" w:type="pct"/>
            <w:tcBorders>
              <w:top w:val="single" w:sz="2" w:space="0" w:color="auto"/>
              <w:bottom w:val="single" w:sz="2" w:space="0" w:color="auto"/>
            </w:tcBorders>
            <w:shd w:val="clear" w:color="000000" w:fill="FFFFFF"/>
            <w:noWrap/>
            <w:vAlign w:val="center"/>
            <w:hideMark/>
          </w:tcPr>
          <w:p w14:paraId="5ECDC9DF" w14:textId="0095E9D6"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130 000 </w:t>
            </w:r>
          </w:p>
        </w:tc>
        <w:tc>
          <w:tcPr>
            <w:tcW w:w="606" w:type="pct"/>
            <w:tcBorders>
              <w:top w:val="single" w:sz="2" w:space="0" w:color="auto"/>
              <w:bottom w:val="single" w:sz="2" w:space="0" w:color="auto"/>
            </w:tcBorders>
            <w:shd w:val="clear" w:color="000000" w:fill="FFFFFF"/>
            <w:noWrap/>
            <w:vAlign w:val="center"/>
            <w:hideMark/>
          </w:tcPr>
          <w:p w14:paraId="17C6594A" w14:textId="155DCE87" w:rsidR="00F7445B" w:rsidRPr="00110AE6" w:rsidRDefault="00F42492"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bCs/>
                <w:noProof/>
                <w:sz w:val="17"/>
                <w:szCs w:val="17"/>
                <w:lang w:val="fr-FR"/>
              </w:rPr>
              <w:t>-</w:t>
            </w:r>
          </w:p>
        </w:tc>
        <w:tc>
          <w:tcPr>
            <w:tcW w:w="605" w:type="pct"/>
            <w:tcBorders>
              <w:top w:val="single" w:sz="2" w:space="0" w:color="auto"/>
              <w:bottom w:val="single" w:sz="2" w:space="0" w:color="auto"/>
            </w:tcBorders>
            <w:shd w:val="clear" w:color="auto" w:fill="FFFFFF" w:themeFill="background1"/>
            <w:noWrap/>
            <w:vAlign w:val="center"/>
            <w:hideMark/>
          </w:tcPr>
          <w:p w14:paraId="2F5C273A" w14:textId="60A63D06"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45" w:type="pct"/>
            <w:tcBorders>
              <w:top w:val="single" w:sz="2" w:space="0" w:color="auto"/>
              <w:bottom w:val="single" w:sz="2" w:space="0" w:color="auto"/>
            </w:tcBorders>
            <w:shd w:val="clear" w:color="auto" w:fill="FFFFFF" w:themeFill="background1"/>
            <w:noWrap/>
            <w:vAlign w:val="center"/>
            <w:hideMark/>
          </w:tcPr>
          <w:p w14:paraId="7D59B083" w14:textId="7B353482"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xml:space="preserve">   </w:t>
            </w:r>
          </w:p>
        </w:tc>
      </w:tr>
      <w:tr w:rsidR="00F7445B" w:rsidRPr="00110AE6" w14:paraId="4CA6025E"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3E9A9DD6" w14:textId="1519C57E"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E. </w:t>
            </w:r>
            <w:r w:rsidRPr="00110AE6">
              <w:rPr>
                <w:b/>
                <w:bCs/>
                <w:noProof/>
                <w:sz w:val="17"/>
                <w:szCs w:val="17"/>
                <w:lang w:val="fr-FR"/>
              </w:rPr>
              <w:t>Gestion d</w:t>
            </w:r>
            <w:r w:rsidR="00D05492" w:rsidRPr="00110AE6">
              <w:rPr>
                <w:b/>
                <w:bCs/>
                <w:noProof/>
                <w:sz w:val="17"/>
                <w:szCs w:val="17"/>
                <w:lang w:val="fr-FR"/>
              </w:rPr>
              <w:t>’</w:t>
            </w:r>
            <w:r w:rsidRPr="00110AE6">
              <w:rPr>
                <w:b/>
                <w:bCs/>
                <w:noProof/>
                <w:sz w:val="17"/>
                <w:szCs w:val="17"/>
                <w:lang w:val="fr-FR"/>
              </w:rPr>
              <w:t>ensemble</w:t>
            </w:r>
          </w:p>
        </w:tc>
      </w:tr>
      <w:tr w:rsidR="00F7445B" w:rsidRPr="00110AE6" w14:paraId="307AB2B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17B5B202"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noProof/>
                <w:sz w:val="17"/>
                <w:szCs w:val="17"/>
                <w:lang w:val="fr-FR"/>
              </w:rPr>
              <w:t xml:space="preserve">11. </w:t>
            </w:r>
            <w:r w:rsidRPr="00110AE6">
              <w:rPr>
                <w:b/>
                <w:bCs/>
                <w:noProof/>
                <w:sz w:val="17"/>
                <w:szCs w:val="17"/>
                <w:lang w:val="fr-FR"/>
              </w:rPr>
              <w:t>Direction exécutive et administration</w:t>
            </w:r>
          </w:p>
        </w:tc>
      </w:tr>
      <w:tr w:rsidR="00227CD4" w:rsidRPr="00110AE6" w14:paraId="10220847" w14:textId="77777777" w:rsidTr="00227CD4">
        <w:trPr>
          <w:trHeight w:val="315"/>
        </w:trPr>
        <w:tc>
          <w:tcPr>
            <w:tcW w:w="129" w:type="pct"/>
            <w:shd w:val="clear" w:color="000000" w:fill="FFFFFF"/>
            <w:noWrap/>
            <w:hideMark/>
          </w:tcPr>
          <w:p w14:paraId="6E280FD1"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11F3BB3E" w14:textId="3C22EB5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11.1. Gestion d</w:t>
            </w:r>
            <w:r w:rsidR="00D05492" w:rsidRPr="00110AE6">
              <w:rPr>
                <w:noProof/>
                <w:sz w:val="17"/>
                <w:szCs w:val="17"/>
                <w:lang w:val="fr-FR"/>
              </w:rPr>
              <w:t>’</w:t>
            </w:r>
            <w:r w:rsidRPr="00110AE6">
              <w:rPr>
                <w:noProof/>
                <w:sz w:val="17"/>
                <w:szCs w:val="17"/>
                <w:lang w:val="fr-FR"/>
              </w:rPr>
              <w:t>ensemble</w:t>
            </w:r>
          </w:p>
        </w:tc>
        <w:tc>
          <w:tcPr>
            <w:tcW w:w="606" w:type="pct"/>
            <w:shd w:val="clear" w:color="000000" w:fill="FFFFFF"/>
            <w:noWrap/>
            <w:vAlign w:val="center"/>
            <w:hideMark/>
          </w:tcPr>
          <w:p w14:paraId="4E62E5CE" w14:textId="231B319C"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1 930 950 </w:t>
            </w:r>
          </w:p>
        </w:tc>
        <w:tc>
          <w:tcPr>
            <w:tcW w:w="606" w:type="pct"/>
            <w:shd w:val="clear" w:color="000000" w:fill="FFFFFF"/>
            <w:noWrap/>
            <w:vAlign w:val="center"/>
            <w:hideMark/>
          </w:tcPr>
          <w:p w14:paraId="4316F71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6311EC5E" w14:textId="55906A5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1 110 000 </w:t>
            </w:r>
          </w:p>
        </w:tc>
        <w:tc>
          <w:tcPr>
            <w:tcW w:w="645" w:type="pct"/>
            <w:shd w:val="clear" w:color="auto" w:fill="FFFFFF" w:themeFill="background1"/>
            <w:noWrap/>
            <w:vAlign w:val="center"/>
            <w:hideMark/>
          </w:tcPr>
          <w:p w14:paraId="41A5C923"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737D55A2" w14:textId="77777777" w:rsidTr="00227CD4">
        <w:trPr>
          <w:trHeight w:val="315"/>
        </w:trPr>
        <w:tc>
          <w:tcPr>
            <w:tcW w:w="129" w:type="pct"/>
            <w:shd w:val="clear" w:color="auto" w:fill="auto"/>
            <w:noWrap/>
            <w:hideMark/>
          </w:tcPr>
          <w:p w14:paraId="04A446FE"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auto" w:fill="auto"/>
            <w:noWrap/>
            <w:vAlign w:val="center"/>
            <w:hideMark/>
          </w:tcPr>
          <w:p w14:paraId="2D441E6B"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11.2. Frais de voyage des fonctionnaires</w:t>
            </w:r>
          </w:p>
        </w:tc>
        <w:tc>
          <w:tcPr>
            <w:tcW w:w="606" w:type="pct"/>
            <w:shd w:val="clear" w:color="auto" w:fill="auto"/>
            <w:noWrap/>
            <w:vAlign w:val="center"/>
            <w:hideMark/>
          </w:tcPr>
          <w:p w14:paraId="294FC5CA" w14:textId="451F1EFF"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150 000 </w:t>
            </w:r>
          </w:p>
        </w:tc>
        <w:tc>
          <w:tcPr>
            <w:tcW w:w="606" w:type="pct"/>
            <w:shd w:val="clear" w:color="auto" w:fill="auto"/>
            <w:noWrap/>
            <w:vAlign w:val="center"/>
            <w:hideMark/>
          </w:tcPr>
          <w:p w14:paraId="7463A4D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2DB7600A" w14:textId="082B33F2"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120 000 </w:t>
            </w:r>
          </w:p>
        </w:tc>
        <w:tc>
          <w:tcPr>
            <w:tcW w:w="645" w:type="pct"/>
            <w:shd w:val="clear" w:color="auto" w:fill="FFFFFF" w:themeFill="background1"/>
            <w:noWrap/>
            <w:vAlign w:val="center"/>
            <w:hideMark/>
          </w:tcPr>
          <w:p w14:paraId="6EEC1F6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04AB8747"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2A4B1014"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1CB49C38" w14:textId="272E1C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2 080 950 </w:t>
            </w:r>
          </w:p>
        </w:tc>
        <w:tc>
          <w:tcPr>
            <w:tcW w:w="606" w:type="pct"/>
            <w:tcBorders>
              <w:top w:val="single" w:sz="2" w:space="0" w:color="auto"/>
              <w:bottom w:val="single" w:sz="2" w:space="0" w:color="auto"/>
            </w:tcBorders>
            <w:shd w:val="clear" w:color="000000" w:fill="FFFFFF"/>
            <w:noWrap/>
            <w:vAlign w:val="center"/>
            <w:hideMark/>
          </w:tcPr>
          <w:p w14:paraId="57D9D8B9" w14:textId="75365509" w:rsidR="00F7445B" w:rsidRPr="00110AE6" w:rsidRDefault="00311F6E"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w:t>
            </w:r>
          </w:p>
        </w:tc>
        <w:tc>
          <w:tcPr>
            <w:tcW w:w="605" w:type="pct"/>
            <w:tcBorders>
              <w:top w:val="single" w:sz="2" w:space="0" w:color="auto"/>
              <w:bottom w:val="single" w:sz="2" w:space="0" w:color="auto"/>
            </w:tcBorders>
            <w:shd w:val="clear" w:color="auto" w:fill="FFFFFF" w:themeFill="background1"/>
            <w:noWrap/>
            <w:vAlign w:val="center"/>
            <w:hideMark/>
          </w:tcPr>
          <w:p w14:paraId="5B5C1CE1" w14:textId="1CDC0EFC"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1 230 000 </w:t>
            </w:r>
          </w:p>
        </w:tc>
        <w:tc>
          <w:tcPr>
            <w:tcW w:w="645" w:type="pct"/>
            <w:tcBorders>
              <w:top w:val="single" w:sz="2" w:space="0" w:color="auto"/>
              <w:bottom w:val="single" w:sz="2" w:space="0" w:color="auto"/>
            </w:tcBorders>
            <w:shd w:val="clear" w:color="auto" w:fill="FFFFFF" w:themeFill="background1"/>
            <w:noWrap/>
            <w:vAlign w:val="center"/>
            <w:hideMark/>
          </w:tcPr>
          <w:p w14:paraId="77CCBE40"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6FF6412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4371632B"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12. </w:t>
            </w:r>
            <w:r w:rsidRPr="00110AE6">
              <w:rPr>
                <w:b/>
                <w:bCs/>
                <w:noProof/>
                <w:sz w:val="17"/>
                <w:szCs w:val="17"/>
                <w:lang w:val="fr-FR"/>
              </w:rPr>
              <w:t>Coopération et coordination au niveau international</w:t>
            </w:r>
          </w:p>
        </w:tc>
      </w:tr>
      <w:tr w:rsidR="00227CD4" w:rsidRPr="00110AE6" w14:paraId="76BB0E72" w14:textId="77777777" w:rsidTr="00227CD4">
        <w:trPr>
          <w:trHeight w:val="568"/>
        </w:trPr>
        <w:tc>
          <w:tcPr>
            <w:tcW w:w="129" w:type="pct"/>
            <w:shd w:val="clear" w:color="000000" w:fill="FFFFFF"/>
            <w:noWrap/>
            <w:hideMark/>
          </w:tcPr>
          <w:p w14:paraId="552F9CBD"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vAlign w:val="center"/>
            <w:hideMark/>
          </w:tcPr>
          <w:p w14:paraId="1E9CD175" w14:textId="1DE78F2F"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12.1. Coopération concernant le programme en matière de développement durable et d</w:t>
            </w:r>
            <w:r w:rsidR="00D05492" w:rsidRPr="00110AE6">
              <w:rPr>
                <w:noProof/>
                <w:sz w:val="17"/>
                <w:szCs w:val="17"/>
                <w:lang w:val="fr-FR"/>
              </w:rPr>
              <w:t>’</w:t>
            </w:r>
            <w:r w:rsidRPr="00110AE6">
              <w:rPr>
                <w:noProof/>
                <w:sz w:val="17"/>
                <w:szCs w:val="17"/>
                <w:lang w:val="fr-FR"/>
              </w:rPr>
              <w:t>environnement dans son ensemble</w:t>
            </w:r>
          </w:p>
        </w:tc>
        <w:tc>
          <w:tcPr>
            <w:tcW w:w="606" w:type="pct"/>
            <w:shd w:val="clear" w:color="000000" w:fill="FFFFFF"/>
            <w:noWrap/>
            <w:vAlign w:val="center"/>
            <w:hideMark/>
          </w:tcPr>
          <w:p w14:paraId="011C445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347627A7"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33DC030B"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1A6D860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5F285BD3" w14:textId="77777777" w:rsidTr="00227CD4">
        <w:trPr>
          <w:trHeight w:val="281"/>
        </w:trPr>
        <w:tc>
          <w:tcPr>
            <w:tcW w:w="129" w:type="pct"/>
            <w:shd w:val="clear" w:color="000000" w:fill="FFFFFF"/>
            <w:noWrap/>
            <w:hideMark/>
          </w:tcPr>
          <w:p w14:paraId="01261C73"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vAlign w:val="center"/>
            <w:hideMark/>
          </w:tcPr>
          <w:p w14:paraId="2E1E085F"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12.2. Coopération au sein du groupe des produits chimiques et des déchets</w:t>
            </w:r>
          </w:p>
        </w:tc>
        <w:tc>
          <w:tcPr>
            <w:tcW w:w="606" w:type="pct"/>
            <w:shd w:val="clear" w:color="000000" w:fill="FFFFFF"/>
            <w:noWrap/>
            <w:vAlign w:val="center"/>
            <w:hideMark/>
          </w:tcPr>
          <w:p w14:paraId="5133FEE0"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52C5BEF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073BD4F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1D65A2EF"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6F20B289" w14:textId="77777777" w:rsidTr="00227CD4">
        <w:trPr>
          <w:trHeight w:val="271"/>
        </w:trPr>
        <w:tc>
          <w:tcPr>
            <w:tcW w:w="129" w:type="pct"/>
            <w:shd w:val="clear" w:color="000000" w:fill="FFFFFF"/>
            <w:noWrap/>
            <w:hideMark/>
          </w:tcPr>
          <w:p w14:paraId="2A57A5EA"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vAlign w:val="center"/>
            <w:hideMark/>
          </w:tcPr>
          <w:p w14:paraId="7F84C9EF"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12.3. Autres activités de coopération et coordination</w:t>
            </w:r>
          </w:p>
        </w:tc>
        <w:tc>
          <w:tcPr>
            <w:tcW w:w="606" w:type="pct"/>
            <w:shd w:val="clear" w:color="000000" w:fill="FFFFFF"/>
            <w:noWrap/>
            <w:vAlign w:val="center"/>
            <w:hideMark/>
          </w:tcPr>
          <w:p w14:paraId="2443E46A"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5B9E837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6B260E3F"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2DFD728F"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3B3A0684" w14:textId="77777777" w:rsidTr="00227CD4">
        <w:trPr>
          <w:trHeight w:val="309"/>
        </w:trPr>
        <w:tc>
          <w:tcPr>
            <w:tcW w:w="2538" w:type="pct"/>
            <w:gridSpan w:val="3"/>
            <w:tcBorders>
              <w:top w:val="single" w:sz="2" w:space="0" w:color="auto"/>
              <w:bottom w:val="single" w:sz="2" w:space="0" w:color="auto"/>
            </w:tcBorders>
            <w:shd w:val="clear" w:color="000000" w:fill="FFFFFF"/>
            <w:noWrap/>
            <w:vAlign w:val="center"/>
            <w:hideMark/>
          </w:tcPr>
          <w:p w14:paraId="546E22C3"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Total partiel </w:t>
            </w:r>
          </w:p>
        </w:tc>
        <w:tc>
          <w:tcPr>
            <w:tcW w:w="606" w:type="pct"/>
            <w:tcBorders>
              <w:top w:val="single" w:sz="2" w:space="0" w:color="auto"/>
              <w:bottom w:val="single" w:sz="2" w:space="0" w:color="auto"/>
            </w:tcBorders>
            <w:shd w:val="clear" w:color="000000" w:fill="FFFFFF"/>
            <w:noWrap/>
            <w:vAlign w:val="center"/>
            <w:hideMark/>
          </w:tcPr>
          <w:p w14:paraId="20386962"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2F2FA693"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5216244D"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367B8214"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r>
      <w:tr w:rsidR="00F7445B" w:rsidRPr="00110AE6" w14:paraId="2077FE72"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3C18DA35"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13. </w:t>
            </w:r>
            <w:r w:rsidRPr="00110AE6">
              <w:rPr>
                <w:b/>
                <w:bCs/>
                <w:noProof/>
                <w:sz w:val="17"/>
                <w:szCs w:val="17"/>
                <w:lang w:val="fr-FR"/>
              </w:rPr>
              <w:t>Ressources financières et mécanisme de financement</w:t>
            </w:r>
            <w:r w:rsidRPr="00110AE6">
              <w:rPr>
                <w:b/>
                <w:noProof/>
                <w:sz w:val="17"/>
                <w:szCs w:val="17"/>
                <w:lang w:val="fr-FR"/>
              </w:rPr>
              <w:t xml:space="preserve"> </w:t>
            </w:r>
          </w:p>
        </w:tc>
      </w:tr>
      <w:tr w:rsidR="00227CD4" w:rsidRPr="00110AE6" w14:paraId="3C952166" w14:textId="77777777" w:rsidTr="00227CD4">
        <w:trPr>
          <w:trHeight w:val="315"/>
        </w:trPr>
        <w:tc>
          <w:tcPr>
            <w:tcW w:w="129" w:type="pct"/>
            <w:shd w:val="clear" w:color="000000" w:fill="FFFFFF"/>
            <w:noWrap/>
            <w:hideMark/>
          </w:tcPr>
          <w:p w14:paraId="36691110"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77C06EBF"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13.1. Mécanisme de financement</w:t>
            </w:r>
          </w:p>
        </w:tc>
        <w:tc>
          <w:tcPr>
            <w:tcW w:w="606" w:type="pct"/>
            <w:shd w:val="clear" w:color="000000" w:fill="FFFFFF"/>
            <w:noWrap/>
            <w:vAlign w:val="center"/>
            <w:hideMark/>
          </w:tcPr>
          <w:p w14:paraId="2C6590B8"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4F6DBC15"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3FD55848"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76A8962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020D0392" w14:textId="77777777" w:rsidTr="00227CD4">
        <w:trPr>
          <w:trHeight w:val="315"/>
        </w:trPr>
        <w:tc>
          <w:tcPr>
            <w:tcW w:w="129" w:type="pct"/>
            <w:shd w:val="clear" w:color="000000" w:fill="FFFFFF"/>
            <w:noWrap/>
            <w:hideMark/>
          </w:tcPr>
          <w:p w14:paraId="402F079E"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shd w:val="clear" w:color="000000" w:fill="FFFFFF"/>
            <w:noWrap/>
            <w:vAlign w:val="center"/>
            <w:hideMark/>
          </w:tcPr>
          <w:p w14:paraId="67440FC3"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13.2. Ressources financières</w:t>
            </w:r>
          </w:p>
        </w:tc>
        <w:tc>
          <w:tcPr>
            <w:tcW w:w="606" w:type="pct"/>
            <w:shd w:val="clear" w:color="000000" w:fill="FFFFFF"/>
            <w:noWrap/>
            <w:vAlign w:val="center"/>
            <w:hideMark/>
          </w:tcPr>
          <w:p w14:paraId="391DA41A"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shd w:val="clear" w:color="000000" w:fill="FFFFFF"/>
            <w:noWrap/>
            <w:vAlign w:val="center"/>
            <w:hideMark/>
          </w:tcPr>
          <w:p w14:paraId="412D4160"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shd w:val="clear" w:color="auto" w:fill="FFFFFF" w:themeFill="background1"/>
            <w:noWrap/>
            <w:vAlign w:val="center"/>
            <w:hideMark/>
          </w:tcPr>
          <w:p w14:paraId="0031E81B"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45" w:type="pct"/>
            <w:shd w:val="clear" w:color="auto" w:fill="FFFFFF" w:themeFill="background1"/>
            <w:noWrap/>
            <w:vAlign w:val="center"/>
            <w:hideMark/>
          </w:tcPr>
          <w:p w14:paraId="15A1FA53"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4C58110C"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484EA979"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0CC86428"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7EB6FD03"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4D155BEB"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645" w:type="pct"/>
            <w:tcBorders>
              <w:top w:val="single" w:sz="2" w:space="0" w:color="auto"/>
              <w:bottom w:val="single" w:sz="2" w:space="0" w:color="auto"/>
            </w:tcBorders>
            <w:shd w:val="clear" w:color="auto" w:fill="FFFFFF" w:themeFill="background1"/>
            <w:noWrap/>
            <w:vAlign w:val="center"/>
            <w:hideMark/>
          </w:tcPr>
          <w:p w14:paraId="47741BB7" w14:textId="77777777" w:rsidR="00F7445B" w:rsidRPr="00110AE6" w:rsidRDefault="00F7445B" w:rsidP="00227CD4">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r>
      <w:tr w:rsidR="00227CD4" w:rsidRPr="00110AE6" w14:paraId="35BAF486"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6992E3D5" w14:textId="77777777"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(E)</w:t>
            </w:r>
          </w:p>
        </w:tc>
        <w:tc>
          <w:tcPr>
            <w:tcW w:w="606" w:type="pct"/>
            <w:tcBorders>
              <w:top w:val="single" w:sz="2" w:space="0" w:color="auto"/>
              <w:bottom w:val="single" w:sz="2" w:space="0" w:color="auto"/>
            </w:tcBorders>
            <w:shd w:val="clear" w:color="000000" w:fill="FFFFFF"/>
            <w:noWrap/>
            <w:vAlign w:val="center"/>
            <w:hideMark/>
          </w:tcPr>
          <w:p w14:paraId="433B407D" w14:textId="14068EA6"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2 080 950 </w:t>
            </w:r>
          </w:p>
        </w:tc>
        <w:tc>
          <w:tcPr>
            <w:tcW w:w="606" w:type="pct"/>
            <w:tcBorders>
              <w:top w:val="single" w:sz="2" w:space="0" w:color="auto"/>
              <w:bottom w:val="single" w:sz="2" w:space="0" w:color="auto"/>
            </w:tcBorders>
            <w:shd w:val="clear" w:color="000000" w:fill="FFFFFF"/>
            <w:noWrap/>
            <w:vAlign w:val="center"/>
            <w:hideMark/>
          </w:tcPr>
          <w:p w14:paraId="5325DAA5"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6E41C09C" w14:textId="225F3032"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1 230 000 </w:t>
            </w:r>
          </w:p>
        </w:tc>
        <w:tc>
          <w:tcPr>
            <w:tcW w:w="645" w:type="pct"/>
            <w:tcBorders>
              <w:top w:val="single" w:sz="2" w:space="0" w:color="auto"/>
              <w:bottom w:val="single" w:sz="2" w:space="0" w:color="auto"/>
            </w:tcBorders>
            <w:shd w:val="clear" w:color="auto" w:fill="FFFFFF" w:themeFill="background1"/>
            <w:noWrap/>
            <w:vAlign w:val="center"/>
            <w:hideMark/>
          </w:tcPr>
          <w:p w14:paraId="6B870440"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1C897C48"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60439A76"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F. </w:t>
            </w:r>
            <w:r w:rsidRPr="00110AE6">
              <w:rPr>
                <w:b/>
                <w:bCs/>
                <w:noProof/>
                <w:sz w:val="17"/>
                <w:szCs w:val="17"/>
                <w:lang w:val="fr-FR"/>
              </w:rPr>
              <w:t>Activités juridiques et de politique générale</w:t>
            </w:r>
          </w:p>
        </w:tc>
      </w:tr>
      <w:tr w:rsidR="00F7445B" w:rsidRPr="00110AE6" w14:paraId="5F2F35B1"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6171A0B5"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14. </w:t>
            </w:r>
            <w:r w:rsidRPr="00110AE6">
              <w:rPr>
                <w:noProof/>
                <w:sz w:val="17"/>
                <w:szCs w:val="17"/>
                <w:lang w:val="fr-FR"/>
              </w:rPr>
              <w:t xml:space="preserve">Activités juridiques et de politique générale </w:t>
            </w:r>
          </w:p>
        </w:tc>
      </w:tr>
      <w:tr w:rsidR="00227CD4" w:rsidRPr="00110AE6" w14:paraId="4CF5CD3E" w14:textId="77777777" w:rsidTr="00227CD4">
        <w:trPr>
          <w:trHeight w:val="315"/>
        </w:trPr>
        <w:tc>
          <w:tcPr>
            <w:tcW w:w="129" w:type="pct"/>
            <w:tcBorders>
              <w:top w:val="single" w:sz="2" w:space="0" w:color="auto"/>
              <w:bottom w:val="single" w:sz="2" w:space="0" w:color="auto"/>
            </w:tcBorders>
            <w:shd w:val="clear" w:color="auto" w:fill="auto"/>
            <w:noWrap/>
            <w:vAlign w:val="center"/>
            <w:hideMark/>
          </w:tcPr>
          <w:p w14:paraId="312B9D65"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auto" w:fill="auto"/>
            <w:noWrap/>
            <w:vAlign w:val="center"/>
            <w:hideMark/>
          </w:tcPr>
          <w:p w14:paraId="7141FA37"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 xml:space="preserve">14.1. Activités juridiques et de politique générale </w:t>
            </w:r>
          </w:p>
        </w:tc>
        <w:tc>
          <w:tcPr>
            <w:tcW w:w="606" w:type="pct"/>
            <w:tcBorders>
              <w:top w:val="single" w:sz="2" w:space="0" w:color="auto"/>
              <w:bottom w:val="single" w:sz="2" w:space="0" w:color="auto"/>
            </w:tcBorders>
            <w:shd w:val="clear" w:color="auto" w:fill="auto"/>
            <w:noWrap/>
            <w:vAlign w:val="center"/>
            <w:hideMark/>
          </w:tcPr>
          <w:p w14:paraId="0B28F79C"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6" w:type="pct"/>
            <w:tcBorders>
              <w:top w:val="single" w:sz="2" w:space="0" w:color="auto"/>
              <w:bottom w:val="single" w:sz="2" w:space="0" w:color="auto"/>
            </w:tcBorders>
            <w:shd w:val="clear" w:color="auto" w:fill="auto"/>
            <w:noWrap/>
            <w:vAlign w:val="center"/>
            <w:hideMark/>
          </w:tcPr>
          <w:p w14:paraId="3DAFD73E"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1DE12883" w14:textId="5FCE68AF" w:rsidR="00F7445B" w:rsidRPr="00110AE6" w:rsidRDefault="00311F6E"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w:t>
            </w:r>
          </w:p>
        </w:tc>
        <w:tc>
          <w:tcPr>
            <w:tcW w:w="645" w:type="pct"/>
            <w:tcBorders>
              <w:top w:val="single" w:sz="2" w:space="0" w:color="auto"/>
              <w:bottom w:val="single" w:sz="2" w:space="0" w:color="auto"/>
            </w:tcBorders>
            <w:shd w:val="clear" w:color="auto" w:fill="FFFFFF" w:themeFill="background1"/>
            <w:noWrap/>
            <w:vAlign w:val="center"/>
            <w:hideMark/>
          </w:tcPr>
          <w:p w14:paraId="61DBEBE6"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09D14DA7" w14:textId="77777777" w:rsidTr="00227CD4">
        <w:trPr>
          <w:trHeight w:val="267"/>
        </w:trPr>
        <w:tc>
          <w:tcPr>
            <w:tcW w:w="2538" w:type="pct"/>
            <w:gridSpan w:val="3"/>
            <w:tcBorders>
              <w:top w:val="single" w:sz="2" w:space="0" w:color="auto"/>
              <w:bottom w:val="single" w:sz="2" w:space="0" w:color="auto"/>
            </w:tcBorders>
            <w:shd w:val="clear" w:color="000000" w:fill="FFFFFF"/>
            <w:noWrap/>
            <w:vAlign w:val="center"/>
            <w:hideMark/>
          </w:tcPr>
          <w:p w14:paraId="0CCF9294" w14:textId="77777777"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(F)</w:t>
            </w:r>
          </w:p>
        </w:tc>
        <w:tc>
          <w:tcPr>
            <w:tcW w:w="606" w:type="pct"/>
            <w:tcBorders>
              <w:top w:val="single" w:sz="2" w:space="0" w:color="auto"/>
              <w:bottom w:val="single" w:sz="2" w:space="0" w:color="auto"/>
            </w:tcBorders>
            <w:shd w:val="clear" w:color="000000" w:fill="FFFFFF"/>
            <w:noWrap/>
            <w:vAlign w:val="center"/>
            <w:hideMark/>
          </w:tcPr>
          <w:p w14:paraId="1236DD15"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6" w:type="pct"/>
            <w:tcBorders>
              <w:top w:val="single" w:sz="2" w:space="0" w:color="auto"/>
              <w:bottom w:val="single" w:sz="2" w:space="0" w:color="auto"/>
            </w:tcBorders>
            <w:shd w:val="clear" w:color="000000" w:fill="FFFFFF"/>
            <w:noWrap/>
            <w:vAlign w:val="center"/>
            <w:hideMark/>
          </w:tcPr>
          <w:p w14:paraId="5DCC33A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7DE5D937" w14:textId="46D22009" w:rsidR="00F7445B" w:rsidRPr="00110AE6" w:rsidRDefault="00311F6E"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noProof/>
                <w:sz w:val="17"/>
                <w:szCs w:val="17"/>
                <w:lang w:val="fr-FR"/>
              </w:rPr>
              <w:t>–</w:t>
            </w:r>
          </w:p>
        </w:tc>
        <w:tc>
          <w:tcPr>
            <w:tcW w:w="645" w:type="pct"/>
            <w:tcBorders>
              <w:top w:val="single" w:sz="2" w:space="0" w:color="auto"/>
              <w:bottom w:val="single" w:sz="2" w:space="0" w:color="auto"/>
            </w:tcBorders>
            <w:shd w:val="clear" w:color="auto" w:fill="FFFFFF" w:themeFill="background1"/>
            <w:noWrap/>
            <w:vAlign w:val="center"/>
            <w:hideMark/>
          </w:tcPr>
          <w:p w14:paraId="75CB0D7C"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417FCDDF"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3D9CC008" w14:textId="77777777" w:rsidR="00F7445B" w:rsidRPr="00110AE6" w:rsidRDefault="00F7445B" w:rsidP="00227CD4">
            <w:pPr>
              <w:keepNext/>
              <w:widowControl w:val="0"/>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G. </w:t>
            </w:r>
            <w:r w:rsidRPr="00110AE6">
              <w:rPr>
                <w:b/>
                <w:bCs/>
                <w:noProof/>
                <w:sz w:val="17"/>
                <w:szCs w:val="17"/>
                <w:lang w:val="fr-FR"/>
              </w:rPr>
              <w:t>Entretien des locaux et services</w:t>
            </w:r>
          </w:p>
        </w:tc>
      </w:tr>
      <w:tr w:rsidR="00F7445B" w:rsidRPr="00110AE6" w14:paraId="10F68634"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5F09AB1E" w14:textId="77777777" w:rsidR="00F7445B" w:rsidRPr="00110AE6" w:rsidRDefault="00F7445B" w:rsidP="00227CD4">
            <w:pPr>
              <w:keepNext/>
              <w:widowControl w:val="0"/>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15. </w:t>
            </w:r>
            <w:r w:rsidRPr="00110AE6">
              <w:rPr>
                <w:b/>
                <w:bCs/>
                <w:noProof/>
                <w:sz w:val="17"/>
                <w:szCs w:val="17"/>
                <w:lang w:val="fr-FR"/>
              </w:rPr>
              <w:t>Entretien des locaux et services</w:t>
            </w:r>
          </w:p>
        </w:tc>
      </w:tr>
      <w:tr w:rsidR="00227CD4" w:rsidRPr="00110AE6" w14:paraId="076CB113" w14:textId="77777777" w:rsidTr="00227CD4">
        <w:trPr>
          <w:trHeight w:val="315"/>
        </w:trPr>
        <w:tc>
          <w:tcPr>
            <w:tcW w:w="129" w:type="pct"/>
            <w:tcBorders>
              <w:top w:val="single" w:sz="2" w:space="0" w:color="auto"/>
              <w:bottom w:val="single" w:sz="2" w:space="0" w:color="auto"/>
            </w:tcBorders>
            <w:shd w:val="clear" w:color="000000" w:fill="FFFFFF"/>
            <w:noWrap/>
            <w:hideMark/>
          </w:tcPr>
          <w:p w14:paraId="5C87265F"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000000" w:fill="FFFFFF"/>
            <w:noWrap/>
            <w:vAlign w:val="center"/>
            <w:hideMark/>
          </w:tcPr>
          <w:p w14:paraId="47D7EE2B"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 xml:space="preserve">15.1. </w:t>
            </w:r>
            <w:r w:rsidRPr="00110AE6">
              <w:rPr>
                <w:b/>
                <w:bCs/>
                <w:noProof/>
                <w:sz w:val="17"/>
                <w:szCs w:val="17"/>
                <w:lang w:val="fr-FR"/>
              </w:rPr>
              <w:t>Entretien des locaux et services</w:t>
            </w:r>
          </w:p>
        </w:tc>
        <w:tc>
          <w:tcPr>
            <w:tcW w:w="606" w:type="pct"/>
            <w:tcBorders>
              <w:top w:val="single" w:sz="2" w:space="0" w:color="auto"/>
              <w:bottom w:val="single" w:sz="2" w:space="0" w:color="auto"/>
            </w:tcBorders>
            <w:shd w:val="clear" w:color="000000" w:fill="FFFFFF"/>
            <w:noWrap/>
            <w:vAlign w:val="center"/>
            <w:hideMark/>
          </w:tcPr>
          <w:p w14:paraId="41D8B16D" w14:textId="6D9725C8"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160 000 </w:t>
            </w:r>
          </w:p>
        </w:tc>
        <w:tc>
          <w:tcPr>
            <w:tcW w:w="606" w:type="pct"/>
            <w:tcBorders>
              <w:top w:val="single" w:sz="2" w:space="0" w:color="auto"/>
              <w:bottom w:val="single" w:sz="2" w:space="0" w:color="auto"/>
            </w:tcBorders>
            <w:shd w:val="clear" w:color="000000" w:fill="FFFFFF"/>
            <w:noWrap/>
            <w:vAlign w:val="center"/>
            <w:hideMark/>
          </w:tcPr>
          <w:p w14:paraId="311B7937"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06060BED" w14:textId="3E45C2D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120 000 </w:t>
            </w:r>
          </w:p>
        </w:tc>
        <w:tc>
          <w:tcPr>
            <w:tcW w:w="645" w:type="pct"/>
            <w:tcBorders>
              <w:top w:val="single" w:sz="2" w:space="0" w:color="auto"/>
              <w:bottom w:val="single" w:sz="2" w:space="0" w:color="auto"/>
            </w:tcBorders>
            <w:shd w:val="clear" w:color="auto" w:fill="FFFFFF" w:themeFill="background1"/>
            <w:noWrap/>
            <w:vAlign w:val="center"/>
            <w:hideMark/>
          </w:tcPr>
          <w:p w14:paraId="31042784"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149D8F20"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6FD1C944"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5E232BB7" w14:textId="3470FD4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160 000 </w:t>
            </w:r>
          </w:p>
        </w:tc>
        <w:tc>
          <w:tcPr>
            <w:tcW w:w="606" w:type="pct"/>
            <w:tcBorders>
              <w:top w:val="single" w:sz="2" w:space="0" w:color="auto"/>
              <w:bottom w:val="single" w:sz="2" w:space="0" w:color="auto"/>
            </w:tcBorders>
            <w:shd w:val="clear" w:color="000000" w:fill="FFFFFF"/>
            <w:noWrap/>
            <w:vAlign w:val="center"/>
            <w:hideMark/>
          </w:tcPr>
          <w:p w14:paraId="0650E89F"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68F8C6C5" w14:textId="3B2B884F"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120 000 </w:t>
            </w:r>
          </w:p>
        </w:tc>
        <w:tc>
          <w:tcPr>
            <w:tcW w:w="645" w:type="pct"/>
            <w:tcBorders>
              <w:top w:val="single" w:sz="2" w:space="0" w:color="auto"/>
              <w:bottom w:val="single" w:sz="2" w:space="0" w:color="auto"/>
            </w:tcBorders>
            <w:shd w:val="clear" w:color="auto" w:fill="FFFFFF" w:themeFill="background1"/>
            <w:noWrap/>
            <w:vAlign w:val="center"/>
            <w:hideMark/>
          </w:tcPr>
          <w:p w14:paraId="2AEE5773"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3FF7F9CD"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7B8888E0"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16. </w:t>
            </w:r>
            <w:r w:rsidRPr="00110AE6">
              <w:rPr>
                <w:b/>
                <w:bCs/>
                <w:noProof/>
                <w:sz w:val="17"/>
                <w:szCs w:val="17"/>
                <w:lang w:val="fr-FR"/>
              </w:rPr>
              <w:t>Services informatiques</w:t>
            </w:r>
          </w:p>
        </w:tc>
      </w:tr>
      <w:tr w:rsidR="00227CD4" w:rsidRPr="00110AE6" w14:paraId="74A4D99F" w14:textId="77777777" w:rsidTr="00227CD4">
        <w:trPr>
          <w:trHeight w:val="315"/>
        </w:trPr>
        <w:tc>
          <w:tcPr>
            <w:tcW w:w="129" w:type="pct"/>
            <w:tcBorders>
              <w:top w:val="single" w:sz="2" w:space="0" w:color="auto"/>
              <w:bottom w:val="single" w:sz="2" w:space="0" w:color="auto"/>
            </w:tcBorders>
            <w:shd w:val="clear" w:color="auto" w:fill="auto"/>
            <w:noWrap/>
            <w:hideMark/>
          </w:tcPr>
          <w:p w14:paraId="27371434"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409" w:type="pct"/>
            <w:gridSpan w:val="2"/>
            <w:tcBorders>
              <w:top w:val="single" w:sz="2" w:space="0" w:color="auto"/>
              <w:bottom w:val="single" w:sz="2" w:space="0" w:color="auto"/>
            </w:tcBorders>
            <w:shd w:val="clear" w:color="auto" w:fill="auto"/>
            <w:noWrap/>
            <w:vAlign w:val="center"/>
            <w:hideMark/>
          </w:tcPr>
          <w:p w14:paraId="070EC37E"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16.1. Services informatiques</w:t>
            </w:r>
          </w:p>
        </w:tc>
        <w:tc>
          <w:tcPr>
            <w:tcW w:w="606" w:type="pct"/>
            <w:tcBorders>
              <w:top w:val="single" w:sz="2" w:space="0" w:color="auto"/>
              <w:bottom w:val="single" w:sz="2" w:space="0" w:color="auto"/>
            </w:tcBorders>
            <w:shd w:val="clear" w:color="auto" w:fill="auto"/>
            <w:noWrap/>
            <w:vAlign w:val="center"/>
            <w:hideMark/>
          </w:tcPr>
          <w:p w14:paraId="5C6E7FE1" w14:textId="390B82F3"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65 000 </w:t>
            </w:r>
          </w:p>
        </w:tc>
        <w:tc>
          <w:tcPr>
            <w:tcW w:w="606" w:type="pct"/>
            <w:tcBorders>
              <w:top w:val="single" w:sz="2" w:space="0" w:color="auto"/>
              <w:bottom w:val="single" w:sz="2" w:space="0" w:color="auto"/>
            </w:tcBorders>
            <w:shd w:val="clear" w:color="auto" w:fill="auto"/>
            <w:noWrap/>
            <w:vAlign w:val="center"/>
            <w:hideMark/>
          </w:tcPr>
          <w:p w14:paraId="162CC30B"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4E432A7A" w14:textId="42748D6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645" w:type="pct"/>
            <w:tcBorders>
              <w:top w:val="single" w:sz="2" w:space="0" w:color="auto"/>
              <w:bottom w:val="single" w:sz="2" w:space="0" w:color="auto"/>
            </w:tcBorders>
            <w:shd w:val="clear" w:color="auto" w:fill="FFFFFF" w:themeFill="background1"/>
            <w:noWrap/>
            <w:vAlign w:val="center"/>
            <w:hideMark/>
          </w:tcPr>
          <w:p w14:paraId="01C16DFB" w14:textId="7777777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227CD4" w:rsidRPr="00110AE6" w14:paraId="380AF68D"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733DA5BE"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606" w:type="pct"/>
            <w:tcBorders>
              <w:top w:val="single" w:sz="2" w:space="0" w:color="auto"/>
              <w:bottom w:val="single" w:sz="2" w:space="0" w:color="auto"/>
            </w:tcBorders>
            <w:shd w:val="clear" w:color="000000" w:fill="FFFFFF"/>
            <w:noWrap/>
            <w:vAlign w:val="center"/>
            <w:hideMark/>
          </w:tcPr>
          <w:p w14:paraId="1F0C5A0B" w14:textId="114D0CAD"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65 000 </w:t>
            </w:r>
          </w:p>
        </w:tc>
        <w:tc>
          <w:tcPr>
            <w:tcW w:w="606" w:type="pct"/>
            <w:tcBorders>
              <w:top w:val="single" w:sz="2" w:space="0" w:color="auto"/>
              <w:bottom w:val="single" w:sz="2" w:space="0" w:color="auto"/>
            </w:tcBorders>
            <w:shd w:val="clear" w:color="000000" w:fill="FFFFFF"/>
            <w:noWrap/>
            <w:vAlign w:val="center"/>
            <w:hideMark/>
          </w:tcPr>
          <w:p w14:paraId="37E720C1"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38E04DE7" w14:textId="20D3F53B"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50 000 </w:t>
            </w:r>
          </w:p>
        </w:tc>
        <w:tc>
          <w:tcPr>
            <w:tcW w:w="645" w:type="pct"/>
            <w:tcBorders>
              <w:top w:val="single" w:sz="2" w:space="0" w:color="auto"/>
              <w:bottom w:val="single" w:sz="2" w:space="0" w:color="auto"/>
            </w:tcBorders>
            <w:shd w:val="clear" w:color="auto" w:fill="FFFFFF" w:themeFill="background1"/>
            <w:noWrap/>
            <w:vAlign w:val="center"/>
            <w:hideMark/>
          </w:tcPr>
          <w:p w14:paraId="10195CD4"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227CD4" w:rsidRPr="00110AE6" w14:paraId="7A889DC5" w14:textId="77777777" w:rsidTr="00227CD4">
        <w:trPr>
          <w:trHeight w:val="149"/>
        </w:trPr>
        <w:tc>
          <w:tcPr>
            <w:tcW w:w="2538" w:type="pct"/>
            <w:gridSpan w:val="3"/>
            <w:tcBorders>
              <w:top w:val="single" w:sz="2" w:space="0" w:color="auto"/>
              <w:bottom w:val="single" w:sz="2" w:space="0" w:color="auto"/>
            </w:tcBorders>
            <w:shd w:val="clear" w:color="000000" w:fill="FFFFFF"/>
            <w:noWrap/>
            <w:vAlign w:val="center"/>
            <w:hideMark/>
          </w:tcPr>
          <w:p w14:paraId="17A14848" w14:textId="77777777"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(G)</w:t>
            </w:r>
          </w:p>
        </w:tc>
        <w:tc>
          <w:tcPr>
            <w:tcW w:w="606" w:type="pct"/>
            <w:tcBorders>
              <w:top w:val="single" w:sz="2" w:space="0" w:color="auto"/>
              <w:bottom w:val="single" w:sz="2" w:space="0" w:color="auto"/>
            </w:tcBorders>
            <w:shd w:val="clear" w:color="000000" w:fill="FFFFFF"/>
            <w:noWrap/>
            <w:vAlign w:val="center"/>
            <w:hideMark/>
          </w:tcPr>
          <w:p w14:paraId="215EA975" w14:textId="374D1EEC"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225 000 </w:t>
            </w:r>
          </w:p>
        </w:tc>
        <w:tc>
          <w:tcPr>
            <w:tcW w:w="606" w:type="pct"/>
            <w:tcBorders>
              <w:top w:val="single" w:sz="2" w:space="0" w:color="auto"/>
              <w:bottom w:val="single" w:sz="2" w:space="0" w:color="auto"/>
            </w:tcBorders>
            <w:shd w:val="clear" w:color="000000" w:fill="FFFFFF"/>
            <w:noWrap/>
            <w:vAlign w:val="center"/>
            <w:hideMark/>
          </w:tcPr>
          <w:p w14:paraId="4797A2ED"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5" w:type="pct"/>
            <w:tcBorders>
              <w:top w:val="single" w:sz="2" w:space="0" w:color="auto"/>
              <w:bottom w:val="single" w:sz="2" w:space="0" w:color="auto"/>
            </w:tcBorders>
            <w:shd w:val="clear" w:color="auto" w:fill="FFFFFF" w:themeFill="background1"/>
            <w:noWrap/>
            <w:vAlign w:val="center"/>
            <w:hideMark/>
          </w:tcPr>
          <w:p w14:paraId="1F524B7F" w14:textId="06640CB2" w:rsidR="00F7445B" w:rsidRPr="00110AE6" w:rsidRDefault="008A3F8F"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70 000 </w:t>
            </w:r>
          </w:p>
        </w:tc>
        <w:tc>
          <w:tcPr>
            <w:tcW w:w="645" w:type="pct"/>
            <w:tcBorders>
              <w:top w:val="single" w:sz="2" w:space="0" w:color="auto"/>
              <w:bottom w:val="single" w:sz="2" w:space="0" w:color="auto"/>
            </w:tcBorders>
            <w:shd w:val="clear" w:color="auto" w:fill="FFFFFF" w:themeFill="background1"/>
            <w:noWrap/>
            <w:vAlign w:val="center"/>
            <w:hideMark/>
          </w:tcPr>
          <w:p w14:paraId="3327021B" w14:textId="7777777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F7445B" w:rsidRPr="00110AE6" w14:paraId="7EF11D04" w14:textId="77777777" w:rsidTr="00227CD4">
        <w:trPr>
          <w:trHeight w:val="315"/>
        </w:trPr>
        <w:tc>
          <w:tcPr>
            <w:tcW w:w="5000" w:type="pct"/>
            <w:gridSpan w:val="7"/>
            <w:tcBorders>
              <w:top w:val="single" w:sz="2" w:space="0" w:color="auto"/>
              <w:bottom w:val="single" w:sz="2" w:space="0" w:color="auto"/>
            </w:tcBorders>
            <w:shd w:val="clear" w:color="auto" w:fill="FFFFFF" w:themeFill="background1"/>
            <w:noWrap/>
            <w:vAlign w:val="center"/>
            <w:hideMark/>
          </w:tcPr>
          <w:p w14:paraId="66199835" w14:textId="77777777"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Ressources nécessaires pour toutes les activités</w:t>
            </w:r>
          </w:p>
        </w:tc>
      </w:tr>
      <w:tr w:rsidR="00227CD4" w:rsidRPr="00110AE6" w14:paraId="37D48777"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02F314A6" w14:textId="03E671BB"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(A à G), sauf coûts d</w:t>
            </w:r>
            <w:r w:rsidR="00D05492" w:rsidRPr="00110AE6">
              <w:rPr>
                <w:b/>
                <w:bCs/>
                <w:noProof/>
                <w:sz w:val="17"/>
                <w:szCs w:val="17"/>
                <w:lang w:val="fr-FR"/>
              </w:rPr>
              <w:t>’</w:t>
            </w:r>
            <w:r w:rsidRPr="00110AE6">
              <w:rPr>
                <w:b/>
                <w:bCs/>
                <w:noProof/>
                <w:sz w:val="17"/>
                <w:szCs w:val="17"/>
                <w:lang w:val="fr-FR"/>
              </w:rPr>
              <w:t>appui au programme</w:t>
            </w:r>
          </w:p>
        </w:tc>
        <w:tc>
          <w:tcPr>
            <w:tcW w:w="606" w:type="pct"/>
            <w:tcBorders>
              <w:top w:val="single" w:sz="2" w:space="0" w:color="auto"/>
              <w:bottom w:val="single" w:sz="2" w:space="0" w:color="auto"/>
            </w:tcBorders>
            <w:shd w:val="clear" w:color="000000" w:fill="FFFFFF"/>
            <w:noWrap/>
            <w:vAlign w:val="center"/>
            <w:hideMark/>
          </w:tcPr>
          <w:p w14:paraId="426BD0E3" w14:textId="73C92CB8"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3 465 950 </w:t>
            </w:r>
          </w:p>
        </w:tc>
        <w:tc>
          <w:tcPr>
            <w:tcW w:w="606" w:type="pct"/>
            <w:tcBorders>
              <w:top w:val="single" w:sz="2" w:space="0" w:color="auto"/>
              <w:bottom w:val="single" w:sz="2" w:space="0" w:color="auto"/>
            </w:tcBorders>
            <w:shd w:val="clear" w:color="000000" w:fill="FFFFFF"/>
            <w:noWrap/>
            <w:vAlign w:val="center"/>
            <w:hideMark/>
          </w:tcPr>
          <w:p w14:paraId="3D39713B" w14:textId="3F6EE391"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2 825 000 </w:t>
            </w:r>
          </w:p>
        </w:tc>
        <w:tc>
          <w:tcPr>
            <w:tcW w:w="605" w:type="pct"/>
            <w:tcBorders>
              <w:top w:val="single" w:sz="2" w:space="0" w:color="auto"/>
              <w:bottom w:val="single" w:sz="2" w:space="0" w:color="auto"/>
            </w:tcBorders>
            <w:shd w:val="clear" w:color="auto" w:fill="FFFFFF" w:themeFill="background1"/>
            <w:noWrap/>
            <w:vAlign w:val="center"/>
            <w:hideMark/>
          </w:tcPr>
          <w:p w14:paraId="5FB9A9F7" w14:textId="4747AAFB"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2 400 000 </w:t>
            </w:r>
          </w:p>
        </w:tc>
        <w:tc>
          <w:tcPr>
            <w:tcW w:w="645" w:type="pct"/>
            <w:tcBorders>
              <w:top w:val="single" w:sz="2" w:space="0" w:color="auto"/>
              <w:bottom w:val="single" w:sz="2" w:space="0" w:color="auto"/>
            </w:tcBorders>
            <w:shd w:val="clear" w:color="auto" w:fill="FFFFFF" w:themeFill="background1"/>
            <w:noWrap/>
            <w:vAlign w:val="center"/>
            <w:hideMark/>
          </w:tcPr>
          <w:p w14:paraId="70BA5825" w14:textId="5CA6AE48"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1 019 578 </w:t>
            </w:r>
          </w:p>
        </w:tc>
      </w:tr>
      <w:tr w:rsidR="00227CD4" w:rsidRPr="00110AE6" w14:paraId="3D55D745" w14:textId="77777777" w:rsidTr="00227CD4">
        <w:trPr>
          <w:trHeight w:val="315"/>
        </w:trPr>
        <w:tc>
          <w:tcPr>
            <w:tcW w:w="597" w:type="pct"/>
            <w:gridSpan w:val="2"/>
            <w:tcBorders>
              <w:top w:val="single" w:sz="2" w:space="0" w:color="auto"/>
              <w:bottom w:val="single" w:sz="2" w:space="0" w:color="auto"/>
            </w:tcBorders>
            <w:shd w:val="clear" w:color="000000" w:fill="FFFFFF"/>
            <w:noWrap/>
            <w:vAlign w:val="center"/>
            <w:hideMark/>
          </w:tcPr>
          <w:p w14:paraId="6F5DBC2A" w14:textId="77777777" w:rsidR="00F7445B" w:rsidRPr="00110AE6" w:rsidRDefault="00F7445B" w:rsidP="00227CD4">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1942" w:type="pct"/>
            <w:tcBorders>
              <w:top w:val="single" w:sz="2" w:space="0" w:color="auto"/>
              <w:bottom w:val="single" w:sz="2" w:space="0" w:color="auto"/>
            </w:tcBorders>
            <w:shd w:val="clear" w:color="000000" w:fill="FFFFFF"/>
            <w:noWrap/>
            <w:vAlign w:val="center"/>
            <w:hideMark/>
          </w:tcPr>
          <w:p w14:paraId="7A089296" w14:textId="02A5B3BF" w:rsidR="00F7445B" w:rsidRPr="00110AE6" w:rsidRDefault="00F7445B" w:rsidP="00227CD4">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Coûts d</w:t>
            </w:r>
            <w:r w:rsidR="00D05492" w:rsidRPr="00110AE6">
              <w:rPr>
                <w:noProof/>
                <w:sz w:val="17"/>
                <w:szCs w:val="17"/>
                <w:lang w:val="fr-FR"/>
              </w:rPr>
              <w:t>’</w:t>
            </w:r>
            <w:r w:rsidRPr="00110AE6">
              <w:rPr>
                <w:noProof/>
                <w:sz w:val="17"/>
                <w:szCs w:val="17"/>
                <w:lang w:val="fr-FR"/>
              </w:rPr>
              <w:t>appui au programme</w:t>
            </w:r>
          </w:p>
        </w:tc>
        <w:tc>
          <w:tcPr>
            <w:tcW w:w="606" w:type="pct"/>
            <w:tcBorders>
              <w:top w:val="single" w:sz="2" w:space="0" w:color="auto"/>
              <w:bottom w:val="single" w:sz="2" w:space="0" w:color="auto"/>
            </w:tcBorders>
            <w:shd w:val="clear" w:color="000000" w:fill="FFFFFF"/>
            <w:noWrap/>
            <w:vAlign w:val="center"/>
            <w:hideMark/>
          </w:tcPr>
          <w:p w14:paraId="35EC8419" w14:textId="7C7F02C0"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450 574 </w:t>
            </w:r>
          </w:p>
        </w:tc>
        <w:tc>
          <w:tcPr>
            <w:tcW w:w="606" w:type="pct"/>
            <w:tcBorders>
              <w:top w:val="single" w:sz="2" w:space="0" w:color="auto"/>
              <w:bottom w:val="single" w:sz="2" w:space="0" w:color="auto"/>
            </w:tcBorders>
            <w:shd w:val="clear" w:color="000000" w:fill="FFFFFF"/>
            <w:noWrap/>
            <w:vAlign w:val="center"/>
            <w:hideMark/>
          </w:tcPr>
          <w:p w14:paraId="4D947372" w14:textId="5AED6A57"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367 250 </w:t>
            </w:r>
          </w:p>
        </w:tc>
        <w:tc>
          <w:tcPr>
            <w:tcW w:w="605" w:type="pct"/>
            <w:tcBorders>
              <w:top w:val="single" w:sz="2" w:space="0" w:color="auto"/>
              <w:bottom w:val="single" w:sz="2" w:space="0" w:color="auto"/>
            </w:tcBorders>
            <w:shd w:val="clear" w:color="auto" w:fill="FFFFFF" w:themeFill="background1"/>
            <w:noWrap/>
            <w:vAlign w:val="center"/>
            <w:hideMark/>
          </w:tcPr>
          <w:p w14:paraId="531DB760" w14:textId="30ED202E"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312 000 </w:t>
            </w:r>
          </w:p>
        </w:tc>
        <w:tc>
          <w:tcPr>
            <w:tcW w:w="645" w:type="pct"/>
            <w:tcBorders>
              <w:top w:val="single" w:sz="2" w:space="0" w:color="auto"/>
              <w:bottom w:val="single" w:sz="2" w:space="0" w:color="auto"/>
            </w:tcBorders>
            <w:shd w:val="clear" w:color="auto" w:fill="FFFFFF" w:themeFill="background1"/>
            <w:noWrap/>
            <w:vAlign w:val="center"/>
            <w:hideMark/>
          </w:tcPr>
          <w:p w14:paraId="3610CB59" w14:textId="4D9233B3" w:rsidR="00F7445B" w:rsidRPr="00110AE6" w:rsidRDefault="00F7445B" w:rsidP="00227CD4">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132 545 </w:t>
            </w:r>
          </w:p>
        </w:tc>
      </w:tr>
      <w:tr w:rsidR="00227CD4" w:rsidRPr="00110AE6" w14:paraId="6E8BB245" w14:textId="77777777" w:rsidTr="00227CD4">
        <w:trPr>
          <w:trHeight w:val="315"/>
        </w:trPr>
        <w:tc>
          <w:tcPr>
            <w:tcW w:w="2538" w:type="pct"/>
            <w:gridSpan w:val="3"/>
            <w:tcBorders>
              <w:top w:val="single" w:sz="2" w:space="0" w:color="auto"/>
              <w:bottom w:val="single" w:sz="2" w:space="0" w:color="auto"/>
            </w:tcBorders>
            <w:shd w:val="clear" w:color="000000" w:fill="FFFFFF"/>
            <w:noWrap/>
            <w:vAlign w:val="center"/>
            <w:hideMark/>
          </w:tcPr>
          <w:p w14:paraId="213045EA" w14:textId="10D12E25" w:rsidR="00F7445B" w:rsidRPr="00110AE6" w:rsidRDefault="00F7445B" w:rsidP="00227CD4">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(A à G), y compris les coûts d</w:t>
            </w:r>
            <w:r w:rsidR="00D05492" w:rsidRPr="00110AE6">
              <w:rPr>
                <w:b/>
                <w:bCs/>
                <w:noProof/>
                <w:sz w:val="17"/>
                <w:szCs w:val="17"/>
                <w:lang w:val="fr-FR"/>
              </w:rPr>
              <w:t>’</w:t>
            </w:r>
            <w:r w:rsidRPr="00110AE6">
              <w:rPr>
                <w:b/>
                <w:bCs/>
                <w:noProof/>
                <w:sz w:val="17"/>
                <w:szCs w:val="17"/>
                <w:lang w:val="fr-FR"/>
              </w:rPr>
              <w:t>appui au programme</w:t>
            </w:r>
          </w:p>
        </w:tc>
        <w:tc>
          <w:tcPr>
            <w:tcW w:w="606" w:type="pct"/>
            <w:tcBorders>
              <w:top w:val="single" w:sz="2" w:space="0" w:color="auto"/>
              <w:bottom w:val="single" w:sz="2" w:space="0" w:color="auto"/>
            </w:tcBorders>
            <w:shd w:val="clear" w:color="000000" w:fill="FFFFFF"/>
            <w:noWrap/>
            <w:vAlign w:val="center"/>
            <w:hideMark/>
          </w:tcPr>
          <w:p w14:paraId="53F6DF4C" w14:textId="5E8F6E1E"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3 916 524 </w:t>
            </w:r>
          </w:p>
        </w:tc>
        <w:tc>
          <w:tcPr>
            <w:tcW w:w="606" w:type="pct"/>
            <w:tcBorders>
              <w:top w:val="single" w:sz="2" w:space="0" w:color="auto"/>
              <w:bottom w:val="single" w:sz="2" w:space="0" w:color="auto"/>
            </w:tcBorders>
            <w:shd w:val="clear" w:color="000000" w:fill="FFFFFF"/>
            <w:noWrap/>
            <w:vAlign w:val="center"/>
            <w:hideMark/>
          </w:tcPr>
          <w:p w14:paraId="40E156C7" w14:textId="304E5212"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3 192 250 </w:t>
            </w:r>
          </w:p>
        </w:tc>
        <w:tc>
          <w:tcPr>
            <w:tcW w:w="605" w:type="pct"/>
            <w:tcBorders>
              <w:top w:val="single" w:sz="2" w:space="0" w:color="auto"/>
              <w:bottom w:val="single" w:sz="2" w:space="0" w:color="auto"/>
            </w:tcBorders>
            <w:shd w:val="clear" w:color="auto" w:fill="FFFFFF" w:themeFill="background1"/>
            <w:noWrap/>
            <w:vAlign w:val="center"/>
            <w:hideMark/>
          </w:tcPr>
          <w:p w14:paraId="1FCAE6EA" w14:textId="3736BC97"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2 712 000 </w:t>
            </w:r>
          </w:p>
        </w:tc>
        <w:tc>
          <w:tcPr>
            <w:tcW w:w="645" w:type="pct"/>
            <w:tcBorders>
              <w:top w:val="single" w:sz="2" w:space="0" w:color="auto"/>
              <w:bottom w:val="single" w:sz="2" w:space="0" w:color="auto"/>
            </w:tcBorders>
            <w:shd w:val="clear" w:color="auto" w:fill="FFFFFF" w:themeFill="background1"/>
            <w:noWrap/>
            <w:vAlign w:val="center"/>
            <w:hideMark/>
          </w:tcPr>
          <w:p w14:paraId="46095196" w14:textId="7EE95208" w:rsidR="00F7445B" w:rsidRPr="00110AE6" w:rsidRDefault="00F7445B" w:rsidP="00227CD4">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1 152 123 </w:t>
            </w:r>
          </w:p>
        </w:tc>
      </w:tr>
      <w:tr w:rsidR="001401D9" w:rsidRPr="00110AE6" w14:paraId="2253B734" w14:textId="77777777" w:rsidTr="00227CD4">
        <w:trPr>
          <w:trHeight w:val="315"/>
        </w:trPr>
        <w:tc>
          <w:tcPr>
            <w:tcW w:w="2538" w:type="pct"/>
            <w:gridSpan w:val="3"/>
            <w:tcBorders>
              <w:top w:val="single" w:sz="2" w:space="0" w:color="auto"/>
              <w:bottom w:val="single" w:sz="12" w:space="0" w:color="auto"/>
            </w:tcBorders>
            <w:shd w:val="clear" w:color="000000" w:fill="FFFFFF"/>
            <w:noWrap/>
            <w:vAlign w:val="center"/>
            <w:hideMark/>
          </w:tcPr>
          <w:p w14:paraId="0042E58D" w14:textId="49EDB8C2" w:rsidR="00F7445B" w:rsidRPr="00110AE6" w:rsidRDefault="00F7445B" w:rsidP="00227CD4">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des ressources pour 2018</w:t>
            </w:r>
          </w:p>
        </w:tc>
        <w:tc>
          <w:tcPr>
            <w:tcW w:w="1212" w:type="pct"/>
            <w:gridSpan w:val="2"/>
            <w:tcBorders>
              <w:top w:val="single" w:sz="2" w:space="0" w:color="auto"/>
              <w:bottom w:val="single" w:sz="12" w:space="0" w:color="auto"/>
            </w:tcBorders>
            <w:shd w:val="clear" w:color="000000" w:fill="FFFFFF"/>
            <w:noWrap/>
            <w:vAlign w:val="center"/>
            <w:hideMark/>
          </w:tcPr>
          <w:p w14:paraId="216CF5AA" w14:textId="05E26B90" w:rsidR="00F7445B" w:rsidRPr="00110AE6" w:rsidRDefault="00F7445B" w:rsidP="00227CD4">
            <w:pPr>
              <w:tabs>
                <w:tab w:val="clear" w:pos="1247"/>
                <w:tab w:val="clear" w:pos="1814"/>
                <w:tab w:val="clear" w:pos="2381"/>
                <w:tab w:val="clear" w:pos="2948"/>
                <w:tab w:val="clear" w:pos="3515"/>
              </w:tabs>
              <w:jc w:val="center"/>
              <w:rPr>
                <w:b/>
                <w:bCs/>
                <w:noProof/>
                <w:color w:val="000000"/>
                <w:sz w:val="17"/>
                <w:szCs w:val="17"/>
                <w:lang w:val="fr-FR"/>
              </w:rPr>
            </w:pPr>
            <w:r w:rsidRPr="00110AE6">
              <w:rPr>
                <w:b/>
                <w:noProof/>
                <w:sz w:val="17"/>
                <w:szCs w:val="17"/>
                <w:lang w:val="fr-FR"/>
              </w:rPr>
              <w:t>7 108 774</w:t>
            </w:r>
          </w:p>
        </w:tc>
        <w:tc>
          <w:tcPr>
            <w:tcW w:w="1250" w:type="pct"/>
            <w:gridSpan w:val="2"/>
            <w:tcBorders>
              <w:top w:val="single" w:sz="2" w:space="0" w:color="auto"/>
              <w:bottom w:val="single" w:sz="12" w:space="0" w:color="auto"/>
            </w:tcBorders>
            <w:shd w:val="clear" w:color="auto" w:fill="FFFFFF" w:themeFill="background1"/>
            <w:noWrap/>
            <w:vAlign w:val="center"/>
            <w:hideMark/>
          </w:tcPr>
          <w:p w14:paraId="6C195160" w14:textId="1C5EC450" w:rsidR="00F7445B" w:rsidRPr="00110AE6" w:rsidRDefault="008A3F8F" w:rsidP="00227CD4">
            <w:pPr>
              <w:tabs>
                <w:tab w:val="clear" w:pos="1247"/>
                <w:tab w:val="clear" w:pos="1814"/>
                <w:tab w:val="clear" w:pos="2381"/>
                <w:tab w:val="clear" w:pos="2948"/>
                <w:tab w:val="clear" w:pos="3515"/>
              </w:tabs>
              <w:jc w:val="center"/>
              <w:rPr>
                <w:b/>
                <w:bCs/>
                <w:noProof/>
                <w:color w:val="000000"/>
                <w:sz w:val="17"/>
                <w:szCs w:val="17"/>
                <w:lang w:val="fr-FR"/>
              </w:rPr>
            </w:pPr>
            <w:r w:rsidRPr="00110AE6">
              <w:rPr>
                <w:b/>
                <w:noProof/>
                <w:sz w:val="17"/>
                <w:szCs w:val="17"/>
                <w:lang w:val="fr-FR"/>
              </w:rPr>
              <w:t>3 864 123</w:t>
            </w:r>
          </w:p>
        </w:tc>
      </w:tr>
    </w:tbl>
    <w:p w14:paraId="3C94F0CA" w14:textId="7F0A79A7" w:rsidR="007A03B4" w:rsidRPr="00110AE6" w:rsidRDefault="002A77B9" w:rsidP="0082498C">
      <w:pPr>
        <w:pStyle w:val="Normalnumber"/>
        <w:spacing w:before="120"/>
        <w:rPr>
          <w:noProof/>
          <w:lang w:val="fr-FR"/>
        </w:rPr>
      </w:pPr>
      <w:r w:rsidRPr="00110AE6">
        <w:rPr>
          <w:noProof/>
          <w:lang w:val="fr-FR"/>
        </w:rPr>
        <w:t>Les écarts entre le budget approuvé et les dépenses prévues pour</w:t>
      </w:r>
      <w:r w:rsidR="003A0769" w:rsidRPr="00110AE6">
        <w:rPr>
          <w:noProof/>
          <w:lang w:val="fr-FR"/>
        </w:rPr>
        <w:t> </w:t>
      </w:r>
      <w:r w:rsidRPr="00110AE6">
        <w:rPr>
          <w:noProof/>
          <w:lang w:val="fr-FR"/>
        </w:rPr>
        <w:t>2018 au titre du Fonds général d</w:t>
      </w:r>
      <w:r w:rsidR="00D05492" w:rsidRPr="00110AE6">
        <w:rPr>
          <w:noProof/>
          <w:lang w:val="fr-FR"/>
        </w:rPr>
        <w:t>’</w:t>
      </w:r>
      <w:r w:rsidRPr="00110AE6">
        <w:rPr>
          <w:noProof/>
          <w:lang w:val="fr-FR"/>
        </w:rPr>
        <w:t>affectation spéciale s</w:t>
      </w:r>
      <w:r w:rsidR="00D05492" w:rsidRPr="00110AE6">
        <w:rPr>
          <w:noProof/>
          <w:lang w:val="fr-FR"/>
        </w:rPr>
        <w:t>’</w:t>
      </w:r>
      <w:r w:rsidRPr="00110AE6">
        <w:rPr>
          <w:noProof/>
          <w:lang w:val="fr-FR"/>
        </w:rPr>
        <w:t>expliquent par les changements suivant</w:t>
      </w:r>
      <w:r w:rsidR="00D859F8" w:rsidRPr="00110AE6">
        <w:rPr>
          <w:noProof/>
          <w:lang w:val="fr-FR"/>
        </w:rPr>
        <w:t>s :</w:t>
      </w:r>
    </w:p>
    <w:p w14:paraId="57ADEA04" w14:textId="7807CC9F" w:rsidR="007A03B4" w:rsidRPr="00110AE6" w:rsidRDefault="000D7356" w:rsidP="0082498C">
      <w:pPr>
        <w:pStyle w:val="Normalnumber"/>
        <w:numPr>
          <w:ilvl w:val="1"/>
          <w:numId w:val="4"/>
        </w:numPr>
        <w:rPr>
          <w:noProof/>
          <w:lang w:val="fr-FR"/>
        </w:rPr>
      </w:pPr>
      <w:r w:rsidRPr="00110AE6">
        <w:rPr>
          <w:noProof/>
          <w:lang w:val="fr-FR"/>
        </w:rPr>
        <w:t>A (Conférences et réunions) : grâce aux économies réalisées au titre des frais de voyage et des coûts afférents aux lieux de réunion, le secrétariat n</w:t>
      </w:r>
      <w:r w:rsidR="00D05492" w:rsidRPr="00110AE6">
        <w:rPr>
          <w:noProof/>
          <w:lang w:val="fr-FR"/>
        </w:rPr>
        <w:t>’</w:t>
      </w:r>
      <w:r w:rsidRPr="00110AE6">
        <w:rPr>
          <w:noProof/>
          <w:lang w:val="fr-FR"/>
        </w:rPr>
        <w:t>a dépensé que 75</w:t>
      </w:r>
      <w:r w:rsidR="007D380D" w:rsidRPr="00110AE6">
        <w:rPr>
          <w:noProof/>
          <w:lang w:val="fr-FR"/>
        </w:rPr>
        <w:t> 000 </w:t>
      </w:r>
      <w:r w:rsidRPr="00110AE6">
        <w:rPr>
          <w:noProof/>
          <w:lang w:val="fr-FR"/>
        </w:rPr>
        <w:t>dollars pour le groupe d</w:t>
      </w:r>
      <w:r w:rsidR="00D05492" w:rsidRPr="00110AE6">
        <w:rPr>
          <w:noProof/>
          <w:lang w:val="fr-FR"/>
        </w:rPr>
        <w:t>’</w:t>
      </w:r>
      <w:r w:rsidRPr="00110AE6">
        <w:rPr>
          <w:noProof/>
          <w:lang w:val="fr-FR"/>
        </w:rPr>
        <w:t>experts intersessions sur l</w:t>
      </w:r>
      <w:r w:rsidR="00D05492" w:rsidRPr="00110AE6">
        <w:rPr>
          <w:noProof/>
          <w:lang w:val="fr-FR"/>
        </w:rPr>
        <w:t>’</w:t>
      </w:r>
      <w:r w:rsidR="007D380D" w:rsidRPr="00110AE6">
        <w:rPr>
          <w:noProof/>
          <w:lang w:val="fr-FR"/>
        </w:rPr>
        <w:t>efficacité au lieu des 105 000 </w:t>
      </w:r>
      <w:r w:rsidRPr="00110AE6">
        <w:rPr>
          <w:noProof/>
          <w:lang w:val="fr-FR"/>
        </w:rPr>
        <w:t>dollars prévus au budget</w:t>
      </w:r>
      <w:r w:rsidR="00FA5356" w:rsidRPr="00110AE6">
        <w:rPr>
          <w:noProof/>
          <w:lang w:val="fr-FR"/>
        </w:rPr>
        <w:t> </w:t>
      </w:r>
      <w:r w:rsidRPr="00110AE6">
        <w:rPr>
          <w:noProof/>
          <w:lang w:val="fr-FR"/>
        </w:rPr>
        <w:t>;</w:t>
      </w:r>
    </w:p>
    <w:p w14:paraId="1C507AD5" w14:textId="789759C3" w:rsidR="007A03B4" w:rsidRPr="00110AE6" w:rsidRDefault="00EA644A" w:rsidP="0082498C">
      <w:pPr>
        <w:pStyle w:val="Normalnumber"/>
        <w:numPr>
          <w:ilvl w:val="1"/>
          <w:numId w:val="4"/>
        </w:numPr>
        <w:rPr>
          <w:noProof/>
          <w:lang w:val="fr-FR"/>
        </w:rPr>
      </w:pPr>
      <w:r w:rsidRPr="00110AE6">
        <w:rPr>
          <w:noProof/>
          <w:lang w:val="fr-FR"/>
        </w:rPr>
        <w:t>C (Activités scientifiques et techniques) : les crédits initialement prévus au titre des travaux sur l</w:t>
      </w:r>
      <w:r w:rsidR="00D05492" w:rsidRPr="00110AE6">
        <w:rPr>
          <w:noProof/>
          <w:lang w:val="fr-FR"/>
        </w:rPr>
        <w:t>’</w:t>
      </w:r>
      <w:r w:rsidRPr="00110AE6">
        <w:rPr>
          <w:noProof/>
          <w:lang w:val="fr-FR"/>
        </w:rPr>
        <w:t>établissem</w:t>
      </w:r>
      <w:r w:rsidR="007D380D" w:rsidRPr="00110AE6">
        <w:rPr>
          <w:noProof/>
          <w:lang w:val="fr-FR"/>
        </w:rPr>
        <w:t>ent des rapports nationaux pour </w:t>
      </w:r>
      <w:r w:rsidRPr="00110AE6">
        <w:rPr>
          <w:noProof/>
          <w:lang w:val="fr-FR"/>
        </w:rPr>
        <w:t>2018 n</w:t>
      </w:r>
      <w:r w:rsidR="00D05492" w:rsidRPr="00110AE6">
        <w:rPr>
          <w:noProof/>
          <w:lang w:val="fr-FR"/>
        </w:rPr>
        <w:t>’</w:t>
      </w:r>
      <w:r w:rsidRPr="00110AE6">
        <w:rPr>
          <w:noProof/>
          <w:lang w:val="fr-FR"/>
        </w:rPr>
        <w:t>ont pas été utilisés. Le secrétariat commencera ses travaux sur cette question dès que le poste de spécialiste de la communication et de la gestion des connaissances sera pourvu. Tous les coût</w:t>
      </w:r>
      <w:r w:rsidR="00FA5356" w:rsidRPr="00110AE6">
        <w:rPr>
          <w:noProof/>
          <w:lang w:val="fr-FR"/>
        </w:rPr>
        <w:t>s directs sont reportés à 2019 ;</w:t>
      </w:r>
    </w:p>
    <w:p w14:paraId="344B5944" w14:textId="410D9A6B" w:rsidR="00EA644A" w:rsidRPr="00110AE6" w:rsidRDefault="00EA644A" w:rsidP="0082498C">
      <w:pPr>
        <w:pStyle w:val="Normalnumber"/>
        <w:numPr>
          <w:ilvl w:val="1"/>
          <w:numId w:val="4"/>
        </w:numPr>
        <w:rPr>
          <w:noProof/>
          <w:lang w:val="fr-FR"/>
        </w:rPr>
      </w:pPr>
      <w:r w:rsidRPr="00110AE6">
        <w:rPr>
          <w:noProof/>
          <w:lang w:val="fr-FR"/>
        </w:rPr>
        <w:t>D (Gestion des connaissances et de l</w:t>
      </w:r>
      <w:r w:rsidR="00D05492" w:rsidRPr="00110AE6">
        <w:rPr>
          <w:noProof/>
          <w:lang w:val="fr-FR"/>
        </w:rPr>
        <w:t>’</w:t>
      </w:r>
      <w:r w:rsidRPr="00110AE6">
        <w:rPr>
          <w:noProof/>
          <w:lang w:val="fr-FR"/>
        </w:rPr>
        <w:t>information et sensibilisation) : si le secrétariat a entrepris et poursuivi des activités essentielles de gestion des connaissances et de l</w:t>
      </w:r>
      <w:r w:rsidR="00D05492" w:rsidRPr="00110AE6">
        <w:rPr>
          <w:noProof/>
          <w:lang w:val="fr-FR"/>
        </w:rPr>
        <w:t>’</w:t>
      </w:r>
      <w:r w:rsidRPr="00110AE6">
        <w:rPr>
          <w:noProof/>
          <w:lang w:val="fr-FR"/>
        </w:rPr>
        <w:t>information et de sensibilisation, les acti</w:t>
      </w:r>
      <w:r w:rsidR="007D380D" w:rsidRPr="00110AE6">
        <w:rPr>
          <w:noProof/>
          <w:lang w:val="fr-FR"/>
        </w:rPr>
        <w:t>vités initialement prévues pour </w:t>
      </w:r>
      <w:r w:rsidRPr="00110AE6">
        <w:rPr>
          <w:noProof/>
          <w:lang w:val="fr-FR"/>
        </w:rPr>
        <w:t xml:space="preserve">2018 </w:t>
      </w:r>
      <w:r w:rsidR="00657F55" w:rsidRPr="00110AE6">
        <w:rPr>
          <w:noProof/>
          <w:lang w:val="fr-FR"/>
        </w:rPr>
        <w:t xml:space="preserve">dans les domaines de la communication, de l’information et de la sensibilisation </w:t>
      </w:r>
      <w:r w:rsidRPr="00110AE6">
        <w:rPr>
          <w:noProof/>
          <w:lang w:val="fr-FR"/>
        </w:rPr>
        <w:t>ne pourront avoir lieu que lorsque le processus de recrutement pour le poste de spécialiste de la communication et de la gestion des connaissances sera terminé. Les coûts correspondants sont donc rep</w:t>
      </w:r>
      <w:r w:rsidR="00FA5356" w:rsidRPr="00110AE6">
        <w:rPr>
          <w:noProof/>
          <w:lang w:val="fr-FR"/>
        </w:rPr>
        <w:t>ortés à 2019 ;</w:t>
      </w:r>
    </w:p>
    <w:p w14:paraId="5DC733F3" w14:textId="1B72F722" w:rsidR="000A33AD" w:rsidRPr="00110AE6" w:rsidRDefault="00EA644A" w:rsidP="0082498C">
      <w:pPr>
        <w:pStyle w:val="Normalnumber"/>
        <w:numPr>
          <w:ilvl w:val="1"/>
          <w:numId w:val="4"/>
        </w:numPr>
        <w:rPr>
          <w:noProof/>
          <w:lang w:val="fr-FR"/>
        </w:rPr>
      </w:pPr>
      <w:r w:rsidRPr="00110AE6">
        <w:rPr>
          <w:noProof/>
          <w:lang w:val="fr-FR"/>
        </w:rPr>
        <w:t>E (Gestion d</w:t>
      </w:r>
      <w:r w:rsidR="00D05492" w:rsidRPr="00110AE6">
        <w:rPr>
          <w:noProof/>
          <w:lang w:val="fr-FR"/>
        </w:rPr>
        <w:t>’</w:t>
      </w:r>
      <w:r w:rsidRPr="00110AE6">
        <w:rPr>
          <w:noProof/>
          <w:lang w:val="fr-FR"/>
        </w:rPr>
        <w:t>ensemble) : certains postes en étant encore au stade de la procédure de recrutement, le montant estimatif des dé</w:t>
      </w:r>
      <w:r w:rsidR="007D380D" w:rsidRPr="00110AE6">
        <w:rPr>
          <w:noProof/>
          <w:lang w:val="fr-FR"/>
        </w:rPr>
        <w:t>penses de personnel, à savoir 1 110 000 </w:t>
      </w:r>
      <w:r w:rsidRPr="00110AE6">
        <w:rPr>
          <w:noProof/>
          <w:lang w:val="fr-FR"/>
        </w:rPr>
        <w:t>dollars, est inférieur au mo</w:t>
      </w:r>
      <w:r w:rsidR="007D380D" w:rsidRPr="00110AE6">
        <w:rPr>
          <w:noProof/>
          <w:lang w:val="fr-FR"/>
        </w:rPr>
        <w:t>ntant inscrit au budget, soit 1 930 950 </w:t>
      </w:r>
      <w:r w:rsidRPr="00110AE6">
        <w:rPr>
          <w:noProof/>
          <w:lang w:val="fr-FR"/>
        </w:rPr>
        <w:t>dollars. En outre, tous les postes n</w:t>
      </w:r>
      <w:r w:rsidR="00D05492" w:rsidRPr="00110AE6">
        <w:rPr>
          <w:noProof/>
          <w:lang w:val="fr-FR"/>
        </w:rPr>
        <w:t>’</w:t>
      </w:r>
      <w:r w:rsidRPr="00110AE6">
        <w:rPr>
          <w:noProof/>
          <w:lang w:val="fr-FR"/>
        </w:rPr>
        <w:t>étant pas encore pourvus, le secrétariat prévoit de réaliser des économies au titre des frais de</w:t>
      </w:r>
      <w:r w:rsidR="00FA5356" w:rsidRPr="00110AE6">
        <w:rPr>
          <w:noProof/>
          <w:lang w:val="fr-FR"/>
        </w:rPr>
        <w:t xml:space="preserve"> vo</w:t>
      </w:r>
      <w:r w:rsidR="007D380D" w:rsidRPr="00110AE6">
        <w:rPr>
          <w:noProof/>
          <w:lang w:val="fr-FR"/>
        </w:rPr>
        <w:t>yage du personnel pour </w:t>
      </w:r>
      <w:r w:rsidR="00FA5356" w:rsidRPr="00110AE6">
        <w:rPr>
          <w:noProof/>
          <w:lang w:val="fr-FR"/>
        </w:rPr>
        <w:t>2018 ;</w:t>
      </w:r>
    </w:p>
    <w:p w14:paraId="59A657B4" w14:textId="488B9718" w:rsidR="00BB76B2" w:rsidRPr="00110AE6" w:rsidRDefault="00BB76B2" w:rsidP="008A3F8F">
      <w:pPr>
        <w:pStyle w:val="Normalnumber"/>
        <w:numPr>
          <w:ilvl w:val="1"/>
          <w:numId w:val="4"/>
        </w:numPr>
        <w:rPr>
          <w:noProof/>
          <w:lang w:val="fr-FR"/>
        </w:rPr>
      </w:pPr>
      <w:r w:rsidRPr="00110AE6">
        <w:rPr>
          <w:noProof/>
          <w:lang w:val="fr-FR"/>
        </w:rPr>
        <w:t>G (Entretien des locaux et services) : le secrétariat a complètement mis en place ses nouveaux locaux. Les économies réalisées en 2018 sont essentiellement dues aux</w:t>
      </w:r>
      <w:r w:rsidR="00D859F8" w:rsidRPr="00110AE6">
        <w:rPr>
          <w:noProof/>
          <w:lang w:val="fr-FR"/>
        </w:rPr>
        <w:t xml:space="preserve"> postes vacants au secrétariat.</w:t>
      </w:r>
    </w:p>
    <w:p w14:paraId="65100A6A" w14:textId="10E530A8" w:rsidR="007A03B4" w:rsidRPr="00110AE6" w:rsidRDefault="00F3043C" w:rsidP="008A3F8F">
      <w:pPr>
        <w:pStyle w:val="Normalnumber"/>
        <w:rPr>
          <w:noProof/>
          <w:lang w:val="fr-FR"/>
        </w:rPr>
      </w:pPr>
      <w:r w:rsidRPr="00110AE6">
        <w:rPr>
          <w:noProof/>
          <w:lang w:val="fr-FR"/>
        </w:rPr>
        <w:t>Les écarts constatés ci-dessus entre le budget approuvé et les dépenses prévues pour</w:t>
      </w:r>
      <w:r w:rsidR="007D380D" w:rsidRPr="00110AE6">
        <w:rPr>
          <w:noProof/>
          <w:lang w:val="fr-FR"/>
        </w:rPr>
        <w:t> </w:t>
      </w:r>
      <w:r w:rsidRPr="00110AE6">
        <w:rPr>
          <w:noProof/>
          <w:lang w:val="fr-FR"/>
        </w:rPr>
        <w:t>2018 au titre du Fonds d</w:t>
      </w:r>
      <w:r w:rsidR="00D05492" w:rsidRPr="00110AE6">
        <w:rPr>
          <w:noProof/>
          <w:lang w:val="fr-FR"/>
        </w:rPr>
        <w:t>’</w:t>
      </w:r>
      <w:r w:rsidRPr="00110AE6">
        <w:rPr>
          <w:noProof/>
          <w:lang w:val="fr-FR"/>
        </w:rPr>
        <w:t>affectation spéciale à des fins déterminées s</w:t>
      </w:r>
      <w:r w:rsidR="00D05492" w:rsidRPr="00110AE6">
        <w:rPr>
          <w:noProof/>
          <w:lang w:val="fr-FR"/>
        </w:rPr>
        <w:t>’</w:t>
      </w:r>
      <w:r w:rsidRPr="00110AE6">
        <w:rPr>
          <w:noProof/>
          <w:lang w:val="fr-FR"/>
        </w:rPr>
        <w:t>expliquent</w:t>
      </w:r>
      <w:r w:rsidR="00D859F8" w:rsidRPr="00110AE6">
        <w:rPr>
          <w:noProof/>
          <w:lang w:val="fr-FR"/>
        </w:rPr>
        <w:t xml:space="preserve"> par les changements suivants :</w:t>
      </w:r>
    </w:p>
    <w:p w14:paraId="72A7CF79" w14:textId="5E53E0E0" w:rsidR="007A03B4" w:rsidRPr="00110AE6" w:rsidRDefault="000D7356" w:rsidP="0082498C">
      <w:pPr>
        <w:pStyle w:val="Normalnumber"/>
        <w:numPr>
          <w:ilvl w:val="1"/>
          <w:numId w:val="4"/>
        </w:numPr>
        <w:rPr>
          <w:noProof/>
          <w:lang w:val="fr-FR"/>
        </w:rPr>
      </w:pPr>
      <w:r w:rsidRPr="00110AE6">
        <w:rPr>
          <w:noProof/>
          <w:lang w:val="fr-FR"/>
        </w:rPr>
        <w:t>A (Confére</w:t>
      </w:r>
      <w:r w:rsidR="007D380D" w:rsidRPr="00110AE6">
        <w:rPr>
          <w:noProof/>
          <w:lang w:val="fr-FR"/>
        </w:rPr>
        <w:t>nces et réunions) : sur les 640 000 </w:t>
      </w:r>
      <w:r w:rsidRPr="00110AE6">
        <w:rPr>
          <w:noProof/>
          <w:lang w:val="fr-FR"/>
        </w:rPr>
        <w:t>dollars prévus au budget pour financer les voyages des participant(e)s à la deuxième réunion de la Co</w:t>
      </w:r>
      <w:r w:rsidR="007D380D" w:rsidRPr="00110AE6">
        <w:rPr>
          <w:noProof/>
          <w:lang w:val="fr-FR"/>
        </w:rPr>
        <w:t>nférence des Parties, seuls 414 760 </w:t>
      </w:r>
      <w:r w:rsidRPr="00110AE6">
        <w:rPr>
          <w:noProof/>
          <w:lang w:val="fr-FR"/>
        </w:rPr>
        <w:t>dollars avaie</w:t>
      </w:r>
      <w:r w:rsidR="007D380D" w:rsidRPr="00110AE6">
        <w:rPr>
          <w:noProof/>
          <w:lang w:val="fr-FR"/>
        </w:rPr>
        <w:t>nt été annoncés ou versés au 31 août </w:t>
      </w:r>
      <w:r w:rsidRPr="00110AE6">
        <w:rPr>
          <w:noProof/>
          <w:lang w:val="fr-FR"/>
        </w:rPr>
        <w:t>2018 par la Finlande, la Suède et la Suisse (contribution du pays hôte). Le secrétariat continue de lever des fonds pour faciliter la participation à la deuxième réunion de la Conférence des Parties. Sur les 535</w:t>
      </w:r>
      <w:r w:rsidR="007D380D" w:rsidRPr="00110AE6">
        <w:rPr>
          <w:noProof/>
          <w:lang w:val="fr-FR"/>
        </w:rPr>
        <w:t> 000 </w:t>
      </w:r>
      <w:r w:rsidRPr="00110AE6">
        <w:rPr>
          <w:noProof/>
          <w:lang w:val="fr-FR"/>
        </w:rPr>
        <w:t>dollars prévus au budget au titre des réunions prép</w:t>
      </w:r>
      <w:r w:rsidR="007D380D" w:rsidRPr="00110AE6">
        <w:rPr>
          <w:noProof/>
          <w:lang w:val="fr-FR"/>
        </w:rPr>
        <w:t>aratoires régionales, seuls 431 178 </w:t>
      </w:r>
      <w:r w:rsidRPr="00110AE6">
        <w:rPr>
          <w:noProof/>
          <w:lang w:val="fr-FR"/>
        </w:rPr>
        <w:t>dollars ont été annoncés ou versés par l</w:t>
      </w:r>
      <w:r w:rsidR="00D05492" w:rsidRPr="00110AE6">
        <w:rPr>
          <w:noProof/>
          <w:lang w:val="fr-FR"/>
        </w:rPr>
        <w:t>’</w:t>
      </w:r>
      <w:r w:rsidRPr="00110AE6">
        <w:rPr>
          <w:noProof/>
          <w:lang w:val="fr-FR"/>
        </w:rPr>
        <w:t>Autriche, le Japon, la Suède et la Suisse. En conséquence, le secrétariat a organisé deux journées de réunions préparatoires régionales dans toutes les régions au lieu des réunions plus longues initialement prévues</w:t>
      </w:r>
      <w:r w:rsidR="00FA5356" w:rsidRPr="00110AE6">
        <w:rPr>
          <w:noProof/>
          <w:lang w:val="fr-FR"/>
        </w:rPr>
        <w:t> </w:t>
      </w:r>
      <w:r w:rsidRPr="00110AE6">
        <w:rPr>
          <w:noProof/>
          <w:lang w:val="fr-FR"/>
        </w:rPr>
        <w:t>;</w:t>
      </w:r>
    </w:p>
    <w:p w14:paraId="26CE40FB" w14:textId="0E1C6EB3" w:rsidR="000D7356" w:rsidRPr="00110AE6" w:rsidRDefault="000D7356" w:rsidP="0082498C">
      <w:pPr>
        <w:pStyle w:val="Normalnumber"/>
        <w:numPr>
          <w:ilvl w:val="1"/>
          <w:numId w:val="4"/>
        </w:numPr>
        <w:rPr>
          <w:noProof/>
          <w:lang w:val="fr-FR"/>
        </w:rPr>
      </w:pPr>
      <w:r w:rsidRPr="00110AE6">
        <w:rPr>
          <w:noProof/>
          <w:lang w:val="fr-FR"/>
        </w:rPr>
        <w:t>B (Renforcement des cap</w:t>
      </w:r>
      <w:r w:rsidR="00D859F8" w:rsidRPr="00110AE6">
        <w:rPr>
          <w:noProof/>
          <w:lang w:val="fr-FR"/>
        </w:rPr>
        <w:t>acités et assistance technique) </w:t>
      </w:r>
      <w:r w:rsidRPr="00110AE6">
        <w:rPr>
          <w:noProof/>
          <w:lang w:val="fr-FR"/>
        </w:rPr>
        <w:t>: en 2018, le secrétariat a lancé une campagne de levée de fonds pour financer les activités prévues. Le secrétariat note avec satisfaction que l</w:t>
      </w:r>
      <w:r w:rsidR="00D05492" w:rsidRPr="00110AE6">
        <w:rPr>
          <w:noProof/>
          <w:lang w:val="fr-FR"/>
        </w:rPr>
        <w:t>’</w:t>
      </w:r>
      <w:r w:rsidRPr="00110AE6">
        <w:rPr>
          <w:noProof/>
          <w:lang w:val="fr-FR"/>
        </w:rPr>
        <w:t>Union européenne a annoncé une imp</w:t>
      </w:r>
      <w:r w:rsidR="007D380D" w:rsidRPr="00110AE6">
        <w:rPr>
          <w:noProof/>
          <w:lang w:val="fr-FR"/>
        </w:rPr>
        <w:t>ortante contribution en juillet </w:t>
      </w:r>
      <w:r w:rsidRPr="00110AE6">
        <w:rPr>
          <w:noProof/>
          <w:lang w:val="fr-FR"/>
        </w:rPr>
        <w:t>2018 et que la France, la Norvège et les Philippines ont également fait des annonces de contributions. Bien que les activités qu</w:t>
      </w:r>
      <w:r w:rsidR="00D05492" w:rsidRPr="00110AE6">
        <w:rPr>
          <w:noProof/>
          <w:lang w:val="fr-FR"/>
        </w:rPr>
        <w:t>’</w:t>
      </w:r>
      <w:r w:rsidRPr="00110AE6">
        <w:rPr>
          <w:noProof/>
          <w:lang w:val="fr-FR"/>
        </w:rPr>
        <w:t xml:space="preserve">il est prévu de mettre en </w:t>
      </w:r>
      <w:r w:rsidR="00FA5356" w:rsidRPr="00110AE6">
        <w:rPr>
          <w:noProof/>
          <w:lang w:val="fr-FR"/>
        </w:rPr>
        <w:t>œuvre</w:t>
      </w:r>
      <w:r w:rsidR="007D380D" w:rsidRPr="00110AE6">
        <w:rPr>
          <w:noProof/>
          <w:lang w:val="fr-FR"/>
        </w:rPr>
        <w:t xml:space="preserve"> avant la fin de </w:t>
      </w:r>
      <w:r w:rsidRPr="00110AE6">
        <w:rPr>
          <w:noProof/>
          <w:lang w:val="fr-FR"/>
        </w:rPr>
        <w:t>2018 soient limitées, leur pleine exécution ne pourra commencer qu</w:t>
      </w:r>
      <w:r w:rsidR="00D05492" w:rsidRPr="00110AE6">
        <w:rPr>
          <w:noProof/>
          <w:lang w:val="fr-FR"/>
        </w:rPr>
        <w:t>’</w:t>
      </w:r>
      <w:r w:rsidRPr="00110AE6">
        <w:rPr>
          <w:noProof/>
          <w:lang w:val="fr-FR"/>
        </w:rPr>
        <w:t>une fois le poste de spécialiste de l</w:t>
      </w:r>
      <w:r w:rsidR="00D05492" w:rsidRPr="00110AE6">
        <w:rPr>
          <w:noProof/>
          <w:lang w:val="fr-FR"/>
        </w:rPr>
        <w:t>’</w:t>
      </w:r>
      <w:r w:rsidRPr="00110AE6">
        <w:rPr>
          <w:noProof/>
          <w:lang w:val="fr-FR"/>
        </w:rPr>
        <w:t>assistance technique et du renforcement des capacités aura été pourvu. En</w:t>
      </w:r>
      <w:r w:rsidR="001E723D" w:rsidRPr="00110AE6">
        <w:rPr>
          <w:noProof/>
          <w:lang w:val="fr-FR"/>
        </w:rPr>
        <w:t> </w:t>
      </w:r>
      <w:r w:rsidRPr="00110AE6">
        <w:rPr>
          <w:noProof/>
          <w:lang w:val="fr-FR"/>
        </w:rPr>
        <w:t xml:space="preserve">conséquence, la majorité des dépenses </w:t>
      </w:r>
      <w:r w:rsidR="00FA5356" w:rsidRPr="00110AE6">
        <w:rPr>
          <w:noProof/>
          <w:lang w:val="fr-FR"/>
        </w:rPr>
        <w:t>ne seront engagées qu</w:t>
      </w:r>
      <w:r w:rsidR="00D05492" w:rsidRPr="00110AE6">
        <w:rPr>
          <w:noProof/>
          <w:lang w:val="fr-FR"/>
        </w:rPr>
        <w:t>’</w:t>
      </w:r>
      <w:r w:rsidR="007D380D" w:rsidRPr="00110AE6">
        <w:rPr>
          <w:noProof/>
          <w:lang w:val="fr-FR"/>
        </w:rPr>
        <w:t>en </w:t>
      </w:r>
      <w:r w:rsidR="00FA5356" w:rsidRPr="00110AE6">
        <w:rPr>
          <w:noProof/>
          <w:lang w:val="fr-FR"/>
        </w:rPr>
        <w:t>2019 ;</w:t>
      </w:r>
    </w:p>
    <w:p w14:paraId="482C12BE" w14:textId="19F3A088" w:rsidR="00EA644A" w:rsidRPr="00110AE6" w:rsidRDefault="00EA644A" w:rsidP="0082498C">
      <w:pPr>
        <w:pStyle w:val="Normalnumber"/>
        <w:numPr>
          <w:ilvl w:val="1"/>
          <w:numId w:val="4"/>
        </w:numPr>
        <w:rPr>
          <w:noProof/>
          <w:lang w:val="fr-FR"/>
        </w:rPr>
      </w:pPr>
      <w:r w:rsidRPr="00110AE6">
        <w:rPr>
          <w:noProof/>
          <w:lang w:val="fr-FR"/>
        </w:rPr>
        <w:t>C (Activités scientifiques et techniques) : aucunes ressources n</w:t>
      </w:r>
      <w:r w:rsidR="00D05492" w:rsidRPr="00110AE6">
        <w:rPr>
          <w:noProof/>
          <w:lang w:val="fr-FR"/>
        </w:rPr>
        <w:t>’</w:t>
      </w:r>
      <w:r w:rsidRPr="00110AE6">
        <w:rPr>
          <w:noProof/>
          <w:lang w:val="fr-FR"/>
        </w:rPr>
        <w:t>avaient initialement été affectées à cette rubrique</w:t>
      </w:r>
      <w:r w:rsidR="00FA5356" w:rsidRPr="00110AE6">
        <w:rPr>
          <w:noProof/>
          <w:lang w:val="fr-FR"/>
        </w:rPr>
        <w:t> </w:t>
      </w:r>
      <w:r w:rsidRPr="00110AE6">
        <w:rPr>
          <w:noProof/>
          <w:lang w:val="fr-FR"/>
        </w:rPr>
        <w:t>; toutefois, le secrétariat constate avec satisfaction que, puisque le Japon a annoncé une importante contribution, le secrétariat disposait d</w:t>
      </w:r>
      <w:r w:rsidR="00D05492" w:rsidRPr="00110AE6">
        <w:rPr>
          <w:noProof/>
          <w:lang w:val="fr-FR"/>
        </w:rPr>
        <w:t>’</w:t>
      </w:r>
      <w:r w:rsidRPr="00110AE6">
        <w:rPr>
          <w:noProof/>
          <w:lang w:val="fr-FR"/>
        </w:rPr>
        <w:t>un appui supplémentaire aux fins de l</w:t>
      </w:r>
      <w:r w:rsidR="00D05492" w:rsidRPr="00110AE6">
        <w:rPr>
          <w:noProof/>
          <w:lang w:val="fr-FR"/>
        </w:rPr>
        <w:t>’</w:t>
      </w:r>
      <w:r w:rsidRPr="00110AE6">
        <w:rPr>
          <w:noProof/>
          <w:lang w:val="fr-FR"/>
        </w:rPr>
        <w:t>assistance scientifique et technique.</w:t>
      </w:r>
    </w:p>
    <w:p w14:paraId="428F2D06" w14:textId="34ECE7AF" w:rsidR="00CF54F8" w:rsidRPr="00110AE6" w:rsidRDefault="00A91DD5" w:rsidP="00E916AE">
      <w:pPr>
        <w:pStyle w:val="CH3"/>
        <w:numPr>
          <w:ilvl w:val="6"/>
          <w:numId w:val="22"/>
        </w:numPr>
        <w:tabs>
          <w:tab w:val="clear" w:pos="851"/>
        </w:tabs>
        <w:ind w:left="1276" w:hanging="632"/>
        <w:rPr>
          <w:noProof/>
          <w:lang w:val="fr-FR"/>
        </w:rPr>
      </w:pPr>
      <w:r w:rsidRPr="00110AE6">
        <w:rPr>
          <w:bCs/>
          <w:noProof/>
          <w:lang w:val="fr-FR"/>
        </w:rPr>
        <w:t>Prévisions de recettes et de dépenses de la Convention de Minamata pour 2018</w:t>
      </w:r>
    </w:p>
    <w:p w14:paraId="552B88FE" w14:textId="646B68C7" w:rsidR="000B3E64" w:rsidRPr="00110AE6" w:rsidRDefault="00335EFE" w:rsidP="0082498C">
      <w:pPr>
        <w:pStyle w:val="Normalnumber"/>
        <w:rPr>
          <w:noProof/>
          <w:lang w:val="fr-FR"/>
        </w:rPr>
      </w:pPr>
      <w:r w:rsidRPr="00110AE6">
        <w:rPr>
          <w:noProof/>
          <w:lang w:val="fr-FR"/>
        </w:rPr>
        <w:t>Le tableau </w:t>
      </w:r>
      <w:r w:rsidR="007610F0" w:rsidRPr="00110AE6">
        <w:rPr>
          <w:noProof/>
          <w:lang w:val="fr-FR"/>
        </w:rPr>
        <w:t>3 présente un résumé des prévisions de recettes et de dépenses des trois fonds d</w:t>
      </w:r>
      <w:r w:rsidR="00D05492" w:rsidRPr="00110AE6">
        <w:rPr>
          <w:noProof/>
          <w:lang w:val="fr-FR"/>
        </w:rPr>
        <w:t>’</w:t>
      </w:r>
      <w:r w:rsidR="007610F0" w:rsidRPr="00110AE6">
        <w:rPr>
          <w:noProof/>
          <w:lang w:val="fr-FR"/>
        </w:rPr>
        <w:t>affectation spéciale de la Co</w:t>
      </w:r>
      <w:r w:rsidR="00FA5356" w:rsidRPr="00110AE6">
        <w:rPr>
          <w:noProof/>
          <w:lang w:val="fr-FR"/>
        </w:rPr>
        <w:t>nvention de Minamata pour 2018.</w:t>
      </w:r>
    </w:p>
    <w:p w14:paraId="062C0964" w14:textId="70FEEE24" w:rsidR="00941E96" w:rsidRPr="00110AE6" w:rsidRDefault="00335EFE" w:rsidP="00A91DD5">
      <w:pPr>
        <w:pStyle w:val="Titletable"/>
        <w:rPr>
          <w:noProof/>
          <w:lang w:val="fr-FR"/>
        </w:rPr>
      </w:pPr>
      <w:r w:rsidRPr="00110AE6">
        <w:rPr>
          <w:b w:val="0"/>
          <w:noProof/>
          <w:lang w:val="fr-FR"/>
        </w:rPr>
        <w:t>Tableau </w:t>
      </w:r>
      <w:r w:rsidR="004307A3" w:rsidRPr="00110AE6">
        <w:rPr>
          <w:b w:val="0"/>
          <w:noProof/>
          <w:lang w:val="fr-FR"/>
        </w:rPr>
        <w:t xml:space="preserve">3 </w:t>
      </w:r>
      <w:r w:rsidR="00761CCF" w:rsidRPr="00110AE6">
        <w:rPr>
          <w:b w:val="0"/>
          <w:noProof/>
          <w:lang w:val="fr-FR"/>
        </w:rPr>
        <w:br/>
      </w:r>
      <w:r w:rsidR="004307A3" w:rsidRPr="00110AE6">
        <w:rPr>
          <w:noProof/>
          <w:lang w:val="fr-FR"/>
        </w:rPr>
        <w:t>Prévisions de recettes et de dépenses des fonds d</w:t>
      </w:r>
      <w:r w:rsidR="00D05492" w:rsidRPr="00110AE6">
        <w:rPr>
          <w:noProof/>
          <w:lang w:val="fr-FR"/>
        </w:rPr>
        <w:t>’</w:t>
      </w:r>
      <w:r w:rsidR="004307A3" w:rsidRPr="00110AE6">
        <w:rPr>
          <w:noProof/>
          <w:lang w:val="fr-FR"/>
        </w:rPr>
        <w:t>affectation spéciale de la Convention de Minamata pour 2018</w:t>
      </w:r>
    </w:p>
    <w:p w14:paraId="52448694" w14:textId="4AEC2920" w:rsidR="002A77B9" w:rsidRPr="00110AE6" w:rsidRDefault="002A77B9" w:rsidP="00A91DD5">
      <w:pPr>
        <w:pStyle w:val="Titletable"/>
        <w:rPr>
          <w:b w:val="0"/>
          <w:noProof/>
          <w:sz w:val="18"/>
          <w:szCs w:val="18"/>
          <w:lang w:val="fr-FR"/>
        </w:rPr>
      </w:pPr>
      <w:r w:rsidRPr="00110AE6">
        <w:rPr>
          <w:b w:val="0"/>
          <w:noProof/>
          <w:lang w:val="fr-FR"/>
        </w:rPr>
        <w:t>(En dollars des États-Unis)</w:t>
      </w:r>
    </w:p>
    <w:tbl>
      <w:tblPr>
        <w:tblW w:w="4094" w:type="pct"/>
        <w:tblInd w:w="1258" w:type="dxa"/>
        <w:tblLayout w:type="fixed"/>
        <w:tblLook w:val="04A0" w:firstRow="1" w:lastRow="0" w:firstColumn="1" w:lastColumn="0" w:noHBand="0" w:noVBand="1"/>
      </w:tblPr>
      <w:tblGrid>
        <w:gridCol w:w="2268"/>
        <w:gridCol w:w="1928"/>
        <w:gridCol w:w="1928"/>
        <w:gridCol w:w="1928"/>
      </w:tblGrid>
      <w:tr w:rsidR="0094159B" w:rsidRPr="00110AE6" w14:paraId="287F6707" w14:textId="77777777" w:rsidTr="00C0358F">
        <w:trPr>
          <w:trHeight w:val="385"/>
        </w:trPr>
        <w:tc>
          <w:tcPr>
            <w:tcW w:w="2268" w:type="dxa"/>
            <w:tcBorders>
              <w:top w:val="single" w:sz="4" w:space="0" w:color="auto"/>
              <w:bottom w:val="single" w:sz="12" w:space="0" w:color="auto"/>
            </w:tcBorders>
            <w:shd w:val="clear" w:color="auto" w:fill="auto"/>
            <w:noWrap/>
            <w:vAlign w:val="bottom"/>
            <w:hideMark/>
          </w:tcPr>
          <w:p w14:paraId="218F0444" w14:textId="24A7291D" w:rsidR="004307A3" w:rsidRPr="00110AE6" w:rsidRDefault="004307A3" w:rsidP="00E3777B">
            <w:pPr>
              <w:tabs>
                <w:tab w:val="clear" w:pos="1247"/>
                <w:tab w:val="clear" w:pos="1814"/>
                <w:tab w:val="clear" w:pos="2381"/>
                <w:tab w:val="clear" w:pos="2948"/>
                <w:tab w:val="clear" w:pos="3515"/>
              </w:tabs>
              <w:spacing w:before="20" w:after="20"/>
              <w:rPr>
                <w:b/>
                <w:bCs/>
                <w:noProof/>
                <w:sz w:val="18"/>
                <w:szCs w:val="18"/>
                <w:lang w:val="fr-FR"/>
              </w:rPr>
            </w:pPr>
            <w:r w:rsidRPr="00110AE6">
              <w:rPr>
                <w:b/>
                <w:bCs/>
                <w:noProof/>
                <w:sz w:val="18"/>
                <w:szCs w:val="18"/>
                <w:lang w:val="fr-FR"/>
              </w:rPr>
              <w:t>Fonds d</w:t>
            </w:r>
            <w:r w:rsidR="00D05492" w:rsidRPr="00110AE6">
              <w:rPr>
                <w:b/>
                <w:bCs/>
                <w:noProof/>
                <w:sz w:val="18"/>
                <w:szCs w:val="18"/>
                <w:lang w:val="fr-FR"/>
              </w:rPr>
              <w:t>’</w:t>
            </w:r>
            <w:r w:rsidRPr="00110AE6">
              <w:rPr>
                <w:b/>
                <w:bCs/>
                <w:noProof/>
                <w:sz w:val="18"/>
                <w:szCs w:val="18"/>
                <w:lang w:val="fr-FR"/>
              </w:rPr>
              <w:t>affectation spéciale</w:t>
            </w:r>
          </w:p>
        </w:tc>
        <w:tc>
          <w:tcPr>
            <w:tcW w:w="1928" w:type="dxa"/>
            <w:tcBorders>
              <w:top w:val="single" w:sz="4" w:space="0" w:color="auto"/>
              <w:bottom w:val="single" w:sz="12" w:space="0" w:color="auto"/>
            </w:tcBorders>
            <w:shd w:val="clear" w:color="auto" w:fill="auto"/>
            <w:vAlign w:val="bottom"/>
            <w:hideMark/>
          </w:tcPr>
          <w:p w14:paraId="06A376AE" w14:textId="422FD72F" w:rsidR="004307A3" w:rsidRPr="00110AE6" w:rsidRDefault="004307A3"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bCs/>
                <w:noProof/>
                <w:sz w:val="18"/>
                <w:szCs w:val="18"/>
                <w:lang w:val="fr-FR"/>
              </w:rPr>
              <w:t>Recettes</w:t>
            </w:r>
            <w:r w:rsidR="00676479" w:rsidRPr="00110AE6">
              <w:rPr>
                <w:b/>
                <w:bCs/>
                <w:noProof/>
                <w:sz w:val="18"/>
                <w:szCs w:val="18"/>
                <w:lang w:val="fr-FR"/>
              </w:rPr>
              <w:br/>
            </w:r>
            <w:r w:rsidRPr="00110AE6">
              <w:rPr>
                <w:b/>
                <w:bCs/>
                <w:noProof/>
                <w:sz w:val="18"/>
                <w:szCs w:val="18"/>
                <w:lang w:val="fr-FR"/>
              </w:rPr>
              <w:t>prévues</w:t>
            </w:r>
          </w:p>
        </w:tc>
        <w:tc>
          <w:tcPr>
            <w:tcW w:w="1928" w:type="dxa"/>
            <w:tcBorders>
              <w:top w:val="single" w:sz="4" w:space="0" w:color="auto"/>
              <w:bottom w:val="single" w:sz="12" w:space="0" w:color="auto"/>
            </w:tcBorders>
            <w:shd w:val="clear" w:color="auto" w:fill="auto"/>
            <w:vAlign w:val="bottom"/>
            <w:hideMark/>
          </w:tcPr>
          <w:p w14:paraId="480C99BF" w14:textId="181CEB65" w:rsidR="004307A3" w:rsidRPr="00110AE6" w:rsidRDefault="00941E96"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bCs/>
                <w:noProof/>
                <w:sz w:val="18"/>
                <w:szCs w:val="18"/>
                <w:lang w:val="fr-FR"/>
              </w:rPr>
              <w:t>Dépenses</w:t>
            </w:r>
            <w:r w:rsidR="00676479" w:rsidRPr="00110AE6">
              <w:rPr>
                <w:b/>
                <w:bCs/>
                <w:noProof/>
                <w:sz w:val="18"/>
                <w:szCs w:val="18"/>
                <w:lang w:val="fr-FR"/>
              </w:rPr>
              <w:br/>
            </w:r>
            <w:r w:rsidRPr="00110AE6">
              <w:rPr>
                <w:b/>
                <w:bCs/>
                <w:noProof/>
                <w:sz w:val="18"/>
                <w:szCs w:val="18"/>
                <w:lang w:val="fr-FR"/>
              </w:rPr>
              <w:t>prévues</w:t>
            </w:r>
          </w:p>
        </w:tc>
        <w:tc>
          <w:tcPr>
            <w:tcW w:w="1928" w:type="dxa"/>
            <w:tcBorders>
              <w:top w:val="single" w:sz="4" w:space="0" w:color="auto"/>
              <w:bottom w:val="single" w:sz="12" w:space="0" w:color="auto"/>
            </w:tcBorders>
            <w:shd w:val="clear" w:color="auto" w:fill="auto"/>
            <w:vAlign w:val="bottom"/>
            <w:hideMark/>
          </w:tcPr>
          <w:p w14:paraId="4C572686" w14:textId="77777777" w:rsidR="00C0358F" w:rsidRPr="00110AE6" w:rsidRDefault="004307A3"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bCs/>
                <w:noProof/>
                <w:sz w:val="18"/>
                <w:szCs w:val="18"/>
                <w:lang w:val="fr-FR"/>
              </w:rPr>
              <w:t>Solde prévu</w:t>
            </w:r>
            <w:r w:rsidRPr="00110AE6">
              <w:rPr>
                <w:noProof/>
                <w:sz w:val="18"/>
                <w:szCs w:val="18"/>
                <w:lang w:val="fr-FR"/>
              </w:rPr>
              <w:t xml:space="preserve"> </w:t>
            </w:r>
          </w:p>
          <w:p w14:paraId="2673187E" w14:textId="408206A4" w:rsidR="004307A3" w:rsidRPr="00110AE6" w:rsidRDefault="002A77B9"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bCs/>
                <w:noProof/>
                <w:sz w:val="18"/>
                <w:szCs w:val="18"/>
                <w:lang w:val="fr-FR"/>
              </w:rPr>
              <w:t>en fin d</w:t>
            </w:r>
            <w:r w:rsidR="00D05492" w:rsidRPr="00110AE6">
              <w:rPr>
                <w:b/>
                <w:bCs/>
                <w:noProof/>
                <w:sz w:val="18"/>
                <w:szCs w:val="18"/>
                <w:lang w:val="fr-FR"/>
              </w:rPr>
              <w:t>’</w:t>
            </w:r>
            <w:r w:rsidRPr="00110AE6">
              <w:rPr>
                <w:b/>
                <w:bCs/>
                <w:noProof/>
                <w:sz w:val="18"/>
                <w:szCs w:val="18"/>
                <w:lang w:val="fr-FR"/>
              </w:rPr>
              <w:t>exercice</w:t>
            </w:r>
          </w:p>
        </w:tc>
      </w:tr>
      <w:tr w:rsidR="0094159B" w:rsidRPr="00110AE6" w14:paraId="62DB6112" w14:textId="77777777" w:rsidTr="00C0358F">
        <w:trPr>
          <w:trHeight w:val="271"/>
        </w:trPr>
        <w:tc>
          <w:tcPr>
            <w:tcW w:w="2268" w:type="dxa"/>
            <w:tcBorders>
              <w:top w:val="single" w:sz="12" w:space="0" w:color="auto"/>
            </w:tcBorders>
            <w:shd w:val="clear" w:color="auto" w:fill="auto"/>
            <w:noWrap/>
            <w:vAlign w:val="bottom"/>
            <w:hideMark/>
          </w:tcPr>
          <w:p w14:paraId="3AA0356F" w14:textId="22F83A19" w:rsidR="004307A3" w:rsidRPr="00110AE6" w:rsidRDefault="00843541" w:rsidP="00E3777B">
            <w:pPr>
              <w:tabs>
                <w:tab w:val="clear" w:pos="1247"/>
                <w:tab w:val="clear" w:pos="1814"/>
                <w:tab w:val="clear" w:pos="2381"/>
                <w:tab w:val="clear" w:pos="2948"/>
                <w:tab w:val="clear" w:pos="3515"/>
              </w:tabs>
              <w:spacing w:before="20" w:after="20"/>
              <w:rPr>
                <w:noProof/>
                <w:sz w:val="18"/>
                <w:szCs w:val="18"/>
                <w:lang w:val="fr-FR"/>
              </w:rPr>
            </w:pPr>
            <w:r w:rsidRPr="00110AE6">
              <w:rPr>
                <w:noProof/>
                <w:sz w:val="18"/>
                <w:szCs w:val="18"/>
                <w:lang w:val="fr-FR"/>
              </w:rPr>
              <w:t>Fonds général d</w:t>
            </w:r>
            <w:r w:rsidR="00D05492" w:rsidRPr="00110AE6">
              <w:rPr>
                <w:noProof/>
                <w:sz w:val="18"/>
                <w:szCs w:val="18"/>
                <w:lang w:val="fr-FR"/>
              </w:rPr>
              <w:t>’</w:t>
            </w:r>
            <w:r w:rsidRPr="00110AE6">
              <w:rPr>
                <w:noProof/>
                <w:sz w:val="18"/>
                <w:szCs w:val="18"/>
                <w:lang w:val="fr-FR"/>
              </w:rPr>
              <w:t>affectation spéciale</w:t>
            </w:r>
          </w:p>
        </w:tc>
        <w:tc>
          <w:tcPr>
            <w:tcW w:w="1928" w:type="dxa"/>
            <w:tcBorders>
              <w:top w:val="single" w:sz="12" w:space="0" w:color="auto"/>
            </w:tcBorders>
            <w:shd w:val="clear" w:color="auto" w:fill="auto"/>
            <w:noWrap/>
            <w:vAlign w:val="bottom"/>
            <w:hideMark/>
          </w:tcPr>
          <w:p w14:paraId="2F2EBE83" w14:textId="42A2472F" w:rsidR="004307A3" w:rsidRPr="00110AE6" w:rsidRDefault="00D859F8" w:rsidP="00E3777B">
            <w:pPr>
              <w:tabs>
                <w:tab w:val="clear" w:pos="1247"/>
                <w:tab w:val="clear" w:pos="1814"/>
                <w:tab w:val="clear" w:pos="2381"/>
                <w:tab w:val="clear" w:pos="2948"/>
                <w:tab w:val="clear" w:pos="3515"/>
              </w:tabs>
              <w:spacing w:before="20" w:after="20"/>
              <w:jc w:val="right"/>
              <w:rPr>
                <w:noProof/>
                <w:sz w:val="18"/>
                <w:szCs w:val="18"/>
                <w:lang w:val="fr-FR"/>
              </w:rPr>
            </w:pPr>
            <w:r w:rsidRPr="00110AE6">
              <w:rPr>
                <w:noProof/>
                <w:sz w:val="18"/>
                <w:szCs w:val="18"/>
                <w:lang w:val="fr-FR"/>
              </w:rPr>
              <w:t>4 329 045</w:t>
            </w:r>
          </w:p>
        </w:tc>
        <w:tc>
          <w:tcPr>
            <w:tcW w:w="1928" w:type="dxa"/>
            <w:tcBorders>
              <w:top w:val="single" w:sz="12" w:space="0" w:color="auto"/>
            </w:tcBorders>
            <w:shd w:val="clear" w:color="auto" w:fill="auto"/>
            <w:noWrap/>
            <w:vAlign w:val="bottom"/>
            <w:hideMark/>
          </w:tcPr>
          <w:p w14:paraId="2F4F839A" w14:textId="4CFEB1EE" w:rsidR="004307A3" w:rsidRPr="00110AE6" w:rsidRDefault="00D859F8" w:rsidP="002A77B9">
            <w:pPr>
              <w:tabs>
                <w:tab w:val="clear" w:pos="1247"/>
                <w:tab w:val="clear" w:pos="1814"/>
                <w:tab w:val="clear" w:pos="2381"/>
                <w:tab w:val="clear" w:pos="2948"/>
                <w:tab w:val="clear" w:pos="3515"/>
              </w:tabs>
              <w:spacing w:before="20" w:after="20"/>
              <w:jc w:val="right"/>
              <w:rPr>
                <w:noProof/>
                <w:sz w:val="18"/>
                <w:szCs w:val="18"/>
                <w:lang w:val="fr-FR"/>
              </w:rPr>
            </w:pPr>
            <w:r w:rsidRPr="00110AE6">
              <w:rPr>
                <w:noProof/>
                <w:sz w:val="18"/>
                <w:szCs w:val="18"/>
                <w:lang w:val="fr-FR"/>
              </w:rPr>
              <w:t>2 926 700</w:t>
            </w:r>
          </w:p>
        </w:tc>
        <w:tc>
          <w:tcPr>
            <w:tcW w:w="1928" w:type="dxa"/>
            <w:tcBorders>
              <w:top w:val="single" w:sz="12" w:space="0" w:color="auto"/>
            </w:tcBorders>
            <w:shd w:val="clear" w:color="auto" w:fill="auto"/>
            <w:noWrap/>
            <w:vAlign w:val="bottom"/>
            <w:hideMark/>
          </w:tcPr>
          <w:p w14:paraId="187886E3" w14:textId="62CD1D93" w:rsidR="004307A3" w:rsidRPr="00110AE6" w:rsidRDefault="00037302"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noProof/>
                <w:sz w:val="18"/>
                <w:szCs w:val="18"/>
                <w:lang w:val="fr-FR"/>
              </w:rPr>
              <w:t>1 402 345</w:t>
            </w:r>
          </w:p>
        </w:tc>
      </w:tr>
      <w:tr w:rsidR="0094159B" w:rsidRPr="00110AE6" w14:paraId="1A2D5434" w14:textId="77777777" w:rsidTr="00C0358F">
        <w:trPr>
          <w:trHeight w:val="300"/>
        </w:trPr>
        <w:tc>
          <w:tcPr>
            <w:tcW w:w="2268" w:type="dxa"/>
            <w:shd w:val="clear" w:color="auto" w:fill="auto"/>
            <w:noWrap/>
            <w:vAlign w:val="bottom"/>
            <w:hideMark/>
          </w:tcPr>
          <w:p w14:paraId="1527C8A2" w14:textId="62FDC2BC" w:rsidR="004307A3" w:rsidRPr="00110AE6" w:rsidRDefault="00843541" w:rsidP="00E3777B">
            <w:pPr>
              <w:tabs>
                <w:tab w:val="clear" w:pos="1247"/>
                <w:tab w:val="clear" w:pos="1814"/>
                <w:tab w:val="clear" w:pos="2381"/>
                <w:tab w:val="clear" w:pos="2948"/>
                <w:tab w:val="clear" w:pos="3515"/>
              </w:tabs>
              <w:spacing w:before="20" w:after="20"/>
              <w:rPr>
                <w:noProof/>
                <w:sz w:val="18"/>
                <w:szCs w:val="18"/>
                <w:lang w:val="fr-FR"/>
              </w:rPr>
            </w:pPr>
            <w:r w:rsidRPr="00110AE6">
              <w:rPr>
                <w:noProof/>
                <w:sz w:val="18"/>
                <w:szCs w:val="18"/>
                <w:lang w:val="fr-FR"/>
              </w:rPr>
              <w:t>Fonds d</w:t>
            </w:r>
            <w:r w:rsidR="00D05492" w:rsidRPr="00110AE6">
              <w:rPr>
                <w:noProof/>
                <w:sz w:val="18"/>
                <w:szCs w:val="18"/>
                <w:lang w:val="fr-FR"/>
              </w:rPr>
              <w:t>’</w:t>
            </w:r>
            <w:r w:rsidRPr="00110AE6">
              <w:rPr>
                <w:noProof/>
                <w:sz w:val="18"/>
                <w:szCs w:val="18"/>
                <w:lang w:val="fr-FR"/>
              </w:rPr>
              <w:t>affectation spéciale à des fins déterminées</w:t>
            </w:r>
          </w:p>
        </w:tc>
        <w:tc>
          <w:tcPr>
            <w:tcW w:w="1928" w:type="dxa"/>
            <w:shd w:val="clear" w:color="auto" w:fill="auto"/>
            <w:noWrap/>
            <w:vAlign w:val="bottom"/>
            <w:hideMark/>
          </w:tcPr>
          <w:p w14:paraId="3248A134" w14:textId="35E24348" w:rsidR="004307A3" w:rsidRPr="00110AE6" w:rsidRDefault="00D859F8" w:rsidP="00E3777B">
            <w:pPr>
              <w:tabs>
                <w:tab w:val="clear" w:pos="1247"/>
                <w:tab w:val="clear" w:pos="1814"/>
                <w:tab w:val="clear" w:pos="2381"/>
                <w:tab w:val="clear" w:pos="2948"/>
                <w:tab w:val="clear" w:pos="3515"/>
              </w:tabs>
              <w:spacing w:before="20" w:after="20"/>
              <w:jc w:val="right"/>
              <w:rPr>
                <w:noProof/>
                <w:sz w:val="18"/>
                <w:szCs w:val="18"/>
                <w:lang w:val="fr-FR"/>
              </w:rPr>
            </w:pPr>
            <w:r w:rsidRPr="00110AE6">
              <w:rPr>
                <w:noProof/>
                <w:sz w:val="18"/>
                <w:szCs w:val="18"/>
                <w:lang w:val="fr-FR"/>
              </w:rPr>
              <w:t>1 851 156</w:t>
            </w:r>
          </w:p>
        </w:tc>
        <w:tc>
          <w:tcPr>
            <w:tcW w:w="1928" w:type="dxa"/>
            <w:shd w:val="clear" w:color="auto" w:fill="auto"/>
            <w:noWrap/>
            <w:vAlign w:val="bottom"/>
            <w:hideMark/>
          </w:tcPr>
          <w:p w14:paraId="275D2421" w14:textId="2AF4C9F4" w:rsidR="004307A3" w:rsidRPr="00110AE6" w:rsidRDefault="00D859F8" w:rsidP="002A77B9">
            <w:pPr>
              <w:tabs>
                <w:tab w:val="clear" w:pos="1247"/>
                <w:tab w:val="clear" w:pos="1814"/>
                <w:tab w:val="clear" w:pos="2381"/>
                <w:tab w:val="clear" w:pos="2948"/>
                <w:tab w:val="clear" w:pos="3515"/>
              </w:tabs>
              <w:spacing w:before="20" w:after="20"/>
              <w:jc w:val="right"/>
              <w:rPr>
                <w:noProof/>
                <w:sz w:val="18"/>
                <w:szCs w:val="18"/>
                <w:lang w:val="fr-FR"/>
              </w:rPr>
            </w:pPr>
            <w:r w:rsidRPr="00110AE6">
              <w:rPr>
                <w:noProof/>
                <w:sz w:val="18"/>
                <w:szCs w:val="18"/>
                <w:lang w:val="fr-FR"/>
              </w:rPr>
              <w:t>1 152 123</w:t>
            </w:r>
          </w:p>
        </w:tc>
        <w:tc>
          <w:tcPr>
            <w:tcW w:w="1928" w:type="dxa"/>
            <w:shd w:val="clear" w:color="auto" w:fill="auto"/>
            <w:noWrap/>
            <w:vAlign w:val="bottom"/>
            <w:hideMark/>
          </w:tcPr>
          <w:p w14:paraId="3B3FD078" w14:textId="72496986" w:rsidR="004307A3" w:rsidRPr="00110AE6" w:rsidRDefault="004307A3"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noProof/>
                <w:sz w:val="18"/>
                <w:szCs w:val="18"/>
                <w:lang w:val="fr-FR"/>
              </w:rPr>
              <w:t>699 033</w:t>
            </w:r>
          </w:p>
        </w:tc>
      </w:tr>
      <w:tr w:rsidR="0094159B" w:rsidRPr="00110AE6" w14:paraId="0B504AF5" w14:textId="77777777" w:rsidTr="00C0358F">
        <w:trPr>
          <w:trHeight w:val="300"/>
        </w:trPr>
        <w:tc>
          <w:tcPr>
            <w:tcW w:w="2268" w:type="dxa"/>
            <w:tcBorders>
              <w:bottom w:val="single" w:sz="12" w:space="0" w:color="auto"/>
            </w:tcBorders>
            <w:shd w:val="clear" w:color="auto" w:fill="auto"/>
            <w:noWrap/>
            <w:vAlign w:val="bottom"/>
            <w:hideMark/>
          </w:tcPr>
          <w:p w14:paraId="2EB27C90" w14:textId="6187F709" w:rsidR="004307A3" w:rsidRPr="00110AE6" w:rsidRDefault="00843541" w:rsidP="00E3777B">
            <w:pPr>
              <w:tabs>
                <w:tab w:val="clear" w:pos="1247"/>
                <w:tab w:val="clear" w:pos="1814"/>
                <w:tab w:val="clear" w:pos="2381"/>
                <w:tab w:val="clear" w:pos="2948"/>
                <w:tab w:val="clear" w:pos="3515"/>
              </w:tabs>
              <w:spacing w:before="20" w:after="20"/>
              <w:rPr>
                <w:noProof/>
                <w:sz w:val="18"/>
                <w:szCs w:val="18"/>
                <w:lang w:val="fr-FR"/>
              </w:rPr>
            </w:pPr>
            <w:r w:rsidRPr="00110AE6">
              <w:rPr>
                <w:noProof/>
                <w:sz w:val="18"/>
                <w:szCs w:val="18"/>
                <w:lang w:val="fr-FR"/>
              </w:rPr>
              <w:t>Fonds d</w:t>
            </w:r>
            <w:r w:rsidR="00D05492" w:rsidRPr="00110AE6">
              <w:rPr>
                <w:noProof/>
                <w:sz w:val="18"/>
                <w:szCs w:val="18"/>
                <w:lang w:val="fr-FR"/>
              </w:rPr>
              <w:t>’</w:t>
            </w:r>
            <w:r w:rsidRPr="00110AE6">
              <w:rPr>
                <w:noProof/>
                <w:sz w:val="18"/>
                <w:szCs w:val="18"/>
                <w:lang w:val="fr-FR"/>
              </w:rPr>
              <w:t>affectation spéciale particulier</w:t>
            </w:r>
          </w:p>
        </w:tc>
        <w:tc>
          <w:tcPr>
            <w:tcW w:w="1928" w:type="dxa"/>
            <w:tcBorders>
              <w:bottom w:val="single" w:sz="12" w:space="0" w:color="auto"/>
            </w:tcBorders>
            <w:shd w:val="clear" w:color="auto" w:fill="auto"/>
            <w:noWrap/>
            <w:vAlign w:val="bottom"/>
            <w:hideMark/>
          </w:tcPr>
          <w:p w14:paraId="10616433" w14:textId="0C72E564" w:rsidR="004307A3" w:rsidRPr="00110AE6" w:rsidRDefault="00D859F8" w:rsidP="00E3777B">
            <w:pPr>
              <w:tabs>
                <w:tab w:val="clear" w:pos="1247"/>
                <w:tab w:val="clear" w:pos="1814"/>
                <w:tab w:val="clear" w:pos="2381"/>
                <w:tab w:val="clear" w:pos="2948"/>
                <w:tab w:val="clear" w:pos="3515"/>
              </w:tabs>
              <w:spacing w:before="20" w:after="20"/>
              <w:jc w:val="right"/>
              <w:rPr>
                <w:noProof/>
                <w:sz w:val="18"/>
                <w:szCs w:val="18"/>
                <w:lang w:val="fr-FR"/>
              </w:rPr>
            </w:pPr>
            <w:r w:rsidRPr="00110AE6">
              <w:rPr>
                <w:noProof/>
                <w:sz w:val="18"/>
                <w:szCs w:val="18"/>
                <w:lang w:val="fr-FR"/>
              </w:rPr>
              <w:t>1 281 449</w:t>
            </w:r>
          </w:p>
        </w:tc>
        <w:tc>
          <w:tcPr>
            <w:tcW w:w="1928" w:type="dxa"/>
            <w:tcBorders>
              <w:bottom w:val="single" w:sz="12" w:space="0" w:color="auto"/>
            </w:tcBorders>
            <w:shd w:val="clear" w:color="auto" w:fill="auto"/>
            <w:noWrap/>
            <w:vAlign w:val="bottom"/>
            <w:hideMark/>
          </w:tcPr>
          <w:p w14:paraId="034DC1BC" w14:textId="5E3810C0" w:rsidR="004307A3" w:rsidRPr="00110AE6" w:rsidRDefault="00D859F8" w:rsidP="002A77B9">
            <w:pPr>
              <w:tabs>
                <w:tab w:val="clear" w:pos="1247"/>
                <w:tab w:val="clear" w:pos="1814"/>
                <w:tab w:val="clear" w:pos="2381"/>
                <w:tab w:val="clear" w:pos="2948"/>
                <w:tab w:val="clear" w:pos="3515"/>
              </w:tabs>
              <w:spacing w:before="20" w:after="20"/>
              <w:jc w:val="right"/>
              <w:rPr>
                <w:noProof/>
                <w:sz w:val="18"/>
                <w:szCs w:val="18"/>
                <w:lang w:val="fr-FR"/>
              </w:rPr>
            </w:pPr>
            <w:r w:rsidRPr="00110AE6">
              <w:rPr>
                <w:noProof/>
                <w:sz w:val="18"/>
                <w:szCs w:val="18"/>
                <w:lang w:val="fr-FR"/>
              </w:rPr>
              <w:t>550 000</w:t>
            </w:r>
          </w:p>
        </w:tc>
        <w:tc>
          <w:tcPr>
            <w:tcW w:w="1928" w:type="dxa"/>
            <w:tcBorders>
              <w:bottom w:val="single" w:sz="12" w:space="0" w:color="auto"/>
            </w:tcBorders>
            <w:shd w:val="clear" w:color="auto" w:fill="auto"/>
            <w:noWrap/>
            <w:vAlign w:val="bottom"/>
            <w:hideMark/>
          </w:tcPr>
          <w:p w14:paraId="590E0E88" w14:textId="380163E7" w:rsidR="004307A3" w:rsidRPr="00110AE6" w:rsidRDefault="004307A3" w:rsidP="00C0358F">
            <w:pPr>
              <w:tabs>
                <w:tab w:val="clear" w:pos="1247"/>
                <w:tab w:val="clear" w:pos="1814"/>
                <w:tab w:val="clear" w:pos="2381"/>
                <w:tab w:val="clear" w:pos="2948"/>
                <w:tab w:val="clear" w:pos="3515"/>
              </w:tabs>
              <w:spacing w:before="20" w:after="20"/>
              <w:jc w:val="right"/>
              <w:rPr>
                <w:b/>
                <w:bCs/>
                <w:noProof/>
                <w:sz w:val="18"/>
                <w:szCs w:val="18"/>
                <w:lang w:val="fr-FR"/>
              </w:rPr>
            </w:pPr>
            <w:r w:rsidRPr="00110AE6">
              <w:rPr>
                <w:b/>
                <w:noProof/>
                <w:sz w:val="18"/>
                <w:szCs w:val="18"/>
                <w:lang w:val="fr-FR"/>
              </w:rPr>
              <w:t>731 449</w:t>
            </w:r>
          </w:p>
        </w:tc>
      </w:tr>
    </w:tbl>
    <w:p w14:paraId="5C961500" w14:textId="30F9E235" w:rsidR="00821EA3" w:rsidRPr="00110AE6" w:rsidRDefault="00821EA3" w:rsidP="0082498C">
      <w:pPr>
        <w:pStyle w:val="Normalnumber"/>
        <w:spacing w:before="120"/>
        <w:rPr>
          <w:noProof/>
          <w:lang w:val="fr-FR"/>
        </w:rPr>
      </w:pPr>
      <w:r w:rsidRPr="00110AE6">
        <w:rPr>
          <w:noProof/>
          <w:lang w:val="fr-FR"/>
        </w:rPr>
        <w:t>Les chiffres ci-dessus qui correspondent au Fonds général d</w:t>
      </w:r>
      <w:r w:rsidR="00D05492" w:rsidRPr="00110AE6">
        <w:rPr>
          <w:noProof/>
          <w:lang w:val="fr-FR"/>
        </w:rPr>
        <w:t>’</w:t>
      </w:r>
      <w:r w:rsidRPr="00110AE6">
        <w:rPr>
          <w:noProof/>
          <w:lang w:val="fr-FR"/>
        </w:rPr>
        <w:t>affectation spéciale et au Fonds d</w:t>
      </w:r>
      <w:r w:rsidR="00D05492" w:rsidRPr="00110AE6">
        <w:rPr>
          <w:noProof/>
          <w:lang w:val="fr-FR"/>
        </w:rPr>
        <w:t>’</w:t>
      </w:r>
      <w:r w:rsidRPr="00110AE6">
        <w:rPr>
          <w:noProof/>
          <w:lang w:val="fr-FR"/>
        </w:rPr>
        <w:t xml:space="preserve">affectation spéciale à des fins </w:t>
      </w:r>
      <w:r w:rsidR="00FA5356" w:rsidRPr="00110AE6">
        <w:rPr>
          <w:noProof/>
          <w:lang w:val="fr-FR"/>
        </w:rPr>
        <w:t>déterminées</w:t>
      </w:r>
      <w:r w:rsidRPr="00110AE6">
        <w:rPr>
          <w:noProof/>
          <w:lang w:val="fr-FR"/>
        </w:rPr>
        <w:t xml:space="preserve"> tiennent compte des ressources au t</w:t>
      </w:r>
      <w:r w:rsidR="00FA5356" w:rsidRPr="00110AE6">
        <w:rPr>
          <w:noProof/>
          <w:lang w:val="fr-FR"/>
        </w:rPr>
        <w:t>itre de l</w:t>
      </w:r>
      <w:r w:rsidR="00D05492" w:rsidRPr="00110AE6">
        <w:rPr>
          <w:noProof/>
          <w:lang w:val="fr-FR"/>
        </w:rPr>
        <w:t>’</w:t>
      </w:r>
      <w:r w:rsidR="00FA5356" w:rsidRPr="00110AE6">
        <w:rPr>
          <w:noProof/>
          <w:lang w:val="fr-FR"/>
        </w:rPr>
        <w:t>appui aux programmes.</w:t>
      </w:r>
    </w:p>
    <w:p w14:paraId="4F194C01" w14:textId="769A752D" w:rsidR="004307A3" w:rsidRPr="00110AE6" w:rsidRDefault="00E37BA7" w:rsidP="0082498C">
      <w:pPr>
        <w:pStyle w:val="Normalnumber"/>
        <w:rPr>
          <w:noProof/>
          <w:lang w:val="fr-FR"/>
        </w:rPr>
      </w:pPr>
      <w:r w:rsidRPr="00110AE6">
        <w:rPr>
          <w:noProof/>
          <w:lang w:val="fr-FR"/>
        </w:rPr>
        <w:t>Lorsque le Conseil d</w:t>
      </w:r>
      <w:r w:rsidR="00D05492" w:rsidRPr="00110AE6">
        <w:rPr>
          <w:noProof/>
          <w:lang w:val="fr-FR"/>
        </w:rPr>
        <w:t>’</w:t>
      </w:r>
      <w:r w:rsidRPr="00110AE6">
        <w:rPr>
          <w:noProof/>
          <w:lang w:val="fr-FR"/>
        </w:rPr>
        <w:t>administration du Programme international spécifique se sera réuni en octobre</w:t>
      </w:r>
      <w:r w:rsidR="00335EFE" w:rsidRPr="00110AE6">
        <w:rPr>
          <w:noProof/>
          <w:lang w:val="fr-FR"/>
        </w:rPr>
        <w:t> </w:t>
      </w:r>
      <w:r w:rsidRPr="00110AE6">
        <w:rPr>
          <w:noProof/>
          <w:lang w:val="fr-FR"/>
        </w:rPr>
        <w:t>2018 pour examiner et trancher les demandes reçues au cours du premier cycle de dépôt de demandes au titre du programme international spécifique</w:t>
      </w:r>
      <w:r w:rsidR="005573CD" w:rsidRPr="00110AE6">
        <w:rPr>
          <w:noProof/>
          <w:vertAlign w:val="superscript"/>
          <w:lang w:val="fr-FR"/>
        </w:rPr>
        <w:footnoteReference w:id="2"/>
      </w:r>
      <w:r w:rsidRPr="00110AE6">
        <w:rPr>
          <w:noProof/>
          <w:lang w:val="fr-FR"/>
        </w:rPr>
        <w:t xml:space="preserve">, les pays dont le projet a été retenu </w:t>
      </w:r>
      <w:r w:rsidR="00FA5356" w:rsidRPr="00110AE6">
        <w:rPr>
          <w:noProof/>
          <w:lang w:val="fr-FR"/>
        </w:rPr>
        <w:t>concluront</w:t>
      </w:r>
      <w:r w:rsidRPr="00110AE6">
        <w:rPr>
          <w:noProof/>
          <w:lang w:val="fr-FR"/>
        </w:rPr>
        <w:t xml:space="preserve"> des accords juridiques avec le Programme des Nations Unies pour l</w:t>
      </w:r>
      <w:r w:rsidR="00D05492" w:rsidRPr="00110AE6">
        <w:rPr>
          <w:noProof/>
          <w:lang w:val="fr-FR"/>
        </w:rPr>
        <w:t>’</w:t>
      </w:r>
      <w:r w:rsidRPr="00110AE6">
        <w:rPr>
          <w:noProof/>
          <w:lang w:val="fr-FR"/>
        </w:rPr>
        <w:t xml:space="preserve">environnement. Certains des accords de financement aux fins de la mise en </w:t>
      </w:r>
      <w:r w:rsidR="00FA5356" w:rsidRPr="00110AE6">
        <w:rPr>
          <w:noProof/>
          <w:lang w:val="fr-FR"/>
        </w:rPr>
        <w:t>œuvre</w:t>
      </w:r>
      <w:r w:rsidRPr="00110AE6">
        <w:rPr>
          <w:noProof/>
          <w:lang w:val="fr-FR"/>
        </w:rPr>
        <w:t xml:space="preserve"> des projets devraient être conclus au cours du dernier</w:t>
      </w:r>
      <w:r w:rsidR="00335EFE" w:rsidRPr="00110AE6">
        <w:rPr>
          <w:noProof/>
          <w:lang w:val="fr-FR"/>
        </w:rPr>
        <w:t> </w:t>
      </w:r>
      <w:r w:rsidRPr="00110AE6">
        <w:rPr>
          <w:noProof/>
          <w:lang w:val="fr-FR"/>
        </w:rPr>
        <w:t>trimestre de 2018. Dès lors que les modalités administratives</w:t>
      </w:r>
      <w:r w:rsidR="00335EFE" w:rsidRPr="00110AE6">
        <w:rPr>
          <w:noProof/>
          <w:lang w:val="fr-FR"/>
        </w:rPr>
        <w:t xml:space="preserve"> auront été mises en place, 500 </w:t>
      </w:r>
      <w:r w:rsidRPr="00110AE6">
        <w:rPr>
          <w:noProof/>
          <w:lang w:val="fr-FR"/>
        </w:rPr>
        <w:t>000</w:t>
      </w:r>
      <w:r w:rsidR="00335EFE" w:rsidRPr="00110AE6">
        <w:rPr>
          <w:noProof/>
          <w:lang w:val="fr-FR"/>
        </w:rPr>
        <w:t> </w:t>
      </w:r>
      <w:r w:rsidRPr="00110AE6">
        <w:rPr>
          <w:noProof/>
          <w:lang w:val="fr-FR"/>
        </w:rPr>
        <w:t>dollars devraient être décaissés d</w:t>
      </w:r>
      <w:r w:rsidR="00D05492" w:rsidRPr="00110AE6">
        <w:rPr>
          <w:noProof/>
          <w:lang w:val="fr-FR"/>
        </w:rPr>
        <w:t>’</w:t>
      </w:r>
      <w:r w:rsidR="00335EFE" w:rsidRPr="00110AE6">
        <w:rPr>
          <w:noProof/>
          <w:lang w:val="fr-FR"/>
        </w:rPr>
        <w:t>ici à la fin de </w:t>
      </w:r>
      <w:r w:rsidRPr="00110AE6">
        <w:rPr>
          <w:noProof/>
          <w:lang w:val="fr-FR"/>
        </w:rPr>
        <w:t>2018, le solde étant réparti entre les autres projets retenus pour 2019. Le mandat du Programme international spécifique, qui figure à l</w:t>
      </w:r>
      <w:r w:rsidR="00D05492" w:rsidRPr="00110AE6">
        <w:rPr>
          <w:noProof/>
          <w:lang w:val="fr-FR"/>
        </w:rPr>
        <w:t>’</w:t>
      </w:r>
      <w:r w:rsidR="00335EFE" w:rsidRPr="00110AE6">
        <w:rPr>
          <w:noProof/>
          <w:lang w:val="fr-FR"/>
        </w:rPr>
        <w:t>annexe II de la décision </w:t>
      </w:r>
      <w:r w:rsidRPr="00110AE6">
        <w:rPr>
          <w:noProof/>
          <w:lang w:val="fr-FR"/>
        </w:rPr>
        <w:t>MC-1/6, prévoit également les dépenses liées au fonctionnement du Programme, y compris les frais afférents aux réunions, qui doivent être financés au moyen des contributions au programme. Ces co</w:t>
      </w:r>
      <w:r w:rsidR="00FA5356" w:rsidRPr="00110AE6">
        <w:rPr>
          <w:noProof/>
          <w:lang w:val="fr-FR"/>
        </w:rPr>
        <w:t>ûts devraient s</w:t>
      </w:r>
      <w:r w:rsidR="00D05492" w:rsidRPr="00110AE6">
        <w:rPr>
          <w:noProof/>
          <w:lang w:val="fr-FR"/>
        </w:rPr>
        <w:t>’</w:t>
      </w:r>
      <w:r w:rsidR="00FA5356" w:rsidRPr="00110AE6">
        <w:rPr>
          <w:noProof/>
          <w:lang w:val="fr-FR"/>
        </w:rPr>
        <w:t>élever à 50 000 </w:t>
      </w:r>
      <w:r w:rsidRPr="00110AE6">
        <w:rPr>
          <w:noProof/>
          <w:lang w:val="fr-FR"/>
        </w:rPr>
        <w:t>dollars à la fin de 2018. Ce montant ne tient pas co</w:t>
      </w:r>
      <w:r w:rsidR="00FA5356" w:rsidRPr="00110AE6">
        <w:rPr>
          <w:noProof/>
          <w:lang w:val="fr-FR"/>
        </w:rPr>
        <w:t>mpte des dépenses de personnel.</w:t>
      </w:r>
    </w:p>
    <w:p w14:paraId="5BC2C05A" w14:textId="6A678D37" w:rsidR="008309D3" w:rsidRPr="00110AE6" w:rsidRDefault="00885718" w:rsidP="00FA2D60">
      <w:pPr>
        <w:pStyle w:val="CH1"/>
        <w:numPr>
          <w:ilvl w:val="0"/>
          <w:numId w:val="20"/>
        </w:numPr>
        <w:tabs>
          <w:tab w:val="clear" w:pos="851"/>
        </w:tabs>
        <w:rPr>
          <w:noProof/>
          <w:lang w:val="fr-FR"/>
        </w:rPr>
      </w:pPr>
      <w:r w:rsidRPr="00110AE6">
        <w:rPr>
          <w:bCs/>
          <w:noProof/>
          <w:lang w:val="fr-FR"/>
        </w:rPr>
        <w:t>Informations actualisées sur le budget approuvé pour 2019</w:t>
      </w:r>
    </w:p>
    <w:p w14:paraId="770B08BC" w14:textId="0685A360" w:rsidR="00BE4163" w:rsidRPr="00110AE6" w:rsidRDefault="00340E98" w:rsidP="0082498C">
      <w:pPr>
        <w:pStyle w:val="Normalnumber"/>
        <w:rPr>
          <w:noProof/>
          <w:lang w:val="fr-FR"/>
        </w:rPr>
      </w:pPr>
      <w:r w:rsidRPr="00110AE6">
        <w:rPr>
          <w:noProof/>
          <w:lang w:val="fr-FR"/>
        </w:rPr>
        <w:t>Comme suite à la déc</w:t>
      </w:r>
      <w:r w:rsidR="00335EFE" w:rsidRPr="00110AE6">
        <w:rPr>
          <w:noProof/>
          <w:lang w:val="fr-FR"/>
        </w:rPr>
        <w:t>ision </w:t>
      </w:r>
      <w:r w:rsidRPr="00110AE6">
        <w:rPr>
          <w:noProof/>
          <w:lang w:val="fr-FR"/>
        </w:rPr>
        <w:t>MC-1/15, le Secrétaire exécutif doit fournir des informations actualisées sur le programme de travail et l</w:t>
      </w:r>
      <w:r w:rsidR="00D05492" w:rsidRPr="00110AE6">
        <w:rPr>
          <w:noProof/>
          <w:lang w:val="fr-FR"/>
        </w:rPr>
        <w:t>’</w:t>
      </w:r>
      <w:r w:rsidRPr="00110AE6">
        <w:rPr>
          <w:noProof/>
          <w:lang w:val="fr-FR"/>
        </w:rPr>
        <w:t>exécution et, le cas échéant, une estimation du coût des activités ayant des incidences budgétaires qui n</w:t>
      </w:r>
      <w:r w:rsidR="00D05492" w:rsidRPr="00110AE6">
        <w:rPr>
          <w:noProof/>
          <w:lang w:val="fr-FR"/>
        </w:rPr>
        <w:t>’</w:t>
      </w:r>
      <w:r w:rsidRPr="00110AE6">
        <w:rPr>
          <w:noProof/>
          <w:lang w:val="fr-FR"/>
        </w:rPr>
        <w:t xml:space="preserve">étaient pas prévues </w:t>
      </w:r>
      <w:r w:rsidR="00A94420" w:rsidRPr="00110AE6">
        <w:rPr>
          <w:noProof/>
          <w:lang w:val="fr-FR"/>
        </w:rPr>
        <w:t>dans le premier </w:t>
      </w:r>
      <w:r w:rsidRPr="00110AE6">
        <w:rPr>
          <w:noProof/>
          <w:lang w:val="fr-FR"/>
        </w:rPr>
        <w:t>programme de travail mais figurent dans les projets de décision proposés, avant l</w:t>
      </w:r>
      <w:r w:rsidR="00D05492" w:rsidRPr="00110AE6">
        <w:rPr>
          <w:noProof/>
          <w:lang w:val="fr-FR"/>
        </w:rPr>
        <w:t>’</w:t>
      </w:r>
      <w:r w:rsidRPr="00110AE6">
        <w:rPr>
          <w:noProof/>
          <w:lang w:val="fr-FR"/>
        </w:rPr>
        <w:t>adoption de ces décisions par la Conférence des Parties, et ont donc des incidences budgétaires s</w:t>
      </w:r>
      <w:r w:rsidR="00FA5356" w:rsidRPr="00110AE6">
        <w:rPr>
          <w:noProof/>
          <w:lang w:val="fr-FR"/>
        </w:rPr>
        <w:t>ur le premier exercice biennal.</w:t>
      </w:r>
    </w:p>
    <w:p w14:paraId="4F32B6B1" w14:textId="19ED14AE" w:rsidR="008F7B8F" w:rsidRPr="00110AE6" w:rsidRDefault="00335EFE" w:rsidP="0082498C">
      <w:pPr>
        <w:pStyle w:val="Normalnumber"/>
        <w:rPr>
          <w:noProof/>
          <w:lang w:val="fr-FR"/>
        </w:rPr>
      </w:pPr>
      <w:r w:rsidRPr="00110AE6">
        <w:rPr>
          <w:noProof/>
          <w:lang w:val="fr-FR"/>
        </w:rPr>
        <w:t>Le tableau </w:t>
      </w:r>
      <w:r w:rsidR="007610F0" w:rsidRPr="00110AE6">
        <w:rPr>
          <w:noProof/>
          <w:lang w:val="fr-FR"/>
        </w:rPr>
        <w:t>4 présente le budget pour 2019 que la Conférence des Parties a approuvé à sa première</w:t>
      </w:r>
      <w:r w:rsidR="00761CCF" w:rsidRPr="00110AE6">
        <w:rPr>
          <w:noProof/>
          <w:lang w:val="fr-FR"/>
        </w:rPr>
        <w:t> </w:t>
      </w:r>
      <w:r w:rsidR="007610F0" w:rsidRPr="00110AE6">
        <w:rPr>
          <w:noProof/>
          <w:lang w:val="fr-FR"/>
        </w:rPr>
        <w:t>réunion, tant pour le Fonds général d</w:t>
      </w:r>
      <w:r w:rsidR="00D05492" w:rsidRPr="00110AE6">
        <w:rPr>
          <w:noProof/>
          <w:lang w:val="fr-FR"/>
        </w:rPr>
        <w:t>’</w:t>
      </w:r>
      <w:r w:rsidR="007610F0" w:rsidRPr="00110AE6">
        <w:rPr>
          <w:noProof/>
          <w:lang w:val="fr-FR"/>
        </w:rPr>
        <w:t>affectation spéciale que le Fonds d</w:t>
      </w:r>
      <w:r w:rsidR="00D05492" w:rsidRPr="00110AE6">
        <w:rPr>
          <w:noProof/>
          <w:lang w:val="fr-FR"/>
        </w:rPr>
        <w:t>’</w:t>
      </w:r>
      <w:r w:rsidR="007610F0" w:rsidRPr="00110AE6">
        <w:rPr>
          <w:noProof/>
          <w:lang w:val="fr-FR"/>
        </w:rPr>
        <w:t>affectation spéciale à des fins déterminées, ainsi que les estimations actu</w:t>
      </w:r>
      <w:r w:rsidR="008A733D" w:rsidRPr="00110AE6">
        <w:rPr>
          <w:noProof/>
          <w:lang w:val="fr-FR"/>
        </w:rPr>
        <w:t>alisées pour 2019 pour les deux </w:t>
      </w:r>
      <w:r w:rsidR="007610F0" w:rsidRPr="00110AE6">
        <w:rPr>
          <w:noProof/>
          <w:lang w:val="fr-FR"/>
        </w:rPr>
        <w:t>fonds.</w:t>
      </w:r>
    </w:p>
    <w:p w14:paraId="2245D068" w14:textId="51FB2E2C" w:rsidR="005B78F1" w:rsidRPr="00110AE6" w:rsidRDefault="00335EFE" w:rsidP="001B4209">
      <w:pPr>
        <w:pStyle w:val="Titlefigure"/>
        <w:rPr>
          <w:noProof/>
          <w:lang w:val="fr-FR"/>
        </w:rPr>
      </w:pPr>
      <w:r w:rsidRPr="00110AE6">
        <w:rPr>
          <w:b w:val="0"/>
          <w:noProof/>
          <w:lang w:val="fr-FR"/>
        </w:rPr>
        <w:t>Tableau </w:t>
      </w:r>
      <w:r w:rsidR="009F2A5C" w:rsidRPr="00110AE6">
        <w:rPr>
          <w:b w:val="0"/>
          <w:noProof/>
          <w:lang w:val="fr-FR"/>
        </w:rPr>
        <w:t xml:space="preserve">4 </w:t>
      </w:r>
      <w:r w:rsidR="00A35940" w:rsidRPr="00110AE6">
        <w:rPr>
          <w:bCs/>
          <w:noProof/>
          <w:lang w:val="fr-FR"/>
        </w:rPr>
        <w:br/>
      </w:r>
      <w:r w:rsidR="009F2A5C" w:rsidRPr="00110AE6">
        <w:rPr>
          <w:bCs/>
          <w:noProof/>
          <w:lang w:val="fr-FR"/>
        </w:rPr>
        <w:t>Budget pour 2019 approuvé par la Conférence des Parties pour le Fonds général d</w:t>
      </w:r>
      <w:r w:rsidR="00D05492" w:rsidRPr="00110AE6">
        <w:rPr>
          <w:bCs/>
          <w:noProof/>
          <w:lang w:val="fr-FR"/>
        </w:rPr>
        <w:t>’</w:t>
      </w:r>
      <w:r w:rsidR="009F2A5C" w:rsidRPr="00110AE6">
        <w:rPr>
          <w:bCs/>
          <w:noProof/>
          <w:lang w:val="fr-FR"/>
        </w:rPr>
        <w:t>affectation spéciale et le Fonds d</w:t>
      </w:r>
      <w:r w:rsidR="00D05492" w:rsidRPr="00110AE6">
        <w:rPr>
          <w:bCs/>
          <w:noProof/>
          <w:lang w:val="fr-FR"/>
        </w:rPr>
        <w:t>’</w:t>
      </w:r>
      <w:r w:rsidR="009F2A5C" w:rsidRPr="00110AE6">
        <w:rPr>
          <w:bCs/>
          <w:noProof/>
          <w:lang w:val="fr-FR"/>
        </w:rPr>
        <w:t>affectation spéciale à des fins déterminées et estimations actualisées pour 2019 pour approbation par la Confé</w:t>
      </w:r>
      <w:r w:rsidRPr="00110AE6">
        <w:rPr>
          <w:bCs/>
          <w:noProof/>
          <w:lang w:val="fr-FR"/>
        </w:rPr>
        <w:t>rence des Parties à sa deuxième </w:t>
      </w:r>
      <w:r w:rsidR="009F2A5C" w:rsidRPr="00110AE6">
        <w:rPr>
          <w:bCs/>
          <w:noProof/>
          <w:lang w:val="fr-FR"/>
        </w:rPr>
        <w:t>réunion</w:t>
      </w:r>
    </w:p>
    <w:p w14:paraId="473096BE" w14:textId="2990C746" w:rsidR="00941E96" w:rsidRPr="00110AE6" w:rsidRDefault="00941E96" w:rsidP="001B4209">
      <w:pPr>
        <w:pStyle w:val="NormalNonumber"/>
        <w:keepNext/>
        <w:rPr>
          <w:noProof/>
          <w:sz w:val="18"/>
          <w:szCs w:val="18"/>
          <w:lang w:val="fr-FR"/>
        </w:rPr>
      </w:pPr>
      <w:r w:rsidRPr="00110AE6">
        <w:rPr>
          <w:noProof/>
          <w:sz w:val="18"/>
          <w:szCs w:val="18"/>
          <w:lang w:val="fr-FR"/>
        </w:rPr>
        <w:t>(En dollars des États-Unis)</w:t>
      </w:r>
    </w:p>
    <w:tbl>
      <w:tblPr>
        <w:tblW w:w="5000" w:type="pct"/>
        <w:tblLayout w:type="fixed"/>
        <w:tblLook w:val="04A0" w:firstRow="1" w:lastRow="0" w:firstColumn="1" w:lastColumn="0" w:noHBand="0" w:noVBand="1"/>
      </w:tblPr>
      <w:tblGrid>
        <w:gridCol w:w="249"/>
        <w:gridCol w:w="4996"/>
        <w:gridCol w:w="1135"/>
        <w:gridCol w:w="1137"/>
        <w:gridCol w:w="1135"/>
        <w:gridCol w:w="1182"/>
      </w:tblGrid>
      <w:tr w:rsidR="009157FA" w:rsidRPr="00110AE6" w14:paraId="2C99E9F0" w14:textId="77777777" w:rsidTr="004D3908">
        <w:trPr>
          <w:trHeight w:val="375"/>
          <w:tblHeader/>
        </w:trPr>
        <w:tc>
          <w:tcPr>
            <w:tcW w:w="127" w:type="pct"/>
            <w:tcBorders>
              <w:top w:val="single" w:sz="4" w:space="0" w:color="auto"/>
              <w:bottom w:val="single" w:sz="4" w:space="0" w:color="auto"/>
            </w:tcBorders>
            <w:shd w:val="clear" w:color="000000" w:fill="FFFFFF"/>
            <w:noWrap/>
            <w:vAlign w:val="center"/>
            <w:hideMark/>
          </w:tcPr>
          <w:p w14:paraId="7F2CD9B7" w14:textId="77777777" w:rsidR="009157FA" w:rsidRPr="00110AE6" w:rsidRDefault="009157FA" w:rsidP="0082498C">
            <w:pPr>
              <w:keepNext/>
              <w:keepLines/>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76A92DD3" w14:textId="77777777" w:rsidR="009157FA" w:rsidRPr="00110AE6" w:rsidRDefault="009157FA" w:rsidP="0082498C">
            <w:pPr>
              <w:keepNext/>
              <w:keepLines/>
              <w:tabs>
                <w:tab w:val="clear" w:pos="1247"/>
                <w:tab w:val="clear" w:pos="1814"/>
                <w:tab w:val="clear" w:pos="2381"/>
                <w:tab w:val="clear" w:pos="2948"/>
                <w:tab w:val="clear" w:pos="3515"/>
              </w:tabs>
              <w:ind w:firstLineChars="100" w:firstLine="170"/>
              <w:rPr>
                <w:noProof/>
                <w:color w:val="000000"/>
                <w:sz w:val="17"/>
                <w:szCs w:val="17"/>
                <w:lang w:val="fr-FR" w:eastAsia="zh-CN"/>
              </w:rPr>
            </w:pPr>
            <w:r w:rsidRPr="00110AE6">
              <w:rPr>
                <w:noProof/>
                <w:color w:val="000000"/>
                <w:sz w:val="17"/>
                <w:szCs w:val="17"/>
                <w:lang w:val="fr-FR" w:eastAsia="zh-CN"/>
              </w:rPr>
              <w:t> </w:t>
            </w:r>
          </w:p>
        </w:tc>
        <w:tc>
          <w:tcPr>
            <w:tcW w:w="1155" w:type="pct"/>
            <w:gridSpan w:val="2"/>
            <w:tcBorders>
              <w:top w:val="single" w:sz="4" w:space="0" w:color="auto"/>
              <w:bottom w:val="single" w:sz="4" w:space="0" w:color="auto"/>
            </w:tcBorders>
            <w:shd w:val="clear" w:color="auto" w:fill="auto"/>
            <w:noWrap/>
            <w:vAlign w:val="center"/>
            <w:hideMark/>
          </w:tcPr>
          <w:p w14:paraId="534FEAAB" w14:textId="5305F6A1" w:rsidR="009157FA" w:rsidRPr="00110AE6" w:rsidRDefault="009157FA" w:rsidP="0082498C">
            <w:pPr>
              <w:keepNext/>
              <w:keepLines/>
              <w:tabs>
                <w:tab w:val="clear" w:pos="1247"/>
                <w:tab w:val="clear" w:pos="1814"/>
                <w:tab w:val="clear" w:pos="2381"/>
                <w:tab w:val="clear" w:pos="2948"/>
                <w:tab w:val="clear" w:pos="3515"/>
              </w:tabs>
              <w:jc w:val="center"/>
              <w:rPr>
                <w:i/>
                <w:iCs/>
                <w:noProof/>
                <w:color w:val="000000"/>
                <w:sz w:val="17"/>
                <w:szCs w:val="17"/>
                <w:lang w:val="fr-FR"/>
              </w:rPr>
            </w:pPr>
            <w:r w:rsidRPr="00110AE6">
              <w:rPr>
                <w:i/>
                <w:iCs/>
                <w:noProof/>
                <w:sz w:val="17"/>
                <w:szCs w:val="17"/>
                <w:lang w:val="fr-FR"/>
              </w:rPr>
              <w:t>Budget approuvé pour 2019</w:t>
            </w:r>
          </w:p>
        </w:tc>
        <w:tc>
          <w:tcPr>
            <w:tcW w:w="1178" w:type="pct"/>
            <w:gridSpan w:val="2"/>
            <w:tcBorders>
              <w:top w:val="single" w:sz="4" w:space="0" w:color="auto"/>
              <w:bottom w:val="single" w:sz="4" w:space="0" w:color="auto"/>
            </w:tcBorders>
            <w:shd w:val="clear" w:color="auto" w:fill="auto"/>
            <w:noWrap/>
            <w:vAlign w:val="center"/>
            <w:hideMark/>
          </w:tcPr>
          <w:p w14:paraId="3BEA7511" w14:textId="7B16425C" w:rsidR="009157FA" w:rsidRPr="00110AE6" w:rsidRDefault="009649F6" w:rsidP="0082498C">
            <w:pPr>
              <w:keepNext/>
              <w:keepLines/>
              <w:tabs>
                <w:tab w:val="clear" w:pos="1247"/>
                <w:tab w:val="clear" w:pos="1814"/>
                <w:tab w:val="clear" w:pos="2381"/>
                <w:tab w:val="clear" w:pos="2948"/>
                <w:tab w:val="clear" w:pos="3515"/>
              </w:tabs>
              <w:jc w:val="center"/>
              <w:rPr>
                <w:i/>
                <w:iCs/>
                <w:noProof/>
                <w:color w:val="000000"/>
                <w:sz w:val="17"/>
                <w:szCs w:val="17"/>
                <w:lang w:val="fr-FR"/>
              </w:rPr>
            </w:pPr>
            <w:r w:rsidRPr="00110AE6">
              <w:rPr>
                <w:i/>
                <w:iCs/>
                <w:noProof/>
                <w:sz w:val="17"/>
                <w:szCs w:val="17"/>
                <w:lang w:val="fr-FR"/>
              </w:rPr>
              <w:t>Estimations actualisées pour approbation par la Conférence des Parties à</w:t>
            </w:r>
            <w:r w:rsidR="00A35940" w:rsidRPr="00110AE6">
              <w:rPr>
                <w:i/>
                <w:iCs/>
                <w:noProof/>
                <w:sz w:val="17"/>
                <w:szCs w:val="17"/>
                <w:lang w:val="fr-FR"/>
              </w:rPr>
              <w:t> </w:t>
            </w:r>
            <w:r w:rsidRPr="00110AE6">
              <w:rPr>
                <w:i/>
                <w:iCs/>
                <w:noProof/>
                <w:sz w:val="17"/>
                <w:szCs w:val="17"/>
                <w:lang w:val="fr-FR"/>
              </w:rPr>
              <w:t>sa</w:t>
            </w:r>
            <w:r w:rsidR="00A35940" w:rsidRPr="00110AE6">
              <w:rPr>
                <w:i/>
                <w:iCs/>
                <w:noProof/>
                <w:sz w:val="17"/>
                <w:szCs w:val="17"/>
                <w:lang w:val="fr-FR"/>
              </w:rPr>
              <w:t> deuxième </w:t>
            </w:r>
            <w:r w:rsidRPr="00110AE6">
              <w:rPr>
                <w:i/>
                <w:iCs/>
                <w:noProof/>
                <w:sz w:val="17"/>
                <w:szCs w:val="17"/>
                <w:lang w:val="fr-FR"/>
              </w:rPr>
              <w:t>réunion</w:t>
            </w:r>
          </w:p>
        </w:tc>
      </w:tr>
      <w:tr w:rsidR="00E801D7" w:rsidRPr="00110AE6" w14:paraId="163DB4BD" w14:textId="77777777" w:rsidTr="004D3908">
        <w:trPr>
          <w:trHeight w:val="567"/>
          <w:tblHeader/>
        </w:trPr>
        <w:tc>
          <w:tcPr>
            <w:tcW w:w="127" w:type="pct"/>
            <w:tcBorders>
              <w:top w:val="single" w:sz="4" w:space="0" w:color="auto"/>
            </w:tcBorders>
            <w:shd w:val="clear" w:color="000000" w:fill="FFFFFF"/>
            <w:noWrap/>
            <w:vAlign w:val="center"/>
            <w:hideMark/>
          </w:tcPr>
          <w:p w14:paraId="27B07115" w14:textId="77777777" w:rsidR="00E801D7" w:rsidRPr="00110AE6" w:rsidRDefault="00E801D7" w:rsidP="0082498C">
            <w:pPr>
              <w:keepNext/>
              <w:keepLines/>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tcBorders>
            <w:shd w:val="clear" w:color="000000" w:fill="FFFFFF"/>
            <w:noWrap/>
            <w:vAlign w:val="center"/>
            <w:hideMark/>
          </w:tcPr>
          <w:p w14:paraId="36EF04C0" w14:textId="3514994F" w:rsidR="00E801D7" w:rsidRPr="00110AE6" w:rsidRDefault="00E801D7" w:rsidP="00E801D7">
            <w:pPr>
              <w:keepNext/>
              <w:keepLines/>
              <w:tabs>
                <w:tab w:val="clear" w:pos="1247"/>
                <w:tab w:val="clear" w:pos="1814"/>
                <w:tab w:val="clear" w:pos="2381"/>
                <w:tab w:val="clear" w:pos="2948"/>
                <w:tab w:val="clear" w:pos="3515"/>
              </w:tabs>
              <w:spacing w:before="120" w:after="120"/>
              <w:ind w:firstLineChars="100" w:firstLine="170"/>
              <w:rPr>
                <w:noProof/>
                <w:color w:val="000000"/>
                <w:sz w:val="17"/>
                <w:szCs w:val="17"/>
                <w:lang w:val="fr-FR" w:eastAsia="zh-CN"/>
              </w:rPr>
            </w:pPr>
          </w:p>
        </w:tc>
        <w:tc>
          <w:tcPr>
            <w:tcW w:w="577" w:type="pct"/>
            <w:tcBorders>
              <w:top w:val="single" w:sz="4" w:space="0" w:color="auto"/>
            </w:tcBorders>
            <w:shd w:val="clear" w:color="auto" w:fill="auto"/>
            <w:noWrap/>
            <w:vAlign w:val="bottom"/>
            <w:hideMark/>
          </w:tcPr>
          <w:p w14:paraId="0A961697" w14:textId="0863EC3B" w:rsidR="00E801D7" w:rsidRPr="00110AE6" w:rsidRDefault="00E801D7" w:rsidP="00E801D7">
            <w:pPr>
              <w:keepNext/>
              <w:keepLines/>
              <w:tabs>
                <w:tab w:val="clear" w:pos="1247"/>
                <w:tab w:val="clear" w:pos="1814"/>
                <w:tab w:val="clear" w:pos="2381"/>
                <w:tab w:val="clear" w:pos="2948"/>
                <w:tab w:val="clear" w:pos="3515"/>
              </w:tabs>
              <w:spacing w:before="120" w:after="120"/>
              <w:jc w:val="right"/>
              <w:rPr>
                <w:i/>
                <w:iCs/>
                <w:noProof/>
                <w:color w:val="000000"/>
                <w:sz w:val="17"/>
                <w:szCs w:val="17"/>
                <w:lang w:val="fr-FR"/>
              </w:rPr>
            </w:pPr>
            <w:r w:rsidRPr="00110AE6">
              <w:rPr>
                <w:i/>
                <w:iCs/>
                <w:noProof/>
                <w:sz w:val="17"/>
                <w:szCs w:val="17"/>
                <w:lang w:val="fr-FR"/>
              </w:rPr>
              <w:t>Fonds général d’affectation spéciale</w:t>
            </w:r>
          </w:p>
        </w:tc>
        <w:tc>
          <w:tcPr>
            <w:tcW w:w="578" w:type="pct"/>
            <w:tcBorders>
              <w:top w:val="single" w:sz="4" w:space="0" w:color="auto"/>
            </w:tcBorders>
            <w:shd w:val="clear" w:color="auto" w:fill="auto"/>
            <w:noWrap/>
            <w:vAlign w:val="bottom"/>
            <w:hideMark/>
          </w:tcPr>
          <w:p w14:paraId="3AED545B" w14:textId="3F70F1B5" w:rsidR="00E801D7" w:rsidRPr="00110AE6" w:rsidRDefault="00E801D7" w:rsidP="00E801D7">
            <w:pPr>
              <w:keepNext/>
              <w:keepLines/>
              <w:tabs>
                <w:tab w:val="clear" w:pos="1247"/>
                <w:tab w:val="clear" w:pos="1814"/>
                <w:tab w:val="clear" w:pos="2381"/>
                <w:tab w:val="clear" w:pos="2948"/>
                <w:tab w:val="clear" w:pos="3515"/>
              </w:tabs>
              <w:spacing w:before="120" w:after="120"/>
              <w:jc w:val="right"/>
              <w:rPr>
                <w:i/>
                <w:iCs/>
                <w:noProof/>
                <w:color w:val="000000"/>
                <w:sz w:val="17"/>
                <w:szCs w:val="17"/>
                <w:lang w:val="fr-FR"/>
              </w:rPr>
            </w:pPr>
            <w:r w:rsidRPr="00110AE6">
              <w:rPr>
                <w:i/>
                <w:iCs/>
                <w:noProof/>
                <w:sz w:val="17"/>
                <w:szCs w:val="17"/>
                <w:lang w:val="fr-FR"/>
              </w:rPr>
              <w:t>Fonds d’affectation spéciale à des fins déterminées</w:t>
            </w:r>
          </w:p>
        </w:tc>
        <w:tc>
          <w:tcPr>
            <w:tcW w:w="577" w:type="pct"/>
            <w:tcBorders>
              <w:top w:val="single" w:sz="4" w:space="0" w:color="auto"/>
            </w:tcBorders>
            <w:shd w:val="clear" w:color="auto" w:fill="auto"/>
            <w:noWrap/>
            <w:vAlign w:val="bottom"/>
            <w:hideMark/>
          </w:tcPr>
          <w:p w14:paraId="3DC9F50F" w14:textId="0ACAB2E1" w:rsidR="00E801D7" w:rsidRPr="00110AE6" w:rsidRDefault="00E801D7" w:rsidP="00E801D7">
            <w:pPr>
              <w:keepNext/>
              <w:keepLines/>
              <w:tabs>
                <w:tab w:val="clear" w:pos="1247"/>
                <w:tab w:val="clear" w:pos="1814"/>
                <w:tab w:val="clear" w:pos="2381"/>
                <w:tab w:val="clear" w:pos="2948"/>
                <w:tab w:val="clear" w:pos="3515"/>
              </w:tabs>
              <w:spacing w:before="120" w:after="120"/>
              <w:jc w:val="right"/>
              <w:rPr>
                <w:i/>
                <w:iCs/>
                <w:noProof/>
                <w:color w:val="000000"/>
                <w:sz w:val="17"/>
                <w:szCs w:val="17"/>
                <w:lang w:val="fr-FR"/>
              </w:rPr>
            </w:pPr>
            <w:r w:rsidRPr="00110AE6">
              <w:rPr>
                <w:i/>
                <w:iCs/>
                <w:noProof/>
                <w:sz w:val="17"/>
                <w:szCs w:val="17"/>
                <w:lang w:val="fr-FR"/>
              </w:rPr>
              <w:t>Fonds général d’affectation spéciale</w:t>
            </w:r>
          </w:p>
        </w:tc>
        <w:tc>
          <w:tcPr>
            <w:tcW w:w="601" w:type="pct"/>
            <w:tcBorders>
              <w:top w:val="single" w:sz="4" w:space="0" w:color="auto"/>
            </w:tcBorders>
            <w:shd w:val="clear" w:color="auto" w:fill="auto"/>
            <w:noWrap/>
            <w:vAlign w:val="bottom"/>
            <w:hideMark/>
          </w:tcPr>
          <w:p w14:paraId="07CB1DAA" w14:textId="076502B8" w:rsidR="00E801D7" w:rsidRPr="00110AE6" w:rsidRDefault="00E801D7" w:rsidP="00E801D7">
            <w:pPr>
              <w:keepNext/>
              <w:keepLines/>
              <w:spacing w:before="120" w:after="120"/>
              <w:jc w:val="right"/>
              <w:rPr>
                <w:i/>
                <w:iCs/>
                <w:noProof/>
                <w:color w:val="000000"/>
                <w:sz w:val="17"/>
                <w:szCs w:val="17"/>
                <w:lang w:val="fr-FR"/>
              </w:rPr>
            </w:pPr>
            <w:r w:rsidRPr="00110AE6">
              <w:rPr>
                <w:i/>
                <w:iCs/>
                <w:noProof/>
                <w:sz w:val="17"/>
                <w:szCs w:val="17"/>
                <w:lang w:val="fr-FR"/>
              </w:rPr>
              <w:t>Fonds d’affectation spéciale à des fins déterminées</w:t>
            </w:r>
          </w:p>
        </w:tc>
      </w:tr>
      <w:tr w:rsidR="009157FA" w:rsidRPr="00110AE6" w14:paraId="3EDBF677"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34370C34" w14:textId="77777777" w:rsidR="009157FA" w:rsidRPr="00110AE6" w:rsidRDefault="009157FA" w:rsidP="0082498C">
            <w:pPr>
              <w:keepNext/>
              <w:keepLines/>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A. </w:t>
            </w:r>
            <w:r w:rsidRPr="00110AE6">
              <w:rPr>
                <w:b/>
                <w:bCs/>
                <w:noProof/>
                <w:sz w:val="17"/>
                <w:szCs w:val="17"/>
                <w:lang w:val="fr-FR"/>
              </w:rPr>
              <w:t>Conférences et réunions</w:t>
            </w:r>
          </w:p>
        </w:tc>
      </w:tr>
      <w:tr w:rsidR="009157FA" w:rsidRPr="00110AE6" w14:paraId="4BF183AD"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78B0953" w14:textId="625622E0" w:rsidR="009157FA" w:rsidRPr="00110AE6" w:rsidRDefault="009157FA" w:rsidP="0082498C">
            <w:pPr>
              <w:keepNext/>
              <w:keepLines/>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 </w:t>
            </w:r>
            <w:r w:rsidR="004D3908" w:rsidRPr="00110AE6">
              <w:rPr>
                <w:b/>
                <w:bCs/>
                <w:noProof/>
                <w:sz w:val="17"/>
                <w:szCs w:val="17"/>
                <w:lang w:val="fr-FR"/>
              </w:rPr>
              <w:t>Deuxième </w:t>
            </w:r>
            <w:r w:rsidRPr="00110AE6">
              <w:rPr>
                <w:b/>
                <w:bCs/>
                <w:noProof/>
                <w:sz w:val="17"/>
                <w:szCs w:val="17"/>
                <w:lang w:val="fr-FR"/>
              </w:rPr>
              <w:t>réunion de la Conférence des Parties</w:t>
            </w:r>
          </w:p>
        </w:tc>
      </w:tr>
      <w:tr w:rsidR="009157FA" w:rsidRPr="00110AE6" w14:paraId="06A24ADB" w14:textId="77777777" w:rsidTr="00A722E7">
        <w:trPr>
          <w:trHeight w:val="315"/>
        </w:trPr>
        <w:tc>
          <w:tcPr>
            <w:tcW w:w="127" w:type="pct"/>
            <w:tcBorders>
              <w:top w:val="single" w:sz="4" w:space="0" w:color="auto"/>
            </w:tcBorders>
            <w:shd w:val="clear" w:color="000000" w:fill="FFFFFF"/>
            <w:noWrap/>
            <w:hideMark/>
          </w:tcPr>
          <w:p w14:paraId="0B556B7A" w14:textId="77777777" w:rsidR="009157FA" w:rsidRPr="00110AE6" w:rsidRDefault="009157FA" w:rsidP="0082498C">
            <w:pPr>
              <w:keepNext/>
              <w:keepLines/>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tcBorders>
            <w:shd w:val="clear" w:color="000000" w:fill="FFFFFF"/>
            <w:noWrap/>
            <w:vAlign w:val="center"/>
            <w:hideMark/>
          </w:tcPr>
          <w:p w14:paraId="6708E2D0" w14:textId="0A90B5DC" w:rsidR="009157FA" w:rsidRPr="00110AE6" w:rsidRDefault="004D3908" w:rsidP="0082498C">
            <w:pPr>
              <w:keepNext/>
              <w:keepLines/>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1.1.    Deuxième </w:t>
            </w:r>
            <w:r w:rsidR="009157FA" w:rsidRPr="00110AE6">
              <w:rPr>
                <w:noProof/>
                <w:sz w:val="17"/>
                <w:szCs w:val="17"/>
                <w:lang w:val="fr-FR"/>
              </w:rPr>
              <w:t>réunion</w:t>
            </w:r>
          </w:p>
        </w:tc>
        <w:tc>
          <w:tcPr>
            <w:tcW w:w="577" w:type="pct"/>
            <w:tcBorders>
              <w:top w:val="single" w:sz="4" w:space="0" w:color="auto"/>
            </w:tcBorders>
            <w:shd w:val="clear" w:color="auto" w:fill="auto"/>
            <w:noWrap/>
            <w:vAlign w:val="center"/>
            <w:hideMark/>
          </w:tcPr>
          <w:p w14:paraId="5AF227F1"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tcBorders>
            <w:shd w:val="clear" w:color="auto" w:fill="auto"/>
            <w:noWrap/>
            <w:vAlign w:val="center"/>
            <w:hideMark/>
          </w:tcPr>
          <w:p w14:paraId="16F33559"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tcBorders>
            <w:shd w:val="clear" w:color="auto" w:fill="auto"/>
            <w:noWrap/>
            <w:vAlign w:val="center"/>
            <w:hideMark/>
          </w:tcPr>
          <w:p w14:paraId="0B526749"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tcBorders>
            <w:shd w:val="clear" w:color="auto" w:fill="auto"/>
            <w:noWrap/>
            <w:vAlign w:val="center"/>
            <w:hideMark/>
          </w:tcPr>
          <w:p w14:paraId="735107B9"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338158C4" w14:textId="77777777" w:rsidTr="00A722E7">
        <w:trPr>
          <w:trHeight w:val="315"/>
        </w:trPr>
        <w:tc>
          <w:tcPr>
            <w:tcW w:w="127" w:type="pct"/>
            <w:shd w:val="clear" w:color="000000" w:fill="FFFFFF"/>
            <w:noWrap/>
            <w:hideMark/>
          </w:tcPr>
          <w:p w14:paraId="1B1E76C6" w14:textId="77777777" w:rsidR="009157FA" w:rsidRPr="00110AE6" w:rsidRDefault="009157FA" w:rsidP="0082498C">
            <w:pPr>
              <w:keepNext/>
              <w:keepLines/>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shd w:val="clear" w:color="000000" w:fill="FFFFFF"/>
            <w:noWrap/>
            <w:vAlign w:val="center"/>
            <w:hideMark/>
          </w:tcPr>
          <w:p w14:paraId="7ABF3AC8" w14:textId="77777777" w:rsidR="009157FA" w:rsidRPr="00110AE6" w:rsidRDefault="009157FA" w:rsidP="0082498C">
            <w:pPr>
              <w:keepNext/>
              <w:keepLines/>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    Réunions préparatoires régionales</w:t>
            </w:r>
          </w:p>
        </w:tc>
        <w:tc>
          <w:tcPr>
            <w:tcW w:w="577" w:type="pct"/>
            <w:shd w:val="clear" w:color="auto" w:fill="auto"/>
            <w:noWrap/>
            <w:vAlign w:val="center"/>
            <w:hideMark/>
          </w:tcPr>
          <w:p w14:paraId="153EF4FC"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shd w:val="clear" w:color="auto" w:fill="auto"/>
            <w:noWrap/>
            <w:vAlign w:val="center"/>
            <w:hideMark/>
          </w:tcPr>
          <w:p w14:paraId="2B49116F"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shd w:val="clear" w:color="auto" w:fill="auto"/>
            <w:noWrap/>
            <w:vAlign w:val="center"/>
            <w:hideMark/>
          </w:tcPr>
          <w:p w14:paraId="2D2E9768"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shd w:val="clear" w:color="auto" w:fill="auto"/>
            <w:noWrap/>
            <w:vAlign w:val="center"/>
            <w:hideMark/>
          </w:tcPr>
          <w:p w14:paraId="6F734094"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3E299183" w14:textId="77777777" w:rsidTr="00A722E7">
        <w:trPr>
          <w:trHeight w:val="300"/>
        </w:trPr>
        <w:tc>
          <w:tcPr>
            <w:tcW w:w="127" w:type="pct"/>
            <w:shd w:val="clear" w:color="000000" w:fill="FFFFFF"/>
            <w:noWrap/>
            <w:vAlign w:val="center"/>
            <w:hideMark/>
          </w:tcPr>
          <w:p w14:paraId="0437195E"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540" w:type="pct"/>
            <w:shd w:val="clear" w:color="000000" w:fill="FFFFFF"/>
            <w:noWrap/>
            <w:vAlign w:val="center"/>
            <w:hideMark/>
          </w:tcPr>
          <w:p w14:paraId="50D4ED89" w14:textId="084BD635" w:rsidR="009157FA" w:rsidRPr="00110AE6" w:rsidRDefault="009157FA" w:rsidP="0082498C">
            <w:pPr>
              <w:keepNext/>
              <w:keepLines/>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1.3.    Groupes d</w:t>
            </w:r>
            <w:r w:rsidR="00D05492" w:rsidRPr="00110AE6">
              <w:rPr>
                <w:noProof/>
                <w:sz w:val="17"/>
                <w:szCs w:val="17"/>
                <w:lang w:val="fr-FR"/>
              </w:rPr>
              <w:t>’</w:t>
            </w:r>
            <w:r w:rsidRPr="00110AE6">
              <w:rPr>
                <w:noProof/>
                <w:sz w:val="17"/>
                <w:szCs w:val="17"/>
                <w:lang w:val="fr-FR"/>
              </w:rPr>
              <w:t>experts intersessions dotés d</w:t>
            </w:r>
            <w:r w:rsidR="00D05492" w:rsidRPr="00110AE6">
              <w:rPr>
                <w:noProof/>
                <w:sz w:val="17"/>
                <w:szCs w:val="17"/>
                <w:lang w:val="fr-FR"/>
              </w:rPr>
              <w:t>’</w:t>
            </w:r>
            <w:r w:rsidRPr="00110AE6">
              <w:rPr>
                <w:noProof/>
                <w:sz w:val="17"/>
                <w:szCs w:val="17"/>
                <w:lang w:val="fr-FR"/>
              </w:rPr>
              <w:t>un mandat à durée déterminée prescrit par la Conférence des Parties à ses première et deuxième réunions</w:t>
            </w:r>
          </w:p>
        </w:tc>
        <w:tc>
          <w:tcPr>
            <w:tcW w:w="577" w:type="pct"/>
            <w:shd w:val="clear" w:color="auto" w:fill="auto"/>
            <w:noWrap/>
            <w:vAlign w:val="center"/>
            <w:hideMark/>
          </w:tcPr>
          <w:p w14:paraId="13A97810" w14:textId="693BE21D" w:rsidR="009157FA" w:rsidRPr="00110AE6" w:rsidRDefault="006B031C" w:rsidP="0082498C">
            <w:pPr>
              <w:keepNext/>
              <w:keepLines/>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105 000 </w:t>
            </w:r>
          </w:p>
        </w:tc>
        <w:tc>
          <w:tcPr>
            <w:tcW w:w="578" w:type="pct"/>
            <w:shd w:val="clear" w:color="auto" w:fill="auto"/>
            <w:noWrap/>
            <w:vAlign w:val="center"/>
            <w:hideMark/>
          </w:tcPr>
          <w:p w14:paraId="676FC8BD"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shd w:val="clear" w:color="auto" w:fill="auto"/>
            <w:noWrap/>
            <w:vAlign w:val="center"/>
            <w:hideMark/>
          </w:tcPr>
          <w:p w14:paraId="4674ED13" w14:textId="67F77F03" w:rsidR="009157FA" w:rsidRPr="00110AE6" w:rsidRDefault="006941E8" w:rsidP="0082498C">
            <w:pPr>
              <w:keepNext/>
              <w:keepLines/>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170 000 </w:t>
            </w:r>
          </w:p>
        </w:tc>
        <w:tc>
          <w:tcPr>
            <w:tcW w:w="601" w:type="pct"/>
            <w:shd w:val="clear" w:color="auto" w:fill="auto"/>
            <w:noWrap/>
            <w:vAlign w:val="center"/>
            <w:hideMark/>
          </w:tcPr>
          <w:p w14:paraId="0EB7D9C2" w14:textId="77777777" w:rsidR="009157FA" w:rsidRPr="00110AE6" w:rsidRDefault="009157FA" w:rsidP="0082498C">
            <w:pPr>
              <w:keepNext/>
              <w:keepLines/>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44E3AA65" w14:textId="77777777" w:rsidTr="00A722E7">
        <w:trPr>
          <w:trHeight w:val="300"/>
        </w:trPr>
        <w:tc>
          <w:tcPr>
            <w:tcW w:w="2667" w:type="pct"/>
            <w:gridSpan w:val="2"/>
            <w:tcBorders>
              <w:bottom w:val="single" w:sz="4" w:space="0" w:color="auto"/>
            </w:tcBorders>
            <w:shd w:val="clear" w:color="000000" w:fill="FFFFFF"/>
            <w:noWrap/>
            <w:vAlign w:val="center"/>
            <w:hideMark/>
          </w:tcPr>
          <w:p w14:paraId="5BC0249B" w14:textId="77777777" w:rsidR="009157FA" w:rsidRPr="00110AE6" w:rsidRDefault="009157FA" w:rsidP="0082498C">
            <w:pPr>
              <w:keepNext/>
              <w:keepLines/>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bottom w:val="single" w:sz="4" w:space="0" w:color="auto"/>
            </w:tcBorders>
            <w:shd w:val="clear" w:color="auto" w:fill="auto"/>
            <w:noWrap/>
            <w:vAlign w:val="center"/>
            <w:hideMark/>
          </w:tcPr>
          <w:p w14:paraId="75493C3A" w14:textId="4CB271A4" w:rsidR="009157FA" w:rsidRPr="00110AE6" w:rsidRDefault="009157FA" w:rsidP="0082498C">
            <w:pPr>
              <w:keepNext/>
              <w:keepLines/>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105 000 </w:t>
            </w:r>
          </w:p>
        </w:tc>
        <w:tc>
          <w:tcPr>
            <w:tcW w:w="578" w:type="pct"/>
            <w:tcBorders>
              <w:bottom w:val="single" w:sz="4" w:space="0" w:color="auto"/>
            </w:tcBorders>
            <w:shd w:val="clear" w:color="auto" w:fill="auto"/>
            <w:noWrap/>
            <w:vAlign w:val="center"/>
            <w:hideMark/>
          </w:tcPr>
          <w:p w14:paraId="159868D2" w14:textId="77777777" w:rsidR="009157FA" w:rsidRPr="00110AE6" w:rsidRDefault="009157FA" w:rsidP="0082498C">
            <w:pPr>
              <w:keepNext/>
              <w:keepLines/>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c>
          <w:tcPr>
            <w:tcW w:w="577" w:type="pct"/>
            <w:tcBorders>
              <w:bottom w:val="single" w:sz="4" w:space="0" w:color="auto"/>
            </w:tcBorders>
            <w:shd w:val="clear" w:color="auto" w:fill="auto"/>
            <w:noWrap/>
            <w:vAlign w:val="center"/>
            <w:hideMark/>
          </w:tcPr>
          <w:p w14:paraId="12F9FB8F" w14:textId="3F48BCC2" w:rsidR="009157FA" w:rsidRPr="00110AE6" w:rsidRDefault="006941E8" w:rsidP="0082498C">
            <w:pPr>
              <w:keepNext/>
              <w:keepLines/>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170 000</w:t>
            </w:r>
          </w:p>
        </w:tc>
        <w:tc>
          <w:tcPr>
            <w:tcW w:w="601" w:type="pct"/>
            <w:tcBorders>
              <w:bottom w:val="single" w:sz="4" w:space="0" w:color="auto"/>
            </w:tcBorders>
            <w:shd w:val="clear" w:color="auto" w:fill="auto"/>
            <w:noWrap/>
            <w:vAlign w:val="center"/>
            <w:hideMark/>
          </w:tcPr>
          <w:p w14:paraId="1B346A6D" w14:textId="77777777" w:rsidR="009157FA" w:rsidRPr="00110AE6" w:rsidRDefault="009157FA" w:rsidP="0082498C">
            <w:pPr>
              <w:keepNext/>
              <w:keepLines/>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1B4FAC17"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6D0CB383"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2. </w:t>
            </w:r>
            <w:r w:rsidRPr="00110AE6">
              <w:rPr>
                <w:b/>
                <w:bCs/>
                <w:noProof/>
                <w:sz w:val="17"/>
                <w:szCs w:val="17"/>
                <w:lang w:val="fr-FR"/>
              </w:rPr>
              <w:t>Troisième réunion de la Conférence des Parties</w:t>
            </w:r>
          </w:p>
        </w:tc>
      </w:tr>
      <w:tr w:rsidR="009157FA" w:rsidRPr="00110AE6" w14:paraId="7A227407" w14:textId="77777777" w:rsidTr="00A722E7">
        <w:trPr>
          <w:trHeight w:val="315"/>
        </w:trPr>
        <w:tc>
          <w:tcPr>
            <w:tcW w:w="127" w:type="pct"/>
            <w:tcBorders>
              <w:top w:val="single" w:sz="4" w:space="0" w:color="auto"/>
            </w:tcBorders>
            <w:shd w:val="clear" w:color="000000" w:fill="FFFFFF"/>
            <w:noWrap/>
            <w:hideMark/>
          </w:tcPr>
          <w:p w14:paraId="5A89BFCD"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tcBorders>
            <w:shd w:val="clear" w:color="000000" w:fill="FFFFFF"/>
            <w:noWrap/>
            <w:vAlign w:val="center"/>
            <w:hideMark/>
          </w:tcPr>
          <w:p w14:paraId="71900651" w14:textId="29E46A9F" w:rsidR="009157FA" w:rsidRPr="00110AE6" w:rsidRDefault="004D3908"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2.1. Troisième </w:t>
            </w:r>
            <w:r w:rsidR="009157FA" w:rsidRPr="00110AE6">
              <w:rPr>
                <w:noProof/>
                <w:sz w:val="17"/>
                <w:szCs w:val="17"/>
                <w:lang w:val="fr-FR"/>
              </w:rPr>
              <w:t>réunion</w:t>
            </w:r>
          </w:p>
        </w:tc>
        <w:tc>
          <w:tcPr>
            <w:tcW w:w="577" w:type="pct"/>
            <w:tcBorders>
              <w:top w:val="single" w:sz="4" w:space="0" w:color="auto"/>
            </w:tcBorders>
            <w:shd w:val="clear" w:color="auto" w:fill="auto"/>
            <w:noWrap/>
            <w:vAlign w:val="center"/>
            <w:hideMark/>
          </w:tcPr>
          <w:p w14:paraId="3D4F5261" w14:textId="5FE67275" w:rsidR="009157FA" w:rsidRPr="00110AE6" w:rsidRDefault="006B031C"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840 000 </w:t>
            </w:r>
          </w:p>
        </w:tc>
        <w:tc>
          <w:tcPr>
            <w:tcW w:w="578" w:type="pct"/>
            <w:tcBorders>
              <w:top w:val="single" w:sz="4" w:space="0" w:color="auto"/>
            </w:tcBorders>
            <w:shd w:val="clear" w:color="auto" w:fill="auto"/>
            <w:noWrap/>
            <w:vAlign w:val="center"/>
            <w:hideMark/>
          </w:tcPr>
          <w:p w14:paraId="27181DF2" w14:textId="21310333"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640 000 </w:t>
            </w:r>
          </w:p>
        </w:tc>
        <w:tc>
          <w:tcPr>
            <w:tcW w:w="577" w:type="pct"/>
            <w:tcBorders>
              <w:top w:val="single" w:sz="4" w:space="0" w:color="auto"/>
            </w:tcBorders>
            <w:shd w:val="clear" w:color="auto" w:fill="auto"/>
            <w:noWrap/>
            <w:vAlign w:val="center"/>
            <w:hideMark/>
          </w:tcPr>
          <w:p w14:paraId="6341840F" w14:textId="70547C30" w:rsidR="009157FA" w:rsidRPr="00110AE6" w:rsidRDefault="006941E8"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840 000</w:t>
            </w:r>
          </w:p>
        </w:tc>
        <w:tc>
          <w:tcPr>
            <w:tcW w:w="601" w:type="pct"/>
            <w:tcBorders>
              <w:top w:val="single" w:sz="4" w:space="0" w:color="auto"/>
            </w:tcBorders>
            <w:shd w:val="clear" w:color="auto" w:fill="auto"/>
            <w:noWrap/>
            <w:vAlign w:val="center"/>
            <w:hideMark/>
          </w:tcPr>
          <w:p w14:paraId="637427A9" w14:textId="72572C8A" w:rsidR="009157FA" w:rsidRPr="00110AE6" w:rsidRDefault="006B031C"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640 000 </w:t>
            </w:r>
          </w:p>
        </w:tc>
      </w:tr>
      <w:tr w:rsidR="009157FA" w:rsidRPr="00110AE6" w14:paraId="421F8B72" w14:textId="77777777" w:rsidTr="00A722E7">
        <w:trPr>
          <w:trHeight w:val="315"/>
        </w:trPr>
        <w:tc>
          <w:tcPr>
            <w:tcW w:w="127" w:type="pct"/>
            <w:tcBorders>
              <w:bottom w:val="single" w:sz="4" w:space="0" w:color="auto"/>
            </w:tcBorders>
            <w:shd w:val="clear" w:color="000000" w:fill="FFFFFF"/>
            <w:noWrap/>
            <w:hideMark/>
          </w:tcPr>
          <w:p w14:paraId="16CA377E"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bottom w:val="single" w:sz="4" w:space="0" w:color="auto"/>
            </w:tcBorders>
            <w:shd w:val="clear" w:color="000000" w:fill="FFFFFF"/>
            <w:noWrap/>
            <w:vAlign w:val="center"/>
            <w:hideMark/>
          </w:tcPr>
          <w:p w14:paraId="66BF957E"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2.1. Réunions préparatoires régionales</w:t>
            </w:r>
          </w:p>
        </w:tc>
        <w:tc>
          <w:tcPr>
            <w:tcW w:w="577" w:type="pct"/>
            <w:tcBorders>
              <w:bottom w:val="single" w:sz="4" w:space="0" w:color="auto"/>
            </w:tcBorders>
            <w:shd w:val="clear" w:color="auto" w:fill="auto"/>
            <w:noWrap/>
            <w:vAlign w:val="center"/>
            <w:hideMark/>
          </w:tcPr>
          <w:p w14:paraId="5ED6EFD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bottom w:val="single" w:sz="4" w:space="0" w:color="auto"/>
            </w:tcBorders>
            <w:shd w:val="clear" w:color="auto" w:fill="auto"/>
            <w:noWrap/>
            <w:vAlign w:val="center"/>
            <w:hideMark/>
          </w:tcPr>
          <w:p w14:paraId="76BD0378" w14:textId="3D9F2078"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535 000 </w:t>
            </w:r>
          </w:p>
        </w:tc>
        <w:tc>
          <w:tcPr>
            <w:tcW w:w="577" w:type="pct"/>
            <w:tcBorders>
              <w:bottom w:val="single" w:sz="4" w:space="0" w:color="auto"/>
            </w:tcBorders>
            <w:shd w:val="clear" w:color="auto" w:fill="auto"/>
            <w:noWrap/>
            <w:vAlign w:val="center"/>
            <w:hideMark/>
          </w:tcPr>
          <w:p w14:paraId="4C3AFB0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bottom w:val="single" w:sz="4" w:space="0" w:color="auto"/>
            </w:tcBorders>
            <w:shd w:val="clear" w:color="auto" w:fill="auto"/>
            <w:noWrap/>
            <w:vAlign w:val="center"/>
            <w:hideMark/>
          </w:tcPr>
          <w:p w14:paraId="0DBDB6EE" w14:textId="06E6B913"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535 000 </w:t>
            </w:r>
          </w:p>
        </w:tc>
      </w:tr>
      <w:tr w:rsidR="009157FA" w:rsidRPr="00110AE6" w14:paraId="5F1082A7" w14:textId="77777777" w:rsidTr="00A722E7">
        <w:trPr>
          <w:trHeight w:val="315"/>
        </w:trPr>
        <w:tc>
          <w:tcPr>
            <w:tcW w:w="2667" w:type="pct"/>
            <w:gridSpan w:val="2"/>
            <w:tcBorders>
              <w:top w:val="single" w:sz="4" w:space="0" w:color="auto"/>
            </w:tcBorders>
            <w:shd w:val="clear" w:color="000000" w:fill="FFFFFF"/>
            <w:noWrap/>
            <w:vAlign w:val="center"/>
            <w:hideMark/>
          </w:tcPr>
          <w:p w14:paraId="4F357D17"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tcBorders>
            <w:shd w:val="clear" w:color="auto" w:fill="auto"/>
            <w:noWrap/>
            <w:vAlign w:val="center"/>
            <w:hideMark/>
          </w:tcPr>
          <w:p w14:paraId="520CABAE" w14:textId="5A5AC9BD"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840 000 </w:t>
            </w:r>
          </w:p>
        </w:tc>
        <w:tc>
          <w:tcPr>
            <w:tcW w:w="578" w:type="pct"/>
            <w:tcBorders>
              <w:top w:val="single" w:sz="4" w:space="0" w:color="auto"/>
            </w:tcBorders>
            <w:shd w:val="clear" w:color="auto" w:fill="auto"/>
            <w:noWrap/>
            <w:vAlign w:val="center"/>
            <w:hideMark/>
          </w:tcPr>
          <w:p w14:paraId="4B230143" w14:textId="4873D93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1 175 000 </w:t>
            </w:r>
          </w:p>
        </w:tc>
        <w:tc>
          <w:tcPr>
            <w:tcW w:w="577" w:type="pct"/>
            <w:tcBorders>
              <w:top w:val="single" w:sz="4" w:space="0" w:color="auto"/>
            </w:tcBorders>
            <w:shd w:val="clear" w:color="auto" w:fill="auto"/>
            <w:noWrap/>
            <w:vAlign w:val="center"/>
            <w:hideMark/>
          </w:tcPr>
          <w:p w14:paraId="18F43305" w14:textId="154600D4" w:rsidR="009157FA" w:rsidRPr="00110AE6" w:rsidRDefault="006941E8"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840 000</w:t>
            </w:r>
          </w:p>
        </w:tc>
        <w:tc>
          <w:tcPr>
            <w:tcW w:w="601" w:type="pct"/>
            <w:tcBorders>
              <w:top w:val="single" w:sz="4" w:space="0" w:color="auto"/>
            </w:tcBorders>
            <w:shd w:val="clear" w:color="auto" w:fill="auto"/>
            <w:noWrap/>
            <w:vAlign w:val="center"/>
            <w:hideMark/>
          </w:tcPr>
          <w:p w14:paraId="6B560BD3" w14:textId="12AB1433"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1 175 000 </w:t>
            </w:r>
          </w:p>
        </w:tc>
      </w:tr>
      <w:tr w:rsidR="009157FA" w:rsidRPr="00110AE6" w14:paraId="6DF80683" w14:textId="77777777" w:rsidTr="00A722E7">
        <w:trPr>
          <w:trHeight w:val="315"/>
        </w:trPr>
        <w:tc>
          <w:tcPr>
            <w:tcW w:w="5000" w:type="pct"/>
            <w:gridSpan w:val="6"/>
            <w:tcBorders>
              <w:bottom w:val="single" w:sz="4" w:space="0" w:color="auto"/>
            </w:tcBorders>
            <w:shd w:val="clear" w:color="auto" w:fill="auto"/>
            <w:noWrap/>
            <w:vAlign w:val="center"/>
            <w:hideMark/>
          </w:tcPr>
          <w:p w14:paraId="17713B2E"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3. </w:t>
            </w:r>
            <w:r w:rsidRPr="00110AE6">
              <w:rPr>
                <w:b/>
                <w:bCs/>
                <w:noProof/>
                <w:sz w:val="17"/>
                <w:szCs w:val="17"/>
                <w:lang w:val="fr-FR"/>
              </w:rPr>
              <w:t>Bureau de la Conférence des Parties</w:t>
            </w:r>
          </w:p>
        </w:tc>
      </w:tr>
      <w:tr w:rsidR="009157FA" w:rsidRPr="00110AE6" w14:paraId="5659C2F1" w14:textId="77777777" w:rsidTr="00A722E7">
        <w:trPr>
          <w:trHeight w:val="315"/>
        </w:trPr>
        <w:tc>
          <w:tcPr>
            <w:tcW w:w="127" w:type="pct"/>
            <w:tcBorders>
              <w:top w:val="single" w:sz="4" w:space="0" w:color="auto"/>
              <w:bottom w:val="single" w:sz="4" w:space="0" w:color="auto"/>
            </w:tcBorders>
            <w:shd w:val="clear" w:color="000000" w:fill="FFFFFF"/>
            <w:noWrap/>
            <w:hideMark/>
          </w:tcPr>
          <w:p w14:paraId="5F1EAF46"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3736E89F"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3.1. Réunions du Bureau</w:t>
            </w:r>
          </w:p>
        </w:tc>
        <w:tc>
          <w:tcPr>
            <w:tcW w:w="577" w:type="pct"/>
            <w:tcBorders>
              <w:top w:val="single" w:sz="4" w:space="0" w:color="auto"/>
              <w:bottom w:val="single" w:sz="4" w:space="0" w:color="auto"/>
            </w:tcBorders>
            <w:shd w:val="clear" w:color="auto" w:fill="auto"/>
            <w:noWrap/>
            <w:vAlign w:val="center"/>
            <w:hideMark/>
          </w:tcPr>
          <w:p w14:paraId="5086ED95" w14:textId="501BC5E8"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25 000 </w:t>
            </w:r>
          </w:p>
        </w:tc>
        <w:tc>
          <w:tcPr>
            <w:tcW w:w="578" w:type="pct"/>
            <w:tcBorders>
              <w:top w:val="single" w:sz="4" w:space="0" w:color="auto"/>
              <w:bottom w:val="single" w:sz="4" w:space="0" w:color="auto"/>
            </w:tcBorders>
            <w:shd w:val="clear" w:color="auto" w:fill="auto"/>
            <w:noWrap/>
            <w:vAlign w:val="center"/>
            <w:hideMark/>
          </w:tcPr>
          <w:p w14:paraId="63555474"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5B95D27C" w14:textId="24A1391B"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601" w:type="pct"/>
            <w:tcBorders>
              <w:top w:val="single" w:sz="4" w:space="0" w:color="auto"/>
              <w:bottom w:val="single" w:sz="4" w:space="0" w:color="auto"/>
            </w:tcBorders>
            <w:shd w:val="clear" w:color="auto" w:fill="auto"/>
            <w:noWrap/>
            <w:vAlign w:val="center"/>
            <w:hideMark/>
          </w:tcPr>
          <w:p w14:paraId="1DB8D1E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06190159" w14:textId="77777777" w:rsidTr="00A722E7">
        <w:trPr>
          <w:trHeight w:val="315"/>
        </w:trPr>
        <w:tc>
          <w:tcPr>
            <w:tcW w:w="2667" w:type="pct"/>
            <w:gridSpan w:val="2"/>
            <w:tcBorders>
              <w:top w:val="single" w:sz="4" w:space="0" w:color="auto"/>
            </w:tcBorders>
            <w:shd w:val="clear" w:color="000000" w:fill="FFFFFF"/>
            <w:noWrap/>
            <w:vAlign w:val="center"/>
            <w:hideMark/>
          </w:tcPr>
          <w:p w14:paraId="4C987596"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tcBorders>
            <w:shd w:val="clear" w:color="auto" w:fill="auto"/>
            <w:noWrap/>
            <w:vAlign w:val="center"/>
            <w:hideMark/>
          </w:tcPr>
          <w:p w14:paraId="0FE3D3C3" w14:textId="2425FB55"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25 000 </w:t>
            </w:r>
          </w:p>
        </w:tc>
        <w:tc>
          <w:tcPr>
            <w:tcW w:w="578" w:type="pct"/>
            <w:tcBorders>
              <w:top w:val="single" w:sz="4" w:space="0" w:color="auto"/>
            </w:tcBorders>
            <w:shd w:val="clear" w:color="auto" w:fill="auto"/>
            <w:noWrap/>
            <w:vAlign w:val="center"/>
            <w:hideMark/>
          </w:tcPr>
          <w:p w14:paraId="323F9245"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tcBorders>
            <w:shd w:val="clear" w:color="auto" w:fill="auto"/>
            <w:noWrap/>
            <w:vAlign w:val="center"/>
            <w:hideMark/>
          </w:tcPr>
          <w:p w14:paraId="4BDB1DE8" w14:textId="565A203F"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50 000 </w:t>
            </w:r>
          </w:p>
        </w:tc>
        <w:tc>
          <w:tcPr>
            <w:tcW w:w="601" w:type="pct"/>
            <w:tcBorders>
              <w:top w:val="single" w:sz="4" w:space="0" w:color="auto"/>
            </w:tcBorders>
            <w:shd w:val="clear" w:color="auto" w:fill="auto"/>
            <w:noWrap/>
            <w:vAlign w:val="center"/>
            <w:hideMark/>
          </w:tcPr>
          <w:p w14:paraId="30173A01" w14:textId="77777777" w:rsidR="009157FA" w:rsidRPr="00110AE6" w:rsidRDefault="009157FA" w:rsidP="009157FA">
            <w:pPr>
              <w:tabs>
                <w:tab w:val="clear" w:pos="1247"/>
                <w:tab w:val="clear" w:pos="1814"/>
                <w:tab w:val="clear" w:pos="2381"/>
                <w:tab w:val="clear" w:pos="2948"/>
                <w:tab w:val="clear" w:pos="3515"/>
              </w:tabs>
              <w:jc w:val="right"/>
              <w:rPr>
                <w:b/>
                <w:noProof/>
                <w:color w:val="000000"/>
                <w:sz w:val="17"/>
                <w:szCs w:val="17"/>
                <w:lang w:val="fr-FR" w:eastAsia="zh-CN"/>
              </w:rPr>
            </w:pPr>
            <w:r w:rsidRPr="00110AE6">
              <w:rPr>
                <w:b/>
                <w:noProof/>
                <w:color w:val="000000"/>
                <w:sz w:val="17"/>
                <w:szCs w:val="17"/>
                <w:lang w:val="fr-FR" w:eastAsia="zh-CN"/>
              </w:rPr>
              <w:t> </w:t>
            </w:r>
          </w:p>
        </w:tc>
      </w:tr>
      <w:tr w:rsidR="009157FA" w:rsidRPr="00110AE6" w14:paraId="4EDD2A4D" w14:textId="77777777" w:rsidTr="00A722E7">
        <w:trPr>
          <w:trHeight w:val="315"/>
        </w:trPr>
        <w:tc>
          <w:tcPr>
            <w:tcW w:w="5000" w:type="pct"/>
            <w:gridSpan w:val="6"/>
            <w:tcBorders>
              <w:bottom w:val="single" w:sz="4" w:space="0" w:color="auto"/>
            </w:tcBorders>
            <w:shd w:val="clear" w:color="auto" w:fill="auto"/>
            <w:noWrap/>
            <w:vAlign w:val="center"/>
            <w:hideMark/>
          </w:tcPr>
          <w:p w14:paraId="085563AA" w14:textId="053B3E92"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4. </w:t>
            </w:r>
            <w:r w:rsidRPr="00110AE6">
              <w:rPr>
                <w:b/>
                <w:bCs/>
                <w:noProof/>
                <w:sz w:val="17"/>
                <w:szCs w:val="17"/>
                <w:lang w:val="fr-FR"/>
              </w:rPr>
              <w:t>Comité de mise en œuvre et du respect des obligations</w:t>
            </w:r>
          </w:p>
        </w:tc>
      </w:tr>
      <w:tr w:rsidR="009157FA" w:rsidRPr="00110AE6" w14:paraId="0A38611A" w14:textId="77777777" w:rsidTr="00A722E7">
        <w:trPr>
          <w:trHeight w:val="315"/>
        </w:trPr>
        <w:tc>
          <w:tcPr>
            <w:tcW w:w="127" w:type="pct"/>
            <w:tcBorders>
              <w:top w:val="single" w:sz="4" w:space="0" w:color="auto"/>
              <w:bottom w:val="single" w:sz="4" w:space="0" w:color="auto"/>
            </w:tcBorders>
            <w:shd w:val="clear" w:color="000000" w:fill="FFFFFF"/>
            <w:noWrap/>
            <w:hideMark/>
          </w:tcPr>
          <w:p w14:paraId="15ACB8FF"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1E41CD21" w14:textId="4CDC121F"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4.1. Réunion du Comité</w:t>
            </w:r>
          </w:p>
        </w:tc>
        <w:tc>
          <w:tcPr>
            <w:tcW w:w="577" w:type="pct"/>
            <w:tcBorders>
              <w:top w:val="single" w:sz="4" w:space="0" w:color="auto"/>
              <w:bottom w:val="single" w:sz="4" w:space="0" w:color="auto"/>
            </w:tcBorders>
            <w:shd w:val="clear" w:color="auto" w:fill="auto"/>
            <w:noWrap/>
            <w:vAlign w:val="center"/>
            <w:hideMark/>
          </w:tcPr>
          <w:p w14:paraId="5D673132" w14:textId="17736BEE"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5AD72C92"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0BD5BBFA" w14:textId="04F78FF1"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601" w:type="pct"/>
            <w:tcBorders>
              <w:top w:val="single" w:sz="4" w:space="0" w:color="auto"/>
              <w:bottom w:val="single" w:sz="4" w:space="0" w:color="auto"/>
            </w:tcBorders>
            <w:shd w:val="clear" w:color="auto" w:fill="auto"/>
            <w:noWrap/>
            <w:vAlign w:val="center"/>
            <w:hideMark/>
          </w:tcPr>
          <w:p w14:paraId="21991E9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5A365DE8"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2FF1E3C9"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6DBC587A" w14:textId="05DD65B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6D9B44F1"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78B0BEDE" w14:textId="10AEA9C1"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50 000 </w:t>
            </w:r>
          </w:p>
        </w:tc>
        <w:tc>
          <w:tcPr>
            <w:tcW w:w="601" w:type="pct"/>
            <w:tcBorders>
              <w:top w:val="single" w:sz="4" w:space="0" w:color="auto"/>
              <w:bottom w:val="single" w:sz="4" w:space="0" w:color="auto"/>
            </w:tcBorders>
            <w:shd w:val="clear" w:color="auto" w:fill="auto"/>
            <w:noWrap/>
            <w:vAlign w:val="center"/>
            <w:hideMark/>
          </w:tcPr>
          <w:p w14:paraId="2F974B74"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1F510F08"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72BD7308"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(A)</w:t>
            </w:r>
          </w:p>
        </w:tc>
        <w:tc>
          <w:tcPr>
            <w:tcW w:w="577" w:type="pct"/>
            <w:tcBorders>
              <w:top w:val="single" w:sz="4" w:space="0" w:color="auto"/>
              <w:bottom w:val="single" w:sz="4" w:space="0" w:color="auto"/>
            </w:tcBorders>
            <w:shd w:val="clear" w:color="auto" w:fill="auto"/>
            <w:noWrap/>
            <w:vAlign w:val="center"/>
            <w:hideMark/>
          </w:tcPr>
          <w:p w14:paraId="68F2ED5E" w14:textId="6D2CF744"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1 000 000 </w:t>
            </w:r>
          </w:p>
        </w:tc>
        <w:tc>
          <w:tcPr>
            <w:tcW w:w="578" w:type="pct"/>
            <w:tcBorders>
              <w:top w:val="single" w:sz="4" w:space="0" w:color="auto"/>
              <w:bottom w:val="single" w:sz="4" w:space="0" w:color="auto"/>
            </w:tcBorders>
            <w:shd w:val="clear" w:color="auto" w:fill="auto"/>
            <w:noWrap/>
            <w:vAlign w:val="center"/>
            <w:hideMark/>
          </w:tcPr>
          <w:p w14:paraId="4A892BE7" w14:textId="2601BEBF"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1 175 000 </w:t>
            </w:r>
          </w:p>
        </w:tc>
        <w:tc>
          <w:tcPr>
            <w:tcW w:w="577" w:type="pct"/>
            <w:tcBorders>
              <w:top w:val="single" w:sz="4" w:space="0" w:color="auto"/>
              <w:bottom w:val="single" w:sz="4" w:space="0" w:color="auto"/>
            </w:tcBorders>
            <w:shd w:val="clear" w:color="auto" w:fill="auto"/>
            <w:noWrap/>
            <w:vAlign w:val="center"/>
            <w:hideMark/>
          </w:tcPr>
          <w:p w14:paraId="0B662752" w14:textId="67D655A1" w:rsidR="009157FA" w:rsidRPr="00110AE6" w:rsidRDefault="009157FA" w:rsidP="006941E8">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1 110 000 </w:t>
            </w:r>
          </w:p>
        </w:tc>
        <w:tc>
          <w:tcPr>
            <w:tcW w:w="601" w:type="pct"/>
            <w:tcBorders>
              <w:top w:val="single" w:sz="4" w:space="0" w:color="auto"/>
              <w:bottom w:val="single" w:sz="4" w:space="0" w:color="auto"/>
            </w:tcBorders>
            <w:shd w:val="clear" w:color="auto" w:fill="auto"/>
            <w:noWrap/>
            <w:vAlign w:val="center"/>
            <w:hideMark/>
          </w:tcPr>
          <w:p w14:paraId="68FF2591" w14:textId="117E2D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1 175 000 </w:t>
            </w:r>
          </w:p>
        </w:tc>
      </w:tr>
      <w:tr w:rsidR="009157FA" w:rsidRPr="00110AE6" w14:paraId="23EEDDA1"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03BA7A34"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B. </w:t>
            </w:r>
            <w:r w:rsidRPr="00110AE6">
              <w:rPr>
                <w:b/>
                <w:bCs/>
                <w:noProof/>
                <w:sz w:val="17"/>
                <w:szCs w:val="17"/>
                <w:lang w:val="fr-FR"/>
              </w:rPr>
              <w:t>Renforcement des capacités et assistance technique</w:t>
            </w:r>
          </w:p>
        </w:tc>
      </w:tr>
      <w:tr w:rsidR="009157FA" w:rsidRPr="00110AE6" w14:paraId="66FCC353"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DB940EF" w14:textId="6A298659"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5. </w:t>
            </w:r>
            <w:r w:rsidRPr="00110AE6">
              <w:rPr>
                <w:b/>
                <w:bCs/>
                <w:noProof/>
                <w:sz w:val="17"/>
                <w:szCs w:val="17"/>
                <w:lang w:val="fr-FR"/>
              </w:rPr>
              <w:t>Programme de renforcement des capacités et d</w:t>
            </w:r>
            <w:r w:rsidR="00D05492" w:rsidRPr="00110AE6">
              <w:rPr>
                <w:b/>
                <w:bCs/>
                <w:noProof/>
                <w:sz w:val="17"/>
                <w:szCs w:val="17"/>
                <w:lang w:val="fr-FR"/>
              </w:rPr>
              <w:t>’</w:t>
            </w:r>
            <w:r w:rsidR="009E3F15" w:rsidRPr="00110AE6">
              <w:rPr>
                <w:b/>
                <w:bCs/>
                <w:noProof/>
                <w:sz w:val="17"/>
                <w:szCs w:val="17"/>
                <w:lang w:val="fr-FR"/>
              </w:rPr>
              <w:t xml:space="preserve">assistance technique </w:t>
            </w:r>
            <w:r w:rsidRPr="00110AE6">
              <w:rPr>
                <w:b/>
                <w:bCs/>
                <w:noProof/>
                <w:sz w:val="17"/>
                <w:szCs w:val="17"/>
                <w:lang w:val="fr-FR"/>
              </w:rPr>
              <w:t>de la Convention de Minamata</w:t>
            </w:r>
          </w:p>
        </w:tc>
      </w:tr>
      <w:tr w:rsidR="009157FA" w:rsidRPr="00110AE6" w14:paraId="78F72297" w14:textId="77777777" w:rsidTr="00A722E7">
        <w:trPr>
          <w:trHeight w:val="375"/>
        </w:trPr>
        <w:tc>
          <w:tcPr>
            <w:tcW w:w="127" w:type="pct"/>
            <w:tcBorders>
              <w:top w:val="single" w:sz="4" w:space="0" w:color="auto"/>
            </w:tcBorders>
            <w:shd w:val="clear" w:color="000000" w:fill="FFFFFF"/>
            <w:noWrap/>
            <w:hideMark/>
          </w:tcPr>
          <w:p w14:paraId="09DE3154"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tcBorders>
            <w:shd w:val="clear" w:color="000000" w:fill="FFFFFF"/>
            <w:noWrap/>
            <w:vAlign w:val="center"/>
            <w:hideMark/>
          </w:tcPr>
          <w:p w14:paraId="2C1725C1"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5.1. Activités intersectorielles</w:t>
            </w:r>
          </w:p>
        </w:tc>
        <w:tc>
          <w:tcPr>
            <w:tcW w:w="577" w:type="pct"/>
            <w:tcBorders>
              <w:top w:val="single" w:sz="4" w:space="0" w:color="auto"/>
            </w:tcBorders>
            <w:shd w:val="clear" w:color="auto" w:fill="auto"/>
            <w:noWrap/>
            <w:vAlign w:val="center"/>
            <w:hideMark/>
          </w:tcPr>
          <w:p w14:paraId="0F10267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tcBorders>
            <w:shd w:val="clear" w:color="auto" w:fill="auto"/>
            <w:noWrap/>
            <w:vAlign w:val="center"/>
            <w:hideMark/>
          </w:tcPr>
          <w:p w14:paraId="79A09CC3" w14:textId="2CA579C3"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360 000 </w:t>
            </w:r>
          </w:p>
        </w:tc>
        <w:tc>
          <w:tcPr>
            <w:tcW w:w="577" w:type="pct"/>
            <w:tcBorders>
              <w:top w:val="single" w:sz="4" w:space="0" w:color="auto"/>
            </w:tcBorders>
            <w:shd w:val="clear" w:color="auto" w:fill="auto"/>
            <w:noWrap/>
            <w:vAlign w:val="center"/>
            <w:hideMark/>
          </w:tcPr>
          <w:p w14:paraId="21AAD682"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tcBorders>
            <w:shd w:val="clear" w:color="auto" w:fill="auto"/>
            <w:noWrap/>
            <w:vAlign w:val="center"/>
            <w:hideMark/>
          </w:tcPr>
          <w:p w14:paraId="31F401D5" w14:textId="39E5439F"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 360 000 </w:t>
            </w:r>
          </w:p>
        </w:tc>
      </w:tr>
      <w:tr w:rsidR="009157FA" w:rsidRPr="00110AE6" w14:paraId="5D79FE86" w14:textId="77777777" w:rsidTr="00A722E7">
        <w:trPr>
          <w:trHeight w:val="315"/>
        </w:trPr>
        <w:tc>
          <w:tcPr>
            <w:tcW w:w="127" w:type="pct"/>
            <w:shd w:val="clear" w:color="000000" w:fill="FFFFFF"/>
            <w:noWrap/>
            <w:hideMark/>
          </w:tcPr>
          <w:p w14:paraId="3BF6EF5F"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shd w:val="clear" w:color="000000" w:fill="FFFFFF"/>
            <w:noWrap/>
            <w:vAlign w:val="center"/>
            <w:hideMark/>
          </w:tcPr>
          <w:p w14:paraId="0B49D460" w14:textId="367E240E"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5.2. Étude d</w:t>
            </w:r>
            <w:r w:rsidR="00D05492" w:rsidRPr="00110AE6">
              <w:rPr>
                <w:noProof/>
                <w:sz w:val="17"/>
                <w:szCs w:val="17"/>
                <w:lang w:val="fr-FR"/>
              </w:rPr>
              <w:t>’</w:t>
            </w:r>
            <w:r w:rsidRPr="00110AE6">
              <w:rPr>
                <w:noProof/>
                <w:sz w:val="17"/>
                <w:szCs w:val="17"/>
                <w:lang w:val="fr-FR"/>
              </w:rPr>
              <w:t>impact</w:t>
            </w:r>
          </w:p>
        </w:tc>
        <w:tc>
          <w:tcPr>
            <w:tcW w:w="577" w:type="pct"/>
            <w:shd w:val="clear" w:color="auto" w:fill="auto"/>
            <w:noWrap/>
            <w:vAlign w:val="center"/>
            <w:hideMark/>
          </w:tcPr>
          <w:p w14:paraId="2A651794"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shd w:val="clear" w:color="auto" w:fill="auto"/>
            <w:noWrap/>
            <w:vAlign w:val="center"/>
            <w:hideMark/>
          </w:tcPr>
          <w:p w14:paraId="03466528"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shd w:val="clear" w:color="auto" w:fill="auto"/>
            <w:noWrap/>
            <w:vAlign w:val="center"/>
            <w:hideMark/>
          </w:tcPr>
          <w:p w14:paraId="3EA36195"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shd w:val="clear" w:color="auto" w:fill="auto"/>
            <w:noWrap/>
            <w:vAlign w:val="center"/>
            <w:hideMark/>
          </w:tcPr>
          <w:p w14:paraId="1CE377DC"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15C10F17" w14:textId="77777777" w:rsidTr="00A722E7">
        <w:trPr>
          <w:trHeight w:val="315"/>
        </w:trPr>
        <w:tc>
          <w:tcPr>
            <w:tcW w:w="127" w:type="pct"/>
            <w:shd w:val="clear" w:color="000000" w:fill="FFFFFF"/>
            <w:noWrap/>
            <w:hideMark/>
          </w:tcPr>
          <w:p w14:paraId="2C263F16"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shd w:val="clear" w:color="000000" w:fill="FFFFFF"/>
            <w:noWrap/>
            <w:vAlign w:val="center"/>
            <w:hideMark/>
          </w:tcPr>
          <w:p w14:paraId="524EF1C1"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5.3. Outils et méthodes</w:t>
            </w:r>
          </w:p>
        </w:tc>
        <w:tc>
          <w:tcPr>
            <w:tcW w:w="577" w:type="pct"/>
            <w:shd w:val="clear" w:color="auto" w:fill="auto"/>
            <w:noWrap/>
            <w:vAlign w:val="center"/>
            <w:hideMark/>
          </w:tcPr>
          <w:p w14:paraId="399D4CE2"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shd w:val="clear" w:color="auto" w:fill="auto"/>
            <w:noWrap/>
            <w:vAlign w:val="center"/>
            <w:hideMark/>
          </w:tcPr>
          <w:p w14:paraId="629B56C9" w14:textId="42CB477F"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60 000 </w:t>
            </w:r>
          </w:p>
        </w:tc>
        <w:tc>
          <w:tcPr>
            <w:tcW w:w="577" w:type="pct"/>
            <w:shd w:val="clear" w:color="auto" w:fill="auto"/>
            <w:noWrap/>
            <w:vAlign w:val="center"/>
            <w:hideMark/>
          </w:tcPr>
          <w:p w14:paraId="7C5D514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shd w:val="clear" w:color="auto" w:fill="auto"/>
            <w:noWrap/>
            <w:vAlign w:val="center"/>
            <w:hideMark/>
          </w:tcPr>
          <w:p w14:paraId="230519F2" w14:textId="4C4BD7F4"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60 000 </w:t>
            </w:r>
          </w:p>
        </w:tc>
      </w:tr>
      <w:tr w:rsidR="009157FA" w:rsidRPr="00110AE6" w14:paraId="6813C8BB" w14:textId="77777777" w:rsidTr="00A722E7">
        <w:trPr>
          <w:trHeight w:val="315"/>
        </w:trPr>
        <w:tc>
          <w:tcPr>
            <w:tcW w:w="127" w:type="pct"/>
            <w:shd w:val="clear" w:color="000000" w:fill="FFFFFF"/>
            <w:noWrap/>
            <w:hideMark/>
          </w:tcPr>
          <w:p w14:paraId="2A6CA559"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shd w:val="clear" w:color="000000" w:fill="FFFFFF"/>
            <w:noWrap/>
            <w:vAlign w:val="center"/>
            <w:hideMark/>
          </w:tcPr>
          <w:p w14:paraId="250FFF75"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5.4. Évaluation des besoins</w:t>
            </w:r>
          </w:p>
        </w:tc>
        <w:tc>
          <w:tcPr>
            <w:tcW w:w="577" w:type="pct"/>
            <w:shd w:val="clear" w:color="auto" w:fill="auto"/>
            <w:noWrap/>
            <w:vAlign w:val="center"/>
            <w:hideMark/>
          </w:tcPr>
          <w:p w14:paraId="71C7E0D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shd w:val="clear" w:color="auto" w:fill="auto"/>
            <w:noWrap/>
            <w:hideMark/>
          </w:tcPr>
          <w:p w14:paraId="1C09F1A0"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577" w:type="pct"/>
            <w:shd w:val="clear" w:color="auto" w:fill="auto"/>
            <w:noWrap/>
            <w:vAlign w:val="center"/>
            <w:hideMark/>
          </w:tcPr>
          <w:p w14:paraId="4487464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shd w:val="clear" w:color="auto" w:fill="auto"/>
            <w:noWrap/>
            <w:vAlign w:val="center"/>
            <w:hideMark/>
          </w:tcPr>
          <w:p w14:paraId="14A06372"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0AFFFC0A" w14:textId="77777777" w:rsidTr="00A722E7">
        <w:trPr>
          <w:trHeight w:val="315"/>
        </w:trPr>
        <w:tc>
          <w:tcPr>
            <w:tcW w:w="127" w:type="pct"/>
            <w:tcBorders>
              <w:bottom w:val="single" w:sz="4" w:space="0" w:color="auto"/>
            </w:tcBorders>
            <w:shd w:val="clear" w:color="000000" w:fill="FFFFFF"/>
            <w:noWrap/>
            <w:hideMark/>
          </w:tcPr>
          <w:p w14:paraId="5A08903D"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bottom w:val="single" w:sz="4" w:space="0" w:color="auto"/>
            </w:tcBorders>
            <w:shd w:val="clear" w:color="000000" w:fill="FFFFFF"/>
            <w:noWrap/>
            <w:vAlign w:val="center"/>
            <w:hideMark/>
          </w:tcPr>
          <w:p w14:paraId="159259FE"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 xml:space="preserve">5.6. Activités de développement de capacités spécifiques </w:t>
            </w:r>
          </w:p>
        </w:tc>
        <w:tc>
          <w:tcPr>
            <w:tcW w:w="577" w:type="pct"/>
            <w:tcBorders>
              <w:bottom w:val="single" w:sz="4" w:space="0" w:color="auto"/>
            </w:tcBorders>
            <w:shd w:val="clear" w:color="auto" w:fill="auto"/>
            <w:noWrap/>
            <w:vAlign w:val="center"/>
            <w:hideMark/>
          </w:tcPr>
          <w:p w14:paraId="2A9312F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bottom w:val="single" w:sz="4" w:space="0" w:color="auto"/>
            </w:tcBorders>
            <w:shd w:val="clear" w:color="auto" w:fill="auto"/>
            <w:noWrap/>
            <w:vAlign w:val="center"/>
            <w:hideMark/>
          </w:tcPr>
          <w:p w14:paraId="674BF961" w14:textId="2DEB56A5" w:rsidR="009157FA" w:rsidRPr="00110AE6" w:rsidRDefault="00842A69"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600 000 </w:t>
            </w:r>
          </w:p>
        </w:tc>
        <w:tc>
          <w:tcPr>
            <w:tcW w:w="577" w:type="pct"/>
            <w:tcBorders>
              <w:bottom w:val="single" w:sz="4" w:space="0" w:color="auto"/>
            </w:tcBorders>
            <w:shd w:val="clear" w:color="auto" w:fill="auto"/>
            <w:noWrap/>
            <w:vAlign w:val="center"/>
            <w:hideMark/>
          </w:tcPr>
          <w:p w14:paraId="68AAE20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bottom w:val="single" w:sz="4" w:space="0" w:color="auto"/>
            </w:tcBorders>
            <w:shd w:val="clear" w:color="auto" w:fill="auto"/>
            <w:noWrap/>
            <w:vAlign w:val="center"/>
            <w:hideMark/>
          </w:tcPr>
          <w:p w14:paraId="7EAE97BC" w14:textId="2EA2D1F5"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600 000 </w:t>
            </w:r>
          </w:p>
        </w:tc>
      </w:tr>
      <w:tr w:rsidR="009157FA" w:rsidRPr="00110AE6" w14:paraId="1D0C7222" w14:textId="77777777" w:rsidTr="00A722E7">
        <w:trPr>
          <w:trHeight w:val="315"/>
        </w:trPr>
        <w:tc>
          <w:tcPr>
            <w:tcW w:w="127" w:type="pct"/>
            <w:tcBorders>
              <w:top w:val="single" w:sz="4" w:space="0" w:color="auto"/>
              <w:bottom w:val="single" w:sz="4" w:space="0" w:color="auto"/>
            </w:tcBorders>
            <w:shd w:val="clear" w:color="000000" w:fill="FFFFFF"/>
            <w:noWrap/>
            <w:hideMark/>
          </w:tcPr>
          <w:p w14:paraId="1974BF1C"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2ED466D8"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5.7. Activités de renforcement des capacités menées sur demande</w:t>
            </w:r>
          </w:p>
        </w:tc>
        <w:tc>
          <w:tcPr>
            <w:tcW w:w="577" w:type="pct"/>
            <w:tcBorders>
              <w:top w:val="single" w:sz="4" w:space="0" w:color="auto"/>
              <w:bottom w:val="single" w:sz="4" w:space="0" w:color="auto"/>
            </w:tcBorders>
            <w:shd w:val="clear" w:color="auto" w:fill="auto"/>
            <w:noWrap/>
            <w:vAlign w:val="center"/>
            <w:hideMark/>
          </w:tcPr>
          <w:p w14:paraId="257A45DC"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5ED6D725" w14:textId="697D5855"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960 000 </w:t>
            </w:r>
          </w:p>
        </w:tc>
        <w:tc>
          <w:tcPr>
            <w:tcW w:w="577" w:type="pct"/>
            <w:tcBorders>
              <w:top w:val="single" w:sz="4" w:space="0" w:color="auto"/>
              <w:bottom w:val="single" w:sz="4" w:space="0" w:color="auto"/>
            </w:tcBorders>
            <w:shd w:val="clear" w:color="auto" w:fill="auto"/>
            <w:noWrap/>
            <w:vAlign w:val="center"/>
            <w:hideMark/>
          </w:tcPr>
          <w:p w14:paraId="7308988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bottom w:val="single" w:sz="4" w:space="0" w:color="auto"/>
            </w:tcBorders>
            <w:shd w:val="clear" w:color="auto" w:fill="auto"/>
            <w:noWrap/>
            <w:vAlign w:val="center"/>
            <w:hideMark/>
          </w:tcPr>
          <w:p w14:paraId="2BD171EE" w14:textId="7758DBBA"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960 000 </w:t>
            </w:r>
          </w:p>
        </w:tc>
      </w:tr>
      <w:tr w:rsidR="009157FA" w:rsidRPr="00110AE6" w14:paraId="2E9E76AA"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01833E73"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(B)</w:t>
            </w:r>
          </w:p>
        </w:tc>
        <w:tc>
          <w:tcPr>
            <w:tcW w:w="577" w:type="pct"/>
            <w:tcBorders>
              <w:top w:val="single" w:sz="4" w:space="0" w:color="auto"/>
              <w:bottom w:val="single" w:sz="4" w:space="0" w:color="auto"/>
            </w:tcBorders>
            <w:shd w:val="clear" w:color="auto" w:fill="auto"/>
            <w:noWrap/>
            <w:vAlign w:val="center"/>
            <w:hideMark/>
          </w:tcPr>
          <w:p w14:paraId="22FF68D1"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3B64E5C1" w14:textId="69B942BA"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1 980 000 </w:t>
            </w:r>
          </w:p>
        </w:tc>
        <w:tc>
          <w:tcPr>
            <w:tcW w:w="577" w:type="pct"/>
            <w:tcBorders>
              <w:top w:val="single" w:sz="4" w:space="0" w:color="auto"/>
              <w:bottom w:val="single" w:sz="4" w:space="0" w:color="auto"/>
            </w:tcBorders>
            <w:shd w:val="clear" w:color="auto" w:fill="auto"/>
            <w:noWrap/>
            <w:vAlign w:val="center"/>
            <w:hideMark/>
          </w:tcPr>
          <w:p w14:paraId="28CEFB90"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1" w:type="pct"/>
            <w:tcBorders>
              <w:top w:val="single" w:sz="4" w:space="0" w:color="auto"/>
              <w:bottom w:val="single" w:sz="4" w:space="0" w:color="auto"/>
            </w:tcBorders>
            <w:shd w:val="clear" w:color="auto" w:fill="auto"/>
            <w:noWrap/>
            <w:vAlign w:val="center"/>
            <w:hideMark/>
          </w:tcPr>
          <w:p w14:paraId="27958866" w14:textId="4FEF707C"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1 980 000 </w:t>
            </w:r>
          </w:p>
        </w:tc>
      </w:tr>
      <w:tr w:rsidR="009157FA" w:rsidRPr="00110AE6" w14:paraId="4871FD32"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03B27C9"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C. </w:t>
            </w:r>
            <w:r w:rsidRPr="00110AE6">
              <w:rPr>
                <w:b/>
                <w:bCs/>
                <w:noProof/>
                <w:sz w:val="17"/>
                <w:szCs w:val="17"/>
                <w:lang w:val="fr-FR"/>
              </w:rPr>
              <w:t>Activités scientifiques et techniques</w:t>
            </w:r>
          </w:p>
        </w:tc>
      </w:tr>
      <w:tr w:rsidR="009157FA" w:rsidRPr="00110AE6" w14:paraId="4322B107"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580B4353"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6. </w:t>
            </w:r>
            <w:r w:rsidRPr="00110AE6">
              <w:rPr>
                <w:b/>
                <w:bCs/>
                <w:noProof/>
                <w:sz w:val="17"/>
                <w:szCs w:val="17"/>
                <w:lang w:val="fr-FR"/>
              </w:rPr>
              <w:t>Appui scientifique aux États parties à la Convention de Minamata</w:t>
            </w:r>
          </w:p>
        </w:tc>
      </w:tr>
      <w:tr w:rsidR="009157FA" w:rsidRPr="00110AE6" w14:paraId="779051C8" w14:textId="77777777" w:rsidTr="00A722E7">
        <w:trPr>
          <w:trHeight w:val="315"/>
        </w:trPr>
        <w:tc>
          <w:tcPr>
            <w:tcW w:w="127" w:type="pct"/>
            <w:tcBorders>
              <w:top w:val="single" w:sz="4" w:space="0" w:color="auto"/>
              <w:bottom w:val="single" w:sz="4" w:space="0" w:color="auto"/>
            </w:tcBorders>
            <w:shd w:val="clear" w:color="000000" w:fill="FFFFFF"/>
            <w:noWrap/>
            <w:vAlign w:val="center"/>
            <w:hideMark/>
          </w:tcPr>
          <w:p w14:paraId="24EE2646"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5F3EFEE7"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6.1. Appui scientifique aux États parties à la Convention</w:t>
            </w:r>
          </w:p>
        </w:tc>
        <w:tc>
          <w:tcPr>
            <w:tcW w:w="577" w:type="pct"/>
            <w:tcBorders>
              <w:top w:val="single" w:sz="4" w:space="0" w:color="auto"/>
              <w:bottom w:val="single" w:sz="4" w:space="0" w:color="auto"/>
            </w:tcBorders>
            <w:shd w:val="clear" w:color="auto" w:fill="auto"/>
            <w:noWrap/>
            <w:vAlign w:val="center"/>
            <w:hideMark/>
          </w:tcPr>
          <w:p w14:paraId="0EC5DBF5"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5793F907"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62C57621"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bottom w:val="single" w:sz="4" w:space="0" w:color="auto"/>
            </w:tcBorders>
            <w:shd w:val="clear" w:color="auto" w:fill="auto"/>
            <w:noWrap/>
            <w:vAlign w:val="center"/>
            <w:hideMark/>
          </w:tcPr>
          <w:p w14:paraId="4C51C21B" w14:textId="2C89706E"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238 000 </w:t>
            </w:r>
          </w:p>
        </w:tc>
      </w:tr>
      <w:tr w:rsidR="009157FA" w:rsidRPr="00110AE6" w14:paraId="37CF8A74"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769E6CE6"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36C4AE83"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3267B447"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4F7BD5B8"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1" w:type="pct"/>
            <w:tcBorders>
              <w:top w:val="single" w:sz="4" w:space="0" w:color="auto"/>
              <w:bottom w:val="single" w:sz="4" w:space="0" w:color="auto"/>
            </w:tcBorders>
            <w:shd w:val="clear" w:color="auto" w:fill="auto"/>
            <w:noWrap/>
            <w:vAlign w:val="center"/>
            <w:hideMark/>
          </w:tcPr>
          <w:p w14:paraId="5CC2CA16" w14:textId="00612442"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238 000 </w:t>
            </w:r>
          </w:p>
        </w:tc>
      </w:tr>
      <w:tr w:rsidR="009157FA" w:rsidRPr="00110AE6" w14:paraId="7399EE48"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2FFF6387" w14:textId="6C4E0D99"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7. </w:t>
            </w:r>
            <w:r w:rsidRPr="00110AE6">
              <w:rPr>
                <w:b/>
                <w:bCs/>
                <w:noProof/>
                <w:sz w:val="17"/>
                <w:szCs w:val="17"/>
                <w:lang w:val="fr-FR"/>
              </w:rPr>
              <w:t>Évaluation de l</w:t>
            </w:r>
            <w:r w:rsidR="00D05492" w:rsidRPr="00110AE6">
              <w:rPr>
                <w:b/>
                <w:bCs/>
                <w:noProof/>
                <w:sz w:val="17"/>
                <w:szCs w:val="17"/>
                <w:lang w:val="fr-FR"/>
              </w:rPr>
              <w:t>’</w:t>
            </w:r>
            <w:r w:rsidRPr="00110AE6">
              <w:rPr>
                <w:b/>
                <w:bCs/>
                <w:noProof/>
                <w:sz w:val="17"/>
                <w:szCs w:val="17"/>
                <w:lang w:val="fr-FR"/>
              </w:rPr>
              <w:t>efficacité et plan mondial de surveillance</w:t>
            </w:r>
          </w:p>
        </w:tc>
      </w:tr>
      <w:tr w:rsidR="009157FA" w:rsidRPr="00110AE6" w14:paraId="03617ECD" w14:textId="77777777" w:rsidTr="00E801D7">
        <w:trPr>
          <w:trHeight w:val="315"/>
        </w:trPr>
        <w:tc>
          <w:tcPr>
            <w:tcW w:w="127" w:type="pct"/>
            <w:tcBorders>
              <w:top w:val="single" w:sz="4" w:space="0" w:color="auto"/>
            </w:tcBorders>
            <w:shd w:val="clear" w:color="000000" w:fill="FFFFFF"/>
            <w:noWrap/>
            <w:vAlign w:val="center"/>
            <w:hideMark/>
          </w:tcPr>
          <w:p w14:paraId="735741D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tcBorders>
            <w:shd w:val="clear" w:color="000000" w:fill="FFFFFF"/>
            <w:noWrap/>
            <w:vAlign w:val="center"/>
            <w:hideMark/>
          </w:tcPr>
          <w:p w14:paraId="75865894" w14:textId="2367B6E5"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7.1. Évaluation de l</w:t>
            </w:r>
            <w:r w:rsidR="00D05492" w:rsidRPr="00110AE6">
              <w:rPr>
                <w:noProof/>
                <w:sz w:val="17"/>
                <w:szCs w:val="17"/>
                <w:lang w:val="fr-FR"/>
              </w:rPr>
              <w:t>’</w:t>
            </w:r>
            <w:r w:rsidRPr="00110AE6">
              <w:rPr>
                <w:noProof/>
                <w:sz w:val="17"/>
                <w:szCs w:val="17"/>
                <w:lang w:val="fr-FR"/>
              </w:rPr>
              <w:t>efficacité et plan mondial de surveillance</w:t>
            </w:r>
          </w:p>
        </w:tc>
        <w:tc>
          <w:tcPr>
            <w:tcW w:w="577" w:type="pct"/>
            <w:tcBorders>
              <w:top w:val="single" w:sz="4" w:space="0" w:color="auto"/>
            </w:tcBorders>
            <w:shd w:val="clear" w:color="auto" w:fill="auto"/>
            <w:noWrap/>
            <w:vAlign w:val="center"/>
            <w:hideMark/>
          </w:tcPr>
          <w:p w14:paraId="3E0126D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tcBorders>
            <w:shd w:val="clear" w:color="auto" w:fill="auto"/>
            <w:noWrap/>
            <w:vAlign w:val="center"/>
            <w:hideMark/>
          </w:tcPr>
          <w:p w14:paraId="4D3CEB4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tcBorders>
            <w:shd w:val="clear" w:color="auto" w:fill="auto"/>
            <w:noWrap/>
            <w:vAlign w:val="center"/>
            <w:hideMark/>
          </w:tcPr>
          <w:p w14:paraId="351B4B27"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tcBorders>
            <w:shd w:val="clear" w:color="auto" w:fill="auto"/>
            <w:noWrap/>
            <w:vAlign w:val="center"/>
            <w:hideMark/>
          </w:tcPr>
          <w:p w14:paraId="731EE5C4"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2FAA3E1B" w14:textId="77777777" w:rsidTr="00E801D7">
        <w:trPr>
          <w:trHeight w:val="315"/>
        </w:trPr>
        <w:tc>
          <w:tcPr>
            <w:tcW w:w="2667" w:type="pct"/>
            <w:gridSpan w:val="2"/>
            <w:tcBorders>
              <w:bottom w:val="single" w:sz="4" w:space="0" w:color="auto"/>
            </w:tcBorders>
            <w:shd w:val="clear" w:color="000000" w:fill="FFFFFF"/>
            <w:noWrap/>
            <w:vAlign w:val="center"/>
            <w:hideMark/>
          </w:tcPr>
          <w:p w14:paraId="4E4A35D8"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bottom w:val="single" w:sz="4" w:space="0" w:color="auto"/>
            </w:tcBorders>
            <w:shd w:val="clear" w:color="auto" w:fill="auto"/>
            <w:noWrap/>
            <w:vAlign w:val="center"/>
            <w:hideMark/>
          </w:tcPr>
          <w:p w14:paraId="1000823A"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8" w:type="pct"/>
            <w:tcBorders>
              <w:bottom w:val="single" w:sz="4" w:space="0" w:color="auto"/>
            </w:tcBorders>
            <w:shd w:val="clear" w:color="auto" w:fill="auto"/>
            <w:noWrap/>
            <w:vAlign w:val="center"/>
            <w:hideMark/>
          </w:tcPr>
          <w:p w14:paraId="7E90ADFA"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bottom w:val="single" w:sz="4" w:space="0" w:color="auto"/>
            </w:tcBorders>
            <w:shd w:val="clear" w:color="auto" w:fill="auto"/>
            <w:noWrap/>
            <w:vAlign w:val="center"/>
            <w:hideMark/>
          </w:tcPr>
          <w:p w14:paraId="0F6F57E5"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601" w:type="pct"/>
            <w:tcBorders>
              <w:bottom w:val="single" w:sz="4" w:space="0" w:color="auto"/>
            </w:tcBorders>
            <w:shd w:val="clear" w:color="auto" w:fill="auto"/>
            <w:noWrap/>
            <w:vAlign w:val="center"/>
            <w:hideMark/>
          </w:tcPr>
          <w:p w14:paraId="3D8B9A46"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4F1F6357" w14:textId="77777777" w:rsidTr="00E801D7">
        <w:trPr>
          <w:trHeight w:val="315"/>
        </w:trPr>
        <w:tc>
          <w:tcPr>
            <w:tcW w:w="5000" w:type="pct"/>
            <w:gridSpan w:val="6"/>
            <w:tcBorders>
              <w:top w:val="single" w:sz="4" w:space="0" w:color="auto"/>
              <w:bottom w:val="single" w:sz="4" w:space="0" w:color="auto"/>
            </w:tcBorders>
            <w:shd w:val="clear" w:color="auto" w:fill="auto"/>
            <w:noWrap/>
            <w:vAlign w:val="center"/>
            <w:hideMark/>
          </w:tcPr>
          <w:p w14:paraId="311D6102"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8. </w:t>
            </w:r>
            <w:r w:rsidRPr="00110AE6">
              <w:rPr>
                <w:b/>
                <w:bCs/>
                <w:noProof/>
                <w:sz w:val="17"/>
                <w:szCs w:val="17"/>
                <w:lang w:val="fr-FR"/>
              </w:rPr>
              <w:t>Rapports nationaux présentés au titre de la Convention de Minamata</w:t>
            </w:r>
          </w:p>
        </w:tc>
      </w:tr>
      <w:tr w:rsidR="009157FA" w:rsidRPr="00110AE6" w14:paraId="1C123EC8" w14:textId="77777777" w:rsidTr="00A722E7">
        <w:trPr>
          <w:trHeight w:val="315"/>
        </w:trPr>
        <w:tc>
          <w:tcPr>
            <w:tcW w:w="127" w:type="pct"/>
            <w:shd w:val="clear" w:color="000000" w:fill="FFFFFF"/>
            <w:noWrap/>
            <w:vAlign w:val="center"/>
            <w:hideMark/>
          </w:tcPr>
          <w:p w14:paraId="0232E3BD"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7557890C"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8.1. Rapports nationaux présentés au titre de la Convention de Minamata</w:t>
            </w:r>
          </w:p>
        </w:tc>
        <w:tc>
          <w:tcPr>
            <w:tcW w:w="577" w:type="pct"/>
            <w:tcBorders>
              <w:top w:val="single" w:sz="4" w:space="0" w:color="auto"/>
              <w:bottom w:val="single" w:sz="4" w:space="0" w:color="auto"/>
            </w:tcBorders>
            <w:shd w:val="clear" w:color="auto" w:fill="auto"/>
            <w:noWrap/>
            <w:vAlign w:val="center"/>
            <w:hideMark/>
          </w:tcPr>
          <w:p w14:paraId="3A3184D4" w14:textId="0595BA2B"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18C17FF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52574DD2" w14:textId="07A937D0"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601" w:type="pct"/>
            <w:tcBorders>
              <w:top w:val="single" w:sz="4" w:space="0" w:color="auto"/>
              <w:bottom w:val="single" w:sz="4" w:space="0" w:color="auto"/>
            </w:tcBorders>
            <w:shd w:val="clear" w:color="auto" w:fill="auto"/>
            <w:noWrap/>
            <w:vAlign w:val="center"/>
            <w:hideMark/>
          </w:tcPr>
          <w:p w14:paraId="7A514D5F"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5C91C63D"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02FF4F82"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1799E155" w14:textId="0BCBDCA8"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056628B7"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3B34ACC1" w14:textId="3E518CE6"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01" w:type="pct"/>
            <w:tcBorders>
              <w:top w:val="single" w:sz="4" w:space="0" w:color="auto"/>
              <w:bottom w:val="single" w:sz="4" w:space="0" w:color="auto"/>
            </w:tcBorders>
            <w:shd w:val="clear" w:color="auto" w:fill="auto"/>
            <w:noWrap/>
            <w:vAlign w:val="center"/>
            <w:hideMark/>
          </w:tcPr>
          <w:p w14:paraId="6ED42B65"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06ABD37B"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5F6EF870"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(C)</w:t>
            </w:r>
          </w:p>
        </w:tc>
        <w:tc>
          <w:tcPr>
            <w:tcW w:w="577" w:type="pct"/>
            <w:tcBorders>
              <w:top w:val="single" w:sz="4" w:space="0" w:color="auto"/>
              <w:bottom w:val="single" w:sz="4" w:space="0" w:color="auto"/>
            </w:tcBorders>
            <w:shd w:val="clear" w:color="auto" w:fill="auto"/>
            <w:noWrap/>
            <w:vAlign w:val="center"/>
            <w:hideMark/>
          </w:tcPr>
          <w:p w14:paraId="3F3DB834" w14:textId="6950B8D8"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3DD082B9"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0333D943" w14:textId="00D2684A"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01" w:type="pct"/>
            <w:tcBorders>
              <w:top w:val="single" w:sz="4" w:space="0" w:color="auto"/>
              <w:bottom w:val="single" w:sz="4" w:space="0" w:color="auto"/>
            </w:tcBorders>
            <w:shd w:val="clear" w:color="auto" w:fill="auto"/>
            <w:noWrap/>
            <w:vAlign w:val="center"/>
            <w:hideMark/>
          </w:tcPr>
          <w:p w14:paraId="7722A1F3" w14:textId="59A20416" w:rsidR="009157FA" w:rsidRPr="00110AE6" w:rsidRDefault="00782BC9"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238 000 </w:t>
            </w:r>
          </w:p>
        </w:tc>
      </w:tr>
      <w:tr w:rsidR="009157FA" w:rsidRPr="00110AE6" w14:paraId="187D02D0"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08DCC4F8" w14:textId="222AF76B"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D. </w:t>
            </w:r>
            <w:r w:rsidRPr="00110AE6">
              <w:rPr>
                <w:b/>
                <w:bCs/>
                <w:noProof/>
                <w:sz w:val="17"/>
                <w:szCs w:val="17"/>
                <w:lang w:val="fr-FR"/>
              </w:rPr>
              <w:t>Gestion des connaissances et de l</w:t>
            </w:r>
            <w:r w:rsidR="00D05492" w:rsidRPr="00110AE6">
              <w:rPr>
                <w:b/>
                <w:bCs/>
                <w:noProof/>
                <w:sz w:val="17"/>
                <w:szCs w:val="17"/>
                <w:lang w:val="fr-FR"/>
              </w:rPr>
              <w:t>’</w:t>
            </w:r>
            <w:r w:rsidRPr="00110AE6">
              <w:rPr>
                <w:b/>
                <w:bCs/>
                <w:noProof/>
                <w:sz w:val="17"/>
                <w:szCs w:val="17"/>
                <w:lang w:val="fr-FR"/>
              </w:rPr>
              <w:t>information et communication</w:t>
            </w:r>
            <w:r w:rsidRPr="00110AE6">
              <w:rPr>
                <w:b/>
                <w:noProof/>
                <w:sz w:val="17"/>
                <w:szCs w:val="17"/>
                <w:lang w:val="fr-FR"/>
              </w:rPr>
              <w:t xml:space="preserve"> </w:t>
            </w:r>
          </w:p>
        </w:tc>
      </w:tr>
      <w:tr w:rsidR="009157FA" w:rsidRPr="00110AE6" w14:paraId="7FBEA60B"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0EE19931"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9. </w:t>
            </w:r>
            <w:r w:rsidRPr="00110AE6">
              <w:rPr>
                <w:b/>
                <w:bCs/>
                <w:noProof/>
                <w:sz w:val="17"/>
                <w:szCs w:val="17"/>
                <w:lang w:val="fr-FR"/>
              </w:rPr>
              <w:t>Publications</w:t>
            </w:r>
          </w:p>
        </w:tc>
      </w:tr>
      <w:tr w:rsidR="009157FA" w:rsidRPr="00110AE6" w14:paraId="45177EA6" w14:textId="77777777" w:rsidTr="00A722E7">
        <w:trPr>
          <w:trHeight w:val="315"/>
        </w:trPr>
        <w:tc>
          <w:tcPr>
            <w:tcW w:w="127" w:type="pct"/>
            <w:shd w:val="clear" w:color="000000" w:fill="FFFFFF"/>
            <w:noWrap/>
            <w:vAlign w:val="center"/>
            <w:hideMark/>
          </w:tcPr>
          <w:p w14:paraId="4FF4EB82"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01FBA948"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9.1. Publications</w:t>
            </w:r>
          </w:p>
        </w:tc>
        <w:tc>
          <w:tcPr>
            <w:tcW w:w="577" w:type="pct"/>
            <w:tcBorders>
              <w:top w:val="single" w:sz="4" w:space="0" w:color="auto"/>
              <w:bottom w:val="single" w:sz="4" w:space="0" w:color="auto"/>
            </w:tcBorders>
            <w:shd w:val="clear" w:color="auto" w:fill="auto"/>
            <w:noWrap/>
            <w:vAlign w:val="center"/>
            <w:hideMark/>
          </w:tcPr>
          <w:p w14:paraId="2E99D479" w14:textId="0E042882"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5E78EAF8"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5FDB01BC" w14:textId="63C1EF78"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30 000 </w:t>
            </w:r>
          </w:p>
        </w:tc>
        <w:tc>
          <w:tcPr>
            <w:tcW w:w="601" w:type="pct"/>
            <w:tcBorders>
              <w:top w:val="single" w:sz="4" w:space="0" w:color="auto"/>
              <w:bottom w:val="single" w:sz="4" w:space="0" w:color="auto"/>
            </w:tcBorders>
            <w:shd w:val="clear" w:color="auto" w:fill="auto"/>
            <w:noWrap/>
            <w:vAlign w:val="center"/>
            <w:hideMark/>
          </w:tcPr>
          <w:p w14:paraId="6FDE7ABC"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78F625F5"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316285FD"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2BBB1307" w14:textId="20FD2C79"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578" w:type="pct"/>
            <w:tcBorders>
              <w:top w:val="single" w:sz="4" w:space="0" w:color="auto"/>
              <w:bottom w:val="single" w:sz="4" w:space="0" w:color="auto"/>
            </w:tcBorders>
            <w:shd w:val="clear" w:color="auto" w:fill="auto"/>
            <w:noWrap/>
            <w:vAlign w:val="center"/>
            <w:hideMark/>
          </w:tcPr>
          <w:p w14:paraId="42D5BE66"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1CF61424" w14:textId="43FEA176"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30 000 </w:t>
            </w:r>
          </w:p>
        </w:tc>
        <w:tc>
          <w:tcPr>
            <w:tcW w:w="601" w:type="pct"/>
            <w:tcBorders>
              <w:top w:val="single" w:sz="4" w:space="0" w:color="auto"/>
              <w:bottom w:val="single" w:sz="4" w:space="0" w:color="auto"/>
            </w:tcBorders>
            <w:shd w:val="clear" w:color="auto" w:fill="auto"/>
            <w:noWrap/>
            <w:vAlign w:val="center"/>
            <w:hideMark/>
          </w:tcPr>
          <w:p w14:paraId="276F6EB0"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2AD6CB85"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61B27E9"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10. </w:t>
            </w:r>
            <w:r w:rsidRPr="00110AE6">
              <w:rPr>
                <w:b/>
                <w:bCs/>
                <w:noProof/>
                <w:sz w:val="17"/>
                <w:szCs w:val="17"/>
                <w:lang w:val="fr-FR"/>
              </w:rPr>
              <w:t>Communication, information et sensibilisation du public</w:t>
            </w:r>
          </w:p>
        </w:tc>
      </w:tr>
      <w:tr w:rsidR="009157FA" w:rsidRPr="00110AE6" w14:paraId="0E1A9B3C" w14:textId="77777777" w:rsidTr="00A722E7">
        <w:trPr>
          <w:trHeight w:val="315"/>
        </w:trPr>
        <w:tc>
          <w:tcPr>
            <w:tcW w:w="127" w:type="pct"/>
            <w:shd w:val="clear" w:color="000000" w:fill="FFFFFF"/>
            <w:noWrap/>
            <w:vAlign w:val="center"/>
            <w:hideMark/>
          </w:tcPr>
          <w:p w14:paraId="0D4A77CC"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7CE295B6"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10.1. Communication, information et sensibilisation du public</w:t>
            </w:r>
          </w:p>
        </w:tc>
        <w:tc>
          <w:tcPr>
            <w:tcW w:w="577" w:type="pct"/>
            <w:tcBorders>
              <w:top w:val="single" w:sz="4" w:space="0" w:color="auto"/>
              <w:bottom w:val="single" w:sz="4" w:space="0" w:color="auto"/>
            </w:tcBorders>
            <w:shd w:val="clear" w:color="auto" w:fill="auto"/>
            <w:noWrap/>
            <w:vAlign w:val="center"/>
            <w:hideMark/>
          </w:tcPr>
          <w:p w14:paraId="1B9667B2" w14:textId="6E4768E4"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578" w:type="pct"/>
            <w:tcBorders>
              <w:top w:val="single" w:sz="4" w:space="0" w:color="auto"/>
              <w:bottom w:val="single" w:sz="4" w:space="0" w:color="auto"/>
            </w:tcBorders>
            <w:shd w:val="clear" w:color="auto" w:fill="auto"/>
            <w:noWrap/>
            <w:vAlign w:val="center"/>
            <w:hideMark/>
          </w:tcPr>
          <w:p w14:paraId="7414E5D0"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60C147B5" w14:textId="5183BFD3"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150 000 </w:t>
            </w:r>
          </w:p>
        </w:tc>
        <w:tc>
          <w:tcPr>
            <w:tcW w:w="601" w:type="pct"/>
            <w:tcBorders>
              <w:top w:val="single" w:sz="4" w:space="0" w:color="auto"/>
              <w:bottom w:val="single" w:sz="4" w:space="0" w:color="auto"/>
            </w:tcBorders>
            <w:shd w:val="clear" w:color="auto" w:fill="auto"/>
            <w:noWrap/>
            <w:vAlign w:val="center"/>
            <w:hideMark/>
          </w:tcPr>
          <w:p w14:paraId="71E8E15D"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53031E29" w14:textId="77777777" w:rsidTr="00A722E7">
        <w:trPr>
          <w:trHeight w:val="375"/>
        </w:trPr>
        <w:tc>
          <w:tcPr>
            <w:tcW w:w="2667" w:type="pct"/>
            <w:gridSpan w:val="2"/>
            <w:tcBorders>
              <w:top w:val="single" w:sz="4" w:space="0" w:color="auto"/>
              <w:bottom w:val="single" w:sz="4" w:space="0" w:color="auto"/>
            </w:tcBorders>
            <w:shd w:val="clear" w:color="000000" w:fill="FFFFFF"/>
            <w:noWrap/>
            <w:vAlign w:val="center"/>
            <w:hideMark/>
          </w:tcPr>
          <w:p w14:paraId="2DC1F662"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0515E02D" w14:textId="2F388D50"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50 000 </w:t>
            </w:r>
          </w:p>
        </w:tc>
        <w:tc>
          <w:tcPr>
            <w:tcW w:w="578" w:type="pct"/>
            <w:tcBorders>
              <w:top w:val="single" w:sz="4" w:space="0" w:color="auto"/>
              <w:bottom w:val="single" w:sz="4" w:space="0" w:color="auto"/>
            </w:tcBorders>
            <w:shd w:val="clear" w:color="auto" w:fill="auto"/>
            <w:noWrap/>
            <w:vAlign w:val="center"/>
            <w:hideMark/>
          </w:tcPr>
          <w:p w14:paraId="3345D845"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19869234" w14:textId="23E41E98"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150 000 </w:t>
            </w:r>
          </w:p>
        </w:tc>
        <w:tc>
          <w:tcPr>
            <w:tcW w:w="601" w:type="pct"/>
            <w:tcBorders>
              <w:top w:val="single" w:sz="4" w:space="0" w:color="auto"/>
              <w:bottom w:val="single" w:sz="4" w:space="0" w:color="auto"/>
            </w:tcBorders>
            <w:shd w:val="clear" w:color="auto" w:fill="auto"/>
            <w:noWrap/>
            <w:vAlign w:val="center"/>
            <w:hideMark/>
          </w:tcPr>
          <w:p w14:paraId="5AA3A523"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14F2C197"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39A8DAB2"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(D)</w:t>
            </w:r>
          </w:p>
        </w:tc>
        <w:tc>
          <w:tcPr>
            <w:tcW w:w="577" w:type="pct"/>
            <w:tcBorders>
              <w:top w:val="single" w:sz="4" w:space="0" w:color="auto"/>
              <w:bottom w:val="single" w:sz="4" w:space="0" w:color="auto"/>
            </w:tcBorders>
            <w:shd w:val="clear" w:color="auto" w:fill="auto"/>
            <w:noWrap/>
            <w:vAlign w:val="center"/>
            <w:hideMark/>
          </w:tcPr>
          <w:p w14:paraId="1DDAA34D" w14:textId="40291CA9"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80 000 </w:t>
            </w:r>
          </w:p>
        </w:tc>
        <w:tc>
          <w:tcPr>
            <w:tcW w:w="578" w:type="pct"/>
            <w:tcBorders>
              <w:top w:val="single" w:sz="4" w:space="0" w:color="auto"/>
              <w:bottom w:val="single" w:sz="4" w:space="0" w:color="auto"/>
            </w:tcBorders>
            <w:shd w:val="clear" w:color="auto" w:fill="auto"/>
            <w:noWrap/>
            <w:vAlign w:val="center"/>
            <w:hideMark/>
          </w:tcPr>
          <w:p w14:paraId="67B78322"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062E981B" w14:textId="05B20A6C" w:rsidR="009157FA" w:rsidRPr="00110AE6" w:rsidRDefault="00D2668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180 000 </w:t>
            </w:r>
          </w:p>
        </w:tc>
        <w:tc>
          <w:tcPr>
            <w:tcW w:w="601" w:type="pct"/>
            <w:tcBorders>
              <w:top w:val="single" w:sz="4" w:space="0" w:color="auto"/>
              <w:bottom w:val="single" w:sz="4" w:space="0" w:color="auto"/>
            </w:tcBorders>
            <w:shd w:val="clear" w:color="auto" w:fill="auto"/>
            <w:noWrap/>
            <w:vAlign w:val="center"/>
            <w:hideMark/>
          </w:tcPr>
          <w:p w14:paraId="448DF4BD"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632C7121"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3FF989E8" w14:textId="104F6310"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E. </w:t>
            </w:r>
            <w:r w:rsidRPr="00110AE6">
              <w:rPr>
                <w:b/>
                <w:bCs/>
                <w:noProof/>
                <w:sz w:val="17"/>
                <w:szCs w:val="17"/>
                <w:lang w:val="fr-FR"/>
              </w:rPr>
              <w:t>Gestion d</w:t>
            </w:r>
            <w:r w:rsidR="00D05492" w:rsidRPr="00110AE6">
              <w:rPr>
                <w:b/>
                <w:bCs/>
                <w:noProof/>
                <w:sz w:val="17"/>
                <w:szCs w:val="17"/>
                <w:lang w:val="fr-FR"/>
              </w:rPr>
              <w:t>’</w:t>
            </w:r>
            <w:r w:rsidRPr="00110AE6">
              <w:rPr>
                <w:b/>
                <w:bCs/>
                <w:noProof/>
                <w:sz w:val="17"/>
                <w:szCs w:val="17"/>
                <w:lang w:val="fr-FR"/>
              </w:rPr>
              <w:t>ensemble</w:t>
            </w:r>
          </w:p>
        </w:tc>
      </w:tr>
      <w:tr w:rsidR="009157FA" w:rsidRPr="00110AE6" w14:paraId="156C9CC5"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3AFCF5C0"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11. </w:t>
            </w:r>
            <w:r w:rsidRPr="00110AE6">
              <w:rPr>
                <w:b/>
                <w:bCs/>
                <w:noProof/>
                <w:sz w:val="17"/>
                <w:szCs w:val="17"/>
                <w:lang w:val="fr-FR"/>
              </w:rPr>
              <w:t>Direction exécutive et administration</w:t>
            </w:r>
          </w:p>
        </w:tc>
      </w:tr>
      <w:tr w:rsidR="009157FA" w:rsidRPr="00110AE6" w14:paraId="1C4CADF7" w14:textId="77777777" w:rsidTr="00A722E7">
        <w:trPr>
          <w:trHeight w:val="315"/>
        </w:trPr>
        <w:tc>
          <w:tcPr>
            <w:tcW w:w="127" w:type="pct"/>
            <w:tcBorders>
              <w:top w:val="single" w:sz="4" w:space="0" w:color="auto"/>
            </w:tcBorders>
            <w:shd w:val="clear" w:color="000000" w:fill="FFFFFF"/>
            <w:noWrap/>
            <w:hideMark/>
          </w:tcPr>
          <w:p w14:paraId="02C6F921"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tcBorders>
            <w:shd w:val="clear" w:color="000000" w:fill="FFFFFF"/>
            <w:noWrap/>
            <w:vAlign w:val="center"/>
            <w:hideMark/>
          </w:tcPr>
          <w:p w14:paraId="26500603" w14:textId="77537A6B"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11.1. Gestion d</w:t>
            </w:r>
            <w:r w:rsidR="00D05492" w:rsidRPr="00110AE6">
              <w:rPr>
                <w:noProof/>
                <w:sz w:val="17"/>
                <w:szCs w:val="17"/>
                <w:lang w:val="fr-FR"/>
              </w:rPr>
              <w:t>’</w:t>
            </w:r>
            <w:r w:rsidRPr="00110AE6">
              <w:rPr>
                <w:noProof/>
                <w:sz w:val="17"/>
                <w:szCs w:val="17"/>
                <w:lang w:val="fr-FR"/>
              </w:rPr>
              <w:t>ensemble</w:t>
            </w:r>
          </w:p>
        </w:tc>
        <w:tc>
          <w:tcPr>
            <w:tcW w:w="577" w:type="pct"/>
            <w:tcBorders>
              <w:top w:val="single" w:sz="4" w:space="0" w:color="auto"/>
            </w:tcBorders>
            <w:shd w:val="clear" w:color="auto" w:fill="auto"/>
            <w:noWrap/>
            <w:vAlign w:val="center"/>
            <w:hideMark/>
          </w:tcPr>
          <w:p w14:paraId="67035C35" w14:textId="70DC2540"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1 930 950 </w:t>
            </w:r>
          </w:p>
        </w:tc>
        <w:tc>
          <w:tcPr>
            <w:tcW w:w="578" w:type="pct"/>
            <w:tcBorders>
              <w:top w:val="single" w:sz="4" w:space="0" w:color="auto"/>
            </w:tcBorders>
            <w:shd w:val="clear" w:color="auto" w:fill="auto"/>
            <w:noWrap/>
            <w:vAlign w:val="center"/>
            <w:hideMark/>
          </w:tcPr>
          <w:p w14:paraId="06F55A2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tcBorders>
            <w:shd w:val="clear" w:color="auto" w:fill="auto"/>
            <w:noWrap/>
            <w:vAlign w:val="center"/>
            <w:hideMark/>
          </w:tcPr>
          <w:p w14:paraId="0D90A8DF" w14:textId="7244D0F5"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1 930 950 </w:t>
            </w:r>
          </w:p>
        </w:tc>
        <w:tc>
          <w:tcPr>
            <w:tcW w:w="601" w:type="pct"/>
            <w:tcBorders>
              <w:top w:val="single" w:sz="4" w:space="0" w:color="auto"/>
            </w:tcBorders>
            <w:shd w:val="clear" w:color="auto" w:fill="auto"/>
            <w:noWrap/>
            <w:vAlign w:val="center"/>
            <w:hideMark/>
          </w:tcPr>
          <w:p w14:paraId="01AB1B8D"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55495E92" w14:textId="77777777" w:rsidTr="00A722E7">
        <w:trPr>
          <w:trHeight w:val="315"/>
        </w:trPr>
        <w:tc>
          <w:tcPr>
            <w:tcW w:w="127" w:type="pct"/>
            <w:tcBorders>
              <w:bottom w:val="single" w:sz="4" w:space="0" w:color="auto"/>
            </w:tcBorders>
            <w:shd w:val="clear" w:color="000000" w:fill="FFFFFF"/>
            <w:noWrap/>
            <w:hideMark/>
          </w:tcPr>
          <w:p w14:paraId="44BAA9FC"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bottom w:val="single" w:sz="4" w:space="0" w:color="auto"/>
            </w:tcBorders>
            <w:shd w:val="clear" w:color="000000" w:fill="FFFFFF"/>
            <w:noWrap/>
            <w:vAlign w:val="center"/>
            <w:hideMark/>
          </w:tcPr>
          <w:p w14:paraId="4817FD71"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11.2. Frais de voyage des fonctionnaires</w:t>
            </w:r>
          </w:p>
        </w:tc>
        <w:tc>
          <w:tcPr>
            <w:tcW w:w="577" w:type="pct"/>
            <w:tcBorders>
              <w:bottom w:val="single" w:sz="4" w:space="0" w:color="auto"/>
            </w:tcBorders>
            <w:shd w:val="clear" w:color="auto" w:fill="auto"/>
            <w:noWrap/>
            <w:vAlign w:val="center"/>
            <w:hideMark/>
          </w:tcPr>
          <w:p w14:paraId="5B62AA2C" w14:textId="29DD5C7B"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150 000 </w:t>
            </w:r>
          </w:p>
        </w:tc>
        <w:tc>
          <w:tcPr>
            <w:tcW w:w="578" w:type="pct"/>
            <w:tcBorders>
              <w:bottom w:val="single" w:sz="4" w:space="0" w:color="auto"/>
            </w:tcBorders>
            <w:shd w:val="clear" w:color="auto" w:fill="auto"/>
            <w:noWrap/>
            <w:vAlign w:val="center"/>
            <w:hideMark/>
          </w:tcPr>
          <w:p w14:paraId="732736D1"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bottom w:val="single" w:sz="4" w:space="0" w:color="auto"/>
            </w:tcBorders>
            <w:shd w:val="clear" w:color="auto" w:fill="auto"/>
            <w:noWrap/>
            <w:vAlign w:val="center"/>
            <w:hideMark/>
          </w:tcPr>
          <w:p w14:paraId="426EF227" w14:textId="6F7E14A9"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150 000 </w:t>
            </w:r>
          </w:p>
        </w:tc>
        <w:tc>
          <w:tcPr>
            <w:tcW w:w="601" w:type="pct"/>
            <w:tcBorders>
              <w:bottom w:val="single" w:sz="4" w:space="0" w:color="auto"/>
            </w:tcBorders>
            <w:shd w:val="clear" w:color="auto" w:fill="auto"/>
            <w:noWrap/>
            <w:vAlign w:val="center"/>
            <w:hideMark/>
          </w:tcPr>
          <w:p w14:paraId="354C9052"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72D03790"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7ABDFD7F"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65B2F801" w14:textId="217FE7AB"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2 080 950 </w:t>
            </w:r>
          </w:p>
        </w:tc>
        <w:tc>
          <w:tcPr>
            <w:tcW w:w="578" w:type="pct"/>
            <w:tcBorders>
              <w:top w:val="single" w:sz="4" w:space="0" w:color="auto"/>
              <w:bottom w:val="single" w:sz="4" w:space="0" w:color="auto"/>
            </w:tcBorders>
            <w:shd w:val="clear" w:color="auto" w:fill="auto"/>
            <w:noWrap/>
            <w:vAlign w:val="center"/>
            <w:hideMark/>
          </w:tcPr>
          <w:p w14:paraId="1DE13CC5"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64E51573" w14:textId="6CB62653"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2 080 950 </w:t>
            </w:r>
          </w:p>
        </w:tc>
        <w:tc>
          <w:tcPr>
            <w:tcW w:w="601" w:type="pct"/>
            <w:tcBorders>
              <w:top w:val="single" w:sz="4" w:space="0" w:color="auto"/>
              <w:bottom w:val="single" w:sz="4" w:space="0" w:color="auto"/>
            </w:tcBorders>
            <w:shd w:val="clear" w:color="auto" w:fill="auto"/>
            <w:noWrap/>
            <w:vAlign w:val="center"/>
            <w:hideMark/>
          </w:tcPr>
          <w:p w14:paraId="4374CC58"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7ECD178F"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38F08939"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12. </w:t>
            </w:r>
            <w:r w:rsidRPr="00110AE6">
              <w:rPr>
                <w:b/>
                <w:bCs/>
                <w:noProof/>
                <w:sz w:val="17"/>
                <w:szCs w:val="17"/>
                <w:lang w:val="fr-FR"/>
              </w:rPr>
              <w:t>Coopération et coordination au niveau international</w:t>
            </w:r>
          </w:p>
        </w:tc>
      </w:tr>
      <w:tr w:rsidR="009157FA" w:rsidRPr="00110AE6" w14:paraId="74B13228" w14:textId="77777777" w:rsidTr="00A722E7">
        <w:trPr>
          <w:trHeight w:val="465"/>
        </w:trPr>
        <w:tc>
          <w:tcPr>
            <w:tcW w:w="127" w:type="pct"/>
            <w:tcBorders>
              <w:top w:val="single" w:sz="4" w:space="0" w:color="auto"/>
            </w:tcBorders>
            <w:shd w:val="clear" w:color="000000" w:fill="FFFFFF"/>
            <w:noWrap/>
            <w:hideMark/>
          </w:tcPr>
          <w:p w14:paraId="1D0DD092"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tcBorders>
            <w:shd w:val="clear" w:color="000000" w:fill="FFFFFF"/>
            <w:vAlign w:val="center"/>
            <w:hideMark/>
          </w:tcPr>
          <w:p w14:paraId="36074230" w14:textId="1B525C71"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12.1. Coopération concernant le programme en matière de développement durable et d</w:t>
            </w:r>
            <w:r w:rsidR="00D05492" w:rsidRPr="00110AE6">
              <w:rPr>
                <w:noProof/>
                <w:sz w:val="17"/>
                <w:szCs w:val="17"/>
                <w:lang w:val="fr-FR"/>
              </w:rPr>
              <w:t>’</w:t>
            </w:r>
            <w:r w:rsidRPr="00110AE6">
              <w:rPr>
                <w:noProof/>
                <w:sz w:val="17"/>
                <w:szCs w:val="17"/>
                <w:lang w:val="fr-FR"/>
              </w:rPr>
              <w:t>environnement dans son ensemble</w:t>
            </w:r>
          </w:p>
        </w:tc>
        <w:tc>
          <w:tcPr>
            <w:tcW w:w="577" w:type="pct"/>
            <w:tcBorders>
              <w:top w:val="single" w:sz="4" w:space="0" w:color="auto"/>
            </w:tcBorders>
            <w:shd w:val="clear" w:color="auto" w:fill="auto"/>
            <w:noWrap/>
            <w:vAlign w:val="center"/>
            <w:hideMark/>
          </w:tcPr>
          <w:p w14:paraId="4F82FA6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tcBorders>
            <w:shd w:val="clear" w:color="auto" w:fill="auto"/>
            <w:noWrap/>
            <w:vAlign w:val="center"/>
            <w:hideMark/>
          </w:tcPr>
          <w:p w14:paraId="6ECD7937"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tcBorders>
            <w:shd w:val="clear" w:color="auto" w:fill="auto"/>
            <w:noWrap/>
            <w:vAlign w:val="center"/>
            <w:hideMark/>
          </w:tcPr>
          <w:p w14:paraId="5BB0227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tcBorders>
            <w:shd w:val="clear" w:color="auto" w:fill="auto"/>
            <w:noWrap/>
            <w:vAlign w:val="center"/>
            <w:hideMark/>
          </w:tcPr>
          <w:p w14:paraId="0F276097"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2ABF5F97" w14:textId="77777777" w:rsidTr="00A722E7">
        <w:trPr>
          <w:trHeight w:val="465"/>
        </w:trPr>
        <w:tc>
          <w:tcPr>
            <w:tcW w:w="127" w:type="pct"/>
            <w:shd w:val="clear" w:color="000000" w:fill="FFFFFF"/>
            <w:noWrap/>
            <w:hideMark/>
          </w:tcPr>
          <w:p w14:paraId="4CDE164D"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shd w:val="clear" w:color="000000" w:fill="FFFFFF"/>
            <w:vAlign w:val="center"/>
            <w:hideMark/>
          </w:tcPr>
          <w:p w14:paraId="7F0A65DB"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12.2. Coopération au sein du groupe des produits chimiques et des déchets</w:t>
            </w:r>
          </w:p>
        </w:tc>
        <w:tc>
          <w:tcPr>
            <w:tcW w:w="577" w:type="pct"/>
            <w:shd w:val="clear" w:color="auto" w:fill="auto"/>
            <w:noWrap/>
            <w:vAlign w:val="center"/>
            <w:hideMark/>
          </w:tcPr>
          <w:p w14:paraId="4CF27340"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shd w:val="clear" w:color="auto" w:fill="auto"/>
            <w:noWrap/>
            <w:vAlign w:val="center"/>
            <w:hideMark/>
          </w:tcPr>
          <w:p w14:paraId="0C3C3F4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shd w:val="clear" w:color="auto" w:fill="auto"/>
            <w:noWrap/>
            <w:vAlign w:val="center"/>
            <w:hideMark/>
          </w:tcPr>
          <w:p w14:paraId="7E548F9C"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shd w:val="clear" w:color="auto" w:fill="auto"/>
            <w:noWrap/>
            <w:vAlign w:val="center"/>
            <w:hideMark/>
          </w:tcPr>
          <w:p w14:paraId="0D164771"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3C6C3914" w14:textId="77777777" w:rsidTr="00A722E7">
        <w:trPr>
          <w:trHeight w:val="315"/>
        </w:trPr>
        <w:tc>
          <w:tcPr>
            <w:tcW w:w="127" w:type="pct"/>
            <w:tcBorders>
              <w:bottom w:val="single" w:sz="4" w:space="0" w:color="auto"/>
            </w:tcBorders>
            <w:shd w:val="clear" w:color="000000" w:fill="FFFFFF"/>
            <w:noWrap/>
            <w:hideMark/>
          </w:tcPr>
          <w:p w14:paraId="0AC2FDC6"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bottom w:val="single" w:sz="4" w:space="0" w:color="auto"/>
            </w:tcBorders>
            <w:shd w:val="clear" w:color="000000" w:fill="FFFFFF"/>
            <w:vAlign w:val="center"/>
            <w:hideMark/>
          </w:tcPr>
          <w:p w14:paraId="758E4734"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12.3. Autres activités de coopération et coordination</w:t>
            </w:r>
          </w:p>
        </w:tc>
        <w:tc>
          <w:tcPr>
            <w:tcW w:w="577" w:type="pct"/>
            <w:tcBorders>
              <w:bottom w:val="single" w:sz="4" w:space="0" w:color="auto"/>
            </w:tcBorders>
            <w:shd w:val="clear" w:color="auto" w:fill="auto"/>
            <w:noWrap/>
            <w:vAlign w:val="center"/>
            <w:hideMark/>
          </w:tcPr>
          <w:p w14:paraId="6E4E9185"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bottom w:val="single" w:sz="4" w:space="0" w:color="auto"/>
            </w:tcBorders>
            <w:shd w:val="clear" w:color="auto" w:fill="auto"/>
            <w:noWrap/>
            <w:vAlign w:val="center"/>
            <w:hideMark/>
          </w:tcPr>
          <w:p w14:paraId="5731906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bottom w:val="single" w:sz="4" w:space="0" w:color="auto"/>
            </w:tcBorders>
            <w:shd w:val="clear" w:color="auto" w:fill="auto"/>
            <w:noWrap/>
            <w:vAlign w:val="center"/>
            <w:hideMark/>
          </w:tcPr>
          <w:p w14:paraId="237EA235"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bottom w:val="single" w:sz="4" w:space="0" w:color="auto"/>
            </w:tcBorders>
            <w:shd w:val="clear" w:color="auto" w:fill="auto"/>
            <w:noWrap/>
            <w:vAlign w:val="center"/>
            <w:hideMark/>
          </w:tcPr>
          <w:p w14:paraId="4C21815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026FEC0F"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1ED696E0"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Total partiel </w:t>
            </w:r>
          </w:p>
        </w:tc>
        <w:tc>
          <w:tcPr>
            <w:tcW w:w="577" w:type="pct"/>
            <w:tcBorders>
              <w:top w:val="single" w:sz="4" w:space="0" w:color="auto"/>
              <w:bottom w:val="single" w:sz="4" w:space="0" w:color="auto"/>
            </w:tcBorders>
            <w:shd w:val="clear" w:color="auto" w:fill="auto"/>
            <w:noWrap/>
            <w:vAlign w:val="center"/>
            <w:hideMark/>
          </w:tcPr>
          <w:p w14:paraId="2966C45A"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66877447"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7584C1D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bottom w:val="single" w:sz="4" w:space="0" w:color="auto"/>
            </w:tcBorders>
            <w:shd w:val="clear" w:color="auto" w:fill="auto"/>
            <w:noWrap/>
            <w:vAlign w:val="center"/>
            <w:hideMark/>
          </w:tcPr>
          <w:p w14:paraId="010D9DE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460E3E1F"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ABFAAF5"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13. </w:t>
            </w:r>
            <w:r w:rsidRPr="00110AE6">
              <w:rPr>
                <w:b/>
                <w:bCs/>
                <w:noProof/>
                <w:sz w:val="17"/>
                <w:szCs w:val="17"/>
                <w:lang w:val="fr-FR"/>
              </w:rPr>
              <w:t>Ressources financières et mécanisme de financement</w:t>
            </w:r>
            <w:r w:rsidRPr="00110AE6">
              <w:rPr>
                <w:b/>
                <w:noProof/>
                <w:sz w:val="17"/>
                <w:szCs w:val="17"/>
                <w:lang w:val="fr-FR"/>
              </w:rPr>
              <w:t xml:space="preserve"> </w:t>
            </w:r>
          </w:p>
        </w:tc>
      </w:tr>
      <w:tr w:rsidR="009157FA" w:rsidRPr="00110AE6" w14:paraId="40900DEC" w14:textId="77777777" w:rsidTr="00A722E7">
        <w:trPr>
          <w:trHeight w:val="315"/>
        </w:trPr>
        <w:tc>
          <w:tcPr>
            <w:tcW w:w="127" w:type="pct"/>
            <w:tcBorders>
              <w:top w:val="single" w:sz="4" w:space="0" w:color="auto"/>
            </w:tcBorders>
            <w:shd w:val="clear" w:color="000000" w:fill="FFFFFF"/>
            <w:noWrap/>
            <w:hideMark/>
          </w:tcPr>
          <w:p w14:paraId="2B7216E6"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tcBorders>
            <w:shd w:val="clear" w:color="000000" w:fill="FFFFFF"/>
            <w:noWrap/>
            <w:vAlign w:val="center"/>
            <w:hideMark/>
          </w:tcPr>
          <w:p w14:paraId="52E53970"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13.1. Mécanisme de financement</w:t>
            </w:r>
          </w:p>
        </w:tc>
        <w:tc>
          <w:tcPr>
            <w:tcW w:w="577" w:type="pct"/>
            <w:tcBorders>
              <w:top w:val="single" w:sz="4" w:space="0" w:color="auto"/>
            </w:tcBorders>
            <w:shd w:val="clear" w:color="auto" w:fill="auto"/>
            <w:noWrap/>
            <w:vAlign w:val="center"/>
            <w:hideMark/>
          </w:tcPr>
          <w:p w14:paraId="3ED96D42"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tcBorders>
            <w:shd w:val="clear" w:color="auto" w:fill="auto"/>
            <w:noWrap/>
            <w:vAlign w:val="center"/>
            <w:hideMark/>
          </w:tcPr>
          <w:p w14:paraId="36414236"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tcBorders>
            <w:shd w:val="clear" w:color="auto" w:fill="auto"/>
            <w:noWrap/>
            <w:vAlign w:val="center"/>
            <w:hideMark/>
          </w:tcPr>
          <w:p w14:paraId="0095E52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tcBorders>
            <w:shd w:val="clear" w:color="auto" w:fill="auto"/>
            <w:noWrap/>
            <w:vAlign w:val="center"/>
            <w:hideMark/>
          </w:tcPr>
          <w:p w14:paraId="1185440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2FC771DE" w14:textId="77777777" w:rsidTr="00A722E7">
        <w:trPr>
          <w:trHeight w:val="315"/>
        </w:trPr>
        <w:tc>
          <w:tcPr>
            <w:tcW w:w="127" w:type="pct"/>
            <w:tcBorders>
              <w:bottom w:val="single" w:sz="4" w:space="0" w:color="auto"/>
            </w:tcBorders>
            <w:shd w:val="clear" w:color="000000" w:fill="FFFFFF"/>
            <w:noWrap/>
            <w:hideMark/>
          </w:tcPr>
          <w:p w14:paraId="7172F75A"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bottom w:val="single" w:sz="4" w:space="0" w:color="auto"/>
            </w:tcBorders>
            <w:shd w:val="clear" w:color="000000" w:fill="FFFFFF"/>
            <w:noWrap/>
            <w:vAlign w:val="center"/>
            <w:hideMark/>
          </w:tcPr>
          <w:p w14:paraId="62882D55"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13.2. Ressources financières</w:t>
            </w:r>
          </w:p>
        </w:tc>
        <w:tc>
          <w:tcPr>
            <w:tcW w:w="577" w:type="pct"/>
            <w:tcBorders>
              <w:bottom w:val="single" w:sz="4" w:space="0" w:color="auto"/>
            </w:tcBorders>
            <w:shd w:val="clear" w:color="auto" w:fill="auto"/>
            <w:noWrap/>
            <w:vAlign w:val="center"/>
            <w:hideMark/>
          </w:tcPr>
          <w:p w14:paraId="1D3FF69D"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bottom w:val="single" w:sz="4" w:space="0" w:color="auto"/>
            </w:tcBorders>
            <w:shd w:val="clear" w:color="auto" w:fill="auto"/>
            <w:noWrap/>
            <w:vAlign w:val="center"/>
            <w:hideMark/>
          </w:tcPr>
          <w:p w14:paraId="39E4AB9E"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bottom w:val="single" w:sz="4" w:space="0" w:color="auto"/>
            </w:tcBorders>
            <w:shd w:val="clear" w:color="auto" w:fill="auto"/>
            <w:noWrap/>
            <w:vAlign w:val="center"/>
            <w:hideMark/>
          </w:tcPr>
          <w:p w14:paraId="1498AA4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bottom w:val="single" w:sz="4" w:space="0" w:color="auto"/>
            </w:tcBorders>
            <w:shd w:val="clear" w:color="auto" w:fill="auto"/>
            <w:noWrap/>
            <w:vAlign w:val="center"/>
            <w:hideMark/>
          </w:tcPr>
          <w:p w14:paraId="3FC97CD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001C41E0"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11680DBE"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5FE3FF6C"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48CAC46D"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25DE5C8C"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601" w:type="pct"/>
            <w:tcBorders>
              <w:top w:val="single" w:sz="4" w:space="0" w:color="auto"/>
              <w:bottom w:val="single" w:sz="4" w:space="0" w:color="auto"/>
            </w:tcBorders>
            <w:shd w:val="clear" w:color="auto" w:fill="auto"/>
            <w:noWrap/>
            <w:vAlign w:val="center"/>
            <w:hideMark/>
          </w:tcPr>
          <w:p w14:paraId="5E911D41"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3C975F65"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5717DA22"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(E)</w:t>
            </w:r>
          </w:p>
        </w:tc>
        <w:tc>
          <w:tcPr>
            <w:tcW w:w="577" w:type="pct"/>
            <w:tcBorders>
              <w:top w:val="single" w:sz="4" w:space="0" w:color="auto"/>
              <w:bottom w:val="single" w:sz="4" w:space="0" w:color="auto"/>
            </w:tcBorders>
            <w:shd w:val="clear" w:color="auto" w:fill="auto"/>
            <w:noWrap/>
            <w:vAlign w:val="center"/>
            <w:hideMark/>
          </w:tcPr>
          <w:p w14:paraId="49182730" w14:textId="4E57E27F" w:rsidR="009157FA" w:rsidRPr="00110AE6" w:rsidRDefault="006B031C"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2 080 950 </w:t>
            </w:r>
          </w:p>
        </w:tc>
        <w:tc>
          <w:tcPr>
            <w:tcW w:w="578" w:type="pct"/>
            <w:tcBorders>
              <w:top w:val="single" w:sz="4" w:space="0" w:color="auto"/>
              <w:bottom w:val="single" w:sz="4" w:space="0" w:color="auto"/>
            </w:tcBorders>
            <w:shd w:val="clear" w:color="auto" w:fill="auto"/>
            <w:noWrap/>
            <w:vAlign w:val="center"/>
            <w:hideMark/>
          </w:tcPr>
          <w:p w14:paraId="3EA446B0"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3F389725" w14:textId="1C4A2195"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2 080 950 </w:t>
            </w:r>
          </w:p>
        </w:tc>
        <w:tc>
          <w:tcPr>
            <w:tcW w:w="601" w:type="pct"/>
            <w:tcBorders>
              <w:top w:val="single" w:sz="4" w:space="0" w:color="auto"/>
              <w:bottom w:val="single" w:sz="4" w:space="0" w:color="auto"/>
            </w:tcBorders>
            <w:shd w:val="clear" w:color="auto" w:fill="auto"/>
            <w:noWrap/>
            <w:vAlign w:val="center"/>
            <w:hideMark/>
          </w:tcPr>
          <w:p w14:paraId="790B2BAC"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4DFE751E"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6336D8D"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F. </w:t>
            </w:r>
            <w:r w:rsidRPr="00110AE6">
              <w:rPr>
                <w:b/>
                <w:bCs/>
                <w:noProof/>
                <w:sz w:val="17"/>
                <w:szCs w:val="17"/>
                <w:lang w:val="fr-FR"/>
              </w:rPr>
              <w:t>Activités juridiques et de politique générale</w:t>
            </w:r>
          </w:p>
        </w:tc>
      </w:tr>
      <w:tr w:rsidR="009157FA" w:rsidRPr="00110AE6" w14:paraId="665DC897"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35DFD0E6"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14. Activités juridiques et de politique générale </w:t>
            </w:r>
          </w:p>
        </w:tc>
      </w:tr>
      <w:tr w:rsidR="009157FA" w:rsidRPr="00110AE6" w14:paraId="0A6D4026" w14:textId="77777777" w:rsidTr="00A722E7">
        <w:trPr>
          <w:trHeight w:val="315"/>
        </w:trPr>
        <w:tc>
          <w:tcPr>
            <w:tcW w:w="127" w:type="pct"/>
            <w:tcBorders>
              <w:top w:val="single" w:sz="4" w:space="0" w:color="auto"/>
              <w:bottom w:val="single" w:sz="4" w:space="0" w:color="auto"/>
            </w:tcBorders>
            <w:shd w:val="clear" w:color="000000" w:fill="FFFFFF"/>
            <w:noWrap/>
            <w:vAlign w:val="center"/>
            <w:hideMark/>
          </w:tcPr>
          <w:p w14:paraId="36E53C2C"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eastAsia="zh-CN"/>
              </w:rPr>
            </w:pPr>
            <w:r w:rsidRPr="00110AE6">
              <w:rPr>
                <w:noProof/>
                <w:color w:val="000000"/>
                <w:sz w:val="17"/>
                <w:szCs w:val="17"/>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13422C5E"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 xml:space="preserve">14.1. Activités juridiques et de politique générale </w:t>
            </w:r>
          </w:p>
        </w:tc>
        <w:tc>
          <w:tcPr>
            <w:tcW w:w="577" w:type="pct"/>
            <w:tcBorders>
              <w:top w:val="single" w:sz="4" w:space="0" w:color="auto"/>
              <w:bottom w:val="single" w:sz="4" w:space="0" w:color="auto"/>
            </w:tcBorders>
            <w:shd w:val="clear" w:color="auto" w:fill="auto"/>
            <w:noWrap/>
            <w:vAlign w:val="center"/>
            <w:hideMark/>
          </w:tcPr>
          <w:p w14:paraId="6CACD774"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3DD27E05"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4F39497A" w14:textId="131519E5" w:rsidR="009157FA" w:rsidRPr="00110AE6" w:rsidRDefault="00D84995"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150 000 </w:t>
            </w:r>
          </w:p>
        </w:tc>
        <w:tc>
          <w:tcPr>
            <w:tcW w:w="601" w:type="pct"/>
            <w:tcBorders>
              <w:top w:val="single" w:sz="4" w:space="0" w:color="auto"/>
              <w:bottom w:val="single" w:sz="4" w:space="0" w:color="auto"/>
            </w:tcBorders>
            <w:shd w:val="clear" w:color="auto" w:fill="auto"/>
            <w:noWrap/>
            <w:vAlign w:val="center"/>
            <w:hideMark/>
          </w:tcPr>
          <w:p w14:paraId="63C4A7FB"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17D3F8ED"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1C429DDD"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(F)</w:t>
            </w:r>
          </w:p>
        </w:tc>
        <w:tc>
          <w:tcPr>
            <w:tcW w:w="577" w:type="pct"/>
            <w:tcBorders>
              <w:top w:val="single" w:sz="4" w:space="0" w:color="auto"/>
              <w:bottom w:val="single" w:sz="4" w:space="0" w:color="auto"/>
            </w:tcBorders>
            <w:shd w:val="clear" w:color="auto" w:fill="auto"/>
            <w:noWrap/>
            <w:vAlign w:val="center"/>
            <w:hideMark/>
          </w:tcPr>
          <w:p w14:paraId="42AEF9A2"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8" w:type="pct"/>
            <w:tcBorders>
              <w:top w:val="single" w:sz="4" w:space="0" w:color="auto"/>
              <w:bottom w:val="single" w:sz="4" w:space="0" w:color="auto"/>
            </w:tcBorders>
            <w:shd w:val="clear" w:color="auto" w:fill="auto"/>
            <w:noWrap/>
            <w:vAlign w:val="center"/>
            <w:hideMark/>
          </w:tcPr>
          <w:p w14:paraId="4DAB873B"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486FB1EF" w14:textId="0C6D045C" w:rsidR="009157FA" w:rsidRPr="00110AE6" w:rsidRDefault="00D84995"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150 000 </w:t>
            </w:r>
          </w:p>
        </w:tc>
        <w:tc>
          <w:tcPr>
            <w:tcW w:w="601" w:type="pct"/>
            <w:tcBorders>
              <w:top w:val="single" w:sz="4" w:space="0" w:color="auto"/>
              <w:bottom w:val="single" w:sz="4" w:space="0" w:color="auto"/>
            </w:tcBorders>
            <w:shd w:val="clear" w:color="auto" w:fill="auto"/>
            <w:noWrap/>
            <w:vAlign w:val="center"/>
            <w:hideMark/>
          </w:tcPr>
          <w:p w14:paraId="0009ECF4"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61592294"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3A015CFD"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G. </w:t>
            </w:r>
            <w:r w:rsidRPr="00110AE6">
              <w:rPr>
                <w:b/>
                <w:bCs/>
                <w:noProof/>
                <w:sz w:val="17"/>
                <w:szCs w:val="17"/>
                <w:lang w:val="fr-FR"/>
              </w:rPr>
              <w:t>Entretien des locaux et services</w:t>
            </w:r>
          </w:p>
        </w:tc>
      </w:tr>
      <w:tr w:rsidR="009157FA" w:rsidRPr="00110AE6" w14:paraId="4883E05F" w14:textId="77777777" w:rsidTr="00A722E7">
        <w:trPr>
          <w:trHeight w:val="315"/>
        </w:trPr>
        <w:tc>
          <w:tcPr>
            <w:tcW w:w="5000" w:type="pct"/>
            <w:gridSpan w:val="6"/>
            <w:tcBorders>
              <w:top w:val="single" w:sz="4" w:space="0" w:color="auto"/>
            </w:tcBorders>
            <w:shd w:val="clear" w:color="auto" w:fill="auto"/>
            <w:noWrap/>
            <w:vAlign w:val="center"/>
            <w:hideMark/>
          </w:tcPr>
          <w:p w14:paraId="33907922"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15. </w:t>
            </w:r>
            <w:r w:rsidRPr="00110AE6">
              <w:rPr>
                <w:b/>
                <w:bCs/>
                <w:noProof/>
                <w:sz w:val="17"/>
                <w:szCs w:val="17"/>
                <w:lang w:val="fr-FR"/>
              </w:rPr>
              <w:t>Entretien des locaux et services</w:t>
            </w:r>
          </w:p>
        </w:tc>
      </w:tr>
      <w:tr w:rsidR="009157FA" w:rsidRPr="00110AE6" w14:paraId="4407CB6C" w14:textId="77777777" w:rsidTr="00A722E7">
        <w:trPr>
          <w:trHeight w:val="315"/>
        </w:trPr>
        <w:tc>
          <w:tcPr>
            <w:tcW w:w="127" w:type="pct"/>
            <w:tcBorders>
              <w:bottom w:val="single" w:sz="4" w:space="0" w:color="auto"/>
            </w:tcBorders>
            <w:shd w:val="clear" w:color="000000" w:fill="FFFFFF"/>
            <w:noWrap/>
            <w:hideMark/>
          </w:tcPr>
          <w:p w14:paraId="0643803F"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bottom w:val="single" w:sz="4" w:space="0" w:color="auto"/>
            </w:tcBorders>
            <w:shd w:val="clear" w:color="000000" w:fill="FFFFFF"/>
            <w:noWrap/>
            <w:vAlign w:val="center"/>
            <w:hideMark/>
          </w:tcPr>
          <w:p w14:paraId="669B9B4B"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15.1. Entretien des locaux et services</w:t>
            </w:r>
          </w:p>
        </w:tc>
        <w:tc>
          <w:tcPr>
            <w:tcW w:w="577" w:type="pct"/>
            <w:tcBorders>
              <w:bottom w:val="single" w:sz="4" w:space="0" w:color="auto"/>
            </w:tcBorders>
            <w:shd w:val="clear" w:color="auto" w:fill="auto"/>
            <w:noWrap/>
            <w:vAlign w:val="center"/>
            <w:hideMark/>
          </w:tcPr>
          <w:p w14:paraId="7AA1851A" w14:textId="6C9247F1"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160 000 </w:t>
            </w:r>
          </w:p>
        </w:tc>
        <w:tc>
          <w:tcPr>
            <w:tcW w:w="578" w:type="pct"/>
            <w:tcBorders>
              <w:bottom w:val="single" w:sz="4" w:space="0" w:color="auto"/>
            </w:tcBorders>
            <w:shd w:val="clear" w:color="auto" w:fill="auto"/>
            <w:noWrap/>
            <w:vAlign w:val="center"/>
            <w:hideMark/>
          </w:tcPr>
          <w:p w14:paraId="217C3620"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bottom w:val="single" w:sz="4" w:space="0" w:color="auto"/>
            </w:tcBorders>
            <w:shd w:val="clear" w:color="auto" w:fill="auto"/>
            <w:noWrap/>
            <w:vAlign w:val="center"/>
            <w:hideMark/>
          </w:tcPr>
          <w:p w14:paraId="353530E2" w14:textId="08F5FC0A"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160 000 </w:t>
            </w:r>
          </w:p>
        </w:tc>
        <w:tc>
          <w:tcPr>
            <w:tcW w:w="601" w:type="pct"/>
            <w:tcBorders>
              <w:bottom w:val="single" w:sz="4" w:space="0" w:color="auto"/>
            </w:tcBorders>
            <w:shd w:val="clear" w:color="auto" w:fill="auto"/>
            <w:noWrap/>
            <w:vAlign w:val="center"/>
            <w:hideMark/>
          </w:tcPr>
          <w:p w14:paraId="54A11DF9"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1C234C9C"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7A13D2A3"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6584A056" w14:textId="0ACAF57A"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160 000 </w:t>
            </w:r>
          </w:p>
        </w:tc>
        <w:tc>
          <w:tcPr>
            <w:tcW w:w="578" w:type="pct"/>
            <w:tcBorders>
              <w:top w:val="single" w:sz="4" w:space="0" w:color="auto"/>
              <w:bottom w:val="single" w:sz="4" w:space="0" w:color="auto"/>
            </w:tcBorders>
            <w:shd w:val="clear" w:color="auto" w:fill="auto"/>
            <w:noWrap/>
            <w:vAlign w:val="center"/>
            <w:hideMark/>
          </w:tcPr>
          <w:p w14:paraId="2C07FD74"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4993086F" w14:textId="1E4620E5"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160 000 </w:t>
            </w:r>
          </w:p>
        </w:tc>
        <w:tc>
          <w:tcPr>
            <w:tcW w:w="601" w:type="pct"/>
            <w:tcBorders>
              <w:top w:val="single" w:sz="4" w:space="0" w:color="auto"/>
              <w:bottom w:val="single" w:sz="4" w:space="0" w:color="auto"/>
            </w:tcBorders>
            <w:shd w:val="clear" w:color="auto" w:fill="auto"/>
            <w:noWrap/>
            <w:vAlign w:val="center"/>
            <w:hideMark/>
          </w:tcPr>
          <w:p w14:paraId="28B75421"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2CD5F508"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13EAF40"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noProof/>
                <w:sz w:val="17"/>
                <w:szCs w:val="17"/>
                <w:lang w:val="fr-FR"/>
              </w:rPr>
              <w:t xml:space="preserve">16. </w:t>
            </w:r>
            <w:r w:rsidRPr="00110AE6">
              <w:rPr>
                <w:b/>
                <w:bCs/>
                <w:noProof/>
                <w:sz w:val="17"/>
                <w:szCs w:val="17"/>
                <w:lang w:val="fr-FR"/>
              </w:rPr>
              <w:t>Services informatiques</w:t>
            </w:r>
          </w:p>
        </w:tc>
      </w:tr>
      <w:tr w:rsidR="009157FA" w:rsidRPr="00110AE6" w14:paraId="613F26F3" w14:textId="77777777" w:rsidTr="00A722E7">
        <w:trPr>
          <w:trHeight w:val="315"/>
        </w:trPr>
        <w:tc>
          <w:tcPr>
            <w:tcW w:w="127" w:type="pct"/>
            <w:tcBorders>
              <w:top w:val="single" w:sz="4" w:space="0" w:color="auto"/>
              <w:bottom w:val="single" w:sz="4" w:space="0" w:color="auto"/>
            </w:tcBorders>
            <w:shd w:val="clear" w:color="000000" w:fill="FFFFFF"/>
            <w:noWrap/>
            <w:hideMark/>
          </w:tcPr>
          <w:p w14:paraId="2725F206" w14:textId="77777777" w:rsidR="009157FA" w:rsidRPr="00110AE6" w:rsidRDefault="009157FA" w:rsidP="009157FA">
            <w:pPr>
              <w:tabs>
                <w:tab w:val="clear" w:pos="1247"/>
                <w:tab w:val="clear" w:pos="1814"/>
                <w:tab w:val="clear" w:pos="2381"/>
                <w:tab w:val="clear" w:pos="2948"/>
                <w:tab w:val="clear" w:pos="3515"/>
              </w:tabs>
              <w:rPr>
                <w:noProof/>
                <w:color w:val="000000"/>
                <w:lang w:val="fr-FR" w:eastAsia="zh-CN"/>
              </w:rPr>
            </w:pPr>
            <w:r w:rsidRPr="00110AE6">
              <w:rPr>
                <w:noProof/>
                <w:color w:val="000000"/>
                <w:lang w:val="fr-FR" w:eastAsia="zh-CN"/>
              </w:rPr>
              <w:t> </w:t>
            </w:r>
          </w:p>
        </w:tc>
        <w:tc>
          <w:tcPr>
            <w:tcW w:w="2540" w:type="pct"/>
            <w:tcBorders>
              <w:top w:val="single" w:sz="4" w:space="0" w:color="auto"/>
              <w:bottom w:val="single" w:sz="4" w:space="0" w:color="auto"/>
            </w:tcBorders>
            <w:shd w:val="clear" w:color="000000" w:fill="FFFFFF"/>
            <w:noWrap/>
            <w:vAlign w:val="center"/>
            <w:hideMark/>
          </w:tcPr>
          <w:p w14:paraId="75C299E8" w14:textId="77777777" w:rsidR="009157FA" w:rsidRPr="00110AE6" w:rsidRDefault="009157FA" w:rsidP="009157FA">
            <w:pPr>
              <w:tabs>
                <w:tab w:val="clear" w:pos="1247"/>
                <w:tab w:val="clear" w:pos="1814"/>
                <w:tab w:val="clear" w:pos="2381"/>
                <w:tab w:val="clear" w:pos="2948"/>
                <w:tab w:val="clear" w:pos="3515"/>
              </w:tabs>
              <w:rPr>
                <w:noProof/>
                <w:color w:val="000000"/>
                <w:sz w:val="17"/>
                <w:szCs w:val="17"/>
                <w:lang w:val="fr-FR"/>
              </w:rPr>
            </w:pPr>
            <w:r w:rsidRPr="00110AE6">
              <w:rPr>
                <w:noProof/>
                <w:sz w:val="17"/>
                <w:szCs w:val="17"/>
                <w:lang w:val="fr-FR"/>
              </w:rPr>
              <w:t>16.1. Services informatiques</w:t>
            </w:r>
          </w:p>
        </w:tc>
        <w:tc>
          <w:tcPr>
            <w:tcW w:w="577" w:type="pct"/>
            <w:tcBorders>
              <w:top w:val="single" w:sz="4" w:space="0" w:color="auto"/>
              <w:bottom w:val="single" w:sz="4" w:space="0" w:color="auto"/>
            </w:tcBorders>
            <w:shd w:val="clear" w:color="auto" w:fill="auto"/>
            <w:noWrap/>
            <w:vAlign w:val="center"/>
            <w:hideMark/>
          </w:tcPr>
          <w:p w14:paraId="45974F4B" w14:textId="2C83C5AD"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578" w:type="pct"/>
            <w:tcBorders>
              <w:top w:val="single" w:sz="4" w:space="0" w:color="auto"/>
              <w:bottom w:val="single" w:sz="4" w:space="0" w:color="auto"/>
            </w:tcBorders>
            <w:shd w:val="clear" w:color="auto" w:fill="auto"/>
            <w:noWrap/>
            <w:vAlign w:val="center"/>
            <w:hideMark/>
          </w:tcPr>
          <w:p w14:paraId="58C9CD61"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50D8F9F9" w14:textId="48E2A14A"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rPr>
            </w:pPr>
            <w:r w:rsidRPr="00110AE6">
              <w:rPr>
                <w:noProof/>
                <w:sz w:val="17"/>
                <w:szCs w:val="17"/>
                <w:lang w:val="fr-FR"/>
              </w:rPr>
              <w:t xml:space="preserve">50 000 </w:t>
            </w:r>
          </w:p>
        </w:tc>
        <w:tc>
          <w:tcPr>
            <w:tcW w:w="601" w:type="pct"/>
            <w:tcBorders>
              <w:top w:val="single" w:sz="4" w:space="0" w:color="auto"/>
              <w:bottom w:val="single" w:sz="4" w:space="0" w:color="auto"/>
            </w:tcBorders>
            <w:shd w:val="clear" w:color="auto" w:fill="auto"/>
            <w:noWrap/>
            <w:vAlign w:val="center"/>
            <w:hideMark/>
          </w:tcPr>
          <w:p w14:paraId="2EFAA956" w14:textId="77777777" w:rsidR="009157FA" w:rsidRPr="00110AE6" w:rsidRDefault="009157FA" w:rsidP="009157FA">
            <w:pPr>
              <w:tabs>
                <w:tab w:val="clear" w:pos="1247"/>
                <w:tab w:val="clear" w:pos="1814"/>
                <w:tab w:val="clear" w:pos="2381"/>
                <w:tab w:val="clear" w:pos="2948"/>
                <w:tab w:val="clear" w:pos="3515"/>
              </w:tabs>
              <w:jc w:val="right"/>
              <w:rPr>
                <w:noProof/>
                <w:color w:val="000000"/>
                <w:sz w:val="17"/>
                <w:szCs w:val="17"/>
                <w:lang w:val="fr-FR" w:eastAsia="zh-CN"/>
              </w:rPr>
            </w:pPr>
            <w:r w:rsidRPr="00110AE6">
              <w:rPr>
                <w:noProof/>
                <w:color w:val="000000"/>
                <w:sz w:val="17"/>
                <w:szCs w:val="17"/>
                <w:lang w:val="fr-FR" w:eastAsia="zh-CN"/>
              </w:rPr>
              <w:t> </w:t>
            </w:r>
          </w:p>
        </w:tc>
      </w:tr>
      <w:tr w:rsidR="009157FA" w:rsidRPr="00110AE6" w14:paraId="27DC3656"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4EC628E5"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Total partiel</w:t>
            </w:r>
          </w:p>
        </w:tc>
        <w:tc>
          <w:tcPr>
            <w:tcW w:w="577" w:type="pct"/>
            <w:tcBorders>
              <w:top w:val="single" w:sz="4" w:space="0" w:color="auto"/>
              <w:bottom w:val="single" w:sz="4" w:space="0" w:color="auto"/>
            </w:tcBorders>
            <w:shd w:val="clear" w:color="auto" w:fill="auto"/>
            <w:noWrap/>
            <w:vAlign w:val="center"/>
            <w:hideMark/>
          </w:tcPr>
          <w:p w14:paraId="231BB342" w14:textId="0A0A2C96"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50 000 </w:t>
            </w:r>
          </w:p>
        </w:tc>
        <w:tc>
          <w:tcPr>
            <w:tcW w:w="578" w:type="pct"/>
            <w:tcBorders>
              <w:top w:val="single" w:sz="4" w:space="0" w:color="auto"/>
              <w:bottom w:val="single" w:sz="4" w:space="0" w:color="auto"/>
            </w:tcBorders>
            <w:shd w:val="clear" w:color="auto" w:fill="auto"/>
            <w:noWrap/>
            <w:vAlign w:val="center"/>
            <w:hideMark/>
          </w:tcPr>
          <w:p w14:paraId="78B8AB30"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5F8C43D3" w14:textId="2CF0FBAE"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50 000 </w:t>
            </w:r>
          </w:p>
        </w:tc>
        <w:tc>
          <w:tcPr>
            <w:tcW w:w="601" w:type="pct"/>
            <w:tcBorders>
              <w:top w:val="single" w:sz="4" w:space="0" w:color="auto"/>
              <w:bottom w:val="single" w:sz="4" w:space="0" w:color="auto"/>
            </w:tcBorders>
            <w:shd w:val="clear" w:color="auto" w:fill="auto"/>
            <w:noWrap/>
            <w:vAlign w:val="center"/>
            <w:hideMark/>
          </w:tcPr>
          <w:p w14:paraId="2312EB5E"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7693A5E5"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461D5C21" w14:textId="77777777" w:rsidR="009157FA" w:rsidRPr="00110AE6" w:rsidRDefault="009157FA" w:rsidP="009157FA">
            <w:pPr>
              <w:tabs>
                <w:tab w:val="clear" w:pos="1247"/>
                <w:tab w:val="clear" w:pos="1814"/>
                <w:tab w:val="clear" w:pos="2381"/>
                <w:tab w:val="clear" w:pos="2948"/>
                <w:tab w:val="clear" w:pos="3515"/>
              </w:tabs>
              <w:ind w:firstLineChars="100" w:firstLine="171"/>
              <w:rPr>
                <w:b/>
                <w:bCs/>
                <w:noProof/>
                <w:color w:val="000000"/>
                <w:sz w:val="17"/>
                <w:szCs w:val="17"/>
                <w:lang w:val="fr-FR"/>
              </w:rPr>
            </w:pPr>
            <w:r w:rsidRPr="00110AE6">
              <w:rPr>
                <w:b/>
                <w:bCs/>
                <w:noProof/>
                <w:sz w:val="17"/>
                <w:szCs w:val="17"/>
                <w:lang w:val="fr-FR"/>
              </w:rPr>
              <w:t>Total (G)</w:t>
            </w:r>
          </w:p>
        </w:tc>
        <w:tc>
          <w:tcPr>
            <w:tcW w:w="577" w:type="pct"/>
            <w:tcBorders>
              <w:top w:val="single" w:sz="4" w:space="0" w:color="auto"/>
              <w:bottom w:val="single" w:sz="4" w:space="0" w:color="auto"/>
            </w:tcBorders>
            <w:shd w:val="clear" w:color="auto" w:fill="auto"/>
            <w:noWrap/>
            <w:vAlign w:val="center"/>
            <w:hideMark/>
          </w:tcPr>
          <w:p w14:paraId="6F64447D" w14:textId="0CF14B0D"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210 000 </w:t>
            </w:r>
          </w:p>
        </w:tc>
        <w:tc>
          <w:tcPr>
            <w:tcW w:w="578" w:type="pct"/>
            <w:tcBorders>
              <w:top w:val="single" w:sz="4" w:space="0" w:color="auto"/>
              <w:bottom w:val="single" w:sz="4" w:space="0" w:color="auto"/>
            </w:tcBorders>
            <w:shd w:val="clear" w:color="auto" w:fill="auto"/>
            <w:noWrap/>
            <w:vAlign w:val="center"/>
            <w:hideMark/>
          </w:tcPr>
          <w:p w14:paraId="74A45BD4"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c>
          <w:tcPr>
            <w:tcW w:w="577" w:type="pct"/>
            <w:tcBorders>
              <w:top w:val="single" w:sz="4" w:space="0" w:color="auto"/>
              <w:bottom w:val="single" w:sz="4" w:space="0" w:color="auto"/>
            </w:tcBorders>
            <w:shd w:val="clear" w:color="auto" w:fill="auto"/>
            <w:noWrap/>
            <w:vAlign w:val="center"/>
            <w:hideMark/>
          </w:tcPr>
          <w:p w14:paraId="6063CDEC" w14:textId="660A7C82"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rPr>
            </w:pPr>
            <w:r w:rsidRPr="00110AE6">
              <w:rPr>
                <w:b/>
                <w:noProof/>
                <w:sz w:val="17"/>
                <w:szCs w:val="17"/>
                <w:lang w:val="fr-FR"/>
              </w:rPr>
              <w:t xml:space="preserve">210 000 </w:t>
            </w:r>
          </w:p>
        </w:tc>
        <w:tc>
          <w:tcPr>
            <w:tcW w:w="601" w:type="pct"/>
            <w:tcBorders>
              <w:top w:val="single" w:sz="4" w:space="0" w:color="auto"/>
              <w:bottom w:val="single" w:sz="4" w:space="0" w:color="auto"/>
            </w:tcBorders>
            <w:shd w:val="clear" w:color="auto" w:fill="auto"/>
            <w:noWrap/>
            <w:vAlign w:val="center"/>
            <w:hideMark/>
          </w:tcPr>
          <w:p w14:paraId="6FDFC4F4" w14:textId="77777777" w:rsidR="009157FA" w:rsidRPr="00110AE6" w:rsidRDefault="009157FA" w:rsidP="009157FA">
            <w:pPr>
              <w:tabs>
                <w:tab w:val="clear" w:pos="1247"/>
                <w:tab w:val="clear" w:pos="1814"/>
                <w:tab w:val="clear" w:pos="2381"/>
                <w:tab w:val="clear" w:pos="2948"/>
                <w:tab w:val="clear" w:pos="3515"/>
              </w:tabs>
              <w:jc w:val="right"/>
              <w:rPr>
                <w:b/>
                <w:bCs/>
                <w:noProof/>
                <w:color w:val="000000"/>
                <w:sz w:val="17"/>
                <w:szCs w:val="17"/>
                <w:lang w:val="fr-FR" w:eastAsia="zh-CN"/>
              </w:rPr>
            </w:pPr>
            <w:r w:rsidRPr="00110AE6">
              <w:rPr>
                <w:b/>
                <w:bCs/>
                <w:noProof/>
                <w:color w:val="000000"/>
                <w:sz w:val="17"/>
                <w:szCs w:val="17"/>
                <w:lang w:val="fr-FR" w:eastAsia="zh-CN"/>
              </w:rPr>
              <w:t> </w:t>
            </w:r>
          </w:p>
        </w:tc>
      </w:tr>
      <w:tr w:rsidR="009157FA" w:rsidRPr="00110AE6" w14:paraId="35C27D71" w14:textId="77777777" w:rsidTr="00A722E7">
        <w:trPr>
          <w:trHeight w:val="315"/>
        </w:trPr>
        <w:tc>
          <w:tcPr>
            <w:tcW w:w="5000" w:type="pct"/>
            <w:gridSpan w:val="6"/>
            <w:tcBorders>
              <w:top w:val="single" w:sz="4" w:space="0" w:color="auto"/>
              <w:bottom w:val="single" w:sz="4" w:space="0" w:color="auto"/>
            </w:tcBorders>
            <w:shd w:val="clear" w:color="auto" w:fill="auto"/>
            <w:noWrap/>
            <w:vAlign w:val="center"/>
            <w:hideMark/>
          </w:tcPr>
          <w:p w14:paraId="195039B4" w14:textId="77777777" w:rsidR="009157FA" w:rsidRPr="00110AE6" w:rsidRDefault="009157FA" w:rsidP="009157FA">
            <w:pPr>
              <w:tabs>
                <w:tab w:val="clear" w:pos="1247"/>
                <w:tab w:val="clear" w:pos="1814"/>
                <w:tab w:val="clear" w:pos="2381"/>
                <w:tab w:val="clear" w:pos="2948"/>
                <w:tab w:val="clear" w:pos="3515"/>
              </w:tabs>
              <w:rPr>
                <w:b/>
                <w:bCs/>
                <w:noProof/>
                <w:color w:val="000000"/>
                <w:sz w:val="17"/>
                <w:szCs w:val="17"/>
                <w:lang w:val="fr-FR"/>
              </w:rPr>
            </w:pPr>
            <w:r w:rsidRPr="00110AE6">
              <w:rPr>
                <w:b/>
                <w:bCs/>
                <w:noProof/>
                <w:sz w:val="17"/>
                <w:szCs w:val="17"/>
                <w:lang w:val="fr-FR"/>
              </w:rPr>
              <w:t>Ressources nécessaires pour toutes les activités</w:t>
            </w:r>
          </w:p>
        </w:tc>
      </w:tr>
      <w:tr w:rsidR="00575210" w:rsidRPr="00110AE6" w14:paraId="7B241E13" w14:textId="77777777" w:rsidTr="00A722E7">
        <w:trPr>
          <w:trHeight w:val="315"/>
        </w:trPr>
        <w:tc>
          <w:tcPr>
            <w:tcW w:w="2667" w:type="pct"/>
            <w:gridSpan w:val="2"/>
            <w:tcBorders>
              <w:top w:val="single" w:sz="4" w:space="0" w:color="auto"/>
            </w:tcBorders>
            <w:shd w:val="clear" w:color="000000" w:fill="FFFFFF"/>
            <w:noWrap/>
            <w:vAlign w:val="center"/>
          </w:tcPr>
          <w:p w14:paraId="45DB0551" w14:textId="44051A7F" w:rsidR="00575210" w:rsidRPr="00110AE6" w:rsidRDefault="00575210" w:rsidP="00575210">
            <w:pPr>
              <w:tabs>
                <w:tab w:val="clear" w:pos="1247"/>
                <w:tab w:val="clear" w:pos="1814"/>
                <w:tab w:val="clear" w:pos="2381"/>
                <w:tab w:val="clear" w:pos="2948"/>
                <w:tab w:val="clear" w:pos="3515"/>
              </w:tabs>
              <w:ind w:firstLineChars="100" w:firstLine="171"/>
              <w:rPr>
                <w:b/>
                <w:bCs/>
                <w:noProof/>
                <w:sz w:val="17"/>
                <w:szCs w:val="17"/>
                <w:lang w:val="fr-FR"/>
              </w:rPr>
            </w:pPr>
            <w:r w:rsidRPr="00110AE6">
              <w:rPr>
                <w:b/>
                <w:bCs/>
                <w:noProof/>
                <w:sz w:val="17"/>
                <w:szCs w:val="17"/>
                <w:lang w:val="fr-FR"/>
              </w:rPr>
              <w:t>Total (A à G), sauf coûts d</w:t>
            </w:r>
            <w:r w:rsidR="00D05492" w:rsidRPr="00110AE6">
              <w:rPr>
                <w:b/>
                <w:bCs/>
                <w:noProof/>
                <w:sz w:val="17"/>
                <w:szCs w:val="17"/>
                <w:lang w:val="fr-FR"/>
              </w:rPr>
              <w:t>’</w:t>
            </w:r>
            <w:r w:rsidRPr="00110AE6">
              <w:rPr>
                <w:b/>
                <w:bCs/>
                <w:noProof/>
                <w:sz w:val="17"/>
                <w:szCs w:val="17"/>
                <w:lang w:val="fr-FR"/>
              </w:rPr>
              <w:t>appui au programme</w:t>
            </w:r>
          </w:p>
        </w:tc>
        <w:tc>
          <w:tcPr>
            <w:tcW w:w="577" w:type="pct"/>
            <w:tcBorders>
              <w:top w:val="single" w:sz="4" w:space="0" w:color="auto"/>
            </w:tcBorders>
            <w:shd w:val="clear" w:color="auto" w:fill="auto"/>
            <w:noWrap/>
            <w:vAlign w:val="center"/>
          </w:tcPr>
          <w:p w14:paraId="7E67C130" w14:textId="6D7212E4" w:rsidR="00575210" w:rsidRPr="00110AE6" w:rsidRDefault="006B031C" w:rsidP="00575210">
            <w:pPr>
              <w:tabs>
                <w:tab w:val="clear" w:pos="1247"/>
                <w:tab w:val="clear" w:pos="1814"/>
                <w:tab w:val="clear" w:pos="2381"/>
                <w:tab w:val="clear" w:pos="2948"/>
                <w:tab w:val="clear" w:pos="3515"/>
              </w:tabs>
              <w:jc w:val="right"/>
              <w:rPr>
                <w:b/>
                <w:bCs/>
                <w:noProof/>
                <w:sz w:val="17"/>
                <w:szCs w:val="17"/>
                <w:lang w:val="fr-FR"/>
              </w:rPr>
            </w:pPr>
            <w:r w:rsidRPr="00110AE6">
              <w:rPr>
                <w:b/>
                <w:noProof/>
                <w:sz w:val="17"/>
                <w:szCs w:val="17"/>
                <w:lang w:val="fr-FR"/>
              </w:rPr>
              <w:t xml:space="preserve">3 400 950 </w:t>
            </w:r>
          </w:p>
        </w:tc>
        <w:tc>
          <w:tcPr>
            <w:tcW w:w="578" w:type="pct"/>
            <w:tcBorders>
              <w:top w:val="single" w:sz="4" w:space="0" w:color="auto"/>
            </w:tcBorders>
            <w:shd w:val="clear" w:color="auto" w:fill="auto"/>
            <w:noWrap/>
            <w:vAlign w:val="center"/>
          </w:tcPr>
          <w:p w14:paraId="6D6B3EFA" w14:textId="41F6C0C0" w:rsidR="00575210" w:rsidRPr="00110AE6" w:rsidRDefault="00575210" w:rsidP="00575210">
            <w:pPr>
              <w:tabs>
                <w:tab w:val="clear" w:pos="1247"/>
                <w:tab w:val="clear" w:pos="1814"/>
                <w:tab w:val="clear" w:pos="2381"/>
                <w:tab w:val="clear" w:pos="2948"/>
                <w:tab w:val="clear" w:pos="3515"/>
              </w:tabs>
              <w:jc w:val="right"/>
              <w:rPr>
                <w:b/>
                <w:bCs/>
                <w:noProof/>
                <w:sz w:val="17"/>
                <w:szCs w:val="17"/>
                <w:lang w:val="fr-FR"/>
              </w:rPr>
            </w:pPr>
            <w:r w:rsidRPr="00110AE6">
              <w:rPr>
                <w:b/>
                <w:noProof/>
                <w:sz w:val="17"/>
                <w:szCs w:val="17"/>
                <w:lang w:val="fr-FR"/>
              </w:rPr>
              <w:t xml:space="preserve">3 155 000 </w:t>
            </w:r>
          </w:p>
        </w:tc>
        <w:tc>
          <w:tcPr>
            <w:tcW w:w="577" w:type="pct"/>
            <w:tcBorders>
              <w:top w:val="single" w:sz="4" w:space="0" w:color="auto"/>
            </w:tcBorders>
            <w:shd w:val="clear" w:color="auto" w:fill="auto"/>
            <w:noWrap/>
            <w:vAlign w:val="center"/>
          </w:tcPr>
          <w:p w14:paraId="465BF66E" w14:textId="4BE67EC3" w:rsidR="00575210" w:rsidRPr="00110AE6" w:rsidRDefault="00D2668A" w:rsidP="00575210">
            <w:pPr>
              <w:tabs>
                <w:tab w:val="clear" w:pos="1247"/>
                <w:tab w:val="clear" w:pos="1814"/>
                <w:tab w:val="clear" w:pos="2381"/>
                <w:tab w:val="clear" w:pos="2948"/>
                <w:tab w:val="clear" w:pos="3515"/>
              </w:tabs>
              <w:jc w:val="right"/>
              <w:rPr>
                <w:b/>
                <w:bCs/>
                <w:noProof/>
                <w:sz w:val="17"/>
                <w:szCs w:val="17"/>
                <w:lang w:val="fr-FR"/>
              </w:rPr>
            </w:pPr>
            <w:r w:rsidRPr="00110AE6">
              <w:rPr>
                <w:b/>
                <w:noProof/>
                <w:sz w:val="17"/>
                <w:szCs w:val="17"/>
                <w:lang w:val="fr-FR"/>
              </w:rPr>
              <w:t>3 760 950</w:t>
            </w:r>
          </w:p>
        </w:tc>
        <w:tc>
          <w:tcPr>
            <w:tcW w:w="601" w:type="pct"/>
            <w:tcBorders>
              <w:top w:val="single" w:sz="4" w:space="0" w:color="auto"/>
            </w:tcBorders>
            <w:shd w:val="clear" w:color="auto" w:fill="auto"/>
            <w:noWrap/>
            <w:vAlign w:val="center"/>
          </w:tcPr>
          <w:p w14:paraId="5109AC4E" w14:textId="08163700" w:rsidR="00575210" w:rsidRPr="00110AE6" w:rsidRDefault="00575210" w:rsidP="00575210">
            <w:pPr>
              <w:tabs>
                <w:tab w:val="clear" w:pos="1247"/>
                <w:tab w:val="clear" w:pos="1814"/>
                <w:tab w:val="clear" w:pos="2381"/>
                <w:tab w:val="clear" w:pos="2948"/>
                <w:tab w:val="clear" w:pos="3515"/>
              </w:tabs>
              <w:jc w:val="right"/>
              <w:rPr>
                <w:b/>
                <w:bCs/>
                <w:noProof/>
                <w:sz w:val="17"/>
                <w:szCs w:val="17"/>
                <w:lang w:val="fr-FR"/>
              </w:rPr>
            </w:pPr>
            <w:r w:rsidRPr="00110AE6">
              <w:rPr>
                <w:b/>
                <w:noProof/>
                <w:sz w:val="17"/>
                <w:szCs w:val="17"/>
                <w:lang w:val="fr-FR"/>
              </w:rPr>
              <w:t xml:space="preserve">3 393 000 </w:t>
            </w:r>
          </w:p>
        </w:tc>
      </w:tr>
      <w:tr w:rsidR="009157FA" w:rsidRPr="00110AE6" w14:paraId="626A8CDF" w14:textId="77777777" w:rsidTr="00A722E7">
        <w:trPr>
          <w:trHeight w:val="315"/>
        </w:trPr>
        <w:tc>
          <w:tcPr>
            <w:tcW w:w="127" w:type="pct"/>
            <w:tcBorders>
              <w:bottom w:val="single" w:sz="4" w:space="0" w:color="auto"/>
            </w:tcBorders>
            <w:shd w:val="clear" w:color="000000" w:fill="FFFFFF"/>
            <w:noWrap/>
            <w:vAlign w:val="center"/>
            <w:hideMark/>
          </w:tcPr>
          <w:p w14:paraId="1E86898C" w14:textId="77777777" w:rsidR="009157FA" w:rsidRPr="00110AE6" w:rsidRDefault="009157FA" w:rsidP="009157FA">
            <w:pPr>
              <w:tabs>
                <w:tab w:val="clear" w:pos="1247"/>
                <w:tab w:val="clear" w:pos="1814"/>
                <w:tab w:val="clear" w:pos="2381"/>
                <w:tab w:val="clear" w:pos="2948"/>
                <w:tab w:val="clear" w:pos="3515"/>
              </w:tabs>
              <w:rPr>
                <w:noProof/>
                <w:sz w:val="17"/>
                <w:szCs w:val="17"/>
                <w:lang w:val="fr-FR" w:eastAsia="zh-CN"/>
              </w:rPr>
            </w:pPr>
            <w:r w:rsidRPr="00110AE6">
              <w:rPr>
                <w:noProof/>
                <w:sz w:val="17"/>
                <w:szCs w:val="17"/>
                <w:lang w:val="fr-FR" w:eastAsia="zh-CN"/>
              </w:rPr>
              <w:t> </w:t>
            </w:r>
          </w:p>
        </w:tc>
        <w:tc>
          <w:tcPr>
            <w:tcW w:w="2540" w:type="pct"/>
            <w:tcBorders>
              <w:bottom w:val="single" w:sz="4" w:space="0" w:color="auto"/>
            </w:tcBorders>
            <w:shd w:val="clear" w:color="000000" w:fill="FFFFFF"/>
            <w:noWrap/>
            <w:vAlign w:val="center"/>
            <w:hideMark/>
          </w:tcPr>
          <w:p w14:paraId="2A578578" w14:textId="40F66B4C" w:rsidR="009157FA" w:rsidRPr="00110AE6" w:rsidRDefault="009157FA" w:rsidP="009157FA">
            <w:pPr>
              <w:tabs>
                <w:tab w:val="clear" w:pos="1247"/>
                <w:tab w:val="clear" w:pos="1814"/>
                <w:tab w:val="clear" w:pos="2381"/>
                <w:tab w:val="clear" w:pos="2948"/>
                <w:tab w:val="clear" w:pos="3515"/>
              </w:tabs>
              <w:rPr>
                <w:noProof/>
                <w:sz w:val="17"/>
                <w:szCs w:val="17"/>
                <w:lang w:val="fr-FR"/>
              </w:rPr>
            </w:pPr>
            <w:r w:rsidRPr="00110AE6">
              <w:rPr>
                <w:noProof/>
                <w:sz w:val="17"/>
                <w:szCs w:val="17"/>
                <w:lang w:val="fr-FR"/>
              </w:rPr>
              <w:t>Coûts d</w:t>
            </w:r>
            <w:r w:rsidR="00D05492" w:rsidRPr="00110AE6">
              <w:rPr>
                <w:noProof/>
                <w:sz w:val="17"/>
                <w:szCs w:val="17"/>
                <w:lang w:val="fr-FR"/>
              </w:rPr>
              <w:t>’</w:t>
            </w:r>
            <w:r w:rsidRPr="00110AE6">
              <w:rPr>
                <w:noProof/>
                <w:sz w:val="17"/>
                <w:szCs w:val="17"/>
                <w:lang w:val="fr-FR"/>
              </w:rPr>
              <w:t>appui au programme</w:t>
            </w:r>
          </w:p>
        </w:tc>
        <w:tc>
          <w:tcPr>
            <w:tcW w:w="577" w:type="pct"/>
            <w:tcBorders>
              <w:bottom w:val="single" w:sz="4" w:space="0" w:color="auto"/>
            </w:tcBorders>
            <w:shd w:val="clear" w:color="auto" w:fill="auto"/>
            <w:noWrap/>
            <w:vAlign w:val="center"/>
            <w:hideMark/>
          </w:tcPr>
          <w:p w14:paraId="7AA81C9D" w14:textId="4E5D7957" w:rsidR="009157FA" w:rsidRPr="00110AE6" w:rsidRDefault="009157FA" w:rsidP="009157FA">
            <w:pPr>
              <w:tabs>
                <w:tab w:val="clear" w:pos="1247"/>
                <w:tab w:val="clear" w:pos="1814"/>
                <w:tab w:val="clear" w:pos="2381"/>
                <w:tab w:val="clear" w:pos="2948"/>
                <w:tab w:val="clear" w:pos="3515"/>
              </w:tabs>
              <w:jc w:val="right"/>
              <w:rPr>
                <w:noProof/>
                <w:sz w:val="17"/>
                <w:szCs w:val="17"/>
                <w:lang w:val="fr-FR"/>
              </w:rPr>
            </w:pPr>
            <w:r w:rsidRPr="00110AE6">
              <w:rPr>
                <w:noProof/>
                <w:sz w:val="17"/>
                <w:szCs w:val="17"/>
                <w:lang w:val="fr-FR"/>
              </w:rPr>
              <w:t xml:space="preserve">442 124 </w:t>
            </w:r>
          </w:p>
        </w:tc>
        <w:tc>
          <w:tcPr>
            <w:tcW w:w="578" w:type="pct"/>
            <w:tcBorders>
              <w:bottom w:val="single" w:sz="4" w:space="0" w:color="auto"/>
            </w:tcBorders>
            <w:shd w:val="clear" w:color="auto" w:fill="auto"/>
            <w:noWrap/>
            <w:vAlign w:val="center"/>
            <w:hideMark/>
          </w:tcPr>
          <w:p w14:paraId="1E5EB2F1" w14:textId="620749A4" w:rsidR="009157FA" w:rsidRPr="00110AE6" w:rsidRDefault="009157FA" w:rsidP="009157FA">
            <w:pPr>
              <w:tabs>
                <w:tab w:val="clear" w:pos="1247"/>
                <w:tab w:val="clear" w:pos="1814"/>
                <w:tab w:val="clear" w:pos="2381"/>
                <w:tab w:val="clear" w:pos="2948"/>
                <w:tab w:val="clear" w:pos="3515"/>
              </w:tabs>
              <w:jc w:val="right"/>
              <w:rPr>
                <w:noProof/>
                <w:sz w:val="17"/>
                <w:szCs w:val="17"/>
                <w:lang w:val="fr-FR"/>
              </w:rPr>
            </w:pPr>
            <w:r w:rsidRPr="00110AE6">
              <w:rPr>
                <w:noProof/>
                <w:sz w:val="17"/>
                <w:szCs w:val="17"/>
                <w:lang w:val="fr-FR"/>
              </w:rPr>
              <w:t xml:space="preserve">410 150 </w:t>
            </w:r>
          </w:p>
        </w:tc>
        <w:tc>
          <w:tcPr>
            <w:tcW w:w="577" w:type="pct"/>
            <w:tcBorders>
              <w:bottom w:val="single" w:sz="4" w:space="0" w:color="auto"/>
            </w:tcBorders>
            <w:shd w:val="clear" w:color="auto" w:fill="auto"/>
            <w:noWrap/>
            <w:vAlign w:val="center"/>
            <w:hideMark/>
          </w:tcPr>
          <w:p w14:paraId="32037D6D" w14:textId="05942BB1" w:rsidR="009157FA" w:rsidRPr="00110AE6" w:rsidRDefault="00D2668A" w:rsidP="00FE0A0B">
            <w:pPr>
              <w:tabs>
                <w:tab w:val="clear" w:pos="1247"/>
                <w:tab w:val="clear" w:pos="1814"/>
                <w:tab w:val="clear" w:pos="2381"/>
                <w:tab w:val="clear" w:pos="2948"/>
                <w:tab w:val="clear" w:pos="3515"/>
              </w:tabs>
              <w:jc w:val="right"/>
              <w:rPr>
                <w:noProof/>
                <w:sz w:val="17"/>
                <w:szCs w:val="17"/>
                <w:lang w:val="fr-FR"/>
              </w:rPr>
            </w:pPr>
            <w:r w:rsidRPr="00110AE6">
              <w:rPr>
                <w:noProof/>
                <w:sz w:val="17"/>
                <w:szCs w:val="17"/>
                <w:lang w:val="fr-FR"/>
              </w:rPr>
              <w:t xml:space="preserve">488 224 </w:t>
            </w:r>
          </w:p>
        </w:tc>
        <w:tc>
          <w:tcPr>
            <w:tcW w:w="601" w:type="pct"/>
            <w:tcBorders>
              <w:bottom w:val="single" w:sz="4" w:space="0" w:color="auto"/>
            </w:tcBorders>
            <w:shd w:val="clear" w:color="auto" w:fill="auto"/>
            <w:noWrap/>
            <w:vAlign w:val="center"/>
            <w:hideMark/>
          </w:tcPr>
          <w:p w14:paraId="4AEF8913" w14:textId="09E05110" w:rsidR="009157FA" w:rsidRPr="00110AE6" w:rsidRDefault="009157FA" w:rsidP="009157FA">
            <w:pPr>
              <w:tabs>
                <w:tab w:val="clear" w:pos="1247"/>
                <w:tab w:val="clear" w:pos="1814"/>
                <w:tab w:val="clear" w:pos="2381"/>
                <w:tab w:val="clear" w:pos="2948"/>
                <w:tab w:val="clear" w:pos="3515"/>
              </w:tabs>
              <w:jc w:val="right"/>
              <w:rPr>
                <w:noProof/>
                <w:sz w:val="17"/>
                <w:szCs w:val="17"/>
                <w:lang w:val="fr-FR"/>
              </w:rPr>
            </w:pPr>
            <w:r w:rsidRPr="00110AE6">
              <w:rPr>
                <w:noProof/>
                <w:sz w:val="17"/>
                <w:szCs w:val="17"/>
                <w:lang w:val="fr-FR"/>
              </w:rPr>
              <w:t xml:space="preserve"> 441 090 </w:t>
            </w:r>
          </w:p>
        </w:tc>
      </w:tr>
      <w:tr w:rsidR="00676479" w:rsidRPr="00110AE6" w14:paraId="7C14C55B" w14:textId="77777777" w:rsidTr="00676479">
        <w:trPr>
          <w:trHeight w:val="315"/>
        </w:trPr>
        <w:tc>
          <w:tcPr>
            <w:tcW w:w="2667" w:type="pct"/>
            <w:gridSpan w:val="2"/>
            <w:tcBorders>
              <w:top w:val="single" w:sz="4" w:space="0" w:color="auto"/>
              <w:bottom w:val="single" w:sz="4" w:space="0" w:color="auto"/>
            </w:tcBorders>
            <w:shd w:val="clear" w:color="000000" w:fill="FFFFFF"/>
            <w:noWrap/>
            <w:vAlign w:val="center"/>
            <w:hideMark/>
          </w:tcPr>
          <w:p w14:paraId="2CAB213A" w14:textId="4FEED3E3" w:rsidR="00676479" w:rsidRPr="00110AE6" w:rsidRDefault="00676479" w:rsidP="00676479">
            <w:pPr>
              <w:tabs>
                <w:tab w:val="clear" w:pos="1247"/>
                <w:tab w:val="clear" w:pos="1814"/>
                <w:tab w:val="clear" w:pos="2381"/>
                <w:tab w:val="clear" w:pos="2948"/>
                <w:tab w:val="clear" w:pos="3515"/>
              </w:tabs>
              <w:ind w:firstLineChars="100" w:firstLine="171"/>
              <w:rPr>
                <w:b/>
                <w:bCs/>
                <w:noProof/>
                <w:sz w:val="17"/>
                <w:szCs w:val="17"/>
                <w:lang w:val="fr-FR"/>
              </w:rPr>
            </w:pPr>
            <w:r w:rsidRPr="00110AE6">
              <w:rPr>
                <w:b/>
                <w:bCs/>
                <w:noProof/>
                <w:sz w:val="17"/>
                <w:szCs w:val="17"/>
                <w:lang w:val="fr-FR"/>
              </w:rPr>
              <w:t>Total (A à G), y compris les coûts d’appui au programme</w:t>
            </w:r>
          </w:p>
        </w:tc>
        <w:tc>
          <w:tcPr>
            <w:tcW w:w="577" w:type="pct"/>
            <w:tcBorders>
              <w:top w:val="single" w:sz="4" w:space="0" w:color="auto"/>
              <w:bottom w:val="single" w:sz="4" w:space="0" w:color="auto"/>
            </w:tcBorders>
            <w:shd w:val="clear" w:color="auto" w:fill="auto"/>
            <w:noWrap/>
            <w:vAlign w:val="center"/>
          </w:tcPr>
          <w:p w14:paraId="3C267C39" w14:textId="33E6503E"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 xml:space="preserve">3 843 074 </w:t>
            </w:r>
          </w:p>
        </w:tc>
        <w:tc>
          <w:tcPr>
            <w:tcW w:w="578" w:type="pct"/>
            <w:tcBorders>
              <w:top w:val="single" w:sz="4" w:space="0" w:color="auto"/>
              <w:bottom w:val="single" w:sz="4" w:space="0" w:color="auto"/>
            </w:tcBorders>
            <w:shd w:val="clear" w:color="auto" w:fill="auto"/>
            <w:noWrap/>
            <w:vAlign w:val="center"/>
          </w:tcPr>
          <w:p w14:paraId="2B785B7E" w14:textId="25A12E4C"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 xml:space="preserve">3 565 150 </w:t>
            </w:r>
          </w:p>
        </w:tc>
        <w:tc>
          <w:tcPr>
            <w:tcW w:w="577" w:type="pct"/>
            <w:tcBorders>
              <w:top w:val="single" w:sz="4" w:space="0" w:color="auto"/>
              <w:bottom w:val="single" w:sz="4" w:space="0" w:color="auto"/>
            </w:tcBorders>
            <w:shd w:val="clear" w:color="auto" w:fill="auto"/>
            <w:noWrap/>
            <w:vAlign w:val="center"/>
          </w:tcPr>
          <w:p w14:paraId="435AC0DF" w14:textId="3379CFEF"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 xml:space="preserve">4 249 874  </w:t>
            </w:r>
          </w:p>
        </w:tc>
        <w:tc>
          <w:tcPr>
            <w:tcW w:w="601" w:type="pct"/>
            <w:tcBorders>
              <w:top w:val="single" w:sz="4" w:space="0" w:color="auto"/>
              <w:bottom w:val="single" w:sz="4" w:space="0" w:color="auto"/>
            </w:tcBorders>
            <w:shd w:val="clear" w:color="auto" w:fill="auto"/>
            <w:noWrap/>
            <w:vAlign w:val="center"/>
          </w:tcPr>
          <w:p w14:paraId="0BA60B86" w14:textId="632AD1BF"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 xml:space="preserve">3 834 090 </w:t>
            </w:r>
          </w:p>
        </w:tc>
      </w:tr>
      <w:tr w:rsidR="00676479" w:rsidRPr="00110AE6" w14:paraId="0CADF49C"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tcPr>
          <w:p w14:paraId="42F441F3" w14:textId="6A9A0AF0" w:rsidR="00676479" w:rsidRPr="00110AE6" w:rsidRDefault="00676479" w:rsidP="00676479">
            <w:pPr>
              <w:tabs>
                <w:tab w:val="clear" w:pos="1247"/>
                <w:tab w:val="clear" w:pos="1814"/>
                <w:tab w:val="clear" w:pos="2381"/>
                <w:tab w:val="clear" w:pos="2948"/>
                <w:tab w:val="clear" w:pos="3515"/>
              </w:tabs>
              <w:ind w:firstLineChars="100" w:firstLine="171"/>
              <w:rPr>
                <w:b/>
                <w:bCs/>
                <w:noProof/>
                <w:sz w:val="17"/>
                <w:szCs w:val="17"/>
                <w:lang w:val="fr-FR"/>
              </w:rPr>
            </w:pPr>
            <w:r w:rsidRPr="00110AE6">
              <w:rPr>
                <w:b/>
                <w:bCs/>
                <w:noProof/>
                <w:sz w:val="17"/>
                <w:szCs w:val="17"/>
                <w:lang w:val="fr-FR"/>
              </w:rPr>
              <w:t>Après économies réalisées en 2018</w:t>
            </w:r>
          </w:p>
        </w:tc>
        <w:tc>
          <w:tcPr>
            <w:tcW w:w="577" w:type="pct"/>
            <w:tcBorders>
              <w:top w:val="single" w:sz="4" w:space="0" w:color="auto"/>
              <w:bottom w:val="single" w:sz="4" w:space="0" w:color="auto"/>
            </w:tcBorders>
            <w:shd w:val="clear" w:color="auto" w:fill="auto"/>
            <w:noWrap/>
            <w:vAlign w:val="center"/>
          </w:tcPr>
          <w:p w14:paraId="2F92D295" w14:textId="77777777"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eastAsia="zh-CN"/>
              </w:rPr>
            </w:pPr>
          </w:p>
        </w:tc>
        <w:tc>
          <w:tcPr>
            <w:tcW w:w="578" w:type="pct"/>
            <w:tcBorders>
              <w:top w:val="single" w:sz="4" w:space="0" w:color="auto"/>
              <w:bottom w:val="single" w:sz="4" w:space="0" w:color="auto"/>
            </w:tcBorders>
            <w:shd w:val="clear" w:color="auto" w:fill="auto"/>
            <w:noWrap/>
            <w:vAlign w:val="center"/>
          </w:tcPr>
          <w:p w14:paraId="2EA566A9" w14:textId="77777777"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eastAsia="zh-CN"/>
              </w:rPr>
            </w:pPr>
          </w:p>
        </w:tc>
        <w:tc>
          <w:tcPr>
            <w:tcW w:w="577" w:type="pct"/>
            <w:tcBorders>
              <w:top w:val="single" w:sz="4" w:space="0" w:color="auto"/>
              <w:bottom w:val="single" w:sz="4" w:space="0" w:color="auto"/>
            </w:tcBorders>
            <w:shd w:val="clear" w:color="auto" w:fill="auto"/>
            <w:noWrap/>
            <w:vAlign w:val="center"/>
          </w:tcPr>
          <w:p w14:paraId="1A6034A4" w14:textId="582A9897"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406 800</w:t>
            </w:r>
          </w:p>
        </w:tc>
        <w:tc>
          <w:tcPr>
            <w:tcW w:w="601" w:type="pct"/>
            <w:tcBorders>
              <w:top w:val="single" w:sz="4" w:space="0" w:color="auto"/>
              <w:bottom w:val="single" w:sz="4" w:space="0" w:color="auto"/>
            </w:tcBorders>
            <w:shd w:val="clear" w:color="auto" w:fill="auto"/>
            <w:noWrap/>
            <w:vAlign w:val="center"/>
          </w:tcPr>
          <w:p w14:paraId="77D049D9" w14:textId="77777777"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eastAsia="zh-CN"/>
              </w:rPr>
            </w:pPr>
          </w:p>
        </w:tc>
      </w:tr>
      <w:tr w:rsidR="00676479" w:rsidRPr="00110AE6" w14:paraId="1B20C24D"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tcPr>
          <w:p w14:paraId="4C824EE9" w14:textId="40B8941C" w:rsidR="00676479" w:rsidRPr="00110AE6" w:rsidRDefault="00676479" w:rsidP="00676479">
            <w:pPr>
              <w:tabs>
                <w:tab w:val="clear" w:pos="1247"/>
                <w:tab w:val="clear" w:pos="1814"/>
                <w:tab w:val="clear" w:pos="2381"/>
                <w:tab w:val="clear" w:pos="2948"/>
                <w:tab w:val="clear" w:pos="3515"/>
              </w:tabs>
              <w:ind w:firstLineChars="100" w:firstLine="171"/>
              <w:rPr>
                <w:b/>
                <w:bCs/>
                <w:noProof/>
                <w:sz w:val="17"/>
                <w:szCs w:val="17"/>
                <w:lang w:val="fr-FR"/>
              </w:rPr>
            </w:pPr>
            <w:r w:rsidRPr="00110AE6">
              <w:rPr>
                <w:b/>
                <w:bCs/>
                <w:noProof/>
                <w:sz w:val="17"/>
                <w:szCs w:val="17"/>
                <w:lang w:val="fr-FR"/>
              </w:rPr>
              <w:t>Total pour 2019</w:t>
            </w:r>
          </w:p>
        </w:tc>
        <w:tc>
          <w:tcPr>
            <w:tcW w:w="577" w:type="pct"/>
            <w:tcBorders>
              <w:top w:val="single" w:sz="4" w:space="0" w:color="auto"/>
              <w:bottom w:val="single" w:sz="4" w:space="0" w:color="auto"/>
            </w:tcBorders>
            <w:shd w:val="clear" w:color="auto" w:fill="auto"/>
            <w:noWrap/>
            <w:vAlign w:val="center"/>
          </w:tcPr>
          <w:p w14:paraId="3E1A24E6" w14:textId="3647829E"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3 843 074</w:t>
            </w:r>
          </w:p>
        </w:tc>
        <w:tc>
          <w:tcPr>
            <w:tcW w:w="578" w:type="pct"/>
            <w:tcBorders>
              <w:top w:val="single" w:sz="4" w:space="0" w:color="auto"/>
              <w:bottom w:val="single" w:sz="4" w:space="0" w:color="auto"/>
            </w:tcBorders>
            <w:shd w:val="clear" w:color="auto" w:fill="auto"/>
            <w:noWrap/>
            <w:vAlign w:val="center"/>
          </w:tcPr>
          <w:p w14:paraId="0C0666BF" w14:textId="706ACA87"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3 565 150</w:t>
            </w:r>
          </w:p>
        </w:tc>
        <w:tc>
          <w:tcPr>
            <w:tcW w:w="577" w:type="pct"/>
            <w:tcBorders>
              <w:top w:val="single" w:sz="4" w:space="0" w:color="auto"/>
              <w:bottom w:val="single" w:sz="4" w:space="0" w:color="auto"/>
            </w:tcBorders>
            <w:shd w:val="clear" w:color="auto" w:fill="auto"/>
            <w:noWrap/>
            <w:vAlign w:val="center"/>
          </w:tcPr>
          <w:p w14:paraId="6CA06308" w14:textId="4BE882CC" w:rsidR="00676479" w:rsidRPr="00110AE6" w:rsidRDefault="00676479" w:rsidP="00676479">
            <w:pPr>
              <w:tabs>
                <w:tab w:val="clear" w:pos="1247"/>
                <w:tab w:val="clear" w:pos="1814"/>
                <w:tab w:val="clear" w:pos="2381"/>
                <w:tab w:val="clear" w:pos="2948"/>
                <w:tab w:val="clear" w:pos="3515"/>
              </w:tabs>
              <w:ind w:right="70"/>
              <w:jc w:val="right"/>
              <w:rPr>
                <w:b/>
                <w:bCs/>
                <w:noProof/>
                <w:sz w:val="17"/>
                <w:szCs w:val="17"/>
                <w:lang w:val="fr-FR"/>
              </w:rPr>
            </w:pPr>
            <w:r w:rsidRPr="00110AE6">
              <w:rPr>
                <w:b/>
                <w:bCs/>
                <w:noProof/>
                <w:sz w:val="17"/>
                <w:szCs w:val="17"/>
                <w:lang w:val="fr-FR" w:eastAsia="zh-CN"/>
              </w:rPr>
              <w:t>3 843 074</w:t>
            </w:r>
          </w:p>
        </w:tc>
        <w:tc>
          <w:tcPr>
            <w:tcW w:w="601" w:type="pct"/>
            <w:tcBorders>
              <w:top w:val="single" w:sz="4" w:space="0" w:color="auto"/>
              <w:bottom w:val="single" w:sz="4" w:space="0" w:color="auto"/>
            </w:tcBorders>
            <w:shd w:val="clear" w:color="auto" w:fill="auto"/>
            <w:noWrap/>
            <w:vAlign w:val="center"/>
          </w:tcPr>
          <w:p w14:paraId="60042C34" w14:textId="31EE995D" w:rsidR="00676479" w:rsidRPr="00110AE6" w:rsidRDefault="00676479" w:rsidP="00676479">
            <w:pPr>
              <w:tabs>
                <w:tab w:val="clear" w:pos="1247"/>
                <w:tab w:val="clear" w:pos="1814"/>
                <w:tab w:val="clear" w:pos="2381"/>
                <w:tab w:val="clear" w:pos="2948"/>
                <w:tab w:val="clear" w:pos="3515"/>
              </w:tabs>
              <w:jc w:val="right"/>
              <w:rPr>
                <w:b/>
                <w:bCs/>
                <w:noProof/>
                <w:sz w:val="17"/>
                <w:szCs w:val="17"/>
                <w:lang w:val="fr-FR"/>
              </w:rPr>
            </w:pPr>
            <w:r w:rsidRPr="00110AE6">
              <w:rPr>
                <w:b/>
                <w:bCs/>
                <w:noProof/>
                <w:sz w:val="17"/>
                <w:szCs w:val="17"/>
                <w:lang w:val="fr-FR" w:eastAsia="zh-CN"/>
              </w:rPr>
              <w:t>3 834 090</w:t>
            </w:r>
          </w:p>
        </w:tc>
      </w:tr>
      <w:tr w:rsidR="00676479" w:rsidRPr="00110AE6" w14:paraId="3FE4A148" w14:textId="77777777" w:rsidTr="00A722E7">
        <w:trPr>
          <w:trHeight w:val="315"/>
        </w:trPr>
        <w:tc>
          <w:tcPr>
            <w:tcW w:w="2667" w:type="pct"/>
            <w:gridSpan w:val="2"/>
            <w:tcBorders>
              <w:top w:val="single" w:sz="4" w:space="0" w:color="auto"/>
              <w:bottom w:val="single" w:sz="4" w:space="0" w:color="auto"/>
            </w:tcBorders>
            <w:shd w:val="clear" w:color="000000" w:fill="FFFFFF"/>
            <w:noWrap/>
            <w:vAlign w:val="center"/>
            <w:hideMark/>
          </w:tcPr>
          <w:p w14:paraId="43E41E4F" w14:textId="677B0D69" w:rsidR="00676479" w:rsidRPr="00110AE6" w:rsidRDefault="00676479" w:rsidP="00676479">
            <w:pPr>
              <w:tabs>
                <w:tab w:val="clear" w:pos="1247"/>
                <w:tab w:val="clear" w:pos="1814"/>
                <w:tab w:val="clear" w:pos="2381"/>
                <w:tab w:val="clear" w:pos="2948"/>
                <w:tab w:val="clear" w:pos="3515"/>
              </w:tabs>
              <w:rPr>
                <w:b/>
                <w:bCs/>
                <w:noProof/>
                <w:sz w:val="17"/>
                <w:szCs w:val="17"/>
                <w:lang w:val="fr-FR"/>
              </w:rPr>
            </w:pPr>
            <w:r w:rsidRPr="00110AE6">
              <w:rPr>
                <w:b/>
                <w:bCs/>
                <w:noProof/>
                <w:sz w:val="17"/>
                <w:szCs w:val="17"/>
                <w:lang w:val="fr-FR"/>
              </w:rPr>
              <w:t>Montant total des ressources pour 2019</w:t>
            </w:r>
          </w:p>
        </w:tc>
        <w:tc>
          <w:tcPr>
            <w:tcW w:w="1155" w:type="pct"/>
            <w:gridSpan w:val="2"/>
            <w:tcBorders>
              <w:top w:val="single" w:sz="4" w:space="0" w:color="auto"/>
              <w:bottom w:val="single" w:sz="4" w:space="0" w:color="auto"/>
            </w:tcBorders>
            <w:shd w:val="clear" w:color="auto" w:fill="auto"/>
            <w:noWrap/>
            <w:vAlign w:val="center"/>
            <w:hideMark/>
          </w:tcPr>
          <w:p w14:paraId="216B860E" w14:textId="1D177E72" w:rsidR="00676479" w:rsidRPr="00110AE6" w:rsidRDefault="00676479" w:rsidP="00676479">
            <w:pPr>
              <w:tabs>
                <w:tab w:val="clear" w:pos="1247"/>
                <w:tab w:val="clear" w:pos="1814"/>
                <w:tab w:val="clear" w:pos="2381"/>
                <w:tab w:val="clear" w:pos="2948"/>
                <w:tab w:val="clear" w:pos="3515"/>
              </w:tabs>
              <w:jc w:val="center"/>
              <w:rPr>
                <w:b/>
                <w:bCs/>
                <w:noProof/>
                <w:sz w:val="17"/>
                <w:szCs w:val="17"/>
                <w:lang w:val="fr-FR" w:eastAsia="zh-CN"/>
              </w:rPr>
            </w:pPr>
            <w:r w:rsidRPr="00110AE6">
              <w:rPr>
                <w:b/>
                <w:bCs/>
                <w:noProof/>
                <w:sz w:val="17"/>
                <w:szCs w:val="17"/>
                <w:lang w:val="fr-FR" w:eastAsia="zh-CN"/>
              </w:rPr>
              <w:t>7 408 224</w:t>
            </w:r>
          </w:p>
        </w:tc>
        <w:tc>
          <w:tcPr>
            <w:tcW w:w="1178" w:type="pct"/>
            <w:gridSpan w:val="2"/>
            <w:tcBorders>
              <w:top w:val="single" w:sz="4" w:space="0" w:color="auto"/>
              <w:bottom w:val="single" w:sz="4" w:space="0" w:color="auto"/>
            </w:tcBorders>
            <w:shd w:val="clear" w:color="auto" w:fill="auto"/>
            <w:noWrap/>
            <w:vAlign w:val="center"/>
            <w:hideMark/>
          </w:tcPr>
          <w:p w14:paraId="35029A42" w14:textId="295AACF0" w:rsidR="00676479" w:rsidRPr="00110AE6" w:rsidRDefault="00676479" w:rsidP="00676479">
            <w:pPr>
              <w:tabs>
                <w:tab w:val="clear" w:pos="1247"/>
                <w:tab w:val="clear" w:pos="1814"/>
                <w:tab w:val="clear" w:pos="2381"/>
                <w:tab w:val="clear" w:pos="2948"/>
                <w:tab w:val="clear" w:pos="3515"/>
              </w:tabs>
              <w:jc w:val="center"/>
              <w:rPr>
                <w:b/>
                <w:bCs/>
                <w:noProof/>
                <w:sz w:val="17"/>
                <w:szCs w:val="17"/>
                <w:lang w:val="fr-FR" w:eastAsia="zh-CN"/>
              </w:rPr>
            </w:pPr>
            <w:r w:rsidRPr="00110AE6">
              <w:rPr>
                <w:b/>
                <w:bCs/>
                <w:noProof/>
                <w:sz w:val="17"/>
                <w:szCs w:val="17"/>
                <w:lang w:val="fr-FR" w:eastAsia="zh-CN"/>
              </w:rPr>
              <w:t>7 677 164</w:t>
            </w:r>
          </w:p>
        </w:tc>
      </w:tr>
    </w:tbl>
    <w:p w14:paraId="70FDB383" w14:textId="18ABA4E6" w:rsidR="00C33D0E" w:rsidRPr="00110AE6" w:rsidRDefault="00C549C5" w:rsidP="00E3777B">
      <w:pPr>
        <w:pStyle w:val="Normalnumber"/>
        <w:spacing w:before="120"/>
        <w:rPr>
          <w:noProof/>
          <w:lang w:val="fr-FR"/>
        </w:rPr>
      </w:pPr>
      <w:r w:rsidRPr="00110AE6">
        <w:rPr>
          <w:noProof/>
          <w:lang w:val="fr-FR"/>
        </w:rPr>
        <w:t>Les écarts constatés ci-dessus entre le budget approuvé et les estimations actualisées pour</w:t>
      </w:r>
      <w:r w:rsidR="005778A1" w:rsidRPr="00110AE6">
        <w:rPr>
          <w:noProof/>
          <w:lang w:val="fr-FR"/>
        </w:rPr>
        <w:t> </w:t>
      </w:r>
      <w:r w:rsidRPr="00110AE6">
        <w:rPr>
          <w:noProof/>
          <w:lang w:val="fr-FR"/>
        </w:rPr>
        <w:t>2019 pour le Fonds général d</w:t>
      </w:r>
      <w:r w:rsidR="00D05492" w:rsidRPr="00110AE6">
        <w:rPr>
          <w:noProof/>
          <w:lang w:val="fr-FR"/>
        </w:rPr>
        <w:t>’</w:t>
      </w:r>
      <w:r w:rsidRPr="00110AE6">
        <w:rPr>
          <w:noProof/>
          <w:lang w:val="fr-FR"/>
        </w:rPr>
        <w:t>affectation spéciale s</w:t>
      </w:r>
      <w:r w:rsidR="00D05492" w:rsidRPr="00110AE6">
        <w:rPr>
          <w:noProof/>
          <w:lang w:val="fr-FR"/>
        </w:rPr>
        <w:t>’</w:t>
      </w:r>
      <w:r w:rsidRPr="00110AE6">
        <w:rPr>
          <w:noProof/>
          <w:lang w:val="fr-FR"/>
        </w:rPr>
        <w:t>expliquent</w:t>
      </w:r>
      <w:r w:rsidR="00D859F8" w:rsidRPr="00110AE6">
        <w:rPr>
          <w:noProof/>
          <w:lang w:val="fr-FR"/>
        </w:rPr>
        <w:t xml:space="preserve"> par les changements suivants </w:t>
      </w:r>
      <w:r w:rsidR="00FA5356" w:rsidRPr="00110AE6">
        <w:rPr>
          <w:noProof/>
          <w:lang w:val="fr-FR"/>
        </w:rPr>
        <w:t>:</w:t>
      </w:r>
    </w:p>
    <w:p w14:paraId="3723A4A0" w14:textId="7EA70B47" w:rsidR="00E249F0" w:rsidRPr="00110AE6" w:rsidRDefault="00C549C5" w:rsidP="0082498C">
      <w:pPr>
        <w:pStyle w:val="Normalnumber"/>
        <w:numPr>
          <w:ilvl w:val="1"/>
          <w:numId w:val="4"/>
        </w:numPr>
        <w:rPr>
          <w:noProof/>
          <w:lang w:val="fr-FR"/>
        </w:rPr>
      </w:pPr>
      <w:r w:rsidRPr="00110AE6">
        <w:rPr>
          <w:noProof/>
          <w:lang w:val="fr-FR"/>
        </w:rPr>
        <w:t xml:space="preserve">A </w:t>
      </w:r>
      <w:r w:rsidR="002773FF" w:rsidRPr="00110AE6">
        <w:rPr>
          <w:noProof/>
          <w:lang w:val="fr-FR"/>
        </w:rPr>
        <w:t>(</w:t>
      </w:r>
      <w:r w:rsidRPr="00110AE6">
        <w:rPr>
          <w:noProof/>
          <w:lang w:val="fr-FR"/>
        </w:rPr>
        <w:t>Conférences et réunions</w:t>
      </w:r>
      <w:r w:rsidR="002773FF" w:rsidRPr="00110AE6">
        <w:rPr>
          <w:noProof/>
          <w:lang w:val="fr-FR"/>
        </w:rPr>
        <w:t>)</w:t>
      </w:r>
      <w:r w:rsidRPr="00110AE6">
        <w:rPr>
          <w:noProof/>
          <w:lang w:val="fr-FR"/>
        </w:rPr>
        <w:t xml:space="preserve"> : le budget approuvé pour 2019 prévoit une réunion d</w:t>
      </w:r>
      <w:r w:rsidR="00D05492" w:rsidRPr="00110AE6">
        <w:rPr>
          <w:noProof/>
          <w:lang w:val="fr-FR"/>
        </w:rPr>
        <w:t>’</w:t>
      </w:r>
      <w:r w:rsidRPr="00110AE6">
        <w:rPr>
          <w:noProof/>
          <w:lang w:val="fr-FR"/>
        </w:rPr>
        <w:t>experts intersession. À la suite</w:t>
      </w:r>
      <w:r w:rsidR="005778A1" w:rsidRPr="00110AE6">
        <w:rPr>
          <w:noProof/>
          <w:lang w:val="fr-FR"/>
        </w:rPr>
        <w:t xml:space="preserve"> des préparatifs de la deuxième </w:t>
      </w:r>
      <w:r w:rsidRPr="00110AE6">
        <w:rPr>
          <w:noProof/>
          <w:lang w:val="fr-FR"/>
        </w:rPr>
        <w:t>réunion de la Conférence des Parties, le sec</w:t>
      </w:r>
      <w:r w:rsidR="005778A1" w:rsidRPr="00110AE6">
        <w:rPr>
          <w:noProof/>
          <w:lang w:val="fr-FR"/>
        </w:rPr>
        <w:t>rétariat prévoit désormais deux </w:t>
      </w:r>
      <w:r w:rsidRPr="00110AE6">
        <w:rPr>
          <w:noProof/>
          <w:lang w:val="fr-FR"/>
        </w:rPr>
        <w:t>réunions d</w:t>
      </w:r>
      <w:r w:rsidR="00D05492" w:rsidRPr="00110AE6">
        <w:rPr>
          <w:noProof/>
          <w:lang w:val="fr-FR"/>
        </w:rPr>
        <w:t>’</w:t>
      </w:r>
      <w:r w:rsidRPr="00110AE6">
        <w:rPr>
          <w:noProof/>
          <w:lang w:val="fr-FR"/>
        </w:rPr>
        <w:t>experts intersession en 2019 : une réunion du groupe spécial d</w:t>
      </w:r>
      <w:r w:rsidR="00D05492" w:rsidRPr="00110AE6">
        <w:rPr>
          <w:noProof/>
          <w:lang w:val="fr-FR"/>
        </w:rPr>
        <w:t>’</w:t>
      </w:r>
      <w:r w:rsidRPr="00110AE6">
        <w:rPr>
          <w:noProof/>
          <w:lang w:val="fr-FR"/>
        </w:rPr>
        <w:t>experts sur l</w:t>
      </w:r>
      <w:r w:rsidR="00D05492" w:rsidRPr="00110AE6">
        <w:rPr>
          <w:noProof/>
          <w:lang w:val="fr-FR"/>
        </w:rPr>
        <w:t>’</w:t>
      </w:r>
      <w:r w:rsidRPr="00110AE6">
        <w:rPr>
          <w:noProof/>
          <w:lang w:val="fr-FR"/>
        </w:rPr>
        <w:t>évaluation de l</w:t>
      </w:r>
      <w:r w:rsidR="00D05492" w:rsidRPr="00110AE6">
        <w:rPr>
          <w:noProof/>
          <w:lang w:val="fr-FR"/>
        </w:rPr>
        <w:t>’</w:t>
      </w:r>
      <w:r w:rsidRPr="00110AE6">
        <w:rPr>
          <w:noProof/>
          <w:lang w:val="fr-FR"/>
        </w:rPr>
        <w:t>efficacité (voir UNEP/MC/COP.2/13) et une réunion du processus ouvert sur les seuils applicables aux déchets (voir UNEP/MC/COP.2/6). L</w:t>
      </w:r>
      <w:r w:rsidR="00FA5356" w:rsidRPr="00110AE6">
        <w:rPr>
          <w:noProof/>
          <w:lang w:val="fr-FR"/>
        </w:rPr>
        <w:t>e budget a donc été porté à 170 000 </w:t>
      </w:r>
      <w:r w:rsidRPr="00110AE6">
        <w:rPr>
          <w:noProof/>
          <w:lang w:val="fr-FR"/>
        </w:rPr>
        <w:t>dollars pour financer les deux réunions, so</w:t>
      </w:r>
      <w:r w:rsidR="005778A1" w:rsidRPr="00110AE6">
        <w:rPr>
          <w:noProof/>
          <w:lang w:val="fr-FR"/>
        </w:rPr>
        <w:t>it 85 000 </w:t>
      </w:r>
      <w:r w:rsidR="00FA5356" w:rsidRPr="00110AE6">
        <w:rPr>
          <w:noProof/>
          <w:lang w:val="fr-FR"/>
        </w:rPr>
        <w:t>dollars pour chacune ;</w:t>
      </w:r>
    </w:p>
    <w:p w14:paraId="26E3AEEA" w14:textId="130DAFE8" w:rsidR="00E249F0" w:rsidRPr="00110AE6" w:rsidRDefault="00CF1E5C" w:rsidP="0082498C">
      <w:pPr>
        <w:pStyle w:val="Normalnumber"/>
        <w:numPr>
          <w:ilvl w:val="1"/>
          <w:numId w:val="4"/>
        </w:numPr>
        <w:rPr>
          <w:noProof/>
          <w:lang w:val="fr-FR"/>
        </w:rPr>
      </w:pPr>
      <w:r w:rsidRPr="00110AE6">
        <w:rPr>
          <w:noProof/>
          <w:lang w:val="fr-FR"/>
        </w:rPr>
        <w:t>Pour le Bureau, le budget approuvé pour 2019 permet d</w:t>
      </w:r>
      <w:r w:rsidR="00D05492" w:rsidRPr="00110AE6">
        <w:rPr>
          <w:noProof/>
          <w:lang w:val="fr-FR"/>
        </w:rPr>
        <w:t>’</w:t>
      </w:r>
      <w:r w:rsidRPr="00110AE6">
        <w:rPr>
          <w:noProof/>
          <w:lang w:val="fr-FR"/>
        </w:rPr>
        <w:t>organise</w:t>
      </w:r>
      <w:r w:rsidR="005778A1" w:rsidRPr="00110AE6">
        <w:rPr>
          <w:noProof/>
          <w:lang w:val="fr-FR"/>
        </w:rPr>
        <w:t>r une réunion après la deuxième </w:t>
      </w:r>
      <w:r w:rsidRPr="00110AE6">
        <w:rPr>
          <w:noProof/>
          <w:lang w:val="fr-FR"/>
        </w:rPr>
        <w:t xml:space="preserve">réunion de la Conférence des Parties, mais le secrétariat estime maintenant que deux réunions seront nécessaires, et </w:t>
      </w:r>
      <w:r w:rsidR="005778A1" w:rsidRPr="00110AE6">
        <w:rPr>
          <w:noProof/>
          <w:lang w:val="fr-FR"/>
        </w:rPr>
        <w:t>le budget a donc été porté à 50 000 </w:t>
      </w:r>
      <w:r w:rsidRPr="00110AE6">
        <w:rPr>
          <w:noProof/>
          <w:lang w:val="fr-FR"/>
        </w:rPr>
        <w:t>dollars</w:t>
      </w:r>
      <w:r w:rsidR="00FA5356" w:rsidRPr="00110AE6">
        <w:rPr>
          <w:noProof/>
          <w:lang w:val="fr-FR"/>
        </w:rPr>
        <w:t> </w:t>
      </w:r>
      <w:r w:rsidRPr="00110AE6">
        <w:rPr>
          <w:noProof/>
          <w:lang w:val="fr-FR"/>
        </w:rPr>
        <w:t>;</w:t>
      </w:r>
    </w:p>
    <w:p w14:paraId="49D9E8A8" w14:textId="588035E7" w:rsidR="00C33D0E" w:rsidRPr="00110AE6" w:rsidRDefault="00CF1E5C" w:rsidP="0082498C">
      <w:pPr>
        <w:pStyle w:val="Normalnumber"/>
        <w:numPr>
          <w:ilvl w:val="1"/>
          <w:numId w:val="4"/>
        </w:numPr>
        <w:rPr>
          <w:noProof/>
          <w:lang w:val="fr-FR"/>
        </w:rPr>
      </w:pPr>
      <w:r w:rsidRPr="00110AE6">
        <w:rPr>
          <w:noProof/>
          <w:lang w:val="fr-FR"/>
        </w:rPr>
        <w:t>Pour le Comité de mise en œuvre et du respect des obligations, le budget approuvé pour</w:t>
      </w:r>
      <w:r w:rsidR="005778A1" w:rsidRPr="00110AE6">
        <w:rPr>
          <w:noProof/>
          <w:lang w:val="fr-FR"/>
        </w:rPr>
        <w:t> </w:t>
      </w:r>
      <w:r w:rsidRPr="00110AE6">
        <w:rPr>
          <w:noProof/>
          <w:lang w:val="fr-FR"/>
        </w:rPr>
        <w:t>2019 permet d</w:t>
      </w:r>
      <w:r w:rsidR="00D05492" w:rsidRPr="00110AE6">
        <w:rPr>
          <w:noProof/>
          <w:lang w:val="fr-FR"/>
        </w:rPr>
        <w:t>’</w:t>
      </w:r>
      <w:r w:rsidRPr="00110AE6">
        <w:rPr>
          <w:noProof/>
          <w:lang w:val="fr-FR"/>
        </w:rPr>
        <w:t>organiser une réunion</w:t>
      </w:r>
      <w:r w:rsidR="00FA5356" w:rsidRPr="00110AE6">
        <w:rPr>
          <w:noProof/>
          <w:lang w:val="fr-FR"/>
        </w:rPr>
        <w:t> </w:t>
      </w:r>
      <w:r w:rsidRPr="00110AE6">
        <w:rPr>
          <w:noProof/>
          <w:lang w:val="fr-FR"/>
        </w:rPr>
        <w:t>; toutefois, compte tenu des débats tenus et des projets que le Comité a formulés lors de sa première réunion</w:t>
      </w:r>
      <w:r w:rsidR="000B7D2E" w:rsidRPr="00110AE6">
        <w:rPr>
          <w:noProof/>
          <w:vertAlign w:val="superscript"/>
          <w:lang w:val="fr-FR"/>
        </w:rPr>
        <w:footnoteReference w:id="3"/>
      </w:r>
      <w:r w:rsidRPr="00110AE6">
        <w:rPr>
          <w:noProof/>
          <w:lang w:val="fr-FR"/>
        </w:rPr>
        <w:t xml:space="preserve">, le secrétariat estime désormais que deux réunions seront nécessaires. </w:t>
      </w:r>
      <w:r w:rsidR="005778A1" w:rsidRPr="00110AE6">
        <w:rPr>
          <w:noProof/>
          <w:lang w:val="fr-FR"/>
        </w:rPr>
        <w:t>Le budget a donc été porté à 50 000 </w:t>
      </w:r>
      <w:r w:rsidRPr="00110AE6">
        <w:rPr>
          <w:noProof/>
          <w:lang w:val="fr-FR"/>
        </w:rPr>
        <w:t>dollars</w:t>
      </w:r>
      <w:r w:rsidR="00FA5356" w:rsidRPr="00110AE6">
        <w:rPr>
          <w:noProof/>
          <w:lang w:val="fr-FR"/>
        </w:rPr>
        <w:t> </w:t>
      </w:r>
      <w:r w:rsidRPr="00110AE6">
        <w:rPr>
          <w:noProof/>
          <w:lang w:val="fr-FR"/>
        </w:rPr>
        <w:t>;</w:t>
      </w:r>
    </w:p>
    <w:p w14:paraId="7C7CECB0" w14:textId="3CAABF5E" w:rsidR="00782BC9" w:rsidRPr="00110AE6" w:rsidRDefault="003855FD" w:rsidP="0075727D">
      <w:pPr>
        <w:pStyle w:val="Normalnumber"/>
        <w:numPr>
          <w:ilvl w:val="1"/>
          <w:numId w:val="4"/>
        </w:numPr>
        <w:rPr>
          <w:noProof/>
          <w:lang w:val="fr-FR"/>
        </w:rPr>
      </w:pPr>
      <w:r w:rsidRPr="00110AE6">
        <w:rPr>
          <w:noProof/>
          <w:lang w:val="fr-FR"/>
        </w:rPr>
        <w:t>En ce q</w:t>
      </w:r>
      <w:r w:rsidR="005778A1" w:rsidRPr="00110AE6">
        <w:rPr>
          <w:noProof/>
          <w:lang w:val="fr-FR"/>
        </w:rPr>
        <w:t>ui concerne le poste budgétaire </w:t>
      </w:r>
      <w:r w:rsidRPr="00110AE6">
        <w:rPr>
          <w:noProof/>
          <w:lang w:val="fr-FR"/>
        </w:rPr>
        <w:t>A, la Conférence des Parties est invitée à décider que le</w:t>
      </w:r>
      <w:r w:rsidR="00657F55" w:rsidRPr="00110AE6">
        <w:rPr>
          <w:noProof/>
          <w:lang w:val="fr-FR"/>
        </w:rPr>
        <w:t xml:space="preserve"> montant de</w:t>
      </w:r>
      <w:r w:rsidRPr="00110AE6">
        <w:rPr>
          <w:noProof/>
          <w:lang w:val="fr-FR"/>
        </w:rPr>
        <w:t>s économies réalisées au titre des coûts directs associés à l</w:t>
      </w:r>
      <w:r w:rsidR="00D05492" w:rsidRPr="00110AE6">
        <w:rPr>
          <w:noProof/>
          <w:lang w:val="fr-FR"/>
        </w:rPr>
        <w:t>’</w:t>
      </w:r>
      <w:r w:rsidRPr="00110AE6">
        <w:rPr>
          <w:noProof/>
          <w:lang w:val="fr-FR"/>
        </w:rPr>
        <w:t xml:space="preserve">organisation des conférences </w:t>
      </w:r>
      <w:r w:rsidR="00657F55" w:rsidRPr="00110AE6">
        <w:rPr>
          <w:noProof/>
          <w:lang w:val="fr-FR"/>
        </w:rPr>
        <w:t xml:space="preserve">serve </w:t>
      </w:r>
      <w:r w:rsidRPr="00110AE6">
        <w:rPr>
          <w:noProof/>
          <w:lang w:val="fr-FR"/>
        </w:rPr>
        <w:t>à aider les pays en développement et en transition qui sont en train de ratifier ou d</w:t>
      </w:r>
      <w:r w:rsidR="00D05492" w:rsidRPr="00110AE6">
        <w:rPr>
          <w:noProof/>
          <w:lang w:val="fr-FR"/>
        </w:rPr>
        <w:t>’</w:t>
      </w:r>
      <w:r w:rsidRPr="00110AE6">
        <w:rPr>
          <w:noProof/>
          <w:lang w:val="fr-FR"/>
        </w:rPr>
        <w:t>adhérer la Convention ou qui sont en train d</w:t>
      </w:r>
      <w:r w:rsidR="00D05492" w:rsidRPr="00110AE6">
        <w:rPr>
          <w:noProof/>
          <w:lang w:val="fr-FR"/>
        </w:rPr>
        <w:t>’</w:t>
      </w:r>
      <w:r w:rsidRPr="00110AE6">
        <w:rPr>
          <w:noProof/>
          <w:lang w:val="fr-FR"/>
        </w:rPr>
        <w:t xml:space="preserve">adopter et de mettre en </w:t>
      </w:r>
      <w:r w:rsidR="00FA5356" w:rsidRPr="00110AE6">
        <w:rPr>
          <w:noProof/>
          <w:lang w:val="fr-FR"/>
        </w:rPr>
        <w:t>œuvre</w:t>
      </w:r>
      <w:r w:rsidRPr="00110AE6">
        <w:rPr>
          <w:noProof/>
          <w:lang w:val="fr-FR"/>
        </w:rPr>
        <w:t xml:space="preserve"> les directives et autres documents d</w:t>
      </w:r>
      <w:r w:rsidR="00D05492" w:rsidRPr="00110AE6">
        <w:rPr>
          <w:noProof/>
          <w:lang w:val="fr-FR"/>
        </w:rPr>
        <w:t>’</w:t>
      </w:r>
      <w:r w:rsidRPr="00110AE6">
        <w:rPr>
          <w:noProof/>
          <w:lang w:val="fr-FR"/>
        </w:rPr>
        <w:t>orientation adoptés par la Conférence des Parties, même s</w:t>
      </w:r>
      <w:r w:rsidR="00D05492" w:rsidRPr="00110AE6">
        <w:rPr>
          <w:noProof/>
          <w:lang w:val="fr-FR"/>
        </w:rPr>
        <w:t>’</w:t>
      </w:r>
      <w:r w:rsidRPr="00110AE6">
        <w:rPr>
          <w:noProof/>
          <w:lang w:val="fr-FR"/>
        </w:rPr>
        <w:t>ils ne sont pas encore parties à la Convention</w:t>
      </w:r>
      <w:r w:rsidR="00FA5356" w:rsidRPr="00110AE6">
        <w:rPr>
          <w:noProof/>
          <w:lang w:val="fr-FR"/>
        </w:rPr>
        <w:t> </w:t>
      </w:r>
      <w:r w:rsidRPr="00110AE6">
        <w:rPr>
          <w:noProof/>
          <w:lang w:val="fr-FR"/>
        </w:rPr>
        <w:t>;</w:t>
      </w:r>
    </w:p>
    <w:p w14:paraId="583B4BE6" w14:textId="6BAB35CA" w:rsidR="00E01065" w:rsidRPr="00110AE6" w:rsidRDefault="0076712C" w:rsidP="0082498C">
      <w:pPr>
        <w:pStyle w:val="Normalnumber"/>
        <w:numPr>
          <w:ilvl w:val="1"/>
          <w:numId w:val="4"/>
        </w:numPr>
        <w:rPr>
          <w:noProof/>
          <w:lang w:val="fr-FR"/>
        </w:rPr>
      </w:pPr>
      <w:r w:rsidRPr="00110AE6">
        <w:rPr>
          <w:noProof/>
          <w:lang w:val="fr-FR"/>
        </w:rPr>
        <w:t>D (Gestion des connaissances et de l</w:t>
      </w:r>
      <w:r w:rsidR="00D05492" w:rsidRPr="00110AE6">
        <w:rPr>
          <w:noProof/>
          <w:lang w:val="fr-FR"/>
        </w:rPr>
        <w:t>’</w:t>
      </w:r>
      <w:r w:rsidRPr="00110AE6">
        <w:rPr>
          <w:noProof/>
          <w:lang w:val="fr-FR"/>
        </w:rPr>
        <w:t>information et sensibilisa</w:t>
      </w:r>
      <w:r w:rsidR="005778A1" w:rsidRPr="00110AE6">
        <w:rPr>
          <w:noProof/>
          <w:lang w:val="fr-FR"/>
        </w:rPr>
        <w:t>tion) : le budget approuvé pour 2019 prévoit 50 000 </w:t>
      </w:r>
      <w:r w:rsidRPr="00110AE6">
        <w:rPr>
          <w:noProof/>
          <w:lang w:val="fr-FR"/>
        </w:rPr>
        <w:t>dollars pour ces activités. Toutef</w:t>
      </w:r>
      <w:r w:rsidR="005778A1" w:rsidRPr="00110AE6">
        <w:rPr>
          <w:noProof/>
          <w:lang w:val="fr-FR"/>
        </w:rPr>
        <w:t>ois, les activités prévues pour </w:t>
      </w:r>
      <w:r w:rsidRPr="00110AE6">
        <w:rPr>
          <w:noProof/>
          <w:lang w:val="fr-FR"/>
        </w:rPr>
        <w:t>2018, dont le budget s</w:t>
      </w:r>
      <w:r w:rsidR="00D05492" w:rsidRPr="00110AE6">
        <w:rPr>
          <w:noProof/>
          <w:lang w:val="fr-FR"/>
        </w:rPr>
        <w:t>’</w:t>
      </w:r>
      <w:r w:rsidRPr="00110AE6">
        <w:rPr>
          <w:noProof/>
          <w:lang w:val="fr-FR"/>
        </w:rPr>
        <w:t>élè</w:t>
      </w:r>
      <w:r w:rsidR="005778A1" w:rsidRPr="00110AE6">
        <w:rPr>
          <w:noProof/>
          <w:lang w:val="fr-FR"/>
        </w:rPr>
        <w:t>ve à 100 000 </w:t>
      </w:r>
      <w:r w:rsidRPr="00110AE6">
        <w:rPr>
          <w:noProof/>
          <w:lang w:val="fr-FR"/>
        </w:rPr>
        <w:t>dollars, n</w:t>
      </w:r>
      <w:r w:rsidR="00D05492" w:rsidRPr="00110AE6">
        <w:rPr>
          <w:noProof/>
          <w:lang w:val="fr-FR"/>
        </w:rPr>
        <w:t>’</w:t>
      </w:r>
      <w:r w:rsidRPr="00110AE6">
        <w:rPr>
          <w:noProof/>
          <w:lang w:val="fr-FR"/>
        </w:rPr>
        <w:t>ont pas encore commencé car les postes correspondants n</w:t>
      </w:r>
      <w:r w:rsidR="00D05492" w:rsidRPr="00110AE6">
        <w:rPr>
          <w:noProof/>
          <w:lang w:val="fr-FR"/>
        </w:rPr>
        <w:t>’</w:t>
      </w:r>
      <w:r w:rsidRPr="00110AE6">
        <w:rPr>
          <w:noProof/>
          <w:lang w:val="fr-FR"/>
        </w:rPr>
        <w:t>ont pas encore été pourvus. Le recrutement devrait être achevé d</w:t>
      </w:r>
      <w:r w:rsidR="00D05492" w:rsidRPr="00110AE6">
        <w:rPr>
          <w:noProof/>
          <w:lang w:val="fr-FR"/>
        </w:rPr>
        <w:t>’</w:t>
      </w:r>
      <w:r w:rsidRPr="00110AE6">
        <w:rPr>
          <w:noProof/>
          <w:lang w:val="fr-FR"/>
        </w:rPr>
        <w:t>ici à 201</w:t>
      </w:r>
      <w:r w:rsidR="005778A1" w:rsidRPr="00110AE6">
        <w:rPr>
          <w:noProof/>
          <w:lang w:val="fr-FR"/>
        </w:rPr>
        <w:t>9 et les activités prévues pour </w:t>
      </w:r>
      <w:r w:rsidRPr="00110AE6">
        <w:rPr>
          <w:noProof/>
          <w:lang w:val="fr-FR"/>
        </w:rPr>
        <w:t>2018 ont ainsi été reportées à 2019.</w:t>
      </w:r>
      <w:r w:rsidR="009E3F15" w:rsidRPr="00110AE6">
        <w:rPr>
          <w:noProof/>
          <w:lang w:val="fr-FR"/>
        </w:rPr>
        <w:t xml:space="preserve"> </w:t>
      </w:r>
      <w:r w:rsidRPr="00110AE6">
        <w:rPr>
          <w:noProof/>
          <w:lang w:val="fr-FR"/>
        </w:rPr>
        <w:t>En conséquence, le budget de 201</w:t>
      </w:r>
      <w:r w:rsidR="005778A1" w:rsidRPr="00110AE6">
        <w:rPr>
          <w:noProof/>
          <w:lang w:val="fr-FR"/>
        </w:rPr>
        <w:t>9 a été porté à 150 000 </w:t>
      </w:r>
      <w:r w:rsidRPr="00110AE6">
        <w:rPr>
          <w:noProof/>
          <w:lang w:val="fr-FR"/>
        </w:rPr>
        <w:t>dollars</w:t>
      </w:r>
      <w:r w:rsidR="00FA5356" w:rsidRPr="00110AE6">
        <w:rPr>
          <w:noProof/>
          <w:lang w:val="fr-FR"/>
        </w:rPr>
        <w:t> </w:t>
      </w:r>
      <w:r w:rsidRPr="00110AE6">
        <w:rPr>
          <w:noProof/>
          <w:lang w:val="fr-FR"/>
        </w:rPr>
        <w:t>;</w:t>
      </w:r>
    </w:p>
    <w:p w14:paraId="33FE2ABD" w14:textId="0E4D6624" w:rsidR="0075727D" w:rsidRPr="00110AE6" w:rsidRDefault="0075727D" w:rsidP="0082498C">
      <w:pPr>
        <w:pStyle w:val="Normalnumber"/>
        <w:numPr>
          <w:ilvl w:val="1"/>
          <w:numId w:val="4"/>
        </w:numPr>
        <w:rPr>
          <w:noProof/>
          <w:lang w:val="fr-FR"/>
        </w:rPr>
      </w:pPr>
      <w:r w:rsidRPr="00110AE6">
        <w:rPr>
          <w:noProof/>
          <w:lang w:val="fr-FR"/>
        </w:rPr>
        <w:t>F (Activités juridiques et de politique générale) : la Convention étant un instrument récent qui vise à être ratifié par tous les pays du monde – un certain nombre de pays se préparant actuellement à la ratifier ou à y adhérer – et qui doit favoriser l</w:t>
      </w:r>
      <w:r w:rsidR="00D05492" w:rsidRPr="00110AE6">
        <w:rPr>
          <w:noProof/>
          <w:lang w:val="fr-FR"/>
        </w:rPr>
        <w:t>’</w:t>
      </w:r>
      <w:r w:rsidRPr="00110AE6">
        <w:rPr>
          <w:noProof/>
          <w:lang w:val="fr-FR"/>
        </w:rPr>
        <w:t xml:space="preserve">accès à des financements pour la mise en </w:t>
      </w:r>
      <w:r w:rsidR="00FA5356" w:rsidRPr="00110AE6">
        <w:rPr>
          <w:noProof/>
          <w:lang w:val="fr-FR"/>
        </w:rPr>
        <w:t>œuvre</w:t>
      </w:r>
      <w:r w:rsidRPr="00110AE6">
        <w:rPr>
          <w:noProof/>
          <w:lang w:val="fr-FR"/>
        </w:rPr>
        <w:t>, le secrétariat demande dès maintenant à la Conférence des Parties l</w:t>
      </w:r>
      <w:r w:rsidR="00D05492" w:rsidRPr="00110AE6">
        <w:rPr>
          <w:noProof/>
          <w:lang w:val="fr-FR"/>
        </w:rPr>
        <w:t>’</w:t>
      </w:r>
      <w:r w:rsidR="005778A1" w:rsidRPr="00110AE6">
        <w:rPr>
          <w:noProof/>
          <w:lang w:val="fr-FR"/>
        </w:rPr>
        <w:t>autorisation</w:t>
      </w:r>
      <w:r w:rsidR="009E1EFC" w:rsidRPr="00110AE6">
        <w:rPr>
          <w:noProof/>
          <w:lang w:val="fr-FR"/>
        </w:rPr>
        <w:t xml:space="preserve"> de dépenser 150 000 dollars en </w:t>
      </w:r>
      <w:r w:rsidRPr="00110AE6">
        <w:rPr>
          <w:noProof/>
          <w:lang w:val="fr-FR"/>
        </w:rPr>
        <w:t>2019 aux fins de l</w:t>
      </w:r>
      <w:r w:rsidR="00D05492" w:rsidRPr="00110AE6">
        <w:rPr>
          <w:noProof/>
          <w:lang w:val="fr-FR"/>
        </w:rPr>
        <w:t>’</w:t>
      </w:r>
      <w:r w:rsidRPr="00110AE6">
        <w:rPr>
          <w:noProof/>
          <w:lang w:val="fr-FR"/>
        </w:rPr>
        <w:t>appui aux processus de ratification et d</w:t>
      </w:r>
      <w:r w:rsidR="00D05492" w:rsidRPr="00110AE6">
        <w:rPr>
          <w:noProof/>
          <w:lang w:val="fr-FR"/>
        </w:rPr>
        <w:t>’</w:t>
      </w:r>
      <w:r w:rsidRPr="00110AE6">
        <w:rPr>
          <w:noProof/>
          <w:lang w:val="fr-FR"/>
        </w:rPr>
        <w:t>adhésion ainsi que d</w:t>
      </w:r>
      <w:r w:rsidR="00D05492" w:rsidRPr="00110AE6">
        <w:rPr>
          <w:noProof/>
          <w:lang w:val="fr-FR"/>
        </w:rPr>
        <w:t>’</w:t>
      </w:r>
      <w:r w:rsidRPr="00110AE6">
        <w:rPr>
          <w:noProof/>
          <w:lang w:val="fr-FR"/>
        </w:rPr>
        <w:t xml:space="preserve">adoption et de mise en </w:t>
      </w:r>
      <w:r w:rsidR="00FA5356" w:rsidRPr="00110AE6">
        <w:rPr>
          <w:noProof/>
          <w:lang w:val="fr-FR"/>
        </w:rPr>
        <w:t>œuvre</w:t>
      </w:r>
      <w:r w:rsidRPr="00110AE6">
        <w:rPr>
          <w:noProof/>
          <w:lang w:val="fr-FR"/>
        </w:rPr>
        <w:t xml:space="preserve"> des directives et autres documents d</w:t>
      </w:r>
      <w:r w:rsidR="00D05492" w:rsidRPr="00110AE6">
        <w:rPr>
          <w:noProof/>
          <w:lang w:val="fr-FR"/>
        </w:rPr>
        <w:t>’</w:t>
      </w:r>
      <w:r w:rsidRPr="00110AE6">
        <w:rPr>
          <w:noProof/>
          <w:lang w:val="fr-FR"/>
        </w:rPr>
        <w:t xml:space="preserve">orientation adoptés par la Conférence des Parties, y compris pour les pays qui sont en train de devenir parties mais ont déjà commencé à </w:t>
      </w:r>
      <w:r w:rsidR="00FA5356" w:rsidRPr="00110AE6">
        <w:rPr>
          <w:noProof/>
          <w:lang w:val="fr-FR"/>
        </w:rPr>
        <w:t>œuvrer</w:t>
      </w:r>
      <w:r w:rsidRPr="00110AE6">
        <w:rPr>
          <w:noProof/>
          <w:lang w:val="fr-FR"/>
        </w:rPr>
        <w:t xml:space="preserve"> à l</w:t>
      </w:r>
      <w:r w:rsidR="00D05492" w:rsidRPr="00110AE6">
        <w:rPr>
          <w:noProof/>
          <w:lang w:val="fr-FR"/>
        </w:rPr>
        <w:t>’</w:t>
      </w:r>
      <w:r w:rsidRPr="00110AE6">
        <w:rPr>
          <w:noProof/>
          <w:lang w:val="fr-FR"/>
        </w:rPr>
        <w:t xml:space="preserve">adoption et à la mise en </w:t>
      </w:r>
      <w:r w:rsidR="00FA5356" w:rsidRPr="00110AE6">
        <w:rPr>
          <w:noProof/>
          <w:lang w:val="fr-FR"/>
        </w:rPr>
        <w:t>œuvre</w:t>
      </w:r>
      <w:r w:rsidRPr="00110AE6">
        <w:rPr>
          <w:noProof/>
          <w:lang w:val="fr-FR"/>
        </w:rPr>
        <w:t>.</w:t>
      </w:r>
    </w:p>
    <w:p w14:paraId="4512B125" w14:textId="1EDD435C" w:rsidR="00E01065" w:rsidRPr="00110AE6" w:rsidDel="00A463A9" w:rsidRDefault="0076712C" w:rsidP="00A463A9">
      <w:pPr>
        <w:pStyle w:val="Normalnumber"/>
        <w:rPr>
          <w:noProof/>
          <w:lang w:val="fr-FR"/>
        </w:rPr>
      </w:pPr>
      <w:r w:rsidRPr="00110AE6">
        <w:rPr>
          <w:noProof/>
          <w:lang w:val="fr-FR"/>
        </w:rPr>
        <w:t>Tel qu</w:t>
      </w:r>
      <w:r w:rsidR="00D05492" w:rsidRPr="00110AE6">
        <w:rPr>
          <w:noProof/>
          <w:lang w:val="fr-FR"/>
        </w:rPr>
        <w:t>’</w:t>
      </w:r>
      <w:r w:rsidRPr="00110AE6">
        <w:rPr>
          <w:noProof/>
          <w:lang w:val="fr-FR"/>
        </w:rPr>
        <w:t>il ressort des chiffres indiqués dans le table</w:t>
      </w:r>
      <w:r w:rsidR="005778A1" w:rsidRPr="00110AE6">
        <w:rPr>
          <w:noProof/>
          <w:lang w:val="fr-FR"/>
        </w:rPr>
        <w:t>au ci-dessus</w:t>
      </w:r>
      <w:r w:rsidR="00657F55" w:rsidRPr="00110AE6">
        <w:rPr>
          <w:noProof/>
          <w:lang w:val="fr-FR"/>
        </w:rPr>
        <w:t xml:space="preserve"> à la rubrique C</w:t>
      </w:r>
      <w:r w:rsidR="005778A1" w:rsidRPr="00110AE6">
        <w:rPr>
          <w:noProof/>
          <w:lang w:val="fr-FR"/>
        </w:rPr>
        <w:t>, le montant de 238</w:t>
      </w:r>
      <w:r w:rsidR="009E1EFC" w:rsidRPr="00110AE6">
        <w:rPr>
          <w:noProof/>
          <w:lang w:val="fr-FR"/>
        </w:rPr>
        <w:t> </w:t>
      </w:r>
      <w:r w:rsidR="005778A1" w:rsidRPr="00110AE6">
        <w:rPr>
          <w:noProof/>
          <w:lang w:val="fr-FR"/>
        </w:rPr>
        <w:t>000 dollars inclus pour </w:t>
      </w:r>
      <w:r w:rsidRPr="00110AE6">
        <w:rPr>
          <w:noProof/>
          <w:lang w:val="fr-FR"/>
        </w:rPr>
        <w:t>2019 au titre du Fonds d</w:t>
      </w:r>
      <w:r w:rsidR="00D05492" w:rsidRPr="00110AE6">
        <w:rPr>
          <w:noProof/>
          <w:lang w:val="fr-FR"/>
        </w:rPr>
        <w:t>’</w:t>
      </w:r>
      <w:r w:rsidRPr="00110AE6">
        <w:rPr>
          <w:noProof/>
          <w:lang w:val="fr-FR"/>
        </w:rPr>
        <w:t>affectation spéciale à des fins déterminées pour les activités scientifiques et techniques est financé au moy</w:t>
      </w:r>
      <w:r w:rsidR="00FA5356" w:rsidRPr="00110AE6">
        <w:rPr>
          <w:noProof/>
          <w:lang w:val="fr-FR"/>
        </w:rPr>
        <w:t>en d</w:t>
      </w:r>
      <w:r w:rsidR="00D05492" w:rsidRPr="00110AE6">
        <w:rPr>
          <w:noProof/>
          <w:lang w:val="fr-FR"/>
        </w:rPr>
        <w:t>’</w:t>
      </w:r>
      <w:r w:rsidR="00FA5356" w:rsidRPr="00110AE6">
        <w:rPr>
          <w:noProof/>
          <w:lang w:val="fr-FR"/>
        </w:rPr>
        <w:t>une contribution du Japon.</w:t>
      </w:r>
    </w:p>
    <w:p w14:paraId="1A4D14A5" w14:textId="304DA14B" w:rsidR="00576456" w:rsidRPr="00110AE6" w:rsidRDefault="0076712C" w:rsidP="0082498C">
      <w:pPr>
        <w:pStyle w:val="Normalnumber"/>
        <w:rPr>
          <w:noProof/>
          <w:lang w:val="fr-FR"/>
        </w:rPr>
      </w:pPr>
      <w:r w:rsidRPr="00110AE6">
        <w:rPr>
          <w:noProof/>
          <w:lang w:val="fr-FR"/>
        </w:rPr>
        <w:t>Le secrétariat a établi un programme de travail et un tableau budgétaire détaillé qui renseigne sur les travaux prévus pour 2019, y compris le mandat, les activités et les produits, les coûts associés à certaines activités et les journées personnel par poste budgétaire. Ledit tableau figure dans l</w:t>
      </w:r>
      <w:r w:rsidR="00D05492" w:rsidRPr="00110AE6">
        <w:rPr>
          <w:noProof/>
          <w:lang w:val="fr-FR"/>
        </w:rPr>
        <w:t>’</w:t>
      </w:r>
      <w:r w:rsidRPr="00110AE6">
        <w:rPr>
          <w:noProof/>
          <w:lang w:val="fr-FR"/>
        </w:rPr>
        <w:t>annexe du</w:t>
      </w:r>
      <w:r w:rsidR="00FA5356" w:rsidRPr="00110AE6">
        <w:rPr>
          <w:noProof/>
          <w:lang w:val="fr-FR"/>
        </w:rPr>
        <w:t xml:space="preserve"> document UNEP/MC/COP.2/INF/9.</w:t>
      </w:r>
    </w:p>
    <w:p w14:paraId="26C73D6E" w14:textId="5E8412F9" w:rsidR="00F727F9" w:rsidRPr="00110AE6" w:rsidRDefault="0076712C" w:rsidP="009A21C5">
      <w:pPr>
        <w:pStyle w:val="Normalnumber"/>
        <w:rPr>
          <w:noProof/>
          <w:lang w:val="fr-FR"/>
        </w:rPr>
      </w:pPr>
      <w:r w:rsidRPr="00110AE6">
        <w:rPr>
          <w:noProof/>
          <w:lang w:val="fr-FR"/>
        </w:rPr>
        <w:t>Le secrétariat estime que les économies réalisées en</w:t>
      </w:r>
      <w:r w:rsidR="005778A1" w:rsidRPr="00110AE6">
        <w:rPr>
          <w:noProof/>
          <w:lang w:val="fr-FR"/>
        </w:rPr>
        <w:t> </w:t>
      </w:r>
      <w:r w:rsidRPr="00110AE6">
        <w:rPr>
          <w:noProof/>
          <w:lang w:val="fr-FR"/>
        </w:rPr>
        <w:t>2018 financer</w:t>
      </w:r>
      <w:r w:rsidR="00657F55" w:rsidRPr="00110AE6">
        <w:rPr>
          <w:noProof/>
          <w:lang w:val="fr-FR"/>
        </w:rPr>
        <w:t>ont</w:t>
      </w:r>
      <w:r w:rsidRPr="00110AE6">
        <w:rPr>
          <w:noProof/>
          <w:lang w:val="fr-FR"/>
        </w:rPr>
        <w:t xml:space="preserve"> les activités supplémentaires prises en compte dans les prévision</w:t>
      </w:r>
      <w:r w:rsidR="005778A1" w:rsidRPr="00110AE6">
        <w:rPr>
          <w:noProof/>
          <w:lang w:val="fr-FR"/>
        </w:rPr>
        <w:t>s de dépenses actualisées pour </w:t>
      </w:r>
      <w:r w:rsidRPr="00110AE6">
        <w:rPr>
          <w:noProof/>
          <w:lang w:val="fr-FR"/>
        </w:rPr>
        <w:t>2019 et qu</w:t>
      </w:r>
      <w:r w:rsidR="00D05492" w:rsidRPr="00110AE6">
        <w:rPr>
          <w:noProof/>
          <w:lang w:val="fr-FR"/>
        </w:rPr>
        <w:t>’</w:t>
      </w:r>
      <w:r w:rsidRPr="00110AE6">
        <w:rPr>
          <w:noProof/>
          <w:lang w:val="fr-FR"/>
        </w:rPr>
        <w:t>il ne sera donc pas nécessaire à ce titre de demander aux Parties d</w:t>
      </w:r>
      <w:r w:rsidR="00D05492" w:rsidRPr="00110AE6">
        <w:rPr>
          <w:noProof/>
          <w:lang w:val="fr-FR"/>
        </w:rPr>
        <w:t>’</w:t>
      </w:r>
      <w:r w:rsidRPr="00110AE6">
        <w:rPr>
          <w:noProof/>
          <w:lang w:val="fr-FR"/>
        </w:rPr>
        <w:t>augmenter leurs contributions au Fonds général d</w:t>
      </w:r>
      <w:r w:rsidR="00D05492" w:rsidRPr="00110AE6">
        <w:rPr>
          <w:noProof/>
          <w:lang w:val="fr-FR"/>
        </w:rPr>
        <w:t>’</w:t>
      </w:r>
      <w:r w:rsidRPr="00110AE6">
        <w:rPr>
          <w:noProof/>
          <w:lang w:val="fr-FR"/>
        </w:rPr>
        <w:t>affectation spéciale pour 2019.</w:t>
      </w:r>
    </w:p>
    <w:p w14:paraId="1FAB1499" w14:textId="214B7DE0" w:rsidR="00576456" w:rsidRPr="00110AE6" w:rsidRDefault="00906661" w:rsidP="0082498C">
      <w:pPr>
        <w:pStyle w:val="Normalnumber"/>
        <w:rPr>
          <w:noProof/>
          <w:lang w:val="fr-FR"/>
        </w:rPr>
      </w:pPr>
      <w:r w:rsidRPr="00110AE6">
        <w:rPr>
          <w:noProof/>
          <w:lang w:val="fr-FR"/>
        </w:rPr>
        <w:t>Le barème indicatif des quotes-parts appliqué au calcul des contributions au Fonds général d</w:t>
      </w:r>
      <w:r w:rsidR="00D05492" w:rsidRPr="00110AE6">
        <w:rPr>
          <w:noProof/>
          <w:lang w:val="fr-FR"/>
        </w:rPr>
        <w:t>’</w:t>
      </w:r>
      <w:r w:rsidRPr="00110AE6">
        <w:rPr>
          <w:noProof/>
          <w:lang w:val="fr-FR"/>
        </w:rPr>
        <w:t>affectation spéciale pour 2019 figure dans l</w:t>
      </w:r>
      <w:r w:rsidR="00D05492" w:rsidRPr="00110AE6">
        <w:rPr>
          <w:noProof/>
          <w:lang w:val="fr-FR"/>
        </w:rPr>
        <w:t>’</w:t>
      </w:r>
      <w:r w:rsidR="0069283C" w:rsidRPr="00110AE6">
        <w:rPr>
          <w:noProof/>
          <w:lang w:val="fr-FR"/>
        </w:rPr>
        <w:t>annexe </w:t>
      </w:r>
      <w:r w:rsidRPr="00110AE6">
        <w:rPr>
          <w:noProof/>
          <w:lang w:val="fr-FR"/>
        </w:rPr>
        <w:t>II de la présente note</w:t>
      </w:r>
      <w:r w:rsidR="007119A0" w:rsidRPr="00110AE6">
        <w:rPr>
          <w:rStyle w:val="Appelnotedebasdep"/>
          <w:noProof/>
          <w:szCs w:val="20"/>
          <w:lang w:val="fr-FR"/>
        </w:rPr>
        <w:footnoteReference w:id="4"/>
      </w:r>
      <w:r w:rsidRPr="00110AE6">
        <w:rPr>
          <w:noProof/>
          <w:lang w:val="fr-FR"/>
        </w:rPr>
        <w:t>.</w:t>
      </w:r>
    </w:p>
    <w:p w14:paraId="6CA8B7AE" w14:textId="39F00A5E" w:rsidR="0057503F" w:rsidRPr="00110AE6" w:rsidRDefault="000A0EE6" w:rsidP="00FA2D60">
      <w:pPr>
        <w:pStyle w:val="CH1"/>
        <w:numPr>
          <w:ilvl w:val="0"/>
          <w:numId w:val="20"/>
        </w:numPr>
        <w:tabs>
          <w:tab w:val="clear" w:pos="851"/>
        </w:tabs>
        <w:rPr>
          <w:noProof/>
          <w:lang w:val="fr-FR"/>
        </w:rPr>
      </w:pPr>
      <w:r w:rsidRPr="00110AE6">
        <w:rPr>
          <w:bCs/>
          <w:noProof/>
          <w:lang w:val="fr-FR"/>
        </w:rPr>
        <w:t xml:space="preserve">Questions financières liées à la mise en </w:t>
      </w:r>
      <w:r w:rsidR="00FA5356" w:rsidRPr="00110AE6">
        <w:rPr>
          <w:bCs/>
          <w:noProof/>
          <w:lang w:val="fr-FR"/>
        </w:rPr>
        <w:t>œuvre</w:t>
      </w:r>
      <w:r w:rsidRPr="00110AE6">
        <w:rPr>
          <w:bCs/>
          <w:noProof/>
          <w:lang w:val="fr-FR"/>
        </w:rPr>
        <w:t xml:space="preserve"> effective</w:t>
      </w:r>
    </w:p>
    <w:p w14:paraId="0CAD7FDA" w14:textId="34039608" w:rsidR="00835DB4" w:rsidRPr="00110AE6" w:rsidRDefault="00835DB4" w:rsidP="0082498C">
      <w:pPr>
        <w:pStyle w:val="Normalnumber"/>
        <w:rPr>
          <w:noProof/>
          <w:lang w:val="fr-FR"/>
        </w:rPr>
      </w:pPr>
      <w:r w:rsidRPr="00110AE6">
        <w:rPr>
          <w:noProof/>
          <w:lang w:val="fr-FR"/>
        </w:rPr>
        <w:t>Pour que le secrétariat de la Convention de Minamata exécute effectivement ses travaux, les points suivants sont également portés à l</w:t>
      </w:r>
      <w:r w:rsidR="00D05492" w:rsidRPr="00110AE6">
        <w:rPr>
          <w:noProof/>
          <w:lang w:val="fr-FR"/>
        </w:rPr>
        <w:t>’</w:t>
      </w:r>
      <w:r w:rsidRPr="00110AE6">
        <w:rPr>
          <w:noProof/>
          <w:lang w:val="fr-FR"/>
        </w:rPr>
        <w:t>attention</w:t>
      </w:r>
      <w:r w:rsidR="00D859F8" w:rsidRPr="00110AE6">
        <w:rPr>
          <w:noProof/>
          <w:lang w:val="fr-FR"/>
        </w:rPr>
        <w:t xml:space="preserve"> de la Conférence des Parties </w:t>
      </w:r>
      <w:r w:rsidR="00FA5356" w:rsidRPr="00110AE6">
        <w:rPr>
          <w:noProof/>
          <w:lang w:val="fr-FR"/>
        </w:rPr>
        <w:t>:</w:t>
      </w:r>
    </w:p>
    <w:p w14:paraId="03DA2C65" w14:textId="31327458" w:rsidR="00774596" w:rsidRPr="00110AE6" w:rsidRDefault="00835DB4" w:rsidP="0082498C">
      <w:pPr>
        <w:pStyle w:val="Normalnumber"/>
        <w:rPr>
          <w:noProof/>
          <w:lang w:val="fr-FR"/>
        </w:rPr>
      </w:pPr>
      <w:r w:rsidRPr="00110AE6">
        <w:rPr>
          <w:noProof/>
          <w:lang w:val="fr-FR"/>
        </w:rPr>
        <w:t>Premièrement, en ce qui concerne les normes comptables internationales pour le secteur public (IPSAS)</w:t>
      </w:r>
      <w:r w:rsidR="00D859F8" w:rsidRPr="00110AE6">
        <w:rPr>
          <w:noProof/>
          <w:lang w:val="fr-FR"/>
        </w:rPr>
        <w:t> </w:t>
      </w:r>
      <w:r w:rsidRPr="00110AE6">
        <w:rPr>
          <w:noProof/>
          <w:lang w:val="fr-FR"/>
        </w:rPr>
        <w:t>: l</w:t>
      </w:r>
      <w:r w:rsidR="00D05492" w:rsidRPr="00110AE6">
        <w:rPr>
          <w:noProof/>
          <w:lang w:val="fr-FR"/>
        </w:rPr>
        <w:t>’</w:t>
      </w:r>
      <w:r w:rsidRPr="00110AE6">
        <w:rPr>
          <w:noProof/>
          <w:lang w:val="fr-FR"/>
        </w:rPr>
        <w:t>Organisation des Nations Unies et, partant, le Programme des Nations Unies pour l</w:t>
      </w:r>
      <w:r w:rsidR="00D05492" w:rsidRPr="00110AE6">
        <w:rPr>
          <w:noProof/>
          <w:lang w:val="fr-FR"/>
        </w:rPr>
        <w:t>’</w:t>
      </w:r>
      <w:r w:rsidRPr="00110AE6">
        <w:rPr>
          <w:noProof/>
          <w:lang w:val="fr-FR"/>
        </w:rPr>
        <w:t>environnement, appliquent les normes IPSAS depuis le 1</w:t>
      </w:r>
      <w:r w:rsidR="0069283C" w:rsidRPr="00110AE6">
        <w:rPr>
          <w:noProof/>
          <w:vertAlign w:val="superscript"/>
          <w:lang w:val="fr-FR"/>
        </w:rPr>
        <w:t>er</w:t>
      </w:r>
      <w:r w:rsidR="0069283C" w:rsidRPr="00110AE6">
        <w:rPr>
          <w:noProof/>
          <w:lang w:val="fr-FR"/>
        </w:rPr>
        <w:t> </w:t>
      </w:r>
      <w:r w:rsidRPr="00110AE6">
        <w:rPr>
          <w:noProof/>
          <w:lang w:val="fr-FR"/>
        </w:rPr>
        <w:t>janvier 2014. Umoja, progiciel de gesti</w:t>
      </w:r>
      <w:r w:rsidR="0069283C" w:rsidRPr="00110AE6">
        <w:rPr>
          <w:noProof/>
          <w:lang w:val="fr-FR"/>
        </w:rPr>
        <w:t>on intégré mis en place en juin </w:t>
      </w:r>
      <w:r w:rsidRPr="00110AE6">
        <w:rPr>
          <w:noProof/>
          <w:lang w:val="fr-FR"/>
        </w:rPr>
        <w:t>2015, a pour but de faciliter l</w:t>
      </w:r>
      <w:r w:rsidR="00D05492" w:rsidRPr="00110AE6">
        <w:rPr>
          <w:noProof/>
          <w:lang w:val="fr-FR"/>
        </w:rPr>
        <w:t>’</w:t>
      </w:r>
      <w:r w:rsidRPr="00110AE6">
        <w:rPr>
          <w:noProof/>
          <w:lang w:val="fr-FR"/>
        </w:rPr>
        <w:t>application des normes IPSAS. A cet égard, Umoja met en œuvre un système strict de gestion des liquidités, qui s</w:t>
      </w:r>
      <w:r w:rsidR="00D05492" w:rsidRPr="00110AE6">
        <w:rPr>
          <w:noProof/>
          <w:lang w:val="fr-FR"/>
        </w:rPr>
        <w:t>’</w:t>
      </w:r>
      <w:r w:rsidRPr="00110AE6">
        <w:rPr>
          <w:noProof/>
          <w:lang w:val="fr-FR"/>
        </w:rPr>
        <w:t>applique tant aux contributions statutaires qu</w:t>
      </w:r>
      <w:r w:rsidR="00D05492" w:rsidRPr="00110AE6">
        <w:rPr>
          <w:noProof/>
          <w:lang w:val="fr-FR"/>
        </w:rPr>
        <w:t>’</w:t>
      </w:r>
      <w:r w:rsidRPr="00110AE6">
        <w:rPr>
          <w:noProof/>
          <w:lang w:val="fr-FR"/>
        </w:rPr>
        <w:t>aux contributions volontaires. Les fonds ne peuvent être déboursés que lorsqu</w:t>
      </w:r>
      <w:r w:rsidR="00D05492" w:rsidRPr="00110AE6">
        <w:rPr>
          <w:noProof/>
          <w:lang w:val="fr-FR"/>
        </w:rPr>
        <w:t>’</w:t>
      </w:r>
      <w:r w:rsidRPr="00110AE6">
        <w:rPr>
          <w:noProof/>
          <w:lang w:val="fr-FR"/>
        </w:rPr>
        <w:t xml:space="preserve">ils sont disponibles en caisse. La mise en </w:t>
      </w:r>
      <w:r w:rsidR="00FA5356" w:rsidRPr="00110AE6">
        <w:rPr>
          <w:noProof/>
          <w:lang w:val="fr-FR"/>
        </w:rPr>
        <w:t>œuvre</w:t>
      </w:r>
      <w:r w:rsidRPr="00110AE6">
        <w:rPr>
          <w:noProof/>
          <w:lang w:val="fr-FR"/>
        </w:rPr>
        <w:t xml:space="preserve"> est donc directement liée à la réception des fonds correspondant aux contributions annoncées. Les activités du secrétariat de la Convention de Minamata sont tout à fait conformes aux exigences découlant des normes IPSAS. À ce jour, les activités du secrétariat ont été grandement facilitées par le fait que des liquidités suffisantes ont été rapidement mises à disposition en</w:t>
      </w:r>
      <w:r w:rsidR="0069283C" w:rsidRPr="00110AE6">
        <w:rPr>
          <w:noProof/>
          <w:lang w:val="fr-FR"/>
        </w:rPr>
        <w:t> </w:t>
      </w:r>
      <w:r w:rsidRPr="00110AE6">
        <w:rPr>
          <w:noProof/>
          <w:lang w:val="fr-FR"/>
        </w:rPr>
        <w:t>2018. La Conférence des Parties devra continuer de suivre soigneusement le niveau des contributions ainsi que la date de leur versement afin d</w:t>
      </w:r>
      <w:r w:rsidR="00D05492" w:rsidRPr="00110AE6">
        <w:rPr>
          <w:noProof/>
          <w:lang w:val="fr-FR"/>
        </w:rPr>
        <w:t>’</w:t>
      </w:r>
      <w:r w:rsidRPr="00110AE6">
        <w:rPr>
          <w:noProof/>
          <w:lang w:val="fr-FR"/>
        </w:rPr>
        <w:t>assurer le fonction</w:t>
      </w:r>
      <w:r w:rsidR="00FA5356" w:rsidRPr="00110AE6">
        <w:rPr>
          <w:noProof/>
          <w:lang w:val="fr-FR"/>
        </w:rPr>
        <w:t>nement efficace du secrétariat.</w:t>
      </w:r>
    </w:p>
    <w:p w14:paraId="3EC64817" w14:textId="7EFD41BC" w:rsidR="00D60979" w:rsidRPr="00110AE6" w:rsidRDefault="00835DB4" w:rsidP="000503B4">
      <w:pPr>
        <w:pStyle w:val="Normalnumber"/>
        <w:rPr>
          <w:noProof/>
          <w:lang w:val="fr-FR"/>
        </w:rPr>
      </w:pPr>
      <w:r w:rsidRPr="00110AE6">
        <w:rPr>
          <w:noProof/>
          <w:lang w:val="fr-FR"/>
        </w:rPr>
        <w:t>Deuxièmement, en ce qui concerne la réserve de trésorerie de la Convention : le Comité des commissaires aux comptes de l</w:t>
      </w:r>
      <w:r w:rsidR="00D05492" w:rsidRPr="00110AE6">
        <w:rPr>
          <w:noProof/>
          <w:lang w:val="fr-FR"/>
        </w:rPr>
        <w:t>’</w:t>
      </w:r>
      <w:r w:rsidRPr="00110AE6">
        <w:rPr>
          <w:noProof/>
          <w:lang w:val="fr-FR"/>
        </w:rPr>
        <w:t>Organisation des Nations Unies a recommandé que l</w:t>
      </w:r>
      <w:r w:rsidR="00D05492" w:rsidRPr="00110AE6">
        <w:rPr>
          <w:noProof/>
          <w:lang w:val="fr-FR"/>
        </w:rPr>
        <w:t>’</w:t>
      </w:r>
      <w:r w:rsidRPr="00110AE6">
        <w:rPr>
          <w:noProof/>
          <w:lang w:val="fr-FR"/>
        </w:rPr>
        <w:t>ensemble des accords multilatéraux sur l</w:t>
      </w:r>
      <w:r w:rsidR="00D05492" w:rsidRPr="00110AE6">
        <w:rPr>
          <w:noProof/>
          <w:lang w:val="fr-FR"/>
        </w:rPr>
        <w:t>’</w:t>
      </w:r>
      <w:r w:rsidRPr="00110AE6">
        <w:rPr>
          <w:noProof/>
          <w:lang w:val="fr-FR"/>
        </w:rPr>
        <w:t>environnement, des conventions et des programmes des conventions concernant les mers régionales constituent une réserve opérationnell</w:t>
      </w:r>
      <w:r w:rsidR="0069283C" w:rsidRPr="00110AE6">
        <w:rPr>
          <w:noProof/>
          <w:lang w:val="fr-FR"/>
        </w:rPr>
        <w:t>e (réserve de trésorerie) de 15 </w:t>
      </w:r>
      <w:r w:rsidRPr="00110AE6">
        <w:rPr>
          <w:noProof/>
          <w:lang w:val="fr-FR"/>
        </w:rPr>
        <w:t>%, afin d</w:t>
      </w:r>
      <w:r w:rsidR="00D05492" w:rsidRPr="00110AE6">
        <w:rPr>
          <w:noProof/>
          <w:lang w:val="fr-FR"/>
        </w:rPr>
        <w:t>’</w:t>
      </w:r>
      <w:r w:rsidRPr="00110AE6">
        <w:rPr>
          <w:noProof/>
          <w:lang w:val="fr-FR"/>
        </w:rPr>
        <w:t>amortir les flux irréguliers de liquidités et les fluctuations imprévues des budgets-programmes. Lorsqu</w:t>
      </w:r>
      <w:r w:rsidR="00D05492" w:rsidRPr="00110AE6">
        <w:rPr>
          <w:noProof/>
          <w:lang w:val="fr-FR"/>
        </w:rPr>
        <w:t>’</w:t>
      </w:r>
      <w:r w:rsidRPr="00110AE6">
        <w:rPr>
          <w:noProof/>
          <w:lang w:val="fr-FR"/>
        </w:rPr>
        <w:t>elle a adopté les règles de gestion financière de la Convention, la Conférence des Parties a décidé d</w:t>
      </w:r>
      <w:r w:rsidR="00D05492" w:rsidRPr="00110AE6">
        <w:rPr>
          <w:noProof/>
          <w:lang w:val="fr-FR"/>
        </w:rPr>
        <w:t>’</w:t>
      </w:r>
      <w:r w:rsidRPr="00110AE6">
        <w:rPr>
          <w:noProof/>
          <w:lang w:val="fr-FR"/>
        </w:rPr>
        <w:t>inscrire cette réserve dans le Fonds général d</w:t>
      </w:r>
      <w:r w:rsidR="00D05492" w:rsidRPr="00110AE6">
        <w:rPr>
          <w:noProof/>
          <w:lang w:val="fr-FR"/>
        </w:rPr>
        <w:t>’</w:t>
      </w:r>
      <w:r w:rsidRPr="00110AE6">
        <w:rPr>
          <w:noProof/>
          <w:lang w:val="fr-FR"/>
        </w:rPr>
        <w:t>affectation spéciale,</w:t>
      </w:r>
      <w:r w:rsidR="0069283C" w:rsidRPr="00110AE6">
        <w:rPr>
          <w:noProof/>
          <w:lang w:val="fr-FR"/>
        </w:rPr>
        <w:t xml:space="preserve"> comme le prévoit le paragraphe </w:t>
      </w:r>
      <w:r w:rsidRPr="00110AE6">
        <w:rPr>
          <w:noProof/>
          <w:lang w:val="fr-FR"/>
        </w:rPr>
        <w:t>2 de l</w:t>
      </w:r>
      <w:r w:rsidR="00D05492" w:rsidRPr="00110AE6">
        <w:rPr>
          <w:noProof/>
          <w:lang w:val="fr-FR"/>
        </w:rPr>
        <w:t>’</w:t>
      </w:r>
      <w:r w:rsidR="0069283C" w:rsidRPr="00110AE6">
        <w:rPr>
          <w:noProof/>
          <w:lang w:val="fr-FR"/>
        </w:rPr>
        <w:t>article </w:t>
      </w:r>
      <w:r w:rsidRPr="00110AE6">
        <w:rPr>
          <w:noProof/>
          <w:lang w:val="fr-FR"/>
        </w:rPr>
        <w:t>4. Au</w:t>
      </w:r>
      <w:r w:rsidR="0069283C" w:rsidRPr="00110AE6">
        <w:rPr>
          <w:noProof/>
          <w:lang w:val="fr-FR"/>
        </w:rPr>
        <w:t> paragraphe 4 de la décision </w:t>
      </w:r>
      <w:r w:rsidRPr="00110AE6">
        <w:rPr>
          <w:noProof/>
          <w:lang w:val="fr-FR"/>
        </w:rPr>
        <w:t>MC-1/15, la Conférence des Parties a décidé de commencer à constituer la réserve de trésorerie d</w:t>
      </w:r>
      <w:r w:rsidR="0069283C" w:rsidRPr="00110AE6">
        <w:rPr>
          <w:noProof/>
          <w:lang w:val="fr-FR"/>
        </w:rPr>
        <w:t>evant atteindre, avant 2021, 15 </w:t>
      </w:r>
      <w:r w:rsidRPr="00110AE6">
        <w:rPr>
          <w:noProof/>
          <w:lang w:val="fr-FR"/>
        </w:rPr>
        <w:t>% de la moyenne annuelle du budget opérati</w:t>
      </w:r>
      <w:r w:rsidR="0069283C" w:rsidRPr="00110AE6">
        <w:rPr>
          <w:noProof/>
          <w:lang w:val="fr-FR"/>
        </w:rPr>
        <w:t>onnel biennal et de fixer à 7,5 </w:t>
      </w:r>
      <w:r w:rsidRPr="00110AE6">
        <w:rPr>
          <w:noProof/>
          <w:lang w:val="fr-FR"/>
        </w:rPr>
        <w:t>% l</w:t>
      </w:r>
      <w:r w:rsidR="00D05492" w:rsidRPr="00110AE6">
        <w:rPr>
          <w:noProof/>
          <w:lang w:val="fr-FR"/>
        </w:rPr>
        <w:t>’</w:t>
      </w:r>
      <w:r w:rsidRPr="00110AE6">
        <w:rPr>
          <w:noProof/>
          <w:lang w:val="fr-FR"/>
        </w:rPr>
        <w:t>objectif pour l</w:t>
      </w:r>
      <w:r w:rsidR="00D05492" w:rsidRPr="00110AE6">
        <w:rPr>
          <w:noProof/>
          <w:lang w:val="fr-FR"/>
        </w:rPr>
        <w:t>’</w:t>
      </w:r>
      <w:r w:rsidRPr="00110AE6">
        <w:rPr>
          <w:noProof/>
          <w:lang w:val="fr-FR"/>
        </w:rPr>
        <w:t>exercice biennal 2018-2019. Le secrétariat constate avec satisfaction que, grâce aux importantes contributions versées au Fonds général d</w:t>
      </w:r>
      <w:r w:rsidR="00D05492" w:rsidRPr="00110AE6">
        <w:rPr>
          <w:noProof/>
          <w:lang w:val="fr-FR"/>
        </w:rPr>
        <w:t>’</w:t>
      </w:r>
      <w:r w:rsidRPr="00110AE6">
        <w:rPr>
          <w:noProof/>
          <w:lang w:val="fr-FR"/>
        </w:rPr>
        <w:t>affectation spéciale et aux économies dues au fait que les dépenses de personnel au secrétariat ont été inférieures aux prévisions, la réserve de trésorerie de la Convention avait déjà atteint le montant requis. Pour 2018, la réserve de trésorerie s</w:t>
      </w:r>
      <w:r w:rsidR="00D05492" w:rsidRPr="00110AE6">
        <w:rPr>
          <w:noProof/>
          <w:lang w:val="fr-FR"/>
        </w:rPr>
        <w:t>’</w:t>
      </w:r>
      <w:r w:rsidR="0069283C" w:rsidRPr="00110AE6">
        <w:rPr>
          <w:noProof/>
          <w:lang w:val="fr-FR"/>
        </w:rPr>
        <w:t>élève à 587 479 dollars, soit 15 </w:t>
      </w:r>
      <w:r w:rsidRPr="00110AE6">
        <w:rPr>
          <w:noProof/>
          <w:lang w:val="fr-FR"/>
        </w:rPr>
        <w:t>% de la moyenne annuelle du budget opérationnel biennal. La</w:t>
      </w:r>
      <w:r w:rsidR="0069283C" w:rsidRPr="00110AE6">
        <w:rPr>
          <w:noProof/>
          <w:lang w:val="fr-FR"/>
        </w:rPr>
        <w:t> </w:t>
      </w:r>
      <w:r w:rsidRPr="00110AE6">
        <w:rPr>
          <w:noProof/>
          <w:lang w:val="fr-FR"/>
        </w:rPr>
        <w:t>réserve n</w:t>
      </w:r>
      <w:r w:rsidR="00D05492" w:rsidRPr="00110AE6">
        <w:rPr>
          <w:noProof/>
          <w:lang w:val="fr-FR"/>
        </w:rPr>
        <w:t>’</w:t>
      </w:r>
      <w:r w:rsidRPr="00110AE6">
        <w:rPr>
          <w:noProof/>
          <w:lang w:val="fr-FR"/>
        </w:rPr>
        <w:t>a pour l</w:t>
      </w:r>
      <w:r w:rsidR="00D05492" w:rsidRPr="00110AE6">
        <w:rPr>
          <w:noProof/>
          <w:lang w:val="fr-FR"/>
        </w:rPr>
        <w:t>’</w:t>
      </w:r>
      <w:r w:rsidRPr="00110AE6">
        <w:rPr>
          <w:noProof/>
          <w:lang w:val="fr-FR"/>
        </w:rPr>
        <w:t>instant pas besoin d</w:t>
      </w:r>
      <w:r w:rsidR="00D05492" w:rsidRPr="00110AE6">
        <w:rPr>
          <w:noProof/>
          <w:lang w:val="fr-FR"/>
        </w:rPr>
        <w:t>’</w:t>
      </w:r>
      <w:r w:rsidRPr="00110AE6">
        <w:rPr>
          <w:noProof/>
          <w:lang w:val="fr-FR"/>
        </w:rPr>
        <w:t>être alimentée davantage. La Conférence des Parties devra continuer à contrôler le niveau de la réserve de trésorerie par rapport au budget approuvé du Fonds général d</w:t>
      </w:r>
      <w:r w:rsidR="00D05492" w:rsidRPr="00110AE6">
        <w:rPr>
          <w:noProof/>
          <w:lang w:val="fr-FR"/>
        </w:rPr>
        <w:t>’</w:t>
      </w:r>
      <w:r w:rsidRPr="00110AE6">
        <w:rPr>
          <w:noProof/>
          <w:lang w:val="fr-FR"/>
        </w:rPr>
        <w:t>affectation spéciale au cours des prochains exercices biennaux afin que la réserve soit maintenue à 15</w:t>
      </w:r>
      <w:r w:rsidR="00FA5356" w:rsidRPr="00110AE6">
        <w:rPr>
          <w:noProof/>
          <w:lang w:val="fr-FR"/>
        </w:rPr>
        <w:t> </w:t>
      </w:r>
      <w:r w:rsidRPr="00110AE6">
        <w:rPr>
          <w:noProof/>
          <w:lang w:val="fr-FR"/>
        </w:rPr>
        <w:t>%.</w:t>
      </w:r>
    </w:p>
    <w:p w14:paraId="124B73D0" w14:textId="28711E4D" w:rsidR="00835DB4" w:rsidRPr="00110AE6" w:rsidRDefault="00835DB4" w:rsidP="000F744B">
      <w:pPr>
        <w:pStyle w:val="Normalnumber"/>
        <w:rPr>
          <w:noProof/>
          <w:lang w:val="fr-FR"/>
        </w:rPr>
      </w:pPr>
      <w:r w:rsidRPr="00110AE6">
        <w:rPr>
          <w:noProof/>
          <w:lang w:val="fr-FR"/>
        </w:rPr>
        <w:t>Troisièmement, en ce qui concerne les ressources destinées à l</w:t>
      </w:r>
      <w:r w:rsidR="00D05492" w:rsidRPr="00110AE6">
        <w:rPr>
          <w:noProof/>
          <w:lang w:val="fr-FR"/>
        </w:rPr>
        <w:t>’</w:t>
      </w:r>
      <w:r w:rsidR="00D859F8" w:rsidRPr="00110AE6">
        <w:rPr>
          <w:noProof/>
          <w:lang w:val="fr-FR"/>
        </w:rPr>
        <w:t>appui aux programmes </w:t>
      </w:r>
      <w:r w:rsidRPr="00110AE6">
        <w:rPr>
          <w:noProof/>
          <w:lang w:val="fr-FR"/>
        </w:rPr>
        <w:t>: conformément aux résolutions de l</w:t>
      </w:r>
      <w:r w:rsidR="00D05492" w:rsidRPr="00110AE6">
        <w:rPr>
          <w:noProof/>
          <w:lang w:val="fr-FR"/>
        </w:rPr>
        <w:t>’</w:t>
      </w:r>
      <w:r w:rsidRPr="00110AE6">
        <w:rPr>
          <w:noProof/>
          <w:lang w:val="fr-FR"/>
        </w:rPr>
        <w:t>Assemblée générale sur la question</w:t>
      </w:r>
      <w:r w:rsidR="00FA5356" w:rsidRPr="00110AE6">
        <w:rPr>
          <w:noProof/>
          <w:lang w:val="fr-FR"/>
        </w:rPr>
        <w:t>, un montant correspondant à 13 </w:t>
      </w:r>
      <w:r w:rsidRPr="00110AE6">
        <w:rPr>
          <w:noProof/>
          <w:lang w:val="fr-FR"/>
        </w:rPr>
        <w:t>% est dû à l</w:t>
      </w:r>
      <w:r w:rsidR="00D05492" w:rsidRPr="00110AE6">
        <w:rPr>
          <w:noProof/>
          <w:lang w:val="fr-FR"/>
        </w:rPr>
        <w:t>’</w:t>
      </w:r>
      <w:r w:rsidRPr="00110AE6">
        <w:rPr>
          <w:noProof/>
          <w:lang w:val="fr-FR"/>
        </w:rPr>
        <w:t>ONU au titre des dépenses d</w:t>
      </w:r>
      <w:r w:rsidR="00D05492" w:rsidRPr="00110AE6">
        <w:rPr>
          <w:noProof/>
          <w:lang w:val="fr-FR"/>
        </w:rPr>
        <w:t>’</w:t>
      </w:r>
      <w:r w:rsidRPr="00110AE6">
        <w:rPr>
          <w:noProof/>
          <w:lang w:val="fr-FR"/>
        </w:rPr>
        <w:t>appui aux programmes afin de couvrir les surcoûts encourus pour appuyer des activités financées au moyen des contributions. Selon la pratique courante en matière d</w:t>
      </w:r>
      <w:r w:rsidR="00D05492" w:rsidRPr="00110AE6">
        <w:rPr>
          <w:noProof/>
          <w:lang w:val="fr-FR"/>
        </w:rPr>
        <w:t>’</w:t>
      </w:r>
      <w:r w:rsidRPr="00110AE6">
        <w:rPr>
          <w:noProof/>
          <w:lang w:val="fr-FR"/>
        </w:rPr>
        <w:t>utilisation des ressources destinées à l</w:t>
      </w:r>
      <w:r w:rsidR="00D05492" w:rsidRPr="00110AE6">
        <w:rPr>
          <w:noProof/>
          <w:lang w:val="fr-FR"/>
        </w:rPr>
        <w:t>’</w:t>
      </w:r>
      <w:r w:rsidRPr="00110AE6">
        <w:rPr>
          <w:noProof/>
          <w:lang w:val="fr-FR"/>
        </w:rPr>
        <w:t>appui aux programmes, le PNUE versera une allocation annuelle à la Convention pour aider à couvrir le coût des services d</w:t>
      </w:r>
      <w:r w:rsidR="00D05492" w:rsidRPr="00110AE6">
        <w:rPr>
          <w:noProof/>
          <w:lang w:val="fr-FR"/>
        </w:rPr>
        <w:t>’</w:t>
      </w:r>
      <w:r w:rsidRPr="00110AE6">
        <w:rPr>
          <w:noProof/>
          <w:lang w:val="fr-FR"/>
        </w:rPr>
        <w:t>appui. La Convention recevra ladite allocation à partir de l</w:t>
      </w:r>
      <w:r w:rsidR="00D05492" w:rsidRPr="00110AE6">
        <w:rPr>
          <w:noProof/>
          <w:lang w:val="fr-FR"/>
        </w:rPr>
        <w:t>’</w:t>
      </w:r>
      <w:r w:rsidRPr="00110AE6">
        <w:rPr>
          <w:noProof/>
          <w:lang w:val="fr-FR"/>
        </w:rPr>
        <w:t>année suivant la date à laquelle les fonds seront mis à disposition. On estime que les ressources d</w:t>
      </w:r>
      <w:r w:rsidR="00D05492" w:rsidRPr="00110AE6">
        <w:rPr>
          <w:noProof/>
          <w:lang w:val="fr-FR"/>
        </w:rPr>
        <w:t>’</w:t>
      </w:r>
      <w:r w:rsidRPr="00110AE6">
        <w:rPr>
          <w:noProof/>
          <w:lang w:val="fr-FR"/>
        </w:rPr>
        <w:t>appui aux programmes affectées à la Convention couvriront les coûts associés au poste de fonctionnaire d</w:t>
      </w:r>
      <w:r w:rsidR="00D05492" w:rsidRPr="00110AE6">
        <w:rPr>
          <w:noProof/>
          <w:lang w:val="fr-FR"/>
        </w:rPr>
        <w:t>’</w:t>
      </w:r>
      <w:r w:rsidRPr="00110AE6">
        <w:rPr>
          <w:noProof/>
          <w:lang w:val="fr-FR"/>
        </w:rPr>
        <w:t>administration (P-3) et au poste d</w:t>
      </w:r>
      <w:r w:rsidR="00D05492" w:rsidRPr="00110AE6">
        <w:rPr>
          <w:noProof/>
          <w:lang w:val="fr-FR"/>
        </w:rPr>
        <w:t>’</w:t>
      </w:r>
      <w:r w:rsidRPr="00110AE6">
        <w:rPr>
          <w:noProof/>
          <w:lang w:val="fr-FR"/>
        </w:rPr>
        <w:t>assistant aux finances (agent des services généraux). Le (la) fonctionnaire d</w:t>
      </w:r>
      <w:r w:rsidR="00D05492" w:rsidRPr="00110AE6">
        <w:rPr>
          <w:noProof/>
          <w:lang w:val="fr-FR"/>
        </w:rPr>
        <w:t>’</w:t>
      </w:r>
      <w:r w:rsidRPr="00110AE6">
        <w:rPr>
          <w:noProof/>
          <w:lang w:val="fr-FR"/>
        </w:rPr>
        <w:t>administration assurera, pour le secrétariat, des services administratifs, la gestion des fonds, des services financiers et un appui logistique. Il convient de noter que les dépenses d</w:t>
      </w:r>
      <w:r w:rsidR="00D05492" w:rsidRPr="00110AE6">
        <w:rPr>
          <w:noProof/>
          <w:lang w:val="fr-FR"/>
        </w:rPr>
        <w:t>’</w:t>
      </w:r>
      <w:r w:rsidRPr="00110AE6">
        <w:rPr>
          <w:noProof/>
          <w:lang w:val="fr-FR"/>
        </w:rPr>
        <w:t xml:space="preserve">appui aux programmes ne seront pas imputées sur les fonds levés pour financer la participation de représentant(e)s de pays en </w:t>
      </w:r>
      <w:r w:rsidR="00FA5356" w:rsidRPr="00110AE6">
        <w:rPr>
          <w:noProof/>
          <w:lang w:val="fr-FR"/>
        </w:rPr>
        <w:t>développement et en transition.</w:t>
      </w:r>
    </w:p>
    <w:p w14:paraId="2FBFF500" w14:textId="22DED2E6" w:rsidR="001C6381" w:rsidRPr="00110AE6" w:rsidRDefault="00176F98" w:rsidP="00FA2D60">
      <w:pPr>
        <w:pStyle w:val="CH1"/>
        <w:numPr>
          <w:ilvl w:val="0"/>
          <w:numId w:val="20"/>
        </w:numPr>
        <w:tabs>
          <w:tab w:val="clear" w:pos="851"/>
        </w:tabs>
        <w:rPr>
          <w:b w:val="0"/>
          <w:noProof/>
          <w:lang w:val="fr-FR"/>
        </w:rPr>
      </w:pPr>
      <w:r w:rsidRPr="00110AE6">
        <w:rPr>
          <w:bCs/>
          <w:noProof/>
          <w:lang w:val="fr-FR"/>
        </w:rPr>
        <w:t>Mesure proposée</w:t>
      </w:r>
    </w:p>
    <w:p w14:paraId="12116D27" w14:textId="585A19EC" w:rsidR="00EC3F22" w:rsidRPr="00110AE6" w:rsidRDefault="00C93D8D" w:rsidP="00FA5356">
      <w:pPr>
        <w:pStyle w:val="Normalnumber"/>
        <w:rPr>
          <w:bCs/>
          <w:noProof/>
          <w:lang w:val="fr-FR"/>
        </w:rPr>
        <w:sectPr w:rsidR="00EC3F22" w:rsidRPr="00110AE6" w:rsidSect="0043541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080" w:header="539" w:footer="975" w:gutter="0"/>
          <w:cols w:space="539"/>
          <w:titlePg/>
          <w:docGrid w:linePitch="360"/>
        </w:sectPr>
      </w:pPr>
      <w:r w:rsidRPr="00110AE6">
        <w:rPr>
          <w:noProof/>
          <w:lang w:val="fr-FR"/>
        </w:rPr>
        <w:t xml:space="preserve">Compte tenu de </w:t>
      </w:r>
      <w:r w:rsidR="0069283C" w:rsidRPr="00110AE6">
        <w:rPr>
          <w:noProof/>
          <w:lang w:val="fr-FR"/>
        </w:rPr>
        <w:t>la décision </w:t>
      </w:r>
      <w:r w:rsidRPr="00110AE6">
        <w:rPr>
          <w:noProof/>
          <w:lang w:val="fr-FR"/>
        </w:rPr>
        <w:t>MC-1/15 et après avoir examiné les informations figurant dans la présente note et les informations supplémentaires contenues dans le programme de travail et le tableau budgétaire détaillé (UNEP/MC/COP.</w:t>
      </w:r>
      <w:r w:rsidR="00657F55" w:rsidRPr="00110AE6">
        <w:rPr>
          <w:noProof/>
          <w:lang w:val="fr-FR"/>
        </w:rPr>
        <w:t>2/</w:t>
      </w:r>
      <w:r w:rsidRPr="00110AE6">
        <w:rPr>
          <w:noProof/>
          <w:lang w:val="fr-FR"/>
        </w:rPr>
        <w:t>INF</w:t>
      </w:r>
      <w:r w:rsidR="00657F55" w:rsidRPr="00110AE6">
        <w:rPr>
          <w:noProof/>
          <w:lang w:val="fr-FR"/>
        </w:rPr>
        <w:t>/</w:t>
      </w:r>
      <w:r w:rsidRPr="00110AE6">
        <w:rPr>
          <w:noProof/>
          <w:lang w:val="fr-FR"/>
        </w:rPr>
        <w:t>9), la Conférence des Parties souhaitera peut-être examiner une décision s</w:t>
      </w:r>
      <w:r w:rsidR="00D05492" w:rsidRPr="00110AE6">
        <w:rPr>
          <w:noProof/>
          <w:lang w:val="fr-FR"/>
        </w:rPr>
        <w:t>’</w:t>
      </w:r>
      <w:r w:rsidRPr="00110AE6">
        <w:rPr>
          <w:noProof/>
          <w:lang w:val="fr-FR"/>
        </w:rPr>
        <w:t xml:space="preserve">inspirant du projet de décision reproduit dans </w:t>
      </w:r>
      <w:r w:rsidR="00FA5356" w:rsidRPr="00110AE6">
        <w:rPr>
          <w:noProof/>
          <w:lang w:val="fr-FR"/>
        </w:rPr>
        <w:t>l</w:t>
      </w:r>
      <w:r w:rsidR="00D05492" w:rsidRPr="00110AE6">
        <w:rPr>
          <w:noProof/>
          <w:lang w:val="fr-FR"/>
        </w:rPr>
        <w:t>’</w:t>
      </w:r>
      <w:r w:rsidR="00FA5356" w:rsidRPr="00110AE6">
        <w:rPr>
          <w:noProof/>
          <w:lang w:val="fr-FR"/>
        </w:rPr>
        <w:t>annexe I de la présente note.</w:t>
      </w:r>
    </w:p>
    <w:p w14:paraId="67B27905" w14:textId="3C99DBFC" w:rsidR="000A19CD" w:rsidRPr="00110AE6" w:rsidRDefault="000A19CD" w:rsidP="00176F98">
      <w:pPr>
        <w:pStyle w:val="ZZAnxheader"/>
        <w:rPr>
          <w:noProof/>
          <w:lang w:val="fr-FR"/>
        </w:rPr>
      </w:pPr>
      <w:r w:rsidRPr="00110AE6">
        <w:rPr>
          <w:noProof/>
          <w:lang w:val="fr-FR"/>
        </w:rPr>
        <w:t>Annexe</w:t>
      </w:r>
      <w:r w:rsidR="004D3908" w:rsidRPr="00110AE6">
        <w:rPr>
          <w:noProof/>
          <w:lang w:val="fr-FR"/>
        </w:rPr>
        <w:t> </w:t>
      </w:r>
      <w:r w:rsidRPr="00110AE6">
        <w:rPr>
          <w:noProof/>
          <w:lang w:val="fr-FR"/>
        </w:rPr>
        <w:t>I</w:t>
      </w:r>
    </w:p>
    <w:p w14:paraId="44D9AAC1" w14:textId="24A9DFE2" w:rsidR="000A19CD" w:rsidRPr="00110AE6" w:rsidRDefault="000A19CD" w:rsidP="00176F98">
      <w:pPr>
        <w:pStyle w:val="ZZAnxtitle"/>
        <w:rPr>
          <w:noProof/>
          <w:lang w:val="fr-FR"/>
        </w:rPr>
      </w:pPr>
      <w:r w:rsidRPr="00110AE6">
        <w:rPr>
          <w:noProof/>
          <w:lang w:val="fr-FR"/>
        </w:rPr>
        <w:t>Projet de décision</w:t>
      </w:r>
      <w:r w:rsidR="004D3908" w:rsidRPr="00110AE6">
        <w:rPr>
          <w:noProof/>
          <w:lang w:val="fr-FR"/>
        </w:rPr>
        <w:t> </w:t>
      </w:r>
      <w:r w:rsidRPr="00110AE6">
        <w:rPr>
          <w:noProof/>
          <w:lang w:val="fr-FR"/>
        </w:rPr>
        <w:t>MC-2[XX] : Informations actualisées sur le</w:t>
      </w:r>
      <w:r w:rsidR="0007185D" w:rsidRPr="00110AE6">
        <w:rPr>
          <w:noProof/>
          <w:lang w:val="fr-FR"/>
        </w:rPr>
        <w:t> </w:t>
      </w:r>
      <w:r w:rsidRPr="00110AE6">
        <w:rPr>
          <w:noProof/>
          <w:lang w:val="fr-FR"/>
        </w:rPr>
        <w:t>programme de travail et le budget pour l</w:t>
      </w:r>
      <w:r w:rsidR="00D05492" w:rsidRPr="00110AE6">
        <w:rPr>
          <w:noProof/>
          <w:lang w:val="fr-FR"/>
        </w:rPr>
        <w:t>’</w:t>
      </w:r>
      <w:r w:rsidRPr="00110AE6">
        <w:rPr>
          <w:noProof/>
          <w:lang w:val="fr-FR"/>
        </w:rPr>
        <w:t>exercic</w:t>
      </w:r>
      <w:r w:rsidR="004D3908" w:rsidRPr="00110AE6">
        <w:rPr>
          <w:noProof/>
          <w:lang w:val="fr-FR"/>
        </w:rPr>
        <w:t>e biennal </w:t>
      </w:r>
      <w:r w:rsidRPr="00110AE6">
        <w:rPr>
          <w:noProof/>
          <w:lang w:val="fr-FR"/>
        </w:rPr>
        <w:t>2018–2019</w:t>
      </w:r>
    </w:p>
    <w:p w14:paraId="6D788434" w14:textId="2755BF98" w:rsidR="000A19CD" w:rsidRPr="00110AE6" w:rsidRDefault="000A19CD" w:rsidP="00176F98">
      <w:pPr>
        <w:pStyle w:val="Normal-pool"/>
        <w:spacing w:after="120"/>
        <w:ind w:left="1247" w:firstLine="624"/>
        <w:rPr>
          <w:i/>
          <w:noProof/>
          <w:lang w:val="fr-FR"/>
        </w:rPr>
      </w:pPr>
      <w:r w:rsidRPr="00110AE6">
        <w:rPr>
          <w:i/>
          <w:iCs/>
          <w:noProof/>
          <w:lang w:val="fr-FR"/>
        </w:rPr>
        <w:t>La Conférence des Parties</w:t>
      </w:r>
      <w:r w:rsidR="00FA5356" w:rsidRPr="00110AE6">
        <w:rPr>
          <w:noProof/>
          <w:lang w:val="fr-FR"/>
        </w:rPr>
        <w:t>,</w:t>
      </w:r>
    </w:p>
    <w:p w14:paraId="6E2ED8F0" w14:textId="75D8C349" w:rsidR="000A19CD" w:rsidRPr="00110AE6" w:rsidRDefault="000A19CD" w:rsidP="000A19CD">
      <w:pPr>
        <w:pStyle w:val="Normal-pool"/>
        <w:widowControl w:val="0"/>
        <w:spacing w:after="120"/>
        <w:ind w:left="1247" w:firstLine="624"/>
        <w:rPr>
          <w:i/>
          <w:iCs/>
          <w:noProof/>
          <w:lang w:val="fr-FR"/>
        </w:rPr>
      </w:pPr>
      <w:r w:rsidRPr="00110AE6">
        <w:rPr>
          <w:i/>
          <w:iCs/>
          <w:noProof/>
          <w:lang w:val="fr-FR"/>
        </w:rPr>
        <w:t xml:space="preserve">Rappelant </w:t>
      </w:r>
      <w:r w:rsidR="0069283C" w:rsidRPr="00110AE6">
        <w:rPr>
          <w:noProof/>
          <w:lang w:val="fr-FR"/>
        </w:rPr>
        <w:t>sa décision </w:t>
      </w:r>
      <w:r w:rsidRPr="00110AE6">
        <w:rPr>
          <w:noProof/>
          <w:lang w:val="fr-FR"/>
        </w:rPr>
        <w:t>MC-1/15 sur le programme de travail du secrétariat et le projet de budget pour l</w:t>
      </w:r>
      <w:r w:rsidR="00D05492" w:rsidRPr="00110AE6">
        <w:rPr>
          <w:noProof/>
          <w:lang w:val="fr-FR"/>
        </w:rPr>
        <w:t>’</w:t>
      </w:r>
      <w:r w:rsidRPr="00110AE6">
        <w:rPr>
          <w:noProof/>
          <w:lang w:val="fr-FR"/>
        </w:rPr>
        <w:t>exercice biennal</w:t>
      </w:r>
      <w:r w:rsidR="004D3908" w:rsidRPr="00110AE6">
        <w:rPr>
          <w:noProof/>
          <w:lang w:val="fr-FR"/>
        </w:rPr>
        <w:t> </w:t>
      </w:r>
      <w:r w:rsidRPr="00110AE6">
        <w:rPr>
          <w:noProof/>
          <w:lang w:val="fr-FR"/>
        </w:rPr>
        <w:t>2018–2019,</w:t>
      </w:r>
    </w:p>
    <w:p w14:paraId="13CE33F5" w14:textId="5F01C60C" w:rsidR="000A19CD" w:rsidRPr="00110AE6" w:rsidRDefault="000A19CD" w:rsidP="00A30A78">
      <w:pPr>
        <w:pStyle w:val="Normal-pool"/>
        <w:widowControl w:val="0"/>
        <w:spacing w:after="120"/>
        <w:ind w:left="1247" w:firstLine="624"/>
        <w:rPr>
          <w:noProof/>
          <w:lang w:val="fr-FR"/>
        </w:rPr>
      </w:pPr>
      <w:r w:rsidRPr="00110AE6">
        <w:rPr>
          <w:i/>
          <w:iCs/>
          <w:noProof/>
          <w:lang w:val="fr-FR"/>
        </w:rPr>
        <w:t xml:space="preserve">Se félicitant </w:t>
      </w:r>
      <w:r w:rsidRPr="00110AE6">
        <w:rPr>
          <w:noProof/>
          <w:lang w:val="fr-FR"/>
        </w:rPr>
        <w:t>de la contribution annuelle de la Suisse, qui accueille le secrétariat, pour un montant d</w:t>
      </w:r>
      <w:r w:rsidR="00D05492" w:rsidRPr="00110AE6">
        <w:rPr>
          <w:noProof/>
          <w:lang w:val="fr-FR"/>
        </w:rPr>
        <w:t>’</w:t>
      </w:r>
      <w:r w:rsidRPr="00110AE6">
        <w:rPr>
          <w:noProof/>
          <w:lang w:val="fr-FR"/>
        </w:rPr>
        <w:t>un million de francs suisses</w:t>
      </w:r>
      <w:r w:rsidR="0069283C" w:rsidRPr="00110AE6">
        <w:rPr>
          <w:noProof/>
          <w:lang w:val="fr-FR"/>
        </w:rPr>
        <w:t xml:space="preserve"> qui est réparti à raison de 60 </w:t>
      </w:r>
      <w:r w:rsidRPr="00110AE6">
        <w:rPr>
          <w:noProof/>
          <w:lang w:val="fr-FR"/>
        </w:rPr>
        <w:t>% au Fonds général d</w:t>
      </w:r>
      <w:r w:rsidR="00D05492" w:rsidRPr="00110AE6">
        <w:rPr>
          <w:noProof/>
          <w:lang w:val="fr-FR"/>
        </w:rPr>
        <w:t>’</w:t>
      </w:r>
      <w:r w:rsidR="0069283C" w:rsidRPr="00110AE6">
        <w:rPr>
          <w:noProof/>
          <w:lang w:val="fr-FR"/>
        </w:rPr>
        <w:t>affectation spéciale et de 40 </w:t>
      </w:r>
      <w:r w:rsidRPr="00110AE6">
        <w:rPr>
          <w:noProof/>
          <w:lang w:val="fr-FR"/>
        </w:rPr>
        <w:t>% au Fonds d</w:t>
      </w:r>
      <w:r w:rsidR="00D05492" w:rsidRPr="00110AE6">
        <w:rPr>
          <w:noProof/>
          <w:lang w:val="fr-FR"/>
        </w:rPr>
        <w:t>’</w:t>
      </w:r>
      <w:r w:rsidRPr="00110AE6">
        <w:rPr>
          <w:noProof/>
          <w:lang w:val="fr-FR"/>
        </w:rPr>
        <w:t>affectation spéciale à des fins déterminées et qui doit être servir en priorité à faciliter la participation de représentant(e)s de pays en développement à ses réunions,</w:t>
      </w:r>
    </w:p>
    <w:p w14:paraId="2B9AFD44" w14:textId="0E21E76D" w:rsidR="00D613A4" w:rsidRPr="00110AE6" w:rsidRDefault="000A19CD" w:rsidP="00A30A78">
      <w:pPr>
        <w:pStyle w:val="Normal-pool"/>
        <w:widowControl w:val="0"/>
        <w:spacing w:after="120"/>
        <w:ind w:left="1247" w:firstLine="624"/>
        <w:rPr>
          <w:noProof/>
          <w:lang w:val="fr-FR"/>
        </w:rPr>
      </w:pPr>
      <w:r w:rsidRPr="00110AE6">
        <w:rPr>
          <w:i/>
          <w:iCs/>
          <w:noProof/>
          <w:lang w:val="fr-FR"/>
        </w:rPr>
        <w:t>Se félicitant également</w:t>
      </w:r>
      <w:r w:rsidRPr="00110AE6">
        <w:rPr>
          <w:noProof/>
          <w:lang w:val="fr-FR"/>
        </w:rPr>
        <w:t xml:space="preserve"> du taux élevé des contributions versées par [XX] [renseigner le nombre à la date de la COP2] Parties au Fonds général d</w:t>
      </w:r>
      <w:r w:rsidR="00D05492" w:rsidRPr="00110AE6">
        <w:rPr>
          <w:noProof/>
          <w:lang w:val="fr-FR"/>
        </w:rPr>
        <w:t>’</w:t>
      </w:r>
      <w:r w:rsidRPr="00110AE6">
        <w:rPr>
          <w:noProof/>
          <w:lang w:val="fr-FR"/>
        </w:rPr>
        <w:t>affectation spéciale,</w:t>
      </w:r>
    </w:p>
    <w:p w14:paraId="39F852E3" w14:textId="58E8C2BA" w:rsidR="00D613A4" w:rsidRPr="00110AE6" w:rsidRDefault="00D613A4" w:rsidP="009A21C5">
      <w:pPr>
        <w:pStyle w:val="Normal-pool"/>
        <w:widowControl w:val="0"/>
        <w:spacing w:after="120"/>
        <w:ind w:left="1247" w:firstLine="624"/>
        <w:rPr>
          <w:noProof/>
          <w:lang w:val="fr-FR"/>
        </w:rPr>
      </w:pPr>
      <w:r w:rsidRPr="00110AE6">
        <w:rPr>
          <w:i/>
          <w:iCs/>
          <w:noProof/>
          <w:lang w:val="fr-FR"/>
        </w:rPr>
        <w:t>Se félicitant en outre</w:t>
      </w:r>
      <w:r w:rsidRPr="00110AE6">
        <w:rPr>
          <w:noProof/>
          <w:lang w:val="fr-FR"/>
        </w:rPr>
        <w:t xml:space="preserve"> de ce que le niveau élevé des contributions reçue</w:t>
      </w:r>
      <w:r w:rsidR="0069283C" w:rsidRPr="00110AE6">
        <w:rPr>
          <w:noProof/>
          <w:lang w:val="fr-FR"/>
        </w:rPr>
        <w:t>s et les économies réalisées en </w:t>
      </w:r>
      <w:r w:rsidRPr="00110AE6">
        <w:rPr>
          <w:noProof/>
          <w:lang w:val="fr-FR"/>
        </w:rPr>
        <w:t>2018 ont permis de constituer immédiatement le montant total de la réserve de trésorerie de la Convention du Fonds général d</w:t>
      </w:r>
      <w:r w:rsidR="00D05492" w:rsidRPr="00110AE6">
        <w:rPr>
          <w:noProof/>
          <w:lang w:val="fr-FR"/>
        </w:rPr>
        <w:t>’</w:t>
      </w:r>
      <w:r w:rsidRPr="00110AE6">
        <w:rPr>
          <w:noProof/>
          <w:lang w:val="fr-FR"/>
        </w:rPr>
        <w:t>affectation spéciale,</w:t>
      </w:r>
    </w:p>
    <w:p w14:paraId="2FC231F2" w14:textId="70705444" w:rsidR="00D613A4" w:rsidRPr="00110AE6" w:rsidRDefault="00483932" w:rsidP="00D613A4">
      <w:pPr>
        <w:pStyle w:val="Normal-pool"/>
        <w:widowControl w:val="0"/>
        <w:spacing w:after="120"/>
        <w:ind w:left="1247" w:firstLine="624"/>
        <w:rPr>
          <w:noProof/>
          <w:lang w:val="fr-FR"/>
        </w:rPr>
      </w:pPr>
      <w:r w:rsidRPr="00110AE6">
        <w:rPr>
          <w:i/>
          <w:iCs/>
          <w:noProof/>
          <w:lang w:val="fr-FR"/>
        </w:rPr>
        <w:t>Constatant avec satisfaction</w:t>
      </w:r>
      <w:r w:rsidRPr="00110AE6">
        <w:rPr>
          <w:noProof/>
          <w:lang w:val="fr-FR"/>
        </w:rPr>
        <w:t xml:space="preserve"> les contributions et les annonces de contributions faites par l</w:t>
      </w:r>
      <w:r w:rsidR="00D05492" w:rsidRPr="00110AE6">
        <w:rPr>
          <w:noProof/>
          <w:lang w:val="fr-FR"/>
        </w:rPr>
        <w:t>’</w:t>
      </w:r>
      <w:r w:rsidRPr="00110AE6">
        <w:rPr>
          <w:noProof/>
          <w:lang w:val="fr-FR"/>
        </w:rPr>
        <w:t>Autriche, la Finlande, la France, le Japon, la Norvège, les Philippines, la Suède, la Suisse et l</w:t>
      </w:r>
      <w:r w:rsidR="00D05492" w:rsidRPr="00110AE6">
        <w:rPr>
          <w:noProof/>
          <w:lang w:val="fr-FR"/>
        </w:rPr>
        <w:t>’</w:t>
      </w:r>
      <w:r w:rsidRPr="00110AE6">
        <w:rPr>
          <w:noProof/>
          <w:lang w:val="fr-FR"/>
        </w:rPr>
        <w:t>Union européenne [mettre à jour à la date de la COP2] au Fonds d</w:t>
      </w:r>
      <w:r w:rsidR="00D05492" w:rsidRPr="00110AE6">
        <w:rPr>
          <w:noProof/>
          <w:lang w:val="fr-FR"/>
        </w:rPr>
        <w:t>’</w:t>
      </w:r>
      <w:r w:rsidRPr="00110AE6">
        <w:rPr>
          <w:noProof/>
          <w:lang w:val="fr-FR"/>
        </w:rPr>
        <w:t>affectation s</w:t>
      </w:r>
      <w:r w:rsidR="00FA5356" w:rsidRPr="00110AE6">
        <w:rPr>
          <w:noProof/>
          <w:lang w:val="fr-FR"/>
        </w:rPr>
        <w:t>péciale à des fins déterminées,</w:t>
      </w:r>
    </w:p>
    <w:p w14:paraId="14469EC9" w14:textId="16C192FE" w:rsidR="00B7286C" w:rsidRPr="00110AE6" w:rsidRDefault="00340E98" w:rsidP="00D613A4">
      <w:pPr>
        <w:pStyle w:val="Normal-pool"/>
        <w:widowControl w:val="0"/>
        <w:spacing w:after="120"/>
        <w:ind w:left="1247" w:firstLine="624"/>
        <w:rPr>
          <w:noProof/>
          <w:lang w:val="fr-FR"/>
        </w:rPr>
      </w:pPr>
      <w:r w:rsidRPr="00110AE6">
        <w:rPr>
          <w:i/>
          <w:iCs/>
          <w:noProof/>
          <w:lang w:val="fr-FR"/>
        </w:rPr>
        <w:t>Constatant également avec satisfaction</w:t>
      </w:r>
      <w:r w:rsidRPr="00110AE6">
        <w:rPr>
          <w:noProof/>
          <w:lang w:val="fr-FR"/>
        </w:rPr>
        <w:t xml:space="preserve"> les contributions et les annonces de contributions faites par l</w:t>
      </w:r>
      <w:r w:rsidR="00D05492" w:rsidRPr="00110AE6">
        <w:rPr>
          <w:noProof/>
          <w:lang w:val="fr-FR"/>
        </w:rPr>
        <w:t>’</w:t>
      </w:r>
      <w:r w:rsidRPr="00110AE6">
        <w:rPr>
          <w:noProof/>
          <w:lang w:val="fr-FR"/>
        </w:rPr>
        <w:t>Allemagne, l</w:t>
      </w:r>
      <w:r w:rsidR="00D05492" w:rsidRPr="00110AE6">
        <w:rPr>
          <w:noProof/>
          <w:lang w:val="fr-FR"/>
        </w:rPr>
        <w:t>’</w:t>
      </w:r>
      <w:r w:rsidRPr="00110AE6">
        <w:rPr>
          <w:noProof/>
          <w:lang w:val="fr-FR"/>
        </w:rPr>
        <w:t>Autriche, le Danemark, les États-Unis d</w:t>
      </w:r>
      <w:r w:rsidR="00D05492" w:rsidRPr="00110AE6">
        <w:rPr>
          <w:noProof/>
          <w:lang w:val="fr-FR"/>
        </w:rPr>
        <w:t>’</w:t>
      </w:r>
      <w:r w:rsidRPr="00110AE6">
        <w:rPr>
          <w:noProof/>
          <w:lang w:val="fr-FR"/>
        </w:rPr>
        <w:t>Amérique, la Norvège, les Pays-Bas, le Royaume-Uni de Grande-Bretagne et d</w:t>
      </w:r>
      <w:r w:rsidR="00D05492" w:rsidRPr="00110AE6">
        <w:rPr>
          <w:noProof/>
          <w:lang w:val="fr-FR"/>
        </w:rPr>
        <w:t>’</w:t>
      </w:r>
      <w:r w:rsidRPr="00110AE6">
        <w:rPr>
          <w:noProof/>
          <w:lang w:val="fr-FR"/>
        </w:rPr>
        <w:t>Irlande du Nord et la Suède [mettre à jour à la date de la COP2] au Fonds d</w:t>
      </w:r>
      <w:r w:rsidR="00D05492" w:rsidRPr="00110AE6">
        <w:rPr>
          <w:noProof/>
          <w:lang w:val="fr-FR"/>
        </w:rPr>
        <w:t>’</w:t>
      </w:r>
      <w:r w:rsidRPr="00110AE6">
        <w:rPr>
          <w:noProof/>
          <w:lang w:val="fr-FR"/>
        </w:rPr>
        <w:t>affectation spéciale spécifique,</w:t>
      </w:r>
    </w:p>
    <w:p w14:paraId="2D1AE1A9" w14:textId="7693B806" w:rsidR="0016238C" w:rsidRPr="00110AE6" w:rsidRDefault="00B7286C" w:rsidP="00D613A4">
      <w:pPr>
        <w:pStyle w:val="Normal-pool"/>
        <w:widowControl w:val="0"/>
        <w:spacing w:after="120"/>
        <w:ind w:left="1247" w:firstLine="624"/>
        <w:rPr>
          <w:noProof/>
          <w:lang w:val="fr-FR"/>
        </w:rPr>
      </w:pPr>
      <w:r w:rsidRPr="00110AE6">
        <w:rPr>
          <w:i/>
          <w:iCs/>
          <w:noProof/>
          <w:lang w:val="fr-FR"/>
        </w:rPr>
        <w:t>Prend note</w:t>
      </w:r>
      <w:r w:rsidRPr="00110AE6">
        <w:rPr>
          <w:noProof/>
          <w:lang w:val="fr-FR"/>
        </w:rPr>
        <w:t xml:space="preserve"> de ce qu</w:t>
      </w:r>
      <w:r w:rsidR="00D05492" w:rsidRPr="00110AE6">
        <w:rPr>
          <w:noProof/>
          <w:lang w:val="fr-FR"/>
        </w:rPr>
        <w:t>’</w:t>
      </w:r>
      <w:r w:rsidRPr="00110AE6">
        <w:rPr>
          <w:noProof/>
          <w:lang w:val="fr-FR"/>
        </w:rPr>
        <w:t>elle a prié le Secrét</w:t>
      </w:r>
      <w:r w:rsidR="0069283C" w:rsidRPr="00110AE6">
        <w:rPr>
          <w:noProof/>
          <w:lang w:val="fr-FR"/>
        </w:rPr>
        <w:t>aire exécutif, dans sa décision </w:t>
      </w:r>
      <w:r w:rsidRPr="00110AE6">
        <w:rPr>
          <w:noProof/>
          <w:lang w:val="fr-FR"/>
        </w:rPr>
        <w:t>MC-1/15, de préparer un budget pour l</w:t>
      </w:r>
      <w:r w:rsidR="00D05492" w:rsidRPr="00110AE6">
        <w:rPr>
          <w:noProof/>
          <w:lang w:val="fr-FR"/>
        </w:rPr>
        <w:t>’</w:t>
      </w:r>
      <w:r w:rsidRPr="00110AE6">
        <w:rPr>
          <w:noProof/>
          <w:lang w:val="fr-FR"/>
        </w:rPr>
        <w:t>exercice biennal</w:t>
      </w:r>
      <w:r w:rsidR="004D3908" w:rsidRPr="00110AE6">
        <w:rPr>
          <w:noProof/>
          <w:lang w:val="fr-FR"/>
        </w:rPr>
        <w:t> </w:t>
      </w:r>
      <w:r w:rsidRPr="00110AE6">
        <w:rPr>
          <w:noProof/>
          <w:lang w:val="fr-FR"/>
        </w:rPr>
        <w:t>2020-2021, qu</w:t>
      </w:r>
      <w:r w:rsidR="00D05492" w:rsidRPr="00110AE6">
        <w:rPr>
          <w:noProof/>
          <w:lang w:val="fr-FR"/>
        </w:rPr>
        <w:t>’</w:t>
      </w:r>
      <w:r w:rsidR="0069283C" w:rsidRPr="00110AE6">
        <w:rPr>
          <w:noProof/>
          <w:lang w:val="fr-FR"/>
        </w:rPr>
        <w:t>elle examinerait à sa troisième </w:t>
      </w:r>
      <w:r w:rsidRPr="00110AE6">
        <w:rPr>
          <w:noProof/>
          <w:lang w:val="fr-FR"/>
        </w:rPr>
        <w:t>réunion, en</w:t>
      </w:r>
      <w:r w:rsidR="004D3908" w:rsidRPr="00110AE6">
        <w:rPr>
          <w:noProof/>
          <w:lang w:val="fr-FR"/>
        </w:rPr>
        <w:t> </w:t>
      </w:r>
      <w:r w:rsidRPr="00110AE6">
        <w:rPr>
          <w:noProof/>
          <w:lang w:val="fr-FR"/>
        </w:rPr>
        <w:t>2019,</w:t>
      </w:r>
    </w:p>
    <w:p w14:paraId="4BFACE11" w14:textId="45557AD6" w:rsidR="00907C07" w:rsidRPr="00110AE6" w:rsidRDefault="000A19CD" w:rsidP="00A8053E">
      <w:pPr>
        <w:pStyle w:val="Normal-pool"/>
        <w:widowControl w:val="0"/>
        <w:spacing w:after="120"/>
        <w:ind w:left="1247" w:firstLine="27"/>
        <w:jc w:val="center"/>
        <w:rPr>
          <w:b/>
          <w:bCs/>
          <w:noProof/>
          <w:lang w:val="fr-FR"/>
        </w:rPr>
      </w:pPr>
      <w:r w:rsidRPr="00110AE6">
        <w:rPr>
          <w:b/>
          <w:bCs/>
          <w:noProof/>
          <w:lang w:val="fr-FR"/>
        </w:rPr>
        <w:t>I</w:t>
      </w:r>
    </w:p>
    <w:p w14:paraId="35CEA9E3" w14:textId="68C2F93B" w:rsidR="000A19CD" w:rsidRPr="00110AE6" w:rsidRDefault="00A36031" w:rsidP="00A8053E">
      <w:pPr>
        <w:pStyle w:val="Normal-pool"/>
        <w:widowControl w:val="0"/>
        <w:spacing w:after="120"/>
        <w:ind w:left="1247" w:firstLine="27"/>
        <w:jc w:val="center"/>
        <w:rPr>
          <w:b/>
          <w:bCs/>
          <w:noProof/>
          <w:lang w:val="fr-FR"/>
        </w:rPr>
      </w:pPr>
      <w:r w:rsidRPr="00110AE6">
        <w:rPr>
          <w:b/>
          <w:bCs/>
          <w:noProof/>
          <w:lang w:val="fr-FR"/>
        </w:rPr>
        <w:t>Fonds général d</w:t>
      </w:r>
      <w:r w:rsidR="00D05492" w:rsidRPr="00110AE6">
        <w:rPr>
          <w:b/>
          <w:bCs/>
          <w:noProof/>
          <w:lang w:val="fr-FR"/>
        </w:rPr>
        <w:t>’</w:t>
      </w:r>
      <w:r w:rsidRPr="00110AE6">
        <w:rPr>
          <w:b/>
          <w:bCs/>
          <w:noProof/>
          <w:lang w:val="fr-FR"/>
        </w:rPr>
        <w:t>affectation spéciale pour la Convention de Minamata sur le mercure</w:t>
      </w:r>
    </w:p>
    <w:p w14:paraId="4E017E5E" w14:textId="59334568" w:rsidR="000A19CD" w:rsidRPr="00110AE6" w:rsidRDefault="000A19CD" w:rsidP="000503B4">
      <w:pPr>
        <w:pStyle w:val="Normalnumber"/>
        <w:numPr>
          <w:ilvl w:val="0"/>
          <w:numId w:val="8"/>
        </w:numPr>
        <w:ind w:firstLine="624"/>
        <w:rPr>
          <w:noProof/>
          <w:lang w:val="fr-FR"/>
        </w:rPr>
      </w:pPr>
      <w:r w:rsidRPr="00110AE6">
        <w:rPr>
          <w:i/>
          <w:iCs/>
          <w:noProof/>
          <w:lang w:val="fr-FR"/>
        </w:rPr>
        <w:t>Prend note</w:t>
      </w:r>
      <w:r w:rsidRPr="00110AE6">
        <w:rPr>
          <w:noProof/>
          <w:lang w:val="fr-FR"/>
        </w:rPr>
        <w:t xml:space="preserve"> du bilan fait par le Secrétaire e</w:t>
      </w:r>
      <w:r w:rsidR="004D3908" w:rsidRPr="00110AE6">
        <w:rPr>
          <w:noProof/>
          <w:lang w:val="fr-FR"/>
        </w:rPr>
        <w:t>xécutif des activités menées en </w:t>
      </w:r>
      <w:r w:rsidRPr="00110AE6">
        <w:rPr>
          <w:noProof/>
          <w:lang w:val="fr-FR"/>
        </w:rPr>
        <w:t>2018 et des dépenses prévues pour 2018 qui seront financées au moyen du Fonds général d</w:t>
      </w:r>
      <w:r w:rsidR="00D05492" w:rsidRPr="00110AE6">
        <w:rPr>
          <w:noProof/>
          <w:lang w:val="fr-FR"/>
        </w:rPr>
        <w:t>’</w:t>
      </w:r>
      <w:r w:rsidRPr="00110AE6">
        <w:rPr>
          <w:noProof/>
          <w:lang w:val="fr-FR"/>
        </w:rPr>
        <w:t>affectation spéciale, qui figurent dans la note du secrétariat sur le programme de travail et le budget pour l</w:t>
      </w:r>
      <w:r w:rsidR="00D05492" w:rsidRPr="00110AE6">
        <w:rPr>
          <w:noProof/>
          <w:lang w:val="fr-FR"/>
        </w:rPr>
        <w:t>’</w:t>
      </w:r>
      <w:r w:rsidRPr="00110AE6">
        <w:rPr>
          <w:noProof/>
          <w:lang w:val="fr-FR"/>
        </w:rPr>
        <w:t>exercice biennal</w:t>
      </w:r>
      <w:r w:rsidR="004D3908" w:rsidRPr="00110AE6">
        <w:rPr>
          <w:noProof/>
          <w:lang w:val="fr-FR"/>
        </w:rPr>
        <w:t> </w:t>
      </w:r>
      <w:r w:rsidRPr="00110AE6">
        <w:rPr>
          <w:noProof/>
          <w:lang w:val="fr-FR"/>
        </w:rPr>
        <w:t>2018-2019</w:t>
      </w:r>
      <w:r w:rsidR="00D35357" w:rsidRPr="00110AE6">
        <w:rPr>
          <w:rStyle w:val="Appelnotedebasdep"/>
          <w:noProof/>
          <w:lang w:val="fr-FR"/>
        </w:rPr>
        <w:footnoteReference w:id="5"/>
      </w:r>
      <w:r w:rsidRPr="00110AE6">
        <w:rPr>
          <w:noProof/>
          <w:lang w:val="fr-FR"/>
        </w:rPr>
        <w:t>, ainsi que du rapport sur les activités menées par le secrétariat en 2018</w:t>
      </w:r>
      <w:r w:rsidR="00D35357" w:rsidRPr="00110AE6">
        <w:rPr>
          <w:rStyle w:val="Appelnotedebasdep"/>
          <w:noProof/>
          <w:lang w:val="fr-FR"/>
        </w:rPr>
        <w:footnoteReference w:id="6"/>
      </w:r>
      <w:r w:rsidRPr="00110AE6">
        <w:rPr>
          <w:noProof/>
          <w:lang w:val="fr-FR"/>
        </w:rPr>
        <w:t>, et prend note également des ajustement qu</w:t>
      </w:r>
      <w:r w:rsidR="00D05492" w:rsidRPr="00110AE6">
        <w:rPr>
          <w:noProof/>
          <w:lang w:val="fr-FR"/>
        </w:rPr>
        <w:t>’</w:t>
      </w:r>
      <w:r w:rsidRPr="00110AE6">
        <w:rPr>
          <w:noProof/>
          <w:lang w:val="fr-FR"/>
        </w:rPr>
        <w:t>il est proposé de faire aux prévisions de dépenses dans le budget approuvé pour 2019 et des informations supplémentaires fournies dans le programme de travail et le tableau budgétaire détaillé</w:t>
      </w:r>
      <w:r w:rsidR="00D35357" w:rsidRPr="00110AE6">
        <w:rPr>
          <w:rStyle w:val="Appelnotedebasdep"/>
          <w:noProof/>
          <w:lang w:val="fr-FR"/>
        </w:rPr>
        <w:footnoteReference w:id="7"/>
      </w:r>
      <w:r w:rsidR="00FA5356" w:rsidRPr="00110AE6">
        <w:rPr>
          <w:noProof/>
          <w:lang w:val="fr-FR"/>
        </w:rPr>
        <w:t> ;</w:t>
      </w:r>
    </w:p>
    <w:p w14:paraId="0C933320" w14:textId="0EFE0949" w:rsidR="00907C07" w:rsidRPr="00110AE6" w:rsidRDefault="00907C07" w:rsidP="00176F98">
      <w:pPr>
        <w:pStyle w:val="Normalnumber"/>
        <w:ind w:firstLine="624"/>
        <w:rPr>
          <w:noProof/>
          <w:lang w:val="fr-FR"/>
        </w:rPr>
      </w:pPr>
      <w:r w:rsidRPr="00110AE6">
        <w:rPr>
          <w:i/>
          <w:iCs/>
          <w:noProof/>
          <w:lang w:val="fr-FR"/>
        </w:rPr>
        <w:t xml:space="preserve">Approuve </w:t>
      </w:r>
      <w:r w:rsidRPr="00110AE6">
        <w:rPr>
          <w:noProof/>
          <w:lang w:val="fr-FR"/>
        </w:rPr>
        <w:t>le budget actualisé du Fonds général d</w:t>
      </w:r>
      <w:r w:rsidR="00D05492" w:rsidRPr="00110AE6">
        <w:rPr>
          <w:noProof/>
          <w:lang w:val="fr-FR"/>
        </w:rPr>
        <w:t>’</w:t>
      </w:r>
      <w:r w:rsidRPr="00110AE6">
        <w:rPr>
          <w:noProof/>
          <w:lang w:val="fr-FR"/>
        </w:rPr>
        <w:t>affectation spéciale pour 2019, qui s</w:t>
      </w:r>
      <w:r w:rsidR="00D05492" w:rsidRPr="00110AE6">
        <w:rPr>
          <w:noProof/>
          <w:lang w:val="fr-FR"/>
        </w:rPr>
        <w:t>’</w:t>
      </w:r>
      <w:r w:rsidRPr="00110AE6">
        <w:rPr>
          <w:noProof/>
          <w:lang w:val="fr-FR"/>
        </w:rPr>
        <w:t>élèv</w:t>
      </w:r>
      <w:r w:rsidR="00FA5356" w:rsidRPr="00110AE6">
        <w:rPr>
          <w:noProof/>
          <w:lang w:val="fr-FR"/>
        </w:rPr>
        <w:t>e à [XX] dollars des États-Unis </w:t>
      </w:r>
      <w:r w:rsidRPr="00110AE6">
        <w:rPr>
          <w:noProof/>
          <w:lang w:val="fr-FR"/>
        </w:rPr>
        <w:t>;</w:t>
      </w:r>
    </w:p>
    <w:p w14:paraId="16ED3B12" w14:textId="5AD3DA04" w:rsidR="00907C07" w:rsidRPr="00110AE6" w:rsidRDefault="00907C07" w:rsidP="00176F98">
      <w:pPr>
        <w:pStyle w:val="Normalnumber"/>
        <w:ind w:firstLine="624"/>
        <w:rPr>
          <w:noProof/>
          <w:lang w:val="fr-FR"/>
        </w:rPr>
      </w:pPr>
      <w:r w:rsidRPr="00110AE6">
        <w:rPr>
          <w:i/>
          <w:iCs/>
          <w:noProof/>
          <w:lang w:val="fr-FR"/>
        </w:rPr>
        <w:t xml:space="preserve">Adopte </w:t>
      </w:r>
      <w:r w:rsidRPr="00110AE6">
        <w:rPr>
          <w:noProof/>
          <w:lang w:val="fr-FR"/>
        </w:rPr>
        <w:t>le barème indicatif des quotes-parts pour la répartition des dépenses de 2019 figurant dans le tableau [XX] de la présente décision et autorise le Secrétaire exécutif, conformément au Règlement financier et aux Règles de gestion financière en vigueur à l</w:t>
      </w:r>
      <w:r w:rsidR="00D05492" w:rsidRPr="00110AE6">
        <w:rPr>
          <w:noProof/>
          <w:lang w:val="fr-FR"/>
        </w:rPr>
        <w:t>’</w:t>
      </w:r>
      <w:r w:rsidRPr="00110AE6">
        <w:rPr>
          <w:noProof/>
          <w:lang w:val="fr-FR"/>
        </w:rPr>
        <w:t>ONU, à ajuster ce barème pour y inclure toutes les Parties pour lesquelles la Convention entrera en vigueur avant le 1</w:t>
      </w:r>
      <w:r w:rsidRPr="00110AE6">
        <w:rPr>
          <w:noProof/>
          <w:vertAlign w:val="superscript"/>
          <w:lang w:val="fr-FR"/>
        </w:rPr>
        <w:t>er</w:t>
      </w:r>
      <w:r w:rsidR="0069283C" w:rsidRPr="00110AE6">
        <w:rPr>
          <w:noProof/>
          <w:lang w:val="fr-FR"/>
        </w:rPr>
        <w:t> </w:t>
      </w:r>
      <w:r w:rsidR="00FA5356" w:rsidRPr="00110AE6">
        <w:rPr>
          <w:noProof/>
          <w:lang w:val="fr-FR"/>
        </w:rPr>
        <w:t>janvier 2019 ;</w:t>
      </w:r>
    </w:p>
    <w:p w14:paraId="6F2F220B" w14:textId="1EAC0820" w:rsidR="00907C07" w:rsidRPr="00110AE6" w:rsidRDefault="00907C07" w:rsidP="00176F98">
      <w:pPr>
        <w:pStyle w:val="Normalnumber"/>
        <w:ind w:firstLine="624"/>
        <w:rPr>
          <w:noProof/>
          <w:lang w:val="fr-FR"/>
        </w:rPr>
      </w:pPr>
      <w:r w:rsidRPr="00110AE6">
        <w:rPr>
          <w:i/>
          <w:iCs/>
          <w:noProof/>
          <w:lang w:val="fr-FR"/>
        </w:rPr>
        <w:t xml:space="preserve">Rappelle </w:t>
      </w:r>
      <w:r w:rsidRPr="00110AE6">
        <w:rPr>
          <w:noProof/>
          <w:lang w:val="fr-FR"/>
        </w:rPr>
        <w:t>que les contributions au Fonds général d</w:t>
      </w:r>
      <w:r w:rsidR="00D05492" w:rsidRPr="00110AE6">
        <w:rPr>
          <w:noProof/>
          <w:lang w:val="fr-FR"/>
        </w:rPr>
        <w:t>’</w:t>
      </w:r>
      <w:r w:rsidRPr="00110AE6">
        <w:rPr>
          <w:noProof/>
          <w:lang w:val="fr-FR"/>
        </w:rPr>
        <w:t>affectation spéciale sont dues le 1</w:t>
      </w:r>
      <w:r w:rsidRPr="00110AE6">
        <w:rPr>
          <w:noProof/>
          <w:vertAlign w:val="superscript"/>
          <w:lang w:val="fr-FR"/>
        </w:rPr>
        <w:t>er</w:t>
      </w:r>
      <w:r w:rsidR="0069283C" w:rsidRPr="00110AE6">
        <w:rPr>
          <w:noProof/>
          <w:vertAlign w:val="superscript"/>
          <w:lang w:val="fr-FR"/>
        </w:rPr>
        <w:t> </w:t>
      </w:r>
      <w:r w:rsidRPr="00110AE6">
        <w:rPr>
          <w:noProof/>
          <w:lang w:val="fr-FR"/>
        </w:rPr>
        <w:t>janvier de l</w:t>
      </w:r>
      <w:r w:rsidR="00D05492" w:rsidRPr="00110AE6">
        <w:rPr>
          <w:noProof/>
          <w:lang w:val="fr-FR"/>
        </w:rPr>
        <w:t>’</w:t>
      </w:r>
      <w:r w:rsidRPr="00110AE6">
        <w:rPr>
          <w:noProof/>
          <w:lang w:val="fr-FR"/>
        </w:rPr>
        <w:t>année pour laquelle ces contributions ont été bu</w:t>
      </w:r>
      <w:r w:rsidR="0069283C" w:rsidRPr="00110AE6">
        <w:rPr>
          <w:noProof/>
          <w:lang w:val="fr-FR"/>
        </w:rPr>
        <w:t>dgétisées et au plus tard le 31 </w:t>
      </w:r>
      <w:r w:rsidRPr="00110AE6">
        <w:rPr>
          <w:noProof/>
          <w:lang w:val="fr-FR"/>
        </w:rPr>
        <w:t>décembre de l</w:t>
      </w:r>
      <w:r w:rsidR="00D05492" w:rsidRPr="00110AE6">
        <w:rPr>
          <w:noProof/>
          <w:lang w:val="fr-FR"/>
        </w:rPr>
        <w:t>’</w:t>
      </w:r>
      <w:r w:rsidRPr="00110AE6">
        <w:rPr>
          <w:noProof/>
          <w:lang w:val="fr-FR"/>
        </w:rPr>
        <w:t>année en question et prie les Parties de payer promptement leurs contributions afin de permettre au secr</w:t>
      </w:r>
      <w:r w:rsidR="00FA5356" w:rsidRPr="00110AE6">
        <w:rPr>
          <w:noProof/>
          <w:lang w:val="fr-FR"/>
        </w:rPr>
        <w:t>étariat d</w:t>
      </w:r>
      <w:r w:rsidR="00D05492" w:rsidRPr="00110AE6">
        <w:rPr>
          <w:noProof/>
          <w:lang w:val="fr-FR"/>
        </w:rPr>
        <w:t>’</w:t>
      </w:r>
      <w:r w:rsidR="00FA5356" w:rsidRPr="00110AE6">
        <w:rPr>
          <w:noProof/>
          <w:lang w:val="fr-FR"/>
        </w:rPr>
        <w:t>effectuer ses travaux </w:t>
      </w:r>
      <w:r w:rsidRPr="00110AE6">
        <w:rPr>
          <w:noProof/>
          <w:lang w:val="fr-FR"/>
        </w:rPr>
        <w:t>;</w:t>
      </w:r>
    </w:p>
    <w:p w14:paraId="1D06799C" w14:textId="77777777" w:rsidR="00667E3E" w:rsidRPr="00110AE6" w:rsidRDefault="00667E3E">
      <w:pPr>
        <w:tabs>
          <w:tab w:val="clear" w:pos="1247"/>
          <w:tab w:val="clear" w:pos="1814"/>
          <w:tab w:val="clear" w:pos="2381"/>
          <w:tab w:val="clear" w:pos="2948"/>
          <w:tab w:val="clear" w:pos="3515"/>
        </w:tabs>
        <w:rPr>
          <w:b/>
          <w:bCs/>
          <w:noProof/>
          <w:lang w:val="fr-FR"/>
        </w:rPr>
      </w:pPr>
      <w:r w:rsidRPr="00110AE6">
        <w:rPr>
          <w:b/>
          <w:bCs/>
          <w:noProof/>
          <w:lang w:val="fr-FR"/>
        </w:rPr>
        <w:br w:type="page"/>
      </w:r>
    </w:p>
    <w:p w14:paraId="1A283F68" w14:textId="041E649C" w:rsidR="00907C07" w:rsidRPr="00110AE6" w:rsidRDefault="00907C07" w:rsidP="00A8053E">
      <w:pPr>
        <w:pStyle w:val="Normal-pool"/>
        <w:widowControl w:val="0"/>
        <w:spacing w:after="120"/>
        <w:ind w:left="1247" w:hanging="1"/>
        <w:jc w:val="center"/>
        <w:rPr>
          <w:b/>
          <w:bCs/>
          <w:noProof/>
          <w:lang w:val="fr-FR"/>
        </w:rPr>
      </w:pPr>
      <w:r w:rsidRPr="00110AE6">
        <w:rPr>
          <w:b/>
          <w:bCs/>
          <w:noProof/>
          <w:lang w:val="fr-FR"/>
        </w:rPr>
        <w:t>II</w:t>
      </w:r>
    </w:p>
    <w:p w14:paraId="22345759" w14:textId="60545158" w:rsidR="002964D0" w:rsidRPr="00110AE6" w:rsidRDefault="00907C07" w:rsidP="00A8053E">
      <w:pPr>
        <w:pStyle w:val="Normal-pool"/>
        <w:widowControl w:val="0"/>
        <w:spacing w:after="120"/>
        <w:ind w:left="1247" w:hanging="1"/>
        <w:jc w:val="center"/>
        <w:rPr>
          <w:b/>
          <w:bCs/>
          <w:noProof/>
          <w:lang w:val="fr-FR"/>
        </w:rPr>
      </w:pPr>
      <w:r w:rsidRPr="00110AE6">
        <w:rPr>
          <w:b/>
          <w:bCs/>
          <w:noProof/>
          <w:lang w:val="fr-FR"/>
        </w:rPr>
        <w:t>Fonds d</w:t>
      </w:r>
      <w:r w:rsidR="00D05492" w:rsidRPr="00110AE6">
        <w:rPr>
          <w:b/>
          <w:bCs/>
          <w:noProof/>
          <w:lang w:val="fr-FR"/>
        </w:rPr>
        <w:t>’</w:t>
      </w:r>
      <w:r w:rsidRPr="00110AE6">
        <w:rPr>
          <w:b/>
          <w:bCs/>
          <w:noProof/>
          <w:lang w:val="fr-FR"/>
        </w:rPr>
        <w:t xml:space="preserve">affectation spéciale à des fins déterminées pour la Convention </w:t>
      </w:r>
      <w:r w:rsidR="00A8053E" w:rsidRPr="00110AE6">
        <w:rPr>
          <w:b/>
          <w:bCs/>
          <w:noProof/>
          <w:lang w:val="fr-FR"/>
        </w:rPr>
        <w:br/>
      </w:r>
      <w:r w:rsidRPr="00110AE6">
        <w:rPr>
          <w:b/>
          <w:bCs/>
          <w:noProof/>
          <w:lang w:val="fr-FR"/>
        </w:rPr>
        <w:t>de Minamata sur</w:t>
      </w:r>
      <w:r w:rsidR="0007185D" w:rsidRPr="00110AE6">
        <w:rPr>
          <w:b/>
          <w:bCs/>
          <w:noProof/>
          <w:lang w:val="fr-FR"/>
        </w:rPr>
        <w:t> </w:t>
      </w:r>
      <w:r w:rsidRPr="00110AE6">
        <w:rPr>
          <w:b/>
          <w:bCs/>
          <w:noProof/>
          <w:lang w:val="fr-FR"/>
        </w:rPr>
        <w:t>le</w:t>
      </w:r>
      <w:r w:rsidR="0007185D" w:rsidRPr="00110AE6">
        <w:rPr>
          <w:b/>
          <w:bCs/>
          <w:noProof/>
          <w:lang w:val="fr-FR"/>
        </w:rPr>
        <w:t> </w:t>
      </w:r>
      <w:r w:rsidRPr="00110AE6">
        <w:rPr>
          <w:b/>
          <w:bCs/>
          <w:noProof/>
          <w:lang w:val="fr-FR"/>
        </w:rPr>
        <w:t>mercure</w:t>
      </w:r>
    </w:p>
    <w:p w14:paraId="261203B4" w14:textId="328C434C" w:rsidR="002964D0" w:rsidRPr="00110AE6" w:rsidRDefault="002964D0" w:rsidP="00EC3F22">
      <w:pPr>
        <w:pStyle w:val="Normalnumber"/>
        <w:ind w:firstLine="624"/>
        <w:rPr>
          <w:noProof/>
          <w:lang w:val="fr-FR"/>
        </w:rPr>
      </w:pPr>
      <w:r w:rsidRPr="00110AE6">
        <w:rPr>
          <w:noProof/>
          <w:lang w:val="fr-FR"/>
        </w:rPr>
        <w:t>Prend note du bilan fait par le Secrétaire e</w:t>
      </w:r>
      <w:r w:rsidR="0069283C" w:rsidRPr="00110AE6">
        <w:rPr>
          <w:noProof/>
          <w:lang w:val="fr-FR"/>
        </w:rPr>
        <w:t>xécutif des activités menées en </w:t>
      </w:r>
      <w:r w:rsidRPr="00110AE6">
        <w:rPr>
          <w:noProof/>
          <w:lang w:val="fr-FR"/>
        </w:rPr>
        <w:t>2018 et des dépenses prévues pour 2018 qui seront financées au moyen du Fonds d</w:t>
      </w:r>
      <w:r w:rsidR="00D05492" w:rsidRPr="00110AE6">
        <w:rPr>
          <w:noProof/>
          <w:lang w:val="fr-FR"/>
        </w:rPr>
        <w:t>’</w:t>
      </w:r>
      <w:r w:rsidRPr="00110AE6">
        <w:rPr>
          <w:noProof/>
          <w:lang w:val="fr-FR"/>
        </w:rPr>
        <w:t>affectation spéciale à des fins déterminées, qui figurent dans la note du secrétariat sur le programme de travail et le budget pour l</w:t>
      </w:r>
      <w:r w:rsidR="00D05492" w:rsidRPr="00110AE6">
        <w:rPr>
          <w:noProof/>
          <w:lang w:val="fr-FR"/>
        </w:rPr>
        <w:t>’</w:t>
      </w:r>
      <w:r w:rsidRPr="00110AE6">
        <w:rPr>
          <w:noProof/>
          <w:lang w:val="fr-FR"/>
        </w:rPr>
        <w:t>exercice biennal 2018-2019</w:t>
      </w:r>
      <w:r w:rsidR="009C6788" w:rsidRPr="00110AE6">
        <w:rPr>
          <w:rStyle w:val="Appelnotedebasdep"/>
          <w:noProof/>
          <w:lang w:val="fr-FR"/>
        </w:rPr>
        <w:footnoteReference w:id="8"/>
      </w:r>
      <w:r w:rsidRPr="00110AE6">
        <w:rPr>
          <w:noProof/>
          <w:lang w:val="fr-FR"/>
        </w:rPr>
        <w:t>, ainsi que du rapport sur les activités menées par le secrétariat en 2018</w:t>
      </w:r>
      <w:r w:rsidR="009C6788" w:rsidRPr="00110AE6">
        <w:rPr>
          <w:rStyle w:val="Appelnotedebasdep"/>
          <w:noProof/>
          <w:lang w:val="fr-FR"/>
        </w:rPr>
        <w:footnoteReference w:id="9"/>
      </w:r>
      <w:r w:rsidRPr="00110AE6">
        <w:rPr>
          <w:noProof/>
          <w:lang w:val="fr-FR"/>
        </w:rPr>
        <w:t>, et prend note également des ajustement qu</w:t>
      </w:r>
      <w:r w:rsidR="00D05492" w:rsidRPr="00110AE6">
        <w:rPr>
          <w:noProof/>
          <w:lang w:val="fr-FR"/>
        </w:rPr>
        <w:t>’</w:t>
      </w:r>
      <w:r w:rsidRPr="00110AE6">
        <w:rPr>
          <w:noProof/>
          <w:lang w:val="fr-FR"/>
        </w:rPr>
        <w:t>il est proposé de faire aux prévisions de dépenses dans le budget de 2019 et des informations supplémentaires fournies dans le programme de travail et le tableau budgétaire détaillé</w:t>
      </w:r>
      <w:r w:rsidR="009C6788" w:rsidRPr="00110AE6">
        <w:rPr>
          <w:rStyle w:val="Appelnotedebasdep"/>
          <w:noProof/>
          <w:lang w:val="fr-FR"/>
        </w:rPr>
        <w:footnoteReference w:id="10"/>
      </w:r>
      <w:r w:rsidR="00FA5356" w:rsidRPr="00110AE6">
        <w:rPr>
          <w:noProof/>
          <w:lang w:val="fr-FR"/>
        </w:rPr>
        <w:t> </w:t>
      </w:r>
      <w:r w:rsidRPr="00110AE6">
        <w:rPr>
          <w:noProof/>
          <w:lang w:val="fr-FR"/>
        </w:rPr>
        <w:t>;</w:t>
      </w:r>
    </w:p>
    <w:p w14:paraId="5EBC0D7B" w14:textId="2DEBADA2" w:rsidR="002964D0" w:rsidRPr="00110AE6" w:rsidRDefault="00D613A4" w:rsidP="00EC3F22">
      <w:pPr>
        <w:pStyle w:val="Normalnumber"/>
        <w:ind w:firstLine="624"/>
        <w:rPr>
          <w:noProof/>
          <w:lang w:val="fr-FR"/>
        </w:rPr>
      </w:pPr>
      <w:r w:rsidRPr="00110AE6">
        <w:rPr>
          <w:i/>
          <w:iCs/>
          <w:noProof/>
          <w:lang w:val="fr-FR"/>
        </w:rPr>
        <w:t>Approuve</w:t>
      </w:r>
      <w:r w:rsidRPr="00110AE6">
        <w:rPr>
          <w:noProof/>
          <w:lang w:val="fr-FR"/>
        </w:rPr>
        <w:t xml:space="preserve"> le projet de budget actualisé du Fonds d</w:t>
      </w:r>
      <w:r w:rsidR="00D05492" w:rsidRPr="00110AE6">
        <w:rPr>
          <w:noProof/>
          <w:lang w:val="fr-FR"/>
        </w:rPr>
        <w:t>’</w:t>
      </w:r>
      <w:r w:rsidRPr="00110AE6">
        <w:rPr>
          <w:noProof/>
          <w:lang w:val="fr-FR"/>
        </w:rPr>
        <w:t>affectation spéciale à des fins déterminées pour 2019, qui s</w:t>
      </w:r>
      <w:r w:rsidR="00D05492" w:rsidRPr="00110AE6">
        <w:rPr>
          <w:noProof/>
          <w:lang w:val="fr-FR"/>
        </w:rPr>
        <w:t>’</w:t>
      </w:r>
      <w:r w:rsidRPr="00110AE6">
        <w:rPr>
          <w:noProof/>
          <w:lang w:val="fr-FR"/>
        </w:rPr>
        <w:t xml:space="preserve">élève </w:t>
      </w:r>
      <w:r w:rsidR="00FA5356" w:rsidRPr="00110AE6">
        <w:rPr>
          <w:noProof/>
          <w:lang w:val="fr-FR"/>
        </w:rPr>
        <w:t>à [XX] dollars des États-Unis ;</w:t>
      </w:r>
    </w:p>
    <w:p w14:paraId="39197202" w14:textId="243A1103" w:rsidR="00D613A4" w:rsidRPr="00110AE6" w:rsidRDefault="00D613A4" w:rsidP="00EC3F22">
      <w:pPr>
        <w:pStyle w:val="Normalnumber"/>
        <w:ind w:firstLine="624"/>
        <w:rPr>
          <w:noProof/>
          <w:lang w:val="fr-FR"/>
        </w:rPr>
      </w:pPr>
      <w:r w:rsidRPr="00110AE6">
        <w:rPr>
          <w:i/>
          <w:iCs/>
          <w:noProof/>
          <w:lang w:val="fr-FR"/>
        </w:rPr>
        <w:t xml:space="preserve">Engage </w:t>
      </w:r>
      <w:r w:rsidRPr="00110AE6">
        <w:rPr>
          <w:noProof/>
          <w:lang w:val="fr-FR"/>
        </w:rPr>
        <w:t>les Parties et invite les non-parties à la Convention et les autres intéressés en mesure de le faire à contribuer au Fonds d</w:t>
      </w:r>
      <w:r w:rsidR="00D05492" w:rsidRPr="00110AE6">
        <w:rPr>
          <w:noProof/>
          <w:lang w:val="fr-FR"/>
        </w:rPr>
        <w:t>’</w:t>
      </w:r>
      <w:r w:rsidRPr="00110AE6">
        <w:rPr>
          <w:noProof/>
          <w:lang w:val="fr-FR"/>
        </w:rPr>
        <w:t>affectation spéciale à des fins déterminées pour appuyer les activités de renforcement des capacités et d</w:t>
      </w:r>
      <w:r w:rsidR="00D05492" w:rsidRPr="00110AE6">
        <w:rPr>
          <w:noProof/>
          <w:lang w:val="fr-FR"/>
        </w:rPr>
        <w:t>’</w:t>
      </w:r>
      <w:r w:rsidRPr="00110AE6">
        <w:rPr>
          <w:noProof/>
          <w:lang w:val="fr-FR"/>
        </w:rPr>
        <w:t>assistance technique du secrétariat de la Convention de Minamata conformément à l</w:t>
      </w:r>
      <w:r w:rsidR="00D05492" w:rsidRPr="00110AE6">
        <w:rPr>
          <w:noProof/>
          <w:lang w:val="fr-FR"/>
        </w:rPr>
        <w:t>’</w:t>
      </w:r>
      <w:r w:rsidR="0069283C" w:rsidRPr="00110AE6">
        <w:rPr>
          <w:noProof/>
          <w:lang w:val="fr-FR"/>
        </w:rPr>
        <w:t>article </w:t>
      </w:r>
      <w:r w:rsidRPr="00110AE6">
        <w:rPr>
          <w:noProof/>
          <w:lang w:val="fr-FR"/>
        </w:rPr>
        <w:t xml:space="preserve">14 </w:t>
      </w:r>
      <w:r w:rsidR="00FA5356" w:rsidRPr="00110AE6">
        <w:rPr>
          <w:noProof/>
          <w:lang w:val="fr-FR"/>
        </w:rPr>
        <w:t>de la Convention </w:t>
      </w:r>
      <w:r w:rsidRPr="00110AE6">
        <w:rPr>
          <w:noProof/>
          <w:lang w:val="fr-FR"/>
        </w:rPr>
        <w:t>;</w:t>
      </w:r>
    </w:p>
    <w:p w14:paraId="595E7E09" w14:textId="31D15D75" w:rsidR="00F2708D" w:rsidRPr="00110AE6" w:rsidRDefault="005475DF" w:rsidP="00EC3F22">
      <w:pPr>
        <w:pStyle w:val="Normalnumber"/>
        <w:ind w:firstLine="624"/>
        <w:rPr>
          <w:noProof/>
          <w:lang w:val="fr-FR"/>
        </w:rPr>
      </w:pPr>
      <w:r w:rsidRPr="00110AE6">
        <w:rPr>
          <w:i/>
          <w:iCs/>
          <w:noProof/>
          <w:lang w:val="fr-FR"/>
        </w:rPr>
        <w:t xml:space="preserve">Engage également </w:t>
      </w:r>
      <w:r w:rsidRPr="00110AE6">
        <w:rPr>
          <w:noProof/>
          <w:lang w:val="fr-FR"/>
        </w:rPr>
        <w:t>les Parties et invite les non Parties à la Convention et les autres intéressés en mesure de le faire à contribuer au Fonds d</w:t>
      </w:r>
      <w:r w:rsidR="00D05492" w:rsidRPr="00110AE6">
        <w:rPr>
          <w:noProof/>
          <w:lang w:val="fr-FR"/>
        </w:rPr>
        <w:t>’</w:t>
      </w:r>
      <w:r w:rsidRPr="00110AE6">
        <w:rPr>
          <w:noProof/>
          <w:lang w:val="fr-FR"/>
        </w:rPr>
        <w:t>affectation spéciale à des fins déterminées afin de faciliter la participation de représentant(e)s de pays en développement à ses réunions et à celle</w:t>
      </w:r>
      <w:r w:rsidR="00FA5356" w:rsidRPr="00110AE6">
        <w:rPr>
          <w:noProof/>
          <w:lang w:val="fr-FR"/>
        </w:rPr>
        <w:t>s de ses organes subsidiaires ;</w:t>
      </w:r>
    </w:p>
    <w:p w14:paraId="19160AF2" w14:textId="3A6C0100" w:rsidR="00F2708D" w:rsidRPr="00110AE6" w:rsidRDefault="00F2708D" w:rsidP="00A8053E">
      <w:pPr>
        <w:pStyle w:val="Normal-pool"/>
        <w:widowControl w:val="0"/>
        <w:spacing w:before="240" w:after="120"/>
        <w:ind w:left="1247" w:hanging="1"/>
        <w:jc w:val="center"/>
        <w:rPr>
          <w:b/>
          <w:bCs/>
          <w:noProof/>
          <w:lang w:val="fr-FR"/>
        </w:rPr>
      </w:pPr>
      <w:r w:rsidRPr="00110AE6">
        <w:rPr>
          <w:b/>
          <w:bCs/>
          <w:noProof/>
          <w:lang w:val="fr-FR"/>
        </w:rPr>
        <w:t>III</w:t>
      </w:r>
    </w:p>
    <w:p w14:paraId="7DAE9A10" w14:textId="085350CF" w:rsidR="00F2708D" w:rsidRPr="00110AE6" w:rsidRDefault="00F2708D" w:rsidP="00A8053E">
      <w:pPr>
        <w:pStyle w:val="Normal-pool"/>
        <w:widowControl w:val="0"/>
        <w:spacing w:after="120"/>
        <w:ind w:left="1247" w:hanging="1"/>
        <w:jc w:val="center"/>
        <w:rPr>
          <w:b/>
          <w:bCs/>
          <w:noProof/>
          <w:lang w:val="fr-FR"/>
        </w:rPr>
      </w:pPr>
      <w:r w:rsidRPr="00110AE6">
        <w:rPr>
          <w:b/>
          <w:bCs/>
          <w:noProof/>
          <w:lang w:val="fr-FR"/>
        </w:rPr>
        <w:t>Fonds d</w:t>
      </w:r>
      <w:r w:rsidR="00D05492" w:rsidRPr="00110AE6">
        <w:rPr>
          <w:b/>
          <w:bCs/>
          <w:noProof/>
          <w:lang w:val="fr-FR"/>
        </w:rPr>
        <w:t>’</w:t>
      </w:r>
      <w:r w:rsidRPr="00110AE6">
        <w:rPr>
          <w:b/>
          <w:bCs/>
          <w:noProof/>
          <w:lang w:val="fr-FR"/>
        </w:rPr>
        <w:t>affectation spéciale spécifique pour la Convention de Minamata sur le mercure</w:t>
      </w:r>
    </w:p>
    <w:p w14:paraId="2342EC63" w14:textId="648FC470" w:rsidR="00D613A4" w:rsidRPr="00110AE6" w:rsidRDefault="00F2708D" w:rsidP="00EC3F22">
      <w:pPr>
        <w:pStyle w:val="Normalnumber"/>
        <w:ind w:firstLine="624"/>
        <w:rPr>
          <w:noProof/>
          <w:lang w:val="fr-FR"/>
        </w:rPr>
      </w:pPr>
      <w:r w:rsidRPr="00110AE6">
        <w:rPr>
          <w:i/>
          <w:iCs/>
          <w:noProof/>
          <w:lang w:val="fr-FR"/>
        </w:rPr>
        <w:t>Prend note</w:t>
      </w:r>
      <w:r w:rsidRPr="00110AE6">
        <w:rPr>
          <w:noProof/>
          <w:lang w:val="fr-FR"/>
        </w:rPr>
        <w:t xml:space="preserve"> du rapport d</w:t>
      </w:r>
      <w:r w:rsidR="00D05492" w:rsidRPr="00110AE6">
        <w:rPr>
          <w:noProof/>
          <w:lang w:val="fr-FR"/>
        </w:rPr>
        <w:t>’</w:t>
      </w:r>
      <w:r w:rsidRPr="00110AE6">
        <w:rPr>
          <w:noProof/>
          <w:lang w:val="fr-FR"/>
        </w:rPr>
        <w:t>ensemble sur le Programme international spécifique visant à soutenir le renforcement des capacités et l</w:t>
      </w:r>
      <w:r w:rsidR="00D05492" w:rsidRPr="00110AE6">
        <w:rPr>
          <w:noProof/>
          <w:lang w:val="fr-FR"/>
        </w:rPr>
        <w:t>’</w:t>
      </w:r>
      <w:r w:rsidRPr="00110AE6">
        <w:rPr>
          <w:noProof/>
          <w:lang w:val="fr-FR"/>
        </w:rPr>
        <w:t>assistance technique et sur le Fonds d</w:t>
      </w:r>
      <w:r w:rsidR="00D05492" w:rsidRPr="00110AE6">
        <w:rPr>
          <w:noProof/>
          <w:lang w:val="fr-FR"/>
        </w:rPr>
        <w:t>’</w:t>
      </w:r>
      <w:r w:rsidRPr="00110AE6">
        <w:rPr>
          <w:noProof/>
          <w:lang w:val="fr-FR"/>
        </w:rPr>
        <w:t>affectation spéciale spécifique pour ces activités</w:t>
      </w:r>
      <w:r w:rsidR="00654A36" w:rsidRPr="00110AE6">
        <w:rPr>
          <w:rStyle w:val="Appelnotedebasdep"/>
          <w:noProof/>
          <w:lang w:val="fr-FR"/>
        </w:rPr>
        <w:footnoteReference w:id="11"/>
      </w:r>
      <w:r w:rsidR="00FA5356" w:rsidRPr="00110AE6">
        <w:rPr>
          <w:noProof/>
          <w:lang w:val="fr-FR"/>
        </w:rPr>
        <w:t> ;</w:t>
      </w:r>
    </w:p>
    <w:p w14:paraId="753EF31D" w14:textId="068BA23B" w:rsidR="00F2708D" w:rsidRPr="00110AE6" w:rsidRDefault="00F2708D" w:rsidP="00EC3F22">
      <w:pPr>
        <w:pStyle w:val="Normalnumber"/>
        <w:ind w:firstLine="624"/>
        <w:rPr>
          <w:noProof/>
          <w:lang w:val="fr-FR"/>
        </w:rPr>
      </w:pPr>
      <w:r w:rsidRPr="00110AE6">
        <w:rPr>
          <w:i/>
          <w:iCs/>
          <w:noProof/>
          <w:lang w:val="fr-FR"/>
        </w:rPr>
        <w:t>Invite</w:t>
      </w:r>
      <w:r w:rsidRPr="00110AE6">
        <w:rPr>
          <w:noProof/>
          <w:lang w:val="fr-FR"/>
        </w:rPr>
        <w:t xml:space="preserve"> les Parties et les non-Parties à la Convention et les autres intéressés en mesure de le faire à contribuer au Fonds d</w:t>
      </w:r>
      <w:r w:rsidR="00D05492" w:rsidRPr="00110AE6">
        <w:rPr>
          <w:noProof/>
          <w:lang w:val="fr-FR"/>
        </w:rPr>
        <w:t>’</w:t>
      </w:r>
      <w:r w:rsidRPr="00110AE6">
        <w:rPr>
          <w:noProof/>
          <w:lang w:val="fr-FR"/>
        </w:rPr>
        <w:t>affectation spéciale spécifique pour appuyer les activités de renforcement des capacités et d</w:t>
      </w:r>
      <w:r w:rsidR="00D05492" w:rsidRPr="00110AE6">
        <w:rPr>
          <w:noProof/>
          <w:lang w:val="fr-FR"/>
        </w:rPr>
        <w:t>’</w:t>
      </w:r>
      <w:r w:rsidRPr="00110AE6">
        <w:rPr>
          <w:noProof/>
          <w:lang w:val="fr-FR"/>
        </w:rPr>
        <w:t xml:space="preserve">assistance technique conformément à </w:t>
      </w:r>
      <w:r w:rsidR="00FA5356" w:rsidRPr="00110AE6">
        <w:rPr>
          <w:noProof/>
          <w:lang w:val="fr-FR"/>
        </w:rPr>
        <w:t>l</w:t>
      </w:r>
      <w:r w:rsidR="00D05492" w:rsidRPr="00110AE6">
        <w:rPr>
          <w:noProof/>
          <w:lang w:val="fr-FR"/>
        </w:rPr>
        <w:t>’</w:t>
      </w:r>
      <w:r w:rsidR="0069283C" w:rsidRPr="00110AE6">
        <w:rPr>
          <w:noProof/>
          <w:lang w:val="fr-FR"/>
        </w:rPr>
        <w:t>article </w:t>
      </w:r>
      <w:r w:rsidR="00FA5356" w:rsidRPr="00110AE6">
        <w:rPr>
          <w:noProof/>
          <w:lang w:val="fr-FR"/>
        </w:rPr>
        <w:t>13 de la Convention ;</w:t>
      </w:r>
    </w:p>
    <w:p w14:paraId="3C957277" w14:textId="26A58B83" w:rsidR="00F2708D" w:rsidRPr="00110AE6" w:rsidRDefault="00F2708D" w:rsidP="00A8053E">
      <w:pPr>
        <w:pStyle w:val="Normal-pool"/>
        <w:widowControl w:val="0"/>
        <w:spacing w:before="240" w:after="120"/>
        <w:ind w:left="1247" w:hanging="1"/>
        <w:jc w:val="center"/>
        <w:rPr>
          <w:b/>
          <w:bCs/>
          <w:noProof/>
          <w:lang w:val="fr-FR"/>
        </w:rPr>
      </w:pPr>
      <w:r w:rsidRPr="00110AE6">
        <w:rPr>
          <w:b/>
          <w:bCs/>
          <w:noProof/>
          <w:lang w:val="fr-FR"/>
        </w:rPr>
        <w:t>IV</w:t>
      </w:r>
    </w:p>
    <w:p w14:paraId="4C55024A" w14:textId="2D5197CF" w:rsidR="00F2708D" w:rsidRPr="00110AE6" w:rsidRDefault="00F2708D" w:rsidP="00A8053E">
      <w:pPr>
        <w:pStyle w:val="Normal-pool"/>
        <w:widowControl w:val="0"/>
        <w:spacing w:after="120"/>
        <w:ind w:hanging="1"/>
        <w:jc w:val="center"/>
        <w:rPr>
          <w:b/>
          <w:bCs/>
          <w:noProof/>
          <w:lang w:val="fr-FR"/>
        </w:rPr>
      </w:pPr>
      <w:r w:rsidRPr="00110AE6">
        <w:rPr>
          <w:b/>
          <w:bCs/>
          <w:noProof/>
          <w:lang w:val="fr-FR"/>
        </w:rPr>
        <w:t>Préparatifs pour l</w:t>
      </w:r>
      <w:r w:rsidR="00D05492" w:rsidRPr="00110AE6">
        <w:rPr>
          <w:b/>
          <w:bCs/>
          <w:noProof/>
          <w:lang w:val="fr-FR"/>
        </w:rPr>
        <w:t>’</w:t>
      </w:r>
      <w:r w:rsidRPr="00110AE6">
        <w:rPr>
          <w:b/>
          <w:bCs/>
          <w:noProof/>
          <w:lang w:val="fr-FR"/>
        </w:rPr>
        <w:t>exercice biennal 2022-2023</w:t>
      </w:r>
    </w:p>
    <w:p w14:paraId="21557C81" w14:textId="06D4DDA9" w:rsidR="00EC3F22" w:rsidRPr="00110AE6" w:rsidRDefault="00F45B30" w:rsidP="00FA5356">
      <w:pPr>
        <w:pStyle w:val="Normalnumber"/>
        <w:ind w:firstLine="624"/>
        <w:rPr>
          <w:noProof/>
          <w:lang w:val="fr-FR"/>
        </w:rPr>
        <w:sectPr w:rsidR="00EC3F22" w:rsidRPr="00110AE6" w:rsidSect="00EC3F22">
          <w:headerReference w:type="even" r:id="rId17"/>
          <w:headerReference w:type="default" r:id="rId18"/>
          <w:headerReference w:type="first" r:id="rId19"/>
          <w:footerReference w:type="first" r:id="rId20"/>
          <w:footnotePr>
            <w:numRestart w:val="eachSect"/>
          </w:footnotePr>
          <w:pgSz w:w="11906" w:h="16838" w:code="9"/>
          <w:pgMar w:top="907" w:right="992" w:bottom="1418" w:left="1080" w:header="539" w:footer="975" w:gutter="0"/>
          <w:cols w:space="539"/>
          <w:titlePg/>
          <w:docGrid w:linePitch="360"/>
        </w:sectPr>
      </w:pPr>
      <w:r w:rsidRPr="00110AE6">
        <w:rPr>
          <w:i/>
          <w:iCs/>
          <w:noProof/>
          <w:lang w:val="fr-FR"/>
        </w:rPr>
        <w:t>Prie</w:t>
      </w:r>
      <w:r w:rsidRPr="00110AE6">
        <w:rPr>
          <w:noProof/>
          <w:lang w:val="fr-FR"/>
        </w:rPr>
        <w:t xml:space="preserve"> le Secrétaire exécutif d</w:t>
      </w:r>
      <w:r w:rsidR="00D05492" w:rsidRPr="00110AE6">
        <w:rPr>
          <w:noProof/>
          <w:lang w:val="fr-FR"/>
        </w:rPr>
        <w:t>’</w:t>
      </w:r>
      <w:r w:rsidRPr="00110AE6">
        <w:rPr>
          <w:noProof/>
          <w:lang w:val="fr-FR"/>
        </w:rPr>
        <w:t>établir un budget pour l</w:t>
      </w:r>
      <w:r w:rsidR="00D05492" w:rsidRPr="00110AE6">
        <w:rPr>
          <w:noProof/>
          <w:lang w:val="fr-FR"/>
        </w:rPr>
        <w:t>’</w:t>
      </w:r>
      <w:r w:rsidRPr="00110AE6">
        <w:rPr>
          <w:noProof/>
          <w:lang w:val="fr-FR"/>
        </w:rPr>
        <w:t>exercice biennal 2022-2023 qu</w:t>
      </w:r>
      <w:r w:rsidR="00D05492" w:rsidRPr="00110AE6">
        <w:rPr>
          <w:noProof/>
          <w:lang w:val="fr-FR"/>
        </w:rPr>
        <w:t>’</w:t>
      </w:r>
      <w:r w:rsidRPr="00110AE6">
        <w:rPr>
          <w:noProof/>
          <w:lang w:val="fr-FR"/>
        </w:rPr>
        <w:t>elle examinera à</w:t>
      </w:r>
      <w:r w:rsidR="00FA5356" w:rsidRPr="00110AE6">
        <w:rPr>
          <w:noProof/>
          <w:lang w:val="fr-FR"/>
        </w:rPr>
        <w:t xml:space="preserve"> sa quatrième réunion, en 2021.</w:t>
      </w:r>
    </w:p>
    <w:p w14:paraId="3E06943B" w14:textId="2495C93A" w:rsidR="002964D0" w:rsidRPr="00110AE6" w:rsidRDefault="002964D0" w:rsidP="00907C07">
      <w:pPr>
        <w:pStyle w:val="Normal-pool"/>
        <w:widowControl w:val="0"/>
        <w:spacing w:after="120"/>
        <w:ind w:left="1530"/>
        <w:jc w:val="center"/>
        <w:rPr>
          <w:noProof/>
          <w:lang w:val="fr-FR"/>
        </w:rPr>
      </w:pPr>
    </w:p>
    <w:p w14:paraId="49411025" w14:textId="23C94B9C" w:rsidR="00E71861" w:rsidRPr="00110AE6" w:rsidRDefault="00E71861" w:rsidP="006B11AA">
      <w:pPr>
        <w:pStyle w:val="Normal-pool"/>
        <w:rPr>
          <w:b/>
          <w:bCs/>
          <w:noProof/>
          <w:sz w:val="24"/>
          <w:szCs w:val="24"/>
          <w:lang w:val="fr-FR"/>
        </w:rPr>
      </w:pPr>
      <w:r w:rsidRPr="00110AE6">
        <w:rPr>
          <w:b/>
          <w:bCs/>
          <w:noProof/>
          <w:sz w:val="24"/>
          <w:szCs w:val="24"/>
          <w:lang w:val="fr-FR"/>
        </w:rPr>
        <w:br w:type="page"/>
      </w:r>
    </w:p>
    <w:p w14:paraId="32F7D7F3" w14:textId="77777777" w:rsidR="000A2ABE" w:rsidRPr="00110AE6" w:rsidRDefault="000A2ABE" w:rsidP="000A2ABE">
      <w:pPr>
        <w:pStyle w:val="ZZAnxheader"/>
        <w:rPr>
          <w:noProof/>
          <w:lang w:val="fr-FR"/>
        </w:rPr>
      </w:pPr>
      <w:r w:rsidRPr="00110AE6">
        <w:rPr>
          <w:noProof/>
          <w:lang w:val="fr-FR"/>
        </w:rPr>
        <w:t>Annexe II</w:t>
      </w:r>
    </w:p>
    <w:p w14:paraId="675F38E7" w14:textId="0613E8BC" w:rsidR="000A2ABE" w:rsidRPr="00110AE6" w:rsidRDefault="000A2ABE" w:rsidP="000A2ABE">
      <w:pPr>
        <w:pStyle w:val="ZZAnxtitle"/>
        <w:rPr>
          <w:noProof/>
          <w:lang w:val="fr-FR"/>
        </w:rPr>
      </w:pPr>
      <w:r w:rsidRPr="00110AE6">
        <w:rPr>
          <w:noProof/>
          <w:lang w:val="fr-FR"/>
        </w:rPr>
        <w:t>Barème indicatif des quotes-parts au Fonds général d</w:t>
      </w:r>
      <w:r w:rsidR="00D05492" w:rsidRPr="00110AE6">
        <w:rPr>
          <w:noProof/>
          <w:lang w:val="fr-FR"/>
        </w:rPr>
        <w:t>’</w:t>
      </w:r>
      <w:r w:rsidRPr="00110AE6">
        <w:rPr>
          <w:noProof/>
          <w:lang w:val="fr-FR"/>
        </w:rPr>
        <w:t>affectation spéciale pour les contributions de 2019</w:t>
      </w:r>
      <w:r w:rsidR="00EC48E9" w:rsidRPr="00110AE6">
        <w:rPr>
          <w:noProof/>
          <w:lang w:val="fr-FR"/>
        </w:rPr>
        <w:t>*</w:t>
      </w:r>
    </w:p>
    <w:p w14:paraId="69246688" w14:textId="4B16F359" w:rsidR="000A2ABE" w:rsidRPr="00110AE6" w:rsidRDefault="000A2ABE" w:rsidP="004D3908">
      <w:pPr>
        <w:pStyle w:val="ZZAnxtitle"/>
        <w:spacing w:before="120"/>
        <w:rPr>
          <w:b w:val="0"/>
          <w:noProof/>
          <w:sz w:val="18"/>
          <w:szCs w:val="18"/>
          <w:lang w:val="fr-FR"/>
        </w:rPr>
      </w:pPr>
      <w:r w:rsidRPr="00110AE6">
        <w:rPr>
          <w:b w:val="0"/>
          <w:noProof/>
          <w:sz w:val="18"/>
          <w:szCs w:val="18"/>
          <w:lang w:val="fr-FR"/>
        </w:rPr>
        <w:t>(En dollars des États-Unis)</w:t>
      </w:r>
    </w:p>
    <w:tbl>
      <w:tblPr>
        <w:tblStyle w:val="Grilledutableau"/>
        <w:tblW w:w="0" w:type="auto"/>
        <w:tblBorders>
          <w:left w:val="none" w:sz="0" w:space="0" w:color="auto"/>
          <w:bottom w:val="single" w:sz="12" w:space="0" w:color="auto"/>
          <w:right w:val="none" w:sz="0" w:space="0" w:color="auto"/>
          <w:insideH w:val="none" w:sz="0" w:space="0" w:color="auto"/>
          <w:insideV w:val="none" w:sz="0" w:space="0" w:color="auto"/>
        </w:tblBorders>
        <w:tblLook w:val="06A0" w:firstRow="1" w:lastRow="0" w:firstColumn="1" w:lastColumn="0" w:noHBand="1" w:noVBand="1"/>
      </w:tblPr>
      <w:tblGrid>
        <w:gridCol w:w="1166"/>
        <w:gridCol w:w="1200"/>
        <w:gridCol w:w="2307"/>
        <w:gridCol w:w="1757"/>
        <w:gridCol w:w="1917"/>
        <w:gridCol w:w="1477"/>
      </w:tblGrid>
      <w:tr w:rsidR="000A2ABE" w:rsidRPr="00110AE6" w14:paraId="2DD4CB63" w14:textId="77777777" w:rsidTr="00101811">
        <w:trPr>
          <w:tblHeader/>
        </w:trPr>
        <w:tc>
          <w:tcPr>
            <w:tcW w:w="4673" w:type="dxa"/>
            <w:gridSpan w:val="3"/>
            <w:tcBorders>
              <w:bottom w:val="single" w:sz="12" w:space="0" w:color="auto"/>
            </w:tcBorders>
            <w:vAlign w:val="center"/>
            <w:hideMark/>
          </w:tcPr>
          <w:p w14:paraId="347E66C5" w14:textId="4FD59B36" w:rsidR="000A2ABE" w:rsidRPr="00110AE6" w:rsidRDefault="00F32018" w:rsidP="00FA2D60">
            <w:pPr>
              <w:widowControl w:val="0"/>
              <w:tabs>
                <w:tab w:val="clear" w:pos="1247"/>
                <w:tab w:val="clear" w:pos="1814"/>
                <w:tab w:val="clear" w:pos="2381"/>
                <w:tab w:val="clear" w:pos="2948"/>
                <w:tab w:val="clear" w:pos="3515"/>
              </w:tabs>
              <w:rPr>
                <w:b/>
                <w:noProof/>
                <w:sz w:val="18"/>
                <w:szCs w:val="18"/>
                <w:lang w:val="fr-FR"/>
              </w:rPr>
            </w:pPr>
            <w:r w:rsidRPr="00110AE6">
              <w:rPr>
                <w:b/>
                <w:noProof/>
                <w:sz w:val="18"/>
                <w:szCs w:val="18"/>
                <w:lang w:val="fr-FR"/>
              </w:rPr>
              <w:t>Partie</w:t>
            </w:r>
          </w:p>
        </w:tc>
        <w:tc>
          <w:tcPr>
            <w:tcW w:w="1757" w:type="dxa"/>
            <w:tcBorders>
              <w:bottom w:val="single" w:sz="12" w:space="0" w:color="auto"/>
            </w:tcBorders>
            <w:vAlign w:val="center"/>
            <w:hideMark/>
          </w:tcPr>
          <w:p w14:paraId="7039549A" w14:textId="56CB1944" w:rsidR="000A2ABE" w:rsidRPr="00110AE6" w:rsidRDefault="00DA66C4" w:rsidP="00E521F4">
            <w:pPr>
              <w:widowControl w:val="0"/>
              <w:tabs>
                <w:tab w:val="clear" w:pos="1247"/>
                <w:tab w:val="clear" w:pos="1814"/>
                <w:tab w:val="clear" w:pos="2381"/>
                <w:tab w:val="clear" w:pos="2948"/>
                <w:tab w:val="clear" w:pos="3515"/>
              </w:tabs>
              <w:jc w:val="center"/>
              <w:rPr>
                <w:b/>
                <w:noProof/>
                <w:sz w:val="18"/>
                <w:szCs w:val="18"/>
                <w:lang w:val="fr-FR"/>
              </w:rPr>
            </w:pPr>
            <w:r w:rsidRPr="00110AE6">
              <w:rPr>
                <w:b/>
                <w:bCs/>
                <w:noProof/>
                <w:sz w:val="18"/>
                <w:szCs w:val="18"/>
                <w:lang w:val="fr-FR"/>
              </w:rPr>
              <w:t>Barème de l</w:t>
            </w:r>
            <w:r w:rsidR="00D05492" w:rsidRPr="00110AE6">
              <w:rPr>
                <w:b/>
                <w:bCs/>
                <w:noProof/>
                <w:sz w:val="18"/>
                <w:szCs w:val="18"/>
                <w:lang w:val="fr-FR"/>
              </w:rPr>
              <w:t>’</w:t>
            </w:r>
            <w:r w:rsidRPr="00110AE6">
              <w:rPr>
                <w:b/>
                <w:bCs/>
                <w:noProof/>
                <w:sz w:val="18"/>
                <w:szCs w:val="18"/>
                <w:lang w:val="fr-FR"/>
              </w:rPr>
              <w:t>O</w:t>
            </w:r>
            <w:r w:rsidR="00E03505" w:rsidRPr="00110AE6">
              <w:rPr>
                <w:b/>
                <w:bCs/>
                <w:noProof/>
                <w:sz w:val="18"/>
                <w:szCs w:val="18"/>
                <w:lang w:val="fr-FR"/>
              </w:rPr>
              <w:t>NU</w:t>
            </w:r>
            <w:r w:rsidRPr="00110AE6">
              <w:rPr>
                <w:b/>
                <w:bCs/>
                <w:noProof/>
                <w:sz w:val="18"/>
                <w:szCs w:val="18"/>
                <w:lang w:val="fr-FR"/>
              </w:rPr>
              <w:t xml:space="preserve"> (%)</w:t>
            </w:r>
          </w:p>
        </w:tc>
        <w:tc>
          <w:tcPr>
            <w:tcW w:w="1917" w:type="dxa"/>
            <w:tcBorders>
              <w:bottom w:val="single" w:sz="12" w:space="0" w:color="auto"/>
            </w:tcBorders>
            <w:vAlign w:val="center"/>
            <w:hideMark/>
          </w:tcPr>
          <w:p w14:paraId="626F8B42" w14:textId="22B88274" w:rsidR="000A2ABE" w:rsidRPr="00110AE6" w:rsidRDefault="000A2ABE" w:rsidP="00E521F4">
            <w:pPr>
              <w:widowControl w:val="0"/>
              <w:tabs>
                <w:tab w:val="clear" w:pos="1247"/>
                <w:tab w:val="clear" w:pos="1814"/>
                <w:tab w:val="clear" w:pos="2381"/>
                <w:tab w:val="clear" w:pos="2948"/>
                <w:tab w:val="clear" w:pos="3515"/>
              </w:tabs>
              <w:jc w:val="center"/>
              <w:rPr>
                <w:b/>
                <w:noProof/>
                <w:sz w:val="18"/>
                <w:szCs w:val="18"/>
                <w:lang w:val="fr-FR"/>
              </w:rPr>
            </w:pPr>
            <w:r w:rsidRPr="00110AE6">
              <w:rPr>
                <w:b/>
                <w:noProof/>
                <w:sz w:val="18"/>
                <w:szCs w:val="18"/>
                <w:lang w:val="fr-FR"/>
              </w:rPr>
              <w:t>Barème indicatif de Minam</w:t>
            </w:r>
            <w:r w:rsidR="00D859F8" w:rsidRPr="00110AE6">
              <w:rPr>
                <w:b/>
                <w:noProof/>
                <w:sz w:val="18"/>
                <w:szCs w:val="18"/>
                <w:lang w:val="fr-FR"/>
              </w:rPr>
              <w:t>ata</w:t>
            </w:r>
            <w:r w:rsidR="00E03505" w:rsidRPr="00110AE6">
              <w:rPr>
                <w:b/>
                <w:noProof/>
                <w:sz w:val="18"/>
                <w:szCs w:val="18"/>
                <w:lang w:val="fr-FR"/>
              </w:rPr>
              <w:t xml:space="preserve"> (maximum : 22% ;</w:t>
            </w:r>
            <w:r w:rsidR="00D859F8" w:rsidRPr="00110AE6">
              <w:rPr>
                <w:b/>
                <w:noProof/>
                <w:sz w:val="18"/>
                <w:szCs w:val="18"/>
                <w:lang w:val="fr-FR"/>
              </w:rPr>
              <w:t xml:space="preserve"> </w:t>
            </w:r>
            <w:r w:rsidR="00E03505" w:rsidRPr="00110AE6">
              <w:rPr>
                <w:b/>
                <w:noProof/>
                <w:sz w:val="18"/>
                <w:szCs w:val="18"/>
                <w:lang w:val="fr-FR"/>
              </w:rPr>
              <w:t xml:space="preserve">minimum : 0,010 %) </w:t>
            </w:r>
            <w:r w:rsidR="00D859F8" w:rsidRPr="00110AE6">
              <w:rPr>
                <w:b/>
                <w:noProof/>
                <w:sz w:val="18"/>
                <w:szCs w:val="18"/>
                <w:lang w:val="fr-FR"/>
              </w:rPr>
              <w:t>(%)</w:t>
            </w:r>
          </w:p>
        </w:tc>
        <w:tc>
          <w:tcPr>
            <w:tcW w:w="1477" w:type="dxa"/>
            <w:tcBorders>
              <w:bottom w:val="single" w:sz="12" w:space="0" w:color="auto"/>
            </w:tcBorders>
            <w:vAlign w:val="center"/>
            <w:hideMark/>
          </w:tcPr>
          <w:p w14:paraId="6C3E51CB" w14:textId="0655E4AF" w:rsidR="000A2ABE" w:rsidRPr="00110AE6" w:rsidRDefault="00D859F8" w:rsidP="00FA2D60">
            <w:pPr>
              <w:widowControl w:val="0"/>
              <w:tabs>
                <w:tab w:val="clear" w:pos="1247"/>
                <w:tab w:val="clear" w:pos="1814"/>
                <w:tab w:val="clear" w:pos="2381"/>
                <w:tab w:val="clear" w:pos="2948"/>
                <w:tab w:val="clear" w:pos="3515"/>
              </w:tabs>
              <w:rPr>
                <w:b/>
                <w:noProof/>
                <w:sz w:val="18"/>
                <w:szCs w:val="18"/>
                <w:lang w:val="fr-FR"/>
              </w:rPr>
            </w:pPr>
            <w:r w:rsidRPr="00110AE6">
              <w:rPr>
                <w:b/>
                <w:noProof/>
                <w:sz w:val="18"/>
                <w:szCs w:val="18"/>
                <w:lang w:val="fr-FR"/>
              </w:rPr>
              <w:t>Contribution</w:t>
            </w:r>
            <w:r w:rsidR="00E03505" w:rsidRPr="00110AE6">
              <w:rPr>
                <w:b/>
                <w:noProof/>
                <w:sz w:val="18"/>
                <w:szCs w:val="18"/>
                <w:lang w:val="fr-FR"/>
              </w:rPr>
              <w:t xml:space="preserve"> devant être versée par les</w:t>
            </w:r>
            <w:r w:rsidR="008A733D" w:rsidRPr="00110AE6">
              <w:rPr>
                <w:b/>
                <w:noProof/>
                <w:sz w:val="18"/>
                <w:szCs w:val="18"/>
                <w:lang w:val="fr-FR"/>
              </w:rPr>
              <w:t> </w:t>
            </w:r>
            <w:r w:rsidR="00E03505" w:rsidRPr="00110AE6">
              <w:rPr>
                <w:b/>
                <w:noProof/>
                <w:sz w:val="18"/>
                <w:szCs w:val="18"/>
                <w:lang w:val="fr-FR"/>
              </w:rPr>
              <w:t>Parties pour</w:t>
            </w:r>
            <w:r w:rsidR="008A733D" w:rsidRPr="00110AE6">
              <w:rPr>
                <w:b/>
                <w:noProof/>
                <w:sz w:val="18"/>
                <w:szCs w:val="18"/>
                <w:lang w:val="fr-FR"/>
              </w:rPr>
              <w:t> </w:t>
            </w:r>
            <w:r w:rsidR="00E03505" w:rsidRPr="00110AE6">
              <w:rPr>
                <w:b/>
                <w:noProof/>
                <w:sz w:val="18"/>
                <w:szCs w:val="18"/>
                <w:lang w:val="fr-FR"/>
              </w:rPr>
              <w:t>2019</w:t>
            </w:r>
          </w:p>
        </w:tc>
      </w:tr>
      <w:tr w:rsidR="000A2ABE" w:rsidRPr="00110AE6" w14:paraId="65238CB3" w14:textId="77777777" w:rsidTr="00101811">
        <w:trPr>
          <w:trHeight w:val="340"/>
        </w:trPr>
        <w:tc>
          <w:tcPr>
            <w:tcW w:w="1166" w:type="dxa"/>
            <w:tcBorders>
              <w:top w:val="single" w:sz="12" w:space="0" w:color="auto"/>
              <w:bottom w:val="single" w:sz="4" w:space="0" w:color="auto"/>
            </w:tcBorders>
            <w:vAlign w:val="center"/>
            <w:hideMark/>
          </w:tcPr>
          <w:p w14:paraId="578B6B82" w14:textId="77777777" w:rsidR="000A2ABE" w:rsidRPr="00110AE6" w:rsidRDefault="000A2ABE" w:rsidP="00FA2D60">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Total</w:t>
            </w:r>
          </w:p>
        </w:tc>
        <w:tc>
          <w:tcPr>
            <w:tcW w:w="1200" w:type="dxa"/>
            <w:tcBorders>
              <w:top w:val="single" w:sz="12" w:space="0" w:color="auto"/>
              <w:bottom w:val="single" w:sz="4" w:space="0" w:color="auto"/>
            </w:tcBorders>
            <w:vAlign w:val="center"/>
            <w:hideMark/>
          </w:tcPr>
          <w:p w14:paraId="1AA82C33" w14:textId="77777777" w:rsidR="000A2ABE" w:rsidRPr="00110AE6" w:rsidRDefault="000A2ABE" w:rsidP="00FA2D60">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Groupe</w:t>
            </w:r>
          </w:p>
        </w:tc>
        <w:tc>
          <w:tcPr>
            <w:tcW w:w="7458" w:type="dxa"/>
            <w:gridSpan w:val="4"/>
            <w:tcBorders>
              <w:top w:val="single" w:sz="12" w:space="0" w:color="auto"/>
              <w:bottom w:val="single" w:sz="4" w:space="0" w:color="auto"/>
            </w:tcBorders>
            <w:vAlign w:val="center"/>
            <w:hideMark/>
          </w:tcPr>
          <w:p w14:paraId="40B46F6D" w14:textId="7A4D1367" w:rsidR="000A2ABE" w:rsidRPr="00110AE6" w:rsidRDefault="00D05492" w:rsidP="00FA2D60">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Afrique</w:t>
            </w:r>
          </w:p>
        </w:tc>
      </w:tr>
      <w:tr w:rsidR="000A2ABE" w:rsidRPr="00110AE6" w14:paraId="71CA4B42" w14:textId="77777777" w:rsidTr="00101811">
        <w:trPr>
          <w:trHeight w:val="315"/>
        </w:trPr>
        <w:tc>
          <w:tcPr>
            <w:tcW w:w="1166" w:type="dxa"/>
            <w:tcBorders>
              <w:top w:val="single" w:sz="4" w:space="0" w:color="auto"/>
              <w:bottom w:val="nil"/>
            </w:tcBorders>
            <w:vAlign w:val="center"/>
            <w:hideMark/>
          </w:tcPr>
          <w:p w14:paraId="1FD9A2A5" w14:textId="77777777" w:rsidR="000A2ABE" w:rsidRPr="00110AE6" w:rsidRDefault="000A2ABE" w:rsidP="00FA2D60">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w:t>
            </w:r>
          </w:p>
        </w:tc>
        <w:tc>
          <w:tcPr>
            <w:tcW w:w="1200" w:type="dxa"/>
            <w:tcBorders>
              <w:top w:val="single" w:sz="4" w:space="0" w:color="auto"/>
              <w:bottom w:val="nil"/>
            </w:tcBorders>
            <w:vAlign w:val="center"/>
            <w:hideMark/>
          </w:tcPr>
          <w:p w14:paraId="7B4151D4" w14:textId="77777777" w:rsidR="000A2ABE" w:rsidRPr="00110AE6" w:rsidRDefault="000A2ABE" w:rsidP="00FA2D60">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w:t>
            </w:r>
          </w:p>
        </w:tc>
        <w:tc>
          <w:tcPr>
            <w:tcW w:w="2307" w:type="dxa"/>
            <w:tcBorders>
              <w:top w:val="single" w:sz="4" w:space="0" w:color="auto"/>
              <w:bottom w:val="nil"/>
            </w:tcBorders>
            <w:vAlign w:val="center"/>
            <w:hideMark/>
          </w:tcPr>
          <w:p w14:paraId="13ED3392" w14:textId="77777777" w:rsidR="000A2ABE" w:rsidRPr="00110AE6" w:rsidRDefault="000A2ABE" w:rsidP="00FA2D60">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Bénin</w:t>
            </w:r>
          </w:p>
        </w:tc>
        <w:tc>
          <w:tcPr>
            <w:tcW w:w="1757" w:type="dxa"/>
            <w:tcBorders>
              <w:top w:val="single" w:sz="4" w:space="0" w:color="auto"/>
              <w:bottom w:val="nil"/>
            </w:tcBorders>
            <w:vAlign w:val="center"/>
            <w:hideMark/>
          </w:tcPr>
          <w:p w14:paraId="0DE01DC4" w14:textId="77777777" w:rsidR="000A2ABE" w:rsidRPr="00110AE6" w:rsidRDefault="000A2ABE" w:rsidP="00FA2D60">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0,003</w:t>
            </w:r>
          </w:p>
        </w:tc>
        <w:tc>
          <w:tcPr>
            <w:tcW w:w="1917" w:type="dxa"/>
            <w:tcBorders>
              <w:top w:val="single" w:sz="4" w:space="0" w:color="auto"/>
              <w:bottom w:val="nil"/>
            </w:tcBorders>
            <w:vAlign w:val="center"/>
            <w:hideMark/>
          </w:tcPr>
          <w:p w14:paraId="69E2A4BE" w14:textId="77777777" w:rsidR="000A2ABE" w:rsidRPr="00110AE6" w:rsidRDefault="000A2ABE" w:rsidP="00FA2D60">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tcBorders>
              <w:top w:val="single" w:sz="4" w:space="0" w:color="auto"/>
              <w:bottom w:val="nil"/>
            </w:tcBorders>
            <w:vAlign w:val="center"/>
            <w:hideMark/>
          </w:tcPr>
          <w:p w14:paraId="36D7043C" w14:textId="77777777" w:rsidR="000A2ABE" w:rsidRPr="00110AE6" w:rsidRDefault="000A2ABE" w:rsidP="00FA2D60">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6464B8A3" w14:textId="77777777" w:rsidTr="00101811">
        <w:trPr>
          <w:trHeight w:val="300"/>
        </w:trPr>
        <w:tc>
          <w:tcPr>
            <w:tcW w:w="1166" w:type="dxa"/>
            <w:tcBorders>
              <w:top w:val="nil"/>
            </w:tcBorders>
            <w:vAlign w:val="center"/>
            <w:hideMark/>
          </w:tcPr>
          <w:p w14:paraId="78B61E8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w:t>
            </w:r>
          </w:p>
        </w:tc>
        <w:tc>
          <w:tcPr>
            <w:tcW w:w="1200" w:type="dxa"/>
            <w:tcBorders>
              <w:top w:val="nil"/>
            </w:tcBorders>
            <w:vAlign w:val="center"/>
            <w:hideMark/>
          </w:tcPr>
          <w:p w14:paraId="7DBE357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w:t>
            </w:r>
          </w:p>
        </w:tc>
        <w:tc>
          <w:tcPr>
            <w:tcW w:w="2307" w:type="dxa"/>
            <w:tcBorders>
              <w:top w:val="nil"/>
            </w:tcBorders>
            <w:vAlign w:val="center"/>
            <w:hideMark/>
          </w:tcPr>
          <w:p w14:paraId="05165CB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Botswana</w:t>
            </w:r>
          </w:p>
        </w:tc>
        <w:tc>
          <w:tcPr>
            <w:tcW w:w="1757" w:type="dxa"/>
            <w:tcBorders>
              <w:top w:val="nil"/>
            </w:tcBorders>
            <w:vAlign w:val="center"/>
          </w:tcPr>
          <w:p w14:paraId="45EFB8C3" w14:textId="09BB543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014</w:t>
            </w:r>
          </w:p>
        </w:tc>
        <w:tc>
          <w:tcPr>
            <w:tcW w:w="1917" w:type="dxa"/>
            <w:tcBorders>
              <w:top w:val="nil"/>
            </w:tcBorders>
            <w:vAlign w:val="center"/>
          </w:tcPr>
          <w:p w14:paraId="188FFA57" w14:textId="7B4313F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019 </w:t>
            </w:r>
          </w:p>
        </w:tc>
        <w:tc>
          <w:tcPr>
            <w:tcW w:w="1477" w:type="dxa"/>
            <w:tcBorders>
              <w:top w:val="nil"/>
            </w:tcBorders>
            <w:vAlign w:val="center"/>
          </w:tcPr>
          <w:p w14:paraId="6683ABDA" w14:textId="03200712"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619 </w:t>
            </w:r>
          </w:p>
        </w:tc>
      </w:tr>
      <w:tr w:rsidR="00F32018" w:rsidRPr="00110AE6" w14:paraId="3F737B33" w14:textId="77777777" w:rsidTr="00101811">
        <w:trPr>
          <w:trHeight w:val="300"/>
        </w:trPr>
        <w:tc>
          <w:tcPr>
            <w:tcW w:w="1166" w:type="dxa"/>
            <w:vAlign w:val="center"/>
            <w:hideMark/>
          </w:tcPr>
          <w:p w14:paraId="070C3B6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w:t>
            </w:r>
          </w:p>
        </w:tc>
        <w:tc>
          <w:tcPr>
            <w:tcW w:w="1200" w:type="dxa"/>
            <w:vAlign w:val="center"/>
            <w:hideMark/>
          </w:tcPr>
          <w:p w14:paraId="7B4EBCD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w:t>
            </w:r>
          </w:p>
        </w:tc>
        <w:tc>
          <w:tcPr>
            <w:tcW w:w="2307" w:type="dxa"/>
            <w:vAlign w:val="center"/>
            <w:hideMark/>
          </w:tcPr>
          <w:p w14:paraId="16B09F8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Burkina Faso</w:t>
            </w:r>
          </w:p>
        </w:tc>
        <w:tc>
          <w:tcPr>
            <w:tcW w:w="1757" w:type="dxa"/>
            <w:vAlign w:val="center"/>
            <w:hideMark/>
          </w:tcPr>
          <w:p w14:paraId="10E53399"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0,004</w:t>
            </w:r>
          </w:p>
        </w:tc>
        <w:tc>
          <w:tcPr>
            <w:tcW w:w="1917" w:type="dxa"/>
            <w:vAlign w:val="center"/>
            <w:hideMark/>
          </w:tcPr>
          <w:p w14:paraId="43F92C7B"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492C317E"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D1CEC0D" w14:textId="77777777" w:rsidTr="00101811">
        <w:trPr>
          <w:trHeight w:val="300"/>
        </w:trPr>
        <w:tc>
          <w:tcPr>
            <w:tcW w:w="1166" w:type="dxa"/>
            <w:vAlign w:val="center"/>
            <w:hideMark/>
          </w:tcPr>
          <w:p w14:paraId="4C4A37D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w:t>
            </w:r>
          </w:p>
        </w:tc>
        <w:tc>
          <w:tcPr>
            <w:tcW w:w="1200" w:type="dxa"/>
            <w:vAlign w:val="center"/>
            <w:hideMark/>
          </w:tcPr>
          <w:p w14:paraId="564DAEB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w:t>
            </w:r>
          </w:p>
        </w:tc>
        <w:tc>
          <w:tcPr>
            <w:tcW w:w="2307" w:type="dxa"/>
            <w:vAlign w:val="center"/>
            <w:hideMark/>
          </w:tcPr>
          <w:p w14:paraId="7D347A5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Tchad</w:t>
            </w:r>
          </w:p>
        </w:tc>
        <w:tc>
          <w:tcPr>
            <w:tcW w:w="1757" w:type="dxa"/>
            <w:vAlign w:val="center"/>
          </w:tcPr>
          <w:p w14:paraId="61476AD2" w14:textId="14DBD58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005</w:t>
            </w:r>
          </w:p>
        </w:tc>
        <w:tc>
          <w:tcPr>
            <w:tcW w:w="1917" w:type="dxa"/>
            <w:vAlign w:val="center"/>
          </w:tcPr>
          <w:p w14:paraId="0BD9F21A" w14:textId="60759E2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010 </w:t>
            </w:r>
          </w:p>
        </w:tc>
        <w:tc>
          <w:tcPr>
            <w:tcW w:w="1477" w:type="dxa"/>
            <w:vAlign w:val="center"/>
          </w:tcPr>
          <w:p w14:paraId="432993EE" w14:textId="209055F0"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58E80940" w14:textId="77777777" w:rsidTr="00101811">
        <w:trPr>
          <w:trHeight w:val="300"/>
        </w:trPr>
        <w:tc>
          <w:tcPr>
            <w:tcW w:w="1166" w:type="dxa"/>
            <w:vAlign w:val="center"/>
            <w:hideMark/>
          </w:tcPr>
          <w:p w14:paraId="4998795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w:t>
            </w:r>
          </w:p>
        </w:tc>
        <w:tc>
          <w:tcPr>
            <w:tcW w:w="1200" w:type="dxa"/>
            <w:vAlign w:val="center"/>
            <w:hideMark/>
          </w:tcPr>
          <w:p w14:paraId="7974483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w:t>
            </w:r>
          </w:p>
        </w:tc>
        <w:tc>
          <w:tcPr>
            <w:tcW w:w="2307" w:type="dxa"/>
            <w:vAlign w:val="center"/>
            <w:hideMark/>
          </w:tcPr>
          <w:p w14:paraId="7D041E2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Djibouti</w:t>
            </w:r>
          </w:p>
        </w:tc>
        <w:tc>
          <w:tcPr>
            <w:tcW w:w="1757" w:type="dxa"/>
            <w:vAlign w:val="center"/>
            <w:hideMark/>
          </w:tcPr>
          <w:p w14:paraId="2204CD6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2D48B42C"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5934C7F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64E83586" w14:textId="77777777" w:rsidTr="00101811">
        <w:trPr>
          <w:trHeight w:val="300"/>
        </w:trPr>
        <w:tc>
          <w:tcPr>
            <w:tcW w:w="1166" w:type="dxa"/>
            <w:vAlign w:val="center"/>
            <w:hideMark/>
          </w:tcPr>
          <w:p w14:paraId="58B7B0C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w:t>
            </w:r>
          </w:p>
        </w:tc>
        <w:tc>
          <w:tcPr>
            <w:tcW w:w="1200" w:type="dxa"/>
            <w:vAlign w:val="center"/>
            <w:hideMark/>
          </w:tcPr>
          <w:p w14:paraId="1A054B36"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w:t>
            </w:r>
          </w:p>
        </w:tc>
        <w:tc>
          <w:tcPr>
            <w:tcW w:w="2307" w:type="dxa"/>
            <w:vAlign w:val="center"/>
            <w:hideMark/>
          </w:tcPr>
          <w:p w14:paraId="582321B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Eswatini</w:t>
            </w:r>
          </w:p>
        </w:tc>
        <w:tc>
          <w:tcPr>
            <w:tcW w:w="1757" w:type="dxa"/>
            <w:vAlign w:val="center"/>
            <w:hideMark/>
          </w:tcPr>
          <w:p w14:paraId="56D083A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vAlign w:val="center"/>
            <w:hideMark/>
          </w:tcPr>
          <w:p w14:paraId="18577D4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6F6DDDF0"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7897585D" w14:textId="77777777" w:rsidTr="00101811">
        <w:trPr>
          <w:trHeight w:val="300"/>
        </w:trPr>
        <w:tc>
          <w:tcPr>
            <w:tcW w:w="1166" w:type="dxa"/>
            <w:vAlign w:val="center"/>
            <w:hideMark/>
          </w:tcPr>
          <w:p w14:paraId="3B5A40E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w:t>
            </w:r>
          </w:p>
        </w:tc>
        <w:tc>
          <w:tcPr>
            <w:tcW w:w="1200" w:type="dxa"/>
            <w:vAlign w:val="center"/>
            <w:hideMark/>
          </w:tcPr>
          <w:p w14:paraId="1078B4F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w:t>
            </w:r>
          </w:p>
        </w:tc>
        <w:tc>
          <w:tcPr>
            <w:tcW w:w="2307" w:type="dxa"/>
            <w:vAlign w:val="center"/>
            <w:hideMark/>
          </w:tcPr>
          <w:p w14:paraId="01C403F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Gabon</w:t>
            </w:r>
          </w:p>
        </w:tc>
        <w:tc>
          <w:tcPr>
            <w:tcW w:w="1757" w:type="dxa"/>
            <w:vAlign w:val="center"/>
          </w:tcPr>
          <w:p w14:paraId="57D7C03D" w14:textId="194B261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017</w:t>
            </w:r>
          </w:p>
        </w:tc>
        <w:tc>
          <w:tcPr>
            <w:tcW w:w="1917" w:type="dxa"/>
            <w:vAlign w:val="center"/>
          </w:tcPr>
          <w:p w14:paraId="0AF6CAE5" w14:textId="3E622EA8"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023 </w:t>
            </w:r>
          </w:p>
        </w:tc>
        <w:tc>
          <w:tcPr>
            <w:tcW w:w="1477" w:type="dxa"/>
            <w:vAlign w:val="center"/>
          </w:tcPr>
          <w:p w14:paraId="38D2586E" w14:textId="6D3B0926"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752 </w:t>
            </w:r>
          </w:p>
        </w:tc>
      </w:tr>
      <w:tr w:rsidR="00F32018" w:rsidRPr="00110AE6" w14:paraId="09554FE0" w14:textId="77777777" w:rsidTr="00101811">
        <w:trPr>
          <w:trHeight w:val="300"/>
        </w:trPr>
        <w:tc>
          <w:tcPr>
            <w:tcW w:w="1166" w:type="dxa"/>
            <w:vAlign w:val="center"/>
            <w:hideMark/>
          </w:tcPr>
          <w:p w14:paraId="6125D0E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w:t>
            </w:r>
          </w:p>
        </w:tc>
        <w:tc>
          <w:tcPr>
            <w:tcW w:w="1200" w:type="dxa"/>
            <w:vAlign w:val="center"/>
            <w:hideMark/>
          </w:tcPr>
          <w:p w14:paraId="02CC4E7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w:t>
            </w:r>
          </w:p>
        </w:tc>
        <w:tc>
          <w:tcPr>
            <w:tcW w:w="2307" w:type="dxa"/>
            <w:vAlign w:val="center"/>
            <w:hideMark/>
          </w:tcPr>
          <w:p w14:paraId="72EBF51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Gambie</w:t>
            </w:r>
          </w:p>
        </w:tc>
        <w:tc>
          <w:tcPr>
            <w:tcW w:w="1757" w:type="dxa"/>
            <w:vAlign w:val="center"/>
            <w:hideMark/>
          </w:tcPr>
          <w:p w14:paraId="612556FB"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7086C8CD"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7DD256B5"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09041FFD" w14:textId="77777777" w:rsidTr="00101811">
        <w:trPr>
          <w:trHeight w:val="300"/>
        </w:trPr>
        <w:tc>
          <w:tcPr>
            <w:tcW w:w="1166" w:type="dxa"/>
            <w:vAlign w:val="center"/>
            <w:hideMark/>
          </w:tcPr>
          <w:p w14:paraId="28E5EA1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w:t>
            </w:r>
          </w:p>
        </w:tc>
        <w:tc>
          <w:tcPr>
            <w:tcW w:w="1200" w:type="dxa"/>
            <w:vAlign w:val="center"/>
            <w:hideMark/>
          </w:tcPr>
          <w:p w14:paraId="17514FA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w:t>
            </w:r>
          </w:p>
        </w:tc>
        <w:tc>
          <w:tcPr>
            <w:tcW w:w="2307" w:type="dxa"/>
            <w:vAlign w:val="center"/>
            <w:hideMark/>
          </w:tcPr>
          <w:p w14:paraId="2569FD2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Ghana</w:t>
            </w:r>
          </w:p>
        </w:tc>
        <w:tc>
          <w:tcPr>
            <w:tcW w:w="1757" w:type="dxa"/>
            <w:vAlign w:val="center"/>
          </w:tcPr>
          <w:p w14:paraId="6E21BD8C" w14:textId="706143D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016</w:t>
            </w:r>
          </w:p>
        </w:tc>
        <w:tc>
          <w:tcPr>
            <w:tcW w:w="1917" w:type="dxa"/>
            <w:vAlign w:val="center"/>
          </w:tcPr>
          <w:p w14:paraId="1F7191C8" w14:textId="2E94A6E8"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022 </w:t>
            </w:r>
          </w:p>
        </w:tc>
        <w:tc>
          <w:tcPr>
            <w:tcW w:w="1477" w:type="dxa"/>
            <w:vAlign w:val="center"/>
          </w:tcPr>
          <w:p w14:paraId="62F26B1D" w14:textId="5D83E14D"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707 </w:t>
            </w:r>
          </w:p>
        </w:tc>
      </w:tr>
      <w:tr w:rsidR="00F32018" w:rsidRPr="00110AE6" w14:paraId="1592F24A" w14:textId="77777777" w:rsidTr="00101811">
        <w:trPr>
          <w:trHeight w:val="300"/>
        </w:trPr>
        <w:tc>
          <w:tcPr>
            <w:tcW w:w="1166" w:type="dxa"/>
            <w:vAlign w:val="center"/>
            <w:hideMark/>
          </w:tcPr>
          <w:p w14:paraId="7E4BE85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10</w:t>
            </w:r>
          </w:p>
        </w:tc>
        <w:tc>
          <w:tcPr>
            <w:tcW w:w="1200" w:type="dxa"/>
            <w:vAlign w:val="center"/>
            <w:hideMark/>
          </w:tcPr>
          <w:p w14:paraId="411CB9E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10</w:t>
            </w:r>
          </w:p>
        </w:tc>
        <w:tc>
          <w:tcPr>
            <w:tcW w:w="2307" w:type="dxa"/>
            <w:vAlign w:val="center"/>
            <w:hideMark/>
          </w:tcPr>
          <w:p w14:paraId="0615AA0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Guinée</w:t>
            </w:r>
          </w:p>
        </w:tc>
        <w:tc>
          <w:tcPr>
            <w:tcW w:w="1757" w:type="dxa"/>
            <w:vAlign w:val="center"/>
            <w:hideMark/>
          </w:tcPr>
          <w:p w14:paraId="08282B08"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vAlign w:val="center"/>
            <w:hideMark/>
          </w:tcPr>
          <w:p w14:paraId="080781A4"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230518BE"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6CA7580" w14:textId="77777777" w:rsidTr="00101811">
        <w:trPr>
          <w:trHeight w:val="300"/>
        </w:trPr>
        <w:tc>
          <w:tcPr>
            <w:tcW w:w="1166" w:type="dxa"/>
            <w:vAlign w:val="center"/>
            <w:hideMark/>
          </w:tcPr>
          <w:p w14:paraId="4165BC6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11</w:t>
            </w:r>
          </w:p>
        </w:tc>
        <w:tc>
          <w:tcPr>
            <w:tcW w:w="1200" w:type="dxa"/>
            <w:vAlign w:val="center"/>
            <w:hideMark/>
          </w:tcPr>
          <w:p w14:paraId="76F8914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11</w:t>
            </w:r>
          </w:p>
        </w:tc>
        <w:tc>
          <w:tcPr>
            <w:tcW w:w="2307" w:type="dxa"/>
            <w:vAlign w:val="center"/>
            <w:hideMark/>
          </w:tcPr>
          <w:p w14:paraId="38E9576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Lesotho</w:t>
            </w:r>
          </w:p>
        </w:tc>
        <w:tc>
          <w:tcPr>
            <w:tcW w:w="1757" w:type="dxa"/>
            <w:vAlign w:val="center"/>
            <w:hideMark/>
          </w:tcPr>
          <w:p w14:paraId="6ACB271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0EA7964B"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4E3D7551"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40A5CD42" w14:textId="77777777" w:rsidTr="00101811">
        <w:trPr>
          <w:trHeight w:val="300"/>
        </w:trPr>
        <w:tc>
          <w:tcPr>
            <w:tcW w:w="1166" w:type="dxa"/>
            <w:vAlign w:val="center"/>
            <w:hideMark/>
          </w:tcPr>
          <w:p w14:paraId="400A778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12</w:t>
            </w:r>
          </w:p>
        </w:tc>
        <w:tc>
          <w:tcPr>
            <w:tcW w:w="1200" w:type="dxa"/>
            <w:vAlign w:val="center"/>
            <w:hideMark/>
          </w:tcPr>
          <w:p w14:paraId="6C977F0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12</w:t>
            </w:r>
          </w:p>
        </w:tc>
        <w:tc>
          <w:tcPr>
            <w:tcW w:w="2307" w:type="dxa"/>
            <w:vAlign w:val="center"/>
            <w:hideMark/>
          </w:tcPr>
          <w:p w14:paraId="0AF22B3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Madagascar</w:t>
            </w:r>
          </w:p>
        </w:tc>
        <w:tc>
          <w:tcPr>
            <w:tcW w:w="1757" w:type="dxa"/>
            <w:vAlign w:val="center"/>
            <w:hideMark/>
          </w:tcPr>
          <w:p w14:paraId="0770521F"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0,003</w:t>
            </w:r>
          </w:p>
        </w:tc>
        <w:tc>
          <w:tcPr>
            <w:tcW w:w="1917" w:type="dxa"/>
            <w:vAlign w:val="center"/>
            <w:hideMark/>
          </w:tcPr>
          <w:p w14:paraId="7B0B15C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734F34B4"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0DF51200" w14:textId="77777777" w:rsidTr="00101811">
        <w:trPr>
          <w:trHeight w:val="300"/>
        </w:trPr>
        <w:tc>
          <w:tcPr>
            <w:tcW w:w="1166" w:type="dxa"/>
            <w:vAlign w:val="center"/>
            <w:hideMark/>
          </w:tcPr>
          <w:p w14:paraId="33C03E2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13</w:t>
            </w:r>
          </w:p>
        </w:tc>
        <w:tc>
          <w:tcPr>
            <w:tcW w:w="1200" w:type="dxa"/>
            <w:vAlign w:val="center"/>
            <w:hideMark/>
          </w:tcPr>
          <w:p w14:paraId="711D74E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13</w:t>
            </w:r>
          </w:p>
        </w:tc>
        <w:tc>
          <w:tcPr>
            <w:tcW w:w="2307" w:type="dxa"/>
            <w:vAlign w:val="center"/>
            <w:hideMark/>
          </w:tcPr>
          <w:p w14:paraId="121B6D4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Mali</w:t>
            </w:r>
          </w:p>
        </w:tc>
        <w:tc>
          <w:tcPr>
            <w:tcW w:w="1757" w:type="dxa"/>
            <w:vAlign w:val="center"/>
            <w:hideMark/>
          </w:tcPr>
          <w:p w14:paraId="413B49A1"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0,003</w:t>
            </w:r>
          </w:p>
        </w:tc>
        <w:tc>
          <w:tcPr>
            <w:tcW w:w="1917" w:type="dxa"/>
            <w:vAlign w:val="center"/>
            <w:hideMark/>
          </w:tcPr>
          <w:p w14:paraId="1A84785D"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670A373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712D187A" w14:textId="77777777" w:rsidTr="00101811">
        <w:trPr>
          <w:trHeight w:val="300"/>
        </w:trPr>
        <w:tc>
          <w:tcPr>
            <w:tcW w:w="1166" w:type="dxa"/>
            <w:vAlign w:val="center"/>
            <w:hideMark/>
          </w:tcPr>
          <w:p w14:paraId="0DC0356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14</w:t>
            </w:r>
          </w:p>
        </w:tc>
        <w:tc>
          <w:tcPr>
            <w:tcW w:w="1200" w:type="dxa"/>
            <w:vAlign w:val="center"/>
            <w:hideMark/>
          </w:tcPr>
          <w:p w14:paraId="21CCD0F6"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14</w:t>
            </w:r>
          </w:p>
        </w:tc>
        <w:tc>
          <w:tcPr>
            <w:tcW w:w="2307" w:type="dxa"/>
            <w:vAlign w:val="center"/>
            <w:hideMark/>
          </w:tcPr>
          <w:p w14:paraId="49793779" w14:textId="23837429"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Mauritanie</w:t>
            </w:r>
          </w:p>
        </w:tc>
        <w:tc>
          <w:tcPr>
            <w:tcW w:w="1757" w:type="dxa"/>
            <w:vAlign w:val="center"/>
            <w:hideMark/>
          </w:tcPr>
          <w:p w14:paraId="4A51E915" w14:textId="3CF97F5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vAlign w:val="center"/>
            <w:hideMark/>
          </w:tcPr>
          <w:p w14:paraId="4367B973" w14:textId="1F82EDB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0,010</w:t>
            </w:r>
          </w:p>
        </w:tc>
        <w:tc>
          <w:tcPr>
            <w:tcW w:w="1477" w:type="dxa"/>
            <w:vAlign w:val="center"/>
            <w:hideMark/>
          </w:tcPr>
          <w:p w14:paraId="7D423D0D" w14:textId="2C1D476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329</w:t>
            </w:r>
          </w:p>
        </w:tc>
      </w:tr>
      <w:tr w:rsidR="00F32018" w:rsidRPr="00110AE6" w14:paraId="406B8B85" w14:textId="77777777" w:rsidTr="00101811">
        <w:trPr>
          <w:trHeight w:val="300"/>
        </w:trPr>
        <w:tc>
          <w:tcPr>
            <w:tcW w:w="1166" w:type="dxa"/>
            <w:vAlign w:val="center"/>
            <w:hideMark/>
          </w:tcPr>
          <w:p w14:paraId="6A10EAC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15</w:t>
            </w:r>
          </w:p>
        </w:tc>
        <w:tc>
          <w:tcPr>
            <w:tcW w:w="1200" w:type="dxa"/>
            <w:vAlign w:val="center"/>
            <w:hideMark/>
          </w:tcPr>
          <w:p w14:paraId="260C4BE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15</w:t>
            </w:r>
          </w:p>
        </w:tc>
        <w:tc>
          <w:tcPr>
            <w:tcW w:w="2307" w:type="dxa"/>
            <w:vAlign w:val="center"/>
          </w:tcPr>
          <w:p w14:paraId="40C9CFAA" w14:textId="0973A09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Maurice</w:t>
            </w:r>
          </w:p>
        </w:tc>
        <w:tc>
          <w:tcPr>
            <w:tcW w:w="1757" w:type="dxa"/>
            <w:vAlign w:val="center"/>
          </w:tcPr>
          <w:p w14:paraId="19307D4F" w14:textId="1DCDD2E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0,012</w:t>
            </w:r>
          </w:p>
        </w:tc>
        <w:tc>
          <w:tcPr>
            <w:tcW w:w="1917" w:type="dxa"/>
            <w:vAlign w:val="center"/>
          </w:tcPr>
          <w:p w14:paraId="7443FD4A" w14:textId="6A3FE36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0,016 </w:t>
            </w:r>
          </w:p>
        </w:tc>
        <w:tc>
          <w:tcPr>
            <w:tcW w:w="1477" w:type="dxa"/>
            <w:vAlign w:val="center"/>
          </w:tcPr>
          <w:p w14:paraId="6F58E58F" w14:textId="3FEDE72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530</w:t>
            </w:r>
          </w:p>
        </w:tc>
      </w:tr>
      <w:tr w:rsidR="00F32018" w:rsidRPr="00110AE6" w14:paraId="546B0AE8" w14:textId="77777777" w:rsidTr="00101811">
        <w:trPr>
          <w:trHeight w:val="300"/>
        </w:trPr>
        <w:tc>
          <w:tcPr>
            <w:tcW w:w="1166" w:type="dxa"/>
            <w:vAlign w:val="center"/>
            <w:hideMark/>
          </w:tcPr>
          <w:p w14:paraId="78D44EC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16</w:t>
            </w:r>
          </w:p>
        </w:tc>
        <w:tc>
          <w:tcPr>
            <w:tcW w:w="1200" w:type="dxa"/>
            <w:vAlign w:val="center"/>
            <w:hideMark/>
          </w:tcPr>
          <w:p w14:paraId="03DFCE0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16</w:t>
            </w:r>
          </w:p>
        </w:tc>
        <w:tc>
          <w:tcPr>
            <w:tcW w:w="2307" w:type="dxa"/>
            <w:vAlign w:val="center"/>
            <w:hideMark/>
          </w:tcPr>
          <w:p w14:paraId="3BEF242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Namibie</w:t>
            </w:r>
          </w:p>
        </w:tc>
        <w:tc>
          <w:tcPr>
            <w:tcW w:w="1757" w:type="dxa"/>
            <w:vAlign w:val="center"/>
          </w:tcPr>
          <w:p w14:paraId="6049D410" w14:textId="4C9BB5C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010</w:t>
            </w:r>
          </w:p>
        </w:tc>
        <w:tc>
          <w:tcPr>
            <w:tcW w:w="1917" w:type="dxa"/>
            <w:vAlign w:val="center"/>
          </w:tcPr>
          <w:p w14:paraId="0B594DFF" w14:textId="76B2A07D"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013 </w:t>
            </w:r>
          </w:p>
        </w:tc>
        <w:tc>
          <w:tcPr>
            <w:tcW w:w="1477" w:type="dxa"/>
            <w:vAlign w:val="center"/>
          </w:tcPr>
          <w:p w14:paraId="7C11DD7D" w14:textId="410BF6D9"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442 </w:t>
            </w:r>
          </w:p>
        </w:tc>
      </w:tr>
      <w:tr w:rsidR="00F32018" w:rsidRPr="00110AE6" w14:paraId="5CDD7EFA" w14:textId="77777777" w:rsidTr="00101811">
        <w:trPr>
          <w:trHeight w:val="300"/>
        </w:trPr>
        <w:tc>
          <w:tcPr>
            <w:tcW w:w="1166" w:type="dxa"/>
            <w:vAlign w:val="center"/>
            <w:hideMark/>
          </w:tcPr>
          <w:p w14:paraId="298E41E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17</w:t>
            </w:r>
          </w:p>
        </w:tc>
        <w:tc>
          <w:tcPr>
            <w:tcW w:w="1200" w:type="dxa"/>
            <w:vAlign w:val="center"/>
            <w:hideMark/>
          </w:tcPr>
          <w:p w14:paraId="5183B3D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17</w:t>
            </w:r>
          </w:p>
        </w:tc>
        <w:tc>
          <w:tcPr>
            <w:tcW w:w="2307" w:type="dxa"/>
            <w:vAlign w:val="center"/>
            <w:hideMark/>
          </w:tcPr>
          <w:p w14:paraId="4496B59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Niger</w:t>
            </w:r>
          </w:p>
        </w:tc>
        <w:tc>
          <w:tcPr>
            <w:tcW w:w="1757" w:type="dxa"/>
            <w:vAlign w:val="center"/>
            <w:hideMark/>
          </w:tcPr>
          <w:p w14:paraId="64C1391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vAlign w:val="center"/>
            <w:hideMark/>
          </w:tcPr>
          <w:p w14:paraId="63B751DC"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0ACC5B7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75D23208" w14:textId="77777777" w:rsidTr="00101811">
        <w:trPr>
          <w:trHeight w:val="300"/>
        </w:trPr>
        <w:tc>
          <w:tcPr>
            <w:tcW w:w="1166" w:type="dxa"/>
            <w:vAlign w:val="center"/>
            <w:hideMark/>
          </w:tcPr>
          <w:p w14:paraId="385D371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18</w:t>
            </w:r>
          </w:p>
        </w:tc>
        <w:tc>
          <w:tcPr>
            <w:tcW w:w="1200" w:type="dxa"/>
            <w:vAlign w:val="center"/>
            <w:hideMark/>
          </w:tcPr>
          <w:p w14:paraId="6B17CB1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18</w:t>
            </w:r>
          </w:p>
        </w:tc>
        <w:tc>
          <w:tcPr>
            <w:tcW w:w="2307" w:type="dxa"/>
            <w:vAlign w:val="center"/>
            <w:hideMark/>
          </w:tcPr>
          <w:p w14:paraId="0AD6373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Nigéria</w:t>
            </w:r>
          </w:p>
        </w:tc>
        <w:tc>
          <w:tcPr>
            <w:tcW w:w="1757" w:type="dxa"/>
            <w:vAlign w:val="center"/>
          </w:tcPr>
          <w:p w14:paraId="57115CD9" w14:textId="60399225"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209</w:t>
            </w:r>
          </w:p>
        </w:tc>
        <w:tc>
          <w:tcPr>
            <w:tcW w:w="1917" w:type="dxa"/>
            <w:vAlign w:val="center"/>
          </w:tcPr>
          <w:p w14:paraId="5023D430" w14:textId="41C9FB8F" w:rsidR="00F32018" w:rsidRPr="00110AE6" w:rsidRDefault="00D8548D"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F32018" w:rsidRPr="00110AE6">
              <w:rPr>
                <w:noProof/>
                <w:sz w:val="18"/>
                <w:szCs w:val="18"/>
                <w:lang w:val="fr-FR"/>
              </w:rPr>
              <w:t xml:space="preserve">281 </w:t>
            </w:r>
          </w:p>
        </w:tc>
        <w:tc>
          <w:tcPr>
            <w:tcW w:w="1477" w:type="dxa"/>
            <w:vAlign w:val="center"/>
          </w:tcPr>
          <w:p w14:paraId="099009BC" w14:textId="24BEE4FF"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9 239 </w:t>
            </w:r>
          </w:p>
        </w:tc>
      </w:tr>
      <w:tr w:rsidR="00F32018" w:rsidRPr="00110AE6" w14:paraId="24C31DF2" w14:textId="77777777" w:rsidTr="00101811">
        <w:trPr>
          <w:trHeight w:val="300"/>
        </w:trPr>
        <w:tc>
          <w:tcPr>
            <w:tcW w:w="1166" w:type="dxa"/>
            <w:vAlign w:val="center"/>
            <w:hideMark/>
          </w:tcPr>
          <w:p w14:paraId="1BD65AB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19</w:t>
            </w:r>
          </w:p>
        </w:tc>
        <w:tc>
          <w:tcPr>
            <w:tcW w:w="1200" w:type="dxa"/>
            <w:vAlign w:val="center"/>
            <w:hideMark/>
          </w:tcPr>
          <w:p w14:paraId="0962D11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19</w:t>
            </w:r>
          </w:p>
        </w:tc>
        <w:tc>
          <w:tcPr>
            <w:tcW w:w="2307" w:type="dxa"/>
            <w:vAlign w:val="center"/>
            <w:hideMark/>
          </w:tcPr>
          <w:p w14:paraId="2EFAF73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Rwanda</w:t>
            </w:r>
          </w:p>
        </w:tc>
        <w:tc>
          <w:tcPr>
            <w:tcW w:w="1757" w:type="dxa"/>
            <w:vAlign w:val="center"/>
            <w:hideMark/>
          </w:tcPr>
          <w:p w14:paraId="6CEB508C"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vAlign w:val="center"/>
            <w:hideMark/>
          </w:tcPr>
          <w:p w14:paraId="1A7DFAF4"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6E113249"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FBDB053" w14:textId="77777777" w:rsidTr="00101811">
        <w:trPr>
          <w:trHeight w:val="300"/>
        </w:trPr>
        <w:tc>
          <w:tcPr>
            <w:tcW w:w="1166" w:type="dxa"/>
            <w:vAlign w:val="center"/>
            <w:hideMark/>
          </w:tcPr>
          <w:p w14:paraId="6C60977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20</w:t>
            </w:r>
          </w:p>
        </w:tc>
        <w:tc>
          <w:tcPr>
            <w:tcW w:w="1200" w:type="dxa"/>
            <w:vAlign w:val="center"/>
            <w:hideMark/>
          </w:tcPr>
          <w:p w14:paraId="509FA62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20</w:t>
            </w:r>
          </w:p>
        </w:tc>
        <w:tc>
          <w:tcPr>
            <w:tcW w:w="2307" w:type="dxa"/>
            <w:vAlign w:val="center"/>
            <w:hideMark/>
          </w:tcPr>
          <w:p w14:paraId="17B695D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Sao Tomé-et-Principe</w:t>
            </w:r>
          </w:p>
        </w:tc>
        <w:tc>
          <w:tcPr>
            <w:tcW w:w="1757" w:type="dxa"/>
            <w:vAlign w:val="center"/>
            <w:hideMark/>
          </w:tcPr>
          <w:p w14:paraId="52A01BBF"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63554DC5"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5A95612C"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5F31E3EB" w14:textId="77777777" w:rsidTr="00101811">
        <w:trPr>
          <w:trHeight w:val="300"/>
        </w:trPr>
        <w:tc>
          <w:tcPr>
            <w:tcW w:w="1166" w:type="dxa"/>
            <w:vAlign w:val="center"/>
            <w:hideMark/>
          </w:tcPr>
          <w:p w14:paraId="1B2223B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21</w:t>
            </w:r>
          </w:p>
        </w:tc>
        <w:tc>
          <w:tcPr>
            <w:tcW w:w="1200" w:type="dxa"/>
            <w:vAlign w:val="center"/>
            <w:hideMark/>
          </w:tcPr>
          <w:p w14:paraId="07C1DD5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21</w:t>
            </w:r>
          </w:p>
        </w:tc>
        <w:tc>
          <w:tcPr>
            <w:tcW w:w="2307" w:type="dxa"/>
            <w:vAlign w:val="center"/>
            <w:hideMark/>
          </w:tcPr>
          <w:p w14:paraId="3355C1C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Sénégal</w:t>
            </w:r>
          </w:p>
        </w:tc>
        <w:tc>
          <w:tcPr>
            <w:tcW w:w="1757" w:type="dxa"/>
            <w:vAlign w:val="center"/>
            <w:hideMark/>
          </w:tcPr>
          <w:p w14:paraId="7BF7C156" w14:textId="2B45A65A"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005</w:t>
            </w:r>
          </w:p>
        </w:tc>
        <w:tc>
          <w:tcPr>
            <w:tcW w:w="1917" w:type="dxa"/>
            <w:vAlign w:val="center"/>
            <w:hideMark/>
          </w:tcPr>
          <w:p w14:paraId="6AC0FC79"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08A28E18"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673DB2BD" w14:textId="77777777" w:rsidTr="00101811">
        <w:trPr>
          <w:trHeight w:val="300"/>
        </w:trPr>
        <w:tc>
          <w:tcPr>
            <w:tcW w:w="1166" w:type="dxa"/>
            <w:vAlign w:val="center"/>
            <w:hideMark/>
          </w:tcPr>
          <w:p w14:paraId="180186D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22</w:t>
            </w:r>
          </w:p>
        </w:tc>
        <w:tc>
          <w:tcPr>
            <w:tcW w:w="1200" w:type="dxa"/>
            <w:vAlign w:val="center"/>
            <w:hideMark/>
          </w:tcPr>
          <w:p w14:paraId="0D9F939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22</w:t>
            </w:r>
          </w:p>
        </w:tc>
        <w:tc>
          <w:tcPr>
            <w:tcW w:w="2307" w:type="dxa"/>
            <w:vAlign w:val="center"/>
            <w:hideMark/>
          </w:tcPr>
          <w:p w14:paraId="3DEEEB3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Seychelles</w:t>
            </w:r>
          </w:p>
        </w:tc>
        <w:tc>
          <w:tcPr>
            <w:tcW w:w="1757" w:type="dxa"/>
            <w:vAlign w:val="center"/>
            <w:hideMark/>
          </w:tcPr>
          <w:p w14:paraId="11C3710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11D31825"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6A5202AE"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6668AF7B" w14:textId="77777777" w:rsidTr="00101811">
        <w:trPr>
          <w:trHeight w:val="300"/>
        </w:trPr>
        <w:tc>
          <w:tcPr>
            <w:tcW w:w="1166" w:type="dxa"/>
            <w:vAlign w:val="center"/>
            <w:hideMark/>
          </w:tcPr>
          <w:p w14:paraId="44FEDB3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23</w:t>
            </w:r>
          </w:p>
        </w:tc>
        <w:tc>
          <w:tcPr>
            <w:tcW w:w="1200" w:type="dxa"/>
            <w:vAlign w:val="center"/>
            <w:hideMark/>
          </w:tcPr>
          <w:p w14:paraId="002CD607"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23</w:t>
            </w:r>
          </w:p>
        </w:tc>
        <w:tc>
          <w:tcPr>
            <w:tcW w:w="2307" w:type="dxa"/>
            <w:vAlign w:val="center"/>
            <w:hideMark/>
          </w:tcPr>
          <w:p w14:paraId="531B867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Sierra Leone</w:t>
            </w:r>
          </w:p>
        </w:tc>
        <w:tc>
          <w:tcPr>
            <w:tcW w:w="1757" w:type="dxa"/>
            <w:vAlign w:val="center"/>
            <w:hideMark/>
          </w:tcPr>
          <w:p w14:paraId="620328E0"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2E43FBD5"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0120E7C9"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1A2C95E4" w14:textId="77777777" w:rsidTr="00101811">
        <w:trPr>
          <w:trHeight w:val="300"/>
        </w:trPr>
        <w:tc>
          <w:tcPr>
            <w:tcW w:w="1166" w:type="dxa"/>
            <w:vAlign w:val="center"/>
            <w:hideMark/>
          </w:tcPr>
          <w:p w14:paraId="5920FAF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24</w:t>
            </w:r>
          </w:p>
        </w:tc>
        <w:tc>
          <w:tcPr>
            <w:tcW w:w="1200" w:type="dxa"/>
            <w:vAlign w:val="center"/>
            <w:hideMark/>
          </w:tcPr>
          <w:p w14:paraId="6149CA7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24</w:t>
            </w:r>
          </w:p>
        </w:tc>
        <w:tc>
          <w:tcPr>
            <w:tcW w:w="2307" w:type="dxa"/>
            <w:vAlign w:val="center"/>
            <w:hideMark/>
          </w:tcPr>
          <w:p w14:paraId="66EA5D6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Togo</w:t>
            </w:r>
          </w:p>
        </w:tc>
        <w:tc>
          <w:tcPr>
            <w:tcW w:w="1757" w:type="dxa"/>
            <w:vAlign w:val="center"/>
            <w:hideMark/>
          </w:tcPr>
          <w:p w14:paraId="480D13A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38B7B719"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7AF81438"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6D879A59" w14:textId="77777777" w:rsidTr="00101811">
        <w:trPr>
          <w:trHeight w:val="315"/>
        </w:trPr>
        <w:tc>
          <w:tcPr>
            <w:tcW w:w="1166" w:type="dxa"/>
            <w:tcBorders>
              <w:bottom w:val="single" w:sz="4" w:space="0" w:color="auto"/>
            </w:tcBorders>
            <w:vAlign w:val="center"/>
            <w:hideMark/>
          </w:tcPr>
          <w:p w14:paraId="3B7F14E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25</w:t>
            </w:r>
          </w:p>
        </w:tc>
        <w:tc>
          <w:tcPr>
            <w:tcW w:w="1200" w:type="dxa"/>
            <w:tcBorders>
              <w:bottom w:val="single" w:sz="4" w:space="0" w:color="auto"/>
            </w:tcBorders>
            <w:vAlign w:val="center"/>
            <w:hideMark/>
          </w:tcPr>
          <w:p w14:paraId="1550FFC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25</w:t>
            </w:r>
          </w:p>
        </w:tc>
        <w:tc>
          <w:tcPr>
            <w:tcW w:w="2307" w:type="dxa"/>
            <w:tcBorders>
              <w:bottom w:val="single" w:sz="4" w:space="0" w:color="auto"/>
            </w:tcBorders>
            <w:vAlign w:val="center"/>
            <w:hideMark/>
          </w:tcPr>
          <w:p w14:paraId="5F70B7A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Zambie</w:t>
            </w:r>
          </w:p>
        </w:tc>
        <w:tc>
          <w:tcPr>
            <w:tcW w:w="1757" w:type="dxa"/>
            <w:tcBorders>
              <w:bottom w:val="single" w:sz="4" w:space="0" w:color="auto"/>
            </w:tcBorders>
            <w:vAlign w:val="center"/>
            <w:hideMark/>
          </w:tcPr>
          <w:p w14:paraId="0241628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0,007</w:t>
            </w:r>
          </w:p>
        </w:tc>
        <w:tc>
          <w:tcPr>
            <w:tcW w:w="1917" w:type="dxa"/>
            <w:tcBorders>
              <w:bottom w:val="single" w:sz="4" w:space="0" w:color="auto"/>
            </w:tcBorders>
            <w:vAlign w:val="center"/>
            <w:hideMark/>
          </w:tcPr>
          <w:p w14:paraId="216D69A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tcBorders>
              <w:bottom w:val="single" w:sz="4" w:space="0" w:color="auto"/>
            </w:tcBorders>
            <w:vAlign w:val="center"/>
            <w:hideMark/>
          </w:tcPr>
          <w:p w14:paraId="7D7ADD45"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34DDDC6" w14:textId="77777777" w:rsidTr="00101811">
        <w:trPr>
          <w:trHeight w:val="340"/>
        </w:trPr>
        <w:tc>
          <w:tcPr>
            <w:tcW w:w="1166" w:type="dxa"/>
            <w:tcBorders>
              <w:top w:val="single" w:sz="4" w:space="0" w:color="auto"/>
              <w:bottom w:val="single" w:sz="4" w:space="0" w:color="auto"/>
            </w:tcBorders>
            <w:vAlign w:val="center"/>
            <w:hideMark/>
          </w:tcPr>
          <w:p w14:paraId="063932F5" w14:textId="77777777" w:rsidR="00F32018" w:rsidRPr="00110AE6" w:rsidRDefault="00F32018" w:rsidP="00F32018">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Total</w:t>
            </w:r>
          </w:p>
        </w:tc>
        <w:tc>
          <w:tcPr>
            <w:tcW w:w="1200" w:type="dxa"/>
            <w:tcBorders>
              <w:top w:val="single" w:sz="4" w:space="0" w:color="auto"/>
              <w:bottom w:val="single" w:sz="4" w:space="0" w:color="auto"/>
            </w:tcBorders>
            <w:vAlign w:val="center"/>
            <w:hideMark/>
          </w:tcPr>
          <w:p w14:paraId="5B64A6C3" w14:textId="77777777" w:rsidR="00F32018" w:rsidRPr="00110AE6" w:rsidRDefault="00F32018" w:rsidP="00F32018">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Groupe</w:t>
            </w:r>
          </w:p>
        </w:tc>
        <w:tc>
          <w:tcPr>
            <w:tcW w:w="7458" w:type="dxa"/>
            <w:gridSpan w:val="4"/>
            <w:tcBorders>
              <w:top w:val="single" w:sz="4" w:space="0" w:color="auto"/>
              <w:bottom w:val="single" w:sz="4" w:space="0" w:color="auto"/>
            </w:tcBorders>
            <w:vAlign w:val="center"/>
            <w:hideMark/>
          </w:tcPr>
          <w:p w14:paraId="3F5E64CD" w14:textId="7D773268" w:rsidR="00F32018" w:rsidRPr="00110AE6" w:rsidRDefault="00F32018" w:rsidP="00F32018">
            <w:pPr>
              <w:tabs>
                <w:tab w:val="clear" w:pos="1247"/>
                <w:tab w:val="clear" w:pos="1814"/>
                <w:tab w:val="clear" w:pos="2381"/>
                <w:tab w:val="clear" w:pos="2948"/>
                <w:tab w:val="clear" w:pos="3515"/>
              </w:tabs>
              <w:ind w:right="234"/>
              <w:rPr>
                <w:b/>
                <w:bCs/>
                <w:noProof/>
                <w:sz w:val="18"/>
                <w:szCs w:val="18"/>
                <w:lang w:val="fr-FR"/>
              </w:rPr>
            </w:pPr>
            <w:r w:rsidRPr="00110AE6">
              <w:rPr>
                <w:b/>
                <w:bCs/>
                <w:noProof/>
                <w:sz w:val="18"/>
                <w:szCs w:val="18"/>
                <w:lang w:val="fr-FR"/>
              </w:rPr>
              <w:t>Asie-Pacifique</w:t>
            </w:r>
          </w:p>
        </w:tc>
      </w:tr>
      <w:tr w:rsidR="00F32018" w:rsidRPr="00110AE6" w14:paraId="37996BE3" w14:textId="77777777" w:rsidTr="00101811">
        <w:trPr>
          <w:trHeight w:val="315"/>
        </w:trPr>
        <w:tc>
          <w:tcPr>
            <w:tcW w:w="1166" w:type="dxa"/>
            <w:tcBorders>
              <w:top w:val="single" w:sz="4" w:space="0" w:color="auto"/>
            </w:tcBorders>
            <w:vAlign w:val="center"/>
            <w:hideMark/>
          </w:tcPr>
          <w:p w14:paraId="7D41AB7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26</w:t>
            </w:r>
          </w:p>
        </w:tc>
        <w:tc>
          <w:tcPr>
            <w:tcW w:w="1200" w:type="dxa"/>
            <w:tcBorders>
              <w:top w:val="single" w:sz="4" w:space="0" w:color="auto"/>
            </w:tcBorders>
            <w:vAlign w:val="center"/>
            <w:hideMark/>
          </w:tcPr>
          <w:p w14:paraId="5B5C4A26"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w:t>
            </w:r>
          </w:p>
        </w:tc>
        <w:tc>
          <w:tcPr>
            <w:tcW w:w="2307" w:type="dxa"/>
            <w:tcBorders>
              <w:top w:val="single" w:sz="4" w:space="0" w:color="auto"/>
            </w:tcBorders>
            <w:vAlign w:val="center"/>
            <w:hideMark/>
          </w:tcPr>
          <w:p w14:paraId="7E95841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Afghanistan</w:t>
            </w:r>
          </w:p>
        </w:tc>
        <w:tc>
          <w:tcPr>
            <w:tcW w:w="1757" w:type="dxa"/>
            <w:tcBorders>
              <w:top w:val="single" w:sz="4" w:space="0" w:color="auto"/>
            </w:tcBorders>
            <w:vAlign w:val="center"/>
            <w:hideMark/>
          </w:tcPr>
          <w:p w14:paraId="48FA7DD1"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0,006</w:t>
            </w:r>
          </w:p>
        </w:tc>
        <w:tc>
          <w:tcPr>
            <w:tcW w:w="1917" w:type="dxa"/>
            <w:tcBorders>
              <w:top w:val="single" w:sz="4" w:space="0" w:color="auto"/>
            </w:tcBorders>
            <w:vAlign w:val="center"/>
            <w:hideMark/>
          </w:tcPr>
          <w:p w14:paraId="4CB98BC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tcBorders>
              <w:top w:val="single" w:sz="4" w:space="0" w:color="auto"/>
            </w:tcBorders>
            <w:vAlign w:val="center"/>
            <w:hideMark/>
          </w:tcPr>
          <w:p w14:paraId="0534046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1747F55" w14:textId="77777777" w:rsidTr="00101811">
        <w:trPr>
          <w:trHeight w:val="300"/>
        </w:trPr>
        <w:tc>
          <w:tcPr>
            <w:tcW w:w="1166" w:type="dxa"/>
            <w:vAlign w:val="center"/>
            <w:hideMark/>
          </w:tcPr>
          <w:p w14:paraId="13CCAB1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27</w:t>
            </w:r>
          </w:p>
        </w:tc>
        <w:tc>
          <w:tcPr>
            <w:tcW w:w="1200" w:type="dxa"/>
            <w:vAlign w:val="center"/>
            <w:hideMark/>
          </w:tcPr>
          <w:p w14:paraId="2DCCAA6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w:t>
            </w:r>
          </w:p>
        </w:tc>
        <w:tc>
          <w:tcPr>
            <w:tcW w:w="2307" w:type="dxa"/>
            <w:vAlign w:val="center"/>
            <w:hideMark/>
          </w:tcPr>
          <w:p w14:paraId="1FB341B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Chine</w:t>
            </w:r>
          </w:p>
        </w:tc>
        <w:tc>
          <w:tcPr>
            <w:tcW w:w="1757" w:type="dxa"/>
            <w:vAlign w:val="center"/>
            <w:hideMark/>
          </w:tcPr>
          <w:p w14:paraId="3AEBBCDA"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7,921</w:t>
            </w:r>
          </w:p>
        </w:tc>
        <w:tc>
          <w:tcPr>
            <w:tcW w:w="1917" w:type="dxa"/>
            <w:vAlign w:val="center"/>
          </w:tcPr>
          <w:p w14:paraId="00B8CEB7" w14:textId="6425FC90"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10</w:t>
            </w:r>
            <w:r w:rsidR="00D8548D" w:rsidRPr="00110AE6">
              <w:rPr>
                <w:noProof/>
                <w:sz w:val="18"/>
                <w:szCs w:val="18"/>
                <w:lang w:val="fr-FR"/>
              </w:rPr>
              <w:t>,</w:t>
            </w:r>
            <w:r w:rsidRPr="00110AE6">
              <w:rPr>
                <w:noProof/>
                <w:sz w:val="18"/>
                <w:szCs w:val="18"/>
                <w:lang w:val="fr-FR"/>
              </w:rPr>
              <w:t>648</w:t>
            </w:r>
          </w:p>
        </w:tc>
        <w:tc>
          <w:tcPr>
            <w:tcW w:w="1477" w:type="dxa"/>
            <w:vAlign w:val="center"/>
          </w:tcPr>
          <w:p w14:paraId="4CDEFBF3" w14:textId="0740E11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350 159 </w:t>
            </w:r>
          </w:p>
        </w:tc>
      </w:tr>
      <w:tr w:rsidR="00F32018" w:rsidRPr="00110AE6" w14:paraId="3F65D2F7" w14:textId="77777777" w:rsidTr="00101811">
        <w:trPr>
          <w:trHeight w:val="300"/>
        </w:trPr>
        <w:tc>
          <w:tcPr>
            <w:tcW w:w="1166" w:type="dxa"/>
            <w:vAlign w:val="center"/>
            <w:hideMark/>
          </w:tcPr>
          <w:p w14:paraId="0D45ADF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28</w:t>
            </w:r>
          </w:p>
        </w:tc>
        <w:tc>
          <w:tcPr>
            <w:tcW w:w="1200" w:type="dxa"/>
            <w:vAlign w:val="center"/>
            <w:hideMark/>
          </w:tcPr>
          <w:p w14:paraId="452F4DD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w:t>
            </w:r>
          </w:p>
        </w:tc>
        <w:tc>
          <w:tcPr>
            <w:tcW w:w="2307" w:type="dxa"/>
            <w:vAlign w:val="center"/>
            <w:hideMark/>
          </w:tcPr>
          <w:p w14:paraId="42C9458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Inde</w:t>
            </w:r>
          </w:p>
        </w:tc>
        <w:tc>
          <w:tcPr>
            <w:tcW w:w="1757" w:type="dxa"/>
            <w:vAlign w:val="center"/>
            <w:hideMark/>
          </w:tcPr>
          <w:p w14:paraId="3E7C6C5C"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0,737</w:t>
            </w:r>
          </w:p>
        </w:tc>
        <w:tc>
          <w:tcPr>
            <w:tcW w:w="1917" w:type="dxa"/>
            <w:vAlign w:val="center"/>
          </w:tcPr>
          <w:p w14:paraId="4655E0FC" w14:textId="5595767D" w:rsidR="00F32018" w:rsidRPr="00110AE6" w:rsidRDefault="00D8548D"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F32018" w:rsidRPr="00110AE6">
              <w:rPr>
                <w:noProof/>
                <w:sz w:val="18"/>
                <w:szCs w:val="18"/>
                <w:lang w:val="fr-FR"/>
              </w:rPr>
              <w:t>991</w:t>
            </w:r>
          </w:p>
        </w:tc>
        <w:tc>
          <w:tcPr>
            <w:tcW w:w="1477" w:type="dxa"/>
            <w:vAlign w:val="center"/>
          </w:tcPr>
          <w:p w14:paraId="67A4FC09" w14:textId="4A98E84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32 580 </w:t>
            </w:r>
          </w:p>
        </w:tc>
      </w:tr>
      <w:tr w:rsidR="00F32018" w:rsidRPr="00110AE6" w14:paraId="307C7F54" w14:textId="77777777" w:rsidTr="00101811">
        <w:trPr>
          <w:trHeight w:val="300"/>
        </w:trPr>
        <w:tc>
          <w:tcPr>
            <w:tcW w:w="1166" w:type="dxa"/>
            <w:vAlign w:val="center"/>
            <w:hideMark/>
          </w:tcPr>
          <w:p w14:paraId="405B249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29</w:t>
            </w:r>
          </w:p>
        </w:tc>
        <w:tc>
          <w:tcPr>
            <w:tcW w:w="1200" w:type="dxa"/>
            <w:vAlign w:val="center"/>
            <w:hideMark/>
          </w:tcPr>
          <w:p w14:paraId="0396E2E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w:t>
            </w:r>
          </w:p>
        </w:tc>
        <w:tc>
          <w:tcPr>
            <w:tcW w:w="2307" w:type="dxa"/>
            <w:vAlign w:val="center"/>
            <w:hideMark/>
          </w:tcPr>
          <w:p w14:paraId="4E8ADCE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Indonésie</w:t>
            </w:r>
          </w:p>
        </w:tc>
        <w:tc>
          <w:tcPr>
            <w:tcW w:w="1757" w:type="dxa"/>
            <w:vAlign w:val="center"/>
            <w:hideMark/>
          </w:tcPr>
          <w:p w14:paraId="4048895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0,504</w:t>
            </w:r>
          </w:p>
        </w:tc>
        <w:tc>
          <w:tcPr>
            <w:tcW w:w="1917" w:type="dxa"/>
            <w:vAlign w:val="center"/>
          </w:tcPr>
          <w:p w14:paraId="39C9B422" w14:textId="68D40DA1"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677 </w:t>
            </w:r>
          </w:p>
        </w:tc>
        <w:tc>
          <w:tcPr>
            <w:tcW w:w="1477" w:type="dxa"/>
            <w:vAlign w:val="center"/>
          </w:tcPr>
          <w:p w14:paraId="0A105AEA" w14:textId="6D69F5F4"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22 280 </w:t>
            </w:r>
          </w:p>
        </w:tc>
      </w:tr>
      <w:tr w:rsidR="00F32018" w:rsidRPr="00110AE6" w14:paraId="79FA9B38" w14:textId="77777777" w:rsidTr="00101811">
        <w:trPr>
          <w:trHeight w:val="300"/>
        </w:trPr>
        <w:tc>
          <w:tcPr>
            <w:tcW w:w="1166" w:type="dxa"/>
            <w:vAlign w:val="center"/>
            <w:hideMark/>
          </w:tcPr>
          <w:p w14:paraId="332D7576"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30</w:t>
            </w:r>
          </w:p>
        </w:tc>
        <w:tc>
          <w:tcPr>
            <w:tcW w:w="1200" w:type="dxa"/>
            <w:vAlign w:val="center"/>
            <w:hideMark/>
          </w:tcPr>
          <w:p w14:paraId="71FFEF5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w:t>
            </w:r>
          </w:p>
        </w:tc>
        <w:tc>
          <w:tcPr>
            <w:tcW w:w="2307" w:type="dxa"/>
            <w:vAlign w:val="center"/>
            <w:hideMark/>
          </w:tcPr>
          <w:p w14:paraId="028D63F4" w14:textId="15470462" w:rsidR="00F32018" w:rsidRPr="00110AE6" w:rsidRDefault="00F32018" w:rsidP="00F32018">
            <w:pPr>
              <w:tabs>
                <w:tab w:val="clear" w:pos="1247"/>
                <w:tab w:val="clear" w:pos="1814"/>
                <w:tab w:val="clear" w:pos="2381"/>
                <w:tab w:val="clear" w:pos="2948"/>
                <w:tab w:val="clear" w:pos="3515"/>
              </w:tabs>
              <w:rPr>
                <w:noProof/>
                <w:sz w:val="16"/>
                <w:szCs w:val="16"/>
                <w:lang w:val="fr-FR"/>
              </w:rPr>
            </w:pPr>
            <w:r w:rsidRPr="00110AE6">
              <w:rPr>
                <w:noProof/>
                <w:sz w:val="16"/>
                <w:szCs w:val="16"/>
                <w:lang w:val="fr-FR"/>
              </w:rPr>
              <w:t>Iran (République islamique d’)</w:t>
            </w:r>
          </w:p>
        </w:tc>
        <w:tc>
          <w:tcPr>
            <w:tcW w:w="1757" w:type="dxa"/>
            <w:vAlign w:val="center"/>
            <w:hideMark/>
          </w:tcPr>
          <w:p w14:paraId="054033A1"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0,471</w:t>
            </w:r>
          </w:p>
        </w:tc>
        <w:tc>
          <w:tcPr>
            <w:tcW w:w="1917" w:type="dxa"/>
            <w:vAlign w:val="center"/>
          </w:tcPr>
          <w:p w14:paraId="0B094C82" w14:textId="49A73FF2"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633 </w:t>
            </w:r>
          </w:p>
        </w:tc>
        <w:tc>
          <w:tcPr>
            <w:tcW w:w="1477" w:type="dxa"/>
            <w:vAlign w:val="center"/>
          </w:tcPr>
          <w:p w14:paraId="7EC8D75A" w14:textId="3C9FDDFF"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20 821 </w:t>
            </w:r>
          </w:p>
        </w:tc>
      </w:tr>
      <w:tr w:rsidR="00F32018" w:rsidRPr="00110AE6" w14:paraId="63FF11A9" w14:textId="77777777" w:rsidTr="00101811">
        <w:trPr>
          <w:trHeight w:val="300"/>
        </w:trPr>
        <w:tc>
          <w:tcPr>
            <w:tcW w:w="1166" w:type="dxa"/>
            <w:vAlign w:val="center"/>
            <w:hideMark/>
          </w:tcPr>
          <w:p w14:paraId="1E21B280"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31</w:t>
            </w:r>
          </w:p>
        </w:tc>
        <w:tc>
          <w:tcPr>
            <w:tcW w:w="1200" w:type="dxa"/>
            <w:vAlign w:val="center"/>
            <w:hideMark/>
          </w:tcPr>
          <w:p w14:paraId="0DC9956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w:t>
            </w:r>
          </w:p>
        </w:tc>
        <w:tc>
          <w:tcPr>
            <w:tcW w:w="2307" w:type="dxa"/>
            <w:vAlign w:val="center"/>
            <w:hideMark/>
          </w:tcPr>
          <w:p w14:paraId="0975F73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Japon</w:t>
            </w:r>
          </w:p>
        </w:tc>
        <w:tc>
          <w:tcPr>
            <w:tcW w:w="1757" w:type="dxa"/>
            <w:vAlign w:val="center"/>
          </w:tcPr>
          <w:p w14:paraId="0D992464" w14:textId="180DB77A"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9</w:t>
            </w:r>
            <w:r w:rsidR="00D8548D" w:rsidRPr="00110AE6">
              <w:rPr>
                <w:noProof/>
                <w:sz w:val="18"/>
                <w:szCs w:val="18"/>
                <w:lang w:val="fr-FR"/>
              </w:rPr>
              <w:t>,</w:t>
            </w:r>
            <w:r w:rsidRPr="00110AE6">
              <w:rPr>
                <w:noProof/>
                <w:sz w:val="18"/>
                <w:szCs w:val="18"/>
                <w:lang w:val="fr-FR"/>
              </w:rPr>
              <w:t>680</w:t>
            </w:r>
          </w:p>
        </w:tc>
        <w:tc>
          <w:tcPr>
            <w:tcW w:w="1917" w:type="dxa"/>
            <w:vAlign w:val="center"/>
          </w:tcPr>
          <w:p w14:paraId="4715C108" w14:textId="21ECE58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13</w:t>
            </w:r>
            <w:r w:rsidR="00D8548D" w:rsidRPr="00110AE6">
              <w:rPr>
                <w:noProof/>
                <w:sz w:val="18"/>
                <w:szCs w:val="18"/>
                <w:lang w:val="fr-FR"/>
              </w:rPr>
              <w:t>,</w:t>
            </w:r>
            <w:r w:rsidRPr="00110AE6">
              <w:rPr>
                <w:noProof/>
                <w:sz w:val="18"/>
                <w:szCs w:val="18"/>
                <w:lang w:val="fr-FR"/>
              </w:rPr>
              <w:t xml:space="preserve">012 </w:t>
            </w:r>
          </w:p>
        </w:tc>
        <w:tc>
          <w:tcPr>
            <w:tcW w:w="1477" w:type="dxa"/>
            <w:vAlign w:val="center"/>
          </w:tcPr>
          <w:p w14:paraId="289B2C4B" w14:textId="2A64AA45"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427 918 </w:t>
            </w:r>
          </w:p>
        </w:tc>
      </w:tr>
      <w:tr w:rsidR="00F32018" w:rsidRPr="00110AE6" w14:paraId="4396B2D2" w14:textId="77777777" w:rsidTr="00101811">
        <w:trPr>
          <w:trHeight w:val="300"/>
        </w:trPr>
        <w:tc>
          <w:tcPr>
            <w:tcW w:w="1166" w:type="dxa"/>
            <w:vAlign w:val="center"/>
            <w:hideMark/>
          </w:tcPr>
          <w:p w14:paraId="4B55671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32</w:t>
            </w:r>
          </w:p>
        </w:tc>
        <w:tc>
          <w:tcPr>
            <w:tcW w:w="1200" w:type="dxa"/>
            <w:vAlign w:val="center"/>
            <w:hideMark/>
          </w:tcPr>
          <w:p w14:paraId="2661EB3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w:t>
            </w:r>
          </w:p>
        </w:tc>
        <w:tc>
          <w:tcPr>
            <w:tcW w:w="2307" w:type="dxa"/>
            <w:vAlign w:val="center"/>
            <w:hideMark/>
          </w:tcPr>
          <w:p w14:paraId="1589D72E"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Jordanie</w:t>
            </w:r>
          </w:p>
        </w:tc>
        <w:tc>
          <w:tcPr>
            <w:tcW w:w="1757" w:type="dxa"/>
            <w:vAlign w:val="center"/>
          </w:tcPr>
          <w:p w14:paraId="6410C1A5" w14:textId="19FBA861"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020</w:t>
            </w:r>
          </w:p>
        </w:tc>
        <w:tc>
          <w:tcPr>
            <w:tcW w:w="1917" w:type="dxa"/>
            <w:vAlign w:val="center"/>
          </w:tcPr>
          <w:p w14:paraId="71E1D126" w14:textId="0B3792EB" w:rsidR="00F32018" w:rsidRPr="00110AE6" w:rsidRDefault="00D8548D"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F32018" w:rsidRPr="00110AE6">
              <w:rPr>
                <w:noProof/>
                <w:sz w:val="18"/>
                <w:szCs w:val="18"/>
                <w:lang w:val="fr-FR"/>
              </w:rPr>
              <w:t xml:space="preserve">027 </w:t>
            </w:r>
          </w:p>
        </w:tc>
        <w:tc>
          <w:tcPr>
            <w:tcW w:w="1477" w:type="dxa"/>
            <w:vAlign w:val="center"/>
          </w:tcPr>
          <w:p w14:paraId="7F218275" w14:textId="6B29120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884 </w:t>
            </w:r>
          </w:p>
        </w:tc>
      </w:tr>
      <w:tr w:rsidR="00F32018" w:rsidRPr="00110AE6" w14:paraId="14FD8DB7" w14:textId="77777777" w:rsidTr="00101811">
        <w:trPr>
          <w:trHeight w:val="300"/>
        </w:trPr>
        <w:tc>
          <w:tcPr>
            <w:tcW w:w="1166" w:type="dxa"/>
            <w:vAlign w:val="center"/>
            <w:hideMark/>
          </w:tcPr>
          <w:p w14:paraId="075706E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33</w:t>
            </w:r>
          </w:p>
        </w:tc>
        <w:tc>
          <w:tcPr>
            <w:tcW w:w="1200" w:type="dxa"/>
            <w:vAlign w:val="center"/>
            <w:hideMark/>
          </w:tcPr>
          <w:p w14:paraId="30B13D0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w:t>
            </w:r>
          </w:p>
        </w:tc>
        <w:tc>
          <w:tcPr>
            <w:tcW w:w="2307" w:type="dxa"/>
            <w:vAlign w:val="center"/>
            <w:hideMark/>
          </w:tcPr>
          <w:p w14:paraId="1A7F700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Kiribati</w:t>
            </w:r>
          </w:p>
        </w:tc>
        <w:tc>
          <w:tcPr>
            <w:tcW w:w="1757" w:type="dxa"/>
            <w:vAlign w:val="center"/>
            <w:hideMark/>
          </w:tcPr>
          <w:p w14:paraId="25FA0D7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04E291C7"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02FF3E1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564AB211" w14:textId="77777777" w:rsidTr="00101811">
        <w:trPr>
          <w:trHeight w:val="300"/>
        </w:trPr>
        <w:tc>
          <w:tcPr>
            <w:tcW w:w="1166" w:type="dxa"/>
            <w:tcBorders>
              <w:bottom w:val="nil"/>
            </w:tcBorders>
            <w:vAlign w:val="center"/>
            <w:hideMark/>
          </w:tcPr>
          <w:p w14:paraId="5E32500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34</w:t>
            </w:r>
          </w:p>
        </w:tc>
        <w:tc>
          <w:tcPr>
            <w:tcW w:w="1200" w:type="dxa"/>
            <w:tcBorders>
              <w:bottom w:val="nil"/>
            </w:tcBorders>
            <w:vAlign w:val="center"/>
            <w:hideMark/>
          </w:tcPr>
          <w:p w14:paraId="4B35871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w:t>
            </w:r>
          </w:p>
        </w:tc>
        <w:tc>
          <w:tcPr>
            <w:tcW w:w="2307" w:type="dxa"/>
            <w:tcBorders>
              <w:bottom w:val="nil"/>
            </w:tcBorders>
            <w:vAlign w:val="center"/>
            <w:hideMark/>
          </w:tcPr>
          <w:p w14:paraId="5F8B858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 xml:space="preserve">Koweït </w:t>
            </w:r>
          </w:p>
        </w:tc>
        <w:tc>
          <w:tcPr>
            <w:tcW w:w="1757" w:type="dxa"/>
            <w:tcBorders>
              <w:bottom w:val="nil"/>
            </w:tcBorders>
            <w:vAlign w:val="center"/>
          </w:tcPr>
          <w:p w14:paraId="068F14B2" w14:textId="0B42F33F"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285</w:t>
            </w:r>
          </w:p>
        </w:tc>
        <w:tc>
          <w:tcPr>
            <w:tcW w:w="1917" w:type="dxa"/>
            <w:tcBorders>
              <w:bottom w:val="nil"/>
            </w:tcBorders>
            <w:vAlign w:val="center"/>
          </w:tcPr>
          <w:p w14:paraId="3A19930F" w14:textId="515E2F0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383</w:t>
            </w:r>
          </w:p>
        </w:tc>
        <w:tc>
          <w:tcPr>
            <w:tcW w:w="1477" w:type="dxa"/>
            <w:tcBorders>
              <w:bottom w:val="nil"/>
            </w:tcBorders>
            <w:vAlign w:val="center"/>
          </w:tcPr>
          <w:p w14:paraId="022B683E" w14:textId="7D62AEB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12 599 </w:t>
            </w:r>
          </w:p>
        </w:tc>
      </w:tr>
      <w:tr w:rsidR="00F32018" w:rsidRPr="00110AE6" w14:paraId="58D14A6A" w14:textId="77777777" w:rsidTr="00101811">
        <w:trPr>
          <w:trHeight w:val="510"/>
        </w:trPr>
        <w:tc>
          <w:tcPr>
            <w:tcW w:w="1166" w:type="dxa"/>
            <w:tcBorders>
              <w:top w:val="nil"/>
              <w:bottom w:val="nil"/>
            </w:tcBorders>
            <w:vAlign w:val="center"/>
            <w:hideMark/>
          </w:tcPr>
          <w:p w14:paraId="0A9E221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35</w:t>
            </w:r>
          </w:p>
        </w:tc>
        <w:tc>
          <w:tcPr>
            <w:tcW w:w="1200" w:type="dxa"/>
            <w:tcBorders>
              <w:top w:val="nil"/>
              <w:bottom w:val="nil"/>
            </w:tcBorders>
            <w:vAlign w:val="center"/>
            <w:hideMark/>
          </w:tcPr>
          <w:p w14:paraId="6F8E12F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10</w:t>
            </w:r>
          </w:p>
        </w:tc>
        <w:tc>
          <w:tcPr>
            <w:tcW w:w="2307" w:type="dxa"/>
            <w:tcBorders>
              <w:top w:val="nil"/>
              <w:bottom w:val="nil"/>
            </w:tcBorders>
            <w:vAlign w:val="center"/>
            <w:hideMark/>
          </w:tcPr>
          <w:p w14:paraId="387A3BF6" w14:textId="3DD2169A"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République démocratique populaire lao</w:t>
            </w:r>
          </w:p>
        </w:tc>
        <w:tc>
          <w:tcPr>
            <w:tcW w:w="1757" w:type="dxa"/>
            <w:tcBorders>
              <w:top w:val="nil"/>
              <w:bottom w:val="nil"/>
            </w:tcBorders>
            <w:vAlign w:val="center"/>
            <w:hideMark/>
          </w:tcPr>
          <w:p w14:paraId="445B290E"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0,003</w:t>
            </w:r>
          </w:p>
        </w:tc>
        <w:tc>
          <w:tcPr>
            <w:tcW w:w="1917" w:type="dxa"/>
            <w:tcBorders>
              <w:top w:val="nil"/>
              <w:bottom w:val="nil"/>
            </w:tcBorders>
            <w:vAlign w:val="center"/>
            <w:hideMark/>
          </w:tcPr>
          <w:p w14:paraId="7842CC0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tcBorders>
              <w:top w:val="nil"/>
              <w:bottom w:val="nil"/>
            </w:tcBorders>
            <w:vAlign w:val="center"/>
            <w:hideMark/>
          </w:tcPr>
          <w:p w14:paraId="35996555"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112001A" w14:textId="77777777" w:rsidTr="00101811">
        <w:trPr>
          <w:trHeight w:val="300"/>
        </w:trPr>
        <w:tc>
          <w:tcPr>
            <w:tcW w:w="1166" w:type="dxa"/>
            <w:tcBorders>
              <w:top w:val="nil"/>
            </w:tcBorders>
            <w:vAlign w:val="center"/>
            <w:hideMark/>
          </w:tcPr>
          <w:p w14:paraId="7020AAD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36</w:t>
            </w:r>
          </w:p>
        </w:tc>
        <w:tc>
          <w:tcPr>
            <w:tcW w:w="1200" w:type="dxa"/>
            <w:tcBorders>
              <w:top w:val="nil"/>
            </w:tcBorders>
            <w:vAlign w:val="center"/>
            <w:hideMark/>
          </w:tcPr>
          <w:p w14:paraId="3047986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11</w:t>
            </w:r>
          </w:p>
        </w:tc>
        <w:tc>
          <w:tcPr>
            <w:tcW w:w="2307" w:type="dxa"/>
            <w:tcBorders>
              <w:top w:val="nil"/>
            </w:tcBorders>
            <w:vAlign w:val="center"/>
            <w:hideMark/>
          </w:tcPr>
          <w:p w14:paraId="45AEA992"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Liban</w:t>
            </w:r>
          </w:p>
        </w:tc>
        <w:tc>
          <w:tcPr>
            <w:tcW w:w="1757" w:type="dxa"/>
            <w:tcBorders>
              <w:top w:val="nil"/>
            </w:tcBorders>
            <w:vAlign w:val="center"/>
            <w:hideMark/>
          </w:tcPr>
          <w:p w14:paraId="58AC0D1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0,046</w:t>
            </w:r>
          </w:p>
        </w:tc>
        <w:tc>
          <w:tcPr>
            <w:tcW w:w="1917" w:type="dxa"/>
            <w:tcBorders>
              <w:top w:val="nil"/>
            </w:tcBorders>
            <w:vAlign w:val="center"/>
          </w:tcPr>
          <w:p w14:paraId="5B7E4CDF" w14:textId="6844FF79"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062 </w:t>
            </w:r>
          </w:p>
        </w:tc>
        <w:tc>
          <w:tcPr>
            <w:tcW w:w="1477" w:type="dxa"/>
            <w:tcBorders>
              <w:top w:val="nil"/>
            </w:tcBorders>
            <w:vAlign w:val="center"/>
          </w:tcPr>
          <w:p w14:paraId="1757DEFB" w14:textId="43456925"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2 033 </w:t>
            </w:r>
          </w:p>
        </w:tc>
      </w:tr>
      <w:tr w:rsidR="00F32018" w:rsidRPr="00110AE6" w14:paraId="72BEAC94" w14:textId="77777777" w:rsidTr="00101811">
        <w:trPr>
          <w:trHeight w:val="300"/>
        </w:trPr>
        <w:tc>
          <w:tcPr>
            <w:tcW w:w="1166" w:type="dxa"/>
            <w:vAlign w:val="center"/>
            <w:hideMark/>
          </w:tcPr>
          <w:p w14:paraId="4A9AB2C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37</w:t>
            </w:r>
          </w:p>
        </w:tc>
        <w:tc>
          <w:tcPr>
            <w:tcW w:w="1200" w:type="dxa"/>
            <w:vAlign w:val="center"/>
            <w:hideMark/>
          </w:tcPr>
          <w:p w14:paraId="2BC91AC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12</w:t>
            </w:r>
          </w:p>
        </w:tc>
        <w:tc>
          <w:tcPr>
            <w:tcW w:w="2307" w:type="dxa"/>
            <w:vAlign w:val="center"/>
            <w:hideMark/>
          </w:tcPr>
          <w:p w14:paraId="5D158E7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Mongolie</w:t>
            </w:r>
          </w:p>
        </w:tc>
        <w:tc>
          <w:tcPr>
            <w:tcW w:w="1757" w:type="dxa"/>
            <w:vAlign w:val="center"/>
            <w:hideMark/>
          </w:tcPr>
          <w:p w14:paraId="1F06AE2B"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0,005</w:t>
            </w:r>
          </w:p>
        </w:tc>
        <w:tc>
          <w:tcPr>
            <w:tcW w:w="1917" w:type="dxa"/>
            <w:vAlign w:val="center"/>
            <w:hideMark/>
          </w:tcPr>
          <w:p w14:paraId="5E5459AC"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6501023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40547D80" w14:textId="77777777" w:rsidTr="00101811">
        <w:trPr>
          <w:trHeight w:val="300"/>
        </w:trPr>
        <w:tc>
          <w:tcPr>
            <w:tcW w:w="1166" w:type="dxa"/>
            <w:vAlign w:val="center"/>
            <w:hideMark/>
          </w:tcPr>
          <w:p w14:paraId="17EF973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38</w:t>
            </w:r>
          </w:p>
        </w:tc>
        <w:tc>
          <w:tcPr>
            <w:tcW w:w="1200" w:type="dxa"/>
            <w:vAlign w:val="center"/>
            <w:hideMark/>
          </w:tcPr>
          <w:p w14:paraId="5D89C12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13</w:t>
            </w:r>
          </w:p>
        </w:tc>
        <w:tc>
          <w:tcPr>
            <w:tcW w:w="2307" w:type="dxa"/>
            <w:vAlign w:val="center"/>
            <w:hideMark/>
          </w:tcPr>
          <w:p w14:paraId="08C48FC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Palaos</w:t>
            </w:r>
          </w:p>
        </w:tc>
        <w:tc>
          <w:tcPr>
            <w:tcW w:w="1757" w:type="dxa"/>
            <w:vAlign w:val="center"/>
            <w:hideMark/>
          </w:tcPr>
          <w:p w14:paraId="77CD64A4"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1D9AD81F"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5861F08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5A401D91" w14:textId="77777777" w:rsidTr="00101811">
        <w:trPr>
          <w:trHeight w:val="300"/>
        </w:trPr>
        <w:tc>
          <w:tcPr>
            <w:tcW w:w="1166" w:type="dxa"/>
            <w:vAlign w:val="center"/>
            <w:hideMark/>
          </w:tcPr>
          <w:p w14:paraId="045F5BE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39</w:t>
            </w:r>
          </w:p>
        </w:tc>
        <w:tc>
          <w:tcPr>
            <w:tcW w:w="1200" w:type="dxa"/>
            <w:vAlign w:val="center"/>
            <w:hideMark/>
          </w:tcPr>
          <w:p w14:paraId="5955CD4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14</w:t>
            </w:r>
          </w:p>
        </w:tc>
        <w:tc>
          <w:tcPr>
            <w:tcW w:w="2307" w:type="dxa"/>
            <w:vAlign w:val="center"/>
            <w:hideMark/>
          </w:tcPr>
          <w:p w14:paraId="4BB0787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Samoa</w:t>
            </w:r>
          </w:p>
        </w:tc>
        <w:tc>
          <w:tcPr>
            <w:tcW w:w="1757" w:type="dxa"/>
            <w:vAlign w:val="center"/>
            <w:hideMark/>
          </w:tcPr>
          <w:p w14:paraId="4C09D04F"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2F893C3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3ED7074E"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2A1C344E" w14:textId="77777777" w:rsidTr="00101811">
        <w:trPr>
          <w:trHeight w:val="300"/>
        </w:trPr>
        <w:tc>
          <w:tcPr>
            <w:tcW w:w="1166" w:type="dxa"/>
            <w:vAlign w:val="center"/>
            <w:hideMark/>
          </w:tcPr>
          <w:p w14:paraId="68BB228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40</w:t>
            </w:r>
          </w:p>
        </w:tc>
        <w:tc>
          <w:tcPr>
            <w:tcW w:w="1200" w:type="dxa"/>
            <w:vAlign w:val="center"/>
            <w:hideMark/>
          </w:tcPr>
          <w:p w14:paraId="6E28B9F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16</w:t>
            </w:r>
          </w:p>
        </w:tc>
        <w:tc>
          <w:tcPr>
            <w:tcW w:w="2307" w:type="dxa"/>
            <w:vAlign w:val="center"/>
            <w:hideMark/>
          </w:tcPr>
          <w:p w14:paraId="2B72E43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Singapour</w:t>
            </w:r>
          </w:p>
        </w:tc>
        <w:tc>
          <w:tcPr>
            <w:tcW w:w="1757" w:type="dxa"/>
            <w:vAlign w:val="center"/>
            <w:hideMark/>
          </w:tcPr>
          <w:p w14:paraId="71A8ECC3"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0,447</w:t>
            </w:r>
          </w:p>
        </w:tc>
        <w:tc>
          <w:tcPr>
            <w:tcW w:w="1917" w:type="dxa"/>
            <w:vAlign w:val="center"/>
          </w:tcPr>
          <w:p w14:paraId="788FE12F" w14:textId="7B7015AB"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601</w:t>
            </w:r>
          </w:p>
        </w:tc>
        <w:tc>
          <w:tcPr>
            <w:tcW w:w="1477" w:type="dxa"/>
            <w:vAlign w:val="center"/>
          </w:tcPr>
          <w:p w14:paraId="42BEBB17" w14:textId="78ED50FF"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19 760</w:t>
            </w:r>
          </w:p>
        </w:tc>
      </w:tr>
      <w:tr w:rsidR="00F32018" w:rsidRPr="00110AE6" w14:paraId="25E351A9" w14:textId="77777777" w:rsidTr="00101811">
        <w:trPr>
          <w:trHeight w:val="300"/>
        </w:trPr>
        <w:tc>
          <w:tcPr>
            <w:tcW w:w="1166" w:type="dxa"/>
            <w:vAlign w:val="center"/>
            <w:hideMark/>
          </w:tcPr>
          <w:p w14:paraId="170F4AB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41</w:t>
            </w:r>
          </w:p>
        </w:tc>
        <w:tc>
          <w:tcPr>
            <w:tcW w:w="1200" w:type="dxa"/>
            <w:vAlign w:val="center"/>
            <w:hideMark/>
          </w:tcPr>
          <w:p w14:paraId="40B2E331"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17</w:t>
            </w:r>
          </w:p>
        </w:tc>
        <w:tc>
          <w:tcPr>
            <w:tcW w:w="2307" w:type="dxa"/>
            <w:vAlign w:val="center"/>
            <w:hideMark/>
          </w:tcPr>
          <w:p w14:paraId="29C2A0E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Sri Lanka</w:t>
            </w:r>
          </w:p>
        </w:tc>
        <w:tc>
          <w:tcPr>
            <w:tcW w:w="1757" w:type="dxa"/>
            <w:vAlign w:val="center"/>
          </w:tcPr>
          <w:p w14:paraId="2AA45A92" w14:textId="4F446BA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031</w:t>
            </w:r>
          </w:p>
        </w:tc>
        <w:tc>
          <w:tcPr>
            <w:tcW w:w="1917" w:type="dxa"/>
            <w:vAlign w:val="center"/>
          </w:tcPr>
          <w:p w14:paraId="7E336EE6" w14:textId="3B247C24"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042 </w:t>
            </w:r>
          </w:p>
        </w:tc>
        <w:tc>
          <w:tcPr>
            <w:tcW w:w="1477" w:type="dxa"/>
            <w:vAlign w:val="center"/>
          </w:tcPr>
          <w:p w14:paraId="163261EC" w14:textId="12279535"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1 370 </w:t>
            </w:r>
          </w:p>
        </w:tc>
      </w:tr>
      <w:tr w:rsidR="00F32018" w:rsidRPr="00110AE6" w14:paraId="5889544C" w14:textId="77777777" w:rsidTr="00101811">
        <w:trPr>
          <w:trHeight w:val="300"/>
        </w:trPr>
        <w:tc>
          <w:tcPr>
            <w:tcW w:w="1166" w:type="dxa"/>
            <w:vAlign w:val="center"/>
            <w:hideMark/>
          </w:tcPr>
          <w:p w14:paraId="1CC0795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42</w:t>
            </w:r>
          </w:p>
        </w:tc>
        <w:tc>
          <w:tcPr>
            <w:tcW w:w="1200" w:type="dxa"/>
            <w:vAlign w:val="center"/>
            <w:hideMark/>
          </w:tcPr>
          <w:p w14:paraId="1EFBDA3F"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18</w:t>
            </w:r>
          </w:p>
        </w:tc>
        <w:tc>
          <w:tcPr>
            <w:tcW w:w="2307" w:type="dxa"/>
            <w:vAlign w:val="center"/>
            <w:hideMark/>
          </w:tcPr>
          <w:p w14:paraId="3EF05BF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 xml:space="preserve">République arabe syrienne </w:t>
            </w:r>
          </w:p>
        </w:tc>
        <w:tc>
          <w:tcPr>
            <w:tcW w:w="1757" w:type="dxa"/>
            <w:vAlign w:val="center"/>
          </w:tcPr>
          <w:p w14:paraId="260595C2" w14:textId="13176D11"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024</w:t>
            </w:r>
          </w:p>
        </w:tc>
        <w:tc>
          <w:tcPr>
            <w:tcW w:w="1917" w:type="dxa"/>
            <w:vAlign w:val="center"/>
          </w:tcPr>
          <w:p w14:paraId="3F4F0AB2" w14:textId="6D59383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032 </w:t>
            </w:r>
          </w:p>
        </w:tc>
        <w:tc>
          <w:tcPr>
            <w:tcW w:w="1477" w:type="dxa"/>
            <w:vAlign w:val="center"/>
          </w:tcPr>
          <w:p w14:paraId="565A129F" w14:textId="5A679D40"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1 061 </w:t>
            </w:r>
          </w:p>
        </w:tc>
      </w:tr>
      <w:tr w:rsidR="00F32018" w:rsidRPr="00110AE6" w14:paraId="38CDF897" w14:textId="77777777" w:rsidTr="00101811">
        <w:trPr>
          <w:trHeight w:val="300"/>
        </w:trPr>
        <w:tc>
          <w:tcPr>
            <w:tcW w:w="1166" w:type="dxa"/>
            <w:vAlign w:val="center"/>
            <w:hideMark/>
          </w:tcPr>
          <w:p w14:paraId="2773CF16"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43</w:t>
            </w:r>
          </w:p>
        </w:tc>
        <w:tc>
          <w:tcPr>
            <w:tcW w:w="1200" w:type="dxa"/>
            <w:vAlign w:val="center"/>
            <w:hideMark/>
          </w:tcPr>
          <w:p w14:paraId="20DC52E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19</w:t>
            </w:r>
          </w:p>
        </w:tc>
        <w:tc>
          <w:tcPr>
            <w:tcW w:w="2307" w:type="dxa"/>
            <w:vAlign w:val="center"/>
            <w:hideMark/>
          </w:tcPr>
          <w:p w14:paraId="3F659F4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Thaïlande</w:t>
            </w:r>
          </w:p>
        </w:tc>
        <w:tc>
          <w:tcPr>
            <w:tcW w:w="1757" w:type="dxa"/>
            <w:vAlign w:val="center"/>
          </w:tcPr>
          <w:p w14:paraId="389BDFC0" w14:textId="4E0FBA0A"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291</w:t>
            </w:r>
          </w:p>
        </w:tc>
        <w:tc>
          <w:tcPr>
            <w:tcW w:w="1917" w:type="dxa"/>
            <w:vAlign w:val="center"/>
          </w:tcPr>
          <w:p w14:paraId="4EE39FBE" w14:textId="2DD3905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391</w:t>
            </w:r>
          </w:p>
        </w:tc>
        <w:tc>
          <w:tcPr>
            <w:tcW w:w="1477" w:type="dxa"/>
            <w:vAlign w:val="center"/>
          </w:tcPr>
          <w:p w14:paraId="0D741172" w14:textId="7B0A334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12 864</w:t>
            </w:r>
          </w:p>
        </w:tc>
      </w:tr>
      <w:tr w:rsidR="00F32018" w:rsidRPr="00110AE6" w14:paraId="15EB0658" w14:textId="77777777" w:rsidTr="00101811">
        <w:trPr>
          <w:trHeight w:val="300"/>
        </w:trPr>
        <w:tc>
          <w:tcPr>
            <w:tcW w:w="1166" w:type="dxa"/>
            <w:vAlign w:val="center"/>
            <w:hideMark/>
          </w:tcPr>
          <w:p w14:paraId="50C678D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44</w:t>
            </w:r>
          </w:p>
        </w:tc>
        <w:tc>
          <w:tcPr>
            <w:tcW w:w="1200" w:type="dxa"/>
            <w:vAlign w:val="center"/>
            <w:hideMark/>
          </w:tcPr>
          <w:p w14:paraId="6916D4F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20</w:t>
            </w:r>
          </w:p>
        </w:tc>
        <w:tc>
          <w:tcPr>
            <w:tcW w:w="2307" w:type="dxa"/>
            <w:vAlign w:val="center"/>
            <w:hideMark/>
          </w:tcPr>
          <w:p w14:paraId="2BF4705B"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Émirats arabes unis</w:t>
            </w:r>
          </w:p>
        </w:tc>
        <w:tc>
          <w:tcPr>
            <w:tcW w:w="1757" w:type="dxa"/>
            <w:vAlign w:val="center"/>
          </w:tcPr>
          <w:p w14:paraId="5B87131F" w14:textId="3D786FA8"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604</w:t>
            </w:r>
          </w:p>
        </w:tc>
        <w:tc>
          <w:tcPr>
            <w:tcW w:w="1917" w:type="dxa"/>
            <w:vAlign w:val="center"/>
          </w:tcPr>
          <w:p w14:paraId="67F571B6" w14:textId="569095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812</w:t>
            </w:r>
          </w:p>
        </w:tc>
        <w:tc>
          <w:tcPr>
            <w:tcW w:w="1477" w:type="dxa"/>
            <w:vAlign w:val="center"/>
          </w:tcPr>
          <w:p w14:paraId="4E185112" w14:textId="18282C56"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26 701 </w:t>
            </w:r>
          </w:p>
        </w:tc>
      </w:tr>
      <w:tr w:rsidR="00F32018" w:rsidRPr="00110AE6" w14:paraId="2CD72BBE" w14:textId="77777777" w:rsidTr="00101811">
        <w:trPr>
          <w:trHeight w:val="300"/>
        </w:trPr>
        <w:tc>
          <w:tcPr>
            <w:tcW w:w="1166" w:type="dxa"/>
            <w:tcBorders>
              <w:bottom w:val="single" w:sz="4" w:space="0" w:color="auto"/>
            </w:tcBorders>
            <w:vAlign w:val="center"/>
            <w:hideMark/>
          </w:tcPr>
          <w:p w14:paraId="745F198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45</w:t>
            </w:r>
          </w:p>
        </w:tc>
        <w:tc>
          <w:tcPr>
            <w:tcW w:w="1200" w:type="dxa"/>
            <w:tcBorders>
              <w:bottom w:val="single" w:sz="4" w:space="0" w:color="auto"/>
            </w:tcBorders>
            <w:vAlign w:val="center"/>
            <w:hideMark/>
          </w:tcPr>
          <w:p w14:paraId="7F63861D"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21</w:t>
            </w:r>
          </w:p>
        </w:tc>
        <w:tc>
          <w:tcPr>
            <w:tcW w:w="2307" w:type="dxa"/>
            <w:tcBorders>
              <w:bottom w:val="single" w:sz="4" w:space="0" w:color="auto"/>
            </w:tcBorders>
            <w:vAlign w:val="center"/>
            <w:hideMark/>
          </w:tcPr>
          <w:p w14:paraId="281D15B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Viet Nam</w:t>
            </w:r>
          </w:p>
        </w:tc>
        <w:tc>
          <w:tcPr>
            <w:tcW w:w="1757" w:type="dxa"/>
            <w:tcBorders>
              <w:bottom w:val="single" w:sz="4" w:space="0" w:color="auto"/>
            </w:tcBorders>
            <w:vAlign w:val="center"/>
          </w:tcPr>
          <w:p w14:paraId="7ED7388A" w14:textId="189E91A1"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058</w:t>
            </w:r>
          </w:p>
        </w:tc>
        <w:tc>
          <w:tcPr>
            <w:tcW w:w="1917" w:type="dxa"/>
            <w:tcBorders>
              <w:bottom w:val="single" w:sz="4" w:space="0" w:color="auto"/>
            </w:tcBorders>
            <w:vAlign w:val="center"/>
          </w:tcPr>
          <w:p w14:paraId="21A0FA46" w14:textId="69F105D2"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078 </w:t>
            </w:r>
          </w:p>
        </w:tc>
        <w:tc>
          <w:tcPr>
            <w:tcW w:w="1477" w:type="dxa"/>
            <w:tcBorders>
              <w:bottom w:val="single" w:sz="4" w:space="0" w:color="auto"/>
            </w:tcBorders>
            <w:vAlign w:val="center"/>
          </w:tcPr>
          <w:p w14:paraId="37AE17E3" w14:textId="664C745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2 564</w:t>
            </w:r>
          </w:p>
        </w:tc>
      </w:tr>
      <w:tr w:rsidR="00F32018" w:rsidRPr="00110AE6" w14:paraId="45203397" w14:textId="77777777" w:rsidTr="00101811">
        <w:trPr>
          <w:trHeight w:val="340"/>
        </w:trPr>
        <w:tc>
          <w:tcPr>
            <w:tcW w:w="1166" w:type="dxa"/>
            <w:tcBorders>
              <w:top w:val="single" w:sz="4" w:space="0" w:color="auto"/>
              <w:bottom w:val="single" w:sz="4" w:space="0" w:color="auto"/>
            </w:tcBorders>
            <w:vAlign w:val="center"/>
            <w:hideMark/>
          </w:tcPr>
          <w:p w14:paraId="55B5EE6A" w14:textId="77777777" w:rsidR="00F32018" w:rsidRPr="00110AE6" w:rsidRDefault="00F32018" w:rsidP="00F32018">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Total</w:t>
            </w:r>
          </w:p>
        </w:tc>
        <w:tc>
          <w:tcPr>
            <w:tcW w:w="1200" w:type="dxa"/>
            <w:tcBorders>
              <w:top w:val="single" w:sz="4" w:space="0" w:color="auto"/>
              <w:bottom w:val="single" w:sz="4" w:space="0" w:color="auto"/>
            </w:tcBorders>
            <w:vAlign w:val="center"/>
            <w:hideMark/>
          </w:tcPr>
          <w:p w14:paraId="3F8842E8" w14:textId="77777777" w:rsidR="00F32018" w:rsidRPr="00110AE6" w:rsidRDefault="00F32018" w:rsidP="00F32018">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Groupe</w:t>
            </w:r>
          </w:p>
        </w:tc>
        <w:tc>
          <w:tcPr>
            <w:tcW w:w="7458" w:type="dxa"/>
            <w:gridSpan w:val="4"/>
            <w:tcBorders>
              <w:top w:val="single" w:sz="4" w:space="0" w:color="auto"/>
              <w:bottom w:val="single" w:sz="4" w:space="0" w:color="auto"/>
            </w:tcBorders>
            <w:vAlign w:val="center"/>
            <w:hideMark/>
          </w:tcPr>
          <w:p w14:paraId="697B956C" w14:textId="3E49DCC4" w:rsidR="00F32018" w:rsidRPr="00110AE6" w:rsidRDefault="00F32018" w:rsidP="00F32018">
            <w:pPr>
              <w:tabs>
                <w:tab w:val="clear" w:pos="1247"/>
                <w:tab w:val="clear" w:pos="1814"/>
                <w:tab w:val="clear" w:pos="2381"/>
                <w:tab w:val="clear" w:pos="2948"/>
                <w:tab w:val="clear" w:pos="3515"/>
              </w:tabs>
              <w:ind w:right="234"/>
              <w:rPr>
                <w:b/>
                <w:bCs/>
                <w:noProof/>
                <w:sz w:val="18"/>
                <w:szCs w:val="18"/>
                <w:lang w:val="fr-FR"/>
              </w:rPr>
            </w:pPr>
            <w:r w:rsidRPr="00110AE6">
              <w:rPr>
                <w:b/>
                <w:bCs/>
                <w:noProof/>
                <w:sz w:val="18"/>
                <w:szCs w:val="18"/>
                <w:lang w:val="fr-FR"/>
              </w:rPr>
              <w:t>Europe centrale et orientale</w:t>
            </w:r>
          </w:p>
        </w:tc>
      </w:tr>
      <w:tr w:rsidR="00F32018" w:rsidRPr="00110AE6" w14:paraId="43D64733" w14:textId="77777777" w:rsidTr="00101811">
        <w:trPr>
          <w:trHeight w:val="300"/>
        </w:trPr>
        <w:tc>
          <w:tcPr>
            <w:tcW w:w="1166" w:type="dxa"/>
            <w:tcBorders>
              <w:top w:val="single" w:sz="4" w:space="0" w:color="auto"/>
            </w:tcBorders>
            <w:vAlign w:val="center"/>
            <w:hideMark/>
          </w:tcPr>
          <w:p w14:paraId="7F67FC25"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46</w:t>
            </w:r>
          </w:p>
        </w:tc>
        <w:tc>
          <w:tcPr>
            <w:tcW w:w="1200" w:type="dxa"/>
            <w:tcBorders>
              <w:top w:val="single" w:sz="4" w:space="0" w:color="auto"/>
            </w:tcBorders>
            <w:vAlign w:val="center"/>
            <w:hideMark/>
          </w:tcPr>
          <w:p w14:paraId="534124E8"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w:t>
            </w:r>
          </w:p>
        </w:tc>
        <w:tc>
          <w:tcPr>
            <w:tcW w:w="2307" w:type="dxa"/>
            <w:tcBorders>
              <w:top w:val="single" w:sz="4" w:space="0" w:color="auto"/>
            </w:tcBorders>
            <w:vAlign w:val="center"/>
            <w:hideMark/>
          </w:tcPr>
          <w:p w14:paraId="0531AFBA"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Arménie</w:t>
            </w:r>
          </w:p>
        </w:tc>
        <w:tc>
          <w:tcPr>
            <w:tcW w:w="1757" w:type="dxa"/>
            <w:tcBorders>
              <w:top w:val="single" w:sz="4" w:space="0" w:color="auto"/>
            </w:tcBorders>
            <w:vAlign w:val="center"/>
            <w:hideMark/>
          </w:tcPr>
          <w:p w14:paraId="5E2F2512"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0,006</w:t>
            </w:r>
          </w:p>
        </w:tc>
        <w:tc>
          <w:tcPr>
            <w:tcW w:w="1917" w:type="dxa"/>
            <w:tcBorders>
              <w:top w:val="single" w:sz="4" w:space="0" w:color="auto"/>
            </w:tcBorders>
            <w:vAlign w:val="center"/>
            <w:hideMark/>
          </w:tcPr>
          <w:p w14:paraId="51AE0DB6"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tcBorders>
              <w:top w:val="single" w:sz="4" w:space="0" w:color="auto"/>
            </w:tcBorders>
            <w:vAlign w:val="center"/>
            <w:hideMark/>
          </w:tcPr>
          <w:p w14:paraId="1D50E7B8" w14:textId="77777777"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F32018" w:rsidRPr="00110AE6" w14:paraId="6C9BC4AD" w14:textId="77777777" w:rsidTr="00101811">
        <w:trPr>
          <w:trHeight w:val="300"/>
        </w:trPr>
        <w:tc>
          <w:tcPr>
            <w:tcW w:w="1166" w:type="dxa"/>
            <w:vAlign w:val="center"/>
            <w:hideMark/>
          </w:tcPr>
          <w:p w14:paraId="0E7642B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47</w:t>
            </w:r>
          </w:p>
        </w:tc>
        <w:tc>
          <w:tcPr>
            <w:tcW w:w="1200" w:type="dxa"/>
            <w:vAlign w:val="center"/>
            <w:hideMark/>
          </w:tcPr>
          <w:p w14:paraId="69E99854"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w:t>
            </w:r>
          </w:p>
        </w:tc>
        <w:tc>
          <w:tcPr>
            <w:tcW w:w="2307" w:type="dxa"/>
            <w:vAlign w:val="center"/>
            <w:hideMark/>
          </w:tcPr>
          <w:p w14:paraId="4185BD69"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Bulgarie</w:t>
            </w:r>
          </w:p>
        </w:tc>
        <w:tc>
          <w:tcPr>
            <w:tcW w:w="1757" w:type="dxa"/>
            <w:vAlign w:val="center"/>
          </w:tcPr>
          <w:p w14:paraId="42C03864" w14:textId="0670D2E0"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045</w:t>
            </w:r>
          </w:p>
        </w:tc>
        <w:tc>
          <w:tcPr>
            <w:tcW w:w="1917" w:type="dxa"/>
            <w:vAlign w:val="center"/>
          </w:tcPr>
          <w:p w14:paraId="63402699" w14:textId="4B903773"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060</w:t>
            </w:r>
          </w:p>
        </w:tc>
        <w:tc>
          <w:tcPr>
            <w:tcW w:w="1477" w:type="dxa"/>
            <w:vAlign w:val="center"/>
          </w:tcPr>
          <w:p w14:paraId="2F15A65B" w14:textId="2E5253B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1 989 </w:t>
            </w:r>
          </w:p>
        </w:tc>
      </w:tr>
      <w:tr w:rsidR="00F32018" w:rsidRPr="00110AE6" w14:paraId="11A5FE91" w14:textId="77777777" w:rsidTr="00101811">
        <w:trPr>
          <w:trHeight w:val="300"/>
        </w:trPr>
        <w:tc>
          <w:tcPr>
            <w:tcW w:w="1166" w:type="dxa"/>
            <w:vAlign w:val="center"/>
            <w:hideMark/>
          </w:tcPr>
          <w:p w14:paraId="2ED515F6"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48</w:t>
            </w:r>
          </w:p>
        </w:tc>
        <w:tc>
          <w:tcPr>
            <w:tcW w:w="1200" w:type="dxa"/>
            <w:vAlign w:val="center"/>
            <w:hideMark/>
          </w:tcPr>
          <w:p w14:paraId="3FB8549C"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w:t>
            </w:r>
          </w:p>
        </w:tc>
        <w:tc>
          <w:tcPr>
            <w:tcW w:w="2307" w:type="dxa"/>
            <w:vAlign w:val="center"/>
            <w:hideMark/>
          </w:tcPr>
          <w:p w14:paraId="1D92C123" w14:textId="77777777"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Croatie</w:t>
            </w:r>
          </w:p>
        </w:tc>
        <w:tc>
          <w:tcPr>
            <w:tcW w:w="1757" w:type="dxa"/>
            <w:vAlign w:val="center"/>
          </w:tcPr>
          <w:p w14:paraId="220814BD" w14:textId="62765E90"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099</w:t>
            </w:r>
          </w:p>
        </w:tc>
        <w:tc>
          <w:tcPr>
            <w:tcW w:w="1917" w:type="dxa"/>
            <w:vAlign w:val="center"/>
          </w:tcPr>
          <w:p w14:paraId="2B1052E7" w14:textId="5AC9334E"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133</w:t>
            </w:r>
          </w:p>
        </w:tc>
        <w:tc>
          <w:tcPr>
            <w:tcW w:w="1477" w:type="dxa"/>
            <w:vAlign w:val="center"/>
          </w:tcPr>
          <w:p w14:paraId="2C494342" w14:textId="76FB8275"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4 376 </w:t>
            </w:r>
          </w:p>
        </w:tc>
      </w:tr>
      <w:tr w:rsidR="00F32018" w:rsidRPr="00110AE6" w14:paraId="47E8834D" w14:textId="77777777" w:rsidTr="00101811">
        <w:trPr>
          <w:trHeight w:val="300"/>
        </w:trPr>
        <w:tc>
          <w:tcPr>
            <w:tcW w:w="1166" w:type="dxa"/>
            <w:vAlign w:val="center"/>
          </w:tcPr>
          <w:p w14:paraId="38041E05" w14:textId="3D8A99F6"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49</w:t>
            </w:r>
          </w:p>
        </w:tc>
        <w:tc>
          <w:tcPr>
            <w:tcW w:w="1200" w:type="dxa"/>
            <w:vAlign w:val="center"/>
          </w:tcPr>
          <w:p w14:paraId="11008641" w14:textId="578AB384" w:rsidR="00F32018" w:rsidRPr="00110AE6" w:rsidRDefault="005E33B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w:t>
            </w:r>
          </w:p>
        </w:tc>
        <w:tc>
          <w:tcPr>
            <w:tcW w:w="2307" w:type="dxa"/>
            <w:vAlign w:val="center"/>
          </w:tcPr>
          <w:p w14:paraId="5C2B1652" w14:textId="4EB9EB66" w:rsidR="00F32018" w:rsidRPr="00110AE6" w:rsidRDefault="00F32018" w:rsidP="00F32018">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Tchéquie</w:t>
            </w:r>
          </w:p>
        </w:tc>
        <w:tc>
          <w:tcPr>
            <w:tcW w:w="1757" w:type="dxa"/>
            <w:vAlign w:val="center"/>
          </w:tcPr>
          <w:p w14:paraId="7C043628" w14:textId="67F385B1"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344</w:t>
            </w:r>
          </w:p>
        </w:tc>
        <w:tc>
          <w:tcPr>
            <w:tcW w:w="1917" w:type="dxa"/>
            <w:vAlign w:val="center"/>
          </w:tcPr>
          <w:p w14:paraId="489E8BBA" w14:textId="3B0F7A6D"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462</w:t>
            </w:r>
          </w:p>
        </w:tc>
        <w:tc>
          <w:tcPr>
            <w:tcW w:w="1477" w:type="dxa"/>
            <w:vAlign w:val="center"/>
          </w:tcPr>
          <w:p w14:paraId="05632754" w14:textId="62DA3EC9" w:rsidR="00F32018" w:rsidRPr="00110AE6" w:rsidRDefault="00F32018" w:rsidP="00F32018">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15 207</w:t>
            </w:r>
          </w:p>
        </w:tc>
      </w:tr>
      <w:tr w:rsidR="00195C47" w:rsidRPr="00110AE6" w14:paraId="5C991397" w14:textId="77777777" w:rsidTr="00101811">
        <w:trPr>
          <w:trHeight w:val="300"/>
        </w:trPr>
        <w:tc>
          <w:tcPr>
            <w:tcW w:w="1166" w:type="dxa"/>
            <w:vAlign w:val="center"/>
            <w:hideMark/>
          </w:tcPr>
          <w:p w14:paraId="2823AE02" w14:textId="1EA68860"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50</w:t>
            </w:r>
          </w:p>
        </w:tc>
        <w:tc>
          <w:tcPr>
            <w:tcW w:w="1200" w:type="dxa"/>
            <w:vAlign w:val="center"/>
            <w:hideMark/>
          </w:tcPr>
          <w:p w14:paraId="7BD75871" w14:textId="61BCEAC6"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w:t>
            </w:r>
          </w:p>
        </w:tc>
        <w:tc>
          <w:tcPr>
            <w:tcW w:w="2307" w:type="dxa"/>
            <w:vAlign w:val="center"/>
            <w:hideMark/>
          </w:tcPr>
          <w:p w14:paraId="0F68DF77"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Estonie</w:t>
            </w:r>
          </w:p>
        </w:tc>
        <w:tc>
          <w:tcPr>
            <w:tcW w:w="1757" w:type="dxa"/>
            <w:vAlign w:val="center"/>
          </w:tcPr>
          <w:p w14:paraId="455187CF" w14:textId="744C3501"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038</w:t>
            </w:r>
          </w:p>
        </w:tc>
        <w:tc>
          <w:tcPr>
            <w:tcW w:w="1917" w:type="dxa"/>
            <w:vAlign w:val="center"/>
          </w:tcPr>
          <w:p w14:paraId="63D3F726" w14:textId="4FA967BF"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051 </w:t>
            </w:r>
          </w:p>
        </w:tc>
        <w:tc>
          <w:tcPr>
            <w:tcW w:w="1477" w:type="dxa"/>
            <w:vAlign w:val="center"/>
          </w:tcPr>
          <w:p w14:paraId="55BD5CAC" w14:textId="0E5E301D"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1 680</w:t>
            </w:r>
          </w:p>
        </w:tc>
      </w:tr>
      <w:tr w:rsidR="00195C47" w:rsidRPr="00110AE6" w14:paraId="237079CB" w14:textId="77777777" w:rsidTr="00101811">
        <w:trPr>
          <w:trHeight w:val="300"/>
        </w:trPr>
        <w:tc>
          <w:tcPr>
            <w:tcW w:w="1166" w:type="dxa"/>
            <w:vAlign w:val="center"/>
            <w:hideMark/>
          </w:tcPr>
          <w:p w14:paraId="77917147" w14:textId="7D16C3C2"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51</w:t>
            </w:r>
          </w:p>
        </w:tc>
        <w:tc>
          <w:tcPr>
            <w:tcW w:w="1200" w:type="dxa"/>
            <w:vAlign w:val="center"/>
            <w:hideMark/>
          </w:tcPr>
          <w:p w14:paraId="21B3A070" w14:textId="59F2485E"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w:t>
            </w:r>
          </w:p>
        </w:tc>
        <w:tc>
          <w:tcPr>
            <w:tcW w:w="2307" w:type="dxa"/>
            <w:vAlign w:val="center"/>
            <w:hideMark/>
          </w:tcPr>
          <w:p w14:paraId="031EB50B"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Hongrie</w:t>
            </w:r>
          </w:p>
        </w:tc>
        <w:tc>
          <w:tcPr>
            <w:tcW w:w="1757" w:type="dxa"/>
            <w:vAlign w:val="center"/>
          </w:tcPr>
          <w:p w14:paraId="4C141DFE" w14:textId="7F08887D"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161</w:t>
            </w:r>
          </w:p>
        </w:tc>
        <w:tc>
          <w:tcPr>
            <w:tcW w:w="1917" w:type="dxa"/>
            <w:vAlign w:val="center"/>
          </w:tcPr>
          <w:p w14:paraId="3ACF7F8E" w14:textId="5952BF03"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216 </w:t>
            </w:r>
          </w:p>
        </w:tc>
        <w:tc>
          <w:tcPr>
            <w:tcW w:w="1477" w:type="dxa"/>
            <w:vAlign w:val="center"/>
          </w:tcPr>
          <w:p w14:paraId="455D32BE" w14:textId="663D4976"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7 117 </w:t>
            </w:r>
          </w:p>
        </w:tc>
      </w:tr>
      <w:tr w:rsidR="00195C47" w:rsidRPr="00110AE6" w14:paraId="46AFECB0" w14:textId="77777777" w:rsidTr="00101811">
        <w:trPr>
          <w:trHeight w:val="300"/>
        </w:trPr>
        <w:tc>
          <w:tcPr>
            <w:tcW w:w="1166" w:type="dxa"/>
            <w:vAlign w:val="center"/>
            <w:hideMark/>
          </w:tcPr>
          <w:p w14:paraId="2CFD2143" w14:textId="46169B9D"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52</w:t>
            </w:r>
          </w:p>
        </w:tc>
        <w:tc>
          <w:tcPr>
            <w:tcW w:w="1200" w:type="dxa"/>
            <w:vAlign w:val="center"/>
            <w:hideMark/>
          </w:tcPr>
          <w:p w14:paraId="05F1C9E1" w14:textId="057251CE"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w:t>
            </w:r>
          </w:p>
        </w:tc>
        <w:tc>
          <w:tcPr>
            <w:tcW w:w="2307" w:type="dxa"/>
            <w:vAlign w:val="center"/>
            <w:hideMark/>
          </w:tcPr>
          <w:p w14:paraId="27DA7B9B"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Lettonie</w:t>
            </w:r>
          </w:p>
        </w:tc>
        <w:tc>
          <w:tcPr>
            <w:tcW w:w="1757" w:type="dxa"/>
            <w:vAlign w:val="center"/>
          </w:tcPr>
          <w:p w14:paraId="03C4AC00" w14:textId="2F8A98B5"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050</w:t>
            </w:r>
          </w:p>
        </w:tc>
        <w:tc>
          <w:tcPr>
            <w:tcW w:w="1917" w:type="dxa"/>
            <w:vAlign w:val="center"/>
          </w:tcPr>
          <w:p w14:paraId="2B072271" w14:textId="2BB12D88"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067 </w:t>
            </w:r>
          </w:p>
        </w:tc>
        <w:tc>
          <w:tcPr>
            <w:tcW w:w="1477" w:type="dxa"/>
            <w:vAlign w:val="center"/>
          </w:tcPr>
          <w:p w14:paraId="4BC1037F" w14:textId="0DBCDBEB"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2 210</w:t>
            </w:r>
          </w:p>
        </w:tc>
      </w:tr>
      <w:tr w:rsidR="00195C47" w:rsidRPr="00110AE6" w14:paraId="689F50B1" w14:textId="77777777" w:rsidTr="00101811">
        <w:trPr>
          <w:trHeight w:val="300"/>
        </w:trPr>
        <w:tc>
          <w:tcPr>
            <w:tcW w:w="1166" w:type="dxa"/>
            <w:vAlign w:val="center"/>
            <w:hideMark/>
          </w:tcPr>
          <w:p w14:paraId="6617F5B3" w14:textId="0EFA80C5"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53</w:t>
            </w:r>
          </w:p>
        </w:tc>
        <w:tc>
          <w:tcPr>
            <w:tcW w:w="1200" w:type="dxa"/>
            <w:vAlign w:val="center"/>
            <w:hideMark/>
          </w:tcPr>
          <w:p w14:paraId="4039C518" w14:textId="5232AC5A"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w:t>
            </w:r>
          </w:p>
        </w:tc>
        <w:tc>
          <w:tcPr>
            <w:tcW w:w="2307" w:type="dxa"/>
            <w:vAlign w:val="center"/>
            <w:hideMark/>
          </w:tcPr>
          <w:p w14:paraId="034B073C"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Lituanie</w:t>
            </w:r>
          </w:p>
        </w:tc>
        <w:tc>
          <w:tcPr>
            <w:tcW w:w="1757" w:type="dxa"/>
            <w:vAlign w:val="center"/>
          </w:tcPr>
          <w:p w14:paraId="70613048" w14:textId="765D7DBD"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072</w:t>
            </w:r>
          </w:p>
        </w:tc>
        <w:tc>
          <w:tcPr>
            <w:tcW w:w="1917" w:type="dxa"/>
            <w:vAlign w:val="center"/>
          </w:tcPr>
          <w:p w14:paraId="5B862FCB" w14:textId="601EFE5E"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097 </w:t>
            </w:r>
          </w:p>
        </w:tc>
        <w:tc>
          <w:tcPr>
            <w:tcW w:w="1477" w:type="dxa"/>
            <w:vAlign w:val="center"/>
          </w:tcPr>
          <w:p w14:paraId="45E47668" w14:textId="4DEF7B0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3 183</w:t>
            </w:r>
          </w:p>
        </w:tc>
      </w:tr>
      <w:tr w:rsidR="00195C47" w:rsidRPr="00110AE6" w14:paraId="63F84E72" w14:textId="77777777" w:rsidTr="00101811">
        <w:trPr>
          <w:trHeight w:val="300"/>
        </w:trPr>
        <w:tc>
          <w:tcPr>
            <w:tcW w:w="1166" w:type="dxa"/>
            <w:vAlign w:val="center"/>
            <w:hideMark/>
          </w:tcPr>
          <w:p w14:paraId="42E77922" w14:textId="7EDF5B26"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54</w:t>
            </w:r>
          </w:p>
        </w:tc>
        <w:tc>
          <w:tcPr>
            <w:tcW w:w="1200" w:type="dxa"/>
            <w:vAlign w:val="center"/>
            <w:hideMark/>
          </w:tcPr>
          <w:p w14:paraId="451ED73B" w14:textId="0A1C388B"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w:t>
            </w:r>
          </w:p>
        </w:tc>
        <w:tc>
          <w:tcPr>
            <w:tcW w:w="2307" w:type="dxa"/>
            <w:vAlign w:val="center"/>
            <w:hideMark/>
          </w:tcPr>
          <w:p w14:paraId="4B33D005"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 xml:space="preserve">République de Moldova </w:t>
            </w:r>
          </w:p>
        </w:tc>
        <w:tc>
          <w:tcPr>
            <w:tcW w:w="1757" w:type="dxa"/>
            <w:vAlign w:val="center"/>
            <w:hideMark/>
          </w:tcPr>
          <w:p w14:paraId="1DC024A3" w14:textId="7777777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0,004</w:t>
            </w:r>
          </w:p>
        </w:tc>
        <w:tc>
          <w:tcPr>
            <w:tcW w:w="1917" w:type="dxa"/>
            <w:vAlign w:val="center"/>
            <w:hideMark/>
          </w:tcPr>
          <w:p w14:paraId="6F4A4C5E" w14:textId="7777777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1060931C" w14:textId="7777777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195C47" w:rsidRPr="00110AE6" w14:paraId="1F6DE72E" w14:textId="77777777" w:rsidTr="00101811">
        <w:trPr>
          <w:trHeight w:val="300"/>
        </w:trPr>
        <w:tc>
          <w:tcPr>
            <w:tcW w:w="1166" w:type="dxa"/>
            <w:vAlign w:val="center"/>
            <w:hideMark/>
          </w:tcPr>
          <w:p w14:paraId="47E64ADF" w14:textId="42B9DCF3"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55</w:t>
            </w:r>
          </w:p>
        </w:tc>
        <w:tc>
          <w:tcPr>
            <w:tcW w:w="1200" w:type="dxa"/>
            <w:vAlign w:val="center"/>
            <w:hideMark/>
          </w:tcPr>
          <w:p w14:paraId="68D33695" w14:textId="5A7DFE8F"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10</w:t>
            </w:r>
          </w:p>
        </w:tc>
        <w:tc>
          <w:tcPr>
            <w:tcW w:w="2307" w:type="dxa"/>
            <w:vAlign w:val="center"/>
            <w:hideMark/>
          </w:tcPr>
          <w:p w14:paraId="09E1EFB6"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Roumanie</w:t>
            </w:r>
          </w:p>
        </w:tc>
        <w:tc>
          <w:tcPr>
            <w:tcW w:w="1757" w:type="dxa"/>
            <w:vAlign w:val="center"/>
          </w:tcPr>
          <w:p w14:paraId="3BB5DD14" w14:textId="5454904A"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184</w:t>
            </w:r>
          </w:p>
        </w:tc>
        <w:tc>
          <w:tcPr>
            <w:tcW w:w="1917" w:type="dxa"/>
            <w:vAlign w:val="center"/>
          </w:tcPr>
          <w:p w14:paraId="4AEF1870" w14:textId="6194ECC9"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247</w:t>
            </w:r>
          </w:p>
        </w:tc>
        <w:tc>
          <w:tcPr>
            <w:tcW w:w="1477" w:type="dxa"/>
            <w:vAlign w:val="center"/>
          </w:tcPr>
          <w:p w14:paraId="5189682A" w14:textId="725D080F"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8 134 </w:t>
            </w:r>
          </w:p>
        </w:tc>
      </w:tr>
      <w:tr w:rsidR="00195C47" w:rsidRPr="00110AE6" w14:paraId="3DCBDA67" w14:textId="77777777" w:rsidTr="00101811">
        <w:trPr>
          <w:trHeight w:val="300"/>
        </w:trPr>
        <w:tc>
          <w:tcPr>
            <w:tcW w:w="1166" w:type="dxa"/>
            <w:vAlign w:val="center"/>
            <w:hideMark/>
          </w:tcPr>
          <w:p w14:paraId="564A93F8" w14:textId="743BFEAC"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56</w:t>
            </w:r>
          </w:p>
        </w:tc>
        <w:tc>
          <w:tcPr>
            <w:tcW w:w="1200" w:type="dxa"/>
            <w:vAlign w:val="center"/>
            <w:hideMark/>
          </w:tcPr>
          <w:p w14:paraId="061B7D25" w14:textId="79C31119"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11</w:t>
            </w:r>
          </w:p>
        </w:tc>
        <w:tc>
          <w:tcPr>
            <w:tcW w:w="2307" w:type="dxa"/>
            <w:vAlign w:val="center"/>
            <w:hideMark/>
          </w:tcPr>
          <w:p w14:paraId="679CA511"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Slovaquie</w:t>
            </w:r>
          </w:p>
        </w:tc>
        <w:tc>
          <w:tcPr>
            <w:tcW w:w="1757" w:type="dxa"/>
            <w:vAlign w:val="center"/>
          </w:tcPr>
          <w:p w14:paraId="7F7578F4" w14:textId="14C28FCC"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160</w:t>
            </w:r>
          </w:p>
        </w:tc>
        <w:tc>
          <w:tcPr>
            <w:tcW w:w="1917" w:type="dxa"/>
            <w:vAlign w:val="center"/>
          </w:tcPr>
          <w:p w14:paraId="58AE2B8A" w14:textId="50FB35E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215 </w:t>
            </w:r>
          </w:p>
        </w:tc>
        <w:tc>
          <w:tcPr>
            <w:tcW w:w="1477" w:type="dxa"/>
            <w:vAlign w:val="center"/>
          </w:tcPr>
          <w:p w14:paraId="2CC93390" w14:textId="5A55E8AB"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7 073 </w:t>
            </w:r>
          </w:p>
        </w:tc>
      </w:tr>
      <w:tr w:rsidR="00195C47" w:rsidRPr="00110AE6" w14:paraId="01F62D10" w14:textId="77777777" w:rsidTr="00101811">
        <w:trPr>
          <w:trHeight w:val="300"/>
        </w:trPr>
        <w:tc>
          <w:tcPr>
            <w:tcW w:w="1166" w:type="dxa"/>
            <w:tcBorders>
              <w:bottom w:val="single" w:sz="4" w:space="0" w:color="auto"/>
            </w:tcBorders>
            <w:vAlign w:val="center"/>
            <w:hideMark/>
          </w:tcPr>
          <w:p w14:paraId="50867902" w14:textId="51F78070"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57</w:t>
            </w:r>
          </w:p>
        </w:tc>
        <w:tc>
          <w:tcPr>
            <w:tcW w:w="1200" w:type="dxa"/>
            <w:tcBorders>
              <w:bottom w:val="single" w:sz="4" w:space="0" w:color="auto"/>
            </w:tcBorders>
            <w:vAlign w:val="center"/>
            <w:hideMark/>
          </w:tcPr>
          <w:p w14:paraId="51DD2887" w14:textId="3179F149"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12</w:t>
            </w:r>
          </w:p>
        </w:tc>
        <w:tc>
          <w:tcPr>
            <w:tcW w:w="2307" w:type="dxa"/>
            <w:tcBorders>
              <w:bottom w:val="single" w:sz="4" w:space="0" w:color="auto"/>
            </w:tcBorders>
            <w:vAlign w:val="center"/>
            <w:hideMark/>
          </w:tcPr>
          <w:p w14:paraId="2C68A4FA"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Slovénie</w:t>
            </w:r>
          </w:p>
        </w:tc>
        <w:tc>
          <w:tcPr>
            <w:tcW w:w="1757" w:type="dxa"/>
            <w:tcBorders>
              <w:bottom w:val="single" w:sz="4" w:space="0" w:color="auto"/>
            </w:tcBorders>
            <w:vAlign w:val="center"/>
          </w:tcPr>
          <w:p w14:paraId="458DCDCE" w14:textId="07D61F83"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084</w:t>
            </w:r>
          </w:p>
        </w:tc>
        <w:tc>
          <w:tcPr>
            <w:tcW w:w="1917" w:type="dxa"/>
            <w:tcBorders>
              <w:bottom w:val="single" w:sz="4" w:space="0" w:color="auto"/>
            </w:tcBorders>
            <w:vAlign w:val="center"/>
          </w:tcPr>
          <w:p w14:paraId="6C1D4082" w14:textId="3E5159C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113</w:t>
            </w:r>
          </w:p>
        </w:tc>
        <w:tc>
          <w:tcPr>
            <w:tcW w:w="1477" w:type="dxa"/>
            <w:tcBorders>
              <w:bottom w:val="single" w:sz="4" w:space="0" w:color="auto"/>
            </w:tcBorders>
            <w:vAlign w:val="center"/>
          </w:tcPr>
          <w:p w14:paraId="3940B1EA" w14:textId="454BCE5D"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3 713</w:t>
            </w:r>
          </w:p>
        </w:tc>
      </w:tr>
      <w:tr w:rsidR="00195C47" w:rsidRPr="00110AE6" w14:paraId="706046F5" w14:textId="77777777" w:rsidTr="00101811">
        <w:trPr>
          <w:trHeight w:val="340"/>
        </w:trPr>
        <w:tc>
          <w:tcPr>
            <w:tcW w:w="1166" w:type="dxa"/>
            <w:tcBorders>
              <w:top w:val="single" w:sz="4" w:space="0" w:color="auto"/>
              <w:bottom w:val="single" w:sz="4" w:space="0" w:color="auto"/>
            </w:tcBorders>
            <w:vAlign w:val="center"/>
            <w:hideMark/>
          </w:tcPr>
          <w:p w14:paraId="38D4F54A" w14:textId="77777777" w:rsidR="00195C47" w:rsidRPr="00110AE6" w:rsidRDefault="00195C47" w:rsidP="00195C47">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Total</w:t>
            </w:r>
          </w:p>
        </w:tc>
        <w:tc>
          <w:tcPr>
            <w:tcW w:w="1200" w:type="dxa"/>
            <w:tcBorders>
              <w:top w:val="single" w:sz="4" w:space="0" w:color="auto"/>
              <w:bottom w:val="single" w:sz="4" w:space="0" w:color="auto"/>
            </w:tcBorders>
            <w:vAlign w:val="center"/>
            <w:hideMark/>
          </w:tcPr>
          <w:p w14:paraId="5CD2DC97" w14:textId="55511BED" w:rsidR="00195C47" w:rsidRPr="00110AE6" w:rsidRDefault="00195C47" w:rsidP="00195C47">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Groupe</w:t>
            </w:r>
          </w:p>
        </w:tc>
        <w:tc>
          <w:tcPr>
            <w:tcW w:w="7458" w:type="dxa"/>
            <w:gridSpan w:val="4"/>
            <w:tcBorders>
              <w:top w:val="single" w:sz="4" w:space="0" w:color="auto"/>
              <w:bottom w:val="single" w:sz="4" w:space="0" w:color="auto"/>
            </w:tcBorders>
            <w:vAlign w:val="center"/>
            <w:hideMark/>
          </w:tcPr>
          <w:p w14:paraId="20657C5A" w14:textId="4B139850" w:rsidR="00195C47" w:rsidRPr="00110AE6" w:rsidRDefault="00195C47" w:rsidP="00195C47">
            <w:pPr>
              <w:tabs>
                <w:tab w:val="clear" w:pos="1247"/>
                <w:tab w:val="clear" w:pos="1814"/>
                <w:tab w:val="clear" w:pos="2381"/>
                <w:tab w:val="clear" w:pos="2948"/>
                <w:tab w:val="clear" w:pos="3515"/>
              </w:tabs>
              <w:ind w:right="234"/>
              <w:rPr>
                <w:b/>
                <w:bCs/>
                <w:noProof/>
                <w:sz w:val="18"/>
                <w:szCs w:val="18"/>
                <w:lang w:val="fr-FR"/>
              </w:rPr>
            </w:pPr>
            <w:r w:rsidRPr="00110AE6">
              <w:rPr>
                <w:b/>
                <w:bCs/>
                <w:noProof/>
                <w:sz w:val="18"/>
                <w:szCs w:val="18"/>
                <w:lang w:val="fr-FR"/>
              </w:rPr>
              <w:t>Amérique latine et Caraïbes</w:t>
            </w:r>
          </w:p>
        </w:tc>
      </w:tr>
      <w:tr w:rsidR="00195C47" w:rsidRPr="00110AE6" w14:paraId="30047BC2" w14:textId="77777777" w:rsidTr="00101811">
        <w:trPr>
          <w:trHeight w:val="312"/>
        </w:trPr>
        <w:tc>
          <w:tcPr>
            <w:tcW w:w="1166" w:type="dxa"/>
            <w:tcBorders>
              <w:top w:val="single" w:sz="4" w:space="0" w:color="auto"/>
            </w:tcBorders>
            <w:vAlign w:val="center"/>
            <w:hideMark/>
          </w:tcPr>
          <w:p w14:paraId="388F2309"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58</w:t>
            </w:r>
          </w:p>
        </w:tc>
        <w:tc>
          <w:tcPr>
            <w:tcW w:w="1200" w:type="dxa"/>
            <w:tcBorders>
              <w:top w:val="single" w:sz="4" w:space="0" w:color="auto"/>
            </w:tcBorders>
            <w:vAlign w:val="center"/>
            <w:hideMark/>
          </w:tcPr>
          <w:p w14:paraId="663FD7D3"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w:t>
            </w:r>
          </w:p>
        </w:tc>
        <w:tc>
          <w:tcPr>
            <w:tcW w:w="2307" w:type="dxa"/>
            <w:tcBorders>
              <w:top w:val="single" w:sz="4" w:space="0" w:color="auto"/>
            </w:tcBorders>
            <w:vAlign w:val="center"/>
            <w:hideMark/>
          </w:tcPr>
          <w:p w14:paraId="3A47A566"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Antigua-et-Barbuda</w:t>
            </w:r>
          </w:p>
        </w:tc>
        <w:tc>
          <w:tcPr>
            <w:tcW w:w="1757" w:type="dxa"/>
            <w:tcBorders>
              <w:top w:val="single" w:sz="4" w:space="0" w:color="auto"/>
            </w:tcBorders>
            <w:vAlign w:val="center"/>
            <w:hideMark/>
          </w:tcPr>
          <w:p w14:paraId="69A11B89" w14:textId="7777777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tcBorders>
              <w:top w:val="single" w:sz="4" w:space="0" w:color="auto"/>
            </w:tcBorders>
            <w:vAlign w:val="center"/>
            <w:hideMark/>
          </w:tcPr>
          <w:p w14:paraId="64AA3CAC" w14:textId="7777777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tcBorders>
              <w:top w:val="single" w:sz="4" w:space="0" w:color="auto"/>
            </w:tcBorders>
            <w:vAlign w:val="center"/>
            <w:hideMark/>
          </w:tcPr>
          <w:p w14:paraId="71E66D85" w14:textId="7777777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195C47" w:rsidRPr="00110AE6" w14:paraId="307A19E7" w14:textId="77777777" w:rsidTr="00101811">
        <w:trPr>
          <w:trHeight w:val="312"/>
        </w:trPr>
        <w:tc>
          <w:tcPr>
            <w:tcW w:w="1166" w:type="dxa"/>
            <w:vAlign w:val="center"/>
            <w:hideMark/>
          </w:tcPr>
          <w:p w14:paraId="370C7F71"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59</w:t>
            </w:r>
          </w:p>
        </w:tc>
        <w:tc>
          <w:tcPr>
            <w:tcW w:w="1200" w:type="dxa"/>
            <w:vAlign w:val="center"/>
            <w:hideMark/>
          </w:tcPr>
          <w:p w14:paraId="7581F434"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w:t>
            </w:r>
          </w:p>
        </w:tc>
        <w:tc>
          <w:tcPr>
            <w:tcW w:w="2307" w:type="dxa"/>
            <w:vAlign w:val="center"/>
            <w:hideMark/>
          </w:tcPr>
          <w:p w14:paraId="15826D26"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Argentine</w:t>
            </w:r>
          </w:p>
        </w:tc>
        <w:tc>
          <w:tcPr>
            <w:tcW w:w="1757" w:type="dxa"/>
            <w:vAlign w:val="center"/>
          </w:tcPr>
          <w:p w14:paraId="47A200D4" w14:textId="201FCDD5"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892</w:t>
            </w:r>
          </w:p>
        </w:tc>
        <w:tc>
          <w:tcPr>
            <w:tcW w:w="1917" w:type="dxa"/>
            <w:vAlign w:val="center"/>
          </w:tcPr>
          <w:p w14:paraId="2D069D6F" w14:textId="7C447F48"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 xml:space="preserve">199 </w:t>
            </w:r>
          </w:p>
        </w:tc>
        <w:tc>
          <w:tcPr>
            <w:tcW w:w="1477" w:type="dxa"/>
            <w:vAlign w:val="center"/>
          </w:tcPr>
          <w:p w14:paraId="71D26BAF" w14:textId="43430ACB"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39 432 </w:t>
            </w:r>
          </w:p>
        </w:tc>
      </w:tr>
      <w:tr w:rsidR="00195C47" w:rsidRPr="00110AE6" w14:paraId="202E40E3" w14:textId="77777777" w:rsidTr="00101811">
        <w:trPr>
          <w:trHeight w:val="312"/>
        </w:trPr>
        <w:tc>
          <w:tcPr>
            <w:tcW w:w="1166" w:type="dxa"/>
            <w:vAlign w:val="center"/>
            <w:hideMark/>
          </w:tcPr>
          <w:p w14:paraId="57407A2C"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60</w:t>
            </w:r>
          </w:p>
        </w:tc>
        <w:tc>
          <w:tcPr>
            <w:tcW w:w="1200" w:type="dxa"/>
            <w:vAlign w:val="center"/>
            <w:hideMark/>
          </w:tcPr>
          <w:p w14:paraId="5F9BE038"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w:t>
            </w:r>
          </w:p>
        </w:tc>
        <w:tc>
          <w:tcPr>
            <w:tcW w:w="2307" w:type="dxa"/>
            <w:vAlign w:val="center"/>
            <w:hideMark/>
          </w:tcPr>
          <w:p w14:paraId="79F5B64E" w14:textId="159AD22A" w:rsidR="00195C47" w:rsidRPr="00110AE6" w:rsidRDefault="00195C47" w:rsidP="00195C47">
            <w:pPr>
              <w:tabs>
                <w:tab w:val="clear" w:pos="1247"/>
                <w:tab w:val="clear" w:pos="1814"/>
                <w:tab w:val="clear" w:pos="2381"/>
                <w:tab w:val="clear" w:pos="2948"/>
                <w:tab w:val="clear" w:pos="3515"/>
              </w:tabs>
              <w:rPr>
                <w:noProof/>
                <w:sz w:val="16"/>
                <w:szCs w:val="16"/>
                <w:lang w:val="fr-FR"/>
              </w:rPr>
            </w:pPr>
            <w:r w:rsidRPr="00110AE6">
              <w:rPr>
                <w:noProof/>
                <w:sz w:val="16"/>
                <w:szCs w:val="16"/>
                <w:lang w:val="fr-FR"/>
              </w:rPr>
              <w:t>Bo</w:t>
            </w:r>
            <w:r w:rsidR="00E03505" w:rsidRPr="00110AE6">
              <w:rPr>
                <w:noProof/>
                <w:sz w:val="16"/>
                <w:szCs w:val="16"/>
                <w:lang w:val="fr-FR"/>
              </w:rPr>
              <w:t>livie (État</w:t>
            </w:r>
            <w:r w:rsidRPr="00110AE6">
              <w:rPr>
                <w:noProof/>
                <w:sz w:val="16"/>
                <w:szCs w:val="16"/>
                <w:lang w:val="fr-FR"/>
              </w:rPr>
              <w:t xml:space="preserve"> plurinational de)</w:t>
            </w:r>
          </w:p>
        </w:tc>
        <w:tc>
          <w:tcPr>
            <w:tcW w:w="1757" w:type="dxa"/>
            <w:vAlign w:val="center"/>
          </w:tcPr>
          <w:p w14:paraId="625FD91A" w14:textId="420AE881"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012</w:t>
            </w:r>
          </w:p>
        </w:tc>
        <w:tc>
          <w:tcPr>
            <w:tcW w:w="1917" w:type="dxa"/>
            <w:vAlign w:val="center"/>
          </w:tcPr>
          <w:p w14:paraId="1218A393" w14:textId="0D87AC9A"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016 </w:t>
            </w:r>
          </w:p>
        </w:tc>
        <w:tc>
          <w:tcPr>
            <w:tcW w:w="1477" w:type="dxa"/>
            <w:vAlign w:val="center"/>
          </w:tcPr>
          <w:p w14:paraId="5647EBCF" w14:textId="7B1DCBD1"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530 </w:t>
            </w:r>
          </w:p>
        </w:tc>
      </w:tr>
      <w:tr w:rsidR="00195C47" w:rsidRPr="00110AE6" w14:paraId="0634054F" w14:textId="77777777" w:rsidTr="00101811">
        <w:trPr>
          <w:trHeight w:val="312"/>
        </w:trPr>
        <w:tc>
          <w:tcPr>
            <w:tcW w:w="1166" w:type="dxa"/>
            <w:vAlign w:val="center"/>
            <w:hideMark/>
          </w:tcPr>
          <w:p w14:paraId="297C1264"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61</w:t>
            </w:r>
          </w:p>
        </w:tc>
        <w:tc>
          <w:tcPr>
            <w:tcW w:w="1200" w:type="dxa"/>
            <w:vAlign w:val="center"/>
            <w:hideMark/>
          </w:tcPr>
          <w:p w14:paraId="17DA5C93"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w:t>
            </w:r>
          </w:p>
        </w:tc>
        <w:tc>
          <w:tcPr>
            <w:tcW w:w="2307" w:type="dxa"/>
            <w:vAlign w:val="center"/>
            <w:hideMark/>
          </w:tcPr>
          <w:p w14:paraId="2F1E2980"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Brésil</w:t>
            </w:r>
          </w:p>
        </w:tc>
        <w:tc>
          <w:tcPr>
            <w:tcW w:w="1757" w:type="dxa"/>
            <w:vAlign w:val="center"/>
          </w:tcPr>
          <w:p w14:paraId="332AF2E3" w14:textId="3C342CAF"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3</w:t>
            </w:r>
            <w:r w:rsidR="00D8548D" w:rsidRPr="00110AE6">
              <w:rPr>
                <w:noProof/>
                <w:sz w:val="18"/>
                <w:szCs w:val="18"/>
                <w:lang w:val="fr-FR"/>
              </w:rPr>
              <w:t>,</w:t>
            </w:r>
            <w:r w:rsidRPr="00110AE6">
              <w:rPr>
                <w:noProof/>
                <w:sz w:val="18"/>
                <w:szCs w:val="18"/>
                <w:lang w:val="fr-FR"/>
              </w:rPr>
              <w:t>823</w:t>
            </w:r>
          </w:p>
        </w:tc>
        <w:tc>
          <w:tcPr>
            <w:tcW w:w="1917" w:type="dxa"/>
            <w:vAlign w:val="center"/>
          </w:tcPr>
          <w:p w14:paraId="11B4AAB6" w14:textId="3C843762"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5</w:t>
            </w:r>
            <w:r w:rsidR="00D8548D" w:rsidRPr="00110AE6">
              <w:rPr>
                <w:noProof/>
                <w:sz w:val="18"/>
                <w:szCs w:val="18"/>
                <w:lang w:val="fr-FR"/>
              </w:rPr>
              <w:t>,</w:t>
            </w:r>
            <w:r w:rsidRPr="00110AE6">
              <w:rPr>
                <w:noProof/>
                <w:sz w:val="18"/>
                <w:szCs w:val="18"/>
                <w:lang w:val="fr-FR"/>
              </w:rPr>
              <w:t xml:space="preserve">139 </w:t>
            </w:r>
          </w:p>
        </w:tc>
        <w:tc>
          <w:tcPr>
            <w:tcW w:w="1477" w:type="dxa"/>
            <w:vAlign w:val="center"/>
          </w:tcPr>
          <w:p w14:paraId="5B05BD17" w14:textId="7D6F2B96"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169 001 </w:t>
            </w:r>
          </w:p>
        </w:tc>
      </w:tr>
      <w:tr w:rsidR="00195C47" w:rsidRPr="00110AE6" w14:paraId="0A07F2FA" w14:textId="77777777" w:rsidTr="00101811">
        <w:trPr>
          <w:trHeight w:val="312"/>
        </w:trPr>
        <w:tc>
          <w:tcPr>
            <w:tcW w:w="1166" w:type="dxa"/>
            <w:vAlign w:val="center"/>
            <w:hideMark/>
          </w:tcPr>
          <w:p w14:paraId="14BC5509"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62</w:t>
            </w:r>
          </w:p>
        </w:tc>
        <w:tc>
          <w:tcPr>
            <w:tcW w:w="1200" w:type="dxa"/>
            <w:vAlign w:val="center"/>
            <w:hideMark/>
          </w:tcPr>
          <w:p w14:paraId="1816E9A1"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w:t>
            </w:r>
          </w:p>
        </w:tc>
        <w:tc>
          <w:tcPr>
            <w:tcW w:w="2307" w:type="dxa"/>
            <w:vAlign w:val="center"/>
            <w:hideMark/>
          </w:tcPr>
          <w:p w14:paraId="420D712C"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Chili</w:t>
            </w:r>
          </w:p>
        </w:tc>
        <w:tc>
          <w:tcPr>
            <w:tcW w:w="1757" w:type="dxa"/>
            <w:vAlign w:val="center"/>
          </w:tcPr>
          <w:p w14:paraId="18BB7ADB" w14:textId="628D6770"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399</w:t>
            </w:r>
          </w:p>
        </w:tc>
        <w:tc>
          <w:tcPr>
            <w:tcW w:w="1917" w:type="dxa"/>
            <w:vAlign w:val="center"/>
          </w:tcPr>
          <w:p w14:paraId="6B64DD2D" w14:textId="2DDE3030"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536 </w:t>
            </w:r>
          </w:p>
        </w:tc>
        <w:tc>
          <w:tcPr>
            <w:tcW w:w="1477" w:type="dxa"/>
            <w:vAlign w:val="center"/>
          </w:tcPr>
          <w:p w14:paraId="1785FB57" w14:textId="707641D5"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17 638 </w:t>
            </w:r>
          </w:p>
        </w:tc>
      </w:tr>
      <w:tr w:rsidR="00195C47" w:rsidRPr="00110AE6" w14:paraId="0634026D" w14:textId="77777777" w:rsidTr="00101811">
        <w:trPr>
          <w:trHeight w:val="312"/>
        </w:trPr>
        <w:tc>
          <w:tcPr>
            <w:tcW w:w="1166" w:type="dxa"/>
            <w:vAlign w:val="center"/>
            <w:hideMark/>
          </w:tcPr>
          <w:p w14:paraId="6E012766"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63</w:t>
            </w:r>
          </w:p>
        </w:tc>
        <w:tc>
          <w:tcPr>
            <w:tcW w:w="1200" w:type="dxa"/>
            <w:vAlign w:val="center"/>
            <w:hideMark/>
          </w:tcPr>
          <w:p w14:paraId="3D51784E"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w:t>
            </w:r>
          </w:p>
        </w:tc>
        <w:tc>
          <w:tcPr>
            <w:tcW w:w="2307" w:type="dxa"/>
            <w:vAlign w:val="center"/>
            <w:hideMark/>
          </w:tcPr>
          <w:p w14:paraId="798112BD"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Costa Rica</w:t>
            </w:r>
          </w:p>
        </w:tc>
        <w:tc>
          <w:tcPr>
            <w:tcW w:w="1757" w:type="dxa"/>
            <w:vAlign w:val="center"/>
          </w:tcPr>
          <w:p w14:paraId="67B8C4A9" w14:textId="7B2CB843"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047</w:t>
            </w:r>
          </w:p>
        </w:tc>
        <w:tc>
          <w:tcPr>
            <w:tcW w:w="1917" w:type="dxa"/>
            <w:vAlign w:val="center"/>
          </w:tcPr>
          <w:p w14:paraId="365D65BB" w14:textId="748460A0"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063 </w:t>
            </w:r>
          </w:p>
        </w:tc>
        <w:tc>
          <w:tcPr>
            <w:tcW w:w="1477" w:type="dxa"/>
            <w:vAlign w:val="center"/>
          </w:tcPr>
          <w:p w14:paraId="381484B6" w14:textId="56626550"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2 078</w:t>
            </w:r>
          </w:p>
        </w:tc>
      </w:tr>
      <w:tr w:rsidR="00195C47" w:rsidRPr="00110AE6" w14:paraId="098A5B93" w14:textId="77777777" w:rsidTr="00101811">
        <w:trPr>
          <w:trHeight w:val="312"/>
        </w:trPr>
        <w:tc>
          <w:tcPr>
            <w:tcW w:w="1166" w:type="dxa"/>
            <w:vAlign w:val="center"/>
            <w:hideMark/>
          </w:tcPr>
          <w:p w14:paraId="144DCDF1"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64</w:t>
            </w:r>
          </w:p>
        </w:tc>
        <w:tc>
          <w:tcPr>
            <w:tcW w:w="1200" w:type="dxa"/>
            <w:vAlign w:val="center"/>
            <w:hideMark/>
          </w:tcPr>
          <w:p w14:paraId="07E24ED3"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w:t>
            </w:r>
          </w:p>
        </w:tc>
        <w:tc>
          <w:tcPr>
            <w:tcW w:w="2307" w:type="dxa"/>
            <w:vAlign w:val="center"/>
            <w:hideMark/>
          </w:tcPr>
          <w:p w14:paraId="0FF6B7F1"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Cuba</w:t>
            </w:r>
          </w:p>
        </w:tc>
        <w:tc>
          <w:tcPr>
            <w:tcW w:w="1757" w:type="dxa"/>
            <w:vAlign w:val="center"/>
          </w:tcPr>
          <w:p w14:paraId="06FB5060" w14:textId="5EE28C66"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065</w:t>
            </w:r>
          </w:p>
        </w:tc>
        <w:tc>
          <w:tcPr>
            <w:tcW w:w="1917" w:type="dxa"/>
            <w:vAlign w:val="center"/>
          </w:tcPr>
          <w:p w14:paraId="724732B6" w14:textId="14F0F73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087 </w:t>
            </w:r>
          </w:p>
        </w:tc>
        <w:tc>
          <w:tcPr>
            <w:tcW w:w="1477" w:type="dxa"/>
            <w:vAlign w:val="center"/>
          </w:tcPr>
          <w:p w14:paraId="30716708" w14:textId="277A108E"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2 873</w:t>
            </w:r>
          </w:p>
        </w:tc>
      </w:tr>
      <w:tr w:rsidR="00195C47" w:rsidRPr="00110AE6" w14:paraId="182C6E49" w14:textId="77777777" w:rsidTr="00101811">
        <w:trPr>
          <w:trHeight w:val="312"/>
        </w:trPr>
        <w:tc>
          <w:tcPr>
            <w:tcW w:w="1166" w:type="dxa"/>
            <w:vAlign w:val="center"/>
            <w:hideMark/>
          </w:tcPr>
          <w:p w14:paraId="1BE7DCB0"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65</w:t>
            </w:r>
          </w:p>
        </w:tc>
        <w:tc>
          <w:tcPr>
            <w:tcW w:w="1200" w:type="dxa"/>
            <w:vAlign w:val="center"/>
            <w:hideMark/>
          </w:tcPr>
          <w:p w14:paraId="290A0DF3" w14:textId="34BCFA70"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w:t>
            </w:r>
          </w:p>
        </w:tc>
        <w:tc>
          <w:tcPr>
            <w:tcW w:w="2307" w:type="dxa"/>
            <w:vAlign w:val="center"/>
          </w:tcPr>
          <w:p w14:paraId="01C5FE18" w14:textId="26D5B6C1"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République dominicaine</w:t>
            </w:r>
          </w:p>
        </w:tc>
        <w:tc>
          <w:tcPr>
            <w:tcW w:w="1757" w:type="dxa"/>
            <w:vAlign w:val="center"/>
          </w:tcPr>
          <w:p w14:paraId="23B197E4" w14:textId="583C170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046</w:t>
            </w:r>
          </w:p>
        </w:tc>
        <w:tc>
          <w:tcPr>
            <w:tcW w:w="1917" w:type="dxa"/>
            <w:vAlign w:val="center"/>
          </w:tcPr>
          <w:p w14:paraId="6F1CD002" w14:textId="6CD818DE"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062 </w:t>
            </w:r>
          </w:p>
        </w:tc>
        <w:tc>
          <w:tcPr>
            <w:tcW w:w="1477" w:type="dxa"/>
            <w:vAlign w:val="center"/>
          </w:tcPr>
          <w:p w14:paraId="3F64C6D3" w14:textId="1FA1DAFA"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2 033 </w:t>
            </w:r>
          </w:p>
        </w:tc>
      </w:tr>
      <w:tr w:rsidR="00195C47" w:rsidRPr="00110AE6" w14:paraId="7B348F1C" w14:textId="77777777" w:rsidTr="00101811">
        <w:trPr>
          <w:trHeight w:val="312"/>
        </w:trPr>
        <w:tc>
          <w:tcPr>
            <w:tcW w:w="1166" w:type="dxa"/>
            <w:vAlign w:val="center"/>
            <w:hideMark/>
          </w:tcPr>
          <w:p w14:paraId="7B8FB3FE"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66</w:t>
            </w:r>
          </w:p>
        </w:tc>
        <w:tc>
          <w:tcPr>
            <w:tcW w:w="1200" w:type="dxa"/>
            <w:vAlign w:val="center"/>
            <w:hideMark/>
          </w:tcPr>
          <w:p w14:paraId="52F9106F" w14:textId="7255D842"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w:t>
            </w:r>
          </w:p>
        </w:tc>
        <w:tc>
          <w:tcPr>
            <w:tcW w:w="2307" w:type="dxa"/>
            <w:vAlign w:val="center"/>
          </w:tcPr>
          <w:p w14:paraId="37F84139" w14:textId="1660D0D2"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 xml:space="preserve">Équateur </w:t>
            </w:r>
          </w:p>
        </w:tc>
        <w:tc>
          <w:tcPr>
            <w:tcW w:w="1757" w:type="dxa"/>
            <w:vAlign w:val="center"/>
          </w:tcPr>
          <w:p w14:paraId="49EB0BD0" w14:textId="3C275A0E"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067</w:t>
            </w:r>
          </w:p>
        </w:tc>
        <w:tc>
          <w:tcPr>
            <w:tcW w:w="1917" w:type="dxa"/>
            <w:vAlign w:val="center"/>
          </w:tcPr>
          <w:p w14:paraId="5930F7D0" w14:textId="272E2E30"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090 </w:t>
            </w:r>
          </w:p>
        </w:tc>
        <w:tc>
          <w:tcPr>
            <w:tcW w:w="1477" w:type="dxa"/>
            <w:vAlign w:val="center"/>
          </w:tcPr>
          <w:p w14:paraId="469FCAD1" w14:textId="3760AC1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2 962</w:t>
            </w:r>
          </w:p>
        </w:tc>
      </w:tr>
      <w:tr w:rsidR="00195C47" w:rsidRPr="00110AE6" w14:paraId="3A19731A" w14:textId="77777777" w:rsidTr="00101811">
        <w:trPr>
          <w:trHeight w:val="312"/>
        </w:trPr>
        <w:tc>
          <w:tcPr>
            <w:tcW w:w="1166" w:type="dxa"/>
            <w:vAlign w:val="center"/>
            <w:hideMark/>
          </w:tcPr>
          <w:p w14:paraId="2A63278C"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67</w:t>
            </w:r>
          </w:p>
        </w:tc>
        <w:tc>
          <w:tcPr>
            <w:tcW w:w="1200" w:type="dxa"/>
            <w:vAlign w:val="center"/>
            <w:hideMark/>
          </w:tcPr>
          <w:p w14:paraId="38F101CC"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10</w:t>
            </w:r>
          </w:p>
        </w:tc>
        <w:tc>
          <w:tcPr>
            <w:tcW w:w="2307" w:type="dxa"/>
            <w:vAlign w:val="center"/>
          </w:tcPr>
          <w:p w14:paraId="10DEC415" w14:textId="571896AA"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El Salvador</w:t>
            </w:r>
          </w:p>
        </w:tc>
        <w:tc>
          <w:tcPr>
            <w:tcW w:w="1757" w:type="dxa"/>
            <w:vAlign w:val="center"/>
          </w:tcPr>
          <w:p w14:paraId="4D150C5B" w14:textId="15AE2C1A"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014</w:t>
            </w:r>
          </w:p>
        </w:tc>
        <w:tc>
          <w:tcPr>
            <w:tcW w:w="1917" w:type="dxa"/>
            <w:vAlign w:val="center"/>
          </w:tcPr>
          <w:p w14:paraId="3B87D7C6" w14:textId="41B688D6"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019 </w:t>
            </w:r>
          </w:p>
        </w:tc>
        <w:tc>
          <w:tcPr>
            <w:tcW w:w="1477" w:type="dxa"/>
            <w:vAlign w:val="center"/>
          </w:tcPr>
          <w:p w14:paraId="656DA32A" w14:textId="48ED690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619 </w:t>
            </w:r>
          </w:p>
        </w:tc>
      </w:tr>
      <w:tr w:rsidR="00195C47" w:rsidRPr="00110AE6" w14:paraId="02BCD1DA" w14:textId="77777777" w:rsidTr="00101811">
        <w:trPr>
          <w:trHeight w:val="312"/>
        </w:trPr>
        <w:tc>
          <w:tcPr>
            <w:tcW w:w="1166" w:type="dxa"/>
            <w:vAlign w:val="center"/>
            <w:hideMark/>
          </w:tcPr>
          <w:p w14:paraId="7D61750C"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68</w:t>
            </w:r>
          </w:p>
        </w:tc>
        <w:tc>
          <w:tcPr>
            <w:tcW w:w="1200" w:type="dxa"/>
            <w:vAlign w:val="center"/>
            <w:hideMark/>
          </w:tcPr>
          <w:p w14:paraId="1ED44DF0"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11</w:t>
            </w:r>
          </w:p>
        </w:tc>
        <w:tc>
          <w:tcPr>
            <w:tcW w:w="2307" w:type="dxa"/>
            <w:vAlign w:val="center"/>
          </w:tcPr>
          <w:p w14:paraId="51BEBE56" w14:textId="647E9DA3"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Guyana</w:t>
            </w:r>
          </w:p>
        </w:tc>
        <w:tc>
          <w:tcPr>
            <w:tcW w:w="1757" w:type="dxa"/>
            <w:vAlign w:val="center"/>
          </w:tcPr>
          <w:p w14:paraId="1D98D464" w14:textId="68725BE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0,002</w:t>
            </w:r>
          </w:p>
        </w:tc>
        <w:tc>
          <w:tcPr>
            <w:tcW w:w="1917" w:type="dxa"/>
            <w:vAlign w:val="center"/>
          </w:tcPr>
          <w:p w14:paraId="0B18D06E" w14:textId="063C2654"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tcPr>
          <w:p w14:paraId="5200C61B" w14:textId="4C971897"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195C47" w:rsidRPr="00110AE6" w14:paraId="2B27D427" w14:textId="77777777" w:rsidTr="00101811">
        <w:trPr>
          <w:trHeight w:val="312"/>
        </w:trPr>
        <w:tc>
          <w:tcPr>
            <w:tcW w:w="1166" w:type="dxa"/>
            <w:vAlign w:val="center"/>
            <w:hideMark/>
          </w:tcPr>
          <w:p w14:paraId="20CB5C15"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69</w:t>
            </w:r>
          </w:p>
        </w:tc>
        <w:tc>
          <w:tcPr>
            <w:tcW w:w="1200" w:type="dxa"/>
            <w:vAlign w:val="center"/>
            <w:hideMark/>
          </w:tcPr>
          <w:p w14:paraId="34985AD6"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12</w:t>
            </w:r>
          </w:p>
        </w:tc>
        <w:tc>
          <w:tcPr>
            <w:tcW w:w="2307" w:type="dxa"/>
            <w:vAlign w:val="center"/>
          </w:tcPr>
          <w:p w14:paraId="53E19FFA" w14:textId="2F1B0076"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Honduras</w:t>
            </w:r>
          </w:p>
        </w:tc>
        <w:tc>
          <w:tcPr>
            <w:tcW w:w="1757" w:type="dxa"/>
            <w:vAlign w:val="center"/>
          </w:tcPr>
          <w:p w14:paraId="11C32AAA" w14:textId="39ED7D8B"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0,008</w:t>
            </w:r>
          </w:p>
        </w:tc>
        <w:tc>
          <w:tcPr>
            <w:tcW w:w="1917" w:type="dxa"/>
            <w:vAlign w:val="center"/>
          </w:tcPr>
          <w:p w14:paraId="0748845E" w14:textId="66F60CB1"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tcPr>
          <w:p w14:paraId="040ABE01" w14:textId="0851E248"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195C47" w:rsidRPr="00110AE6" w14:paraId="4F4142C7" w14:textId="77777777" w:rsidTr="00101811">
        <w:trPr>
          <w:trHeight w:val="312"/>
        </w:trPr>
        <w:tc>
          <w:tcPr>
            <w:tcW w:w="1166" w:type="dxa"/>
            <w:vAlign w:val="center"/>
            <w:hideMark/>
          </w:tcPr>
          <w:p w14:paraId="3202A0F4"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70</w:t>
            </w:r>
          </w:p>
        </w:tc>
        <w:tc>
          <w:tcPr>
            <w:tcW w:w="1200" w:type="dxa"/>
            <w:vAlign w:val="center"/>
            <w:hideMark/>
          </w:tcPr>
          <w:p w14:paraId="29E580BE" w14:textId="7777777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13</w:t>
            </w:r>
          </w:p>
        </w:tc>
        <w:tc>
          <w:tcPr>
            <w:tcW w:w="2307" w:type="dxa"/>
            <w:vAlign w:val="center"/>
          </w:tcPr>
          <w:p w14:paraId="6488B32A" w14:textId="4765C4B7" w:rsidR="00195C47" w:rsidRPr="00110AE6" w:rsidRDefault="00195C47" w:rsidP="00195C47">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Jamaïque</w:t>
            </w:r>
          </w:p>
        </w:tc>
        <w:tc>
          <w:tcPr>
            <w:tcW w:w="1757" w:type="dxa"/>
            <w:vAlign w:val="center"/>
          </w:tcPr>
          <w:p w14:paraId="6B4E50A9" w14:textId="26386B1C"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0,009</w:t>
            </w:r>
          </w:p>
        </w:tc>
        <w:tc>
          <w:tcPr>
            <w:tcW w:w="1917" w:type="dxa"/>
            <w:vAlign w:val="center"/>
          </w:tcPr>
          <w:p w14:paraId="36794DA5" w14:textId="5D71E7B6"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tcPr>
          <w:p w14:paraId="66A47C4B" w14:textId="75D32973" w:rsidR="00195C47" w:rsidRPr="00110AE6" w:rsidRDefault="00195C47" w:rsidP="00195C47">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365726" w:rsidRPr="00110AE6" w14:paraId="0F54A2A1" w14:textId="77777777" w:rsidTr="00101811">
        <w:trPr>
          <w:trHeight w:val="312"/>
        </w:trPr>
        <w:tc>
          <w:tcPr>
            <w:tcW w:w="1166" w:type="dxa"/>
            <w:vAlign w:val="center"/>
            <w:hideMark/>
          </w:tcPr>
          <w:p w14:paraId="15ABBDF6"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71</w:t>
            </w:r>
          </w:p>
        </w:tc>
        <w:tc>
          <w:tcPr>
            <w:tcW w:w="1200" w:type="dxa"/>
            <w:vAlign w:val="center"/>
            <w:hideMark/>
          </w:tcPr>
          <w:p w14:paraId="78A34EE5"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14</w:t>
            </w:r>
          </w:p>
        </w:tc>
        <w:tc>
          <w:tcPr>
            <w:tcW w:w="2307" w:type="dxa"/>
            <w:vAlign w:val="center"/>
          </w:tcPr>
          <w:p w14:paraId="2C16A0CD" w14:textId="6CEF07FD"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Mexique</w:t>
            </w:r>
          </w:p>
        </w:tc>
        <w:tc>
          <w:tcPr>
            <w:tcW w:w="1757" w:type="dxa"/>
            <w:vAlign w:val="center"/>
          </w:tcPr>
          <w:p w14:paraId="7B23AAD1" w14:textId="5690F894"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435</w:t>
            </w:r>
          </w:p>
        </w:tc>
        <w:tc>
          <w:tcPr>
            <w:tcW w:w="1917" w:type="dxa"/>
            <w:vAlign w:val="center"/>
          </w:tcPr>
          <w:p w14:paraId="225D05AB" w14:textId="2A8CCE35"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929</w:t>
            </w:r>
          </w:p>
        </w:tc>
        <w:tc>
          <w:tcPr>
            <w:tcW w:w="1477" w:type="dxa"/>
            <w:vAlign w:val="center"/>
          </w:tcPr>
          <w:p w14:paraId="65AF40C5" w14:textId="4FD4706E"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63 436 </w:t>
            </w:r>
          </w:p>
        </w:tc>
      </w:tr>
      <w:tr w:rsidR="00365726" w:rsidRPr="00110AE6" w14:paraId="30B464A2" w14:textId="77777777" w:rsidTr="00101811">
        <w:trPr>
          <w:trHeight w:val="312"/>
        </w:trPr>
        <w:tc>
          <w:tcPr>
            <w:tcW w:w="1166" w:type="dxa"/>
            <w:vAlign w:val="center"/>
            <w:hideMark/>
          </w:tcPr>
          <w:p w14:paraId="3CEFC4E5"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72</w:t>
            </w:r>
          </w:p>
        </w:tc>
        <w:tc>
          <w:tcPr>
            <w:tcW w:w="1200" w:type="dxa"/>
            <w:vAlign w:val="center"/>
            <w:hideMark/>
          </w:tcPr>
          <w:p w14:paraId="556146D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15</w:t>
            </w:r>
          </w:p>
        </w:tc>
        <w:tc>
          <w:tcPr>
            <w:tcW w:w="2307" w:type="dxa"/>
            <w:vAlign w:val="center"/>
          </w:tcPr>
          <w:p w14:paraId="0FE7115B" w14:textId="61BDD9AC"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 xml:space="preserve">Nicaragua </w:t>
            </w:r>
          </w:p>
        </w:tc>
        <w:tc>
          <w:tcPr>
            <w:tcW w:w="1757" w:type="dxa"/>
            <w:vAlign w:val="center"/>
          </w:tcPr>
          <w:p w14:paraId="2E917779" w14:textId="4B547DF1"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0,004</w:t>
            </w:r>
          </w:p>
        </w:tc>
        <w:tc>
          <w:tcPr>
            <w:tcW w:w="1917" w:type="dxa"/>
            <w:vAlign w:val="center"/>
          </w:tcPr>
          <w:p w14:paraId="1DA12544" w14:textId="037053F5"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tcPr>
          <w:p w14:paraId="4A1F600B" w14:textId="07518379"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365726" w:rsidRPr="00110AE6" w14:paraId="773A4F1C" w14:textId="77777777" w:rsidTr="00101811">
        <w:trPr>
          <w:trHeight w:val="312"/>
        </w:trPr>
        <w:tc>
          <w:tcPr>
            <w:tcW w:w="1166" w:type="dxa"/>
            <w:vAlign w:val="center"/>
            <w:hideMark/>
          </w:tcPr>
          <w:p w14:paraId="13855E2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73</w:t>
            </w:r>
          </w:p>
        </w:tc>
        <w:tc>
          <w:tcPr>
            <w:tcW w:w="1200" w:type="dxa"/>
            <w:vAlign w:val="center"/>
            <w:hideMark/>
          </w:tcPr>
          <w:p w14:paraId="7E7942E5"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16</w:t>
            </w:r>
          </w:p>
        </w:tc>
        <w:tc>
          <w:tcPr>
            <w:tcW w:w="2307" w:type="dxa"/>
            <w:vAlign w:val="center"/>
          </w:tcPr>
          <w:p w14:paraId="0D0857C3" w14:textId="3D666621"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Panama</w:t>
            </w:r>
          </w:p>
        </w:tc>
        <w:tc>
          <w:tcPr>
            <w:tcW w:w="1757" w:type="dxa"/>
            <w:vAlign w:val="center"/>
          </w:tcPr>
          <w:p w14:paraId="141B7E07" w14:textId="3275FC1A"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034</w:t>
            </w:r>
          </w:p>
        </w:tc>
        <w:tc>
          <w:tcPr>
            <w:tcW w:w="1917" w:type="dxa"/>
            <w:vAlign w:val="center"/>
          </w:tcPr>
          <w:p w14:paraId="7DBE9021" w14:textId="23DDD81C"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046 </w:t>
            </w:r>
          </w:p>
        </w:tc>
        <w:tc>
          <w:tcPr>
            <w:tcW w:w="1477" w:type="dxa"/>
            <w:vAlign w:val="center"/>
          </w:tcPr>
          <w:p w14:paraId="12AC4E08" w14:textId="39E1FCF4"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1 503</w:t>
            </w:r>
          </w:p>
        </w:tc>
      </w:tr>
      <w:tr w:rsidR="00365726" w:rsidRPr="00110AE6" w14:paraId="4AA83E38" w14:textId="77777777" w:rsidTr="00101811">
        <w:trPr>
          <w:trHeight w:val="312"/>
        </w:trPr>
        <w:tc>
          <w:tcPr>
            <w:tcW w:w="1166" w:type="dxa"/>
            <w:vAlign w:val="center"/>
            <w:hideMark/>
          </w:tcPr>
          <w:p w14:paraId="12F9ECF2"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74</w:t>
            </w:r>
          </w:p>
        </w:tc>
        <w:tc>
          <w:tcPr>
            <w:tcW w:w="1200" w:type="dxa"/>
            <w:vAlign w:val="center"/>
            <w:hideMark/>
          </w:tcPr>
          <w:p w14:paraId="1903B87D"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17</w:t>
            </w:r>
          </w:p>
        </w:tc>
        <w:tc>
          <w:tcPr>
            <w:tcW w:w="2307" w:type="dxa"/>
            <w:vAlign w:val="center"/>
          </w:tcPr>
          <w:p w14:paraId="3EC94C35" w14:textId="218146CF"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Paraguay</w:t>
            </w:r>
          </w:p>
        </w:tc>
        <w:tc>
          <w:tcPr>
            <w:tcW w:w="1757" w:type="dxa"/>
            <w:vAlign w:val="center"/>
          </w:tcPr>
          <w:p w14:paraId="4B7D5AF4" w14:textId="2636AF3C"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014</w:t>
            </w:r>
          </w:p>
        </w:tc>
        <w:tc>
          <w:tcPr>
            <w:tcW w:w="1917" w:type="dxa"/>
            <w:vAlign w:val="center"/>
          </w:tcPr>
          <w:p w14:paraId="23172A58" w14:textId="400B4C0B"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019 </w:t>
            </w:r>
          </w:p>
        </w:tc>
        <w:tc>
          <w:tcPr>
            <w:tcW w:w="1477" w:type="dxa"/>
            <w:vAlign w:val="center"/>
          </w:tcPr>
          <w:p w14:paraId="4AC0346E" w14:textId="0C540DDF"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619 </w:t>
            </w:r>
          </w:p>
        </w:tc>
      </w:tr>
      <w:tr w:rsidR="00365726" w:rsidRPr="00110AE6" w14:paraId="6BB008AF" w14:textId="77777777" w:rsidTr="00101811">
        <w:trPr>
          <w:trHeight w:val="312"/>
        </w:trPr>
        <w:tc>
          <w:tcPr>
            <w:tcW w:w="1166" w:type="dxa"/>
            <w:vAlign w:val="center"/>
          </w:tcPr>
          <w:p w14:paraId="3367D78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75</w:t>
            </w:r>
          </w:p>
        </w:tc>
        <w:tc>
          <w:tcPr>
            <w:tcW w:w="1200" w:type="dxa"/>
            <w:vAlign w:val="center"/>
          </w:tcPr>
          <w:p w14:paraId="31C3AF62"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18</w:t>
            </w:r>
          </w:p>
        </w:tc>
        <w:tc>
          <w:tcPr>
            <w:tcW w:w="2307" w:type="dxa"/>
            <w:vAlign w:val="center"/>
          </w:tcPr>
          <w:p w14:paraId="3B2C0091" w14:textId="4F52EC2A"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Pérou</w:t>
            </w:r>
          </w:p>
        </w:tc>
        <w:tc>
          <w:tcPr>
            <w:tcW w:w="1757" w:type="dxa"/>
            <w:vAlign w:val="center"/>
          </w:tcPr>
          <w:p w14:paraId="221E9CD6" w14:textId="1CB9F396"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136</w:t>
            </w:r>
          </w:p>
        </w:tc>
        <w:tc>
          <w:tcPr>
            <w:tcW w:w="1917" w:type="dxa"/>
            <w:vAlign w:val="center"/>
          </w:tcPr>
          <w:p w14:paraId="0B736F46" w14:textId="1C47C96E"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183 </w:t>
            </w:r>
          </w:p>
        </w:tc>
        <w:tc>
          <w:tcPr>
            <w:tcW w:w="1477" w:type="dxa"/>
            <w:vAlign w:val="center"/>
          </w:tcPr>
          <w:p w14:paraId="66808660" w14:textId="771CB7FC"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6 012 </w:t>
            </w:r>
          </w:p>
        </w:tc>
      </w:tr>
      <w:tr w:rsidR="00365726" w:rsidRPr="00110AE6" w14:paraId="7C979E78" w14:textId="77777777" w:rsidTr="00101811">
        <w:trPr>
          <w:trHeight w:val="312"/>
        </w:trPr>
        <w:tc>
          <w:tcPr>
            <w:tcW w:w="1166" w:type="dxa"/>
            <w:vAlign w:val="center"/>
            <w:hideMark/>
          </w:tcPr>
          <w:p w14:paraId="5B4A0C6C"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76</w:t>
            </w:r>
          </w:p>
        </w:tc>
        <w:tc>
          <w:tcPr>
            <w:tcW w:w="1200" w:type="dxa"/>
            <w:vAlign w:val="center"/>
            <w:hideMark/>
          </w:tcPr>
          <w:p w14:paraId="42CB65F9"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19</w:t>
            </w:r>
          </w:p>
        </w:tc>
        <w:tc>
          <w:tcPr>
            <w:tcW w:w="2307" w:type="dxa"/>
            <w:vAlign w:val="center"/>
            <w:hideMark/>
          </w:tcPr>
          <w:p w14:paraId="1013DA07" w14:textId="22D99206" w:rsidR="00365726" w:rsidRPr="00110AE6" w:rsidRDefault="00E03505"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Saint-Kitts-et-</w:t>
            </w:r>
            <w:r w:rsidR="00365726" w:rsidRPr="00110AE6">
              <w:rPr>
                <w:noProof/>
                <w:sz w:val="18"/>
                <w:szCs w:val="18"/>
                <w:lang w:val="fr-FR"/>
              </w:rPr>
              <w:t>Nevis</w:t>
            </w:r>
          </w:p>
        </w:tc>
        <w:tc>
          <w:tcPr>
            <w:tcW w:w="1757" w:type="dxa"/>
            <w:vAlign w:val="center"/>
            <w:hideMark/>
          </w:tcPr>
          <w:p w14:paraId="649FE67A" w14:textId="77777777"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0,001</w:t>
            </w:r>
          </w:p>
        </w:tc>
        <w:tc>
          <w:tcPr>
            <w:tcW w:w="1917" w:type="dxa"/>
            <w:vAlign w:val="center"/>
            <w:hideMark/>
          </w:tcPr>
          <w:p w14:paraId="6559CF67" w14:textId="77777777"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417690A3" w14:textId="77777777"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365726" w:rsidRPr="00110AE6" w14:paraId="6E7305D8" w14:textId="77777777" w:rsidTr="00101811">
        <w:trPr>
          <w:trHeight w:val="312"/>
        </w:trPr>
        <w:tc>
          <w:tcPr>
            <w:tcW w:w="1166" w:type="dxa"/>
            <w:vAlign w:val="center"/>
            <w:hideMark/>
          </w:tcPr>
          <w:p w14:paraId="5FA758F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77</w:t>
            </w:r>
          </w:p>
        </w:tc>
        <w:tc>
          <w:tcPr>
            <w:tcW w:w="1200" w:type="dxa"/>
            <w:vAlign w:val="center"/>
            <w:hideMark/>
          </w:tcPr>
          <w:p w14:paraId="320C701E"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20</w:t>
            </w:r>
          </w:p>
        </w:tc>
        <w:tc>
          <w:tcPr>
            <w:tcW w:w="2307" w:type="dxa"/>
            <w:vAlign w:val="center"/>
            <w:hideMark/>
          </w:tcPr>
          <w:p w14:paraId="223602D2"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Suriname</w:t>
            </w:r>
          </w:p>
        </w:tc>
        <w:tc>
          <w:tcPr>
            <w:tcW w:w="1757" w:type="dxa"/>
            <w:vAlign w:val="center"/>
            <w:hideMark/>
          </w:tcPr>
          <w:p w14:paraId="0D16F68D" w14:textId="77777777"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0,006</w:t>
            </w:r>
          </w:p>
        </w:tc>
        <w:tc>
          <w:tcPr>
            <w:tcW w:w="1917" w:type="dxa"/>
            <w:vAlign w:val="center"/>
            <w:hideMark/>
          </w:tcPr>
          <w:p w14:paraId="44FD44E8" w14:textId="77777777"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0,010 </w:t>
            </w:r>
          </w:p>
        </w:tc>
        <w:tc>
          <w:tcPr>
            <w:tcW w:w="1477" w:type="dxa"/>
            <w:vAlign w:val="center"/>
            <w:hideMark/>
          </w:tcPr>
          <w:p w14:paraId="43494F46" w14:textId="77777777"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329 </w:t>
            </w:r>
          </w:p>
        </w:tc>
      </w:tr>
      <w:tr w:rsidR="00365726" w:rsidRPr="00110AE6" w14:paraId="14D4B896" w14:textId="77777777" w:rsidTr="00101811">
        <w:trPr>
          <w:trHeight w:val="312"/>
        </w:trPr>
        <w:tc>
          <w:tcPr>
            <w:tcW w:w="1166" w:type="dxa"/>
            <w:tcBorders>
              <w:bottom w:val="single" w:sz="4" w:space="0" w:color="auto"/>
            </w:tcBorders>
            <w:vAlign w:val="center"/>
            <w:hideMark/>
          </w:tcPr>
          <w:p w14:paraId="4DB4325E"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78</w:t>
            </w:r>
          </w:p>
        </w:tc>
        <w:tc>
          <w:tcPr>
            <w:tcW w:w="1200" w:type="dxa"/>
            <w:tcBorders>
              <w:bottom w:val="single" w:sz="4" w:space="0" w:color="auto"/>
            </w:tcBorders>
            <w:vAlign w:val="center"/>
            <w:hideMark/>
          </w:tcPr>
          <w:p w14:paraId="14FD269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21</w:t>
            </w:r>
          </w:p>
        </w:tc>
        <w:tc>
          <w:tcPr>
            <w:tcW w:w="2307" w:type="dxa"/>
            <w:tcBorders>
              <w:bottom w:val="single" w:sz="4" w:space="0" w:color="auto"/>
            </w:tcBorders>
            <w:vAlign w:val="center"/>
            <w:hideMark/>
          </w:tcPr>
          <w:p w14:paraId="4EBDBADB"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Uruguay</w:t>
            </w:r>
          </w:p>
        </w:tc>
        <w:tc>
          <w:tcPr>
            <w:tcW w:w="1757" w:type="dxa"/>
            <w:tcBorders>
              <w:bottom w:val="single" w:sz="4" w:space="0" w:color="auto"/>
            </w:tcBorders>
            <w:vAlign w:val="center"/>
          </w:tcPr>
          <w:p w14:paraId="5FB63B26" w14:textId="539DD94C"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079</w:t>
            </w:r>
          </w:p>
        </w:tc>
        <w:tc>
          <w:tcPr>
            <w:tcW w:w="1917" w:type="dxa"/>
            <w:tcBorders>
              <w:bottom w:val="single" w:sz="4" w:space="0" w:color="auto"/>
            </w:tcBorders>
            <w:vAlign w:val="center"/>
          </w:tcPr>
          <w:p w14:paraId="6D08079B" w14:textId="34BDBDD8"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106 </w:t>
            </w:r>
          </w:p>
        </w:tc>
        <w:tc>
          <w:tcPr>
            <w:tcW w:w="1477" w:type="dxa"/>
            <w:tcBorders>
              <w:bottom w:val="single" w:sz="4" w:space="0" w:color="auto"/>
            </w:tcBorders>
            <w:vAlign w:val="center"/>
          </w:tcPr>
          <w:p w14:paraId="6818A73D" w14:textId="65B78446" w:rsidR="00365726" w:rsidRPr="00110AE6" w:rsidRDefault="00365726" w:rsidP="00365726">
            <w:pPr>
              <w:tabs>
                <w:tab w:val="clear" w:pos="1247"/>
                <w:tab w:val="clear" w:pos="1814"/>
                <w:tab w:val="clear" w:pos="2381"/>
                <w:tab w:val="clear" w:pos="2948"/>
                <w:tab w:val="clear" w:pos="3515"/>
              </w:tabs>
              <w:ind w:right="234"/>
              <w:jc w:val="right"/>
              <w:rPr>
                <w:noProof/>
                <w:sz w:val="18"/>
                <w:szCs w:val="18"/>
                <w:lang w:val="fr-FR"/>
              </w:rPr>
            </w:pPr>
            <w:r w:rsidRPr="00110AE6">
              <w:rPr>
                <w:noProof/>
                <w:sz w:val="18"/>
                <w:szCs w:val="18"/>
                <w:lang w:val="fr-FR"/>
              </w:rPr>
              <w:t xml:space="preserve">3 492 </w:t>
            </w:r>
          </w:p>
        </w:tc>
      </w:tr>
      <w:tr w:rsidR="00365726" w:rsidRPr="00110AE6" w14:paraId="34A04473" w14:textId="77777777" w:rsidTr="00101811">
        <w:trPr>
          <w:trHeight w:val="340"/>
        </w:trPr>
        <w:tc>
          <w:tcPr>
            <w:tcW w:w="1166" w:type="dxa"/>
            <w:tcBorders>
              <w:top w:val="single" w:sz="4" w:space="0" w:color="auto"/>
              <w:bottom w:val="single" w:sz="4" w:space="0" w:color="auto"/>
            </w:tcBorders>
            <w:vAlign w:val="center"/>
            <w:hideMark/>
          </w:tcPr>
          <w:p w14:paraId="3FBA1BC6" w14:textId="77777777" w:rsidR="00365726" w:rsidRPr="00110AE6" w:rsidRDefault="00365726" w:rsidP="00365726">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Total</w:t>
            </w:r>
          </w:p>
        </w:tc>
        <w:tc>
          <w:tcPr>
            <w:tcW w:w="1200" w:type="dxa"/>
            <w:tcBorders>
              <w:top w:val="single" w:sz="4" w:space="0" w:color="auto"/>
              <w:bottom w:val="single" w:sz="4" w:space="0" w:color="auto"/>
            </w:tcBorders>
            <w:vAlign w:val="center"/>
            <w:hideMark/>
          </w:tcPr>
          <w:p w14:paraId="61C84721" w14:textId="77777777" w:rsidR="00365726" w:rsidRPr="00110AE6" w:rsidRDefault="00365726" w:rsidP="00365726">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Groupe</w:t>
            </w:r>
          </w:p>
        </w:tc>
        <w:tc>
          <w:tcPr>
            <w:tcW w:w="7458" w:type="dxa"/>
            <w:gridSpan w:val="4"/>
            <w:tcBorders>
              <w:top w:val="single" w:sz="4" w:space="0" w:color="auto"/>
              <w:bottom w:val="single" w:sz="4" w:space="0" w:color="auto"/>
            </w:tcBorders>
            <w:vAlign w:val="center"/>
          </w:tcPr>
          <w:p w14:paraId="5B5DB2C6" w14:textId="186DFAD4" w:rsidR="00365726" w:rsidRPr="00110AE6" w:rsidRDefault="00365726" w:rsidP="00365726">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États d’Europe occidentale et autres États</w:t>
            </w:r>
          </w:p>
        </w:tc>
      </w:tr>
      <w:tr w:rsidR="00365726" w:rsidRPr="00110AE6" w14:paraId="76386958" w14:textId="77777777" w:rsidTr="00101811">
        <w:trPr>
          <w:trHeight w:val="315"/>
        </w:trPr>
        <w:tc>
          <w:tcPr>
            <w:tcW w:w="1166" w:type="dxa"/>
            <w:tcBorders>
              <w:top w:val="single" w:sz="4" w:space="0" w:color="auto"/>
            </w:tcBorders>
            <w:vAlign w:val="center"/>
            <w:hideMark/>
          </w:tcPr>
          <w:p w14:paraId="036EC68C"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79</w:t>
            </w:r>
          </w:p>
        </w:tc>
        <w:tc>
          <w:tcPr>
            <w:tcW w:w="1200" w:type="dxa"/>
            <w:tcBorders>
              <w:top w:val="single" w:sz="4" w:space="0" w:color="auto"/>
            </w:tcBorders>
            <w:vAlign w:val="center"/>
            <w:hideMark/>
          </w:tcPr>
          <w:p w14:paraId="4BC3A95F"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w:t>
            </w:r>
          </w:p>
        </w:tc>
        <w:tc>
          <w:tcPr>
            <w:tcW w:w="2307" w:type="dxa"/>
            <w:tcBorders>
              <w:top w:val="single" w:sz="4" w:space="0" w:color="auto"/>
            </w:tcBorders>
            <w:vAlign w:val="center"/>
            <w:hideMark/>
          </w:tcPr>
          <w:p w14:paraId="2C458A6A"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 xml:space="preserve">Autriche </w:t>
            </w:r>
          </w:p>
        </w:tc>
        <w:tc>
          <w:tcPr>
            <w:tcW w:w="1757" w:type="dxa"/>
            <w:tcBorders>
              <w:top w:val="single" w:sz="4" w:space="0" w:color="auto"/>
            </w:tcBorders>
            <w:vAlign w:val="center"/>
          </w:tcPr>
          <w:p w14:paraId="02DBC360" w14:textId="26AAEE96"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720</w:t>
            </w:r>
          </w:p>
        </w:tc>
        <w:tc>
          <w:tcPr>
            <w:tcW w:w="1917" w:type="dxa"/>
            <w:tcBorders>
              <w:top w:val="single" w:sz="4" w:space="0" w:color="auto"/>
            </w:tcBorders>
            <w:vAlign w:val="center"/>
          </w:tcPr>
          <w:p w14:paraId="43E2FC90" w14:textId="0AC28D7B"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968 </w:t>
            </w:r>
          </w:p>
        </w:tc>
        <w:tc>
          <w:tcPr>
            <w:tcW w:w="1477" w:type="dxa"/>
            <w:tcBorders>
              <w:top w:val="single" w:sz="4" w:space="0" w:color="auto"/>
            </w:tcBorders>
            <w:vAlign w:val="center"/>
          </w:tcPr>
          <w:p w14:paraId="75FFED1D" w14:textId="3090E774"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31 829 </w:t>
            </w:r>
          </w:p>
        </w:tc>
      </w:tr>
      <w:tr w:rsidR="00365726" w:rsidRPr="00110AE6" w14:paraId="0E6B07F5" w14:textId="77777777" w:rsidTr="00101811">
        <w:trPr>
          <w:trHeight w:val="300"/>
        </w:trPr>
        <w:tc>
          <w:tcPr>
            <w:tcW w:w="1166" w:type="dxa"/>
            <w:vAlign w:val="center"/>
            <w:hideMark/>
          </w:tcPr>
          <w:p w14:paraId="6D2E3FE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80</w:t>
            </w:r>
          </w:p>
        </w:tc>
        <w:tc>
          <w:tcPr>
            <w:tcW w:w="1200" w:type="dxa"/>
            <w:vAlign w:val="center"/>
            <w:hideMark/>
          </w:tcPr>
          <w:p w14:paraId="2255EF76"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w:t>
            </w:r>
          </w:p>
        </w:tc>
        <w:tc>
          <w:tcPr>
            <w:tcW w:w="2307" w:type="dxa"/>
            <w:vAlign w:val="center"/>
            <w:hideMark/>
          </w:tcPr>
          <w:p w14:paraId="55D04F6B"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Belgique</w:t>
            </w:r>
          </w:p>
        </w:tc>
        <w:tc>
          <w:tcPr>
            <w:tcW w:w="1757" w:type="dxa"/>
            <w:vAlign w:val="center"/>
          </w:tcPr>
          <w:p w14:paraId="338395A3" w14:textId="4FD16FEB"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885</w:t>
            </w:r>
          </w:p>
        </w:tc>
        <w:tc>
          <w:tcPr>
            <w:tcW w:w="1917" w:type="dxa"/>
            <w:vAlign w:val="center"/>
          </w:tcPr>
          <w:p w14:paraId="5A1058EB" w14:textId="547CA188"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190</w:t>
            </w:r>
          </w:p>
        </w:tc>
        <w:tc>
          <w:tcPr>
            <w:tcW w:w="1477" w:type="dxa"/>
            <w:vAlign w:val="center"/>
          </w:tcPr>
          <w:p w14:paraId="40300CE2" w14:textId="04EE953F"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39 123 </w:t>
            </w:r>
          </w:p>
        </w:tc>
      </w:tr>
      <w:tr w:rsidR="00365726" w:rsidRPr="00110AE6" w14:paraId="29DA855F" w14:textId="77777777" w:rsidTr="00101811">
        <w:trPr>
          <w:trHeight w:val="300"/>
        </w:trPr>
        <w:tc>
          <w:tcPr>
            <w:tcW w:w="1166" w:type="dxa"/>
            <w:vAlign w:val="center"/>
            <w:hideMark/>
          </w:tcPr>
          <w:p w14:paraId="3B1CEAEA"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81</w:t>
            </w:r>
          </w:p>
        </w:tc>
        <w:tc>
          <w:tcPr>
            <w:tcW w:w="1200" w:type="dxa"/>
            <w:vAlign w:val="center"/>
            <w:hideMark/>
          </w:tcPr>
          <w:p w14:paraId="5F6CF397"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3</w:t>
            </w:r>
          </w:p>
        </w:tc>
        <w:tc>
          <w:tcPr>
            <w:tcW w:w="2307" w:type="dxa"/>
            <w:vAlign w:val="center"/>
            <w:hideMark/>
          </w:tcPr>
          <w:p w14:paraId="71C9C6DD"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Canada</w:t>
            </w:r>
          </w:p>
        </w:tc>
        <w:tc>
          <w:tcPr>
            <w:tcW w:w="1757" w:type="dxa"/>
            <w:vAlign w:val="center"/>
          </w:tcPr>
          <w:p w14:paraId="64DEF269" w14:textId="3D0C13E8"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2</w:t>
            </w:r>
            <w:r w:rsidR="00D8548D" w:rsidRPr="00110AE6">
              <w:rPr>
                <w:noProof/>
                <w:sz w:val="18"/>
                <w:szCs w:val="18"/>
                <w:lang w:val="fr-FR"/>
              </w:rPr>
              <w:t>,</w:t>
            </w:r>
            <w:r w:rsidRPr="00110AE6">
              <w:rPr>
                <w:noProof/>
                <w:sz w:val="18"/>
                <w:szCs w:val="18"/>
                <w:lang w:val="fr-FR"/>
              </w:rPr>
              <w:t>921</w:t>
            </w:r>
          </w:p>
        </w:tc>
        <w:tc>
          <w:tcPr>
            <w:tcW w:w="1917" w:type="dxa"/>
            <w:vAlign w:val="center"/>
          </w:tcPr>
          <w:p w14:paraId="58069629" w14:textId="092462A5"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3</w:t>
            </w:r>
            <w:r w:rsidR="00D8548D" w:rsidRPr="00110AE6">
              <w:rPr>
                <w:noProof/>
                <w:sz w:val="18"/>
                <w:szCs w:val="18"/>
                <w:lang w:val="fr-FR"/>
              </w:rPr>
              <w:t>,</w:t>
            </w:r>
            <w:r w:rsidRPr="00110AE6">
              <w:rPr>
                <w:noProof/>
                <w:sz w:val="18"/>
                <w:szCs w:val="18"/>
                <w:lang w:val="fr-FR"/>
              </w:rPr>
              <w:t xml:space="preserve">926 </w:t>
            </w:r>
          </w:p>
        </w:tc>
        <w:tc>
          <w:tcPr>
            <w:tcW w:w="1477" w:type="dxa"/>
            <w:vAlign w:val="center"/>
          </w:tcPr>
          <w:p w14:paraId="0FBB91F1" w14:textId="0B1073B2"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129 127 </w:t>
            </w:r>
          </w:p>
        </w:tc>
      </w:tr>
      <w:tr w:rsidR="00365726" w:rsidRPr="00110AE6" w14:paraId="1440DF72" w14:textId="77777777" w:rsidTr="00101811">
        <w:trPr>
          <w:trHeight w:val="300"/>
        </w:trPr>
        <w:tc>
          <w:tcPr>
            <w:tcW w:w="1166" w:type="dxa"/>
            <w:vAlign w:val="center"/>
            <w:hideMark/>
          </w:tcPr>
          <w:p w14:paraId="3F3B578B"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82</w:t>
            </w:r>
          </w:p>
        </w:tc>
        <w:tc>
          <w:tcPr>
            <w:tcW w:w="1200" w:type="dxa"/>
            <w:vAlign w:val="center"/>
            <w:hideMark/>
          </w:tcPr>
          <w:p w14:paraId="629A34A7"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4</w:t>
            </w:r>
          </w:p>
        </w:tc>
        <w:tc>
          <w:tcPr>
            <w:tcW w:w="2307" w:type="dxa"/>
            <w:vAlign w:val="center"/>
            <w:hideMark/>
          </w:tcPr>
          <w:p w14:paraId="50E2DD9B"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Danemark</w:t>
            </w:r>
          </w:p>
        </w:tc>
        <w:tc>
          <w:tcPr>
            <w:tcW w:w="1757" w:type="dxa"/>
            <w:vAlign w:val="center"/>
          </w:tcPr>
          <w:p w14:paraId="2A5C7593" w14:textId="101AA18B"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584</w:t>
            </w:r>
          </w:p>
        </w:tc>
        <w:tc>
          <w:tcPr>
            <w:tcW w:w="1917" w:type="dxa"/>
            <w:vAlign w:val="center"/>
          </w:tcPr>
          <w:p w14:paraId="38176251" w14:textId="2209569B"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758 </w:t>
            </w:r>
          </w:p>
        </w:tc>
        <w:tc>
          <w:tcPr>
            <w:tcW w:w="1477" w:type="dxa"/>
            <w:vAlign w:val="center"/>
          </w:tcPr>
          <w:p w14:paraId="74239610" w14:textId="7C0AE3B7"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25 817 </w:t>
            </w:r>
          </w:p>
        </w:tc>
      </w:tr>
      <w:tr w:rsidR="00365726" w:rsidRPr="00110AE6" w14:paraId="430D69BC" w14:textId="77777777" w:rsidTr="00101811">
        <w:trPr>
          <w:trHeight w:val="300"/>
        </w:trPr>
        <w:tc>
          <w:tcPr>
            <w:tcW w:w="1166" w:type="dxa"/>
            <w:vAlign w:val="center"/>
          </w:tcPr>
          <w:p w14:paraId="17C8E72B"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83</w:t>
            </w:r>
          </w:p>
        </w:tc>
        <w:tc>
          <w:tcPr>
            <w:tcW w:w="1200" w:type="dxa"/>
            <w:vAlign w:val="center"/>
          </w:tcPr>
          <w:p w14:paraId="11590C6E"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5</w:t>
            </w:r>
          </w:p>
        </w:tc>
        <w:tc>
          <w:tcPr>
            <w:tcW w:w="2307" w:type="dxa"/>
            <w:vAlign w:val="center"/>
          </w:tcPr>
          <w:p w14:paraId="203E8718" w14:textId="71FFF24A"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Union européenne</w:t>
            </w:r>
          </w:p>
        </w:tc>
        <w:tc>
          <w:tcPr>
            <w:tcW w:w="1757" w:type="dxa"/>
            <w:vAlign w:val="center"/>
          </w:tcPr>
          <w:p w14:paraId="19D160DD" w14:textId="14980286"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2,500</w:t>
            </w:r>
          </w:p>
        </w:tc>
        <w:tc>
          <w:tcPr>
            <w:tcW w:w="1917" w:type="dxa"/>
            <w:vAlign w:val="center"/>
          </w:tcPr>
          <w:p w14:paraId="107DBA28" w14:textId="07EB6802"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2,500</w:t>
            </w:r>
          </w:p>
        </w:tc>
        <w:tc>
          <w:tcPr>
            <w:tcW w:w="1477" w:type="dxa"/>
            <w:vAlign w:val="center"/>
          </w:tcPr>
          <w:p w14:paraId="425B4907" w14:textId="6D01BF49"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82 215</w:t>
            </w:r>
          </w:p>
        </w:tc>
      </w:tr>
      <w:tr w:rsidR="00365726" w:rsidRPr="00110AE6" w14:paraId="660ACF78" w14:textId="77777777" w:rsidTr="00101811">
        <w:trPr>
          <w:trHeight w:val="300"/>
        </w:trPr>
        <w:tc>
          <w:tcPr>
            <w:tcW w:w="1166" w:type="dxa"/>
            <w:vAlign w:val="center"/>
            <w:hideMark/>
          </w:tcPr>
          <w:p w14:paraId="749E231E"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84</w:t>
            </w:r>
          </w:p>
        </w:tc>
        <w:tc>
          <w:tcPr>
            <w:tcW w:w="1200" w:type="dxa"/>
            <w:vAlign w:val="center"/>
            <w:hideMark/>
          </w:tcPr>
          <w:p w14:paraId="71B61D39"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6</w:t>
            </w:r>
          </w:p>
        </w:tc>
        <w:tc>
          <w:tcPr>
            <w:tcW w:w="2307" w:type="dxa"/>
            <w:vAlign w:val="center"/>
            <w:hideMark/>
          </w:tcPr>
          <w:p w14:paraId="728C0020"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Finlande</w:t>
            </w:r>
          </w:p>
        </w:tc>
        <w:tc>
          <w:tcPr>
            <w:tcW w:w="1757" w:type="dxa"/>
            <w:vAlign w:val="center"/>
          </w:tcPr>
          <w:p w14:paraId="7FEDC588" w14:textId="5EAB050E"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456</w:t>
            </w:r>
          </w:p>
        </w:tc>
        <w:tc>
          <w:tcPr>
            <w:tcW w:w="1917" w:type="dxa"/>
            <w:vAlign w:val="center"/>
          </w:tcPr>
          <w:p w14:paraId="5FBFE0A0" w14:textId="1D438B0F"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613 </w:t>
            </w:r>
          </w:p>
        </w:tc>
        <w:tc>
          <w:tcPr>
            <w:tcW w:w="1477" w:type="dxa"/>
            <w:vAlign w:val="center"/>
          </w:tcPr>
          <w:p w14:paraId="5F193B75" w14:textId="732B6DF4"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20 158 </w:t>
            </w:r>
          </w:p>
        </w:tc>
      </w:tr>
      <w:tr w:rsidR="00365726" w:rsidRPr="00110AE6" w14:paraId="7EE59E8B" w14:textId="77777777" w:rsidTr="00101811">
        <w:trPr>
          <w:trHeight w:val="300"/>
        </w:trPr>
        <w:tc>
          <w:tcPr>
            <w:tcW w:w="1166" w:type="dxa"/>
            <w:vAlign w:val="center"/>
            <w:hideMark/>
          </w:tcPr>
          <w:p w14:paraId="47C611E0"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85</w:t>
            </w:r>
          </w:p>
        </w:tc>
        <w:tc>
          <w:tcPr>
            <w:tcW w:w="1200" w:type="dxa"/>
            <w:vAlign w:val="center"/>
            <w:hideMark/>
          </w:tcPr>
          <w:p w14:paraId="14A88BB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7</w:t>
            </w:r>
          </w:p>
        </w:tc>
        <w:tc>
          <w:tcPr>
            <w:tcW w:w="2307" w:type="dxa"/>
            <w:vAlign w:val="center"/>
            <w:hideMark/>
          </w:tcPr>
          <w:p w14:paraId="21043D40"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France</w:t>
            </w:r>
          </w:p>
        </w:tc>
        <w:tc>
          <w:tcPr>
            <w:tcW w:w="1757" w:type="dxa"/>
            <w:vAlign w:val="center"/>
          </w:tcPr>
          <w:p w14:paraId="3AAE9751" w14:textId="7E28373A"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4</w:t>
            </w:r>
            <w:r w:rsidR="00D8548D" w:rsidRPr="00110AE6">
              <w:rPr>
                <w:noProof/>
                <w:sz w:val="18"/>
                <w:szCs w:val="18"/>
                <w:lang w:val="fr-FR"/>
              </w:rPr>
              <w:t>,</w:t>
            </w:r>
            <w:r w:rsidRPr="00110AE6">
              <w:rPr>
                <w:noProof/>
                <w:sz w:val="18"/>
                <w:szCs w:val="18"/>
                <w:lang w:val="fr-FR"/>
              </w:rPr>
              <w:t>859</w:t>
            </w:r>
          </w:p>
        </w:tc>
        <w:tc>
          <w:tcPr>
            <w:tcW w:w="1917" w:type="dxa"/>
            <w:vAlign w:val="center"/>
          </w:tcPr>
          <w:p w14:paraId="56EFDAD0" w14:textId="789BB659"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6</w:t>
            </w:r>
            <w:r w:rsidR="00D8548D" w:rsidRPr="00110AE6">
              <w:rPr>
                <w:noProof/>
                <w:sz w:val="18"/>
                <w:szCs w:val="18"/>
                <w:lang w:val="fr-FR"/>
              </w:rPr>
              <w:t>,</w:t>
            </w:r>
            <w:r w:rsidRPr="00110AE6">
              <w:rPr>
                <w:noProof/>
                <w:sz w:val="18"/>
                <w:szCs w:val="18"/>
                <w:lang w:val="fr-FR"/>
              </w:rPr>
              <w:t xml:space="preserve">532 </w:t>
            </w:r>
          </w:p>
        </w:tc>
        <w:tc>
          <w:tcPr>
            <w:tcW w:w="1477" w:type="dxa"/>
            <w:vAlign w:val="center"/>
          </w:tcPr>
          <w:p w14:paraId="4AAA35FA" w14:textId="28F32319"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214 799 </w:t>
            </w:r>
          </w:p>
        </w:tc>
      </w:tr>
      <w:tr w:rsidR="00365726" w:rsidRPr="00110AE6" w14:paraId="7F8CFBDA" w14:textId="77777777" w:rsidTr="00101811">
        <w:trPr>
          <w:trHeight w:val="300"/>
        </w:trPr>
        <w:tc>
          <w:tcPr>
            <w:tcW w:w="1166" w:type="dxa"/>
            <w:vAlign w:val="center"/>
            <w:hideMark/>
          </w:tcPr>
          <w:p w14:paraId="4A003BD2"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86</w:t>
            </w:r>
          </w:p>
        </w:tc>
        <w:tc>
          <w:tcPr>
            <w:tcW w:w="1200" w:type="dxa"/>
            <w:vAlign w:val="center"/>
            <w:hideMark/>
          </w:tcPr>
          <w:p w14:paraId="0603D4EA"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w:t>
            </w:r>
          </w:p>
        </w:tc>
        <w:tc>
          <w:tcPr>
            <w:tcW w:w="2307" w:type="dxa"/>
            <w:vAlign w:val="center"/>
            <w:hideMark/>
          </w:tcPr>
          <w:p w14:paraId="5C0BBE84"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Allemagne</w:t>
            </w:r>
          </w:p>
        </w:tc>
        <w:tc>
          <w:tcPr>
            <w:tcW w:w="1757" w:type="dxa"/>
            <w:vAlign w:val="center"/>
          </w:tcPr>
          <w:p w14:paraId="4998BFEB" w14:textId="6EA3EB3F"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6</w:t>
            </w:r>
            <w:r w:rsidR="00D8548D" w:rsidRPr="00110AE6">
              <w:rPr>
                <w:noProof/>
                <w:sz w:val="18"/>
                <w:szCs w:val="18"/>
                <w:lang w:val="fr-FR"/>
              </w:rPr>
              <w:t>,</w:t>
            </w:r>
            <w:r w:rsidRPr="00110AE6">
              <w:rPr>
                <w:noProof/>
                <w:sz w:val="18"/>
                <w:szCs w:val="18"/>
                <w:lang w:val="fr-FR"/>
              </w:rPr>
              <w:t>389</w:t>
            </w:r>
          </w:p>
        </w:tc>
        <w:tc>
          <w:tcPr>
            <w:tcW w:w="1917" w:type="dxa"/>
            <w:vAlign w:val="center"/>
          </w:tcPr>
          <w:p w14:paraId="04077EC7" w14:textId="12E54C79"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8</w:t>
            </w:r>
            <w:r w:rsidR="00D8548D" w:rsidRPr="00110AE6">
              <w:rPr>
                <w:noProof/>
                <w:sz w:val="18"/>
                <w:szCs w:val="18"/>
                <w:lang w:val="fr-FR"/>
              </w:rPr>
              <w:t>,</w:t>
            </w:r>
            <w:r w:rsidRPr="00110AE6">
              <w:rPr>
                <w:noProof/>
                <w:sz w:val="18"/>
                <w:szCs w:val="18"/>
                <w:lang w:val="fr-FR"/>
              </w:rPr>
              <w:t xml:space="preserve">588 </w:t>
            </w:r>
          </w:p>
        </w:tc>
        <w:tc>
          <w:tcPr>
            <w:tcW w:w="1477" w:type="dxa"/>
            <w:vAlign w:val="center"/>
          </w:tcPr>
          <w:p w14:paraId="2E975B0E" w14:textId="7872B2E1"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282 435 </w:t>
            </w:r>
          </w:p>
        </w:tc>
      </w:tr>
      <w:tr w:rsidR="00365726" w:rsidRPr="00110AE6" w14:paraId="480A04FB" w14:textId="77777777" w:rsidTr="00101811">
        <w:trPr>
          <w:trHeight w:val="300"/>
        </w:trPr>
        <w:tc>
          <w:tcPr>
            <w:tcW w:w="1166" w:type="dxa"/>
            <w:vAlign w:val="center"/>
            <w:hideMark/>
          </w:tcPr>
          <w:p w14:paraId="5EA6DD3E"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87</w:t>
            </w:r>
          </w:p>
        </w:tc>
        <w:tc>
          <w:tcPr>
            <w:tcW w:w="1200" w:type="dxa"/>
            <w:vAlign w:val="center"/>
            <w:hideMark/>
          </w:tcPr>
          <w:p w14:paraId="428287E3"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w:t>
            </w:r>
          </w:p>
        </w:tc>
        <w:tc>
          <w:tcPr>
            <w:tcW w:w="2307" w:type="dxa"/>
            <w:vAlign w:val="center"/>
            <w:hideMark/>
          </w:tcPr>
          <w:p w14:paraId="24A3ECAD"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Islande</w:t>
            </w:r>
          </w:p>
        </w:tc>
        <w:tc>
          <w:tcPr>
            <w:tcW w:w="1757" w:type="dxa"/>
            <w:vAlign w:val="center"/>
          </w:tcPr>
          <w:p w14:paraId="3FBB8130" w14:textId="7E1900B8"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023</w:t>
            </w:r>
          </w:p>
        </w:tc>
        <w:tc>
          <w:tcPr>
            <w:tcW w:w="1917" w:type="dxa"/>
            <w:vAlign w:val="center"/>
          </w:tcPr>
          <w:p w14:paraId="1757EE33" w14:textId="053F5EE0"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031 </w:t>
            </w:r>
          </w:p>
        </w:tc>
        <w:tc>
          <w:tcPr>
            <w:tcW w:w="1477" w:type="dxa"/>
            <w:vAlign w:val="center"/>
          </w:tcPr>
          <w:p w14:paraId="2359D340" w14:textId="541996F6"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1 017 </w:t>
            </w:r>
          </w:p>
        </w:tc>
      </w:tr>
      <w:tr w:rsidR="00365726" w:rsidRPr="00110AE6" w14:paraId="5962511A" w14:textId="77777777" w:rsidTr="00101811">
        <w:trPr>
          <w:trHeight w:val="300"/>
        </w:trPr>
        <w:tc>
          <w:tcPr>
            <w:tcW w:w="1166" w:type="dxa"/>
            <w:vAlign w:val="center"/>
            <w:hideMark/>
          </w:tcPr>
          <w:p w14:paraId="436DFD01"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88</w:t>
            </w:r>
          </w:p>
        </w:tc>
        <w:tc>
          <w:tcPr>
            <w:tcW w:w="1200" w:type="dxa"/>
            <w:vAlign w:val="center"/>
            <w:hideMark/>
          </w:tcPr>
          <w:p w14:paraId="6D8FF7D0"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10</w:t>
            </w:r>
          </w:p>
        </w:tc>
        <w:tc>
          <w:tcPr>
            <w:tcW w:w="2307" w:type="dxa"/>
            <w:vAlign w:val="center"/>
            <w:hideMark/>
          </w:tcPr>
          <w:p w14:paraId="4722C858"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Liechtenstein</w:t>
            </w:r>
          </w:p>
        </w:tc>
        <w:tc>
          <w:tcPr>
            <w:tcW w:w="1757" w:type="dxa"/>
            <w:vAlign w:val="center"/>
          </w:tcPr>
          <w:p w14:paraId="1C6CB375" w14:textId="73EEB44F"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007</w:t>
            </w:r>
          </w:p>
        </w:tc>
        <w:tc>
          <w:tcPr>
            <w:tcW w:w="1917" w:type="dxa"/>
            <w:vAlign w:val="center"/>
          </w:tcPr>
          <w:p w14:paraId="112D6107" w14:textId="11B35D77"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010 </w:t>
            </w:r>
          </w:p>
        </w:tc>
        <w:tc>
          <w:tcPr>
            <w:tcW w:w="1477" w:type="dxa"/>
            <w:vAlign w:val="center"/>
          </w:tcPr>
          <w:p w14:paraId="14F01500" w14:textId="0314FC0B"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329</w:t>
            </w:r>
          </w:p>
        </w:tc>
      </w:tr>
      <w:tr w:rsidR="00365726" w:rsidRPr="00110AE6" w14:paraId="1C515BE0" w14:textId="77777777" w:rsidTr="00101811">
        <w:trPr>
          <w:trHeight w:val="300"/>
        </w:trPr>
        <w:tc>
          <w:tcPr>
            <w:tcW w:w="1166" w:type="dxa"/>
            <w:vAlign w:val="center"/>
            <w:hideMark/>
          </w:tcPr>
          <w:p w14:paraId="2BCE43D0"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89</w:t>
            </w:r>
          </w:p>
        </w:tc>
        <w:tc>
          <w:tcPr>
            <w:tcW w:w="1200" w:type="dxa"/>
            <w:vAlign w:val="center"/>
            <w:hideMark/>
          </w:tcPr>
          <w:p w14:paraId="230C5596"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11</w:t>
            </w:r>
          </w:p>
        </w:tc>
        <w:tc>
          <w:tcPr>
            <w:tcW w:w="2307" w:type="dxa"/>
            <w:vAlign w:val="center"/>
            <w:hideMark/>
          </w:tcPr>
          <w:p w14:paraId="2B3C18DC"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Luxembourg</w:t>
            </w:r>
          </w:p>
        </w:tc>
        <w:tc>
          <w:tcPr>
            <w:tcW w:w="1757" w:type="dxa"/>
            <w:vAlign w:val="center"/>
          </w:tcPr>
          <w:p w14:paraId="3B9280B2" w14:textId="2FD2A70B"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064</w:t>
            </w:r>
          </w:p>
        </w:tc>
        <w:tc>
          <w:tcPr>
            <w:tcW w:w="1917" w:type="dxa"/>
            <w:vAlign w:val="center"/>
          </w:tcPr>
          <w:p w14:paraId="7E5FFF28" w14:textId="3D1AAD1C"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086 </w:t>
            </w:r>
          </w:p>
        </w:tc>
        <w:tc>
          <w:tcPr>
            <w:tcW w:w="1477" w:type="dxa"/>
            <w:vAlign w:val="center"/>
          </w:tcPr>
          <w:p w14:paraId="43CCA136" w14:textId="5E36D116"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2 829 </w:t>
            </w:r>
          </w:p>
        </w:tc>
      </w:tr>
      <w:tr w:rsidR="00365726" w:rsidRPr="00110AE6" w14:paraId="14A5AA98" w14:textId="77777777" w:rsidTr="00101811">
        <w:trPr>
          <w:trHeight w:val="300"/>
        </w:trPr>
        <w:tc>
          <w:tcPr>
            <w:tcW w:w="1166" w:type="dxa"/>
            <w:vAlign w:val="center"/>
            <w:hideMark/>
          </w:tcPr>
          <w:p w14:paraId="783E703F"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90</w:t>
            </w:r>
          </w:p>
        </w:tc>
        <w:tc>
          <w:tcPr>
            <w:tcW w:w="1200" w:type="dxa"/>
            <w:vAlign w:val="center"/>
            <w:hideMark/>
          </w:tcPr>
          <w:p w14:paraId="0E6512DB"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12</w:t>
            </w:r>
          </w:p>
        </w:tc>
        <w:tc>
          <w:tcPr>
            <w:tcW w:w="2307" w:type="dxa"/>
            <w:vAlign w:val="center"/>
            <w:hideMark/>
          </w:tcPr>
          <w:p w14:paraId="569119AC"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Malte</w:t>
            </w:r>
          </w:p>
        </w:tc>
        <w:tc>
          <w:tcPr>
            <w:tcW w:w="1757" w:type="dxa"/>
            <w:vAlign w:val="center"/>
          </w:tcPr>
          <w:p w14:paraId="1792CB94" w14:textId="3F93D595"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016</w:t>
            </w:r>
          </w:p>
        </w:tc>
        <w:tc>
          <w:tcPr>
            <w:tcW w:w="1917" w:type="dxa"/>
            <w:vAlign w:val="center"/>
          </w:tcPr>
          <w:p w14:paraId="7598BC69" w14:textId="7D954C1D"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022</w:t>
            </w:r>
          </w:p>
        </w:tc>
        <w:tc>
          <w:tcPr>
            <w:tcW w:w="1477" w:type="dxa"/>
            <w:vAlign w:val="center"/>
          </w:tcPr>
          <w:p w14:paraId="7F810B91" w14:textId="74D6AEE6"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707 </w:t>
            </w:r>
          </w:p>
        </w:tc>
      </w:tr>
      <w:tr w:rsidR="00365726" w:rsidRPr="00110AE6" w14:paraId="53FBCFDA" w14:textId="77777777" w:rsidTr="00101811">
        <w:trPr>
          <w:trHeight w:val="300"/>
        </w:trPr>
        <w:tc>
          <w:tcPr>
            <w:tcW w:w="1166" w:type="dxa"/>
            <w:vAlign w:val="center"/>
            <w:hideMark/>
          </w:tcPr>
          <w:p w14:paraId="328E58DE"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91</w:t>
            </w:r>
          </w:p>
        </w:tc>
        <w:tc>
          <w:tcPr>
            <w:tcW w:w="1200" w:type="dxa"/>
            <w:vAlign w:val="center"/>
            <w:hideMark/>
          </w:tcPr>
          <w:p w14:paraId="19F419B6"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13</w:t>
            </w:r>
          </w:p>
        </w:tc>
        <w:tc>
          <w:tcPr>
            <w:tcW w:w="2307" w:type="dxa"/>
            <w:vAlign w:val="center"/>
            <w:hideMark/>
          </w:tcPr>
          <w:p w14:paraId="448B2585"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Monaco</w:t>
            </w:r>
          </w:p>
        </w:tc>
        <w:tc>
          <w:tcPr>
            <w:tcW w:w="1757" w:type="dxa"/>
            <w:vAlign w:val="center"/>
          </w:tcPr>
          <w:p w14:paraId="292B4752" w14:textId="269F1870"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010</w:t>
            </w:r>
          </w:p>
        </w:tc>
        <w:tc>
          <w:tcPr>
            <w:tcW w:w="1917" w:type="dxa"/>
            <w:vAlign w:val="center"/>
          </w:tcPr>
          <w:p w14:paraId="7C5BCCC2" w14:textId="2296E75F"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 xml:space="preserve">013 </w:t>
            </w:r>
          </w:p>
        </w:tc>
        <w:tc>
          <w:tcPr>
            <w:tcW w:w="1477" w:type="dxa"/>
            <w:vAlign w:val="center"/>
          </w:tcPr>
          <w:p w14:paraId="68CB229D" w14:textId="2FA448C5"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442 </w:t>
            </w:r>
          </w:p>
        </w:tc>
      </w:tr>
      <w:tr w:rsidR="00365726" w:rsidRPr="00110AE6" w14:paraId="5C079BC4" w14:textId="77777777" w:rsidTr="00101811">
        <w:trPr>
          <w:trHeight w:val="300"/>
        </w:trPr>
        <w:tc>
          <w:tcPr>
            <w:tcW w:w="1166" w:type="dxa"/>
            <w:vAlign w:val="center"/>
            <w:hideMark/>
          </w:tcPr>
          <w:p w14:paraId="7E61D0D5"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92</w:t>
            </w:r>
          </w:p>
        </w:tc>
        <w:tc>
          <w:tcPr>
            <w:tcW w:w="1200" w:type="dxa"/>
            <w:vAlign w:val="center"/>
            <w:hideMark/>
          </w:tcPr>
          <w:p w14:paraId="09957823"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14</w:t>
            </w:r>
          </w:p>
        </w:tc>
        <w:tc>
          <w:tcPr>
            <w:tcW w:w="2307" w:type="dxa"/>
            <w:vAlign w:val="center"/>
            <w:hideMark/>
          </w:tcPr>
          <w:p w14:paraId="462E9AD3"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Pays-Bas</w:t>
            </w:r>
          </w:p>
        </w:tc>
        <w:tc>
          <w:tcPr>
            <w:tcW w:w="1757" w:type="dxa"/>
            <w:vAlign w:val="center"/>
          </w:tcPr>
          <w:p w14:paraId="04F66EC4" w14:textId="057119D2"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482</w:t>
            </w:r>
          </w:p>
        </w:tc>
        <w:tc>
          <w:tcPr>
            <w:tcW w:w="1917" w:type="dxa"/>
            <w:vAlign w:val="center"/>
          </w:tcPr>
          <w:p w14:paraId="7D040E12" w14:textId="6E802427"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 xml:space="preserve">992 </w:t>
            </w:r>
          </w:p>
        </w:tc>
        <w:tc>
          <w:tcPr>
            <w:tcW w:w="1477" w:type="dxa"/>
            <w:vAlign w:val="center"/>
          </w:tcPr>
          <w:p w14:paraId="1F9CC393" w14:textId="4E62BC77"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65 514 </w:t>
            </w:r>
          </w:p>
        </w:tc>
      </w:tr>
      <w:tr w:rsidR="00365726" w:rsidRPr="00110AE6" w14:paraId="6A2E7D74" w14:textId="77777777" w:rsidTr="00101811">
        <w:trPr>
          <w:trHeight w:val="300"/>
        </w:trPr>
        <w:tc>
          <w:tcPr>
            <w:tcW w:w="1166" w:type="dxa"/>
            <w:vAlign w:val="center"/>
            <w:hideMark/>
          </w:tcPr>
          <w:p w14:paraId="2AEFA557"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93</w:t>
            </w:r>
          </w:p>
        </w:tc>
        <w:tc>
          <w:tcPr>
            <w:tcW w:w="1200" w:type="dxa"/>
            <w:vAlign w:val="center"/>
            <w:hideMark/>
          </w:tcPr>
          <w:p w14:paraId="46A6CD1A"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15</w:t>
            </w:r>
          </w:p>
        </w:tc>
        <w:tc>
          <w:tcPr>
            <w:tcW w:w="2307" w:type="dxa"/>
            <w:vAlign w:val="center"/>
            <w:hideMark/>
          </w:tcPr>
          <w:p w14:paraId="081737C3"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Norvège</w:t>
            </w:r>
          </w:p>
        </w:tc>
        <w:tc>
          <w:tcPr>
            <w:tcW w:w="1757" w:type="dxa"/>
            <w:vAlign w:val="center"/>
          </w:tcPr>
          <w:p w14:paraId="7DC2FB18" w14:textId="754F4B92"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849</w:t>
            </w:r>
          </w:p>
        </w:tc>
        <w:tc>
          <w:tcPr>
            <w:tcW w:w="1917" w:type="dxa"/>
            <w:vAlign w:val="center"/>
          </w:tcPr>
          <w:p w14:paraId="3C27BDF5" w14:textId="6462F0B6"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 xml:space="preserve">141 </w:t>
            </w:r>
          </w:p>
        </w:tc>
        <w:tc>
          <w:tcPr>
            <w:tcW w:w="1477" w:type="dxa"/>
            <w:vAlign w:val="center"/>
          </w:tcPr>
          <w:p w14:paraId="5BAF2BC1" w14:textId="1262E079"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37 531 </w:t>
            </w:r>
          </w:p>
        </w:tc>
      </w:tr>
      <w:tr w:rsidR="00365726" w:rsidRPr="00110AE6" w14:paraId="4FEE8325" w14:textId="77777777" w:rsidTr="00101811">
        <w:trPr>
          <w:trHeight w:val="300"/>
        </w:trPr>
        <w:tc>
          <w:tcPr>
            <w:tcW w:w="1166" w:type="dxa"/>
            <w:vAlign w:val="center"/>
            <w:hideMark/>
          </w:tcPr>
          <w:p w14:paraId="148FAC07"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94</w:t>
            </w:r>
          </w:p>
        </w:tc>
        <w:tc>
          <w:tcPr>
            <w:tcW w:w="1200" w:type="dxa"/>
            <w:vAlign w:val="center"/>
            <w:hideMark/>
          </w:tcPr>
          <w:p w14:paraId="66C736B2"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16</w:t>
            </w:r>
          </w:p>
        </w:tc>
        <w:tc>
          <w:tcPr>
            <w:tcW w:w="2307" w:type="dxa"/>
            <w:vAlign w:val="center"/>
            <w:hideMark/>
          </w:tcPr>
          <w:p w14:paraId="038A46AD"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Portugal</w:t>
            </w:r>
          </w:p>
        </w:tc>
        <w:tc>
          <w:tcPr>
            <w:tcW w:w="1757" w:type="dxa"/>
            <w:vAlign w:val="center"/>
          </w:tcPr>
          <w:p w14:paraId="6AC5FF8F" w14:textId="3C6477E4"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392</w:t>
            </w:r>
          </w:p>
        </w:tc>
        <w:tc>
          <w:tcPr>
            <w:tcW w:w="1917" w:type="dxa"/>
            <w:vAlign w:val="center"/>
          </w:tcPr>
          <w:p w14:paraId="48EA114D" w14:textId="0511681F"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527</w:t>
            </w:r>
          </w:p>
        </w:tc>
        <w:tc>
          <w:tcPr>
            <w:tcW w:w="1477" w:type="dxa"/>
            <w:vAlign w:val="center"/>
          </w:tcPr>
          <w:p w14:paraId="56A696A8" w14:textId="2F241F00"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17 329 </w:t>
            </w:r>
          </w:p>
        </w:tc>
      </w:tr>
      <w:tr w:rsidR="00365726" w:rsidRPr="00110AE6" w14:paraId="6B995B9D" w14:textId="77777777" w:rsidTr="00101811">
        <w:trPr>
          <w:trHeight w:val="300"/>
        </w:trPr>
        <w:tc>
          <w:tcPr>
            <w:tcW w:w="1166" w:type="dxa"/>
            <w:vAlign w:val="center"/>
          </w:tcPr>
          <w:p w14:paraId="0C2A13A9"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95</w:t>
            </w:r>
          </w:p>
        </w:tc>
        <w:tc>
          <w:tcPr>
            <w:tcW w:w="1200" w:type="dxa"/>
            <w:vAlign w:val="center"/>
          </w:tcPr>
          <w:p w14:paraId="4540FF7A" w14:textId="77777777"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17</w:t>
            </w:r>
          </w:p>
        </w:tc>
        <w:tc>
          <w:tcPr>
            <w:tcW w:w="2307" w:type="dxa"/>
            <w:vAlign w:val="center"/>
          </w:tcPr>
          <w:p w14:paraId="6995D74A" w14:textId="2A5EFEB3" w:rsidR="00365726" w:rsidRPr="00110AE6" w:rsidRDefault="00365726" w:rsidP="00365726">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Suède</w:t>
            </w:r>
          </w:p>
        </w:tc>
        <w:tc>
          <w:tcPr>
            <w:tcW w:w="1757" w:type="dxa"/>
            <w:vAlign w:val="center"/>
          </w:tcPr>
          <w:p w14:paraId="34712845" w14:textId="56E84546" w:rsidR="00365726" w:rsidRPr="00110AE6" w:rsidRDefault="00365726" w:rsidP="00365726">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0</w:t>
            </w:r>
            <w:r w:rsidR="00D8548D" w:rsidRPr="00110AE6">
              <w:rPr>
                <w:noProof/>
                <w:sz w:val="18"/>
                <w:szCs w:val="18"/>
                <w:lang w:val="fr-FR"/>
              </w:rPr>
              <w:t>,</w:t>
            </w:r>
            <w:r w:rsidRPr="00110AE6">
              <w:rPr>
                <w:noProof/>
                <w:sz w:val="18"/>
                <w:szCs w:val="18"/>
                <w:lang w:val="fr-FR"/>
              </w:rPr>
              <w:t>956</w:t>
            </w:r>
          </w:p>
        </w:tc>
        <w:tc>
          <w:tcPr>
            <w:tcW w:w="1917" w:type="dxa"/>
            <w:vAlign w:val="center"/>
          </w:tcPr>
          <w:p w14:paraId="7422B89A" w14:textId="204F7C47"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285</w:t>
            </w:r>
          </w:p>
        </w:tc>
        <w:tc>
          <w:tcPr>
            <w:tcW w:w="1477" w:type="dxa"/>
            <w:vAlign w:val="center"/>
          </w:tcPr>
          <w:p w14:paraId="7310EE78" w14:textId="6EF952C3" w:rsidR="00365726" w:rsidRPr="00110AE6" w:rsidRDefault="00365726" w:rsidP="00365726">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42 261 </w:t>
            </w:r>
          </w:p>
        </w:tc>
      </w:tr>
      <w:tr w:rsidR="008B3F0C" w:rsidRPr="00110AE6" w14:paraId="1CECB089" w14:textId="77777777" w:rsidTr="00101811">
        <w:trPr>
          <w:trHeight w:val="300"/>
        </w:trPr>
        <w:tc>
          <w:tcPr>
            <w:tcW w:w="1166" w:type="dxa"/>
            <w:vAlign w:val="center"/>
            <w:hideMark/>
          </w:tcPr>
          <w:p w14:paraId="755C9722" w14:textId="77777777"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96</w:t>
            </w:r>
          </w:p>
        </w:tc>
        <w:tc>
          <w:tcPr>
            <w:tcW w:w="1200" w:type="dxa"/>
            <w:vAlign w:val="center"/>
            <w:hideMark/>
          </w:tcPr>
          <w:p w14:paraId="7C1EF25A" w14:textId="77777777"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18</w:t>
            </w:r>
          </w:p>
        </w:tc>
        <w:tc>
          <w:tcPr>
            <w:tcW w:w="2307" w:type="dxa"/>
            <w:vAlign w:val="center"/>
          </w:tcPr>
          <w:p w14:paraId="4A446267" w14:textId="294CD7FF"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Suisse**</w:t>
            </w:r>
          </w:p>
        </w:tc>
        <w:tc>
          <w:tcPr>
            <w:tcW w:w="1757" w:type="dxa"/>
            <w:vAlign w:val="center"/>
          </w:tcPr>
          <w:p w14:paraId="3C7FDF10" w14:textId="1C606A04" w:rsidR="008B3F0C" w:rsidRPr="00110AE6" w:rsidRDefault="008B3F0C" w:rsidP="008B3F0C">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140</w:t>
            </w:r>
          </w:p>
        </w:tc>
        <w:tc>
          <w:tcPr>
            <w:tcW w:w="1917" w:type="dxa"/>
            <w:vAlign w:val="center"/>
          </w:tcPr>
          <w:p w14:paraId="109D33E5" w14:textId="10E0395F" w:rsidR="008B3F0C" w:rsidRPr="00110AE6" w:rsidRDefault="008B3F0C" w:rsidP="008B3F0C">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1</w:t>
            </w:r>
            <w:r w:rsidR="00D8548D" w:rsidRPr="00110AE6">
              <w:rPr>
                <w:noProof/>
                <w:sz w:val="18"/>
                <w:szCs w:val="18"/>
                <w:lang w:val="fr-FR"/>
              </w:rPr>
              <w:t>,</w:t>
            </w:r>
            <w:r w:rsidRPr="00110AE6">
              <w:rPr>
                <w:noProof/>
                <w:sz w:val="18"/>
                <w:szCs w:val="18"/>
                <w:lang w:val="fr-FR"/>
              </w:rPr>
              <w:t>532</w:t>
            </w:r>
          </w:p>
        </w:tc>
        <w:tc>
          <w:tcPr>
            <w:tcW w:w="1477" w:type="dxa"/>
            <w:vAlign w:val="center"/>
          </w:tcPr>
          <w:p w14:paraId="79DC8BD0" w14:textId="1F656CA8" w:rsidR="008B3F0C" w:rsidRPr="00110AE6" w:rsidRDefault="008B3F0C" w:rsidP="008B3F0C">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50 395 </w:t>
            </w:r>
          </w:p>
        </w:tc>
      </w:tr>
      <w:tr w:rsidR="008B3F0C" w:rsidRPr="00110AE6" w14:paraId="1BC3AE91" w14:textId="77777777" w:rsidTr="00101811">
        <w:trPr>
          <w:trHeight w:val="300"/>
        </w:trPr>
        <w:tc>
          <w:tcPr>
            <w:tcW w:w="1166" w:type="dxa"/>
            <w:vAlign w:val="center"/>
            <w:hideMark/>
          </w:tcPr>
          <w:p w14:paraId="3F3D48EB" w14:textId="77777777"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97</w:t>
            </w:r>
          </w:p>
        </w:tc>
        <w:tc>
          <w:tcPr>
            <w:tcW w:w="1200" w:type="dxa"/>
            <w:vAlign w:val="center"/>
            <w:hideMark/>
          </w:tcPr>
          <w:p w14:paraId="2D232E59" w14:textId="77777777"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19</w:t>
            </w:r>
          </w:p>
        </w:tc>
        <w:tc>
          <w:tcPr>
            <w:tcW w:w="2307" w:type="dxa"/>
            <w:vAlign w:val="center"/>
          </w:tcPr>
          <w:p w14:paraId="39B5D10B" w14:textId="2411B989" w:rsidR="008B3F0C" w:rsidRPr="00110AE6" w:rsidRDefault="008B3F0C" w:rsidP="008B3F0C">
            <w:pPr>
              <w:tabs>
                <w:tab w:val="clear" w:pos="1247"/>
                <w:tab w:val="clear" w:pos="1814"/>
                <w:tab w:val="clear" w:pos="2381"/>
                <w:tab w:val="clear" w:pos="2948"/>
                <w:tab w:val="clear" w:pos="3515"/>
              </w:tabs>
              <w:rPr>
                <w:noProof/>
                <w:sz w:val="16"/>
                <w:szCs w:val="16"/>
                <w:lang w:val="fr-FR"/>
              </w:rPr>
            </w:pPr>
            <w:r w:rsidRPr="00110AE6">
              <w:rPr>
                <w:noProof/>
                <w:sz w:val="16"/>
                <w:szCs w:val="16"/>
                <w:lang w:val="fr-FR"/>
              </w:rPr>
              <w:t>Royaume-Uni de Grande-Bretagne et d’Irlande du Nord</w:t>
            </w:r>
          </w:p>
        </w:tc>
        <w:tc>
          <w:tcPr>
            <w:tcW w:w="1757" w:type="dxa"/>
            <w:vAlign w:val="center"/>
          </w:tcPr>
          <w:p w14:paraId="0F215C21" w14:textId="7692777D" w:rsidR="008B3F0C" w:rsidRPr="00110AE6" w:rsidRDefault="008B3F0C" w:rsidP="008B3F0C">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4</w:t>
            </w:r>
            <w:r w:rsidR="00D8548D" w:rsidRPr="00110AE6">
              <w:rPr>
                <w:noProof/>
                <w:sz w:val="18"/>
                <w:szCs w:val="18"/>
                <w:lang w:val="fr-FR"/>
              </w:rPr>
              <w:t>,</w:t>
            </w:r>
            <w:r w:rsidRPr="00110AE6">
              <w:rPr>
                <w:noProof/>
                <w:sz w:val="18"/>
                <w:szCs w:val="18"/>
                <w:lang w:val="fr-FR"/>
              </w:rPr>
              <w:t>463</w:t>
            </w:r>
          </w:p>
        </w:tc>
        <w:tc>
          <w:tcPr>
            <w:tcW w:w="1917" w:type="dxa"/>
            <w:vAlign w:val="center"/>
          </w:tcPr>
          <w:p w14:paraId="0DD81C42" w14:textId="39213545" w:rsidR="008B3F0C" w:rsidRPr="00110AE6" w:rsidRDefault="008B3F0C" w:rsidP="008B3F0C">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5</w:t>
            </w:r>
            <w:r w:rsidR="00D8548D" w:rsidRPr="00110AE6">
              <w:rPr>
                <w:noProof/>
                <w:sz w:val="18"/>
                <w:szCs w:val="18"/>
                <w:lang w:val="fr-FR"/>
              </w:rPr>
              <w:t>,</w:t>
            </w:r>
            <w:r w:rsidRPr="00110AE6">
              <w:rPr>
                <w:noProof/>
                <w:sz w:val="18"/>
                <w:szCs w:val="18"/>
                <w:lang w:val="fr-FR"/>
              </w:rPr>
              <w:t xml:space="preserve">999 </w:t>
            </w:r>
          </w:p>
        </w:tc>
        <w:tc>
          <w:tcPr>
            <w:tcW w:w="1477" w:type="dxa"/>
            <w:vAlign w:val="center"/>
          </w:tcPr>
          <w:p w14:paraId="36C0C148" w14:textId="26A7078F" w:rsidR="008B3F0C" w:rsidRPr="00110AE6" w:rsidRDefault="008B3F0C" w:rsidP="008B3F0C">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197 293 </w:t>
            </w:r>
          </w:p>
        </w:tc>
      </w:tr>
      <w:tr w:rsidR="008B3F0C" w:rsidRPr="00110AE6" w14:paraId="3EFD883E" w14:textId="77777777" w:rsidTr="00101811">
        <w:trPr>
          <w:trHeight w:val="300"/>
        </w:trPr>
        <w:tc>
          <w:tcPr>
            <w:tcW w:w="1166" w:type="dxa"/>
            <w:tcBorders>
              <w:bottom w:val="nil"/>
            </w:tcBorders>
            <w:vAlign w:val="center"/>
            <w:hideMark/>
          </w:tcPr>
          <w:p w14:paraId="3D0CA820" w14:textId="77777777"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98</w:t>
            </w:r>
          </w:p>
        </w:tc>
        <w:tc>
          <w:tcPr>
            <w:tcW w:w="1200" w:type="dxa"/>
            <w:tcBorders>
              <w:bottom w:val="nil"/>
            </w:tcBorders>
            <w:vAlign w:val="center"/>
            <w:hideMark/>
          </w:tcPr>
          <w:p w14:paraId="299A96FD" w14:textId="77777777"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20</w:t>
            </w:r>
          </w:p>
        </w:tc>
        <w:tc>
          <w:tcPr>
            <w:tcW w:w="2307" w:type="dxa"/>
            <w:tcBorders>
              <w:bottom w:val="nil"/>
            </w:tcBorders>
            <w:vAlign w:val="center"/>
          </w:tcPr>
          <w:p w14:paraId="2A9F26B4" w14:textId="40AF3554" w:rsidR="008B3F0C" w:rsidRPr="00110AE6" w:rsidRDefault="008B3F0C" w:rsidP="008B3F0C">
            <w:pPr>
              <w:tabs>
                <w:tab w:val="clear" w:pos="1247"/>
                <w:tab w:val="clear" w:pos="1814"/>
                <w:tab w:val="clear" w:pos="2381"/>
                <w:tab w:val="clear" w:pos="2948"/>
                <w:tab w:val="clear" w:pos="3515"/>
              </w:tabs>
              <w:rPr>
                <w:noProof/>
                <w:sz w:val="18"/>
                <w:szCs w:val="18"/>
                <w:lang w:val="fr-FR"/>
              </w:rPr>
            </w:pPr>
            <w:r w:rsidRPr="00110AE6">
              <w:rPr>
                <w:noProof/>
                <w:sz w:val="18"/>
                <w:szCs w:val="18"/>
                <w:lang w:val="fr-FR"/>
              </w:rPr>
              <w:t>États-Unis d’Amérique</w:t>
            </w:r>
          </w:p>
        </w:tc>
        <w:tc>
          <w:tcPr>
            <w:tcW w:w="1757" w:type="dxa"/>
            <w:tcBorders>
              <w:bottom w:val="nil"/>
            </w:tcBorders>
            <w:vAlign w:val="center"/>
          </w:tcPr>
          <w:p w14:paraId="369C831C" w14:textId="797B1B11" w:rsidR="008B3F0C" w:rsidRPr="00110AE6" w:rsidRDefault="008B3F0C" w:rsidP="008B3F0C">
            <w:pPr>
              <w:tabs>
                <w:tab w:val="clear" w:pos="1247"/>
                <w:tab w:val="clear" w:pos="1814"/>
                <w:tab w:val="clear" w:pos="2381"/>
                <w:tab w:val="clear" w:pos="2948"/>
                <w:tab w:val="clear" w:pos="3515"/>
              </w:tabs>
              <w:ind w:right="223"/>
              <w:jc w:val="right"/>
              <w:rPr>
                <w:noProof/>
                <w:sz w:val="18"/>
                <w:szCs w:val="18"/>
                <w:lang w:val="fr-FR"/>
              </w:rPr>
            </w:pPr>
            <w:r w:rsidRPr="00110AE6">
              <w:rPr>
                <w:noProof/>
                <w:sz w:val="18"/>
                <w:szCs w:val="18"/>
                <w:lang w:val="fr-FR"/>
              </w:rPr>
              <w:t>22</w:t>
            </w:r>
          </w:p>
        </w:tc>
        <w:tc>
          <w:tcPr>
            <w:tcW w:w="1917" w:type="dxa"/>
            <w:tcBorders>
              <w:bottom w:val="nil"/>
            </w:tcBorders>
            <w:vAlign w:val="center"/>
          </w:tcPr>
          <w:p w14:paraId="2D5E9A19" w14:textId="70FEFCB0" w:rsidR="008B3F0C" w:rsidRPr="00110AE6" w:rsidRDefault="008B3F0C" w:rsidP="008B3F0C">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22</w:t>
            </w:r>
            <w:r w:rsidR="00D8548D" w:rsidRPr="00110AE6">
              <w:rPr>
                <w:noProof/>
                <w:sz w:val="18"/>
                <w:szCs w:val="18"/>
                <w:lang w:val="fr-FR"/>
              </w:rPr>
              <w:t>,</w:t>
            </w:r>
            <w:r w:rsidRPr="00110AE6">
              <w:rPr>
                <w:noProof/>
                <w:sz w:val="18"/>
                <w:szCs w:val="18"/>
                <w:lang w:val="fr-FR"/>
              </w:rPr>
              <w:t xml:space="preserve">000 </w:t>
            </w:r>
          </w:p>
        </w:tc>
        <w:tc>
          <w:tcPr>
            <w:tcW w:w="1477" w:type="dxa"/>
            <w:tcBorders>
              <w:bottom w:val="nil"/>
            </w:tcBorders>
            <w:vAlign w:val="center"/>
          </w:tcPr>
          <w:p w14:paraId="214A6B27" w14:textId="24F00EB7" w:rsidR="008B3F0C" w:rsidRPr="00110AE6" w:rsidRDefault="008B3F0C" w:rsidP="008B3F0C">
            <w:pPr>
              <w:tabs>
                <w:tab w:val="clear" w:pos="1247"/>
                <w:tab w:val="clear" w:pos="1814"/>
                <w:tab w:val="clear" w:pos="2381"/>
                <w:tab w:val="clear" w:pos="2948"/>
                <w:tab w:val="clear" w:pos="3515"/>
              </w:tabs>
              <w:jc w:val="right"/>
              <w:rPr>
                <w:noProof/>
                <w:sz w:val="18"/>
                <w:szCs w:val="18"/>
                <w:lang w:val="fr-FR"/>
              </w:rPr>
            </w:pPr>
            <w:r w:rsidRPr="00110AE6">
              <w:rPr>
                <w:noProof/>
                <w:sz w:val="18"/>
                <w:szCs w:val="18"/>
                <w:lang w:val="fr-FR"/>
              </w:rPr>
              <w:t xml:space="preserve">723 492 </w:t>
            </w:r>
          </w:p>
        </w:tc>
      </w:tr>
      <w:tr w:rsidR="008B3F0C" w:rsidRPr="00110AE6" w14:paraId="5F3817CD" w14:textId="77777777" w:rsidTr="00101811">
        <w:trPr>
          <w:trHeight w:val="359"/>
        </w:trPr>
        <w:tc>
          <w:tcPr>
            <w:tcW w:w="4673" w:type="dxa"/>
            <w:gridSpan w:val="3"/>
            <w:tcBorders>
              <w:top w:val="nil"/>
              <w:bottom w:val="single" w:sz="12" w:space="0" w:color="auto"/>
            </w:tcBorders>
            <w:vAlign w:val="center"/>
            <w:hideMark/>
          </w:tcPr>
          <w:p w14:paraId="1F607A88" w14:textId="67F9B56B" w:rsidR="008B3F0C" w:rsidRPr="00110AE6" w:rsidRDefault="008B3F0C" w:rsidP="008B3F0C">
            <w:pPr>
              <w:tabs>
                <w:tab w:val="clear" w:pos="1247"/>
                <w:tab w:val="clear" w:pos="1814"/>
                <w:tab w:val="clear" w:pos="2381"/>
                <w:tab w:val="clear" w:pos="2948"/>
                <w:tab w:val="clear" w:pos="3515"/>
              </w:tabs>
              <w:rPr>
                <w:b/>
                <w:bCs/>
                <w:noProof/>
                <w:sz w:val="18"/>
                <w:szCs w:val="18"/>
                <w:lang w:val="fr-FR"/>
              </w:rPr>
            </w:pPr>
            <w:r w:rsidRPr="00110AE6">
              <w:rPr>
                <w:b/>
                <w:bCs/>
                <w:noProof/>
                <w:sz w:val="18"/>
                <w:szCs w:val="18"/>
                <w:lang w:val="fr-FR"/>
              </w:rPr>
              <w:t>Total général</w:t>
            </w:r>
          </w:p>
        </w:tc>
        <w:tc>
          <w:tcPr>
            <w:tcW w:w="1757" w:type="dxa"/>
            <w:tcBorders>
              <w:top w:val="nil"/>
              <w:bottom w:val="single" w:sz="12" w:space="0" w:color="auto"/>
            </w:tcBorders>
            <w:vAlign w:val="center"/>
            <w:hideMark/>
          </w:tcPr>
          <w:p w14:paraId="53497C3C" w14:textId="77777777" w:rsidR="008B3F0C" w:rsidRPr="00110AE6" w:rsidRDefault="008B3F0C" w:rsidP="008B3F0C">
            <w:pPr>
              <w:tabs>
                <w:tab w:val="clear" w:pos="1247"/>
                <w:tab w:val="clear" w:pos="1814"/>
                <w:tab w:val="clear" w:pos="2381"/>
                <w:tab w:val="clear" w:pos="2948"/>
                <w:tab w:val="clear" w:pos="3515"/>
              </w:tabs>
              <w:ind w:right="223"/>
              <w:jc w:val="right"/>
              <w:rPr>
                <w:b/>
                <w:bCs/>
                <w:noProof/>
                <w:sz w:val="18"/>
                <w:szCs w:val="18"/>
                <w:lang w:val="fr-FR"/>
              </w:rPr>
            </w:pPr>
          </w:p>
        </w:tc>
        <w:tc>
          <w:tcPr>
            <w:tcW w:w="1917" w:type="dxa"/>
            <w:tcBorders>
              <w:top w:val="nil"/>
              <w:bottom w:val="single" w:sz="12" w:space="0" w:color="auto"/>
            </w:tcBorders>
            <w:vAlign w:val="center"/>
          </w:tcPr>
          <w:p w14:paraId="452FF8EA" w14:textId="67751098" w:rsidR="008B3F0C" w:rsidRPr="00110AE6" w:rsidRDefault="008B3F0C" w:rsidP="008B3F0C">
            <w:pPr>
              <w:tabs>
                <w:tab w:val="clear" w:pos="1247"/>
                <w:tab w:val="clear" w:pos="1814"/>
                <w:tab w:val="clear" w:pos="2381"/>
                <w:tab w:val="clear" w:pos="2948"/>
                <w:tab w:val="clear" w:pos="3515"/>
              </w:tabs>
              <w:jc w:val="right"/>
              <w:rPr>
                <w:b/>
                <w:bCs/>
                <w:noProof/>
                <w:sz w:val="18"/>
                <w:szCs w:val="18"/>
                <w:lang w:val="fr-FR"/>
              </w:rPr>
            </w:pPr>
            <w:r w:rsidRPr="00110AE6">
              <w:rPr>
                <w:b/>
                <w:bCs/>
                <w:noProof/>
                <w:sz w:val="18"/>
                <w:szCs w:val="18"/>
                <w:lang w:val="fr-FR"/>
              </w:rPr>
              <w:t>100</w:t>
            </w:r>
            <w:r w:rsidR="00D8548D" w:rsidRPr="00110AE6">
              <w:rPr>
                <w:b/>
                <w:bCs/>
                <w:noProof/>
                <w:sz w:val="18"/>
                <w:szCs w:val="18"/>
                <w:lang w:val="fr-FR"/>
              </w:rPr>
              <w:t>,</w:t>
            </w:r>
            <w:r w:rsidRPr="00110AE6">
              <w:rPr>
                <w:b/>
                <w:bCs/>
                <w:noProof/>
                <w:sz w:val="18"/>
                <w:szCs w:val="18"/>
                <w:lang w:val="fr-FR"/>
              </w:rPr>
              <w:t xml:space="preserve">00 </w:t>
            </w:r>
          </w:p>
        </w:tc>
        <w:tc>
          <w:tcPr>
            <w:tcW w:w="1477" w:type="dxa"/>
            <w:tcBorders>
              <w:top w:val="nil"/>
              <w:bottom w:val="single" w:sz="12" w:space="0" w:color="auto"/>
            </w:tcBorders>
            <w:vAlign w:val="center"/>
          </w:tcPr>
          <w:p w14:paraId="5C6D1128" w14:textId="1E42CB29" w:rsidR="008B3F0C" w:rsidRPr="00110AE6" w:rsidRDefault="008B3F0C" w:rsidP="008B3F0C">
            <w:pPr>
              <w:tabs>
                <w:tab w:val="clear" w:pos="1247"/>
                <w:tab w:val="clear" w:pos="1814"/>
                <w:tab w:val="clear" w:pos="2381"/>
                <w:tab w:val="clear" w:pos="2948"/>
                <w:tab w:val="clear" w:pos="3515"/>
              </w:tabs>
              <w:jc w:val="right"/>
              <w:rPr>
                <w:b/>
                <w:bCs/>
                <w:noProof/>
                <w:sz w:val="18"/>
                <w:szCs w:val="18"/>
                <w:lang w:val="fr-FR"/>
              </w:rPr>
            </w:pPr>
            <w:r w:rsidRPr="00110AE6">
              <w:rPr>
                <w:b/>
                <w:bCs/>
                <w:noProof/>
                <w:sz w:val="18"/>
                <w:szCs w:val="18"/>
                <w:lang w:val="fr-FR"/>
              </w:rPr>
              <w:t xml:space="preserve">3 288 599 </w:t>
            </w:r>
          </w:p>
        </w:tc>
      </w:tr>
    </w:tbl>
    <w:p w14:paraId="0D8FC0E6" w14:textId="2F09A8B2" w:rsidR="008B3F0C" w:rsidRPr="00110AE6" w:rsidRDefault="008B3F0C" w:rsidP="000A2ABE">
      <w:pPr>
        <w:tabs>
          <w:tab w:val="clear" w:pos="1247"/>
          <w:tab w:val="clear" w:pos="1814"/>
          <w:tab w:val="clear" w:pos="2381"/>
          <w:tab w:val="clear" w:pos="2948"/>
          <w:tab w:val="clear" w:pos="3515"/>
        </w:tabs>
        <w:rPr>
          <w:noProof/>
          <w:sz w:val="16"/>
          <w:szCs w:val="16"/>
          <w:lang w:val="fr-FR"/>
        </w:rPr>
      </w:pPr>
      <w:r w:rsidRPr="00110AE6">
        <w:rPr>
          <w:noProof/>
          <w:sz w:val="16"/>
          <w:szCs w:val="16"/>
          <w:lang w:val="fr-FR"/>
        </w:rPr>
        <w:t>*</w:t>
      </w:r>
      <w:r w:rsidR="00E03505" w:rsidRPr="00110AE6">
        <w:rPr>
          <w:noProof/>
          <w:sz w:val="16"/>
          <w:szCs w:val="16"/>
          <w:lang w:val="fr-FR"/>
        </w:rPr>
        <w:t xml:space="preserve"> Le présent tableau des contributions a été établi sur la base </w:t>
      </w:r>
      <w:r w:rsidR="000452AE" w:rsidRPr="00110AE6">
        <w:rPr>
          <w:noProof/>
          <w:sz w:val="16"/>
          <w:szCs w:val="16"/>
          <w:lang w:val="fr-FR"/>
        </w:rPr>
        <w:t>de l’état de ratification au 18 </w:t>
      </w:r>
      <w:r w:rsidR="00E03505" w:rsidRPr="00110AE6">
        <w:rPr>
          <w:noProof/>
          <w:sz w:val="16"/>
          <w:szCs w:val="16"/>
          <w:lang w:val="fr-FR"/>
        </w:rPr>
        <w:t>septe</w:t>
      </w:r>
      <w:r w:rsidR="000452AE" w:rsidRPr="00110AE6">
        <w:rPr>
          <w:noProof/>
          <w:sz w:val="16"/>
          <w:szCs w:val="16"/>
          <w:lang w:val="fr-FR"/>
        </w:rPr>
        <w:t>mbre 2018 en ce qui concerne 98 </w:t>
      </w:r>
      <w:r w:rsidR="00E03505" w:rsidRPr="00110AE6">
        <w:rPr>
          <w:noProof/>
          <w:sz w:val="16"/>
          <w:szCs w:val="16"/>
          <w:lang w:val="fr-FR"/>
        </w:rPr>
        <w:t>Parties à la Convention de Minamata sur le mercure.</w:t>
      </w:r>
    </w:p>
    <w:p w14:paraId="05F5FF60" w14:textId="226EBE85" w:rsidR="000A2ABE" w:rsidRPr="00110AE6" w:rsidRDefault="000A2ABE" w:rsidP="000A2ABE">
      <w:pPr>
        <w:tabs>
          <w:tab w:val="clear" w:pos="1247"/>
          <w:tab w:val="clear" w:pos="1814"/>
          <w:tab w:val="clear" w:pos="2381"/>
          <w:tab w:val="clear" w:pos="2948"/>
          <w:tab w:val="clear" w:pos="3515"/>
        </w:tabs>
        <w:rPr>
          <w:noProof/>
          <w:sz w:val="16"/>
          <w:szCs w:val="16"/>
          <w:lang w:val="fr-FR"/>
        </w:rPr>
      </w:pPr>
      <w:r w:rsidRPr="00110AE6">
        <w:rPr>
          <w:noProof/>
          <w:sz w:val="16"/>
          <w:szCs w:val="16"/>
          <w:lang w:val="fr-FR"/>
        </w:rPr>
        <w:t>* La contribution du pays hôte (Suisse) comprend la contribution au Fonds général d</w:t>
      </w:r>
      <w:r w:rsidR="00D05492" w:rsidRPr="00110AE6">
        <w:rPr>
          <w:noProof/>
          <w:sz w:val="16"/>
          <w:szCs w:val="16"/>
          <w:lang w:val="fr-FR"/>
        </w:rPr>
        <w:t>’</w:t>
      </w:r>
      <w:r w:rsidRPr="00110AE6">
        <w:rPr>
          <w:noProof/>
          <w:sz w:val="16"/>
          <w:szCs w:val="16"/>
          <w:lang w:val="fr-FR"/>
        </w:rPr>
        <w:t xml:space="preserve">affectation spéciale, </w:t>
      </w:r>
      <w:r w:rsidR="002A0A32" w:rsidRPr="00110AE6">
        <w:rPr>
          <w:noProof/>
          <w:sz w:val="16"/>
          <w:szCs w:val="16"/>
          <w:lang w:val="fr-FR"/>
        </w:rPr>
        <w:t xml:space="preserve">qui est </w:t>
      </w:r>
      <w:r w:rsidRPr="00110AE6">
        <w:rPr>
          <w:noProof/>
          <w:sz w:val="16"/>
          <w:szCs w:val="16"/>
          <w:lang w:val="fr-FR"/>
        </w:rPr>
        <w:t>indiquée</w:t>
      </w:r>
      <w:r w:rsidR="002A0A32" w:rsidRPr="00110AE6">
        <w:rPr>
          <w:noProof/>
          <w:sz w:val="16"/>
          <w:szCs w:val="16"/>
          <w:lang w:val="fr-FR"/>
        </w:rPr>
        <w:t xml:space="preserve"> dans le tableau</w:t>
      </w:r>
      <w:r w:rsidRPr="00110AE6">
        <w:rPr>
          <w:noProof/>
          <w:sz w:val="16"/>
          <w:szCs w:val="16"/>
          <w:lang w:val="fr-FR"/>
        </w:rPr>
        <w:t xml:space="preserve"> à titre d</w:t>
      </w:r>
      <w:r w:rsidR="00D05492" w:rsidRPr="00110AE6">
        <w:rPr>
          <w:noProof/>
          <w:sz w:val="16"/>
          <w:szCs w:val="16"/>
          <w:lang w:val="fr-FR"/>
        </w:rPr>
        <w:t>’</w:t>
      </w:r>
      <w:r w:rsidRPr="00110AE6">
        <w:rPr>
          <w:noProof/>
          <w:sz w:val="16"/>
          <w:szCs w:val="16"/>
          <w:lang w:val="fr-FR"/>
        </w:rPr>
        <w:t>information.</w:t>
      </w:r>
    </w:p>
    <w:p w14:paraId="4952A891" w14:textId="77777777" w:rsidR="000A2ABE" w:rsidRPr="00110AE6" w:rsidRDefault="000A2ABE" w:rsidP="000A2ABE">
      <w:pPr>
        <w:pStyle w:val="Normal-pool"/>
        <w:rPr>
          <w:noProof/>
          <w:lang w:val="fr-FR"/>
        </w:rPr>
        <w:sectPr w:rsidR="000A2ABE" w:rsidRPr="00110AE6" w:rsidSect="00435414">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907" w:right="992" w:bottom="1418" w:left="1080" w:header="539" w:footer="975" w:gutter="0"/>
          <w:cols w:space="539"/>
          <w:titlePg/>
          <w:docGrid w:linePitch="360"/>
        </w:sectPr>
      </w:pPr>
    </w:p>
    <w:p w14:paraId="606479FA" w14:textId="77777777" w:rsidR="009E058B" w:rsidRPr="00110AE6" w:rsidRDefault="00A52366">
      <w:pPr>
        <w:tabs>
          <w:tab w:val="clear" w:pos="1247"/>
          <w:tab w:val="clear" w:pos="1814"/>
          <w:tab w:val="clear" w:pos="2381"/>
          <w:tab w:val="clear" w:pos="2948"/>
          <w:tab w:val="clear" w:pos="3515"/>
        </w:tabs>
        <w:rPr>
          <w:noProof/>
          <w:lang w:val="fr-FR"/>
        </w:rPr>
        <w:sectPr w:rsidR="009E058B" w:rsidRPr="00110AE6" w:rsidSect="00EC3F22">
          <w:headerReference w:type="default" r:id="rId27"/>
          <w:type w:val="continuous"/>
          <w:pgSz w:w="11906" w:h="16838" w:code="9"/>
          <w:pgMar w:top="907" w:right="992" w:bottom="1418" w:left="1080" w:header="539" w:footer="975" w:gutter="0"/>
          <w:cols w:space="539"/>
          <w:titlePg/>
          <w:docGrid w:linePitch="360"/>
        </w:sectPr>
      </w:pPr>
      <w:r w:rsidRPr="00110AE6">
        <w:rPr>
          <w:noProof/>
          <w:lang w:val="fr-FR"/>
        </w:rPr>
        <w:br w:type="page"/>
      </w:r>
    </w:p>
    <w:p w14:paraId="0319A057" w14:textId="241B0A9F" w:rsidR="000A2ABE" w:rsidRPr="00110AE6" w:rsidRDefault="000A2ABE" w:rsidP="000A2ABE">
      <w:pPr>
        <w:pStyle w:val="ZZAnxheader"/>
        <w:rPr>
          <w:noProof/>
          <w:lang w:val="fr-FR"/>
        </w:rPr>
      </w:pPr>
      <w:r w:rsidRPr="00110AE6">
        <w:rPr>
          <w:noProof/>
          <w:lang w:val="fr-FR"/>
        </w:rPr>
        <w:t>Annexe</w:t>
      </w:r>
      <w:r w:rsidR="002A0A32" w:rsidRPr="00110AE6">
        <w:rPr>
          <w:noProof/>
          <w:lang w:val="fr-FR"/>
        </w:rPr>
        <w:t xml:space="preserve"> III</w:t>
      </w:r>
    </w:p>
    <w:p w14:paraId="0928DF08" w14:textId="216C2E0D" w:rsidR="00C50943" w:rsidRPr="00110AE6" w:rsidRDefault="000A2ABE" w:rsidP="000A2ABE">
      <w:pPr>
        <w:pStyle w:val="ZZAnxtitle"/>
        <w:rPr>
          <w:noProof/>
          <w:lang w:val="fr-FR"/>
        </w:rPr>
      </w:pPr>
      <w:r w:rsidRPr="00110AE6">
        <w:rPr>
          <w:noProof/>
          <w:lang w:val="fr-FR"/>
        </w:rPr>
        <w:t>Organigramme du secrétariat de la Convention de Minamata</w:t>
      </w:r>
      <w:r w:rsidRPr="00110AE6">
        <w:rPr>
          <w:rStyle w:val="Appelnotedebasdep"/>
          <w:noProof/>
          <w:lang w:val="fr-FR"/>
        </w:rPr>
        <w:footnoteReference w:id="12"/>
      </w:r>
    </w:p>
    <w:p w14:paraId="09EBCBE2" w14:textId="7847BCFE" w:rsidR="00C50943" w:rsidRPr="00110AE6" w:rsidRDefault="00C50943" w:rsidP="00C50943">
      <w:pPr>
        <w:pStyle w:val="Normal-pool"/>
        <w:rPr>
          <w:noProof/>
          <w:lang w:val="fr-FR"/>
        </w:rPr>
      </w:pPr>
      <w:r w:rsidRPr="00110AE6">
        <w:rPr>
          <w:noProof/>
          <w:color w:val="000000" w:themeColor="text1"/>
          <w:lang w:val="fr-FR" w:eastAsia="zh-CN"/>
        </w:rPr>
        <mc:AlternateContent>
          <mc:Choice Requires="wps">
            <w:drawing>
              <wp:anchor distT="0" distB="0" distL="114300" distR="114300" simplePos="0" relativeHeight="251668480" behindDoc="0" locked="0" layoutInCell="1" allowOverlap="1" wp14:anchorId="35F95CDE" wp14:editId="37A3EEAD">
                <wp:simplePos x="0" y="0"/>
                <wp:positionH relativeFrom="page">
                  <wp:posOffset>906448</wp:posOffset>
                </wp:positionH>
                <wp:positionV relativeFrom="paragraph">
                  <wp:posOffset>132439</wp:posOffset>
                </wp:positionV>
                <wp:extent cx="9450953" cy="0"/>
                <wp:effectExtent l="0" t="0" r="36195" b="19050"/>
                <wp:wrapNone/>
                <wp:docPr id="4" name="Straight Connector 15">
                  <a:extLst xmlns:a="http://schemas.openxmlformats.org/drawingml/2006/main">
                    <a:ext uri="{FF2B5EF4-FFF2-40B4-BE49-F238E27FC236}">
                      <a16:creationId xmlns:a16="http://schemas.microsoft.com/office/drawing/2014/main" id="{C64AE529-4809-456D-9C86-F57C5C0F5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50953" cy="0"/>
                        </a:xfrm>
                        <a:prstGeom prst="line">
                          <a:avLst/>
                        </a:prstGeom>
                        <a:noFill/>
                        <a:ln w="19050" cap="flat" cmpd="sng" algn="ctr">
                          <a:solidFill>
                            <a:schemeClr val="tx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line w14:anchorId="47BE2414" id="Straight Connector 1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35pt,10.45pt" to="8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" strokecolor="black [3213]" strokeweight="1.5pt">
                <o:lock v:ext="edit" shapetype="f"/>
                <w10:wrap anchorx="page"/>
              </v:line>
            </w:pict>
          </mc:Fallback>
        </mc:AlternateContent>
      </w:r>
    </w:p>
    <w:p w14:paraId="34625EEB" w14:textId="1F5D42D3" w:rsidR="00C50943" w:rsidRPr="00110AE6" w:rsidRDefault="00C50943">
      <w:pPr>
        <w:tabs>
          <w:tab w:val="clear" w:pos="1247"/>
          <w:tab w:val="clear" w:pos="1814"/>
          <w:tab w:val="clear" w:pos="2381"/>
          <w:tab w:val="clear" w:pos="2948"/>
          <w:tab w:val="clear" w:pos="3515"/>
        </w:tabs>
        <w:rPr>
          <w:b/>
          <w:bCs/>
          <w:noProof/>
          <w:sz w:val="28"/>
          <w:szCs w:val="26"/>
          <w:lang w:val="fr-FR"/>
        </w:rPr>
      </w:pPr>
    </w:p>
    <w:p w14:paraId="3E0BF073" w14:textId="7A80BE43" w:rsidR="007D4A19" w:rsidRPr="00110AE6" w:rsidRDefault="00A14445">
      <w:pPr>
        <w:tabs>
          <w:tab w:val="clear" w:pos="1247"/>
          <w:tab w:val="clear" w:pos="1814"/>
          <w:tab w:val="clear" w:pos="2381"/>
          <w:tab w:val="clear" w:pos="2948"/>
          <w:tab w:val="clear" w:pos="3515"/>
        </w:tabs>
        <w:rPr>
          <w:b/>
          <w:bCs/>
          <w:noProof/>
          <w:sz w:val="28"/>
          <w:szCs w:val="26"/>
          <w:lang w:val="fr-FR"/>
        </w:rPr>
      </w:pPr>
      <w:r w:rsidRPr="00110AE6">
        <w:rPr>
          <w:noProof/>
          <w:lang w:val="fr-FR" w:eastAsia="zh-CN"/>
        </w:rPr>
        <mc:AlternateContent>
          <mc:Choice Requires="wpg">
            <w:drawing>
              <wp:anchor distT="0" distB="0" distL="114300" distR="114300" simplePos="0" relativeHeight="251666432" behindDoc="0" locked="0" layoutInCell="1" allowOverlap="1" wp14:anchorId="2A99D546" wp14:editId="5408E169">
                <wp:simplePos x="0" y="0"/>
                <wp:positionH relativeFrom="margin">
                  <wp:align>left</wp:align>
                </wp:positionH>
                <wp:positionV relativeFrom="paragraph">
                  <wp:posOffset>131445</wp:posOffset>
                </wp:positionV>
                <wp:extent cx="9346565" cy="3530600"/>
                <wp:effectExtent l="0" t="0" r="26035" b="12700"/>
                <wp:wrapNone/>
                <wp:docPr id="5" name="Group 5"/>
                <wp:cNvGraphicFramePr/>
                <a:graphic xmlns:a="http://schemas.openxmlformats.org/drawingml/2006/main">
                  <a:graphicData uri="http://schemas.microsoft.com/office/word/2010/wordprocessingGroup">
                    <wpg:wgp>
                      <wpg:cNvGrpSpPr/>
                      <wpg:grpSpPr>
                        <a:xfrm>
                          <a:off x="0" y="0"/>
                          <a:ext cx="9346565" cy="3530600"/>
                          <a:chOff x="299355" y="1395614"/>
                          <a:chExt cx="11436518" cy="3835410"/>
                        </a:xfrm>
                      </wpg:grpSpPr>
                      <wps:wsp>
                        <wps:cNvPr id="7" name="Rectangle 7">
                          <a:extLst>
                            <a:ext uri="{FF2B5EF4-FFF2-40B4-BE49-F238E27FC236}">
                              <a16:creationId xmlns:a16="http://schemas.microsoft.com/office/drawing/2014/main" id="{273CC593-9DC2-4240-B720-ACA0807B59E0}"/>
                            </a:ext>
                          </a:extLst>
                        </wps:cNvPr>
                        <wps:cNvSpPr/>
                        <wps:spPr>
                          <a:xfrm>
                            <a:off x="4920758" y="1395614"/>
                            <a:ext cx="1727269" cy="574745"/>
                          </a:xfrm>
                          <a:prstGeom prst="rect">
                            <a:avLst/>
                          </a:prstGeom>
                          <a:solidFill>
                            <a:sysClr val="window" lastClr="FFFFFF"/>
                          </a:solidFill>
                          <a:ln w="19050" cap="flat" cmpd="sng" algn="ctr">
                            <a:solidFill>
                              <a:sysClr val="windowText" lastClr="000000"/>
                            </a:solidFill>
                            <a:prstDash val="solid"/>
                          </a:ln>
                          <a:effectLst/>
                        </wps:spPr>
                        <wps:txbx>
                          <w:txbxContent>
                            <w:p w14:paraId="4CE60EA0" w14:textId="77777777" w:rsidR="003A0769" w:rsidRPr="00866B3D" w:rsidRDefault="003A0769" w:rsidP="00866B3D">
                              <w:pPr>
                                <w:pStyle w:val="NormalWeb"/>
                                <w:spacing w:before="0" w:beforeAutospacing="0" w:after="0" w:afterAutospacing="0"/>
                                <w:jc w:val="center"/>
                                <w:textAlignment w:val="baseline"/>
                              </w:pPr>
                              <w:r w:rsidRPr="00866B3D">
                                <w:rPr>
                                  <w:bCs/>
                                  <w:color w:val="000000"/>
                                  <w:sz w:val="18"/>
                                  <w:szCs w:val="18"/>
                                  <w:lang w:val="en-US"/>
                                </w:rPr>
                                <w:t>Secrétaire exécutif(ve)</w:t>
                              </w:r>
                              <w:r w:rsidRPr="00866B3D">
                                <w:rPr>
                                  <w:bCs/>
                                  <w:color w:val="000000"/>
                                  <w:sz w:val="18"/>
                                  <w:szCs w:val="18"/>
                                  <w:lang w:val="en-US"/>
                                </w:rPr>
                                <w:br/>
                                <w:t>(D-1)</w:t>
                              </w:r>
                            </w:p>
                            <w:p w14:paraId="59585B17" w14:textId="25861A64" w:rsidR="003A0769" w:rsidRPr="00043D3E" w:rsidRDefault="003A0769" w:rsidP="00C50943">
                              <w:pPr>
                                <w:pStyle w:val="NormalWeb"/>
                                <w:spacing w:before="0" w:beforeAutospacing="0" w:after="0" w:afterAutospacing="0"/>
                                <w:jc w:val="center"/>
                                <w:textAlignment w:val="baseline"/>
                                <w:rPr>
                                  <w:bCs/>
                                  <w:color w:val="000000"/>
                                  <w:sz w:val="18"/>
                                  <w:szCs w:val="18"/>
                                  <w:lang w:val="en-US"/>
                                </w:rPr>
                              </w:pP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895284" y="2660226"/>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6AEFFAC0"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hors classe (coordination et politique générale) (P</w:t>
                              </w:r>
                              <w:r w:rsidRPr="00866B3D">
                                <w:rPr>
                                  <w:bCs/>
                                  <w:color w:val="000000"/>
                                  <w:sz w:val="18"/>
                                  <w:szCs w:val="18"/>
                                  <w:lang w:val="fr-FR"/>
                                </w:rPr>
                                <w:noBreakHyphen/>
                                <w:t>5)</w:t>
                              </w:r>
                            </w:p>
                            <w:p w14:paraId="08E65252" w14:textId="72B48FB2"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stCxn id="7" idx="2"/>
                          <a:endCxn id="9" idx="0"/>
                        </wps:cNvCnPr>
                        <wps:spPr>
                          <a:xfrm flipH="1">
                            <a:off x="5771655" y="1970255"/>
                            <a:ext cx="12738" cy="689972"/>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11" name="Rectangle 11">
                          <a:extLst>
                            <a:ext uri="{FF2B5EF4-FFF2-40B4-BE49-F238E27FC236}">
                              <a16:creationId xmlns:a16="http://schemas.microsoft.com/office/drawing/2014/main" id="{A16956C1-D41D-4BAC-BEE0-DF39A4854865}"/>
                            </a:ext>
                          </a:extLst>
                        </wps:cNvPr>
                        <wps:cNvSpPr/>
                        <wps:spPr>
                          <a:xfrm>
                            <a:off x="7352857" y="3660475"/>
                            <a:ext cx="2094890" cy="562242"/>
                          </a:xfrm>
                          <a:prstGeom prst="rect">
                            <a:avLst/>
                          </a:prstGeom>
                          <a:solidFill>
                            <a:sysClr val="window" lastClr="FFFFFF">
                              <a:alpha val="99000"/>
                            </a:sysClr>
                          </a:solidFill>
                          <a:ln w="19050" cap="flat" cmpd="sng" algn="ctr">
                            <a:solidFill>
                              <a:sysClr val="windowText" lastClr="000000"/>
                            </a:solidFill>
                            <a:prstDash val="solid"/>
                          </a:ln>
                          <a:effectLst/>
                        </wps:spPr>
                        <wps:txbx>
                          <w:txbxContent>
                            <w:p w14:paraId="27265F1A" w14:textId="77777777" w:rsidR="003A0769" w:rsidRPr="007D4A19" w:rsidRDefault="003A0769" w:rsidP="007D4A19">
                              <w:pPr>
                                <w:pStyle w:val="NormalWeb"/>
                                <w:spacing w:before="0" w:beforeAutospacing="0" w:after="0" w:afterAutospacing="0"/>
                                <w:jc w:val="center"/>
                                <w:textAlignment w:val="baseline"/>
                                <w:rPr>
                                  <w:lang w:val="fr-FR"/>
                                </w:rPr>
                              </w:pPr>
                              <w:r w:rsidRPr="007D4A19">
                                <w:rPr>
                                  <w:bCs/>
                                  <w:color w:val="000000" w:themeColor="text1"/>
                                  <w:sz w:val="18"/>
                                  <w:szCs w:val="18"/>
                                  <w:lang w:val="fr-FR"/>
                                </w:rPr>
                                <w:t>Administrateur</w:t>
                              </w:r>
                              <w:r w:rsidRPr="007D4A19">
                                <w:rPr>
                                  <w:bCs/>
                                  <w:color w:val="000000"/>
                                  <w:sz w:val="18"/>
                                  <w:szCs w:val="18"/>
                                  <w:lang w:val="fr-FR"/>
                                </w:rPr>
                                <w:t>(trice)</w:t>
                              </w:r>
                              <w:r w:rsidRPr="007D4A19">
                                <w:rPr>
                                  <w:bCs/>
                                  <w:color w:val="000000" w:themeColor="text1"/>
                                  <w:sz w:val="18"/>
                                  <w:szCs w:val="18"/>
                                  <w:lang w:val="fr-FR"/>
                                </w:rPr>
                                <w:t xml:space="preserve"> de programmes (science et technologie) (</w:t>
                              </w:r>
                              <w:r w:rsidRPr="007D4A19">
                                <w:rPr>
                                  <w:bCs/>
                                  <w:color w:val="000000"/>
                                  <w:sz w:val="18"/>
                                  <w:szCs w:val="18"/>
                                  <w:lang w:val="fr-FR"/>
                                </w:rPr>
                                <w:t>P-4)</w:t>
                              </w:r>
                            </w:p>
                            <w:p w14:paraId="5D643585" w14:textId="3901AF3B"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775544" y="3712694"/>
                            <a:ext cx="2069478" cy="594339"/>
                          </a:xfrm>
                          <a:prstGeom prst="rect">
                            <a:avLst/>
                          </a:prstGeom>
                          <a:solidFill>
                            <a:sysClr val="window" lastClr="FFFFFF"/>
                          </a:solidFill>
                          <a:ln w="19050" cap="flat" cmpd="sng" algn="ctr">
                            <a:solidFill>
                              <a:sysClr val="windowText" lastClr="000000"/>
                            </a:solidFill>
                            <a:prstDash val="solid"/>
                          </a:ln>
                          <a:effectLst/>
                        </wps:spPr>
                        <wps:txbx>
                          <w:txbxContent>
                            <w:p w14:paraId="5CEC5E8E" w14:textId="1B7506C3" w:rsidR="003A0769" w:rsidRPr="00A14445" w:rsidRDefault="003A0769" w:rsidP="00866B3D">
                              <w:pPr>
                                <w:pStyle w:val="NormalWeb"/>
                                <w:spacing w:before="0" w:beforeAutospacing="0" w:after="0" w:afterAutospacing="0"/>
                                <w:jc w:val="center"/>
                                <w:textAlignment w:val="baseline"/>
                                <w:rPr>
                                  <w:sz w:val="15"/>
                                  <w:szCs w:val="14"/>
                                  <w:lang w:val="fr-FR"/>
                                </w:rPr>
                              </w:pPr>
                              <w:r w:rsidRPr="00A14445">
                                <w:rPr>
                                  <w:bCs/>
                                  <w:color w:val="000000" w:themeColor="text1"/>
                                  <w:sz w:val="15"/>
                                  <w:szCs w:val="14"/>
                                  <w:lang w:val="fr-FR"/>
                                </w:rPr>
                                <w:t>Administrateur</w:t>
                              </w:r>
                              <w:r w:rsidRPr="00A14445">
                                <w:rPr>
                                  <w:bCs/>
                                  <w:color w:val="000000"/>
                                  <w:sz w:val="15"/>
                                  <w:szCs w:val="14"/>
                                  <w:lang w:val="fr-FR"/>
                                </w:rPr>
                                <w:t>(trice)</w:t>
                              </w:r>
                              <w:r w:rsidRPr="00A14445">
                                <w:rPr>
                                  <w:bCs/>
                                  <w:color w:val="000000" w:themeColor="text1"/>
                                  <w:sz w:val="15"/>
                                  <w:szCs w:val="14"/>
                                  <w:lang w:val="fr-FR"/>
                                </w:rPr>
                                <w:t xml:space="preserve"> de programmes (renforcement des capacités et assistance technique) (</w:t>
                              </w:r>
                              <w:r w:rsidRPr="00A14445">
                                <w:rPr>
                                  <w:bCs/>
                                  <w:color w:val="000000"/>
                                  <w:sz w:val="15"/>
                                  <w:szCs w:val="14"/>
                                  <w:lang w:val="fr-FR"/>
                                </w:rPr>
                                <w:t>P-4)</w:t>
                              </w:r>
                            </w:p>
                            <w:p w14:paraId="31D28328" w14:textId="6C55C375"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2178996" y="3678240"/>
                            <a:ext cx="2069477" cy="535718"/>
                          </a:xfrm>
                          <a:prstGeom prst="rect">
                            <a:avLst/>
                          </a:prstGeom>
                          <a:solidFill>
                            <a:sysClr val="window" lastClr="FFFFFF"/>
                          </a:solidFill>
                          <a:ln w="19050" cap="flat" cmpd="sng" algn="ctr">
                            <a:solidFill>
                              <a:sysClr val="windowText" lastClr="000000"/>
                            </a:solidFill>
                            <a:prstDash val="solid"/>
                          </a:ln>
                          <a:effectLst/>
                        </wps:spPr>
                        <wps:txbx>
                          <w:txbxContent>
                            <w:p w14:paraId="61F5112A"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de programmes et juriste (P-3)</w:t>
                              </w:r>
                            </w:p>
                            <w:p w14:paraId="73FE58F7" w14:textId="31BCD173"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6861635" y="1730776"/>
                            <a:ext cx="2773710" cy="595534"/>
                          </a:xfrm>
                          <a:prstGeom prst="rect">
                            <a:avLst/>
                          </a:prstGeom>
                          <a:solidFill>
                            <a:sysClr val="window" lastClr="FFFFFF"/>
                          </a:solidFill>
                          <a:ln w="19050" cap="flat" cmpd="sng" algn="ctr">
                            <a:solidFill>
                              <a:sysClr val="windowText" lastClr="000000"/>
                            </a:solidFill>
                            <a:prstDash val="solid"/>
                          </a:ln>
                          <a:effectLst/>
                        </wps:spPr>
                        <wps:txbx>
                          <w:txbxContent>
                            <w:p w14:paraId="57A0D700"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themeColor="text1"/>
                                  <w:sz w:val="18"/>
                                  <w:szCs w:val="18"/>
                                  <w:lang w:val="fr-FR"/>
                                </w:rPr>
                                <w:t>Administrateur(trice) de programmes (gestion des communications et connaissances) (</w:t>
                              </w:r>
                              <w:r w:rsidRPr="00866B3D">
                                <w:rPr>
                                  <w:bCs/>
                                  <w:color w:val="000000"/>
                                  <w:sz w:val="18"/>
                                  <w:szCs w:val="18"/>
                                  <w:lang w:val="fr-FR"/>
                                </w:rPr>
                                <w:t>P-3)</w:t>
                              </w:r>
                            </w:p>
                            <w:p w14:paraId="6776743A" w14:textId="4B5CEF8E"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2451729" y="2649187"/>
                            <a:ext cx="1738725" cy="556232"/>
                          </a:xfrm>
                          <a:prstGeom prst="rect">
                            <a:avLst/>
                          </a:prstGeom>
                          <a:solidFill>
                            <a:sysClr val="window" lastClr="FFFFFF"/>
                          </a:solidFill>
                          <a:ln w="19050" cap="flat" cmpd="sng" algn="ctr">
                            <a:solidFill>
                              <a:sysClr val="windowText" lastClr="000000"/>
                            </a:solidFill>
                            <a:prstDash val="solid"/>
                          </a:ln>
                          <a:effectLst/>
                        </wps:spPr>
                        <wps:txbx>
                          <w:txbxContent>
                            <w:p w14:paraId="686F2ED3"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de programmes*</w:t>
                              </w:r>
                              <w:r w:rsidRPr="00866B3D">
                                <w:rPr>
                                  <w:bCs/>
                                  <w:color w:val="000000"/>
                                  <w:sz w:val="18"/>
                                  <w:szCs w:val="18"/>
                                  <w:lang w:val="fr-FR"/>
                                </w:rPr>
                                <w:br/>
                                <w:t>(P-3)</w:t>
                              </w:r>
                            </w:p>
                            <w:p w14:paraId="4655D3C6" w14:textId="2DC5F639"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299355" y="2653381"/>
                            <a:ext cx="1861009" cy="575926"/>
                          </a:xfrm>
                          <a:prstGeom prst="rect">
                            <a:avLst/>
                          </a:prstGeom>
                          <a:noFill/>
                          <a:ln w="19050" cap="flat" cmpd="sng" algn="ctr">
                            <a:solidFill>
                              <a:sysClr val="windowText" lastClr="000000"/>
                            </a:solidFill>
                            <a:prstDash val="solid"/>
                          </a:ln>
                          <a:effectLst/>
                        </wps:spPr>
                        <wps:txbx>
                          <w:txbxContent>
                            <w:p w14:paraId="780CFA3F" w14:textId="67250F9C"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Assistant(e) (finances)</w:t>
                              </w:r>
                              <w:r w:rsidRPr="00866B3D">
                                <w:rPr>
                                  <w:bCs/>
                                  <w:i/>
                                  <w:iCs/>
                                  <w:color w:val="000000"/>
                                  <w:sz w:val="18"/>
                                  <w:szCs w:val="18"/>
                                  <w:lang w:val="fr-FR"/>
                                </w:rPr>
                                <w:t>*</w:t>
                              </w:r>
                              <w:r>
                                <w:rPr>
                                  <w:bCs/>
                                  <w:i/>
                                  <w:iCs/>
                                  <w:color w:val="000000"/>
                                  <w:sz w:val="18"/>
                                  <w:szCs w:val="18"/>
                                  <w:lang w:val="fr-FR"/>
                                </w:rPr>
                                <w:br/>
                              </w:r>
                              <w:r w:rsidRPr="00866B3D">
                                <w:rPr>
                                  <w:bCs/>
                                  <w:i/>
                                  <w:iCs/>
                                  <w:color w:val="000000"/>
                                  <w:sz w:val="18"/>
                                  <w:szCs w:val="18"/>
                                  <w:lang w:val="fr-FR"/>
                                </w:rPr>
                                <w:t>(</w:t>
                              </w:r>
                              <w:r w:rsidRPr="00866B3D">
                                <w:rPr>
                                  <w:bCs/>
                                  <w:color w:val="000000"/>
                                  <w:sz w:val="18"/>
                                  <w:szCs w:val="18"/>
                                  <w:lang w:val="fr-FR"/>
                                </w:rPr>
                                <w:t>G-5)</w:t>
                              </w:r>
                            </w:p>
                            <w:p w14:paraId="65AA32B0" w14:textId="57F184DB"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7" name="Straight Connector 17">
                          <a:extLst>
                            <a:ext uri="{FF2B5EF4-FFF2-40B4-BE49-F238E27FC236}">
                              <a16:creationId xmlns:a16="http://schemas.microsoft.com/office/drawing/2014/main" id="{C4776F33-8699-4C66-82DC-73AD8A6F6651}"/>
                            </a:ext>
                          </a:extLst>
                        </wps:cNvPr>
                        <wps:cNvCnPr>
                          <a:cxnSpLocks/>
                          <a:stCxn id="15" idx="1"/>
                          <a:endCxn id="16" idx="3"/>
                        </wps:cNvCnPr>
                        <wps:spPr>
                          <a:xfrm flipH="1">
                            <a:off x="2160364" y="2927303"/>
                            <a:ext cx="291365" cy="1404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18" name="Rectangle 18">
                          <a:extLst>
                            <a:ext uri="{FF2B5EF4-FFF2-40B4-BE49-F238E27FC236}">
                              <a16:creationId xmlns:a16="http://schemas.microsoft.com/office/drawing/2014/main" id="{28374684-C2F7-48D2-BA2C-73BD21502737}"/>
                            </a:ext>
                          </a:extLst>
                        </wps:cNvPr>
                        <wps:cNvSpPr/>
                        <wps:spPr>
                          <a:xfrm>
                            <a:off x="9983130" y="1731399"/>
                            <a:ext cx="1752743" cy="635680"/>
                          </a:xfrm>
                          <a:prstGeom prst="rect">
                            <a:avLst/>
                          </a:prstGeom>
                          <a:noFill/>
                          <a:ln w="19050" cap="flat" cmpd="sng" algn="ctr">
                            <a:solidFill>
                              <a:sysClr val="windowText" lastClr="000000"/>
                            </a:solidFill>
                            <a:prstDash val="solid"/>
                          </a:ln>
                          <a:effectLst/>
                        </wps:spPr>
                        <wps:txbx>
                          <w:txbxContent>
                            <w:p w14:paraId="3DBE2394"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iCs/>
                                  <w:color w:val="000000"/>
                                  <w:sz w:val="18"/>
                                  <w:szCs w:val="18"/>
                                  <w:lang w:val="fr-FR"/>
                                </w:rPr>
                                <w:t>Assistant</w:t>
                              </w:r>
                              <w:r w:rsidRPr="00866B3D">
                                <w:rPr>
                                  <w:bCs/>
                                  <w:color w:val="000000"/>
                                  <w:sz w:val="18"/>
                                  <w:szCs w:val="18"/>
                                  <w:lang w:val="fr-FR"/>
                                </w:rPr>
                                <w:t>(e)</w:t>
                              </w:r>
                              <w:r w:rsidRPr="00866B3D">
                                <w:rPr>
                                  <w:bCs/>
                                  <w:iCs/>
                                  <w:color w:val="000000"/>
                                  <w:sz w:val="18"/>
                                  <w:szCs w:val="18"/>
                                  <w:lang w:val="fr-FR"/>
                                </w:rPr>
                                <w:t xml:space="preserve"> (information publique) (</w:t>
                              </w:r>
                              <w:r w:rsidRPr="00866B3D">
                                <w:rPr>
                                  <w:bCs/>
                                  <w:color w:val="000000"/>
                                  <w:sz w:val="18"/>
                                  <w:szCs w:val="18"/>
                                  <w:lang w:val="fr-FR"/>
                                </w:rPr>
                                <w:t>G-5)</w:t>
                              </w:r>
                            </w:p>
                            <w:p w14:paraId="4D676905" w14:textId="14F841C5"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950106" y="1798972"/>
                            <a:ext cx="1733713" cy="620554"/>
                          </a:xfrm>
                          <a:prstGeom prst="rect">
                            <a:avLst/>
                          </a:prstGeom>
                          <a:noFill/>
                          <a:ln w="19050" cap="flat" cmpd="sng" algn="ctr">
                            <a:solidFill>
                              <a:sysClr val="windowText" lastClr="000000"/>
                            </a:solidFill>
                            <a:prstDash val="solid"/>
                          </a:ln>
                          <a:effectLst/>
                        </wps:spPr>
                        <wps:txbx>
                          <w:txbxContent>
                            <w:p w14:paraId="0033C142"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Assistant(e) de programme (G-5)</w:t>
                              </w:r>
                            </w:p>
                            <w:p w14:paraId="1334D1EA" w14:textId="15A3EF66"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282276" y="4811807"/>
                            <a:ext cx="1613502" cy="419216"/>
                          </a:xfrm>
                          <a:prstGeom prst="rect">
                            <a:avLst/>
                          </a:prstGeom>
                          <a:noFill/>
                          <a:ln w="19050" cap="flat" cmpd="sng" algn="ctr">
                            <a:solidFill>
                              <a:sysClr val="windowText" lastClr="000000"/>
                            </a:solidFill>
                            <a:prstDash val="solid"/>
                          </a:ln>
                          <a:effectLst/>
                        </wps:spPr>
                        <wps:txbx>
                          <w:txbxContent>
                            <w:p w14:paraId="78417C29" w14:textId="655D2B99" w:rsidR="003A0769" w:rsidRPr="001F5CE6" w:rsidRDefault="003A0769" w:rsidP="007D4A19">
                              <w:pPr>
                                <w:pStyle w:val="NormalWeb"/>
                                <w:shd w:val="clear" w:color="auto" w:fill="FFFFFF" w:themeFill="background1"/>
                                <w:spacing w:before="0" w:beforeAutospacing="0" w:after="0" w:afterAutospacing="0"/>
                                <w:jc w:val="center"/>
                                <w:textAlignment w:val="baseline"/>
                                <w:rPr>
                                  <w:lang w:val="fr-FR"/>
                                </w:rPr>
                              </w:pPr>
                              <w:r w:rsidRPr="001F5CE6">
                                <w:rPr>
                                  <w:bCs/>
                                  <w:iCs/>
                                  <w:color w:val="000000"/>
                                  <w:sz w:val="18"/>
                                  <w:szCs w:val="18"/>
                                  <w:lang w:val="fr-FR"/>
                                </w:rPr>
                                <w:t>Assistant</w:t>
                              </w:r>
                              <w:r w:rsidRPr="007D4A19">
                                <w:rPr>
                                  <w:bCs/>
                                  <w:color w:val="000000"/>
                                  <w:sz w:val="18"/>
                                  <w:szCs w:val="18"/>
                                  <w:lang w:val="fr-FR"/>
                                </w:rPr>
                                <w:t>(e)</w:t>
                              </w:r>
                              <w:r w:rsidRPr="001F5CE6">
                                <w:rPr>
                                  <w:bCs/>
                                  <w:iCs/>
                                  <w:color w:val="000000"/>
                                  <w:sz w:val="18"/>
                                  <w:szCs w:val="18"/>
                                  <w:lang w:val="fr-FR"/>
                                </w:rPr>
                                <w:t xml:space="preserve"> d’équipe</w:t>
                              </w:r>
                              <w:r w:rsidRPr="001F5CE6">
                                <w:rPr>
                                  <w:bCs/>
                                  <w:iCs/>
                                  <w:color w:val="000000"/>
                                  <w:sz w:val="18"/>
                                  <w:szCs w:val="18"/>
                                  <w:lang w:val="fr-FR"/>
                                </w:rPr>
                                <w:br/>
                              </w:r>
                              <w:r w:rsidRPr="001F5CE6">
                                <w:rPr>
                                  <w:bCs/>
                                  <w:i/>
                                  <w:iCs/>
                                  <w:color w:val="000000"/>
                                  <w:sz w:val="18"/>
                                  <w:szCs w:val="18"/>
                                  <w:lang w:val="fr-FR"/>
                                </w:rPr>
                                <w:t>(</w:t>
                              </w:r>
                              <w:r w:rsidRPr="001F5CE6">
                                <w:rPr>
                                  <w:bCs/>
                                  <w:color w:val="000000"/>
                                  <w:sz w:val="18"/>
                                  <w:szCs w:val="18"/>
                                  <w:lang w:val="fr-FR"/>
                                </w:rPr>
                                <w:t>G-4)</w:t>
                              </w:r>
                            </w:p>
                            <w:p w14:paraId="6C65C377" w14:textId="7673D0C8" w:rsidR="003A0769" w:rsidRPr="001F5CE6"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3174382" y="4514264"/>
                            <a:ext cx="6799021" cy="663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11132" y="3393771"/>
                            <a:ext cx="6472" cy="26670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3" name="Straight Connector 23">
                          <a:extLst>
                            <a:ext uri="{FF2B5EF4-FFF2-40B4-BE49-F238E27FC236}">
                              <a16:creationId xmlns:a16="http://schemas.microsoft.com/office/drawing/2014/main" id="{357B9AE8-E008-4CE8-A7B7-46F50A55AE03}"/>
                            </a:ext>
                          </a:extLst>
                        </wps:cNvPr>
                        <wps:cNvCnPr>
                          <a:cxnSpLocks/>
                          <a:stCxn id="12" idx="2"/>
                        </wps:cNvCnPr>
                        <wps:spPr>
                          <a:xfrm>
                            <a:off x="5810197" y="4306613"/>
                            <a:ext cx="0" cy="20720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089027" y="4513627"/>
                            <a:ext cx="0" cy="29818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5" name="Straight Connector 25">
                          <a:extLst>
                            <a:ext uri="{FF2B5EF4-FFF2-40B4-BE49-F238E27FC236}">
                              <a16:creationId xmlns:a16="http://schemas.microsoft.com/office/drawing/2014/main" id="{DCCF85D5-3390-42A2-A48B-5315377C20D4}"/>
                            </a:ext>
                          </a:extLst>
                        </wps:cNvPr>
                        <wps:cNvCnPr>
                          <a:cxnSpLocks/>
                          <a:endCxn id="26" idx="0"/>
                        </wps:cNvCnPr>
                        <wps:spPr>
                          <a:xfrm>
                            <a:off x="4623757" y="4520330"/>
                            <a:ext cx="0" cy="26081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6" name="Rectangle 26">
                          <a:extLst>
                            <a:ext uri="{FF2B5EF4-FFF2-40B4-BE49-F238E27FC236}">
                              <a16:creationId xmlns:a16="http://schemas.microsoft.com/office/drawing/2014/main" id="{66ED060E-AFDF-4987-B6D1-97FE88638BAA}"/>
                            </a:ext>
                          </a:extLst>
                        </wps:cNvPr>
                        <wps:cNvSpPr/>
                        <wps:spPr>
                          <a:xfrm>
                            <a:off x="3817006" y="4781754"/>
                            <a:ext cx="1613502" cy="449270"/>
                          </a:xfrm>
                          <a:prstGeom prst="rect">
                            <a:avLst/>
                          </a:prstGeom>
                          <a:noFill/>
                          <a:ln w="19050" cap="flat" cmpd="sng" algn="ctr">
                            <a:solidFill>
                              <a:sysClr val="windowText" lastClr="000000"/>
                            </a:solidFill>
                            <a:prstDash val="solid"/>
                          </a:ln>
                          <a:effectLst/>
                        </wps:spPr>
                        <wps:txbx>
                          <w:txbxContent>
                            <w:p w14:paraId="170894AF" w14:textId="511BEBF7" w:rsidR="003A0769" w:rsidRPr="00043D3E" w:rsidRDefault="003A0769" w:rsidP="00C50943">
                              <w:pPr>
                                <w:pStyle w:val="NormalWeb"/>
                                <w:spacing w:before="0" w:beforeAutospacing="0" w:after="0" w:afterAutospacing="0"/>
                                <w:jc w:val="center"/>
                                <w:textAlignment w:val="baseline"/>
                                <w:rPr>
                                  <w:bCs/>
                                  <w:color w:val="000000"/>
                                  <w:sz w:val="18"/>
                                  <w:szCs w:val="18"/>
                                  <w:lang w:val="en-US"/>
                                </w:rPr>
                              </w:pPr>
                              <w:r w:rsidRPr="007D4A19">
                                <w:rPr>
                                  <w:bCs/>
                                  <w:iCs/>
                                  <w:color w:val="000000"/>
                                  <w:sz w:val="18"/>
                                  <w:szCs w:val="18"/>
                                  <w:lang w:val="en-US"/>
                                </w:rPr>
                                <w:t>Assistant</w:t>
                              </w:r>
                              <w:r w:rsidRPr="007D4A19">
                                <w:rPr>
                                  <w:bCs/>
                                  <w:color w:val="000000"/>
                                  <w:sz w:val="18"/>
                                  <w:szCs w:val="18"/>
                                  <w:lang w:val="fr-FR"/>
                                </w:rPr>
                                <w:t>(e)</w:t>
                              </w:r>
                              <w:r w:rsidRPr="007D4A19">
                                <w:rPr>
                                  <w:bCs/>
                                  <w:iCs/>
                                  <w:color w:val="000000"/>
                                  <w:sz w:val="18"/>
                                  <w:szCs w:val="18"/>
                                  <w:lang w:val="en-US"/>
                                </w:rPr>
                                <w:t xml:space="preserve"> d’équipe</w:t>
                              </w:r>
                              <w:r w:rsidRPr="007D4A19">
                                <w:rPr>
                                  <w:bCs/>
                                  <w:iCs/>
                                  <w:color w:val="000000"/>
                                  <w:sz w:val="18"/>
                                  <w:szCs w:val="18"/>
                                  <w:lang w:val="en-US"/>
                                </w:rPr>
                                <w:br/>
                              </w:r>
                              <w:r w:rsidRPr="007D4A19">
                                <w:rPr>
                                  <w:bCs/>
                                  <w:i/>
                                  <w:iCs/>
                                  <w:color w:val="000000"/>
                                  <w:sz w:val="18"/>
                                  <w:szCs w:val="18"/>
                                  <w:lang w:val="en-US"/>
                                </w:rPr>
                                <w:t>(</w:t>
                              </w:r>
                              <w:r w:rsidRPr="007D4A19">
                                <w:rPr>
                                  <w:bCs/>
                                  <w:color w:val="000000"/>
                                  <w:sz w:val="18"/>
                                  <w:szCs w:val="18"/>
                                  <w:lang w:val="en-US"/>
                                </w:rPr>
                                <w:t>G-4)</w:t>
                              </w:r>
                            </w:p>
                          </w:txbxContent>
                        </wps:txbx>
                        <wps:bodyPr rtlCol="0" anchor="ctr"/>
                      </wps:wsp>
                      <wps:wsp>
                        <wps:cNvPr id="27" name="Straight Connector 27">
                          <a:extLst>
                            <a:ext uri="{FF2B5EF4-FFF2-40B4-BE49-F238E27FC236}">
                              <a16:creationId xmlns:a16="http://schemas.microsoft.com/office/drawing/2014/main" id="{C21E8521-D069-457C-AC9D-865DB16BC112}"/>
                            </a:ext>
                          </a:extLst>
                        </wps:cNvPr>
                        <wps:cNvCnPr>
                          <a:cxnSpLocks/>
                          <a:stCxn id="9" idx="3"/>
                          <a:endCxn id="29" idx="1"/>
                        </wps:cNvCnPr>
                        <wps:spPr>
                          <a:xfrm flipV="1">
                            <a:off x="6648027" y="2929465"/>
                            <a:ext cx="704831"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648026" y="2028543"/>
                            <a:ext cx="213609" cy="907636"/>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29" name="Rectangle 29">
                          <a:extLst>
                            <a:ext uri="{FF2B5EF4-FFF2-40B4-BE49-F238E27FC236}">
                              <a16:creationId xmlns:a16="http://schemas.microsoft.com/office/drawing/2014/main" id="{3B1DC246-BAD7-4E56-B0D6-6F5D17046AE8}"/>
                            </a:ext>
                          </a:extLst>
                        </wps:cNvPr>
                        <wps:cNvSpPr/>
                        <wps:spPr>
                          <a:xfrm>
                            <a:off x="7352858" y="2653511"/>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22D07048"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de programmes hors classe** (P-5)</w:t>
                              </w:r>
                            </w:p>
                            <w:p w14:paraId="3F3CB925" w14:textId="0CF8F826"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648026" y="1682935"/>
                            <a:ext cx="213609" cy="34560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flipV="1">
                            <a:off x="3174383" y="3393771"/>
                            <a:ext cx="5240383" cy="25029"/>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2" name="Straight Connector 32">
                          <a:extLst>
                            <a:ext uri="{FF2B5EF4-FFF2-40B4-BE49-F238E27FC236}">
                              <a16:creationId xmlns:a16="http://schemas.microsoft.com/office/drawing/2014/main" id="{2D63D4C3-A8FA-4FF3-8590-A3B190495B2A}"/>
                            </a:ext>
                          </a:extLst>
                        </wps:cNvPr>
                        <wps:cNvCnPr>
                          <a:cxnSpLocks/>
                          <a:stCxn id="7" idx="1"/>
                          <a:endCxn id="19" idx="3"/>
                        </wps:cNvCnPr>
                        <wps:spPr>
                          <a:xfrm flipH="1">
                            <a:off x="4683820" y="1682935"/>
                            <a:ext cx="236938" cy="4263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3" name="Straight Connector 33">
                          <a:extLst>
                            <a:ext uri="{FF2B5EF4-FFF2-40B4-BE49-F238E27FC236}">
                              <a16:creationId xmlns:a16="http://schemas.microsoft.com/office/drawing/2014/main" id="{BC7C36AD-FE8E-4BE5-A8D2-279EF6735C8D}"/>
                            </a:ext>
                          </a:extLst>
                        </wps:cNvPr>
                        <wps:cNvCnPr>
                          <a:cxnSpLocks/>
                          <a:stCxn id="9" idx="1"/>
                          <a:endCxn id="19" idx="3"/>
                        </wps:cNvCnPr>
                        <wps:spPr>
                          <a:xfrm flipH="1" flipV="1">
                            <a:off x="4683794" y="2109249"/>
                            <a:ext cx="211490" cy="82693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4" name="Straight Connector 34">
                          <a:extLst/>
                        </wps:cNvPr>
                        <wps:cNvCnPr>
                          <a:cxnSpLocks/>
                        </wps:cNvCnPr>
                        <wps:spPr>
                          <a:xfrm>
                            <a:off x="9105602" y="2898625"/>
                            <a:ext cx="877529" cy="335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5" name="Straight Connector 35">
                          <a:extLst/>
                        </wps:cNvPr>
                        <wps:cNvCnPr>
                          <a:cxnSpLocks/>
                        </wps:cNvCnPr>
                        <wps:spPr>
                          <a:xfrm>
                            <a:off x="9982980" y="2901763"/>
                            <a:ext cx="1" cy="16114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6" name="Straight Connector 36">
                          <a:extLst/>
                        </wps:cNvPr>
                        <wps:cNvCnPr>
                          <a:cxnSpLocks/>
                        </wps:cNvCnPr>
                        <wps:spPr>
                          <a:xfrm flipH="1">
                            <a:off x="9645312" y="2009346"/>
                            <a:ext cx="337668" cy="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8" name="Straight Connector 38">
                          <a:extLst/>
                        </wps:cNvPr>
                        <wps:cNvCnPr>
                          <a:cxnSpLocks/>
                        </wps:cNvCnPr>
                        <wps:spPr>
                          <a:xfrm flipV="1">
                            <a:off x="4184158" y="2901983"/>
                            <a:ext cx="704830"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39" name="Straight Connector 39">
                          <a:extLst/>
                        </wps:cNvPr>
                        <wps:cNvCnPr>
                          <a:cxnSpLocks/>
                        </wps:cNvCnPr>
                        <wps:spPr>
                          <a:xfrm>
                            <a:off x="8414639" y="4229260"/>
                            <a:ext cx="0" cy="28346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0" name="Straight Connector 40">
                          <a:extLst/>
                        </wps:cNvPr>
                        <wps:cNvCnPr>
                          <a:cxnSpLocks/>
                        </wps:cNvCnPr>
                        <wps:spPr>
                          <a:xfrm flipH="1">
                            <a:off x="3180434" y="4222717"/>
                            <a:ext cx="7763" cy="30452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1" name="Straight Connector 41">
                          <a:extLst/>
                        </wps:cNvPr>
                        <wps:cNvCnPr>
                          <a:cxnSpLocks/>
                        </wps:cNvCnPr>
                        <wps:spPr>
                          <a:xfrm>
                            <a:off x="3178089" y="3423105"/>
                            <a:ext cx="0" cy="23737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2" name="Straight Connector 42">
                          <a:extLst/>
                        </wps:cNvPr>
                        <wps:cNvCnPr>
                          <a:cxnSpLocks/>
                          <a:stCxn id="9" idx="2"/>
                        </wps:cNvCnPr>
                        <wps:spPr>
                          <a:xfrm>
                            <a:off x="5771571" y="3211869"/>
                            <a:ext cx="0" cy="22126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3" name="Straight Connector 43">
                          <a:extLst/>
                        </wps:cNvPr>
                        <wps:cNvCnPr>
                          <a:cxnSpLocks/>
                        </wps:cNvCnPr>
                        <wps:spPr>
                          <a:xfrm>
                            <a:off x="5771655" y="3403250"/>
                            <a:ext cx="0" cy="30944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2A99D546" id="Group 5" o:spid="_x0000_s1026" style="position:absolute;margin-left:0;margin-top:10.35pt;width:735.95pt;height:278pt;z-index:251666432;mso-position-horizontal:left;mso-position-horizontal-relative:margin;mso-width-relative:margin;mso-height-relative:margin" coordorigin="2993,13956" coordsize="114365,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">
                <v:rect id="Rectangle 7" o:spid="_x0000_s1027" style="position:absolute;left:49207;top:13956;width:17273;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" fillcolor="window" strokecolor="windowText" strokeweight="1.5pt">
                  <v:textbox>
                    <w:txbxContent>
                      <w:p w14:paraId="4CE60EA0" w14:textId="77777777" w:rsidR="003A0769" w:rsidRPr="00866B3D" w:rsidRDefault="003A0769" w:rsidP="00866B3D">
                        <w:pPr>
                          <w:pStyle w:val="NormalWeb"/>
                          <w:spacing w:before="0" w:beforeAutospacing="0" w:after="0" w:afterAutospacing="0"/>
                          <w:jc w:val="center"/>
                          <w:textAlignment w:val="baseline"/>
                        </w:pPr>
                        <w:r w:rsidRPr="00866B3D">
                          <w:rPr>
                            <w:bCs/>
                            <w:color w:val="000000"/>
                            <w:sz w:val="18"/>
                            <w:szCs w:val="18"/>
                            <w:lang w:val="en-US"/>
                          </w:rPr>
                          <w:t>Secrétaire exécutif(ve)</w:t>
                        </w:r>
                        <w:r w:rsidRPr="00866B3D">
                          <w:rPr>
                            <w:bCs/>
                            <w:color w:val="000000"/>
                            <w:sz w:val="18"/>
                            <w:szCs w:val="18"/>
                            <w:lang w:val="en-US"/>
                          </w:rPr>
                          <w:br/>
                          <w:t>(D-1)</w:t>
                        </w:r>
                      </w:p>
                      <w:p w14:paraId="59585B17" w14:textId="25861A64" w:rsidR="003A0769" w:rsidRPr="00043D3E" w:rsidRDefault="003A0769" w:rsidP="00C50943">
                        <w:pPr>
                          <w:pStyle w:val="NormalWeb"/>
                          <w:spacing w:before="0" w:beforeAutospacing="0" w:after="0" w:afterAutospacing="0"/>
                          <w:jc w:val="center"/>
                          <w:textAlignment w:val="baseline"/>
                          <w:rPr>
                            <w:bCs/>
                            <w:color w:val="000000"/>
                            <w:sz w:val="18"/>
                            <w:szCs w:val="18"/>
                            <w:lang w:val="en-US"/>
                          </w:rPr>
                        </w:pPr>
                      </w:p>
                    </w:txbxContent>
                  </v:textbox>
                </v:rect>
                <v:rect id="Rectangle 9" o:spid="_x0000_s1028" style="position:absolute;left:48952;top:26602;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" fillcolor="window" strokecolor="windowText" strokeweight="1.5pt">
                  <v:textbox>
                    <w:txbxContent>
                      <w:p w14:paraId="6AEFFAC0"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hors classe (coordination et politique générale) (P</w:t>
                        </w:r>
                        <w:r w:rsidRPr="00866B3D">
                          <w:rPr>
                            <w:bCs/>
                            <w:color w:val="000000"/>
                            <w:sz w:val="18"/>
                            <w:szCs w:val="18"/>
                            <w:lang w:val="fr-FR"/>
                          </w:rPr>
                          <w:noBreakHyphen/>
                          <w:t>5)</w:t>
                        </w:r>
                      </w:p>
                      <w:p w14:paraId="08E65252" w14:textId="72B48FB2"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line id="Straight Connector 10" o:spid="_x0000_s1029" style="position:absolute;flip:x;visibility:visible;mso-wrap-style:square" from="57716,19702" to="57843,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" strokecolor="black [3213]">
                  <v:shadow on="t" color="black" opacity="24903f" origin=",.5" offset="0,.55556mm"/>
                  <o:lock v:ext="edit" shapetype="f"/>
                </v:line>
                <v:rect id="Rectangle 11" o:spid="_x0000_s1030" style="position:absolute;left:73528;top:36604;width:20949;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" fillcolor="window" strokecolor="windowText" strokeweight="1.5pt">
                  <v:fill opacity="64764f"/>
                  <v:textbox>
                    <w:txbxContent>
                      <w:p w14:paraId="27265F1A" w14:textId="77777777" w:rsidR="003A0769" w:rsidRPr="007D4A19" w:rsidRDefault="003A0769" w:rsidP="007D4A19">
                        <w:pPr>
                          <w:pStyle w:val="NormalWeb"/>
                          <w:spacing w:before="0" w:beforeAutospacing="0" w:after="0" w:afterAutospacing="0"/>
                          <w:jc w:val="center"/>
                          <w:textAlignment w:val="baseline"/>
                          <w:rPr>
                            <w:lang w:val="fr-FR"/>
                          </w:rPr>
                        </w:pPr>
                        <w:r w:rsidRPr="007D4A19">
                          <w:rPr>
                            <w:bCs/>
                            <w:color w:val="000000" w:themeColor="text1"/>
                            <w:sz w:val="18"/>
                            <w:szCs w:val="18"/>
                            <w:lang w:val="fr-FR"/>
                          </w:rPr>
                          <w:t>Administrateur</w:t>
                        </w:r>
                        <w:r w:rsidRPr="007D4A19">
                          <w:rPr>
                            <w:bCs/>
                            <w:color w:val="000000"/>
                            <w:sz w:val="18"/>
                            <w:szCs w:val="18"/>
                            <w:lang w:val="fr-FR"/>
                          </w:rPr>
                          <w:t>(trice)</w:t>
                        </w:r>
                        <w:r w:rsidRPr="007D4A19">
                          <w:rPr>
                            <w:bCs/>
                            <w:color w:val="000000" w:themeColor="text1"/>
                            <w:sz w:val="18"/>
                            <w:szCs w:val="18"/>
                            <w:lang w:val="fr-FR"/>
                          </w:rPr>
                          <w:t xml:space="preserve"> de programmes (science et technologie) (</w:t>
                        </w:r>
                        <w:r w:rsidRPr="007D4A19">
                          <w:rPr>
                            <w:bCs/>
                            <w:color w:val="000000"/>
                            <w:sz w:val="18"/>
                            <w:szCs w:val="18"/>
                            <w:lang w:val="fr-FR"/>
                          </w:rPr>
                          <w:t>P-4)</w:t>
                        </w:r>
                      </w:p>
                      <w:p w14:paraId="5D643585" w14:textId="3901AF3B"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12" o:spid="_x0000_s1031" style="position:absolute;left:47755;top:37126;width:20695;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" fillcolor="window" strokecolor="windowText" strokeweight="1.5pt">
                  <v:textbox>
                    <w:txbxContent>
                      <w:p w14:paraId="5CEC5E8E" w14:textId="1B7506C3" w:rsidR="003A0769" w:rsidRPr="00A14445" w:rsidRDefault="003A0769" w:rsidP="00866B3D">
                        <w:pPr>
                          <w:pStyle w:val="NormalWeb"/>
                          <w:spacing w:before="0" w:beforeAutospacing="0" w:after="0" w:afterAutospacing="0"/>
                          <w:jc w:val="center"/>
                          <w:textAlignment w:val="baseline"/>
                          <w:rPr>
                            <w:sz w:val="15"/>
                            <w:szCs w:val="14"/>
                            <w:lang w:val="fr-FR"/>
                          </w:rPr>
                        </w:pPr>
                        <w:r w:rsidRPr="00A14445">
                          <w:rPr>
                            <w:bCs/>
                            <w:color w:val="000000" w:themeColor="text1"/>
                            <w:sz w:val="15"/>
                            <w:szCs w:val="14"/>
                            <w:lang w:val="fr-FR"/>
                          </w:rPr>
                          <w:t>Administrateur</w:t>
                        </w:r>
                        <w:r w:rsidRPr="00A14445">
                          <w:rPr>
                            <w:bCs/>
                            <w:color w:val="000000"/>
                            <w:sz w:val="15"/>
                            <w:szCs w:val="14"/>
                            <w:lang w:val="fr-FR"/>
                          </w:rPr>
                          <w:t>(trice)</w:t>
                        </w:r>
                        <w:r w:rsidRPr="00A14445">
                          <w:rPr>
                            <w:bCs/>
                            <w:color w:val="000000" w:themeColor="text1"/>
                            <w:sz w:val="15"/>
                            <w:szCs w:val="14"/>
                            <w:lang w:val="fr-FR"/>
                          </w:rPr>
                          <w:t xml:space="preserve"> de programmes (renforcement des capacités et assistance technique) (</w:t>
                        </w:r>
                        <w:r w:rsidRPr="00A14445">
                          <w:rPr>
                            <w:bCs/>
                            <w:color w:val="000000"/>
                            <w:sz w:val="15"/>
                            <w:szCs w:val="14"/>
                            <w:lang w:val="fr-FR"/>
                          </w:rPr>
                          <w:t>P-4)</w:t>
                        </w:r>
                      </w:p>
                      <w:p w14:paraId="31D28328" w14:textId="6C55C375"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13" o:spid="_x0000_s1032"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vowgAAANsAAAAPAAAAZHJzL2Rvd25yZXYueG1sRE9Na8JA&#10;EL0L/Q/LFLyZjR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DokrvowgAAANsAAAAPAAAA&#10;AAAAAAAAAAAAAAcCAABkcnMvZG93bnJldi54bWxQSwUGAAAAAAMAAwC3AAAA9gIAAAAA&#10;" fillcolor="window" strokecolor="windowText" strokeweight="1.5pt">
                  <v:textbox>
                    <w:txbxContent>
                      <w:p w14:paraId="61F5112A"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de programmes et juriste (P-3)</w:t>
                        </w:r>
                      </w:p>
                      <w:p w14:paraId="73FE58F7" w14:textId="31BCD173"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14" o:spid="_x0000_s1033" style="position:absolute;left:68616;top:17307;width:27737;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OcwgAAANsAAAAPAAAAZHJzL2Rvd25yZXYueG1sRE9Na8JA&#10;EL0L/Q/LFLyZjUVE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BneyOcwgAAANsAAAAPAAAA&#10;AAAAAAAAAAAAAAcCAABkcnMvZG93bnJldi54bWxQSwUGAAAAAAMAAwC3AAAA9gIAAAAA&#10;" fillcolor="window" strokecolor="windowText" strokeweight="1.5pt">
                  <v:textbox>
                    <w:txbxContent>
                      <w:p w14:paraId="57A0D700"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themeColor="text1"/>
                            <w:sz w:val="18"/>
                            <w:szCs w:val="18"/>
                            <w:lang w:val="fr-FR"/>
                          </w:rPr>
                          <w:t>Administrateur(trice) de programmes (gestion des communications et connaissances) (</w:t>
                        </w:r>
                        <w:r w:rsidRPr="00866B3D">
                          <w:rPr>
                            <w:bCs/>
                            <w:color w:val="000000"/>
                            <w:sz w:val="18"/>
                            <w:szCs w:val="18"/>
                            <w:lang w:val="fr-FR"/>
                          </w:rPr>
                          <w:t>P-3)</w:t>
                        </w:r>
                      </w:p>
                      <w:p w14:paraId="6776743A" w14:textId="4B5CEF8E"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15" o:spid="_x0000_s1034" style="position:absolute;left:24517;top:26491;width:17387;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" fillcolor="window" strokecolor="windowText" strokeweight="1.5pt">
                  <v:textbox>
                    <w:txbxContent>
                      <w:p w14:paraId="686F2ED3"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de programmes*</w:t>
                        </w:r>
                        <w:r w:rsidRPr="00866B3D">
                          <w:rPr>
                            <w:bCs/>
                            <w:color w:val="000000"/>
                            <w:sz w:val="18"/>
                            <w:szCs w:val="18"/>
                            <w:lang w:val="fr-FR"/>
                          </w:rPr>
                          <w:br/>
                          <w:t>(P-3)</w:t>
                        </w:r>
                      </w:p>
                      <w:p w14:paraId="4655D3C6" w14:textId="2DC5F639"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16" o:spid="_x0000_s1035" style="position:absolute;left:2993;top:26533;width:1861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" filled="f" strokecolor="windowText" strokeweight="1.5pt">
                  <v:textbox>
                    <w:txbxContent>
                      <w:p w14:paraId="780CFA3F" w14:textId="67250F9C"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Assistant(e) (finances)</w:t>
                        </w:r>
                        <w:r w:rsidRPr="00866B3D">
                          <w:rPr>
                            <w:bCs/>
                            <w:i/>
                            <w:iCs/>
                            <w:color w:val="000000"/>
                            <w:sz w:val="18"/>
                            <w:szCs w:val="18"/>
                            <w:lang w:val="fr-FR"/>
                          </w:rPr>
                          <w:t>*</w:t>
                        </w:r>
                        <w:r>
                          <w:rPr>
                            <w:bCs/>
                            <w:i/>
                            <w:iCs/>
                            <w:color w:val="000000"/>
                            <w:sz w:val="18"/>
                            <w:szCs w:val="18"/>
                            <w:lang w:val="fr-FR"/>
                          </w:rPr>
                          <w:br/>
                        </w:r>
                        <w:r w:rsidRPr="00866B3D">
                          <w:rPr>
                            <w:bCs/>
                            <w:i/>
                            <w:iCs/>
                            <w:color w:val="000000"/>
                            <w:sz w:val="18"/>
                            <w:szCs w:val="18"/>
                            <w:lang w:val="fr-FR"/>
                          </w:rPr>
                          <w:t>(</w:t>
                        </w:r>
                        <w:r w:rsidRPr="00866B3D">
                          <w:rPr>
                            <w:bCs/>
                            <w:color w:val="000000"/>
                            <w:sz w:val="18"/>
                            <w:szCs w:val="18"/>
                            <w:lang w:val="fr-FR"/>
                          </w:rPr>
                          <w:t>G-5)</w:t>
                        </w:r>
                      </w:p>
                      <w:p w14:paraId="65AA32B0" w14:textId="57F184DB"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line id="Straight Connector 17" o:spid="_x0000_s1036" style="position:absolute;flip:x;visibility:visible;mso-wrap-style:square" from="21603,29273" to="24517,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" strokecolor="black [3213]">
                  <v:shadow on="t" color="black" opacity="24903f" origin=",.5" offset="0,.55556mm"/>
                  <o:lock v:ext="edit" shapetype="f"/>
                </v:line>
                <v:rect id="Rectangle 18" o:spid="_x0000_s1037" style="position:absolute;left:99831;top:17313;width:17527;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" filled="f" strokecolor="windowText" strokeweight="1.5pt">
                  <v:textbox>
                    <w:txbxContent>
                      <w:p w14:paraId="3DBE2394"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iCs/>
                            <w:color w:val="000000"/>
                            <w:sz w:val="18"/>
                            <w:szCs w:val="18"/>
                            <w:lang w:val="fr-FR"/>
                          </w:rPr>
                          <w:t>Assistant</w:t>
                        </w:r>
                        <w:r w:rsidRPr="00866B3D">
                          <w:rPr>
                            <w:bCs/>
                            <w:color w:val="000000"/>
                            <w:sz w:val="18"/>
                            <w:szCs w:val="18"/>
                            <w:lang w:val="fr-FR"/>
                          </w:rPr>
                          <w:t>(e)</w:t>
                        </w:r>
                        <w:r w:rsidRPr="00866B3D">
                          <w:rPr>
                            <w:bCs/>
                            <w:iCs/>
                            <w:color w:val="000000"/>
                            <w:sz w:val="18"/>
                            <w:szCs w:val="18"/>
                            <w:lang w:val="fr-FR"/>
                          </w:rPr>
                          <w:t xml:space="preserve"> (information publique) (</w:t>
                        </w:r>
                        <w:r w:rsidRPr="00866B3D">
                          <w:rPr>
                            <w:bCs/>
                            <w:color w:val="000000"/>
                            <w:sz w:val="18"/>
                            <w:szCs w:val="18"/>
                            <w:lang w:val="fr-FR"/>
                          </w:rPr>
                          <w:t>G-5)</w:t>
                        </w:r>
                      </w:p>
                      <w:p w14:paraId="4D676905" w14:textId="14F841C5"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19" o:spid="_x0000_s1038" style="position:absolute;left:29501;top:17989;width:1733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" filled="f" strokecolor="windowText" strokeweight="1.5pt">
                  <v:textbox>
                    <w:txbxContent>
                      <w:p w14:paraId="0033C142"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Assistant(e) de programme (G-5)</w:t>
                        </w:r>
                      </w:p>
                      <w:p w14:paraId="1334D1EA" w14:textId="15A3EF66"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rect id="Rectangle 20" o:spid="_x0000_s1039" style="position:absolute;left:62822;top:48118;width:16135;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" filled="f" strokecolor="windowText" strokeweight="1.5pt">
                  <v:textbox>
                    <w:txbxContent>
                      <w:p w14:paraId="78417C29" w14:textId="655D2B99" w:rsidR="003A0769" w:rsidRPr="001F5CE6" w:rsidRDefault="003A0769" w:rsidP="007D4A19">
                        <w:pPr>
                          <w:pStyle w:val="NormalWeb"/>
                          <w:shd w:val="clear" w:color="auto" w:fill="FFFFFF" w:themeFill="background1"/>
                          <w:spacing w:before="0" w:beforeAutospacing="0" w:after="0" w:afterAutospacing="0"/>
                          <w:jc w:val="center"/>
                          <w:textAlignment w:val="baseline"/>
                          <w:rPr>
                            <w:lang w:val="fr-FR"/>
                          </w:rPr>
                        </w:pPr>
                        <w:r w:rsidRPr="001F5CE6">
                          <w:rPr>
                            <w:bCs/>
                            <w:iCs/>
                            <w:color w:val="000000"/>
                            <w:sz w:val="18"/>
                            <w:szCs w:val="18"/>
                            <w:lang w:val="fr-FR"/>
                          </w:rPr>
                          <w:t>Assistant</w:t>
                        </w:r>
                        <w:r w:rsidRPr="007D4A19">
                          <w:rPr>
                            <w:bCs/>
                            <w:color w:val="000000"/>
                            <w:sz w:val="18"/>
                            <w:szCs w:val="18"/>
                            <w:lang w:val="fr-FR"/>
                          </w:rPr>
                          <w:t>(e)</w:t>
                        </w:r>
                        <w:r w:rsidRPr="001F5CE6">
                          <w:rPr>
                            <w:bCs/>
                            <w:iCs/>
                            <w:color w:val="000000"/>
                            <w:sz w:val="18"/>
                            <w:szCs w:val="18"/>
                            <w:lang w:val="fr-FR"/>
                          </w:rPr>
                          <w:t xml:space="preserve"> d’équipe</w:t>
                        </w:r>
                        <w:r w:rsidRPr="001F5CE6">
                          <w:rPr>
                            <w:bCs/>
                            <w:iCs/>
                            <w:color w:val="000000"/>
                            <w:sz w:val="18"/>
                            <w:szCs w:val="18"/>
                            <w:lang w:val="fr-FR"/>
                          </w:rPr>
                          <w:br/>
                        </w:r>
                        <w:r w:rsidRPr="001F5CE6">
                          <w:rPr>
                            <w:bCs/>
                            <w:i/>
                            <w:iCs/>
                            <w:color w:val="000000"/>
                            <w:sz w:val="18"/>
                            <w:szCs w:val="18"/>
                            <w:lang w:val="fr-FR"/>
                          </w:rPr>
                          <w:t>(</w:t>
                        </w:r>
                        <w:r w:rsidRPr="001F5CE6">
                          <w:rPr>
                            <w:bCs/>
                            <w:color w:val="000000"/>
                            <w:sz w:val="18"/>
                            <w:szCs w:val="18"/>
                            <w:lang w:val="fr-FR"/>
                          </w:rPr>
                          <w:t>G-4)</w:t>
                        </w:r>
                      </w:p>
                      <w:p w14:paraId="6C65C377" w14:textId="7673D0C8" w:rsidR="003A0769" w:rsidRPr="001F5CE6"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line id="Straight Connector 21" o:spid="_x0000_s1040"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" strokecolor="black [3213]">
                  <v:shadow on="t" color="black" opacity="24903f" origin=",.5" offset="0,.55556mm"/>
                  <o:lock v:ext="edit" shapetype="f"/>
                </v:line>
                <v:line id="Straight Connector 22" o:spid="_x0000_s1041" style="position:absolute;visibility:visible;mso-wrap-style:square" from="84111,33937" to="84176,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" strokecolor="black [3213]">
                  <v:shadow on="t" color="black" opacity="24903f" origin=",.5" offset="0,.55556mm"/>
                  <o:lock v:ext="edit" shapetype="f"/>
                </v:line>
                <v:line id="Straight Connector 23" o:spid="_x0000_s1042" style="position:absolute;visibility:visible;mso-wrap-style:square" from="58101,43066" to="58101,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3txgAAANsAAAAPAAAAZHJzL2Rvd25yZXYueG1sRI9BawIx&#10;FITvgv8hvEIvotlaWm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xiN7cYAAADbAAAA&#10;DwAAAAAAAAAAAAAAAAAHAgAAZHJzL2Rvd25yZXYueG1sUEsFBgAAAAADAAMAtwAAAPoCAAAAAA==&#10;" strokecolor="black [3213]">
                  <v:shadow on="t" color="black" opacity="24903f" origin=",.5" offset="0,.55556mm"/>
                  <o:lock v:ext="edit" shapetype="f"/>
                </v:line>
                <v:line id="Straight Connector 24" o:spid="_x0000_s1043"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WZ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dPEVmcYAAADbAAAA&#10;DwAAAAAAAAAAAAAAAAAHAgAAZHJzL2Rvd25yZXYueG1sUEsFBgAAAAADAAMAtwAAAPoCAAAAAA==&#10;" strokecolor="black [3213]">
                  <v:shadow on="t" color="black" opacity="24903f" origin=",.5" offset="0,.55556mm"/>
                  <o:lock v:ext="edit" shapetype="f"/>
                </v:line>
                <v:line id="Straight Connector 25" o:spid="_x0000_s1044" style="position:absolute;visibility:visible;mso-wrap-style:square" from="46237,45203" to="46237,4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" strokecolor="black [3213]">
                  <v:shadow on="t" color="black" opacity="24903f" origin=",.5" offset="0,.55556mm"/>
                  <o:lock v:ext="edit" shapetype="f"/>
                </v:line>
                <v:rect id="Rectangle 26" o:spid="_x0000_s1045" style="position:absolute;left:38170;top:47817;width:16135;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" filled="f" strokecolor="windowText" strokeweight="1.5pt">
                  <v:textbox>
                    <w:txbxContent>
                      <w:p w14:paraId="170894AF" w14:textId="511BEBF7" w:rsidR="003A0769" w:rsidRPr="00043D3E" w:rsidRDefault="003A0769" w:rsidP="00C50943">
                        <w:pPr>
                          <w:pStyle w:val="NormalWeb"/>
                          <w:spacing w:before="0" w:beforeAutospacing="0" w:after="0" w:afterAutospacing="0"/>
                          <w:jc w:val="center"/>
                          <w:textAlignment w:val="baseline"/>
                          <w:rPr>
                            <w:bCs/>
                            <w:color w:val="000000"/>
                            <w:sz w:val="18"/>
                            <w:szCs w:val="18"/>
                            <w:lang w:val="en-US"/>
                          </w:rPr>
                        </w:pPr>
                        <w:r w:rsidRPr="007D4A19">
                          <w:rPr>
                            <w:bCs/>
                            <w:iCs/>
                            <w:color w:val="000000"/>
                            <w:sz w:val="18"/>
                            <w:szCs w:val="18"/>
                            <w:lang w:val="en-US"/>
                          </w:rPr>
                          <w:t>Assistant</w:t>
                        </w:r>
                        <w:r w:rsidRPr="007D4A19">
                          <w:rPr>
                            <w:bCs/>
                            <w:color w:val="000000"/>
                            <w:sz w:val="18"/>
                            <w:szCs w:val="18"/>
                            <w:lang w:val="fr-FR"/>
                          </w:rPr>
                          <w:t>(e)</w:t>
                        </w:r>
                        <w:r w:rsidRPr="007D4A19">
                          <w:rPr>
                            <w:bCs/>
                            <w:iCs/>
                            <w:color w:val="000000"/>
                            <w:sz w:val="18"/>
                            <w:szCs w:val="18"/>
                            <w:lang w:val="en-US"/>
                          </w:rPr>
                          <w:t xml:space="preserve"> d’équipe</w:t>
                        </w:r>
                        <w:r w:rsidRPr="007D4A19">
                          <w:rPr>
                            <w:bCs/>
                            <w:iCs/>
                            <w:color w:val="000000"/>
                            <w:sz w:val="18"/>
                            <w:szCs w:val="18"/>
                            <w:lang w:val="en-US"/>
                          </w:rPr>
                          <w:br/>
                        </w:r>
                        <w:r w:rsidRPr="007D4A19">
                          <w:rPr>
                            <w:bCs/>
                            <w:i/>
                            <w:iCs/>
                            <w:color w:val="000000"/>
                            <w:sz w:val="18"/>
                            <w:szCs w:val="18"/>
                            <w:lang w:val="en-US"/>
                          </w:rPr>
                          <w:t>(</w:t>
                        </w:r>
                        <w:r w:rsidRPr="007D4A19">
                          <w:rPr>
                            <w:bCs/>
                            <w:color w:val="000000"/>
                            <w:sz w:val="18"/>
                            <w:szCs w:val="18"/>
                            <w:lang w:val="en-US"/>
                          </w:rPr>
                          <w:t>G-4)</w:t>
                        </w:r>
                      </w:p>
                    </w:txbxContent>
                  </v:textbox>
                </v:rect>
                <v:line id="Straight Connector 27" o:spid="_x0000_s1046"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" strokecolor="black [3213]">
                  <v:shadow on="t" color="black" opacity="24903f" origin=",.5" offset="0,.55556mm"/>
                  <o:lock v:ext="edit" shapetype="f"/>
                </v:line>
                <v:line id="Straight Connector 28" o:spid="_x0000_s1047"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" strokecolor="black [3213]">
                  <v:shadow on="t" color="black" opacity="24903f" origin=",.5" offset="0,.55556mm"/>
                  <o:lock v:ext="edit" shapetype="f"/>
                </v:line>
                <v:rect id="Rectangle 29" o:spid="_x0000_s1048"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" fillcolor="window" strokecolor="windowText" strokeweight="1.5pt">
                  <v:textbox>
                    <w:txbxContent>
                      <w:p w14:paraId="22D07048" w14:textId="77777777" w:rsidR="003A0769" w:rsidRPr="00866B3D" w:rsidRDefault="003A0769" w:rsidP="00866B3D">
                        <w:pPr>
                          <w:pStyle w:val="NormalWeb"/>
                          <w:spacing w:before="0" w:beforeAutospacing="0" w:after="0" w:afterAutospacing="0"/>
                          <w:jc w:val="center"/>
                          <w:textAlignment w:val="baseline"/>
                          <w:rPr>
                            <w:lang w:val="fr-FR"/>
                          </w:rPr>
                        </w:pPr>
                        <w:r w:rsidRPr="00866B3D">
                          <w:rPr>
                            <w:bCs/>
                            <w:color w:val="000000"/>
                            <w:sz w:val="18"/>
                            <w:szCs w:val="18"/>
                            <w:lang w:val="fr-FR"/>
                          </w:rPr>
                          <w:t>Administrateur(trice) de programmes hors classe** (P-5)</w:t>
                        </w:r>
                      </w:p>
                      <w:p w14:paraId="3F3CB925" w14:textId="0CF8F826" w:rsidR="003A0769" w:rsidRPr="00043D3E" w:rsidRDefault="003A0769" w:rsidP="00C50943">
                        <w:pPr>
                          <w:pStyle w:val="NormalWeb"/>
                          <w:spacing w:before="0" w:beforeAutospacing="0" w:after="0" w:afterAutospacing="0"/>
                          <w:jc w:val="center"/>
                          <w:textAlignment w:val="baseline"/>
                          <w:rPr>
                            <w:bCs/>
                            <w:color w:val="000000"/>
                            <w:sz w:val="18"/>
                            <w:szCs w:val="18"/>
                            <w:lang w:val="fr-FR"/>
                          </w:rPr>
                        </w:pPr>
                      </w:p>
                    </w:txbxContent>
                  </v:textbox>
                </v:rect>
                <v:line id="Straight Connector 30" o:spid="_x0000_s1049" style="position:absolute;visibility:visible;mso-wrap-style:square" from="66480,16829"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" strokecolor="black [3213]">
                  <v:shadow on="t" color="black" opacity="24903f" origin=",.5" offset="0,.55556mm"/>
                  <o:lock v:ext="edit" shapetype="f"/>
                </v:line>
                <v:line id="Straight Connector 31" o:spid="_x0000_s1050" style="position:absolute;flip:y;visibility:visible;mso-wrap-style:square" from="31743,33937" to="84147,3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" strokecolor="black [3213]">
                  <v:shadow on="t" color="black" opacity="24903f" origin=",.5" offset="0,.55556mm"/>
                  <o:lock v:ext="edit" shapetype="f"/>
                </v:line>
                <v:line id="Straight Connector 32" o:spid="_x0000_s1051" style="position:absolute;flip:x;visibility:visible;mso-wrap-style:square" from="46838,16829" to="49207,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" strokecolor="black [3213]">
                  <v:shadow on="t" color="black" opacity="24903f" origin=",.5" offset="0,.55556mm"/>
                  <o:lock v:ext="edit" shapetype="f"/>
                </v:line>
                <v:line id="Straight Connector 33" o:spid="_x0000_s1052" style="position:absolute;flip:x y;visibility:visible;mso-wrap-style:square" from="46837,21092"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" strokecolor="black [3213]">
                  <v:shadow on="t" color="black" opacity="24903f" origin=",.5" offset="0,.55556mm"/>
                  <o:lock v:ext="edit" shapetype="f"/>
                </v:line>
                <v:line id="Straight Connector 34" o:spid="_x0000_s1053"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" strokecolor="black [3213]">
                  <v:shadow on="t" color="black" opacity="24903f" origin=",.5" offset="0,.55556mm"/>
                  <o:lock v:ext="edit" shapetype="f"/>
                </v:line>
                <v:line id="Straight Connector 35" o:spid="_x0000_s1054" style="position:absolute;visibility:visible;mso-wrap-style:square" from="99829,29017" to="99829,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" strokecolor="black [3213]">
                  <v:shadow on="t" color="black" opacity="24903f" origin=",.5" offset="0,.55556mm"/>
                  <o:lock v:ext="edit" shapetype="f"/>
                </v:line>
                <v:line id="Straight Connector 36" o:spid="_x0000_s1055" style="position:absolute;flip:x;visibility:visible;mso-wrap-style:square" from="96453,20093" to="99829,2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" strokecolor="black [3213]">
                  <v:shadow on="t" color="black" opacity="24903f" origin=",.5" offset="0,.55556mm"/>
                  <o:lock v:ext="edit" shapetype="f"/>
                </v:line>
                <v:line id="Straight Connector 38" o:spid="_x0000_s1056" style="position:absolute;flip:y;visibility:visible;mso-wrap-style:square" from="41841,29019" to="48889,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" strokecolor="black [3213]">
                  <v:shadow on="t" color="black" opacity="24903f" origin=",.5" offset="0,.55556mm"/>
                  <o:lock v:ext="edit" shapetype="f"/>
                </v:line>
                <v:line id="Straight Connector 39" o:spid="_x0000_s1057" style="position:absolute;visibility:visible;mso-wrap-style:square" from="84146,42292" to="84146,4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" strokecolor="black [3213]">
                  <v:shadow on="t" color="black" opacity="24903f" origin=",.5" offset="0,.55556mm"/>
                  <o:lock v:ext="edit" shapetype="f"/>
                </v:line>
                <v:line id="Straight Connector 40" o:spid="_x0000_s1058" style="position:absolute;flip:x;visibility:visible;mso-wrap-style:square" from="31804,42227" to="3188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" strokecolor="black [3213]">
                  <v:shadow on="t" color="black" opacity="24903f" origin=",.5" offset="0,.55556mm"/>
                  <o:lock v:ext="edit" shapetype="f"/>
                </v:line>
                <v:line id="Straight Connector 41" o:spid="_x0000_s1059"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" strokecolor="black [3213]">
                  <v:shadow on="t" color="black" opacity="24903f" origin=",.5" offset="0,.55556mm"/>
                  <o:lock v:ext="edit" shapetype="f"/>
                </v:line>
                <v:line id="Straight Connector 42" o:spid="_x0000_s1060" style="position:absolute;visibility:visible;mso-wrap-style:square" from="57715,32118" to="57715,3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83W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XIfx/iT9ATm4AAAD//wMAUEsBAi0AFAAGAAgAAAAhANvh9svuAAAAhQEAABMAAAAAAAAA&#10;AAAAAAAAAAAAAFtDb250ZW50X1R5cGVzXS54bWxQSwECLQAUAAYACAAAACEAWvQsW78AAAAVAQAA&#10;CwAAAAAAAAAAAAAAAAAfAQAAX3JlbHMvLnJlbHNQSwECLQAUAAYACAAAACEASYvN1sYAAADbAAAA&#10;DwAAAAAAAAAAAAAAAAAHAgAAZHJzL2Rvd25yZXYueG1sUEsFBgAAAAADAAMAtwAAAPoCAAAAAA==&#10;" strokecolor="black [3213]">
                  <v:shadow on="t" color="black" opacity="24903f" origin=",.5" offset="0,.55556mm"/>
                  <o:lock v:ext="edit" shapetype="f"/>
                </v:line>
                <v:line id="Straight Connector 43" o:spid="_x0000_s1061" style="position:absolute;visibility:visible;mso-wrap-style:square" from="57716,34032"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" strokecolor="black [3213]">
                  <v:shadow on="t" color="black" opacity="24903f" origin=",.5" offset="0,.55556mm"/>
                  <o:lock v:ext="edit" shapetype="f"/>
                </v:line>
                <w10:wrap anchorx="margin"/>
              </v:group>
            </w:pict>
          </mc:Fallback>
        </mc:AlternateContent>
      </w:r>
    </w:p>
    <w:p w14:paraId="308D785B" w14:textId="242E2B03" w:rsidR="007D4A19" w:rsidRPr="00110AE6" w:rsidRDefault="007D4A19">
      <w:pPr>
        <w:tabs>
          <w:tab w:val="clear" w:pos="1247"/>
          <w:tab w:val="clear" w:pos="1814"/>
          <w:tab w:val="clear" w:pos="2381"/>
          <w:tab w:val="clear" w:pos="2948"/>
          <w:tab w:val="clear" w:pos="3515"/>
        </w:tabs>
        <w:rPr>
          <w:b/>
          <w:bCs/>
          <w:noProof/>
          <w:sz w:val="28"/>
          <w:szCs w:val="26"/>
          <w:lang w:val="fr-FR"/>
        </w:rPr>
      </w:pPr>
    </w:p>
    <w:p w14:paraId="1A34D00F" w14:textId="03CD3BE6" w:rsidR="007D4A19" w:rsidRPr="00110AE6" w:rsidRDefault="007D4A19">
      <w:pPr>
        <w:tabs>
          <w:tab w:val="clear" w:pos="1247"/>
          <w:tab w:val="clear" w:pos="1814"/>
          <w:tab w:val="clear" w:pos="2381"/>
          <w:tab w:val="clear" w:pos="2948"/>
          <w:tab w:val="clear" w:pos="3515"/>
        </w:tabs>
        <w:rPr>
          <w:b/>
          <w:bCs/>
          <w:noProof/>
          <w:sz w:val="28"/>
          <w:szCs w:val="26"/>
          <w:lang w:val="fr-FR"/>
        </w:rPr>
      </w:pPr>
    </w:p>
    <w:p w14:paraId="737F989B" w14:textId="5DF269C6" w:rsidR="007D4A19" w:rsidRPr="00110AE6" w:rsidRDefault="007D4A19">
      <w:pPr>
        <w:tabs>
          <w:tab w:val="clear" w:pos="1247"/>
          <w:tab w:val="clear" w:pos="1814"/>
          <w:tab w:val="clear" w:pos="2381"/>
          <w:tab w:val="clear" w:pos="2948"/>
          <w:tab w:val="clear" w:pos="3515"/>
        </w:tabs>
        <w:rPr>
          <w:b/>
          <w:bCs/>
          <w:noProof/>
          <w:sz w:val="28"/>
          <w:szCs w:val="26"/>
          <w:lang w:val="fr-FR"/>
        </w:rPr>
      </w:pPr>
    </w:p>
    <w:p w14:paraId="37D0C09C" w14:textId="27920180" w:rsidR="007D4A19" w:rsidRPr="00110AE6" w:rsidRDefault="007D4A19">
      <w:pPr>
        <w:tabs>
          <w:tab w:val="clear" w:pos="1247"/>
          <w:tab w:val="clear" w:pos="1814"/>
          <w:tab w:val="clear" w:pos="2381"/>
          <w:tab w:val="clear" w:pos="2948"/>
          <w:tab w:val="clear" w:pos="3515"/>
        </w:tabs>
        <w:rPr>
          <w:b/>
          <w:bCs/>
          <w:noProof/>
          <w:sz w:val="28"/>
          <w:szCs w:val="26"/>
          <w:lang w:val="fr-FR"/>
        </w:rPr>
      </w:pPr>
    </w:p>
    <w:p w14:paraId="275060B2" w14:textId="3824C1BB" w:rsidR="007D4A19" w:rsidRPr="00110AE6" w:rsidRDefault="007D4A19">
      <w:pPr>
        <w:tabs>
          <w:tab w:val="clear" w:pos="1247"/>
          <w:tab w:val="clear" w:pos="1814"/>
          <w:tab w:val="clear" w:pos="2381"/>
          <w:tab w:val="clear" w:pos="2948"/>
          <w:tab w:val="clear" w:pos="3515"/>
        </w:tabs>
        <w:rPr>
          <w:b/>
          <w:bCs/>
          <w:noProof/>
          <w:sz w:val="28"/>
          <w:szCs w:val="26"/>
          <w:lang w:val="fr-FR"/>
        </w:rPr>
      </w:pPr>
    </w:p>
    <w:p w14:paraId="7528E2D8" w14:textId="4F82754F" w:rsidR="007D4A19" w:rsidRPr="00110AE6" w:rsidRDefault="007D4A19">
      <w:pPr>
        <w:tabs>
          <w:tab w:val="clear" w:pos="1247"/>
          <w:tab w:val="clear" w:pos="1814"/>
          <w:tab w:val="clear" w:pos="2381"/>
          <w:tab w:val="clear" w:pos="2948"/>
          <w:tab w:val="clear" w:pos="3515"/>
        </w:tabs>
        <w:rPr>
          <w:b/>
          <w:bCs/>
          <w:noProof/>
          <w:sz w:val="28"/>
          <w:szCs w:val="26"/>
          <w:lang w:val="fr-FR"/>
        </w:rPr>
      </w:pPr>
    </w:p>
    <w:p w14:paraId="5ADB40AD" w14:textId="76EDB742" w:rsidR="007D4A19" w:rsidRPr="00110AE6" w:rsidRDefault="007D4A19">
      <w:pPr>
        <w:tabs>
          <w:tab w:val="clear" w:pos="1247"/>
          <w:tab w:val="clear" w:pos="1814"/>
          <w:tab w:val="clear" w:pos="2381"/>
          <w:tab w:val="clear" w:pos="2948"/>
          <w:tab w:val="clear" w:pos="3515"/>
        </w:tabs>
        <w:rPr>
          <w:b/>
          <w:bCs/>
          <w:noProof/>
          <w:sz w:val="28"/>
          <w:szCs w:val="26"/>
          <w:lang w:val="fr-FR"/>
        </w:rPr>
      </w:pPr>
    </w:p>
    <w:p w14:paraId="189C5DD5" w14:textId="4969CDBD" w:rsidR="007D4A19" w:rsidRPr="00110AE6" w:rsidRDefault="007D4A19">
      <w:pPr>
        <w:tabs>
          <w:tab w:val="clear" w:pos="1247"/>
          <w:tab w:val="clear" w:pos="1814"/>
          <w:tab w:val="clear" w:pos="2381"/>
          <w:tab w:val="clear" w:pos="2948"/>
          <w:tab w:val="clear" w:pos="3515"/>
        </w:tabs>
        <w:rPr>
          <w:b/>
          <w:bCs/>
          <w:noProof/>
          <w:sz w:val="28"/>
          <w:szCs w:val="26"/>
          <w:lang w:val="fr-FR"/>
        </w:rPr>
      </w:pPr>
    </w:p>
    <w:p w14:paraId="7B06B0CF" w14:textId="4920A597" w:rsidR="007D4A19" w:rsidRPr="00110AE6" w:rsidRDefault="007D4A19">
      <w:pPr>
        <w:tabs>
          <w:tab w:val="clear" w:pos="1247"/>
          <w:tab w:val="clear" w:pos="1814"/>
          <w:tab w:val="clear" w:pos="2381"/>
          <w:tab w:val="clear" w:pos="2948"/>
          <w:tab w:val="clear" w:pos="3515"/>
        </w:tabs>
        <w:rPr>
          <w:b/>
          <w:bCs/>
          <w:noProof/>
          <w:sz w:val="28"/>
          <w:szCs w:val="26"/>
          <w:lang w:val="fr-FR"/>
        </w:rPr>
      </w:pPr>
    </w:p>
    <w:p w14:paraId="047D5ED0" w14:textId="4D338333" w:rsidR="007D4A19" w:rsidRPr="00110AE6" w:rsidRDefault="007D4A19">
      <w:pPr>
        <w:tabs>
          <w:tab w:val="clear" w:pos="1247"/>
          <w:tab w:val="clear" w:pos="1814"/>
          <w:tab w:val="clear" w:pos="2381"/>
          <w:tab w:val="clear" w:pos="2948"/>
          <w:tab w:val="clear" w:pos="3515"/>
        </w:tabs>
        <w:rPr>
          <w:b/>
          <w:bCs/>
          <w:noProof/>
          <w:sz w:val="28"/>
          <w:szCs w:val="26"/>
          <w:lang w:val="fr-FR"/>
        </w:rPr>
      </w:pPr>
    </w:p>
    <w:p w14:paraId="4C3D258D" w14:textId="58EDC23C" w:rsidR="007D4A19" w:rsidRPr="00110AE6" w:rsidRDefault="007D4A19">
      <w:pPr>
        <w:tabs>
          <w:tab w:val="clear" w:pos="1247"/>
          <w:tab w:val="clear" w:pos="1814"/>
          <w:tab w:val="clear" w:pos="2381"/>
          <w:tab w:val="clear" w:pos="2948"/>
          <w:tab w:val="clear" w:pos="3515"/>
        </w:tabs>
        <w:rPr>
          <w:b/>
          <w:bCs/>
          <w:noProof/>
          <w:sz w:val="28"/>
          <w:szCs w:val="26"/>
          <w:lang w:val="fr-FR"/>
        </w:rPr>
      </w:pPr>
    </w:p>
    <w:p w14:paraId="34414A25" w14:textId="06C4D783" w:rsidR="007D4A19" w:rsidRPr="00110AE6" w:rsidRDefault="007D4A19">
      <w:pPr>
        <w:tabs>
          <w:tab w:val="clear" w:pos="1247"/>
          <w:tab w:val="clear" w:pos="1814"/>
          <w:tab w:val="clear" w:pos="2381"/>
          <w:tab w:val="clear" w:pos="2948"/>
          <w:tab w:val="clear" w:pos="3515"/>
        </w:tabs>
        <w:rPr>
          <w:b/>
          <w:bCs/>
          <w:noProof/>
          <w:sz w:val="28"/>
          <w:szCs w:val="26"/>
          <w:lang w:val="fr-FR"/>
        </w:rPr>
      </w:pPr>
    </w:p>
    <w:p w14:paraId="488C68DF" w14:textId="6AB3EC78" w:rsidR="007D4A19" w:rsidRPr="00110AE6" w:rsidRDefault="007D4A19">
      <w:pPr>
        <w:tabs>
          <w:tab w:val="clear" w:pos="1247"/>
          <w:tab w:val="clear" w:pos="1814"/>
          <w:tab w:val="clear" w:pos="2381"/>
          <w:tab w:val="clear" w:pos="2948"/>
          <w:tab w:val="clear" w:pos="3515"/>
        </w:tabs>
        <w:rPr>
          <w:b/>
          <w:bCs/>
          <w:noProof/>
          <w:sz w:val="28"/>
          <w:szCs w:val="26"/>
          <w:lang w:val="fr-FR"/>
        </w:rPr>
      </w:pPr>
    </w:p>
    <w:p w14:paraId="0261E028" w14:textId="0B4AEA3D" w:rsidR="007D4A19" w:rsidRPr="00110AE6" w:rsidRDefault="007D4A19">
      <w:pPr>
        <w:tabs>
          <w:tab w:val="clear" w:pos="1247"/>
          <w:tab w:val="clear" w:pos="1814"/>
          <w:tab w:val="clear" w:pos="2381"/>
          <w:tab w:val="clear" w:pos="2948"/>
          <w:tab w:val="clear" w:pos="3515"/>
        </w:tabs>
        <w:rPr>
          <w:b/>
          <w:bCs/>
          <w:noProof/>
          <w:sz w:val="28"/>
          <w:szCs w:val="26"/>
          <w:lang w:val="fr-FR"/>
        </w:rPr>
      </w:pPr>
    </w:p>
    <w:p w14:paraId="7270E2E5" w14:textId="57D94C0D" w:rsidR="007D4A19" w:rsidRPr="00110AE6" w:rsidRDefault="00A14445">
      <w:pPr>
        <w:tabs>
          <w:tab w:val="clear" w:pos="1247"/>
          <w:tab w:val="clear" w:pos="1814"/>
          <w:tab w:val="clear" w:pos="2381"/>
          <w:tab w:val="clear" w:pos="2948"/>
          <w:tab w:val="clear" w:pos="3515"/>
        </w:tabs>
        <w:rPr>
          <w:b/>
          <w:bCs/>
          <w:noProof/>
          <w:sz w:val="28"/>
          <w:szCs w:val="26"/>
          <w:lang w:val="fr-FR"/>
        </w:rPr>
      </w:pPr>
      <w:r w:rsidRPr="00110AE6">
        <w:rPr>
          <w:noProof/>
          <w:lang w:val="fr-FR" w:eastAsia="zh-CN"/>
        </w:rPr>
        <mc:AlternateContent>
          <mc:Choice Requires="wps">
            <w:drawing>
              <wp:anchor distT="0" distB="0" distL="114300" distR="114300" simplePos="0" relativeHeight="251670528" behindDoc="0" locked="0" layoutInCell="1" allowOverlap="1" wp14:anchorId="0381EE5E" wp14:editId="31628CEE">
                <wp:simplePos x="0" y="0"/>
                <wp:positionH relativeFrom="column">
                  <wp:posOffset>-304800</wp:posOffset>
                </wp:positionH>
                <wp:positionV relativeFrom="paragraph">
                  <wp:posOffset>68580</wp:posOffset>
                </wp:positionV>
                <wp:extent cx="2959735" cy="539115"/>
                <wp:effectExtent l="0" t="0" r="0" b="0"/>
                <wp:wrapNone/>
                <wp:docPr id="6" name="TextBox 93"/>
                <wp:cNvGraphicFramePr/>
                <a:graphic xmlns:a="http://schemas.openxmlformats.org/drawingml/2006/main">
                  <a:graphicData uri="http://schemas.microsoft.com/office/word/2010/wordprocessingShape">
                    <wps:wsp>
                      <wps:cNvSpPr txBox="1"/>
                      <wps:spPr>
                        <a:xfrm>
                          <a:off x="0" y="0"/>
                          <a:ext cx="2959735" cy="539115"/>
                        </a:xfrm>
                        <a:prstGeom prst="rect">
                          <a:avLst/>
                        </a:prstGeom>
                        <a:noFill/>
                      </wps:spPr>
                      <wps:txbx>
                        <w:txbxContent>
                          <w:p w14:paraId="43DA34C3" w14:textId="77777777" w:rsidR="003A0769" w:rsidRPr="00E06FA0" w:rsidRDefault="003A0769" w:rsidP="007D4A19">
                            <w:pPr>
                              <w:pStyle w:val="NormalWeb"/>
                              <w:spacing w:before="0" w:beforeAutospacing="0" w:after="0" w:afterAutospacing="0"/>
                              <w:ind w:left="210" w:hanging="154"/>
                              <w:rPr>
                                <w:lang w:val="fr-FR"/>
                              </w:rPr>
                            </w:pPr>
                            <w:r w:rsidRPr="00E06FA0">
                              <w:rPr>
                                <w:color w:val="000000" w:themeColor="text1"/>
                                <w:kern w:val="24"/>
                                <w:sz w:val="18"/>
                                <w:szCs w:val="18"/>
                                <w:lang w:val="fr-FR"/>
                              </w:rPr>
                              <w:t xml:space="preserve">* Postes financés </w:t>
                            </w:r>
                            <w:r>
                              <w:rPr>
                                <w:color w:val="000000" w:themeColor="text1"/>
                                <w:kern w:val="24"/>
                                <w:sz w:val="18"/>
                                <w:szCs w:val="18"/>
                                <w:lang w:val="fr-FR"/>
                              </w:rPr>
                              <w:t>au moyen des ressources destinées à l</w:t>
                            </w:r>
                            <w:r w:rsidRPr="00E06FA0">
                              <w:rPr>
                                <w:color w:val="000000" w:themeColor="text1"/>
                                <w:kern w:val="24"/>
                                <w:sz w:val="18"/>
                                <w:szCs w:val="18"/>
                                <w:lang w:val="fr-FR"/>
                              </w:rPr>
                              <w:t>’appui au</w:t>
                            </w:r>
                            <w:r>
                              <w:rPr>
                                <w:color w:val="000000" w:themeColor="text1"/>
                                <w:kern w:val="24"/>
                                <w:sz w:val="18"/>
                                <w:szCs w:val="18"/>
                                <w:lang w:val="fr-FR"/>
                              </w:rPr>
                              <w:t>x</w:t>
                            </w:r>
                            <w:r w:rsidRPr="00E06FA0">
                              <w:rPr>
                                <w:color w:val="000000" w:themeColor="text1"/>
                                <w:kern w:val="24"/>
                                <w:sz w:val="18"/>
                                <w:szCs w:val="18"/>
                                <w:lang w:val="fr-FR"/>
                              </w:rPr>
                              <w:t xml:space="preserve"> programme</w:t>
                            </w:r>
                            <w:r>
                              <w:rPr>
                                <w:color w:val="000000" w:themeColor="text1"/>
                                <w:kern w:val="24"/>
                                <w:sz w:val="18"/>
                                <w:szCs w:val="18"/>
                                <w:lang w:val="fr-FR"/>
                              </w:rPr>
                              <w:t>s.</w:t>
                            </w:r>
                          </w:p>
                          <w:p w14:paraId="2526E573" w14:textId="77777777" w:rsidR="003A0769" w:rsidRPr="002A0A32" w:rsidRDefault="003A0769" w:rsidP="007D4A19">
                            <w:pPr>
                              <w:pStyle w:val="NormalWeb"/>
                              <w:spacing w:before="0" w:beforeAutospacing="0" w:after="0" w:afterAutospacing="0"/>
                              <w:ind w:left="210" w:hanging="154"/>
                              <w:rPr>
                                <w:color w:val="000000" w:themeColor="text1"/>
                                <w:kern w:val="24"/>
                                <w:sz w:val="18"/>
                                <w:szCs w:val="18"/>
                                <w:lang w:val="fr-FR"/>
                              </w:rPr>
                            </w:pPr>
                            <w:r w:rsidRPr="00E06FA0">
                              <w:rPr>
                                <w:color w:val="000000" w:themeColor="text1"/>
                                <w:kern w:val="24"/>
                                <w:sz w:val="18"/>
                                <w:szCs w:val="18"/>
                                <w:lang w:val="fr-FR"/>
                              </w:rPr>
                              <w:t xml:space="preserve">** Postes financés </w:t>
                            </w:r>
                            <w:r>
                              <w:rPr>
                                <w:color w:val="000000" w:themeColor="text1"/>
                                <w:kern w:val="24"/>
                                <w:sz w:val="18"/>
                                <w:szCs w:val="18"/>
                                <w:lang w:val="fr-FR"/>
                              </w:rPr>
                              <w:t>au moyen des contributions volontaires.</w:t>
                            </w:r>
                          </w:p>
                        </w:txbxContent>
                      </wps:txbx>
                      <wps:bodyPr wrap="square" rtlCol="0">
                        <a:noAutofit/>
                      </wps:bodyPr>
                    </wps:wsp>
                  </a:graphicData>
                </a:graphic>
              </wp:anchor>
            </w:drawing>
          </mc:Choice>
          <mc:Fallback xmlns:cx5="http://schemas.microsoft.com/office/drawing/2016/5/11/chartex" xmlns:cx4="http://schemas.microsoft.com/office/drawing/2016/5/10/chartex" xmlns:cx3="http://schemas.microsoft.com/office/drawing/2016/5/9/chartex">
            <w:pict>
              <v:shapetype w14:anchorId="0381EE5E" id="_x0000_t202" coordsize="21600,21600" o:spt="202" path="m,l,21600r21600,l21600,xe">
                <v:stroke joinstyle="miter"/>
                <v:path gradientshapeok="t" o:connecttype="rect"/>
              </v:shapetype>
              <v:shape id="TextBox 93" o:spid="_x0000_s1062" type="#_x0000_t202" style="position:absolute;margin-left:-24pt;margin-top:5.4pt;width:233.05pt;height:42.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" filled="f" stroked="f">
                <v:textbox>
                  <w:txbxContent>
                    <w:p w14:paraId="43DA34C3" w14:textId="77777777" w:rsidR="003A0769" w:rsidRPr="00E06FA0" w:rsidRDefault="003A0769" w:rsidP="007D4A19">
                      <w:pPr>
                        <w:pStyle w:val="NormalWeb"/>
                        <w:spacing w:before="0" w:beforeAutospacing="0" w:after="0" w:afterAutospacing="0"/>
                        <w:ind w:left="210" w:hanging="154"/>
                        <w:rPr>
                          <w:lang w:val="fr-FR"/>
                        </w:rPr>
                      </w:pPr>
                      <w:r w:rsidRPr="00E06FA0">
                        <w:rPr>
                          <w:color w:val="000000" w:themeColor="text1"/>
                          <w:kern w:val="24"/>
                          <w:sz w:val="18"/>
                          <w:szCs w:val="18"/>
                          <w:lang w:val="fr-FR"/>
                        </w:rPr>
                        <w:t xml:space="preserve">* Postes financés </w:t>
                      </w:r>
                      <w:r>
                        <w:rPr>
                          <w:color w:val="000000" w:themeColor="text1"/>
                          <w:kern w:val="24"/>
                          <w:sz w:val="18"/>
                          <w:szCs w:val="18"/>
                          <w:lang w:val="fr-FR"/>
                        </w:rPr>
                        <w:t>au moyen des ressources destinées à l</w:t>
                      </w:r>
                      <w:r w:rsidRPr="00E06FA0">
                        <w:rPr>
                          <w:color w:val="000000" w:themeColor="text1"/>
                          <w:kern w:val="24"/>
                          <w:sz w:val="18"/>
                          <w:szCs w:val="18"/>
                          <w:lang w:val="fr-FR"/>
                        </w:rPr>
                        <w:t>’appui au</w:t>
                      </w:r>
                      <w:r>
                        <w:rPr>
                          <w:color w:val="000000" w:themeColor="text1"/>
                          <w:kern w:val="24"/>
                          <w:sz w:val="18"/>
                          <w:szCs w:val="18"/>
                          <w:lang w:val="fr-FR"/>
                        </w:rPr>
                        <w:t>x</w:t>
                      </w:r>
                      <w:r w:rsidRPr="00E06FA0">
                        <w:rPr>
                          <w:color w:val="000000" w:themeColor="text1"/>
                          <w:kern w:val="24"/>
                          <w:sz w:val="18"/>
                          <w:szCs w:val="18"/>
                          <w:lang w:val="fr-FR"/>
                        </w:rPr>
                        <w:t xml:space="preserve"> programme</w:t>
                      </w:r>
                      <w:r>
                        <w:rPr>
                          <w:color w:val="000000" w:themeColor="text1"/>
                          <w:kern w:val="24"/>
                          <w:sz w:val="18"/>
                          <w:szCs w:val="18"/>
                          <w:lang w:val="fr-FR"/>
                        </w:rPr>
                        <w:t>s.</w:t>
                      </w:r>
                    </w:p>
                    <w:p w14:paraId="2526E573" w14:textId="77777777" w:rsidR="003A0769" w:rsidRPr="002A0A32" w:rsidRDefault="003A0769" w:rsidP="007D4A19">
                      <w:pPr>
                        <w:pStyle w:val="NormalWeb"/>
                        <w:spacing w:before="0" w:beforeAutospacing="0" w:after="0" w:afterAutospacing="0"/>
                        <w:ind w:left="210" w:hanging="154"/>
                        <w:rPr>
                          <w:color w:val="000000" w:themeColor="text1"/>
                          <w:kern w:val="24"/>
                          <w:sz w:val="18"/>
                          <w:szCs w:val="18"/>
                          <w:lang w:val="fr-FR"/>
                        </w:rPr>
                      </w:pPr>
                      <w:r w:rsidRPr="00E06FA0">
                        <w:rPr>
                          <w:color w:val="000000" w:themeColor="text1"/>
                          <w:kern w:val="24"/>
                          <w:sz w:val="18"/>
                          <w:szCs w:val="18"/>
                          <w:lang w:val="fr-FR"/>
                        </w:rPr>
                        <w:t xml:space="preserve">** Postes financés </w:t>
                      </w:r>
                      <w:r>
                        <w:rPr>
                          <w:color w:val="000000" w:themeColor="text1"/>
                          <w:kern w:val="24"/>
                          <w:sz w:val="18"/>
                          <w:szCs w:val="18"/>
                          <w:lang w:val="fr-FR"/>
                        </w:rPr>
                        <w:t>au moyen des contributions volontaires.</w:t>
                      </w:r>
                    </w:p>
                  </w:txbxContent>
                </v:textbox>
              </v:shape>
            </w:pict>
          </mc:Fallback>
        </mc:AlternateContent>
      </w:r>
    </w:p>
    <w:p w14:paraId="08169FF4" w14:textId="5BB5B53D" w:rsidR="007D4A19" w:rsidRPr="00110AE6" w:rsidRDefault="007D4A19">
      <w:pPr>
        <w:tabs>
          <w:tab w:val="clear" w:pos="1247"/>
          <w:tab w:val="clear" w:pos="1814"/>
          <w:tab w:val="clear" w:pos="2381"/>
          <w:tab w:val="clear" w:pos="2948"/>
          <w:tab w:val="clear" w:pos="3515"/>
        </w:tabs>
        <w:rPr>
          <w:b/>
          <w:bCs/>
          <w:noProof/>
          <w:sz w:val="28"/>
          <w:szCs w:val="26"/>
          <w:lang w:val="fr-FR"/>
        </w:rPr>
      </w:pPr>
    </w:p>
    <w:p w14:paraId="64F6C118" w14:textId="77777777" w:rsidR="007D4A19" w:rsidRPr="00110AE6" w:rsidRDefault="007D4A19">
      <w:pPr>
        <w:tabs>
          <w:tab w:val="clear" w:pos="1247"/>
          <w:tab w:val="clear" w:pos="1814"/>
          <w:tab w:val="clear" w:pos="2381"/>
          <w:tab w:val="clear" w:pos="2948"/>
          <w:tab w:val="clear" w:pos="3515"/>
        </w:tabs>
        <w:rPr>
          <w:b/>
          <w:bCs/>
          <w:noProof/>
          <w:sz w:val="28"/>
          <w:szCs w:val="26"/>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83"/>
        <w:gridCol w:w="2884"/>
        <w:gridCol w:w="2884"/>
        <w:gridCol w:w="2884"/>
      </w:tblGrid>
      <w:tr w:rsidR="000A2ABE" w:rsidRPr="00110AE6" w14:paraId="1CD7049C" w14:textId="77777777" w:rsidTr="00A52366">
        <w:tc>
          <w:tcPr>
            <w:tcW w:w="2883" w:type="dxa"/>
          </w:tcPr>
          <w:p w14:paraId="7E2CB36F" w14:textId="3C17775A" w:rsidR="009E058B" w:rsidRPr="00110AE6" w:rsidRDefault="009E058B" w:rsidP="00A14445">
            <w:pPr>
              <w:pStyle w:val="Normal-pool"/>
              <w:spacing w:before="360"/>
              <w:rPr>
                <w:noProof/>
                <w:lang w:val="fr-FR"/>
              </w:rPr>
            </w:pPr>
          </w:p>
        </w:tc>
        <w:tc>
          <w:tcPr>
            <w:tcW w:w="2883" w:type="dxa"/>
          </w:tcPr>
          <w:p w14:paraId="13EC97C6" w14:textId="77777777" w:rsidR="000A2ABE" w:rsidRPr="00110AE6" w:rsidRDefault="000A2ABE" w:rsidP="00A14445">
            <w:pPr>
              <w:pStyle w:val="Normal-pool"/>
              <w:spacing w:before="360"/>
              <w:rPr>
                <w:noProof/>
                <w:lang w:val="fr-FR"/>
              </w:rPr>
            </w:pPr>
          </w:p>
        </w:tc>
        <w:tc>
          <w:tcPr>
            <w:tcW w:w="2884" w:type="dxa"/>
            <w:tcBorders>
              <w:bottom w:val="single" w:sz="4" w:space="0" w:color="auto"/>
            </w:tcBorders>
          </w:tcPr>
          <w:p w14:paraId="76873083" w14:textId="77777777" w:rsidR="000A2ABE" w:rsidRPr="00110AE6" w:rsidRDefault="000A2ABE" w:rsidP="00A14445">
            <w:pPr>
              <w:pStyle w:val="Normal-pool"/>
              <w:spacing w:before="360"/>
              <w:rPr>
                <w:noProof/>
                <w:lang w:val="fr-FR"/>
              </w:rPr>
            </w:pPr>
          </w:p>
        </w:tc>
        <w:tc>
          <w:tcPr>
            <w:tcW w:w="2884" w:type="dxa"/>
          </w:tcPr>
          <w:p w14:paraId="3B5D0A86" w14:textId="77777777" w:rsidR="000A2ABE" w:rsidRPr="00110AE6" w:rsidRDefault="000A2ABE" w:rsidP="00A14445">
            <w:pPr>
              <w:pStyle w:val="Normal-pool"/>
              <w:spacing w:before="360"/>
              <w:rPr>
                <w:noProof/>
                <w:lang w:val="fr-FR"/>
              </w:rPr>
            </w:pPr>
          </w:p>
        </w:tc>
        <w:tc>
          <w:tcPr>
            <w:tcW w:w="2884" w:type="dxa"/>
          </w:tcPr>
          <w:p w14:paraId="7B69971C" w14:textId="77777777" w:rsidR="000A2ABE" w:rsidRPr="00110AE6" w:rsidRDefault="000A2ABE" w:rsidP="00A14445">
            <w:pPr>
              <w:pStyle w:val="Normal-pool"/>
              <w:spacing w:before="360"/>
              <w:rPr>
                <w:noProof/>
                <w:lang w:val="fr-FR"/>
              </w:rPr>
            </w:pPr>
          </w:p>
        </w:tc>
      </w:tr>
    </w:tbl>
    <w:p w14:paraId="52CCB6C4" w14:textId="77777777" w:rsidR="00E3777B" w:rsidRPr="00110AE6" w:rsidRDefault="00E3777B" w:rsidP="009E058B">
      <w:pPr>
        <w:pStyle w:val="Normal-pool"/>
        <w:rPr>
          <w:noProof/>
          <w:lang w:val="fr-FR"/>
        </w:rPr>
      </w:pPr>
    </w:p>
    <w:sectPr w:rsidR="00E3777B" w:rsidRPr="00110AE6" w:rsidSect="00784207">
      <w:headerReference w:type="even" r:id="rId28"/>
      <w:headerReference w:type="default" r:id="rId29"/>
      <w:headerReference w:type="first" r:id="rId30"/>
      <w:footerReference w:type="first" r:id="rId31"/>
      <w:footnotePr>
        <w:numRestart w:val="eachSect"/>
      </w:footnotePr>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D6BE" w14:textId="77777777" w:rsidR="003A0769" w:rsidRDefault="003A0769">
      <w:r>
        <w:separator/>
      </w:r>
    </w:p>
  </w:endnote>
  <w:endnote w:type="continuationSeparator" w:id="0">
    <w:p w14:paraId="4412502A" w14:textId="77777777" w:rsidR="003A0769" w:rsidRDefault="003A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2B55612D" w:rsidR="003A0769" w:rsidRDefault="003A0769">
    <w:pPr>
      <w:pStyle w:val="Pieddepage"/>
    </w:pPr>
    <w:r>
      <w:rPr>
        <w:rStyle w:val="Numrodepage"/>
      </w:rPr>
      <w:fldChar w:fldCharType="begin"/>
    </w:r>
    <w:r>
      <w:rPr>
        <w:rStyle w:val="Numrodepage"/>
      </w:rPr>
      <w:instrText xml:space="preserve"> PAGE </w:instrText>
    </w:r>
    <w:r>
      <w:rPr>
        <w:rStyle w:val="Numrodepage"/>
      </w:rPr>
      <w:fldChar w:fldCharType="separate"/>
    </w:r>
    <w:r w:rsidR="008B4DCA">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31247A51" w:rsidR="003A0769" w:rsidRDefault="003A0769"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8B4DCA">
      <w:rPr>
        <w:rStyle w:val="Numrodepage"/>
        <w:noProof/>
      </w:rPr>
      <w:t>15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7B34" w14:textId="6A4E57D3" w:rsidR="003A0769" w:rsidRPr="00E3777B" w:rsidRDefault="003A0769" w:rsidP="00E3777B">
    <w:pPr>
      <w:pStyle w:val="Pieddepage"/>
      <w:rPr>
        <w:sz w:val="20"/>
      </w:rPr>
    </w:pPr>
    <w:r>
      <w:rPr>
        <w:sz w:val="20"/>
      </w:rPr>
      <w:t>K1802634</w:t>
    </w:r>
    <w:r>
      <w:rPr>
        <w:sz w:val="20"/>
      </w:rPr>
      <w:tab/>
      <w:t>0711</w:t>
    </w:r>
    <w:r w:rsidRPr="00E3777B">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0F71" w14:textId="4C50011C" w:rsidR="003A0769" w:rsidRPr="00EC3F22" w:rsidRDefault="003A0769" w:rsidP="00EC3F22">
    <w:pPr>
      <w:pStyle w:val="Pieddepage"/>
      <w:jc w:val="right"/>
      <w:rPr>
        <w:b/>
      </w:rPr>
    </w:pPr>
    <w:r w:rsidRPr="00EC3F22">
      <w:rPr>
        <w:b/>
      </w:rPr>
      <w:fldChar w:fldCharType="begin"/>
    </w:r>
    <w:r w:rsidRPr="00EC3F22">
      <w:rPr>
        <w:b/>
      </w:rPr>
      <w:instrText xml:space="preserve"> PAGE   \* MERGEFORMAT </w:instrText>
    </w:r>
    <w:r w:rsidRPr="00EC3F22">
      <w:rPr>
        <w:b/>
      </w:rPr>
      <w:fldChar w:fldCharType="separate"/>
    </w:r>
    <w:r w:rsidR="008B4DCA">
      <w:rPr>
        <w:b/>
        <w:noProof/>
      </w:rPr>
      <w:t>14</w:t>
    </w:r>
    <w:r w:rsidRPr="00EC3F22">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3EFC" w14:textId="21DD417F" w:rsidR="003A0769" w:rsidRDefault="003A0769">
    <w:pPr>
      <w:pStyle w:val="Pieddepage"/>
    </w:pPr>
    <w:r>
      <w:rPr>
        <w:rStyle w:val="Numrodepage"/>
      </w:rPr>
      <w:fldChar w:fldCharType="begin"/>
    </w:r>
    <w:r>
      <w:rPr>
        <w:rStyle w:val="Numrodepage"/>
      </w:rPr>
      <w:instrText xml:space="preserve"> PAGE </w:instrText>
    </w:r>
    <w:r>
      <w:rPr>
        <w:rStyle w:val="Numrodepage"/>
      </w:rPr>
      <w:fldChar w:fldCharType="separate"/>
    </w:r>
    <w:r w:rsidR="008B4DCA">
      <w:rPr>
        <w:rStyle w:val="Numrodepage"/>
        <w:noProof/>
      </w:rPr>
      <w:t>18</w:t>
    </w:r>
    <w:r>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5977" w14:textId="247EECC2" w:rsidR="003A0769" w:rsidRDefault="003A0769"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8B4DCA">
      <w:rPr>
        <w:rStyle w:val="Numrodepage"/>
        <w:noProof/>
      </w:rPr>
      <w:t>17</w:t>
    </w:r>
    <w:r>
      <w:rPr>
        <w:rStyle w:val="Numrodepag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DFFE" w14:textId="77777777" w:rsidR="003A0769" w:rsidRPr="00E3777B" w:rsidRDefault="003A0769" w:rsidP="00E3777B">
    <w:pPr>
      <w:pStyle w:val="Pieddepage"/>
      <w:rPr>
        <w:sz w:val="20"/>
      </w:rPr>
    </w:pPr>
    <w:r w:rsidRPr="00E3777B">
      <w:rPr>
        <w:sz w:val="20"/>
      </w:rPr>
      <w:t>K1802633</w:t>
    </w:r>
    <w:r w:rsidRPr="00E3777B">
      <w:rPr>
        <w:sz w:val="20"/>
      </w:rPr>
      <w:tab/>
      <w:t>xx1018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BAA8" w14:textId="1DD1264A" w:rsidR="003A0769" w:rsidRPr="00784207" w:rsidRDefault="003A0769" w:rsidP="00784207">
    <w:pPr>
      <w:pStyle w:val="Pieddepage"/>
      <w:rPr>
        <w:b/>
      </w:rPr>
    </w:pPr>
    <w:r w:rsidRPr="00784207">
      <w:rPr>
        <w:b/>
      </w:rPr>
      <w:fldChar w:fldCharType="begin"/>
    </w:r>
    <w:r w:rsidRPr="00784207">
      <w:rPr>
        <w:b/>
      </w:rPr>
      <w:instrText xml:space="preserve"> PAGE   \* MERGEFORMAT </w:instrText>
    </w:r>
    <w:r w:rsidRPr="00784207">
      <w:rPr>
        <w:b/>
      </w:rPr>
      <w:fldChar w:fldCharType="separate"/>
    </w:r>
    <w:r w:rsidR="008B4DCA">
      <w:rPr>
        <w:b/>
        <w:noProof/>
      </w:rPr>
      <w:t>19</w:t>
    </w:r>
    <w:r w:rsidRPr="0078420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B748" w14:textId="77777777" w:rsidR="003A0769" w:rsidRPr="00BC5579" w:rsidRDefault="003A0769" w:rsidP="00BC5579">
      <w:pPr>
        <w:spacing w:before="60"/>
        <w:ind w:left="624"/>
        <w:rPr>
          <w:sz w:val="18"/>
          <w:szCs w:val="18"/>
        </w:rPr>
      </w:pPr>
      <w:r w:rsidRPr="00BC5579">
        <w:rPr>
          <w:sz w:val="18"/>
          <w:szCs w:val="18"/>
        </w:rPr>
        <w:separator/>
      </w:r>
    </w:p>
  </w:footnote>
  <w:footnote w:type="continuationSeparator" w:id="0">
    <w:p w14:paraId="334C2A7D" w14:textId="77777777" w:rsidR="003A0769" w:rsidRDefault="003A0769">
      <w:r>
        <w:continuationSeparator/>
      </w:r>
    </w:p>
  </w:footnote>
  <w:footnote w:id="1">
    <w:p w14:paraId="51864388" w14:textId="2C3F87F9" w:rsidR="003A0769" w:rsidRPr="0021086A" w:rsidRDefault="003A0769" w:rsidP="00E54866">
      <w:pPr>
        <w:tabs>
          <w:tab w:val="left" w:pos="624"/>
        </w:tabs>
        <w:spacing w:before="20" w:after="40"/>
        <w:ind w:left="1247"/>
        <w:rPr>
          <w:sz w:val="18"/>
          <w:szCs w:val="18"/>
          <w:lang w:val="fr-FR"/>
        </w:rPr>
      </w:pPr>
      <w:r w:rsidRPr="0021086A">
        <w:rPr>
          <w:lang w:val="fr-FR"/>
        </w:rPr>
        <w:t>* UNEP/MC/COP.2/1.</w:t>
      </w:r>
    </w:p>
  </w:footnote>
  <w:footnote w:id="2">
    <w:p w14:paraId="6C0E8B62" w14:textId="5F346993" w:rsidR="003A0769" w:rsidRPr="0021086A" w:rsidRDefault="003A0769">
      <w:pPr>
        <w:pStyle w:val="Notedebasdepage"/>
        <w:rPr>
          <w:szCs w:val="18"/>
        </w:rPr>
      </w:pPr>
      <w:r w:rsidRPr="0021086A">
        <w:rPr>
          <w:rStyle w:val="Appelnotedebasdep"/>
          <w:sz w:val="18"/>
        </w:rPr>
        <w:footnoteRef/>
      </w:r>
      <w:r w:rsidRPr="0021086A">
        <w:t xml:space="preserve"> La première réunion du Conseil d’administration du Programme international spécifique a eu lieu à Genève les 15 et 16 mai 2018. Le premier cycle de dépôt de demandes au titre du programme international spécifique courait du 5 ju</w:t>
      </w:r>
      <w:r>
        <w:t>in au 31 août 2018. La deuxième </w:t>
      </w:r>
      <w:r w:rsidRPr="0021086A">
        <w:t>réunion du Conseil d’administration a</w:t>
      </w:r>
      <w:r>
        <w:t>ura</w:t>
      </w:r>
      <w:r w:rsidRPr="0021086A">
        <w:t xml:space="preserve"> lieu à Oslo les 2 et 3 octobre 2018.</w:t>
      </w:r>
    </w:p>
  </w:footnote>
  <w:footnote w:id="3">
    <w:p w14:paraId="19C06223" w14:textId="6BF2DC10" w:rsidR="003A0769" w:rsidRPr="0021086A" w:rsidRDefault="003A0769" w:rsidP="000B7D2E">
      <w:pPr>
        <w:pStyle w:val="Notedebasdepage"/>
        <w:rPr>
          <w:szCs w:val="18"/>
        </w:rPr>
      </w:pPr>
      <w:r w:rsidRPr="0021086A">
        <w:rPr>
          <w:rStyle w:val="Appelnotedebasdep"/>
          <w:sz w:val="18"/>
        </w:rPr>
        <w:footnoteRef/>
      </w:r>
      <w:r w:rsidRPr="0021086A">
        <w:t xml:space="preserve"> La première réunion du Comité de mise en œuvre et du respect des obligations s’est déroulée à Genève les 29 et 30 mai 2018. </w:t>
      </w:r>
    </w:p>
  </w:footnote>
  <w:footnote w:id="4">
    <w:p w14:paraId="70698194" w14:textId="7A4D90DC" w:rsidR="003A0769" w:rsidRPr="0021086A" w:rsidRDefault="003A0769" w:rsidP="005B417D">
      <w:pPr>
        <w:pStyle w:val="Notedebasdepage"/>
        <w:rPr>
          <w:szCs w:val="18"/>
        </w:rPr>
      </w:pPr>
      <w:r w:rsidRPr="0021086A">
        <w:rPr>
          <w:rStyle w:val="Appelnotedebasdep"/>
          <w:sz w:val="18"/>
        </w:rPr>
        <w:footnoteRef/>
      </w:r>
      <w:r w:rsidRPr="0021086A">
        <w:t xml:space="preserve"> Le barème des quotes-parts sur lequel repose le tableau des contributions au Fonds général d’affectation spéciale suit le paragraphe 1 de l’article</w:t>
      </w:r>
      <w:r w:rsidR="00A94420">
        <w:t> </w:t>
      </w:r>
      <w:r w:rsidRPr="0021086A">
        <w:t>5 des règles de gestion financière ainsi que le barème de l’ONU pour 2016–2018, que l’Assemblée générale a adopté dans sa résolution</w:t>
      </w:r>
      <w:r w:rsidR="00A94420">
        <w:t> </w:t>
      </w:r>
      <w:r w:rsidRPr="0021086A">
        <w:t>70/245. Ce barème a été ajusté sachant que les États Membres de l’Organisation des Nations Unies ne sont pas tous parties à la Convention.</w:t>
      </w:r>
    </w:p>
  </w:footnote>
  <w:footnote w:id="5">
    <w:p w14:paraId="3F18D114" w14:textId="3C706502" w:rsidR="003A0769" w:rsidRPr="00C50943" w:rsidRDefault="003A0769">
      <w:pPr>
        <w:pStyle w:val="Notedebasdepage"/>
        <w:rPr>
          <w:lang w:val="en-GB"/>
        </w:rPr>
      </w:pPr>
      <w:r w:rsidRPr="0021086A">
        <w:rPr>
          <w:rStyle w:val="Appelnotedebasdep"/>
        </w:rPr>
        <w:footnoteRef/>
      </w:r>
      <w:r w:rsidRPr="00C50943">
        <w:rPr>
          <w:lang w:val="en-GB"/>
        </w:rPr>
        <w:t xml:space="preserve"> UNEP/MC/COP.2/18.</w:t>
      </w:r>
    </w:p>
  </w:footnote>
  <w:footnote w:id="6">
    <w:p w14:paraId="51BDEE12" w14:textId="62DBA19A" w:rsidR="003A0769" w:rsidRPr="00C50943" w:rsidRDefault="003A0769">
      <w:pPr>
        <w:pStyle w:val="Notedebasdepage"/>
        <w:rPr>
          <w:lang w:val="en-GB"/>
        </w:rPr>
      </w:pPr>
      <w:r w:rsidRPr="0021086A">
        <w:rPr>
          <w:rStyle w:val="Appelnotedebasdep"/>
        </w:rPr>
        <w:footnoteRef/>
      </w:r>
      <w:r w:rsidRPr="00C50943">
        <w:rPr>
          <w:lang w:val="en-GB"/>
        </w:rPr>
        <w:t xml:space="preserve"> UNEP/MC/COP.2/17, annexe.</w:t>
      </w:r>
    </w:p>
  </w:footnote>
  <w:footnote w:id="7">
    <w:p w14:paraId="417BFFE6" w14:textId="1C55115D" w:rsidR="003A0769" w:rsidRPr="00C50943" w:rsidRDefault="003A0769">
      <w:pPr>
        <w:pStyle w:val="Notedebasdepage"/>
        <w:rPr>
          <w:lang w:val="en-GB"/>
        </w:rPr>
      </w:pPr>
      <w:r w:rsidRPr="0021086A">
        <w:rPr>
          <w:rStyle w:val="Appelnotedebasdep"/>
        </w:rPr>
        <w:footnoteRef/>
      </w:r>
      <w:r w:rsidRPr="00C50943">
        <w:rPr>
          <w:lang w:val="en-GB"/>
        </w:rPr>
        <w:t xml:space="preserve"> UNEP/MC/COP.2/INF/9.</w:t>
      </w:r>
    </w:p>
  </w:footnote>
  <w:footnote w:id="8">
    <w:p w14:paraId="272C7CD8" w14:textId="113A2C22" w:rsidR="003A0769" w:rsidRPr="00C50943" w:rsidRDefault="003A0769">
      <w:pPr>
        <w:pStyle w:val="Notedebasdepage"/>
        <w:rPr>
          <w:lang w:val="en-GB"/>
        </w:rPr>
      </w:pPr>
      <w:r w:rsidRPr="0021086A">
        <w:rPr>
          <w:rStyle w:val="Appelnotedebasdep"/>
        </w:rPr>
        <w:footnoteRef/>
      </w:r>
      <w:r w:rsidRPr="00C50943">
        <w:rPr>
          <w:lang w:val="en-GB"/>
        </w:rPr>
        <w:t xml:space="preserve"> UNEP/MC/COP.2/18.</w:t>
      </w:r>
    </w:p>
  </w:footnote>
  <w:footnote w:id="9">
    <w:p w14:paraId="1DFBA439" w14:textId="6F640261" w:rsidR="003A0769" w:rsidRPr="00C50943" w:rsidRDefault="003A0769">
      <w:pPr>
        <w:pStyle w:val="Notedebasdepage"/>
        <w:rPr>
          <w:lang w:val="en-GB"/>
        </w:rPr>
      </w:pPr>
      <w:r w:rsidRPr="0021086A">
        <w:rPr>
          <w:rStyle w:val="Appelnotedebasdep"/>
        </w:rPr>
        <w:footnoteRef/>
      </w:r>
      <w:r w:rsidRPr="00C50943">
        <w:rPr>
          <w:lang w:val="en-GB"/>
        </w:rPr>
        <w:t xml:space="preserve"> UNEP/MC/COP.2/17, annexe.</w:t>
      </w:r>
    </w:p>
  </w:footnote>
  <w:footnote w:id="10">
    <w:p w14:paraId="7C93CF00" w14:textId="6B53BBB3" w:rsidR="003A0769" w:rsidRPr="00C50943" w:rsidRDefault="003A0769">
      <w:pPr>
        <w:pStyle w:val="Notedebasdepage"/>
        <w:rPr>
          <w:lang w:val="en-GB"/>
        </w:rPr>
      </w:pPr>
      <w:r w:rsidRPr="0021086A">
        <w:rPr>
          <w:rStyle w:val="Appelnotedebasdep"/>
        </w:rPr>
        <w:footnoteRef/>
      </w:r>
      <w:r w:rsidRPr="00C50943">
        <w:rPr>
          <w:lang w:val="en-GB"/>
        </w:rPr>
        <w:t xml:space="preserve"> UNEP/MC/COP.2/INF/9.</w:t>
      </w:r>
    </w:p>
  </w:footnote>
  <w:footnote w:id="11">
    <w:p w14:paraId="4661C2EF" w14:textId="656BBEE4" w:rsidR="003A0769" w:rsidRPr="00C50943" w:rsidRDefault="003A0769">
      <w:pPr>
        <w:pStyle w:val="Notedebasdepage"/>
        <w:rPr>
          <w:lang w:val="en-GB"/>
        </w:rPr>
      </w:pPr>
      <w:r w:rsidRPr="0021086A">
        <w:rPr>
          <w:rStyle w:val="Appelnotedebasdep"/>
        </w:rPr>
        <w:footnoteRef/>
      </w:r>
      <w:r w:rsidRPr="00C50943">
        <w:rPr>
          <w:lang w:val="en-GB"/>
        </w:rPr>
        <w:t xml:space="preserve"> UNEP/MC/COP.2/9, annexe.</w:t>
      </w:r>
    </w:p>
  </w:footnote>
  <w:footnote w:id="12">
    <w:p w14:paraId="017AAAC6" w14:textId="77777777" w:rsidR="003A0769" w:rsidRPr="0021086A" w:rsidRDefault="003A0769" w:rsidP="000A2ABE">
      <w:pPr>
        <w:pStyle w:val="Notedebasdepage"/>
      </w:pPr>
      <w:r w:rsidRPr="0021086A">
        <w:rPr>
          <w:rStyle w:val="Appelnotedebasdep"/>
        </w:rPr>
        <w:footnoteRef/>
      </w:r>
      <w:r w:rsidRPr="0021086A">
        <w:t xml:space="preserve"> Au 31 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148B1AFE" w:rsidR="003A0769" w:rsidRPr="00CA5CA9" w:rsidRDefault="003A0769"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5F5C" w14:textId="7B675066" w:rsidR="003A0769" w:rsidRDefault="003A0769" w:rsidP="007959C2">
    <w:pPr>
      <w:pStyle w:val="En-tte"/>
      <w:jc w:val="right"/>
    </w:pPr>
    <w:r>
      <w:rPr>
        <w:noProof/>
        <w:lang w:val="fr-FR" w:eastAsia="zh-CN"/>
      </w:rPr>
      <mc:AlternateContent>
        <mc:Choice Requires="wps">
          <w:drawing>
            <wp:anchor distT="0" distB="0" distL="114300" distR="114300" simplePos="0" relativeHeight="251682816" behindDoc="1" locked="0" layoutInCell="0" allowOverlap="1" wp14:anchorId="4C5BD7BB" wp14:editId="1CB58977">
              <wp:simplePos x="0" y="0"/>
              <wp:positionH relativeFrom="margin">
                <wp:align>center</wp:align>
              </wp:positionH>
              <wp:positionV relativeFrom="margin">
                <wp:align>center</wp:align>
              </wp:positionV>
              <wp:extent cx="6847840" cy="1956435"/>
              <wp:effectExtent l="0" t="1895475" r="0" b="183451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7840" cy="1956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6CE0DF" w14:textId="77777777" w:rsidR="003A0769" w:rsidRDefault="003A0769" w:rsidP="000A2ABE">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4C5BD7BB" id="_x0000_t202" coordsize="21600,21600" o:spt="202" path="m,l,21600r21600,l21600,xe">
              <v:stroke joinstyle="miter"/>
              <v:path gradientshapeok="t" o:connecttype="rect"/>
            </v:shapetype>
            <v:shape id="Text Box 81" o:spid="_x0000_s1063" type="#_x0000_t202" style="position:absolute;left:0;text-align:left;margin-left:0;margin-top:0;width:539.2pt;height:154.0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" o:allowincell="f" filled="f" stroked="f">
              <v:stroke joinstyle="round"/>
              <o:lock v:ext="edit" shapetype="t"/>
              <v:textbox style="mso-fit-shape-to-text:t">
                <w:txbxContent>
                  <w:p w14:paraId="306CE0DF" w14:textId="77777777" w:rsidR="003A0769" w:rsidRDefault="003A0769" w:rsidP="000A2ABE">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r>
      <w:rPr>
        <w:noProof/>
        <w:lang w:val="fr-FR" w:eastAsia="zh-CN"/>
      </w:rPr>
      <mc:AlternateContent>
        <mc:Choice Requires="wps">
          <w:drawing>
            <wp:anchor distT="0" distB="0" distL="114300" distR="114300" simplePos="0" relativeHeight="251681792" behindDoc="1" locked="0" layoutInCell="0" allowOverlap="1" wp14:anchorId="7A6FF094" wp14:editId="58AD91EB">
              <wp:simplePos x="0" y="0"/>
              <wp:positionH relativeFrom="margin">
                <wp:align>center</wp:align>
              </wp:positionH>
              <wp:positionV relativeFrom="margin">
                <wp:align>center</wp:align>
              </wp:positionV>
              <wp:extent cx="6847840" cy="1956435"/>
              <wp:effectExtent l="0" t="1895475" r="0" b="183451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7840" cy="1956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4E8E82" w14:textId="77777777" w:rsidR="003A0769" w:rsidRDefault="003A0769" w:rsidP="000A2ABE">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A6FF094" id="Text Box 80" o:spid="_x0000_s1064" type="#_x0000_t202" style="position:absolute;left:0;text-align:left;margin-left:0;margin-top:0;width:539.2pt;height:154.0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" o:allowincell="f" filled="f" stroked="f">
              <v:stroke joinstyle="round"/>
              <o:lock v:ext="edit" shapetype="t"/>
              <v:textbox style="mso-fit-shape-to-text:t">
                <w:txbxContent>
                  <w:p w14:paraId="1C4E8E82" w14:textId="77777777" w:rsidR="003A0769" w:rsidRDefault="003A0769" w:rsidP="000A2ABE">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4408" w14:textId="5B89E67F" w:rsidR="003A0769" w:rsidRDefault="003A0769">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7A7C" w14:textId="68857F05" w:rsidR="003A0769" w:rsidRDefault="008B4DCA">
    <w:pPr>
      <w:pStyle w:val="En-tte"/>
    </w:pPr>
    <w:r>
      <w:rPr>
        <w:noProof/>
      </w:rPr>
      <w:pict w14:anchorId="0989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952086" o:spid="_x0000_s2057" type="#_x0000_t136" style="position:absolute;margin-left:0;margin-top:0;width:539.2pt;height:154.05pt;rotation:315;z-index:-25164083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6C1" w14:textId="2A227BF5" w:rsidR="003A0769" w:rsidRDefault="003A0769" w:rsidP="00784207">
    <w:pPr>
      <w:pStyle w:val="En-tte"/>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61E41816" w:rsidR="003A0769" w:rsidRPr="00CA5CA9" w:rsidRDefault="003A0769"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69C80176" w:rsidR="003A0769" w:rsidRDefault="003A0769"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5B07" w14:textId="6AAF75F6" w:rsidR="003A0769" w:rsidRDefault="008B4DCA">
    <w:pPr>
      <w:pStyle w:val="En-tte"/>
    </w:pPr>
    <w:r>
      <w:rPr>
        <w:noProof/>
      </w:rPr>
      <w:pict w14:anchorId="770CF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39.2pt;height:154.05pt;rotation:315;z-index:-25163878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A0769" w:rsidRPr="00CA5CA9">
      <w:rPr>
        <w:bCs/>
        <w:szCs w:val="18"/>
      </w:rPr>
      <w:t>UNEP</w:t>
    </w:r>
    <w:r w:rsidR="003A0769" w:rsidRPr="00CA5CA9">
      <w:rPr>
        <w:szCs w:val="18"/>
      </w:rPr>
      <w:t>/</w:t>
    </w:r>
    <w:r w:rsidR="003A0769">
      <w:rPr>
        <w:szCs w:val="18"/>
      </w:rPr>
      <w:t>MC</w:t>
    </w:r>
    <w:r w:rsidR="003A0769" w:rsidRPr="00CA5CA9">
      <w:rPr>
        <w:szCs w:val="18"/>
      </w:rPr>
      <w:t>/</w:t>
    </w:r>
    <w:r w:rsidR="003A0769">
      <w:rPr>
        <w:szCs w:val="18"/>
      </w:rPr>
      <w:t>COP.2</w:t>
    </w:r>
    <w:r w:rsidR="003A0769" w:rsidRPr="00CA5CA9">
      <w:rPr>
        <w:szCs w:val="18"/>
      </w:rPr>
      <w:t>/</w:t>
    </w:r>
    <w:r w:rsidR="003A0769">
      <w:rPr>
        <w:szCs w:val="18"/>
      </w:rPr>
      <w:t>18</w:t>
    </w:r>
    <w:r>
      <w:rPr>
        <w:noProof/>
      </w:rPr>
      <w:pict w14:anchorId="10BADD06">
        <v:shape id="PowerPlusWaterMarkObject1317952082" o:spid="_x0000_s2053" type="#_x0000_t136" style="position:absolute;margin-left:0;margin-top:0;width:539.2pt;height:154.0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D373" w14:textId="42678A39" w:rsidR="003A0769" w:rsidRDefault="003A0769">
    <w:pPr>
      <w:pStyle w:val="En-tte"/>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48AA" w14:textId="4B1FAF54" w:rsidR="003A0769" w:rsidRPr="00CA5CA9" w:rsidRDefault="003A0769" w:rsidP="00EC3F22">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0D53" w14:textId="77777777" w:rsidR="003A0769" w:rsidRPr="00CA5CA9" w:rsidRDefault="003A0769"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C04C" w14:textId="77777777" w:rsidR="003A0769" w:rsidRPr="00CA5CA9" w:rsidRDefault="003A0769"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CCA4" w14:textId="77777777" w:rsidR="003A0769" w:rsidRDefault="003A0769"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9B7BC1"/>
    <w:multiLevelType w:val="hybridMultilevel"/>
    <w:tmpl w:val="9064FA6C"/>
    <w:lvl w:ilvl="0" w:tplc="601A5CE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D336EE2"/>
    <w:multiLevelType w:val="hybridMultilevel"/>
    <w:tmpl w:val="EC109FA2"/>
    <w:lvl w:ilvl="0" w:tplc="84DA3918">
      <w:start w:val="1"/>
      <w:numFmt w:val="upp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2A66A9D"/>
    <w:multiLevelType w:val="multilevel"/>
    <w:tmpl w:val="E5CC667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1E59B1"/>
    <w:multiLevelType w:val="hybridMultilevel"/>
    <w:tmpl w:val="315AAFE0"/>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15:restartNumberingAfterBreak="0">
    <w:nsid w:val="6F502F3F"/>
    <w:multiLevelType w:val="hybridMultilevel"/>
    <w:tmpl w:val="EBA254F8"/>
    <w:lvl w:ilvl="0" w:tplc="B08699E2">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8302A"/>
    <w:multiLevelType w:val="hybridMultilevel"/>
    <w:tmpl w:val="82B49CF2"/>
    <w:lvl w:ilvl="0" w:tplc="52B2D7A6">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7"/>
  </w:num>
  <w:num w:numId="19">
    <w:abstractNumId w:val="6"/>
  </w:num>
  <w:num w:numId="20">
    <w:abstractNumId w:val="3"/>
  </w:num>
  <w:num w:numId="21">
    <w:abstractNumId w:val="1"/>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06"/>
    <w:rsid w:val="000024A3"/>
    <w:rsid w:val="0000287C"/>
    <w:rsid w:val="00002AC3"/>
    <w:rsid w:val="000034C9"/>
    <w:rsid w:val="0000540F"/>
    <w:rsid w:val="000057BB"/>
    <w:rsid w:val="000077AD"/>
    <w:rsid w:val="00011A16"/>
    <w:rsid w:val="00014435"/>
    <w:rsid w:val="000149E6"/>
    <w:rsid w:val="00023DA9"/>
    <w:rsid w:val="000247B0"/>
    <w:rsid w:val="00026997"/>
    <w:rsid w:val="00026A08"/>
    <w:rsid w:val="0002712B"/>
    <w:rsid w:val="00027CBB"/>
    <w:rsid w:val="000316EE"/>
    <w:rsid w:val="00032A1F"/>
    <w:rsid w:val="00032E4E"/>
    <w:rsid w:val="00033E0B"/>
    <w:rsid w:val="00035EDE"/>
    <w:rsid w:val="00037302"/>
    <w:rsid w:val="00040FC9"/>
    <w:rsid w:val="000430A5"/>
    <w:rsid w:val="000438B3"/>
    <w:rsid w:val="00043D3E"/>
    <w:rsid w:val="000452AE"/>
    <w:rsid w:val="000503B4"/>
    <w:rsid w:val="000509B4"/>
    <w:rsid w:val="00056FC3"/>
    <w:rsid w:val="0006035B"/>
    <w:rsid w:val="0006096F"/>
    <w:rsid w:val="000623E4"/>
    <w:rsid w:val="00064800"/>
    <w:rsid w:val="000649C5"/>
    <w:rsid w:val="000665A7"/>
    <w:rsid w:val="0007185D"/>
    <w:rsid w:val="00071886"/>
    <w:rsid w:val="00071CF3"/>
    <w:rsid w:val="000742BC"/>
    <w:rsid w:val="00076CC6"/>
    <w:rsid w:val="00082681"/>
    <w:rsid w:val="00082A0C"/>
    <w:rsid w:val="00083504"/>
    <w:rsid w:val="000843C4"/>
    <w:rsid w:val="00092266"/>
    <w:rsid w:val="0009640C"/>
    <w:rsid w:val="00096D4A"/>
    <w:rsid w:val="000A0EE6"/>
    <w:rsid w:val="000A19CD"/>
    <w:rsid w:val="000A1D77"/>
    <w:rsid w:val="000A2ABE"/>
    <w:rsid w:val="000A33AD"/>
    <w:rsid w:val="000A352A"/>
    <w:rsid w:val="000A61C6"/>
    <w:rsid w:val="000B22A2"/>
    <w:rsid w:val="000B3E64"/>
    <w:rsid w:val="000B43E4"/>
    <w:rsid w:val="000B446E"/>
    <w:rsid w:val="000B541B"/>
    <w:rsid w:val="000B73F9"/>
    <w:rsid w:val="000B7D2E"/>
    <w:rsid w:val="000C00DA"/>
    <w:rsid w:val="000C2A52"/>
    <w:rsid w:val="000C2A88"/>
    <w:rsid w:val="000D15FB"/>
    <w:rsid w:val="000D33C0"/>
    <w:rsid w:val="000D4CF6"/>
    <w:rsid w:val="000D6941"/>
    <w:rsid w:val="000D7356"/>
    <w:rsid w:val="000E0C00"/>
    <w:rsid w:val="000E3CC9"/>
    <w:rsid w:val="000E45DF"/>
    <w:rsid w:val="000F1400"/>
    <w:rsid w:val="000F2B43"/>
    <w:rsid w:val="000F38EF"/>
    <w:rsid w:val="000F3DCD"/>
    <w:rsid w:val="000F4260"/>
    <w:rsid w:val="000F4829"/>
    <w:rsid w:val="000F5535"/>
    <w:rsid w:val="000F6B21"/>
    <w:rsid w:val="000F744B"/>
    <w:rsid w:val="001017EB"/>
    <w:rsid w:val="00101811"/>
    <w:rsid w:val="00102AFD"/>
    <w:rsid w:val="00102EFB"/>
    <w:rsid w:val="00110AE6"/>
    <w:rsid w:val="0011532C"/>
    <w:rsid w:val="001202E3"/>
    <w:rsid w:val="00122F6C"/>
    <w:rsid w:val="0012335D"/>
    <w:rsid w:val="00123699"/>
    <w:rsid w:val="001241FB"/>
    <w:rsid w:val="001269E5"/>
    <w:rsid w:val="00126F8E"/>
    <w:rsid w:val="0013059D"/>
    <w:rsid w:val="00132283"/>
    <w:rsid w:val="00136187"/>
    <w:rsid w:val="001366FD"/>
    <w:rsid w:val="001401D9"/>
    <w:rsid w:val="00141A55"/>
    <w:rsid w:val="0014293F"/>
    <w:rsid w:val="0014397D"/>
    <w:rsid w:val="001446A3"/>
    <w:rsid w:val="00144A65"/>
    <w:rsid w:val="00152B6B"/>
    <w:rsid w:val="00153B64"/>
    <w:rsid w:val="00155395"/>
    <w:rsid w:val="00155A2F"/>
    <w:rsid w:val="00156B6B"/>
    <w:rsid w:val="00157490"/>
    <w:rsid w:val="00160442"/>
    <w:rsid w:val="00160D74"/>
    <w:rsid w:val="0016238C"/>
    <w:rsid w:val="001646EA"/>
    <w:rsid w:val="00167D02"/>
    <w:rsid w:val="001706FD"/>
    <w:rsid w:val="001750A1"/>
    <w:rsid w:val="00175143"/>
    <w:rsid w:val="001759D8"/>
    <w:rsid w:val="00175C76"/>
    <w:rsid w:val="00176F98"/>
    <w:rsid w:val="00177626"/>
    <w:rsid w:val="00177D7F"/>
    <w:rsid w:val="00180C3F"/>
    <w:rsid w:val="00181EC8"/>
    <w:rsid w:val="00184349"/>
    <w:rsid w:val="00185A10"/>
    <w:rsid w:val="001926B7"/>
    <w:rsid w:val="00195C47"/>
    <w:rsid w:val="00195F33"/>
    <w:rsid w:val="00196464"/>
    <w:rsid w:val="001A0854"/>
    <w:rsid w:val="001A2475"/>
    <w:rsid w:val="001A4011"/>
    <w:rsid w:val="001A47E5"/>
    <w:rsid w:val="001B1617"/>
    <w:rsid w:val="001B4209"/>
    <w:rsid w:val="001B4718"/>
    <w:rsid w:val="001B504B"/>
    <w:rsid w:val="001B62EC"/>
    <w:rsid w:val="001B6F98"/>
    <w:rsid w:val="001C1530"/>
    <w:rsid w:val="001C191A"/>
    <w:rsid w:val="001C3494"/>
    <w:rsid w:val="001C5470"/>
    <w:rsid w:val="001C591C"/>
    <w:rsid w:val="001C6381"/>
    <w:rsid w:val="001C70A9"/>
    <w:rsid w:val="001D1F84"/>
    <w:rsid w:val="001D3874"/>
    <w:rsid w:val="001D7E75"/>
    <w:rsid w:val="001E0D73"/>
    <w:rsid w:val="001E101B"/>
    <w:rsid w:val="001E2027"/>
    <w:rsid w:val="001E2986"/>
    <w:rsid w:val="001E45BD"/>
    <w:rsid w:val="001E5528"/>
    <w:rsid w:val="001E56D2"/>
    <w:rsid w:val="001E723D"/>
    <w:rsid w:val="001E7D56"/>
    <w:rsid w:val="001F5186"/>
    <w:rsid w:val="001F5CE6"/>
    <w:rsid w:val="001F75DE"/>
    <w:rsid w:val="00200C6B"/>
    <w:rsid w:val="00200D58"/>
    <w:rsid w:val="002011C1"/>
    <w:rsid w:val="002013BE"/>
    <w:rsid w:val="00201EDC"/>
    <w:rsid w:val="0020295D"/>
    <w:rsid w:val="002043AF"/>
    <w:rsid w:val="00204818"/>
    <w:rsid w:val="002063A4"/>
    <w:rsid w:val="002063B7"/>
    <w:rsid w:val="0021086A"/>
    <w:rsid w:val="0021086F"/>
    <w:rsid w:val="0021145B"/>
    <w:rsid w:val="00220C23"/>
    <w:rsid w:val="00221B5F"/>
    <w:rsid w:val="0022376E"/>
    <w:rsid w:val="002247F6"/>
    <w:rsid w:val="00225E21"/>
    <w:rsid w:val="00225E44"/>
    <w:rsid w:val="00225ED7"/>
    <w:rsid w:val="00227CD4"/>
    <w:rsid w:val="00234E78"/>
    <w:rsid w:val="00236B58"/>
    <w:rsid w:val="002374E5"/>
    <w:rsid w:val="00237907"/>
    <w:rsid w:val="00243D36"/>
    <w:rsid w:val="00246151"/>
    <w:rsid w:val="00247707"/>
    <w:rsid w:val="00252456"/>
    <w:rsid w:val="00255BCA"/>
    <w:rsid w:val="00256EDA"/>
    <w:rsid w:val="0026018E"/>
    <w:rsid w:val="00260536"/>
    <w:rsid w:val="002773FF"/>
    <w:rsid w:val="00281914"/>
    <w:rsid w:val="00284C8D"/>
    <w:rsid w:val="002859A1"/>
    <w:rsid w:val="00286740"/>
    <w:rsid w:val="0028732C"/>
    <w:rsid w:val="002874A7"/>
    <w:rsid w:val="00290EF8"/>
    <w:rsid w:val="002912FD"/>
    <w:rsid w:val="00291719"/>
    <w:rsid w:val="00291EAE"/>
    <w:rsid w:val="002929D8"/>
    <w:rsid w:val="0029312E"/>
    <w:rsid w:val="002964D0"/>
    <w:rsid w:val="002A0A32"/>
    <w:rsid w:val="002A237D"/>
    <w:rsid w:val="002A4C53"/>
    <w:rsid w:val="002A77B9"/>
    <w:rsid w:val="002A787F"/>
    <w:rsid w:val="002B003D"/>
    <w:rsid w:val="002B0672"/>
    <w:rsid w:val="002B247F"/>
    <w:rsid w:val="002B2A71"/>
    <w:rsid w:val="002B50D4"/>
    <w:rsid w:val="002B58BF"/>
    <w:rsid w:val="002C145D"/>
    <w:rsid w:val="002C1953"/>
    <w:rsid w:val="002C2C3E"/>
    <w:rsid w:val="002C512F"/>
    <w:rsid w:val="002C533E"/>
    <w:rsid w:val="002D027F"/>
    <w:rsid w:val="002D3E15"/>
    <w:rsid w:val="002D4B4A"/>
    <w:rsid w:val="002D7A85"/>
    <w:rsid w:val="002D7B60"/>
    <w:rsid w:val="002F08D1"/>
    <w:rsid w:val="002F20DA"/>
    <w:rsid w:val="002F2826"/>
    <w:rsid w:val="002F4761"/>
    <w:rsid w:val="002F5C79"/>
    <w:rsid w:val="002F5DF6"/>
    <w:rsid w:val="002F68EE"/>
    <w:rsid w:val="003019E2"/>
    <w:rsid w:val="0030544F"/>
    <w:rsid w:val="00310BEB"/>
    <w:rsid w:val="00311F6E"/>
    <w:rsid w:val="0031413F"/>
    <w:rsid w:val="00314854"/>
    <w:rsid w:val="003148BB"/>
    <w:rsid w:val="00315A41"/>
    <w:rsid w:val="00317976"/>
    <w:rsid w:val="00320443"/>
    <w:rsid w:val="00320F2F"/>
    <w:rsid w:val="00323DBD"/>
    <w:rsid w:val="0032457E"/>
    <w:rsid w:val="00325D38"/>
    <w:rsid w:val="00327BD8"/>
    <w:rsid w:val="003310E8"/>
    <w:rsid w:val="00335EFE"/>
    <w:rsid w:val="00336A58"/>
    <w:rsid w:val="00340BD1"/>
    <w:rsid w:val="00340E98"/>
    <w:rsid w:val="00342FFB"/>
    <w:rsid w:val="0034668D"/>
    <w:rsid w:val="003467C2"/>
    <w:rsid w:val="003471FB"/>
    <w:rsid w:val="0035277E"/>
    <w:rsid w:val="00354B9D"/>
    <w:rsid w:val="00355EA9"/>
    <w:rsid w:val="003578DE"/>
    <w:rsid w:val="00357D0D"/>
    <w:rsid w:val="00357E31"/>
    <w:rsid w:val="00360DC5"/>
    <w:rsid w:val="00361688"/>
    <w:rsid w:val="00363069"/>
    <w:rsid w:val="00365726"/>
    <w:rsid w:val="00367FD2"/>
    <w:rsid w:val="003707A9"/>
    <w:rsid w:val="00372454"/>
    <w:rsid w:val="003728F6"/>
    <w:rsid w:val="003807CA"/>
    <w:rsid w:val="00380921"/>
    <w:rsid w:val="003855FD"/>
    <w:rsid w:val="003877D5"/>
    <w:rsid w:val="00390EDC"/>
    <w:rsid w:val="003929B8"/>
    <w:rsid w:val="00393432"/>
    <w:rsid w:val="00396257"/>
    <w:rsid w:val="00397EB8"/>
    <w:rsid w:val="003A0769"/>
    <w:rsid w:val="003A4FD0"/>
    <w:rsid w:val="003A69D1"/>
    <w:rsid w:val="003A7684"/>
    <w:rsid w:val="003A7705"/>
    <w:rsid w:val="003A77F1"/>
    <w:rsid w:val="003B1545"/>
    <w:rsid w:val="003B7F7E"/>
    <w:rsid w:val="003C186A"/>
    <w:rsid w:val="003C3219"/>
    <w:rsid w:val="003C409D"/>
    <w:rsid w:val="003C4544"/>
    <w:rsid w:val="003C5583"/>
    <w:rsid w:val="003C5BA6"/>
    <w:rsid w:val="003C7265"/>
    <w:rsid w:val="003C74CF"/>
    <w:rsid w:val="003D1D8B"/>
    <w:rsid w:val="003D3752"/>
    <w:rsid w:val="003E09EA"/>
    <w:rsid w:val="003E35DA"/>
    <w:rsid w:val="003E455D"/>
    <w:rsid w:val="003E4D16"/>
    <w:rsid w:val="003F0E85"/>
    <w:rsid w:val="003F1639"/>
    <w:rsid w:val="003F4807"/>
    <w:rsid w:val="003F7736"/>
    <w:rsid w:val="00403B87"/>
    <w:rsid w:val="00403E46"/>
    <w:rsid w:val="00410C55"/>
    <w:rsid w:val="00410FBC"/>
    <w:rsid w:val="00415030"/>
    <w:rsid w:val="00415B81"/>
    <w:rsid w:val="00416854"/>
    <w:rsid w:val="00416C75"/>
    <w:rsid w:val="00417725"/>
    <w:rsid w:val="0042266F"/>
    <w:rsid w:val="00422E9C"/>
    <w:rsid w:val="00422EF6"/>
    <w:rsid w:val="00424830"/>
    <w:rsid w:val="00425248"/>
    <w:rsid w:val="004307A3"/>
    <w:rsid w:val="00434321"/>
    <w:rsid w:val="00435414"/>
    <w:rsid w:val="00437D9C"/>
    <w:rsid w:val="00437F26"/>
    <w:rsid w:val="00443983"/>
    <w:rsid w:val="00444097"/>
    <w:rsid w:val="00445487"/>
    <w:rsid w:val="004474C7"/>
    <w:rsid w:val="00447E0D"/>
    <w:rsid w:val="00453EA8"/>
    <w:rsid w:val="00454769"/>
    <w:rsid w:val="00457002"/>
    <w:rsid w:val="00466991"/>
    <w:rsid w:val="0047064C"/>
    <w:rsid w:val="00473F61"/>
    <w:rsid w:val="004822B7"/>
    <w:rsid w:val="00483932"/>
    <w:rsid w:val="004912E0"/>
    <w:rsid w:val="004933BC"/>
    <w:rsid w:val="0049469E"/>
    <w:rsid w:val="004946C2"/>
    <w:rsid w:val="00495DD9"/>
    <w:rsid w:val="00497629"/>
    <w:rsid w:val="004A2217"/>
    <w:rsid w:val="004A24F9"/>
    <w:rsid w:val="004A33EA"/>
    <w:rsid w:val="004A42E1"/>
    <w:rsid w:val="004A718B"/>
    <w:rsid w:val="004B162C"/>
    <w:rsid w:val="004B271F"/>
    <w:rsid w:val="004B2ABE"/>
    <w:rsid w:val="004C11D0"/>
    <w:rsid w:val="004C363C"/>
    <w:rsid w:val="004C3DBE"/>
    <w:rsid w:val="004C5C96"/>
    <w:rsid w:val="004D03E9"/>
    <w:rsid w:val="004D06A4"/>
    <w:rsid w:val="004D3908"/>
    <w:rsid w:val="004D56B8"/>
    <w:rsid w:val="004D74B7"/>
    <w:rsid w:val="004D7FFA"/>
    <w:rsid w:val="004E08AA"/>
    <w:rsid w:val="004E2BDC"/>
    <w:rsid w:val="004E356E"/>
    <w:rsid w:val="004F1A81"/>
    <w:rsid w:val="004F59D7"/>
    <w:rsid w:val="004F5D1B"/>
    <w:rsid w:val="004F5D88"/>
    <w:rsid w:val="00501354"/>
    <w:rsid w:val="005050D2"/>
    <w:rsid w:val="00520E59"/>
    <w:rsid w:val="005218D9"/>
    <w:rsid w:val="00531379"/>
    <w:rsid w:val="00533430"/>
    <w:rsid w:val="00533DF9"/>
    <w:rsid w:val="0053493B"/>
    <w:rsid w:val="00536186"/>
    <w:rsid w:val="00536D29"/>
    <w:rsid w:val="00541D39"/>
    <w:rsid w:val="00544498"/>
    <w:rsid w:val="00544CBB"/>
    <w:rsid w:val="005452A4"/>
    <w:rsid w:val="005475DF"/>
    <w:rsid w:val="00550353"/>
    <w:rsid w:val="005507A8"/>
    <w:rsid w:val="00551B65"/>
    <w:rsid w:val="005534C8"/>
    <w:rsid w:val="00553B93"/>
    <w:rsid w:val="00556704"/>
    <w:rsid w:val="005573CD"/>
    <w:rsid w:val="005632CA"/>
    <w:rsid w:val="005656D7"/>
    <w:rsid w:val="00566AD6"/>
    <w:rsid w:val="0057315F"/>
    <w:rsid w:val="0057503F"/>
    <w:rsid w:val="00575210"/>
    <w:rsid w:val="00575A8F"/>
    <w:rsid w:val="00576104"/>
    <w:rsid w:val="00576456"/>
    <w:rsid w:val="00576901"/>
    <w:rsid w:val="005778A1"/>
    <w:rsid w:val="00581251"/>
    <w:rsid w:val="005853DE"/>
    <w:rsid w:val="00586418"/>
    <w:rsid w:val="005878D0"/>
    <w:rsid w:val="00592B21"/>
    <w:rsid w:val="0059406D"/>
    <w:rsid w:val="005947DD"/>
    <w:rsid w:val="005A505C"/>
    <w:rsid w:val="005A6512"/>
    <w:rsid w:val="005B2DF4"/>
    <w:rsid w:val="005B3433"/>
    <w:rsid w:val="005B417D"/>
    <w:rsid w:val="005B44BF"/>
    <w:rsid w:val="005B78F1"/>
    <w:rsid w:val="005C5EA2"/>
    <w:rsid w:val="005C67C8"/>
    <w:rsid w:val="005D0065"/>
    <w:rsid w:val="005D0249"/>
    <w:rsid w:val="005D0781"/>
    <w:rsid w:val="005D0EE8"/>
    <w:rsid w:val="005D18FA"/>
    <w:rsid w:val="005D2C20"/>
    <w:rsid w:val="005D4FD4"/>
    <w:rsid w:val="005D6E8C"/>
    <w:rsid w:val="005E0D7D"/>
    <w:rsid w:val="005E3004"/>
    <w:rsid w:val="005E33B8"/>
    <w:rsid w:val="005E3D8B"/>
    <w:rsid w:val="005F100C"/>
    <w:rsid w:val="005F2AF3"/>
    <w:rsid w:val="005F5A8C"/>
    <w:rsid w:val="005F68DA"/>
    <w:rsid w:val="005F7419"/>
    <w:rsid w:val="006008E7"/>
    <w:rsid w:val="00601BC9"/>
    <w:rsid w:val="00602A7B"/>
    <w:rsid w:val="00602BC4"/>
    <w:rsid w:val="00603404"/>
    <w:rsid w:val="00606288"/>
    <w:rsid w:val="0060773B"/>
    <w:rsid w:val="006111FE"/>
    <w:rsid w:val="00613FD6"/>
    <w:rsid w:val="006157B5"/>
    <w:rsid w:val="00617224"/>
    <w:rsid w:val="0062233D"/>
    <w:rsid w:val="00626FC6"/>
    <w:rsid w:val="00630349"/>
    <w:rsid w:val="006303B4"/>
    <w:rsid w:val="00630ADC"/>
    <w:rsid w:val="006325E9"/>
    <w:rsid w:val="00633D3D"/>
    <w:rsid w:val="00641703"/>
    <w:rsid w:val="006431A6"/>
    <w:rsid w:val="00643E3A"/>
    <w:rsid w:val="0064493B"/>
    <w:rsid w:val="006459F6"/>
    <w:rsid w:val="0064755E"/>
    <w:rsid w:val="006501AD"/>
    <w:rsid w:val="00650B62"/>
    <w:rsid w:val="00651BFA"/>
    <w:rsid w:val="00652C9D"/>
    <w:rsid w:val="00654475"/>
    <w:rsid w:val="00654A36"/>
    <w:rsid w:val="00656901"/>
    <w:rsid w:val="00656DF0"/>
    <w:rsid w:val="00657F55"/>
    <w:rsid w:val="0066052D"/>
    <w:rsid w:val="00665A4B"/>
    <w:rsid w:val="00667E3E"/>
    <w:rsid w:val="00670FAE"/>
    <w:rsid w:val="0067547D"/>
    <w:rsid w:val="00676479"/>
    <w:rsid w:val="00691889"/>
    <w:rsid w:val="0069283C"/>
    <w:rsid w:val="00692E2A"/>
    <w:rsid w:val="00693E2C"/>
    <w:rsid w:val="006941E8"/>
    <w:rsid w:val="0069496A"/>
    <w:rsid w:val="00696C1C"/>
    <w:rsid w:val="00697523"/>
    <w:rsid w:val="006A139C"/>
    <w:rsid w:val="006A17B5"/>
    <w:rsid w:val="006A76F2"/>
    <w:rsid w:val="006B031C"/>
    <w:rsid w:val="006B11AA"/>
    <w:rsid w:val="006B7D29"/>
    <w:rsid w:val="006C1780"/>
    <w:rsid w:val="006C39F6"/>
    <w:rsid w:val="006C410C"/>
    <w:rsid w:val="006C4C29"/>
    <w:rsid w:val="006C50F2"/>
    <w:rsid w:val="006D19D4"/>
    <w:rsid w:val="006D2B12"/>
    <w:rsid w:val="006D5644"/>
    <w:rsid w:val="006D7EFB"/>
    <w:rsid w:val="006E6672"/>
    <w:rsid w:val="006E6722"/>
    <w:rsid w:val="006F07D0"/>
    <w:rsid w:val="006F27D2"/>
    <w:rsid w:val="006F7AFF"/>
    <w:rsid w:val="00701D2D"/>
    <w:rsid w:val="007027B9"/>
    <w:rsid w:val="007052D5"/>
    <w:rsid w:val="007066B5"/>
    <w:rsid w:val="007119A0"/>
    <w:rsid w:val="007124CE"/>
    <w:rsid w:val="007135AC"/>
    <w:rsid w:val="007145DA"/>
    <w:rsid w:val="00715E88"/>
    <w:rsid w:val="00716D8B"/>
    <w:rsid w:val="00720F37"/>
    <w:rsid w:val="007248E3"/>
    <w:rsid w:val="00732059"/>
    <w:rsid w:val="00733583"/>
    <w:rsid w:val="00734CAA"/>
    <w:rsid w:val="007352DC"/>
    <w:rsid w:val="007353A0"/>
    <w:rsid w:val="00740EE2"/>
    <w:rsid w:val="00742680"/>
    <w:rsid w:val="00744C65"/>
    <w:rsid w:val="007460E6"/>
    <w:rsid w:val="00747966"/>
    <w:rsid w:val="00752259"/>
    <w:rsid w:val="00753BAB"/>
    <w:rsid w:val="007543FF"/>
    <w:rsid w:val="0075533C"/>
    <w:rsid w:val="00755A18"/>
    <w:rsid w:val="0075727D"/>
    <w:rsid w:val="00757581"/>
    <w:rsid w:val="007602F5"/>
    <w:rsid w:val="00760D36"/>
    <w:rsid w:val="007610F0"/>
    <w:rsid w:val="007611A0"/>
    <w:rsid w:val="00761CCF"/>
    <w:rsid w:val="007646FF"/>
    <w:rsid w:val="0076712C"/>
    <w:rsid w:val="00772574"/>
    <w:rsid w:val="00773E54"/>
    <w:rsid w:val="00774596"/>
    <w:rsid w:val="00775B01"/>
    <w:rsid w:val="00781184"/>
    <w:rsid w:val="00782BC9"/>
    <w:rsid w:val="00782EC5"/>
    <w:rsid w:val="00784207"/>
    <w:rsid w:val="00785CEC"/>
    <w:rsid w:val="00786FF0"/>
    <w:rsid w:val="00787147"/>
    <w:rsid w:val="00787289"/>
    <w:rsid w:val="00787688"/>
    <w:rsid w:val="00791644"/>
    <w:rsid w:val="007921FA"/>
    <w:rsid w:val="00792361"/>
    <w:rsid w:val="00792429"/>
    <w:rsid w:val="007935E6"/>
    <w:rsid w:val="0079429E"/>
    <w:rsid w:val="007959C2"/>
    <w:rsid w:val="00796D3F"/>
    <w:rsid w:val="00796FAE"/>
    <w:rsid w:val="00797ED5"/>
    <w:rsid w:val="007A03B4"/>
    <w:rsid w:val="007A160C"/>
    <w:rsid w:val="007A1683"/>
    <w:rsid w:val="007A45A9"/>
    <w:rsid w:val="007A5C12"/>
    <w:rsid w:val="007A66FB"/>
    <w:rsid w:val="007A6B7D"/>
    <w:rsid w:val="007A73F7"/>
    <w:rsid w:val="007A7CB0"/>
    <w:rsid w:val="007B68A3"/>
    <w:rsid w:val="007C2541"/>
    <w:rsid w:val="007C4E20"/>
    <w:rsid w:val="007C7243"/>
    <w:rsid w:val="007C79EF"/>
    <w:rsid w:val="007D0F27"/>
    <w:rsid w:val="007D380D"/>
    <w:rsid w:val="007D4A19"/>
    <w:rsid w:val="007D66A8"/>
    <w:rsid w:val="007E003F"/>
    <w:rsid w:val="007E2DF9"/>
    <w:rsid w:val="007E526D"/>
    <w:rsid w:val="007F0CF8"/>
    <w:rsid w:val="007F57A7"/>
    <w:rsid w:val="007F5E1B"/>
    <w:rsid w:val="007F62CB"/>
    <w:rsid w:val="008033E9"/>
    <w:rsid w:val="00803579"/>
    <w:rsid w:val="00803687"/>
    <w:rsid w:val="00812AFB"/>
    <w:rsid w:val="008142EC"/>
    <w:rsid w:val="00814983"/>
    <w:rsid w:val="00814DD8"/>
    <w:rsid w:val="008164AD"/>
    <w:rsid w:val="008164F2"/>
    <w:rsid w:val="00821395"/>
    <w:rsid w:val="00821EA3"/>
    <w:rsid w:val="0082498C"/>
    <w:rsid w:val="008309D3"/>
    <w:rsid w:val="00830E26"/>
    <w:rsid w:val="00834368"/>
    <w:rsid w:val="0083441A"/>
    <w:rsid w:val="00835DB4"/>
    <w:rsid w:val="00842A69"/>
    <w:rsid w:val="00843541"/>
    <w:rsid w:val="00843576"/>
    <w:rsid w:val="00843B64"/>
    <w:rsid w:val="00845261"/>
    <w:rsid w:val="008478FC"/>
    <w:rsid w:val="00851C51"/>
    <w:rsid w:val="008538F7"/>
    <w:rsid w:val="00855325"/>
    <w:rsid w:val="00861CFA"/>
    <w:rsid w:val="00862FE9"/>
    <w:rsid w:val="00865B1C"/>
    <w:rsid w:val="008664AF"/>
    <w:rsid w:val="00866B3D"/>
    <w:rsid w:val="00867BFF"/>
    <w:rsid w:val="00871542"/>
    <w:rsid w:val="00872BC3"/>
    <w:rsid w:val="00872BF6"/>
    <w:rsid w:val="0088480A"/>
    <w:rsid w:val="00885718"/>
    <w:rsid w:val="0088757A"/>
    <w:rsid w:val="008911BE"/>
    <w:rsid w:val="0089431B"/>
    <w:rsid w:val="00895668"/>
    <w:rsid w:val="008957DD"/>
    <w:rsid w:val="008964D8"/>
    <w:rsid w:val="00896C61"/>
    <w:rsid w:val="00897D98"/>
    <w:rsid w:val="008A326C"/>
    <w:rsid w:val="008A3F8F"/>
    <w:rsid w:val="008A5662"/>
    <w:rsid w:val="008A6DF2"/>
    <w:rsid w:val="008A733D"/>
    <w:rsid w:val="008A7807"/>
    <w:rsid w:val="008B218B"/>
    <w:rsid w:val="008B2725"/>
    <w:rsid w:val="008B3F0C"/>
    <w:rsid w:val="008B4CC9"/>
    <w:rsid w:val="008B4DCA"/>
    <w:rsid w:val="008B5371"/>
    <w:rsid w:val="008B5666"/>
    <w:rsid w:val="008B6C91"/>
    <w:rsid w:val="008C0B15"/>
    <w:rsid w:val="008C3B46"/>
    <w:rsid w:val="008D2BC2"/>
    <w:rsid w:val="008D4DA0"/>
    <w:rsid w:val="008D65BD"/>
    <w:rsid w:val="008D75E4"/>
    <w:rsid w:val="008D7C99"/>
    <w:rsid w:val="008E0FCB"/>
    <w:rsid w:val="008E788F"/>
    <w:rsid w:val="008F514E"/>
    <w:rsid w:val="008F6DFE"/>
    <w:rsid w:val="008F7B8F"/>
    <w:rsid w:val="0090529F"/>
    <w:rsid w:val="00906661"/>
    <w:rsid w:val="00907C07"/>
    <w:rsid w:val="009109B0"/>
    <w:rsid w:val="0091268C"/>
    <w:rsid w:val="009157FA"/>
    <w:rsid w:val="00916926"/>
    <w:rsid w:val="0092178C"/>
    <w:rsid w:val="00925BB8"/>
    <w:rsid w:val="00927489"/>
    <w:rsid w:val="00930B88"/>
    <w:rsid w:val="00933EF9"/>
    <w:rsid w:val="00935376"/>
    <w:rsid w:val="009364FE"/>
    <w:rsid w:val="00936E32"/>
    <w:rsid w:val="00940DCC"/>
    <w:rsid w:val="0094159B"/>
    <w:rsid w:val="0094179A"/>
    <w:rsid w:val="00941E96"/>
    <w:rsid w:val="00944493"/>
    <w:rsid w:val="0094459E"/>
    <w:rsid w:val="00944DBC"/>
    <w:rsid w:val="00950977"/>
    <w:rsid w:val="00951A7B"/>
    <w:rsid w:val="00953E1C"/>
    <w:rsid w:val="00955512"/>
    <w:rsid w:val="009564A6"/>
    <w:rsid w:val="00957EF8"/>
    <w:rsid w:val="00960AA5"/>
    <w:rsid w:val="00961A4B"/>
    <w:rsid w:val="009649F6"/>
    <w:rsid w:val="00965FE5"/>
    <w:rsid w:val="00966A53"/>
    <w:rsid w:val="00967621"/>
    <w:rsid w:val="00967E6A"/>
    <w:rsid w:val="0097509D"/>
    <w:rsid w:val="00980873"/>
    <w:rsid w:val="009903C1"/>
    <w:rsid w:val="009907B9"/>
    <w:rsid w:val="00990918"/>
    <w:rsid w:val="009A21C5"/>
    <w:rsid w:val="009A3A83"/>
    <w:rsid w:val="009A47C6"/>
    <w:rsid w:val="009B046A"/>
    <w:rsid w:val="009B0D9D"/>
    <w:rsid w:val="009B361B"/>
    <w:rsid w:val="009B4A0F"/>
    <w:rsid w:val="009B6459"/>
    <w:rsid w:val="009C094D"/>
    <w:rsid w:val="009C11D2"/>
    <w:rsid w:val="009C3F6D"/>
    <w:rsid w:val="009C6788"/>
    <w:rsid w:val="009C6C70"/>
    <w:rsid w:val="009C7B0A"/>
    <w:rsid w:val="009D0B63"/>
    <w:rsid w:val="009D2D1C"/>
    <w:rsid w:val="009D5520"/>
    <w:rsid w:val="009D5A40"/>
    <w:rsid w:val="009D5CB8"/>
    <w:rsid w:val="009E058B"/>
    <w:rsid w:val="009E1EFC"/>
    <w:rsid w:val="009E2745"/>
    <w:rsid w:val="009E307E"/>
    <w:rsid w:val="009E3F15"/>
    <w:rsid w:val="009F2A5C"/>
    <w:rsid w:val="00A04A40"/>
    <w:rsid w:val="00A06335"/>
    <w:rsid w:val="00A06B25"/>
    <w:rsid w:val="00A07870"/>
    <w:rsid w:val="00A07C54"/>
    <w:rsid w:val="00A07F19"/>
    <w:rsid w:val="00A10BEF"/>
    <w:rsid w:val="00A124BB"/>
    <w:rsid w:val="00A1348D"/>
    <w:rsid w:val="00A13C99"/>
    <w:rsid w:val="00A14445"/>
    <w:rsid w:val="00A179D2"/>
    <w:rsid w:val="00A17D1A"/>
    <w:rsid w:val="00A232EE"/>
    <w:rsid w:val="00A25F18"/>
    <w:rsid w:val="00A30A78"/>
    <w:rsid w:val="00A35940"/>
    <w:rsid w:val="00A36031"/>
    <w:rsid w:val="00A4175F"/>
    <w:rsid w:val="00A44411"/>
    <w:rsid w:val="00A463A9"/>
    <w:rsid w:val="00A469FA"/>
    <w:rsid w:val="00A47A6E"/>
    <w:rsid w:val="00A51B3C"/>
    <w:rsid w:val="00A522F4"/>
    <w:rsid w:val="00A52366"/>
    <w:rsid w:val="00A53662"/>
    <w:rsid w:val="00A55B01"/>
    <w:rsid w:val="00A56B5B"/>
    <w:rsid w:val="00A603FF"/>
    <w:rsid w:val="00A60A37"/>
    <w:rsid w:val="00A619B6"/>
    <w:rsid w:val="00A6261B"/>
    <w:rsid w:val="00A648CA"/>
    <w:rsid w:val="00A657DD"/>
    <w:rsid w:val="00A666A6"/>
    <w:rsid w:val="00A675FD"/>
    <w:rsid w:val="00A722E7"/>
    <w:rsid w:val="00A72437"/>
    <w:rsid w:val="00A72F49"/>
    <w:rsid w:val="00A7423E"/>
    <w:rsid w:val="00A8048B"/>
    <w:rsid w:val="00A8053E"/>
    <w:rsid w:val="00A80611"/>
    <w:rsid w:val="00A90769"/>
    <w:rsid w:val="00A910A3"/>
    <w:rsid w:val="00A91DD5"/>
    <w:rsid w:val="00A92497"/>
    <w:rsid w:val="00A94420"/>
    <w:rsid w:val="00A96F1E"/>
    <w:rsid w:val="00A976A2"/>
    <w:rsid w:val="00AA0237"/>
    <w:rsid w:val="00AA183C"/>
    <w:rsid w:val="00AA3587"/>
    <w:rsid w:val="00AA5BF4"/>
    <w:rsid w:val="00AB2AD3"/>
    <w:rsid w:val="00AB5340"/>
    <w:rsid w:val="00AC0075"/>
    <w:rsid w:val="00AC0A89"/>
    <w:rsid w:val="00AC22B0"/>
    <w:rsid w:val="00AC6760"/>
    <w:rsid w:val="00AC7C96"/>
    <w:rsid w:val="00AD3593"/>
    <w:rsid w:val="00AE0812"/>
    <w:rsid w:val="00AE237D"/>
    <w:rsid w:val="00AE2825"/>
    <w:rsid w:val="00AE3F3F"/>
    <w:rsid w:val="00AE4D0D"/>
    <w:rsid w:val="00AE502A"/>
    <w:rsid w:val="00AF0010"/>
    <w:rsid w:val="00AF1AA8"/>
    <w:rsid w:val="00AF2765"/>
    <w:rsid w:val="00AF2C1F"/>
    <w:rsid w:val="00AF621C"/>
    <w:rsid w:val="00AF7C07"/>
    <w:rsid w:val="00B000CD"/>
    <w:rsid w:val="00B06C64"/>
    <w:rsid w:val="00B07D8E"/>
    <w:rsid w:val="00B11CAC"/>
    <w:rsid w:val="00B11D7C"/>
    <w:rsid w:val="00B15A29"/>
    <w:rsid w:val="00B21962"/>
    <w:rsid w:val="00B22C93"/>
    <w:rsid w:val="00B24B12"/>
    <w:rsid w:val="00B25234"/>
    <w:rsid w:val="00B27589"/>
    <w:rsid w:val="00B31D93"/>
    <w:rsid w:val="00B32D77"/>
    <w:rsid w:val="00B405B7"/>
    <w:rsid w:val="00B4468F"/>
    <w:rsid w:val="00B44F3B"/>
    <w:rsid w:val="00B468C0"/>
    <w:rsid w:val="00B50FE9"/>
    <w:rsid w:val="00B52222"/>
    <w:rsid w:val="00B531DA"/>
    <w:rsid w:val="00B54895"/>
    <w:rsid w:val="00B54FE7"/>
    <w:rsid w:val="00B5516B"/>
    <w:rsid w:val="00B5793E"/>
    <w:rsid w:val="00B647C6"/>
    <w:rsid w:val="00B648B0"/>
    <w:rsid w:val="00B655F9"/>
    <w:rsid w:val="00B66901"/>
    <w:rsid w:val="00B66F60"/>
    <w:rsid w:val="00B71E6D"/>
    <w:rsid w:val="00B72070"/>
    <w:rsid w:val="00B7286C"/>
    <w:rsid w:val="00B7705A"/>
    <w:rsid w:val="00B779E1"/>
    <w:rsid w:val="00B81E3A"/>
    <w:rsid w:val="00B85CFB"/>
    <w:rsid w:val="00B914E9"/>
    <w:rsid w:val="00B91EE1"/>
    <w:rsid w:val="00B94602"/>
    <w:rsid w:val="00BA0090"/>
    <w:rsid w:val="00BA009B"/>
    <w:rsid w:val="00BA1A67"/>
    <w:rsid w:val="00BA2224"/>
    <w:rsid w:val="00BA362E"/>
    <w:rsid w:val="00BA6A80"/>
    <w:rsid w:val="00BB4ABB"/>
    <w:rsid w:val="00BB5DDA"/>
    <w:rsid w:val="00BB7150"/>
    <w:rsid w:val="00BB75B4"/>
    <w:rsid w:val="00BB76B2"/>
    <w:rsid w:val="00BC2473"/>
    <w:rsid w:val="00BC2724"/>
    <w:rsid w:val="00BC34DF"/>
    <w:rsid w:val="00BC5579"/>
    <w:rsid w:val="00BC62BA"/>
    <w:rsid w:val="00BC7BB6"/>
    <w:rsid w:val="00BD15AE"/>
    <w:rsid w:val="00BE4163"/>
    <w:rsid w:val="00BE531E"/>
    <w:rsid w:val="00BE5B5F"/>
    <w:rsid w:val="00BE63D9"/>
    <w:rsid w:val="00BE7993"/>
    <w:rsid w:val="00BF216C"/>
    <w:rsid w:val="00BF452F"/>
    <w:rsid w:val="00BF4A05"/>
    <w:rsid w:val="00C03196"/>
    <w:rsid w:val="00C0358F"/>
    <w:rsid w:val="00C0517D"/>
    <w:rsid w:val="00C0780C"/>
    <w:rsid w:val="00C11971"/>
    <w:rsid w:val="00C179DE"/>
    <w:rsid w:val="00C2042D"/>
    <w:rsid w:val="00C22952"/>
    <w:rsid w:val="00C264D6"/>
    <w:rsid w:val="00C26BA5"/>
    <w:rsid w:val="00C26F55"/>
    <w:rsid w:val="00C30C63"/>
    <w:rsid w:val="00C30FF3"/>
    <w:rsid w:val="00C3363B"/>
    <w:rsid w:val="00C33A20"/>
    <w:rsid w:val="00C33D0E"/>
    <w:rsid w:val="00C34D5C"/>
    <w:rsid w:val="00C35F8D"/>
    <w:rsid w:val="00C36B8B"/>
    <w:rsid w:val="00C3734A"/>
    <w:rsid w:val="00C37D37"/>
    <w:rsid w:val="00C4135C"/>
    <w:rsid w:val="00C415C1"/>
    <w:rsid w:val="00C42953"/>
    <w:rsid w:val="00C4299B"/>
    <w:rsid w:val="00C44AEB"/>
    <w:rsid w:val="00C47DBF"/>
    <w:rsid w:val="00C50943"/>
    <w:rsid w:val="00C549C5"/>
    <w:rsid w:val="00C552FF"/>
    <w:rsid w:val="00C558DA"/>
    <w:rsid w:val="00C55AF3"/>
    <w:rsid w:val="00C56E04"/>
    <w:rsid w:val="00C70BF6"/>
    <w:rsid w:val="00C72692"/>
    <w:rsid w:val="00C73D7C"/>
    <w:rsid w:val="00C75229"/>
    <w:rsid w:val="00C76D94"/>
    <w:rsid w:val="00C771A9"/>
    <w:rsid w:val="00C77DB3"/>
    <w:rsid w:val="00C806EA"/>
    <w:rsid w:val="00C82943"/>
    <w:rsid w:val="00C82CD8"/>
    <w:rsid w:val="00C84759"/>
    <w:rsid w:val="00C854D1"/>
    <w:rsid w:val="00C85C72"/>
    <w:rsid w:val="00C9140F"/>
    <w:rsid w:val="00C92C09"/>
    <w:rsid w:val="00C92E6E"/>
    <w:rsid w:val="00C93096"/>
    <w:rsid w:val="00C93D8D"/>
    <w:rsid w:val="00CA01F7"/>
    <w:rsid w:val="00CA0D3B"/>
    <w:rsid w:val="00CA51D5"/>
    <w:rsid w:val="00CA5CA9"/>
    <w:rsid w:val="00CA6C7F"/>
    <w:rsid w:val="00CA7807"/>
    <w:rsid w:val="00CB007D"/>
    <w:rsid w:val="00CB2ACA"/>
    <w:rsid w:val="00CB4ACA"/>
    <w:rsid w:val="00CB60CA"/>
    <w:rsid w:val="00CC0FC7"/>
    <w:rsid w:val="00CC10A6"/>
    <w:rsid w:val="00CD4256"/>
    <w:rsid w:val="00CD5EB8"/>
    <w:rsid w:val="00CD7044"/>
    <w:rsid w:val="00CE023F"/>
    <w:rsid w:val="00CE08B9"/>
    <w:rsid w:val="00CE3515"/>
    <w:rsid w:val="00CE3D4B"/>
    <w:rsid w:val="00CE524C"/>
    <w:rsid w:val="00CF141F"/>
    <w:rsid w:val="00CF1E5C"/>
    <w:rsid w:val="00CF4777"/>
    <w:rsid w:val="00CF48C7"/>
    <w:rsid w:val="00CF54F8"/>
    <w:rsid w:val="00CF65C8"/>
    <w:rsid w:val="00CF7D0F"/>
    <w:rsid w:val="00D013F5"/>
    <w:rsid w:val="00D05492"/>
    <w:rsid w:val="00D05E3F"/>
    <w:rsid w:val="00D067BB"/>
    <w:rsid w:val="00D102BD"/>
    <w:rsid w:val="00D11153"/>
    <w:rsid w:val="00D118F4"/>
    <w:rsid w:val="00D1352A"/>
    <w:rsid w:val="00D1638E"/>
    <w:rsid w:val="00D169AF"/>
    <w:rsid w:val="00D17814"/>
    <w:rsid w:val="00D200EF"/>
    <w:rsid w:val="00D24A62"/>
    <w:rsid w:val="00D24BAA"/>
    <w:rsid w:val="00D25175"/>
    <w:rsid w:val="00D25249"/>
    <w:rsid w:val="00D2657D"/>
    <w:rsid w:val="00D2668A"/>
    <w:rsid w:val="00D26854"/>
    <w:rsid w:val="00D31A6B"/>
    <w:rsid w:val="00D35357"/>
    <w:rsid w:val="00D35F13"/>
    <w:rsid w:val="00D36C41"/>
    <w:rsid w:val="00D43884"/>
    <w:rsid w:val="00D44172"/>
    <w:rsid w:val="00D451CC"/>
    <w:rsid w:val="00D47BE3"/>
    <w:rsid w:val="00D60979"/>
    <w:rsid w:val="00D613A4"/>
    <w:rsid w:val="00D621FA"/>
    <w:rsid w:val="00D62C15"/>
    <w:rsid w:val="00D63B8C"/>
    <w:rsid w:val="00D63C6F"/>
    <w:rsid w:val="00D645E2"/>
    <w:rsid w:val="00D66FF0"/>
    <w:rsid w:val="00D739CC"/>
    <w:rsid w:val="00D76CED"/>
    <w:rsid w:val="00D77006"/>
    <w:rsid w:val="00D806F9"/>
    <w:rsid w:val="00D8093D"/>
    <w:rsid w:val="00D8108C"/>
    <w:rsid w:val="00D8404C"/>
    <w:rsid w:val="00D842AE"/>
    <w:rsid w:val="00D84708"/>
    <w:rsid w:val="00D84995"/>
    <w:rsid w:val="00D8548D"/>
    <w:rsid w:val="00D859F8"/>
    <w:rsid w:val="00D85EA3"/>
    <w:rsid w:val="00D85F43"/>
    <w:rsid w:val="00D91DD5"/>
    <w:rsid w:val="00D9211C"/>
    <w:rsid w:val="00D92DE0"/>
    <w:rsid w:val="00D92FEF"/>
    <w:rsid w:val="00D931F9"/>
    <w:rsid w:val="00D93A0F"/>
    <w:rsid w:val="00D97922"/>
    <w:rsid w:val="00DA1BCA"/>
    <w:rsid w:val="00DA3663"/>
    <w:rsid w:val="00DA6519"/>
    <w:rsid w:val="00DA66C4"/>
    <w:rsid w:val="00DA78EB"/>
    <w:rsid w:val="00DB53F5"/>
    <w:rsid w:val="00DB5A4A"/>
    <w:rsid w:val="00DC1792"/>
    <w:rsid w:val="00DC274A"/>
    <w:rsid w:val="00DC3214"/>
    <w:rsid w:val="00DC46FF"/>
    <w:rsid w:val="00DC5254"/>
    <w:rsid w:val="00DC569D"/>
    <w:rsid w:val="00DD1A4F"/>
    <w:rsid w:val="00DD27FF"/>
    <w:rsid w:val="00DD2F83"/>
    <w:rsid w:val="00DD3107"/>
    <w:rsid w:val="00DD4156"/>
    <w:rsid w:val="00DD7C2C"/>
    <w:rsid w:val="00DE2B03"/>
    <w:rsid w:val="00DE5BDA"/>
    <w:rsid w:val="00DE6ADF"/>
    <w:rsid w:val="00DF433C"/>
    <w:rsid w:val="00DF519F"/>
    <w:rsid w:val="00DF71A6"/>
    <w:rsid w:val="00DF7C49"/>
    <w:rsid w:val="00E0035A"/>
    <w:rsid w:val="00E01065"/>
    <w:rsid w:val="00E023A7"/>
    <w:rsid w:val="00E02898"/>
    <w:rsid w:val="00E03505"/>
    <w:rsid w:val="00E039B8"/>
    <w:rsid w:val="00E06797"/>
    <w:rsid w:val="00E068AE"/>
    <w:rsid w:val="00E06B10"/>
    <w:rsid w:val="00E10627"/>
    <w:rsid w:val="00E11943"/>
    <w:rsid w:val="00E1265B"/>
    <w:rsid w:val="00E12E09"/>
    <w:rsid w:val="00E13B48"/>
    <w:rsid w:val="00E1404F"/>
    <w:rsid w:val="00E21C83"/>
    <w:rsid w:val="00E249F0"/>
    <w:rsid w:val="00E24ADA"/>
    <w:rsid w:val="00E27471"/>
    <w:rsid w:val="00E32F59"/>
    <w:rsid w:val="00E33FA7"/>
    <w:rsid w:val="00E372A5"/>
    <w:rsid w:val="00E3777B"/>
    <w:rsid w:val="00E37BA7"/>
    <w:rsid w:val="00E40819"/>
    <w:rsid w:val="00E41908"/>
    <w:rsid w:val="00E456A2"/>
    <w:rsid w:val="00E46D9A"/>
    <w:rsid w:val="00E478A4"/>
    <w:rsid w:val="00E521F4"/>
    <w:rsid w:val="00E54866"/>
    <w:rsid w:val="00E565FF"/>
    <w:rsid w:val="00E6489E"/>
    <w:rsid w:val="00E65388"/>
    <w:rsid w:val="00E7093E"/>
    <w:rsid w:val="00E71861"/>
    <w:rsid w:val="00E72401"/>
    <w:rsid w:val="00E76DB6"/>
    <w:rsid w:val="00E7741D"/>
    <w:rsid w:val="00E801D7"/>
    <w:rsid w:val="00E808CD"/>
    <w:rsid w:val="00E8348F"/>
    <w:rsid w:val="00E8560B"/>
    <w:rsid w:val="00E85B7D"/>
    <w:rsid w:val="00E863D5"/>
    <w:rsid w:val="00E9121B"/>
    <w:rsid w:val="00E916AE"/>
    <w:rsid w:val="00E91BF0"/>
    <w:rsid w:val="00E9302E"/>
    <w:rsid w:val="00E9606A"/>
    <w:rsid w:val="00E9624D"/>
    <w:rsid w:val="00E976AB"/>
    <w:rsid w:val="00E97E7B"/>
    <w:rsid w:val="00EA0AE2"/>
    <w:rsid w:val="00EA2C2E"/>
    <w:rsid w:val="00EA39E5"/>
    <w:rsid w:val="00EA57A3"/>
    <w:rsid w:val="00EA62B6"/>
    <w:rsid w:val="00EA644A"/>
    <w:rsid w:val="00EB0C40"/>
    <w:rsid w:val="00EC2194"/>
    <w:rsid w:val="00EC2813"/>
    <w:rsid w:val="00EC3F22"/>
    <w:rsid w:val="00EC48E9"/>
    <w:rsid w:val="00EC5A46"/>
    <w:rsid w:val="00EC63E2"/>
    <w:rsid w:val="00ED0225"/>
    <w:rsid w:val="00ED14B9"/>
    <w:rsid w:val="00ED1FB1"/>
    <w:rsid w:val="00ED366A"/>
    <w:rsid w:val="00ED6BB7"/>
    <w:rsid w:val="00EE01BE"/>
    <w:rsid w:val="00EE255A"/>
    <w:rsid w:val="00EF012F"/>
    <w:rsid w:val="00EF19BB"/>
    <w:rsid w:val="00EF22B3"/>
    <w:rsid w:val="00EF5203"/>
    <w:rsid w:val="00F00C0F"/>
    <w:rsid w:val="00F0249D"/>
    <w:rsid w:val="00F02A1A"/>
    <w:rsid w:val="00F03B69"/>
    <w:rsid w:val="00F070D2"/>
    <w:rsid w:val="00F07A50"/>
    <w:rsid w:val="00F107AA"/>
    <w:rsid w:val="00F113DA"/>
    <w:rsid w:val="00F15578"/>
    <w:rsid w:val="00F202BA"/>
    <w:rsid w:val="00F20C83"/>
    <w:rsid w:val="00F24288"/>
    <w:rsid w:val="00F266FC"/>
    <w:rsid w:val="00F26D21"/>
    <w:rsid w:val="00F2708D"/>
    <w:rsid w:val="00F279A3"/>
    <w:rsid w:val="00F3037A"/>
    <w:rsid w:val="00F3043C"/>
    <w:rsid w:val="00F32018"/>
    <w:rsid w:val="00F3465A"/>
    <w:rsid w:val="00F37DC8"/>
    <w:rsid w:val="00F42492"/>
    <w:rsid w:val="00F439B3"/>
    <w:rsid w:val="00F45B30"/>
    <w:rsid w:val="00F5275D"/>
    <w:rsid w:val="00F650C3"/>
    <w:rsid w:val="00F65D47"/>
    <w:rsid w:val="00F65D85"/>
    <w:rsid w:val="00F6700B"/>
    <w:rsid w:val="00F6774D"/>
    <w:rsid w:val="00F7137B"/>
    <w:rsid w:val="00F716D4"/>
    <w:rsid w:val="00F7267C"/>
    <w:rsid w:val="00F727F9"/>
    <w:rsid w:val="00F7402C"/>
    <w:rsid w:val="00F7445B"/>
    <w:rsid w:val="00F75F16"/>
    <w:rsid w:val="00F8091E"/>
    <w:rsid w:val="00F8562F"/>
    <w:rsid w:val="00F85FE5"/>
    <w:rsid w:val="00F8615C"/>
    <w:rsid w:val="00F94A05"/>
    <w:rsid w:val="00F969E5"/>
    <w:rsid w:val="00F971CE"/>
    <w:rsid w:val="00FA2D60"/>
    <w:rsid w:val="00FA4972"/>
    <w:rsid w:val="00FA4DF6"/>
    <w:rsid w:val="00FA5356"/>
    <w:rsid w:val="00FA6BB0"/>
    <w:rsid w:val="00FA7940"/>
    <w:rsid w:val="00FA7B90"/>
    <w:rsid w:val="00FA7C72"/>
    <w:rsid w:val="00FB194B"/>
    <w:rsid w:val="00FB2DBD"/>
    <w:rsid w:val="00FC1076"/>
    <w:rsid w:val="00FC3631"/>
    <w:rsid w:val="00FC41ED"/>
    <w:rsid w:val="00FC68A1"/>
    <w:rsid w:val="00FD0189"/>
    <w:rsid w:val="00FD48DF"/>
    <w:rsid w:val="00FD5100"/>
    <w:rsid w:val="00FD5860"/>
    <w:rsid w:val="00FD7D3A"/>
    <w:rsid w:val="00FE00E6"/>
    <w:rsid w:val="00FE0A0B"/>
    <w:rsid w:val="00FE0C08"/>
    <w:rsid w:val="00FE352D"/>
    <w:rsid w:val="00FE40EB"/>
    <w:rsid w:val="00FE4D02"/>
    <w:rsid w:val="00FE534A"/>
    <w:rsid w:val="00FE7D62"/>
    <w:rsid w:val="00FF0DA0"/>
    <w:rsid w:val="00FF3819"/>
    <w:rsid w:val="00FF6A70"/>
    <w:rsid w:val="00FF7E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4406B4B"/>
  <w15:docId w15:val="{6CE15CFA-5152-41BE-B7B9-AE2D93A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NormalnumberChar">
    <w:name w:val="Normal_number Char"/>
    <w:link w:val="Normalnumber"/>
    <w:locked/>
    <w:rsid w:val="001C70A9"/>
    <w:rPr>
      <w:lang w:eastAsia="en-US"/>
    </w:rPr>
  </w:style>
  <w:style w:type="character" w:customStyle="1" w:styleId="CH2Char">
    <w:name w:val="CH2 Char"/>
    <w:link w:val="CH2"/>
    <w:rsid w:val="001C70A9"/>
    <w:rPr>
      <w:b/>
      <w:sz w:val="24"/>
      <w:szCs w:val="24"/>
      <w:lang w:eastAsia="en-US"/>
    </w:rPr>
  </w:style>
  <w:style w:type="character" w:customStyle="1" w:styleId="Normal-poolChar">
    <w:name w:val="Normal-pool Char"/>
    <w:link w:val="Normal-pool"/>
    <w:rsid w:val="00E72401"/>
    <w:rPr>
      <w:lang w:eastAsia="en-US"/>
    </w:rPr>
  </w:style>
  <w:style w:type="paragraph" w:styleId="NormalWeb">
    <w:name w:val="Normal (Web)"/>
    <w:basedOn w:val="Normal"/>
    <w:uiPriority w:val="99"/>
    <w:semiHidden/>
    <w:unhideWhenUsed/>
    <w:rsid w:val="00E3777B"/>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95416491">
      <w:bodyDiv w:val="1"/>
      <w:marLeft w:val="0"/>
      <w:marRight w:val="0"/>
      <w:marTop w:val="0"/>
      <w:marBottom w:val="0"/>
      <w:divBdr>
        <w:top w:val="none" w:sz="0" w:space="0" w:color="auto"/>
        <w:left w:val="none" w:sz="0" w:space="0" w:color="auto"/>
        <w:bottom w:val="none" w:sz="0" w:space="0" w:color="auto"/>
        <w:right w:val="none" w:sz="0" w:space="0" w:color="auto"/>
      </w:divBdr>
    </w:div>
    <w:div w:id="689533195">
      <w:bodyDiv w:val="1"/>
      <w:marLeft w:val="0"/>
      <w:marRight w:val="0"/>
      <w:marTop w:val="0"/>
      <w:marBottom w:val="0"/>
      <w:divBdr>
        <w:top w:val="none" w:sz="0" w:space="0" w:color="auto"/>
        <w:left w:val="none" w:sz="0" w:space="0" w:color="auto"/>
        <w:bottom w:val="none" w:sz="0" w:space="0" w:color="auto"/>
        <w:right w:val="none" w:sz="0" w:space="0" w:color="auto"/>
      </w:divBdr>
    </w:div>
    <w:div w:id="7456925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25911699">
      <w:bodyDiv w:val="1"/>
      <w:marLeft w:val="0"/>
      <w:marRight w:val="0"/>
      <w:marTop w:val="0"/>
      <w:marBottom w:val="0"/>
      <w:divBdr>
        <w:top w:val="none" w:sz="0" w:space="0" w:color="auto"/>
        <w:left w:val="none" w:sz="0" w:space="0" w:color="auto"/>
        <w:bottom w:val="none" w:sz="0" w:space="0" w:color="auto"/>
        <w:right w:val="none" w:sz="0" w:space="0" w:color="auto"/>
      </w:divBdr>
    </w:div>
    <w:div w:id="19483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ADE4-FFF3-4BED-8479-4DA75A53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8111</Words>
  <Characters>44615</Characters>
  <Application>Microsoft Office Word</Application>
  <DocSecurity>0</DocSecurity>
  <Lines>371</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Stephanie Laruelle</cp:lastModifiedBy>
  <cp:revision>2</cp:revision>
  <cp:lastPrinted>2018-11-07T07:14:00Z</cp:lastPrinted>
  <dcterms:created xsi:type="dcterms:W3CDTF">2018-11-08T12:54:00Z</dcterms:created>
  <dcterms:modified xsi:type="dcterms:W3CDTF">2018-11-08T12:54:00Z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10/30/2018 2:10:51 PM</vt:lpwstr>
  </property>
  <property fmtid="{D5CDD505-2E9C-101B-9397-08002B2CF9AE}" pid="5" name="OriginalDocID">
    <vt:lpwstr>58cd7809-4598-4d14-a614-949215df201f</vt:lpwstr>
  </property>
</Properties>
</file>