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8C6D61" w:rsidRPr="00797F69" w14:paraId="3147ED48" w14:textId="77777777" w:rsidTr="00CF6389">
        <w:trPr>
          <w:cantSplit/>
          <w:trHeight w:val="850"/>
          <w:jc w:val="right"/>
        </w:trPr>
        <w:tc>
          <w:tcPr>
            <w:tcW w:w="1560" w:type="dxa"/>
          </w:tcPr>
          <w:p w14:paraId="04EFC52E" w14:textId="77777777" w:rsidR="008C6D61" w:rsidRPr="00797F69" w:rsidRDefault="008C6D61" w:rsidP="00CF6389">
            <w:pPr>
              <w:rPr>
                <w:rFonts w:ascii="Univers" w:hAnsi="Univers"/>
                <w:b/>
                <w:noProof/>
                <w:sz w:val="27"/>
                <w:szCs w:val="27"/>
                <w:lang w:val="fr-FR"/>
              </w:rPr>
            </w:pPr>
            <w:r w:rsidRPr="00797F69">
              <w:rPr>
                <w:rFonts w:ascii="Arial" w:hAnsi="Arial" w:cs="Arial"/>
                <w:b/>
                <w:noProof/>
                <w:sz w:val="27"/>
                <w:szCs w:val="27"/>
                <w:lang w:val="fr-FR"/>
              </w:rPr>
              <w:t>NATIONS</w:t>
            </w:r>
            <w:r w:rsidRPr="00797F69">
              <w:rPr>
                <w:rFonts w:ascii="Arial" w:hAnsi="Arial" w:cs="Arial"/>
                <w:b/>
                <w:noProof/>
                <w:sz w:val="27"/>
                <w:szCs w:val="27"/>
                <w:lang w:val="fr-FR"/>
              </w:rPr>
              <w:br/>
              <w:t>UNIES</w:t>
            </w:r>
          </w:p>
        </w:tc>
        <w:tc>
          <w:tcPr>
            <w:tcW w:w="4785" w:type="dxa"/>
          </w:tcPr>
          <w:p w14:paraId="7D6C3313" w14:textId="77777777" w:rsidR="008C6D61" w:rsidRPr="00797F69" w:rsidRDefault="008C6D61" w:rsidP="00CF6389">
            <w:pPr>
              <w:rPr>
                <w:rFonts w:ascii="Univers" w:hAnsi="Univers"/>
                <w:b/>
                <w:sz w:val="27"/>
                <w:szCs w:val="27"/>
                <w:lang w:val="fr-FR"/>
              </w:rPr>
            </w:pPr>
          </w:p>
        </w:tc>
        <w:tc>
          <w:tcPr>
            <w:tcW w:w="3435" w:type="dxa"/>
          </w:tcPr>
          <w:p w14:paraId="3AF0570A" w14:textId="77777777" w:rsidR="008C6D61" w:rsidRPr="00797F69" w:rsidRDefault="008C6D61" w:rsidP="00CF6389">
            <w:pPr>
              <w:jc w:val="right"/>
              <w:rPr>
                <w:rFonts w:ascii="Arial" w:hAnsi="Arial" w:cs="Arial"/>
                <w:b/>
                <w:sz w:val="64"/>
                <w:szCs w:val="64"/>
                <w:lang w:val="fr-FR"/>
              </w:rPr>
            </w:pPr>
            <w:r w:rsidRPr="00797F69">
              <w:rPr>
                <w:rFonts w:ascii="Arial" w:hAnsi="Arial" w:cs="Arial"/>
                <w:b/>
                <w:sz w:val="64"/>
                <w:szCs w:val="64"/>
                <w:lang w:val="fr-FR"/>
              </w:rPr>
              <w:t>MC</w:t>
            </w:r>
          </w:p>
        </w:tc>
      </w:tr>
      <w:tr w:rsidR="008C6D61" w:rsidRPr="00797F69" w14:paraId="76BED10E" w14:textId="77777777" w:rsidTr="00CF6389">
        <w:trPr>
          <w:cantSplit/>
          <w:trHeight w:val="281"/>
          <w:jc w:val="right"/>
        </w:trPr>
        <w:tc>
          <w:tcPr>
            <w:tcW w:w="1560" w:type="dxa"/>
            <w:tcBorders>
              <w:bottom w:val="single" w:sz="4" w:space="0" w:color="auto"/>
            </w:tcBorders>
          </w:tcPr>
          <w:p w14:paraId="2F66A40C" w14:textId="77777777" w:rsidR="008C6D61" w:rsidRPr="00797F69" w:rsidRDefault="008C6D61" w:rsidP="00CF6389">
            <w:pPr>
              <w:rPr>
                <w:noProof/>
                <w:sz w:val="18"/>
                <w:szCs w:val="18"/>
                <w:lang w:val="fr-FR"/>
              </w:rPr>
            </w:pPr>
          </w:p>
        </w:tc>
        <w:tc>
          <w:tcPr>
            <w:tcW w:w="4785" w:type="dxa"/>
            <w:tcBorders>
              <w:bottom w:val="single" w:sz="4" w:space="0" w:color="auto"/>
            </w:tcBorders>
          </w:tcPr>
          <w:p w14:paraId="0FB01F61" w14:textId="77777777" w:rsidR="008C6D61" w:rsidRPr="00797F69" w:rsidRDefault="008C6D61" w:rsidP="00CF6389">
            <w:pPr>
              <w:rPr>
                <w:rFonts w:ascii="Univers" w:hAnsi="Univers"/>
                <w:b/>
                <w:sz w:val="18"/>
                <w:szCs w:val="18"/>
                <w:lang w:val="fr-FR"/>
              </w:rPr>
            </w:pPr>
          </w:p>
        </w:tc>
        <w:tc>
          <w:tcPr>
            <w:tcW w:w="3435" w:type="dxa"/>
            <w:tcBorders>
              <w:bottom w:val="single" w:sz="4" w:space="0" w:color="auto"/>
            </w:tcBorders>
          </w:tcPr>
          <w:p w14:paraId="72B0767F" w14:textId="3A0163B0" w:rsidR="008C6D61" w:rsidRPr="00797F69" w:rsidRDefault="008C6D61" w:rsidP="00CF6389">
            <w:pPr>
              <w:rPr>
                <w:noProof/>
                <w:sz w:val="18"/>
                <w:szCs w:val="18"/>
                <w:lang w:val="fr-FR"/>
              </w:rPr>
            </w:pPr>
            <w:r w:rsidRPr="00797F69">
              <w:rPr>
                <w:b/>
                <w:bCs/>
                <w:sz w:val="28"/>
                <w:lang w:val="fr-FR"/>
              </w:rPr>
              <w:t>UNEP</w:t>
            </w:r>
            <w:bookmarkStart w:id="0" w:name="OLE_LINK1"/>
            <w:bookmarkStart w:id="1" w:name="OLE_LINK2"/>
            <w:r w:rsidRPr="00797F69">
              <w:rPr>
                <w:b/>
                <w:bCs/>
                <w:sz w:val="28"/>
                <w:lang w:val="fr-FR"/>
              </w:rPr>
              <w:t>/</w:t>
            </w:r>
            <w:r w:rsidRPr="00797F69">
              <w:rPr>
                <w:lang w:val="fr-FR"/>
              </w:rPr>
              <w:t>MC/</w:t>
            </w:r>
            <w:bookmarkEnd w:id="0"/>
            <w:bookmarkEnd w:id="1"/>
            <w:r w:rsidR="000E2677">
              <w:rPr>
                <w:lang w:val="fr-FR"/>
              </w:rPr>
              <w:t>COP.2/15/Rev.1</w:t>
            </w:r>
          </w:p>
        </w:tc>
      </w:tr>
      <w:bookmarkStart w:id="2" w:name="_MON_1021710482"/>
      <w:bookmarkEnd w:id="2"/>
      <w:bookmarkStart w:id="3" w:name="_MON_1021710510"/>
      <w:bookmarkEnd w:id="3"/>
      <w:tr w:rsidR="008C6D61" w:rsidRPr="0015712F" w14:paraId="5BDC05C4" w14:textId="77777777" w:rsidTr="00CF6389">
        <w:trPr>
          <w:cantSplit/>
          <w:trHeight w:val="2549"/>
          <w:jc w:val="right"/>
        </w:trPr>
        <w:tc>
          <w:tcPr>
            <w:tcW w:w="1560" w:type="dxa"/>
            <w:tcBorders>
              <w:top w:val="single" w:sz="4" w:space="0" w:color="auto"/>
              <w:bottom w:val="single" w:sz="24" w:space="0" w:color="auto"/>
            </w:tcBorders>
          </w:tcPr>
          <w:p w14:paraId="11670E15" w14:textId="77777777" w:rsidR="008C6D61" w:rsidRPr="00797F69" w:rsidRDefault="008C6D61" w:rsidP="00CF6389">
            <w:pPr>
              <w:rPr>
                <w:noProof/>
                <w:lang w:val="fr-FR"/>
              </w:rPr>
            </w:pPr>
            <w:r w:rsidRPr="00797F69">
              <w:rPr>
                <w:noProof/>
                <w:lang w:val="fr-FR"/>
              </w:rPr>
              <w:object w:dxaOrig="1831" w:dyaOrig="1726" w14:anchorId="0E664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8" o:title=""/>
                </v:shape>
                <o:OLEObject Type="Embed" ProgID="Word.Picture.8" ShapeID="_x0000_i1025" DrawAspect="Content" ObjectID="_1603088750" r:id="rId9"/>
              </w:object>
            </w:r>
            <w:r w:rsidRPr="00797F69">
              <w:rPr>
                <w:noProof/>
                <w:lang w:val="fr-FR" w:eastAsia="zh-CN"/>
              </w:rPr>
              <w:drawing>
                <wp:inline distT="0" distB="0" distL="0" distR="0" wp14:anchorId="2A4C083B" wp14:editId="41E490F5">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3994092E" w14:textId="6E128EB3" w:rsidR="008C6D61" w:rsidRPr="00797F69" w:rsidRDefault="008C6D61" w:rsidP="00CF6389">
            <w:pPr>
              <w:spacing w:before="1200"/>
              <w:rPr>
                <w:rFonts w:ascii="Arial" w:hAnsi="Arial" w:cs="Arial"/>
                <w:b/>
                <w:sz w:val="28"/>
                <w:lang w:val="fr-FR"/>
              </w:rPr>
            </w:pPr>
            <w:r w:rsidRPr="00797F69">
              <w:rPr>
                <w:rFonts w:ascii="Arial" w:hAnsi="Arial" w:cs="Arial"/>
                <w:b/>
                <w:sz w:val="32"/>
                <w:szCs w:val="32"/>
                <w:lang w:val="fr-FR"/>
              </w:rPr>
              <w:t>Programme</w:t>
            </w:r>
            <w:r w:rsidRPr="00797F69">
              <w:rPr>
                <w:rFonts w:ascii="Arial" w:hAnsi="Arial" w:cs="Arial"/>
                <w:b/>
                <w:sz w:val="32"/>
                <w:szCs w:val="32"/>
                <w:lang w:val="fr-FR"/>
              </w:rPr>
              <w:br/>
              <w:t>des Nations Unies</w:t>
            </w:r>
            <w:r w:rsidRPr="00797F69">
              <w:rPr>
                <w:rFonts w:ascii="Arial" w:hAnsi="Arial" w:cs="Arial"/>
                <w:b/>
                <w:sz w:val="32"/>
                <w:szCs w:val="32"/>
                <w:lang w:val="fr-FR"/>
              </w:rPr>
              <w:br/>
              <w:t>pour l</w:t>
            </w:r>
            <w:r w:rsidR="001B3F55" w:rsidRPr="00797F69">
              <w:rPr>
                <w:rFonts w:ascii="Arial" w:hAnsi="Arial" w:cs="Arial"/>
                <w:b/>
                <w:sz w:val="32"/>
                <w:szCs w:val="32"/>
                <w:lang w:val="fr-FR"/>
              </w:rPr>
              <w:t>’</w:t>
            </w:r>
            <w:r w:rsidRPr="00797F69">
              <w:rPr>
                <w:rFonts w:ascii="Arial" w:hAnsi="Arial" w:cs="Arial"/>
                <w:b/>
                <w:sz w:val="32"/>
                <w:szCs w:val="32"/>
                <w:lang w:val="fr-FR"/>
              </w:rPr>
              <w:t>environnement</w:t>
            </w:r>
          </w:p>
        </w:tc>
        <w:tc>
          <w:tcPr>
            <w:tcW w:w="3435" w:type="dxa"/>
            <w:tcBorders>
              <w:top w:val="single" w:sz="4" w:space="0" w:color="auto"/>
              <w:bottom w:val="single" w:sz="24" w:space="0" w:color="auto"/>
            </w:tcBorders>
          </w:tcPr>
          <w:p w14:paraId="7F310379" w14:textId="36267410" w:rsidR="008C6D61" w:rsidRPr="00797F69" w:rsidRDefault="008C6D61" w:rsidP="00CF6389">
            <w:pPr>
              <w:spacing w:before="120"/>
              <w:rPr>
                <w:lang w:val="fr-FR"/>
              </w:rPr>
            </w:pPr>
            <w:r w:rsidRPr="00797F69">
              <w:rPr>
                <w:lang w:val="fr-FR"/>
              </w:rPr>
              <w:t xml:space="preserve">Distr. générale </w:t>
            </w:r>
            <w:r w:rsidRPr="00797F69">
              <w:rPr>
                <w:lang w:val="fr-FR"/>
              </w:rPr>
              <w:br/>
            </w:r>
            <w:r w:rsidR="000E2677">
              <w:rPr>
                <w:lang w:val="fr-FR"/>
              </w:rPr>
              <w:t>18 octobre</w:t>
            </w:r>
            <w:r w:rsidRPr="00797F69">
              <w:rPr>
                <w:lang w:val="fr-FR"/>
              </w:rPr>
              <w:t xml:space="preserve"> 2018</w:t>
            </w:r>
          </w:p>
          <w:p w14:paraId="165F2A07" w14:textId="65D2168C" w:rsidR="008C6D61" w:rsidRPr="00797F69" w:rsidRDefault="008C6D61" w:rsidP="00CF6389">
            <w:pPr>
              <w:spacing w:before="240"/>
              <w:rPr>
                <w:lang w:val="fr-FR"/>
              </w:rPr>
            </w:pPr>
            <w:r w:rsidRPr="00797F69">
              <w:rPr>
                <w:lang w:val="fr-FR"/>
              </w:rPr>
              <w:t>Français</w:t>
            </w:r>
            <w:r w:rsidRPr="00797F69">
              <w:rPr>
                <w:lang w:val="fr-FR"/>
              </w:rPr>
              <w:br/>
              <w:t>Original</w:t>
            </w:r>
            <w:r w:rsidR="001B3F55" w:rsidRPr="00797F69">
              <w:rPr>
                <w:lang w:val="fr-FR"/>
              </w:rPr>
              <w:t> :</w:t>
            </w:r>
            <w:r w:rsidRPr="00797F69">
              <w:rPr>
                <w:lang w:val="fr-FR"/>
              </w:rPr>
              <w:t xml:space="preserve"> anglais</w:t>
            </w:r>
          </w:p>
        </w:tc>
      </w:tr>
    </w:tbl>
    <w:p w14:paraId="22D60506" w14:textId="77777777" w:rsidR="008C6D61" w:rsidRPr="00797F69" w:rsidRDefault="008C6D61" w:rsidP="008C6D61">
      <w:pPr>
        <w:pStyle w:val="AATitle"/>
        <w:rPr>
          <w:lang w:val="fr-FR"/>
        </w:rPr>
      </w:pPr>
      <w:r w:rsidRPr="00797F69">
        <w:rPr>
          <w:lang w:val="fr-FR"/>
        </w:rPr>
        <w:t xml:space="preserve">Conférence des Parties à la Convention </w:t>
      </w:r>
      <w:r w:rsidRPr="00797F69">
        <w:rPr>
          <w:lang w:val="fr-FR"/>
        </w:rPr>
        <w:br/>
        <w:t>de Minamata sur le mercure</w:t>
      </w:r>
    </w:p>
    <w:p w14:paraId="078B8256" w14:textId="77777777" w:rsidR="008C6D61" w:rsidRPr="00797F69" w:rsidRDefault="008C6D61" w:rsidP="008C6D61">
      <w:pPr>
        <w:pStyle w:val="AATitle"/>
        <w:rPr>
          <w:lang w:val="fr-FR"/>
        </w:rPr>
      </w:pPr>
      <w:r w:rsidRPr="00797F69">
        <w:rPr>
          <w:lang w:val="fr-FR"/>
        </w:rPr>
        <w:t>Deuxième réunion</w:t>
      </w:r>
    </w:p>
    <w:p w14:paraId="0E13D7D7" w14:textId="77777777" w:rsidR="008C6D61" w:rsidRPr="00797F69" w:rsidRDefault="008C6D61" w:rsidP="008C6D61">
      <w:pPr>
        <w:pStyle w:val="AATitle"/>
        <w:rPr>
          <w:b w:val="0"/>
          <w:lang w:val="fr-FR"/>
        </w:rPr>
      </w:pPr>
      <w:r w:rsidRPr="00797F69">
        <w:rPr>
          <w:b w:val="0"/>
          <w:lang w:val="fr-FR"/>
        </w:rPr>
        <w:t>Genève, 19-23 novembre 2018</w:t>
      </w:r>
    </w:p>
    <w:p w14:paraId="29563CCB" w14:textId="10BE14AA" w:rsidR="00090BDC" w:rsidRPr="00797F69" w:rsidRDefault="00353D47" w:rsidP="00090BDC">
      <w:pPr>
        <w:pStyle w:val="AATitle"/>
        <w:keepNext w:val="0"/>
        <w:keepLines w:val="0"/>
        <w:rPr>
          <w:b w:val="0"/>
          <w:lang w:val="fr-FR"/>
        </w:rPr>
      </w:pPr>
      <w:r>
        <w:rPr>
          <w:b w:val="0"/>
          <w:lang w:val="fr-FR"/>
        </w:rPr>
        <w:t>Point 5 </w:t>
      </w:r>
      <w:r w:rsidR="00090BDC" w:rsidRPr="00797F69">
        <w:rPr>
          <w:b w:val="0"/>
          <w:lang w:val="fr-FR"/>
        </w:rPr>
        <w:t>k) de l</w:t>
      </w:r>
      <w:r w:rsidR="001B3F55" w:rsidRPr="00797F69">
        <w:rPr>
          <w:b w:val="0"/>
          <w:lang w:val="fr-FR"/>
        </w:rPr>
        <w:t>’</w:t>
      </w:r>
      <w:r w:rsidR="00090BDC" w:rsidRPr="00797F69">
        <w:rPr>
          <w:b w:val="0"/>
          <w:lang w:val="fr-FR"/>
        </w:rPr>
        <w:t>ordre du jour provisoire</w:t>
      </w:r>
      <w:r w:rsidR="00090BDC" w:rsidRPr="00797F69">
        <w:rPr>
          <w:b w:val="0"/>
          <w:lang w:val="fr-FR"/>
        </w:rPr>
        <w:footnoteReference w:customMarkFollows="1" w:id="1"/>
        <w:t>*</w:t>
      </w:r>
    </w:p>
    <w:p w14:paraId="6C66F3E9" w14:textId="75B8850E" w:rsidR="00090BDC" w:rsidRPr="00797F69" w:rsidRDefault="00090BDC" w:rsidP="00090BDC">
      <w:pPr>
        <w:pStyle w:val="AATitle"/>
        <w:keepNext w:val="0"/>
        <w:keepLines w:val="0"/>
        <w:rPr>
          <w:lang w:val="fr-FR"/>
        </w:rPr>
      </w:pPr>
      <w:r w:rsidRPr="00797F69">
        <w:rPr>
          <w:bCs/>
          <w:lang w:val="fr-FR"/>
        </w:rPr>
        <w:t>Questions soumises à la Conférence des Parties pour examen ou décision</w:t>
      </w:r>
      <w:r w:rsidR="001B3F55" w:rsidRPr="00797F69">
        <w:rPr>
          <w:bCs/>
          <w:lang w:val="fr-FR"/>
        </w:rPr>
        <w:t> :</w:t>
      </w:r>
      <w:r w:rsidRPr="00797F69">
        <w:rPr>
          <w:bCs/>
          <w:lang w:val="fr-FR"/>
        </w:rPr>
        <w:t xml:space="preserve"> secrétariat</w:t>
      </w:r>
    </w:p>
    <w:p w14:paraId="44A82C61" w14:textId="154294E9" w:rsidR="00090BDC" w:rsidRPr="00797F69" w:rsidRDefault="00090BDC" w:rsidP="00B81940">
      <w:pPr>
        <w:pStyle w:val="BBTitle"/>
        <w:rPr>
          <w:lang w:val="fr-FR"/>
        </w:rPr>
      </w:pPr>
      <w:r w:rsidRPr="00797F69">
        <w:rPr>
          <w:bCs/>
          <w:lang w:val="fr-FR"/>
        </w:rPr>
        <w:t>Examen des modalités d</w:t>
      </w:r>
      <w:r w:rsidR="001B3F55" w:rsidRPr="00797F69">
        <w:rPr>
          <w:bCs/>
          <w:lang w:val="fr-FR"/>
        </w:rPr>
        <w:t>’</w:t>
      </w:r>
      <w:r w:rsidRPr="00797F69">
        <w:rPr>
          <w:bCs/>
          <w:lang w:val="fr-FR"/>
        </w:rPr>
        <w:t>organisation du secrétariat</w:t>
      </w:r>
    </w:p>
    <w:p w14:paraId="02BB4D19" w14:textId="38D2BF07" w:rsidR="00090BDC" w:rsidRPr="00797F69" w:rsidRDefault="00B81940" w:rsidP="00353D47">
      <w:pPr>
        <w:pStyle w:val="CH2"/>
        <w:ind w:firstLine="13"/>
        <w:rPr>
          <w:lang w:val="fr-FR"/>
        </w:rPr>
      </w:pPr>
      <w:r w:rsidRPr="00797F69">
        <w:rPr>
          <w:bCs/>
          <w:lang w:val="fr-FR"/>
        </w:rPr>
        <w:t>Note du secrétariat</w:t>
      </w:r>
    </w:p>
    <w:p w14:paraId="1084D872" w14:textId="5BBF9FF4" w:rsidR="006E5FAB" w:rsidRDefault="007610AA" w:rsidP="00295129">
      <w:pPr>
        <w:pStyle w:val="Normalnumber"/>
        <w:tabs>
          <w:tab w:val="clear" w:pos="1134"/>
          <w:tab w:val="clear" w:pos="1247"/>
          <w:tab w:val="clear" w:pos="1814"/>
          <w:tab w:val="clear" w:pos="2381"/>
          <w:tab w:val="clear" w:pos="2948"/>
          <w:tab w:val="clear" w:pos="3515"/>
          <w:tab w:val="clear" w:pos="4082"/>
          <w:tab w:val="left" w:pos="624"/>
        </w:tabs>
        <w:rPr>
          <w:lang w:val="fr-FR"/>
        </w:rPr>
      </w:pPr>
      <w:r w:rsidRPr="00797F69">
        <w:rPr>
          <w:lang w:val="fr-FR"/>
        </w:rPr>
        <w:t>Dans sa décision</w:t>
      </w:r>
      <w:r w:rsidR="00353D47">
        <w:rPr>
          <w:lang w:val="fr-FR"/>
        </w:rPr>
        <w:t> </w:t>
      </w:r>
      <w:r w:rsidRPr="00797F69">
        <w:rPr>
          <w:lang w:val="fr-FR"/>
        </w:rPr>
        <w:t>MC-1/11 sur le secrétariat, la Conférence des Parties à la Convention de Minamata sur le mercure a noté qu</w:t>
      </w:r>
      <w:r w:rsidR="001B3F55" w:rsidRPr="00797F69">
        <w:rPr>
          <w:lang w:val="fr-FR"/>
        </w:rPr>
        <w:t>’</w:t>
      </w:r>
      <w:r w:rsidRPr="00797F69">
        <w:rPr>
          <w:lang w:val="fr-FR"/>
        </w:rPr>
        <w:t>un secrétariat a</w:t>
      </w:r>
      <w:r w:rsidR="002C6E16">
        <w:rPr>
          <w:lang w:val="fr-FR"/>
        </w:rPr>
        <w:t>vait</w:t>
      </w:r>
      <w:r w:rsidRPr="00797F69">
        <w:rPr>
          <w:lang w:val="fr-FR"/>
        </w:rPr>
        <w:t xml:space="preserve"> été établi conformément au paragraphe 1 de l</w:t>
      </w:r>
      <w:r w:rsidR="001B3F55" w:rsidRPr="00797F69">
        <w:rPr>
          <w:lang w:val="fr-FR"/>
        </w:rPr>
        <w:t>’</w:t>
      </w:r>
      <w:r w:rsidRPr="00797F69">
        <w:rPr>
          <w:lang w:val="fr-FR"/>
        </w:rPr>
        <w:t>arti</w:t>
      </w:r>
      <w:r w:rsidR="00353D47">
        <w:rPr>
          <w:lang w:val="fr-FR"/>
        </w:rPr>
        <w:t>cle </w:t>
      </w:r>
      <w:r w:rsidRPr="00797F69">
        <w:rPr>
          <w:lang w:val="fr-FR"/>
        </w:rPr>
        <w:t>24 de la Convention</w:t>
      </w:r>
      <w:r w:rsidR="001B3F55" w:rsidRPr="00797F69">
        <w:rPr>
          <w:lang w:val="fr-FR"/>
        </w:rPr>
        <w:t> ;</w:t>
      </w:r>
      <w:r w:rsidR="006E5FAB">
        <w:rPr>
          <w:lang w:val="fr-FR"/>
        </w:rPr>
        <w:t xml:space="preserve"> a</w:t>
      </w:r>
      <w:r w:rsidR="00353D47">
        <w:rPr>
          <w:lang w:val="fr-FR"/>
        </w:rPr>
        <w:t xml:space="preserve"> rappelé que le paragraphe </w:t>
      </w:r>
      <w:r w:rsidRPr="00797F69">
        <w:rPr>
          <w:lang w:val="fr-FR"/>
        </w:rPr>
        <w:t>3 de l</w:t>
      </w:r>
      <w:r w:rsidR="001B3F55" w:rsidRPr="00797F69">
        <w:rPr>
          <w:lang w:val="fr-FR"/>
        </w:rPr>
        <w:t>’</w:t>
      </w:r>
      <w:r w:rsidR="00353D47">
        <w:rPr>
          <w:lang w:val="fr-FR"/>
        </w:rPr>
        <w:t>article </w:t>
      </w:r>
      <w:r w:rsidRPr="00797F69">
        <w:rPr>
          <w:lang w:val="fr-FR"/>
        </w:rPr>
        <w:t>24 de la Convention prévoit que le Directeur exécutif du Programme des Nations Unies pour l</w:t>
      </w:r>
      <w:r w:rsidR="001B3F55" w:rsidRPr="00797F69">
        <w:rPr>
          <w:lang w:val="fr-FR"/>
        </w:rPr>
        <w:t>’</w:t>
      </w:r>
      <w:r w:rsidRPr="00797F69">
        <w:rPr>
          <w:lang w:val="fr-FR"/>
        </w:rPr>
        <w:t>environnement (PNUE) assure les fonctions de secrétariat de la Convention</w:t>
      </w:r>
      <w:r w:rsidR="001B3F55" w:rsidRPr="00797F69">
        <w:rPr>
          <w:lang w:val="fr-FR"/>
        </w:rPr>
        <w:t> ;</w:t>
      </w:r>
      <w:r w:rsidRPr="00797F69">
        <w:rPr>
          <w:lang w:val="fr-FR"/>
        </w:rPr>
        <w:t xml:space="preserve"> et s</w:t>
      </w:r>
      <w:r w:rsidR="001B3F55" w:rsidRPr="00797F69">
        <w:rPr>
          <w:lang w:val="fr-FR"/>
        </w:rPr>
        <w:t>’</w:t>
      </w:r>
      <w:r w:rsidRPr="00797F69">
        <w:rPr>
          <w:lang w:val="fr-FR"/>
        </w:rPr>
        <w:t>est félicitée de l</w:t>
      </w:r>
      <w:r w:rsidR="001B3F55" w:rsidRPr="00797F69">
        <w:rPr>
          <w:lang w:val="fr-FR"/>
        </w:rPr>
        <w:t>’</w:t>
      </w:r>
      <w:r w:rsidRPr="00797F69">
        <w:rPr>
          <w:lang w:val="fr-FR"/>
        </w:rPr>
        <w:t>offre faite par le Gouvernement suisse d</w:t>
      </w:r>
      <w:r w:rsidR="001B3F55" w:rsidRPr="00797F69">
        <w:rPr>
          <w:lang w:val="fr-FR"/>
        </w:rPr>
        <w:t>’</w:t>
      </w:r>
      <w:r w:rsidRPr="00797F69">
        <w:rPr>
          <w:lang w:val="fr-FR"/>
        </w:rPr>
        <w:t xml:space="preserve">accueillir le secrétariat à Genève et </w:t>
      </w:r>
      <w:r w:rsidR="00353D47">
        <w:rPr>
          <w:lang w:val="fr-FR"/>
        </w:rPr>
        <w:t>de verser une contribution de 1 </w:t>
      </w:r>
      <w:r w:rsidRPr="00797F69">
        <w:rPr>
          <w:lang w:val="fr-FR"/>
        </w:rPr>
        <w:t>million de francs suisses en tant que pays hôte.</w:t>
      </w:r>
    </w:p>
    <w:p w14:paraId="420CB1D2" w14:textId="57CA8CB5" w:rsidR="00090BDC" w:rsidRPr="00797F69" w:rsidRDefault="007610AA" w:rsidP="00295129">
      <w:pPr>
        <w:pStyle w:val="Normalnumber"/>
        <w:tabs>
          <w:tab w:val="clear" w:pos="1134"/>
          <w:tab w:val="clear" w:pos="1247"/>
          <w:tab w:val="clear" w:pos="1814"/>
          <w:tab w:val="clear" w:pos="2381"/>
          <w:tab w:val="clear" w:pos="2948"/>
          <w:tab w:val="clear" w:pos="3515"/>
          <w:tab w:val="clear" w:pos="4082"/>
          <w:tab w:val="left" w:pos="624"/>
        </w:tabs>
        <w:rPr>
          <w:bCs/>
          <w:lang w:val="fr-FR"/>
        </w:rPr>
      </w:pPr>
      <w:r w:rsidRPr="00797F69">
        <w:rPr>
          <w:lang w:val="fr-FR"/>
        </w:rPr>
        <w:t>Dans la même décision, la Conférence des Parties a prié le Directeur exécutif du PNUE d</w:t>
      </w:r>
      <w:r w:rsidR="001B3F55" w:rsidRPr="00797F69">
        <w:rPr>
          <w:lang w:val="fr-FR"/>
        </w:rPr>
        <w:t>’</w:t>
      </w:r>
      <w:r w:rsidRPr="00797F69">
        <w:rPr>
          <w:lang w:val="fr-FR"/>
        </w:rPr>
        <w:t>assurer les fonctions de secrétariat initialement par l</w:t>
      </w:r>
      <w:r w:rsidR="001B3F55" w:rsidRPr="00797F69">
        <w:rPr>
          <w:lang w:val="fr-FR"/>
        </w:rPr>
        <w:t>’</w:t>
      </w:r>
      <w:r w:rsidRPr="00797F69">
        <w:rPr>
          <w:lang w:val="fr-FR"/>
        </w:rPr>
        <w:t>intermédiaire d</w:t>
      </w:r>
      <w:r w:rsidR="001B3F55" w:rsidRPr="00797F69">
        <w:rPr>
          <w:lang w:val="fr-FR"/>
        </w:rPr>
        <w:t>’</w:t>
      </w:r>
      <w:r w:rsidRPr="00797F69">
        <w:rPr>
          <w:lang w:val="fr-FR"/>
        </w:rPr>
        <w:t>un secrétariat de la Convention de Minamata implanté à Genève</w:t>
      </w:r>
      <w:r w:rsidR="001B3F55" w:rsidRPr="00797F69">
        <w:rPr>
          <w:lang w:val="fr-FR"/>
        </w:rPr>
        <w:t> ;</w:t>
      </w:r>
      <w:r w:rsidRPr="00797F69">
        <w:rPr>
          <w:lang w:val="fr-FR"/>
        </w:rPr>
        <w:t xml:space="preserve"> décidé d</w:t>
      </w:r>
      <w:r w:rsidR="001B3F55" w:rsidRPr="00797F69">
        <w:rPr>
          <w:lang w:val="fr-FR"/>
        </w:rPr>
        <w:t>’</w:t>
      </w:r>
      <w:r w:rsidR="00353D47">
        <w:rPr>
          <w:lang w:val="fr-FR"/>
        </w:rPr>
        <w:t>examiner, à sa deuxième </w:t>
      </w:r>
      <w:r w:rsidRPr="00797F69">
        <w:rPr>
          <w:lang w:val="fr-FR"/>
        </w:rPr>
        <w:t>réunion, les modalités d</w:t>
      </w:r>
      <w:r w:rsidR="001B3F55" w:rsidRPr="00797F69">
        <w:rPr>
          <w:lang w:val="fr-FR"/>
        </w:rPr>
        <w:t>’</w:t>
      </w:r>
      <w:r w:rsidRPr="00797F69">
        <w:rPr>
          <w:lang w:val="fr-FR"/>
        </w:rPr>
        <w:t>organisation, notamment le lieu d</w:t>
      </w:r>
      <w:r w:rsidR="001B3F55" w:rsidRPr="00797F69">
        <w:rPr>
          <w:lang w:val="fr-FR"/>
        </w:rPr>
        <w:t>’</w:t>
      </w:r>
      <w:r w:rsidRPr="00797F69">
        <w:rPr>
          <w:lang w:val="fr-FR"/>
        </w:rPr>
        <w:t>implantation du secrétariat et la contribution du pays hôte, conformément à l</w:t>
      </w:r>
      <w:r w:rsidR="001B3F55" w:rsidRPr="00797F69">
        <w:rPr>
          <w:lang w:val="fr-FR"/>
        </w:rPr>
        <w:t>’</w:t>
      </w:r>
      <w:r w:rsidRPr="00797F69">
        <w:rPr>
          <w:lang w:val="fr-FR"/>
        </w:rPr>
        <w:t>esprit de l</w:t>
      </w:r>
      <w:r w:rsidR="001B3F55" w:rsidRPr="00797F69">
        <w:rPr>
          <w:lang w:val="fr-FR"/>
        </w:rPr>
        <w:t>’</w:t>
      </w:r>
      <w:r w:rsidRPr="00797F69">
        <w:rPr>
          <w:lang w:val="fr-FR"/>
        </w:rPr>
        <w:t>offre faite par le Gouvernement suisse d</w:t>
      </w:r>
      <w:r w:rsidR="001B3F55" w:rsidRPr="00797F69">
        <w:rPr>
          <w:lang w:val="fr-FR"/>
        </w:rPr>
        <w:t>’</w:t>
      </w:r>
      <w:r w:rsidRPr="00797F69">
        <w:rPr>
          <w:lang w:val="fr-FR"/>
        </w:rPr>
        <w:t>accueillir le secrétariat permanent</w:t>
      </w:r>
      <w:r w:rsidR="001B3F55" w:rsidRPr="00797F69">
        <w:rPr>
          <w:lang w:val="fr-FR"/>
        </w:rPr>
        <w:t> ;</w:t>
      </w:r>
      <w:r w:rsidRPr="00797F69">
        <w:rPr>
          <w:lang w:val="fr-FR"/>
        </w:rPr>
        <w:t xml:space="preserve"> et prié le secrétariat, dans l</w:t>
      </w:r>
      <w:r w:rsidR="001B3F55" w:rsidRPr="00797F69">
        <w:rPr>
          <w:lang w:val="fr-FR"/>
        </w:rPr>
        <w:t>’</w:t>
      </w:r>
      <w:r w:rsidRPr="00797F69">
        <w:rPr>
          <w:lang w:val="fr-FR"/>
        </w:rPr>
        <w:t>intervalle, de continuer de travailler en coopération et en coordination, selon qu</w:t>
      </w:r>
      <w:r w:rsidR="001B3F55" w:rsidRPr="00797F69">
        <w:rPr>
          <w:lang w:val="fr-FR"/>
        </w:rPr>
        <w:t>’</w:t>
      </w:r>
      <w:r w:rsidRPr="00797F69">
        <w:rPr>
          <w:lang w:val="fr-FR"/>
        </w:rPr>
        <w:t>il convient, avec les autres acteurs compétents, notamment le Secrétariat des conventions de Bâle sur le contrôle des mouvements transfrontières de déchets dangereux et de leur élimination, de Rotterdam sur la procédure de consentement préalable en connaissance de cause applicable à certains produits chimiques et pesticides dangereux qui font l</w:t>
      </w:r>
      <w:r w:rsidR="001B3F55" w:rsidRPr="00797F69">
        <w:rPr>
          <w:lang w:val="fr-FR"/>
        </w:rPr>
        <w:t>’</w:t>
      </w:r>
      <w:r w:rsidRPr="00797F69">
        <w:rPr>
          <w:lang w:val="fr-FR"/>
        </w:rPr>
        <w:t>objet d</w:t>
      </w:r>
      <w:r w:rsidR="001B3F55" w:rsidRPr="00797F69">
        <w:rPr>
          <w:lang w:val="fr-FR"/>
        </w:rPr>
        <w:t>’</w:t>
      </w:r>
      <w:r w:rsidRPr="00797F69">
        <w:rPr>
          <w:lang w:val="fr-FR"/>
        </w:rPr>
        <w:t>un commerce international et de Stockholm sur les polluants organiques persistants et les services concernés du PNUE afin d</w:t>
      </w:r>
      <w:r w:rsidR="001B3F55" w:rsidRPr="00797F69">
        <w:rPr>
          <w:lang w:val="fr-FR"/>
        </w:rPr>
        <w:t>’</w:t>
      </w:r>
      <w:r w:rsidRPr="00797F69">
        <w:rPr>
          <w:lang w:val="fr-FR"/>
        </w:rPr>
        <w:t>utiliser pleinement les expériences et les compétences pertinentes. Le texte complet de la décision figure dans l</w:t>
      </w:r>
      <w:r w:rsidR="001B3F55" w:rsidRPr="00797F69">
        <w:rPr>
          <w:lang w:val="fr-FR"/>
        </w:rPr>
        <w:t>’</w:t>
      </w:r>
      <w:r w:rsidRPr="00797F69">
        <w:rPr>
          <w:lang w:val="fr-FR"/>
        </w:rPr>
        <w:t>annexe à la présente note.</w:t>
      </w:r>
    </w:p>
    <w:p w14:paraId="55D9F647" w14:textId="1806E81A" w:rsidR="006E5FAB" w:rsidRDefault="00090BDC" w:rsidP="00295129">
      <w:pPr>
        <w:pStyle w:val="Normalnumber"/>
        <w:rPr>
          <w:lang w:val="fr-FR"/>
        </w:rPr>
      </w:pPr>
      <w:r w:rsidRPr="00797F69">
        <w:rPr>
          <w:lang w:val="fr-FR"/>
        </w:rPr>
        <w:t>À l</w:t>
      </w:r>
      <w:r w:rsidR="001B3F55" w:rsidRPr="00797F69">
        <w:rPr>
          <w:lang w:val="fr-FR"/>
        </w:rPr>
        <w:t>’</w:t>
      </w:r>
      <w:r w:rsidRPr="00797F69">
        <w:rPr>
          <w:lang w:val="fr-FR"/>
        </w:rPr>
        <w:t>issue de la première</w:t>
      </w:r>
      <w:r w:rsidR="0015712F">
        <w:rPr>
          <w:lang w:val="fr-FR"/>
        </w:rPr>
        <w:t> </w:t>
      </w:r>
      <w:r w:rsidRPr="00797F69">
        <w:rPr>
          <w:lang w:val="fr-FR"/>
        </w:rPr>
        <w:t xml:space="preserve">réunion de la Conférence des Parties, le Directeur exécutif du PNUE a </w:t>
      </w:r>
      <w:r w:rsidR="00066AE7">
        <w:rPr>
          <w:lang w:val="fr-FR"/>
        </w:rPr>
        <w:t>procédé à la mise en place du</w:t>
      </w:r>
      <w:r w:rsidRPr="00797F69">
        <w:rPr>
          <w:lang w:val="fr-FR"/>
        </w:rPr>
        <w:t xml:space="preserve"> secrétariat de la Convention de Minamata. </w:t>
      </w:r>
      <w:r w:rsidR="00066AE7">
        <w:rPr>
          <w:lang w:val="fr-FR"/>
        </w:rPr>
        <w:t xml:space="preserve">Celle-ci </w:t>
      </w:r>
      <w:r w:rsidR="00181175">
        <w:rPr>
          <w:lang w:val="fr-FR"/>
        </w:rPr>
        <w:t>comprenait,</w:t>
      </w:r>
      <w:r w:rsidR="00066AE7">
        <w:rPr>
          <w:lang w:val="fr-FR"/>
        </w:rPr>
        <w:t xml:space="preserve"> en</w:t>
      </w:r>
      <w:r w:rsidR="00181175">
        <w:rPr>
          <w:lang w:val="fr-FR"/>
        </w:rPr>
        <w:t>tre autres</w:t>
      </w:r>
      <w:r w:rsidR="00066AE7">
        <w:rPr>
          <w:lang w:val="fr-FR"/>
        </w:rPr>
        <w:t xml:space="preserve"> étapes, </w:t>
      </w:r>
      <w:r w:rsidR="00181175">
        <w:rPr>
          <w:lang w:val="fr-FR"/>
        </w:rPr>
        <w:t>la</w:t>
      </w:r>
      <w:r w:rsidR="00066AE7">
        <w:rPr>
          <w:lang w:val="fr-FR"/>
        </w:rPr>
        <w:t xml:space="preserve"> </w:t>
      </w:r>
      <w:r w:rsidRPr="00797F69">
        <w:rPr>
          <w:lang w:val="fr-FR"/>
        </w:rPr>
        <w:t xml:space="preserve">création du secrétariat comme nouvelle entité, </w:t>
      </w:r>
      <w:r w:rsidR="00181175">
        <w:rPr>
          <w:lang w:val="fr-FR"/>
        </w:rPr>
        <w:t>l’</w:t>
      </w:r>
      <w:r w:rsidRPr="00797F69">
        <w:rPr>
          <w:lang w:val="fr-FR"/>
        </w:rPr>
        <w:t>aménagement d</w:t>
      </w:r>
      <w:r w:rsidR="00066AE7">
        <w:rPr>
          <w:lang w:val="fr-FR"/>
        </w:rPr>
        <w:t>e s</w:t>
      </w:r>
      <w:r w:rsidRPr="00797F69">
        <w:rPr>
          <w:lang w:val="fr-FR"/>
        </w:rPr>
        <w:t xml:space="preserve">es locaux, </w:t>
      </w:r>
      <w:r w:rsidR="00181175">
        <w:rPr>
          <w:lang w:val="fr-FR"/>
        </w:rPr>
        <w:t xml:space="preserve">la </w:t>
      </w:r>
      <w:r w:rsidRPr="00797F69">
        <w:rPr>
          <w:lang w:val="fr-FR"/>
        </w:rPr>
        <w:t xml:space="preserve">création </w:t>
      </w:r>
      <w:r w:rsidR="00066AE7">
        <w:rPr>
          <w:lang w:val="fr-FR"/>
        </w:rPr>
        <w:t xml:space="preserve">et </w:t>
      </w:r>
      <w:r w:rsidR="00181175">
        <w:rPr>
          <w:lang w:val="fr-FR"/>
        </w:rPr>
        <w:t xml:space="preserve">le </w:t>
      </w:r>
      <w:r w:rsidR="00066AE7">
        <w:rPr>
          <w:lang w:val="fr-FR"/>
        </w:rPr>
        <w:t xml:space="preserve">classement </w:t>
      </w:r>
      <w:r w:rsidRPr="00797F69">
        <w:rPr>
          <w:lang w:val="fr-FR"/>
        </w:rPr>
        <w:t>des postes d</w:t>
      </w:r>
      <w:r w:rsidR="00066AE7">
        <w:rPr>
          <w:lang w:val="fr-FR"/>
        </w:rPr>
        <w:t>e son personnel</w:t>
      </w:r>
      <w:r w:rsidRPr="00797F69">
        <w:rPr>
          <w:lang w:val="fr-FR"/>
        </w:rPr>
        <w:t xml:space="preserve">, </w:t>
      </w:r>
      <w:r w:rsidR="00181175">
        <w:rPr>
          <w:lang w:val="fr-FR"/>
        </w:rPr>
        <w:t xml:space="preserve">la </w:t>
      </w:r>
      <w:r w:rsidRPr="00797F69">
        <w:rPr>
          <w:lang w:val="fr-FR"/>
        </w:rPr>
        <w:t>création des fonds d</w:t>
      </w:r>
      <w:r w:rsidR="001B3F55" w:rsidRPr="00797F69">
        <w:rPr>
          <w:lang w:val="fr-FR"/>
        </w:rPr>
        <w:t>’</w:t>
      </w:r>
      <w:r w:rsidRPr="00797F69">
        <w:rPr>
          <w:lang w:val="fr-FR"/>
        </w:rPr>
        <w:t xml:space="preserve">affectation spéciale de la Convention, </w:t>
      </w:r>
      <w:r w:rsidR="00181175">
        <w:rPr>
          <w:lang w:val="fr-FR"/>
        </w:rPr>
        <w:t xml:space="preserve">le </w:t>
      </w:r>
      <w:r w:rsidR="00510DAB">
        <w:rPr>
          <w:lang w:val="fr-FR"/>
        </w:rPr>
        <w:t xml:space="preserve">démarrage </w:t>
      </w:r>
      <w:r w:rsidRPr="00797F69">
        <w:rPr>
          <w:lang w:val="fr-FR"/>
        </w:rPr>
        <w:t xml:space="preserve">de la mise en œuvre du programme de travail du secrétariat et </w:t>
      </w:r>
      <w:r w:rsidR="00181175">
        <w:rPr>
          <w:lang w:val="fr-FR"/>
        </w:rPr>
        <w:t xml:space="preserve">le </w:t>
      </w:r>
      <w:r w:rsidR="00510DAB">
        <w:rPr>
          <w:lang w:val="fr-FR"/>
        </w:rPr>
        <w:t>lancement</w:t>
      </w:r>
      <w:r w:rsidRPr="00797F69">
        <w:rPr>
          <w:lang w:val="fr-FR"/>
        </w:rPr>
        <w:t xml:space="preserve"> de la coopération et de la coordination avec d</w:t>
      </w:r>
      <w:r w:rsidR="001B3F55" w:rsidRPr="00797F69">
        <w:rPr>
          <w:lang w:val="fr-FR"/>
        </w:rPr>
        <w:t>’</w:t>
      </w:r>
      <w:r w:rsidRPr="00797F69">
        <w:rPr>
          <w:lang w:val="fr-FR"/>
        </w:rPr>
        <w:t xml:space="preserve">autres acteurs compétents, </w:t>
      </w:r>
      <w:r w:rsidR="00181175">
        <w:rPr>
          <w:lang w:val="fr-FR"/>
        </w:rPr>
        <w:t>notamme</w:t>
      </w:r>
      <w:r w:rsidR="00B14FC9">
        <w:rPr>
          <w:lang w:val="fr-FR"/>
        </w:rPr>
        <w:t>nt</w:t>
      </w:r>
      <w:r w:rsidRPr="00797F69">
        <w:rPr>
          <w:lang w:val="fr-FR"/>
        </w:rPr>
        <w:t xml:space="preserve"> le </w:t>
      </w:r>
      <w:r w:rsidR="00537067">
        <w:rPr>
          <w:lang w:val="fr-FR"/>
        </w:rPr>
        <w:t>S</w:t>
      </w:r>
      <w:r w:rsidRPr="00797F69">
        <w:rPr>
          <w:lang w:val="fr-FR"/>
        </w:rPr>
        <w:t>ecrétariat des conventions de Bâle, de Rotterdam et de Stockholm et les services concernés du PNUE.</w:t>
      </w:r>
    </w:p>
    <w:p w14:paraId="4B2CB0D6" w14:textId="091FD7B3" w:rsidR="006E5FAB" w:rsidRDefault="00353D47" w:rsidP="00D16540">
      <w:pPr>
        <w:pStyle w:val="Normalnumber"/>
        <w:keepNext/>
        <w:keepLines/>
        <w:tabs>
          <w:tab w:val="clear" w:pos="1134"/>
          <w:tab w:val="clear" w:pos="1247"/>
          <w:tab w:val="clear" w:pos="1814"/>
          <w:tab w:val="clear" w:pos="2381"/>
          <w:tab w:val="clear" w:pos="2948"/>
          <w:tab w:val="clear" w:pos="3515"/>
          <w:tab w:val="clear" w:pos="4082"/>
          <w:tab w:val="left" w:pos="624"/>
        </w:tabs>
        <w:rPr>
          <w:lang w:val="fr-FR"/>
        </w:rPr>
      </w:pPr>
      <w:r>
        <w:rPr>
          <w:lang w:val="fr-FR"/>
        </w:rPr>
        <w:lastRenderedPageBreak/>
        <w:t>En décembre </w:t>
      </w:r>
      <w:r w:rsidR="00090BDC" w:rsidRPr="00797F69">
        <w:rPr>
          <w:lang w:val="fr-FR"/>
        </w:rPr>
        <w:t>2017, le Directeur exécutif d</w:t>
      </w:r>
      <w:r w:rsidR="00D16540">
        <w:rPr>
          <w:lang w:val="fr-FR"/>
        </w:rPr>
        <w:t>u PNUE a reçu une lettre de Mme </w:t>
      </w:r>
      <w:r w:rsidR="00090BDC" w:rsidRPr="00797F69">
        <w:rPr>
          <w:lang w:val="fr-FR"/>
        </w:rPr>
        <w:t>Doris</w:t>
      </w:r>
      <w:r w:rsidR="00E24398">
        <w:rPr>
          <w:lang w:val="fr-FR"/>
        </w:rPr>
        <w:t> </w:t>
      </w:r>
      <w:r w:rsidR="00090BDC" w:rsidRPr="00797F69">
        <w:rPr>
          <w:lang w:val="fr-FR"/>
        </w:rPr>
        <w:t>Leuthard, alors Présidente de la Suisse, qui confirmait le contenu de l</w:t>
      </w:r>
      <w:r w:rsidR="001B3F55" w:rsidRPr="00797F69">
        <w:rPr>
          <w:lang w:val="fr-FR"/>
        </w:rPr>
        <w:t>’</w:t>
      </w:r>
      <w:r w:rsidR="00090BDC" w:rsidRPr="00797F69">
        <w:rPr>
          <w:lang w:val="fr-FR"/>
        </w:rPr>
        <w:t xml:space="preserve">offre faite par le Gouvernement suisse à la </w:t>
      </w:r>
      <w:r>
        <w:rPr>
          <w:lang w:val="fr-FR"/>
        </w:rPr>
        <w:t>première </w:t>
      </w:r>
      <w:r w:rsidR="00090BDC" w:rsidRPr="00797F69">
        <w:rPr>
          <w:lang w:val="fr-FR"/>
        </w:rPr>
        <w:t>réunion de la Conférence des Parties d</w:t>
      </w:r>
      <w:r w:rsidR="001B3F55" w:rsidRPr="00797F69">
        <w:rPr>
          <w:lang w:val="fr-FR"/>
        </w:rPr>
        <w:t>’</w:t>
      </w:r>
      <w:r w:rsidR="00090BDC" w:rsidRPr="00797F69">
        <w:rPr>
          <w:lang w:val="fr-FR"/>
        </w:rPr>
        <w:t>accueillir le secrétariat de la Convention de Minamata à Genève. La lettre originale confirmant les éléments de l</w:t>
      </w:r>
      <w:r w:rsidR="001B3F55" w:rsidRPr="00797F69">
        <w:rPr>
          <w:lang w:val="fr-FR"/>
        </w:rPr>
        <w:t>’</w:t>
      </w:r>
      <w:r w:rsidR="00090BDC" w:rsidRPr="00797F69">
        <w:rPr>
          <w:lang w:val="fr-FR"/>
        </w:rPr>
        <w:t>offre de la Suisse est reproduite dans le document portant la cote UNEP/MC/COP.2/INF/4.</w:t>
      </w:r>
    </w:p>
    <w:p w14:paraId="2B6B1D7E" w14:textId="3E8E8F11" w:rsidR="00181175" w:rsidRDefault="00181175" w:rsidP="00295129">
      <w:pPr>
        <w:pStyle w:val="Normalnumber"/>
        <w:tabs>
          <w:tab w:val="clear" w:pos="1134"/>
          <w:tab w:val="clear" w:pos="1247"/>
          <w:tab w:val="clear" w:pos="1814"/>
          <w:tab w:val="clear" w:pos="2381"/>
          <w:tab w:val="clear" w:pos="2948"/>
          <w:tab w:val="clear" w:pos="3515"/>
          <w:tab w:val="clear" w:pos="4082"/>
          <w:tab w:val="left" w:pos="624"/>
        </w:tabs>
        <w:rPr>
          <w:lang w:val="fr-FR"/>
        </w:rPr>
      </w:pPr>
      <w:r>
        <w:rPr>
          <w:lang w:val="fr-FR"/>
        </w:rPr>
        <w:t>À sa réunion tenue à Genève les 13 et 14</w:t>
      </w:r>
      <w:r w:rsidR="0015712F">
        <w:rPr>
          <w:lang w:val="fr-FR"/>
        </w:rPr>
        <w:t> </w:t>
      </w:r>
      <w:r>
        <w:rPr>
          <w:lang w:val="fr-FR"/>
        </w:rPr>
        <w:t xml:space="preserve">septembre 2018, le Bureau a </w:t>
      </w:r>
      <w:r w:rsidR="00EC227F">
        <w:rPr>
          <w:lang w:val="fr-FR"/>
        </w:rPr>
        <w:t>décidé</w:t>
      </w:r>
      <w:r>
        <w:rPr>
          <w:lang w:val="fr-FR"/>
        </w:rPr>
        <w:t xml:space="preserve"> que le Président de la Conférence des Parties collabor</w:t>
      </w:r>
      <w:r w:rsidR="00EC227F">
        <w:rPr>
          <w:lang w:val="fr-FR"/>
        </w:rPr>
        <w:t>erait</w:t>
      </w:r>
      <w:r>
        <w:rPr>
          <w:lang w:val="fr-FR"/>
        </w:rPr>
        <w:t xml:space="preserve"> </w:t>
      </w:r>
      <w:r w:rsidRPr="00181175">
        <w:rPr>
          <w:lang w:val="fr-FR"/>
        </w:rPr>
        <w:t>avec le Secrétariat des conventions de Bâle, de Rotterdam et de Stockholm</w:t>
      </w:r>
      <w:r w:rsidR="00EC227F">
        <w:rPr>
          <w:lang w:val="fr-FR"/>
        </w:rPr>
        <w:t xml:space="preserve"> en vue d’établir</w:t>
      </w:r>
      <w:r>
        <w:rPr>
          <w:lang w:val="fr-FR"/>
        </w:rPr>
        <w:t xml:space="preserve"> un</w:t>
      </w:r>
      <w:r w:rsidRPr="00181175">
        <w:rPr>
          <w:lang w:val="fr-FR"/>
        </w:rPr>
        <w:t xml:space="preserve"> document d’information </w:t>
      </w:r>
      <w:r w:rsidR="00EC227F">
        <w:rPr>
          <w:lang w:val="fr-FR"/>
        </w:rPr>
        <w:t>présent</w:t>
      </w:r>
      <w:r w:rsidRPr="00181175">
        <w:rPr>
          <w:lang w:val="fr-FR"/>
        </w:rPr>
        <w:t>ant</w:t>
      </w:r>
      <w:r w:rsidR="00EC227F" w:rsidRPr="00181175">
        <w:rPr>
          <w:lang w:val="fr-FR"/>
        </w:rPr>
        <w:t xml:space="preserve"> les </w:t>
      </w:r>
      <w:r w:rsidR="00EC227F">
        <w:rPr>
          <w:lang w:val="fr-FR"/>
        </w:rPr>
        <w:t>renseigne</w:t>
      </w:r>
      <w:r w:rsidR="00EC227F" w:rsidRPr="00181175">
        <w:rPr>
          <w:lang w:val="fr-FR"/>
        </w:rPr>
        <w:t xml:space="preserve">ments </w:t>
      </w:r>
      <w:r w:rsidRPr="00181175">
        <w:rPr>
          <w:lang w:val="fr-FR"/>
        </w:rPr>
        <w:t>demand</w:t>
      </w:r>
      <w:r w:rsidR="00EC227F">
        <w:rPr>
          <w:lang w:val="fr-FR"/>
        </w:rPr>
        <w:t>és par le</w:t>
      </w:r>
      <w:r w:rsidRPr="00181175">
        <w:rPr>
          <w:lang w:val="fr-FR"/>
        </w:rPr>
        <w:t xml:space="preserve"> Bureau</w:t>
      </w:r>
      <w:r w:rsidR="009F6447">
        <w:rPr>
          <w:lang w:val="fr-FR"/>
        </w:rPr>
        <w:t xml:space="preserve"> sur</w:t>
      </w:r>
      <w:r w:rsidRPr="00181175">
        <w:rPr>
          <w:lang w:val="fr-FR"/>
        </w:rPr>
        <w:t> : a) les divers services fournis par le secrétariat de la Convention de Minamata ; b)</w:t>
      </w:r>
      <w:r w:rsidR="009F6447">
        <w:rPr>
          <w:lang w:val="fr-FR"/>
        </w:rPr>
        <w:t> </w:t>
      </w:r>
      <w:r w:rsidRPr="00181175">
        <w:rPr>
          <w:lang w:val="fr-FR"/>
        </w:rPr>
        <w:t>la</w:t>
      </w:r>
      <w:r w:rsidR="00E24398">
        <w:rPr>
          <w:lang w:val="fr-FR"/>
        </w:rPr>
        <w:t> </w:t>
      </w:r>
      <w:r w:rsidRPr="00181175">
        <w:rPr>
          <w:lang w:val="fr-FR"/>
        </w:rPr>
        <w:t>façon dont différents services pourraient être achetés auprès du Secrétariat des conventions de Bâle, de Rotterdam et de Stockholm ou partagés avec lui si la Conférence des Parties en décidait ainsi ; et c)</w:t>
      </w:r>
      <w:r w:rsidR="009F6447">
        <w:rPr>
          <w:lang w:val="fr-FR"/>
        </w:rPr>
        <w:t> </w:t>
      </w:r>
      <w:r w:rsidRPr="00181175">
        <w:rPr>
          <w:lang w:val="fr-FR"/>
        </w:rPr>
        <w:t>l’incidence de tels achats ou services partagés sur le budget de la Convention de Minamata</w:t>
      </w:r>
      <w:r>
        <w:rPr>
          <w:lang w:val="fr-FR"/>
        </w:rPr>
        <w:t>. Ces informations figurent</w:t>
      </w:r>
      <w:r w:rsidR="00EC227F">
        <w:rPr>
          <w:lang w:val="fr-FR"/>
        </w:rPr>
        <w:t xml:space="preserve"> dans le</w:t>
      </w:r>
      <w:r>
        <w:rPr>
          <w:lang w:val="fr-FR"/>
        </w:rPr>
        <w:t xml:space="preserve"> </w:t>
      </w:r>
      <w:r w:rsidRPr="00797F69">
        <w:rPr>
          <w:lang w:val="fr-FR"/>
        </w:rPr>
        <w:t>document portant la cote UNEP/MC/COP.2/INF/7</w:t>
      </w:r>
      <w:r w:rsidR="00EC227F">
        <w:rPr>
          <w:lang w:val="fr-FR"/>
        </w:rPr>
        <w:t>.</w:t>
      </w:r>
    </w:p>
    <w:p w14:paraId="3A31DD35" w14:textId="7453EFD0" w:rsidR="00090BDC" w:rsidRPr="00797F69" w:rsidRDefault="00B81940" w:rsidP="00353D47">
      <w:pPr>
        <w:pStyle w:val="CH1"/>
        <w:ind w:firstLine="13"/>
        <w:rPr>
          <w:lang w:val="fr-FR"/>
        </w:rPr>
      </w:pPr>
      <w:r w:rsidRPr="00797F69">
        <w:rPr>
          <w:bCs/>
          <w:lang w:val="fr-FR"/>
        </w:rPr>
        <w:t>Mesures que pourrait prendre la Conférence des Parties</w:t>
      </w:r>
    </w:p>
    <w:p w14:paraId="26000D80" w14:textId="76885976" w:rsidR="00090BDC" w:rsidRPr="00797F69" w:rsidRDefault="00090BDC" w:rsidP="00295129">
      <w:pPr>
        <w:pStyle w:val="Normalnumber"/>
        <w:tabs>
          <w:tab w:val="clear" w:pos="1134"/>
          <w:tab w:val="clear" w:pos="1247"/>
          <w:tab w:val="clear" w:pos="1814"/>
          <w:tab w:val="clear" w:pos="2381"/>
          <w:tab w:val="clear" w:pos="2948"/>
          <w:tab w:val="clear" w:pos="3515"/>
          <w:tab w:val="clear" w:pos="4082"/>
          <w:tab w:val="left" w:pos="624"/>
        </w:tabs>
        <w:rPr>
          <w:bCs/>
          <w:lang w:val="fr-FR"/>
        </w:rPr>
      </w:pPr>
      <w:r w:rsidRPr="00797F69">
        <w:rPr>
          <w:lang w:val="fr-FR"/>
        </w:rPr>
        <w:t>La Conférence souhaitera peut-être se pencher sur la question du secrétariat et en examiner les modalités d</w:t>
      </w:r>
      <w:r w:rsidR="001B3F55" w:rsidRPr="00797F69">
        <w:rPr>
          <w:lang w:val="fr-FR"/>
        </w:rPr>
        <w:t>’</w:t>
      </w:r>
      <w:r w:rsidRPr="00797F69">
        <w:rPr>
          <w:lang w:val="fr-FR"/>
        </w:rPr>
        <w:t>organisation, notamment son lieu d</w:t>
      </w:r>
      <w:r w:rsidR="001B3F55" w:rsidRPr="00797F69">
        <w:rPr>
          <w:lang w:val="fr-FR"/>
        </w:rPr>
        <w:t>’</w:t>
      </w:r>
      <w:r w:rsidRPr="00797F69">
        <w:rPr>
          <w:lang w:val="fr-FR"/>
        </w:rPr>
        <w:t>implantation et la contribution du pays hôte</w:t>
      </w:r>
      <w:r w:rsidR="00510DAB">
        <w:rPr>
          <w:lang w:val="fr-FR"/>
        </w:rPr>
        <w:t>, comme prévu dans la décision</w:t>
      </w:r>
      <w:r w:rsidR="0015712F">
        <w:rPr>
          <w:lang w:val="fr-FR"/>
        </w:rPr>
        <w:t> </w:t>
      </w:r>
      <w:r w:rsidR="00510DAB">
        <w:rPr>
          <w:lang w:val="fr-FR"/>
        </w:rPr>
        <w:t>MC-1/11</w:t>
      </w:r>
      <w:r w:rsidRPr="00797F69">
        <w:rPr>
          <w:lang w:val="fr-FR"/>
        </w:rPr>
        <w:t>.</w:t>
      </w:r>
    </w:p>
    <w:p w14:paraId="6B12B9C5" w14:textId="77777777" w:rsidR="00090BDC" w:rsidRPr="00797F69" w:rsidRDefault="00090BDC" w:rsidP="00090BDC">
      <w:pPr>
        <w:tabs>
          <w:tab w:val="clear" w:pos="1247"/>
          <w:tab w:val="clear" w:pos="1814"/>
          <w:tab w:val="clear" w:pos="2381"/>
          <w:tab w:val="clear" w:pos="2948"/>
          <w:tab w:val="clear" w:pos="3515"/>
        </w:tabs>
        <w:rPr>
          <w:bCs/>
          <w:lang w:val="fr-FR"/>
        </w:rPr>
      </w:pPr>
      <w:r w:rsidRPr="00797F69">
        <w:rPr>
          <w:b/>
          <w:bCs/>
          <w:lang w:val="fr-FR"/>
        </w:rPr>
        <w:br w:type="page"/>
      </w:r>
    </w:p>
    <w:p w14:paraId="486DA557" w14:textId="77777777" w:rsidR="00090BDC" w:rsidRPr="00797F69" w:rsidRDefault="00090BDC" w:rsidP="009C6BCE">
      <w:pPr>
        <w:pStyle w:val="ZZAnxheader"/>
        <w:rPr>
          <w:lang w:val="fr-FR"/>
        </w:rPr>
      </w:pPr>
      <w:bookmarkStart w:id="4" w:name="_GoBack"/>
      <w:bookmarkEnd w:id="4"/>
      <w:r w:rsidRPr="00797F69">
        <w:rPr>
          <w:lang w:val="fr-FR"/>
        </w:rPr>
        <w:lastRenderedPageBreak/>
        <w:t>Annexe</w:t>
      </w:r>
    </w:p>
    <w:p w14:paraId="285EF7CA" w14:textId="77777777" w:rsidR="006E5FAB" w:rsidRDefault="00090BDC" w:rsidP="009C6BCE">
      <w:pPr>
        <w:pStyle w:val="ZZAnxtitle"/>
        <w:rPr>
          <w:lang w:val="fr-FR"/>
        </w:rPr>
      </w:pPr>
      <w:r w:rsidRPr="00797F69">
        <w:rPr>
          <w:lang w:val="fr-FR"/>
        </w:rPr>
        <w:t>MC-1/11</w:t>
      </w:r>
      <w:r w:rsidR="001B3F55" w:rsidRPr="00797F69">
        <w:rPr>
          <w:lang w:val="fr-FR"/>
        </w:rPr>
        <w:t> :</w:t>
      </w:r>
      <w:r w:rsidRPr="00797F69">
        <w:rPr>
          <w:lang w:val="fr-FR"/>
        </w:rPr>
        <w:t xml:space="preserve"> Secrétariat</w:t>
      </w:r>
    </w:p>
    <w:p w14:paraId="363335B1" w14:textId="25CC4425" w:rsidR="00090BDC" w:rsidRPr="00797F69" w:rsidRDefault="00090BDC" w:rsidP="00295129">
      <w:pPr>
        <w:pStyle w:val="NormalNonumber"/>
        <w:tabs>
          <w:tab w:val="clear" w:pos="1247"/>
          <w:tab w:val="clear" w:pos="1814"/>
          <w:tab w:val="clear" w:pos="2381"/>
          <w:tab w:val="clear" w:pos="2948"/>
          <w:tab w:val="clear" w:pos="3515"/>
          <w:tab w:val="clear" w:pos="4082"/>
          <w:tab w:val="left" w:pos="624"/>
        </w:tabs>
        <w:ind w:firstLine="624"/>
        <w:rPr>
          <w:i/>
          <w:lang w:val="fr-FR"/>
        </w:rPr>
      </w:pPr>
      <w:r w:rsidRPr="00797F69">
        <w:rPr>
          <w:i/>
          <w:iCs/>
          <w:lang w:val="fr-FR"/>
        </w:rPr>
        <w:t>La Conférence des Parties,</w:t>
      </w:r>
    </w:p>
    <w:p w14:paraId="659F9958" w14:textId="0AFCF534" w:rsidR="00090BDC" w:rsidRPr="00797F69" w:rsidRDefault="00090BDC" w:rsidP="00295129">
      <w:pPr>
        <w:pStyle w:val="NormalNonumber"/>
        <w:tabs>
          <w:tab w:val="clear" w:pos="1247"/>
          <w:tab w:val="clear" w:pos="1814"/>
          <w:tab w:val="clear" w:pos="2381"/>
          <w:tab w:val="clear" w:pos="2948"/>
          <w:tab w:val="clear" w:pos="3515"/>
          <w:tab w:val="clear" w:pos="4082"/>
          <w:tab w:val="left" w:pos="624"/>
        </w:tabs>
        <w:ind w:firstLine="624"/>
        <w:rPr>
          <w:i/>
          <w:lang w:val="fr-FR"/>
        </w:rPr>
      </w:pPr>
      <w:r w:rsidRPr="00797F69">
        <w:rPr>
          <w:i/>
          <w:iCs/>
          <w:lang w:val="fr-FR"/>
        </w:rPr>
        <w:t xml:space="preserve">Notant </w:t>
      </w:r>
      <w:r w:rsidRPr="00797F69">
        <w:rPr>
          <w:lang w:val="fr-FR"/>
        </w:rPr>
        <w:t>qu</w:t>
      </w:r>
      <w:r w:rsidR="001B3F55" w:rsidRPr="00797F69">
        <w:rPr>
          <w:lang w:val="fr-FR"/>
        </w:rPr>
        <w:t>’</w:t>
      </w:r>
      <w:r w:rsidRPr="00797F69">
        <w:rPr>
          <w:lang w:val="fr-FR"/>
        </w:rPr>
        <w:t>un secrétariat a été ét</w:t>
      </w:r>
      <w:r w:rsidR="00353D47">
        <w:rPr>
          <w:lang w:val="fr-FR"/>
        </w:rPr>
        <w:t>abli conformément au paragraphe </w:t>
      </w:r>
      <w:r w:rsidRPr="00797F69">
        <w:rPr>
          <w:lang w:val="fr-FR"/>
        </w:rPr>
        <w:t>1 de l</w:t>
      </w:r>
      <w:r w:rsidR="001B3F55" w:rsidRPr="00797F69">
        <w:rPr>
          <w:lang w:val="fr-FR"/>
        </w:rPr>
        <w:t>’</w:t>
      </w:r>
      <w:r w:rsidR="00353D47">
        <w:rPr>
          <w:lang w:val="fr-FR"/>
        </w:rPr>
        <w:t>article </w:t>
      </w:r>
      <w:r w:rsidRPr="00797F69">
        <w:rPr>
          <w:lang w:val="fr-FR"/>
        </w:rPr>
        <w:t>24 de la Convention,</w:t>
      </w:r>
    </w:p>
    <w:p w14:paraId="36CAC133" w14:textId="1AB3B3E5" w:rsidR="00090BDC" w:rsidRPr="00797F69" w:rsidRDefault="00090BDC" w:rsidP="00295129">
      <w:pPr>
        <w:pStyle w:val="NormalNonumber"/>
        <w:tabs>
          <w:tab w:val="clear" w:pos="1247"/>
          <w:tab w:val="clear" w:pos="1814"/>
          <w:tab w:val="clear" w:pos="2381"/>
          <w:tab w:val="clear" w:pos="2948"/>
          <w:tab w:val="clear" w:pos="3515"/>
          <w:tab w:val="clear" w:pos="4082"/>
          <w:tab w:val="left" w:pos="624"/>
        </w:tabs>
        <w:ind w:firstLine="624"/>
        <w:rPr>
          <w:lang w:val="fr-FR"/>
        </w:rPr>
      </w:pPr>
      <w:r w:rsidRPr="00797F69">
        <w:rPr>
          <w:i/>
          <w:iCs/>
          <w:lang w:val="fr-FR"/>
        </w:rPr>
        <w:t xml:space="preserve">Rappelant </w:t>
      </w:r>
      <w:r w:rsidR="00353D47">
        <w:rPr>
          <w:lang w:val="fr-FR"/>
        </w:rPr>
        <w:t>que le paragraphe </w:t>
      </w:r>
      <w:r w:rsidRPr="00797F69">
        <w:rPr>
          <w:lang w:val="fr-FR"/>
        </w:rPr>
        <w:t>3 de l</w:t>
      </w:r>
      <w:r w:rsidR="001B3F55" w:rsidRPr="00797F69">
        <w:rPr>
          <w:lang w:val="fr-FR"/>
        </w:rPr>
        <w:t>’</w:t>
      </w:r>
      <w:r w:rsidR="00353D47">
        <w:rPr>
          <w:lang w:val="fr-FR"/>
        </w:rPr>
        <w:t>article </w:t>
      </w:r>
      <w:r w:rsidRPr="00797F69">
        <w:rPr>
          <w:lang w:val="fr-FR"/>
        </w:rPr>
        <w:t>24 de la Convention prévoit que le Directeur exécutif du Programme des Nations Unies pour l</w:t>
      </w:r>
      <w:r w:rsidR="001B3F55" w:rsidRPr="00797F69">
        <w:rPr>
          <w:lang w:val="fr-FR"/>
        </w:rPr>
        <w:t>’</w:t>
      </w:r>
      <w:r w:rsidRPr="00797F69">
        <w:rPr>
          <w:lang w:val="fr-FR"/>
        </w:rPr>
        <w:t>environnement assure les fonctions de secrétariat de la Convention,</w:t>
      </w:r>
    </w:p>
    <w:p w14:paraId="1B62A183" w14:textId="7D7E3A9A" w:rsidR="00090BDC" w:rsidRPr="00797F69" w:rsidRDefault="00090BDC" w:rsidP="00295129">
      <w:pPr>
        <w:pStyle w:val="NormalNonumber"/>
        <w:tabs>
          <w:tab w:val="clear" w:pos="1247"/>
          <w:tab w:val="clear" w:pos="1814"/>
          <w:tab w:val="clear" w:pos="2381"/>
          <w:tab w:val="clear" w:pos="2948"/>
          <w:tab w:val="clear" w:pos="3515"/>
          <w:tab w:val="clear" w:pos="4082"/>
          <w:tab w:val="left" w:pos="624"/>
        </w:tabs>
        <w:ind w:firstLine="624"/>
        <w:rPr>
          <w:lang w:val="fr-FR"/>
        </w:rPr>
      </w:pPr>
      <w:r w:rsidRPr="00797F69">
        <w:rPr>
          <w:i/>
          <w:iCs/>
          <w:lang w:val="fr-FR"/>
        </w:rPr>
        <w:t xml:space="preserve">Se félicitant </w:t>
      </w:r>
      <w:r w:rsidRPr="00797F69">
        <w:rPr>
          <w:lang w:val="fr-FR"/>
        </w:rPr>
        <w:t>de l</w:t>
      </w:r>
      <w:r w:rsidR="001B3F55" w:rsidRPr="00797F69">
        <w:rPr>
          <w:lang w:val="fr-FR"/>
        </w:rPr>
        <w:t>’</w:t>
      </w:r>
      <w:r w:rsidRPr="00797F69">
        <w:rPr>
          <w:lang w:val="fr-FR"/>
        </w:rPr>
        <w:t>offre faite par le Gouvernement suisse d</w:t>
      </w:r>
      <w:r w:rsidR="001B3F55" w:rsidRPr="00797F69">
        <w:rPr>
          <w:lang w:val="fr-FR"/>
        </w:rPr>
        <w:t>’</w:t>
      </w:r>
      <w:r w:rsidRPr="00797F69">
        <w:rPr>
          <w:lang w:val="fr-FR"/>
        </w:rPr>
        <w:t xml:space="preserve">accueillir le secrétariat à Genève et </w:t>
      </w:r>
      <w:r w:rsidR="00353D47">
        <w:rPr>
          <w:lang w:val="fr-FR"/>
        </w:rPr>
        <w:t>de verser une contribution de 1 </w:t>
      </w:r>
      <w:r w:rsidRPr="00797F69">
        <w:rPr>
          <w:lang w:val="fr-FR"/>
        </w:rPr>
        <w:t>million de francs suisses en tant que pays hôte,</w:t>
      </w:r>
    </w:p>
    <w:p w14:paraId="31DAEC37" w14:textId="522043C3" w:rsidR="00090BDC" w:rsidRPr="00797F69" w:rsidRDefault="00090BDC" w:rsidP="00B81940">
      <w:pPr>
        <w:tabs>
          <w:tab w:val="clear" w:pos="1247"/>
          <w:tab w:val="clear" w:pos="1814"/>
          <w:tab w:val="clear" w:pos="2381"/>
          <w:tab w:val="clear" w:pos="2948"/>
          <w:tab w:val="clear" w:pos="3515"/>
          <w:tab w:val="left" w:pos="624"/>
        </w:tabs>
        <w:spacing w:after="120"/>
        <w:ind w:left="1247" w:firstLine="624"/>
        <w:rPr>
          <w:iCs/>
          <w:lang w:val="fr-FR"/>
        </w:rPr>
      </w:pPr>
      <w:r w:rsidRPr="00797F69">
        <w:rPr>
          <w:lang w:val="fr-FR"/>
        </w:rPr>
        <w:t>1.</w:t>
      </w:r>
      <w:r w:rsidRPr="00797F69">
        <w:rPr>
          <w:lang w:val="fr-FR"/>
        </w:rPr>
        <w:tab/>
      </w:r>
      <w:r w:rsidRPr="00797F69">
        <w:rPr>
          <w:i/>
          <w:iCs/>
          <w:lang w:val="fr-FR"/>
        </w:rPr>
        <w:t xml:space="preserve">Décide </w:t>
      </w:r>
      <w:r w:rsidRPr="00797F69">
        <w:rPr>
          <w:lang w:val="fr-FR"/>
        </w:rPr>
        <w:t xml:space="preserve">que la contribution du </w:t>
      </w:r>
      <w:r w:rsidR="00353D47">
        <w:rPr>
          <w:lang w:val="fr-FR"/>
        </w:rPr>
        <w:t>pays hôte sera affectée pour 60 </w:t>
      </w:r>
      <w:r w:rsidRPr="00797F69">
        <w:rPr>
          <w:lang w:val="fr-FR"/>
        </w:rPr>
        <w:t>% au Fonds général d</w:t>
      </w:r>
      <w:r w:rsidR="001B3F55" w:rsidRPr="00797F69">
        <w:rPr>
          <w:lang w:val="fr-FR"/>
        </w:rPr>
        <w:t>’</w:t>
      </w:r>
      <w:r w:rsidR="00353D47">
        <w:rPr>
          <w:lang w:val="fr-FR"/>
        </w:rPr>
        <w:t>affectation spéciale et pour 40 </w:t>
      </w:r>
      <w:r w:rsidRPr="00797F69">
        <w:rPr>
          <w:lang w:val="fr-FR"/>
        </w:rPr>
        <w:t>% au Fonds d</w:t>
      </w:r>
      <w:r w:rsidR="001B3F55" w:rsidRPr="00797F69">
        <w:rPr>
          <w:lang w:val="fr-FR"/>
        </w:rPr>
        <w:t>’</w:t>
      </w:r>
      <w:r w:rsidRPr="00797F69">
        <w:rPr>
          <w:lang w:val="fr-FR"/>
        </w:rPr>
        <w:t>affectation spéciale à des fins déterminées destiné à financer les frais de voyage des représentants des pays en développement</w:t>
      </w:r>
      <w:r w:rsidR="001B3F55" w:rsidRPr="00797F69">
        <w:rPr>
          <w:lang w:val="fr-FR"/>
        </w:rPr>
        <w:t> ;</w:t>
      </w:r>
    </w:p>
    <w:p w14:paraId="75EEA947" w14:textId="77777777" w:rsidR="006E5FAB" w:rsidRDefault="00090BDC">
      <w:pPr>
        <w:tabs>
          <w:tab w:val="clear" w:pos="1247"/>
          <w:tab w:val="clear" w:pos="1814"/>
          <w:tab w:val="clear" w:pos="2381"/>
          <w:tab w:val="clear" w:pos="2948"/>
          <w:tab w:val="clear" w:pos="3515"/>
          <w:tab w:val="left" w:pos="624"/>
        </w:tabs>
        <w:spacing w:after="120"/>
        <w:ind w:left="1247" w:firstLine="624"/>
        <w:rPr>
          <w:lang w:val="fr-FR"/>
        </w:rPr>
      </w:pPr>
      <w:r w:rsidRPr="00797F69">
        <w:rPr>
          <w:lang w:val="fr-FR"/>
        </w:rPr>
        <w:t>2.</w:t>
      </w:r>
      <w:r w:rsidRPr="00797F69">
        <w:rPr>
          <w:lang w:val="fr-FR"/>
        </w:rPr>
        <w:tab/>
      </w:r>
      <w:r w:rsidRPr="00797F69">
        <w:rPr>
          <w:i/>
          <w:iCs/>
          <w:lang w:val="fr-FR"/>
        </w:rPr>
        <w:t xml:space="preserve">Prie </w:t>
      </w:r>
      <w:r w:rsidRPr="00797F69">
        <w:rPr>
          <w:lang w:val="fr-FR"/>
        </w:rPr>
        <w:t>le Directeur exécutif du Programme des Nations Unies pour l</w:t>
      </w:r>
      <w:r w:rsidR="001B3F55" w:rsidRPr="00797F69">
        <w:rPr>
          <w:lang w:val="fr-FR"/>
        </w:rPr>
        <w:t>’</w:t>
      </w:r>
      <w:r w:rsidRPr="00797F69">
        <w:rPr>
          <w:lang w:val="fr-FR"/>
        </w:rPr>
        <w:t>environnement d</w:t>
      </w:r>
      <w:r w:rsidR="001B3F55" w:rsidRPr="00797F69">
        <w:rPr>
          <w:lang w:val="fr-FR"/>
        </w:rPr>
        <w:t>’</w:t>
      </w:r>
      <w:r w:rsidRPr="00797F69">
        <w:rPr>
          <w:lang w:val="fr-FR"/>
        </w:rPr>
        <w:t>assurer les fonctions de secrétariat initialement par l</w:t>
      </w:r>
      <w:r w:rsidR="001B3F55" w:rsidRPr="00797F69">
        <w:rPr>
          <w:lang w:val="fr-FR"/>
        </w:rPr>
        <w:t>’</w:t>
      </w:r>
      <w:r w:rsidRPr="00797F69">
        <w:rPr>
          <w:lang w:val="fr-FR"/>
        </w:rPr>
        <w:t>intermédiaire d</w:t>
      </w:r>
      <w:r w:rsidR="001B3F55" w:rsidRPr="00797F69">
        <w:rPr>
          <w:lang w:val="fr-FR"/>
        </w:rPr>
        <w:t>’</w:t>
      </w:r>
      <w:r w:rsidRPr="00797F69">
        <w:rPr>
          <w:lang w:val="fr-FR"/>
        </w:rPr>
        <w:t>un secrétariat de la Convention de Minamata implanté à Genève</w:t>
      </w:r>
      <w:r w:rsidR="001B3F55" w:rsidRPr="00797F69">
        <w:rPr>
          <w:lang w:val="fr-FR"/>
        </w:rPr>
        <w:t> ;</w:t>
      </w:r>
    </w:p>
    <w:p w14:paraId="45292DB0" w14:textId="77777777" w:rsidR="006E5FAB" w:rsidRDefault="00090BDC">
      <w:pPr>
        <w:tabs>
          <w:tab w:val="clear" w:pos="1247"/>
          <w:tab w:val="clear" w:pos="1814"/>
          <w:tab w:val="clear" w:pos="2381"/>
          <w:tab w:val="clear" w:pos="2948"/>
          <w:tab w:val="clear" w:pos="3515"/>
          <w:tab w:val="left" w:pos="624"/>
        </w:tabs>
        <w:spacing w:after="120"/>
        <w:ind w:left="1247" w:firstLine="624"/>
        <w:rPr>
          <w:lang w:val="fr-FR"/>
        </w:rPr>
      </w:pPr>
      <w:r w:rsidRPr="00797F69">
        <w:rPr>
          <w:lang w:val="fr-FR"/>
        </w:rPr>
        <w:t>3.</w:t>
      </w:r>
      <w:r w:rsidRPr="00797F69">
        <w:rPr>
          <w:lang w:val="fr-FR"/>
        </w:rPr>
        <w:tab/>
      </w:r>
      <w:r w:rsidRPr="00797F69">
        <w:rPr>
          <w:i/>
          <w:iCs/>
          <w:lang w:val="fr-FR"/>
        </w:rPr>
        <w:t xml:space="preserve">Décide </w:t>
      </w:r>
      <w:r w:rsidRPr="00797F69">
        <w:rPr>
          <w:lang w:val="fr-FR"/>
        </w:rPr>
        <w:t>d</w:t>
      </w:r>
      <w:r w:rsidR="001B3F55" w:rsidRPr="00797F69">
        <w:rPr>
          <w:lang w:val="fr-FR"/>
        </w:rPr>
        <w:t>’</w:t>
      </w:r>
      <w:r w:rsidRPr="00797F69">
        <w:rPr>
          <w:lang w:val="fr-FR"/>
        </w:rPr>
        <w:t>examiner, à sa deuxième réunion, les modalités d</w:t>
      </w:r>
      <w:r w:rsidR="001B3F55" w:rsidRPr="00797F69">
        <w:rPr>
          <w:lang w:val="fr-FR"/>
        </w:rPr>
        <w:t>’</w:t>
      </w:r>
      <w:r w:rsidRPr="00797F69">
        <w:rPr>
          <w:lang w:val="fr-FR"/>
        </w:rPr>
        <w:t>organisation, notamment le lieu d</w:t>
      </w:r>
      <w:r w:rsidR="001B3F55" w:rsidRPr="00797F69">
        <w:rPr>
          <w:lang w:val="fr-FR"/>
        </w:rPr>
        <w:t>’</w:t>
      </w:r>
      <w:r w:rsidRPr="00797F69">
        <w:rPr>
          <w:lang w:val="fr-FR"/>
        </w:rPr>
        <w:t>implantation du secrétariat et la contribution du pays hôte, conformément à l</w:t>
      </w:r>
      <w:r w:rsidR="001B3F55" w:rsidRPr="00797F69">
        <w:rPr>
          <w:lang w:val="fr-FR"/>
        </w:rPr>
        <w:t>’</w:t>
      </w:r>
      <w:r w:rsidRPr="00797F69">
        <w:rPr>
          <w:lang w:val="fr-FR"/>
        </w:rPr>
        <w:t>esprit de l</w:t>
      </w:r>
      <w:r w:rsidR="001B3F55" w:rsidRPr="00797F69">
        <w:rPr>
          <w:lang w:val="fr-FR"/>
        </w:rPr>
        <w:t>’</w:t>
      </w:r>
      <w:r w:rsidRPr="00797F69">
        <w:rPr>
          <w:lang w:val="fr-FR"/>
        </w:rPr>
        <w:t>offre faite par le Gouvernement suisse d</w:t>
      </w:r>
      <w:r w:rsidR="001B3F55" w:rsidRPr="00797F69">
        <w:rPr>
          <w:lang w:val="fr-FR"/>
        </w:rPr>
        <w:t>’</w:t>
      </w:r>
      <w:r w:rsidRPr="00797F69">
        <w:rPr>
          <w:lang w:val="fr-FR"/>
        </w:rPr>
        <w:t>accueillir le secrétariat permanent</w:t>
      </w:r>
      <w:r w:rsidRPr="00797F69">
        <w:rPr>
          <w:rStyle w:val="Appelnotedebasdep"/>
          <w:lang w:val="fr-FR"/>
        </w:rPr>
        <w:footnoteReference w:id="2"/>
      </w:r>
      <w:r w:rsidR="001B3F55" w:rsidRPr="00797F69">
        <w:rPr>
          <w:lang w:val="fr-FR"/>
        </w:rPr>
        <w:t> ;</w:t>
      </w:r>
    </w:p>
    <w:p w14:paraId="329CF4B3" w14:textId="26CDEDD1" w:rsidR="00090BDC" w:rsidRPr="00797F69" w:rsidRDefault="00090BDC">
      <w:pPr>
        <w:tabs>
          <w:tab w:val="clear" w:pos="1247"/>
          <w:tab w:val="clear" w:pos="1814"/>
          <w:tab w:val="clear" w:pos="2381"/>
          <w:tab w:val="clear" w:pos="2948"/>
          <w:tab w:val="clear" w:pos="3515"/>
          <w:tab w:val="left" w:pos="624"/>
        </w:tabs>
        <w:spacing w:after="120"/>
        <w:ind w:left="1247" w:firstLine="624"/>
        <w:rPr>
          <w:rFonts w:eastAsia="MS Mincho"/>
          <w:lang w:val="fr-FR"/>
        </w:rPr>
      </w:pPr>
      <w:r w:rsidRPr="00797F69">
        <w:rPr>
          <w:lang w:val="fr-FR"/>
        </w:rPr>
        <w:t>4.</w:t>
      </w:r>
      <w:r w:rsidRPr="00797F69">
        <w:rPr>
          <w:lang w:val="fr-FR"/>
        </w:rPr>
        <w:tab/>
      </w:r>
      <w:r w:rsidRPr="00797F69">
        <w:rPr>
          <w:i/>
          <w:iCs/>
          <w:lang w:val="fr-FR"/>
        </w:rPr>
        <w:t xml:space="preserve">Prie </w:t>
      </w:r>
      <w:r w:rsidRPr="00797F69">
        <w:rPr>
          <w:lang w:val="fr-FR"/>
        </w:rPr>
        <w:t>le secrétariat, dans l</w:t>
      </w:r>
      <w:r w:rsidR="001B3F55" w:rsidRPr="00797F69">
        <w:rPr>
          <w:lang w:val="fr-FR"/>
        </w:rPr>
        <w:t>’</w:t>
      </w:r>
      <w:r w:rsidRPr="00797F69">
        <w:rPr>
          <w:lang w:val="fr-FR"/>
        </w:rPr>
        <w:t>intervalle, de continuer de travailler en coopération et en coordination, selon qu</w:t>
      </w:r>
      <w:r w:rsidR="001B3F55" w:rsidRPr="00797F69">
        <w:rPr>
          <w:lang w:val="fr-FR"/>
        </w:rPr>
        <w:t>’</w:t>
      </w:r>
      <w:r w:rsidRPr="00797F69">
        <w:rPr>
          <w:lang w:val="fr-FR"/>
        </w:rPr>
        <w:t>il convient, avec les autres acteurs compétents, notamment le Secrétariat des conventions de Bâle, de Rotterdam et de Stockholm et les services concernés du Programme des Nations Unies pour l</w:t>
      </w:r>
      <w:r w:rsidR="001B3F55" w:rsidRPr="00797F69">
        <w:rPr>
          <w:lang w:val="fr-FR"/>
        </w:rPr>
        <w:t>’</w:t>
      </w:r>
      <w:r w:rsidRPr="00797F69">
        <w:rPr>
          <w:lang w:val="fr-FR"/>
        </w:rPr>
        <w:t>environnement afin d</w:t>
      </w:r>
      <w:r w:rsidR="001B3F55" w:rsidRPr="00797F69">
        <w:rPr>
          <w:lang w:val="fr-FR"/>
        </w:rPr>
        <w:t>’</w:t>
      </w:r>
      <w:r w:rsidRPr="00797F69">
        <w:rPr>
          <w:lang w:val="fr-FR"/>
        </w:rPr>
        <w:t>utiliser pleinement les expériences et les compétences pertinentes.</w:t>
      </w:r>
    </w:p>
    <w:p w14:paraId="4A64416E" w14:textId="77777777" w:rsidR="00090BDC" w:rsidRPr="00797F69" w:rsidRDefault="00090BDC" w:rsidP="00295129">
      <w:pPr>
        <w:pStyle w:val="Normal-pool"/>
        <w:rPr>
          <w:lang w:val="fr-FR"/>
        </w:rPr>
      </w:pPr>
    </w:p>
    <w:tbl>
      <w:tblPr>
        <w:tblW w:w="0" w:type="auto"/>
        <w:tblLayout w:type="fixed"/>
        <w:tblLook w:val="04A0" w:firstRow="1" w:lastRow="0" w:firstColumn="1" w:lastColumn="0" w:noHBand="0" w:noVBand="1"/>
      </w:tblPr>
      <w:tblGrid>
        <w:gridCol w:w="1942"/>
        <w:gridCol w:w="1942"/>
        <w:gridCol w:w="1942"/>
        <w:gridCol w:w="1943"/>
        <w:gridCol w:w="1943"/>
      </w:tblGrid>
      <w:tr w:rsidR="00E976AB" w:rsidRPr="0015712F" w14:paraId="1067AA8B" w14:textId="77777777" w:rsidTr="00990918">
        <w:tc>
          <w:tcPr>
            <w:tcW w:w="1942" w:type="dxa"/>
            <w:shd w:val="clear" w:color="auto" w:fill="auto"/>
          </w:tcPr>
          <w:p w14:paraId="032F00F7" w14:textId="77777777" w:rsidR="00E976AB" w:rsidRPr="00797F69" w:rsidRDefault="00E976AB" w:rsidP="0048468F">
            <w:pPr>
              <w:pStyle w:val="Normal-pool"/>
              <w:rPr>
                <w:lang w:val="fr-FR"/>
              </w:rPr>
            </w:pPr>
          </w:p>
        </w:tc>
        <w:tc>
          <w:tcPr>
            <w:tcW w:w="1942" w:type="dxa"/>
            <w:shd w:val="clear" w:color="auto" w:fill="auto"/>
          </w:tcPr>
          <w:p w14:paraId="3D44BBB4" w14:textId="77777777" w:rsidR="00E976AB" w:rsidRPr="00797F69" w:rsidRDefault="00E976AB" w:rsidP="0048468F">
            <w:pPr>
              <w:pStyle w:val="Normal-pool"/>
              <w:rPr>
                <w:lang w:val="fr-FR"/>
              </w:rPr>
            </w:pPr>
          </w:p>
        </w:tc>
        <w:tc>
          <w:tcPr>
            <w:tcW w:w="1942" w:type="dxa"/>
            <w:tcBorders>
              <w:bottom w:val="single" w:sz="4" w:space="0" w:color="auto"/>
            </w:tcBorders>
            <w:shd w:val="clear" w:color="auto" w:fill="auto"/>
          </w:tcPr>
          <w:p w14:paraId="10E1B62C" w14:textId="77777777" w:rsidR="00E976AB" w:rsidRPr="00797F69" w:rsidRDefault="00E976AB" w:rsidP="0048468F">
            <w:pPr>
              <w:pStyle w:val="Normal-pool"/>
              <w:rPr>
                <w:lang w:val="fr-FR"/>
              </w:rPr>
            </w:pPr>
          </w:p>
        </w:tc>
        <w:tc>
          <w:tcPr>
            <w:tcW w:w="1943" w:type="dxa"/>
            <w:shd w:val="clear" w:color="auto" w:fill="auto"/>
          </w:tcPr>
          <w:p w14:paraId="3E166EEE" w14:textId="77777777" w:rsidR="00E976AB" w:rsidRPr="00797F69" w:rsidRDefault="00E976AB" w:rsidP="0048468F">
            <w:pPr>
              <w:pStyle w:val="Normal-pool"/>
              <w:rPr>
                <w:lang w:val="fr-FR"/>
              </w:rPr>
            </w:pPr>
          </w:p>
        </w:tc>
        <w:tc>
          <w:tcPr>
            <w:tcW w:w="1943" w:type="dxa"/>
            <w:shd w:val="clear" w:color="auto" w:fill="auto"/>
          </w:tcPr>
          <w:p w14:paraId="7DAA7C18" w14:textId="77777777" w:rsidR="00E976AB" w:rsidRPr="00797F69" w:rsidRDefault="00E976AB" w:rsidP="0048468F">
            <w:pPr>
              <w:pStyle w:val="Normal-pool"/>
              <w:rPr>
                <w:lang w:val="fr-FR"/>
              </w:rPr>
            </w:pPr>
          </w:p>
        </w:tc>
      </w:tr>
    </w:tbl>
    <w:p w14:paraId="740659DB" w14:textId="77777777" w:rsidR="00032E4E" w:rsidRPr="00797F69" w:rsidRDefault="00032E4E" w:rsidP="0088204E">
      <w:pPr>
        <w:pStyle w:val="Normal-pool"/>
        <w:rPr>
          <w:lang w:val="fr-FR"/>
        </w:rPr>
      </w:pPr>
    </w:p>
    <w:sectPr w:rsidR="00032E4E" w:rsidRPr="00797F69"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1D8F0" w14:textId="77777777" w:rsidR="00061F3E" w:rsidRDefault="00061F3E">
      <w:r>
        <w:separator/>
      </w:r>
    </w:p>
  </w:endnote>
  <w:endnote w:type="continuationSeparator" w:id="0">
    <w:p w14:paraId="490B0507" w14:textId="77777777" w:rsidR="00061F3E" w:rsidRDefault="0006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3FA9A" w14:textId="4B4BE089" w:rsidR="00670FAE" w:rsidRDefault="00670FAE" w:rsidP="00295129">
    <w:pPr>
      <w:pStyle w:val="Normal-pool"/>
    </w:pPr>
    <w:r>
      <w:rPr>
        <w:rStyle w:val="Numrodepage"/>
      </w:rPr>
      <w:fldChar w:fldCharType="begin"/>
    </w:r>
    <w:r>
      <w:rPr>
        <w:rStyle w:val="Numrodepage"/>
      </w:rPr>
      <w:instrText xml:space="preserve"> PAGE </w:instrText>
    </w:r>
    <w:r>
      <w:rPr>
        <w:rStyle w:val="Numrodepage"/>
      </w:rPr>
      <w:fldChar w:fldCharType="separate"/>
    </w:r>
    <w:r w:rsidR="00E94807">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AEC01" w14:textId="118D2B93" w:rsidR="00670FAE" w:rsidRDefault="00670FAE" w:rsidP="00295129">
    <w:pPr>
      <w:pStyle w:val="Normal-pool"/>
      <w:jc w:val="right"/>
    </w:pPr>
    <w:r>
      <w:rPr>
        <w:rStyle w:val="Numrodepage"/>
      </w:rPr>
      <w:fldChar w:fldCharType="begin"/>
    </w:r>
    <w:r>
      <w:rPr>
        <w:rStyle w:val="Numrodepage"/>
      </w:rPr>
      <w:instrText xml:space="preserve"> PAGE </w:instrText>
    </w:r>
    <w:r>
      <w:rPr>
        <w:rStyle w:val="Numrodepage"/>
      </w:rPr>
      <w:fldChar w:fldCharType="separate"/>
    </w:r>
    <w:r w:rsidR="00E94807">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6FBAD" w14:textId="438036BC" w:rsidR="00731576" w:rsidRDefault="00731576" w:rsidP="00295129">
    <w:pPr>
      <w:pStyle w:val="Normal-pool"/>
    </w:pPr>
    <w:r>
      <w:t>K18</w:t>
    </w:r>
    <w:r w:rsidR="008A522C">
      <w:t>02</w:t>
    </w:r>
    <w:r w:rsidR="000E2677">
      <w:t>905</w:t>
    </w:r>
    <w:r>
      <w:tab/>
    </w:r>
    <w:r w:rsidR="00D16540">
      <w:t>0</w:t>
    </w:r>
    <w:r w:rsidR="0015712F">
      <w:t>7</w:t>
    </w:r>
    <w:r w:rsidR="000E2677">
      <w:t>11</w:t>
    </w:r>
    <w:r w:rsidR="008A522C">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FF99E" w14:textId="77777777" w:rsidR="00061F3E" w:rsidRDefault="00061F3E" w:rsidP="00D92DE0">
      <w:pPr>
        <w:ind w:left="624"/>
      </w:pPr>
      <w:r>
        <w:separator/>
      </w:r>
    </w:p>
  </w:footnote>
  <w:footnote w:type="continuationSeparator" w:id="0">
    <w:p w14:paraId="311DA83A" w14:textId="77777777" w:rsidR="00061F3E" w:rsidRDefault="00061F3E">
      <w:r>
        <w:continuationSeparator/>
      </w:r>
    </w:p>
  </w:footnote>
  <w:footnote w:id="1">
    <w:p w14:paraId="21A2B492" w14:textId="77777777" w:rsidR="00090BDC" w:rsidRPr="00353D47" w:rsidRDefault="00090BDC" w:rsidP="00090BDC">
      <w:pPr>
        <w:tabs>
          <w:tab w:val="left" w:pos="624"/>
        </w:tabs>
        <w:spacing w:before="20" w:after="40"/>
        <w:ind w:left="1247"/>
        <w:rPr>
          <w:sz w:val="18"/>
          <w:szCs w:val="18"/>
          <w:lang w:val="fr-FR"/>
        </w:rPr>
      </w:pPr>
      <w:r w:rsidRPr="00353D47">
        <w:rPr>
          <w:sz w:val="18"/>
          <w:szCs w:val="18"/>
          <w:lang w:val="fr-FR"/>
        </w:rPr>
        <w:t>* UNEP/MC/COP.2/1.</w:t>
      </w:r>
    </w:p>
  </w:footnote>
  <w:footnote w:id="2">
    <w:p w14:paraId="79F6070C" w14:textId="77777777" w:rsidR="00090BDC" w:rsidRPr="00E17C08" w:rsidRDefault="00090BDC" w:rsidP="00090BDC">
      <w:pPr>
        <w:pStyle w:val="Notedebasdepage"/>
        <w:tabs>
          <w:tab w:val="clear" w:pos="1247"/>
          <w:tab w:val="clear" w:pos="1814"/>
          <w:tab w:val="clear" w:pos="2381"/>
          <w:tab w:val="clear" w:pos="2948"/>
          <w:tab w:val="clear" w:pos="3515"/>
          <w:tab w:val="clear" w:pos="4082"/>
          <w:tab w:val="left" w:pos="624"/>
        </w:tabs>
      </w:pPr>
      <w:r>
        <w:rPr>
          <w:rStyle w:val="Appelnotedebasdep"/>
        </w:rPr>
        <w:footnoteRef/>
      </w:r>
      <w:r>
        <w:t xml:space="preserve"> Voir le document UNEP/MC/COP.1/INF/8.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3EBC7" w14:textId="38927987" w:rsidR="00670FAE" w:rsidRPr="00CA5CA9" w:rsidRDefault="00670FAE" w:rsidP="00434321">
    <w:pPr>
      <w:pStyle w:val="En-tte"/>
      <w:rPr>
        <w:szCs w:val="18"/>
      </w:rPr>
    </w:pPr>
    <w:r w:rsidRPr="008A522C">
      <w:rPr>
        <w:bCs/>
        <w:szCs w:val="18"/>
      </w:rPr>
      <w:t>UNEP</w:t>
    </w:r>
    <w:r w:rsidRPr="008A522C">
      <w:rPr>
        <w:szCs w:val="18"/>
      </w:rPr>
      <w:t>/MC/</w:t>
    </w:r>
    <w:r w:rsidR="000E2677">
      <w:rPr>
        <w:szCs w:val="18"/>
      </w:rPr>
      <w:t>COP.2/15/Rev.1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118AC" w14:textId="323F2EC5" w:rsidR="00670FAE" w:rsidRPr="00CA5CA9" w:rsidRDefault="00670FAE" w:rsidP="00F7137B">
    <w:pPr>
      <w:pStyle w:val="En-tte"/>
      <w:jc w:val="right"/>
      <w:rPr>
        <w:szCs w:val="18"/>
      </w:rPr>
    </w:pPr>
    <w:r w:rsidRPr="00CA5CA9">
      <w:rPr>
        <w:bCs/>
        <w:szCs w:val="18"/>
      </w:rPr>
      <w:t>UNEP</w:t>
    </w:r>
    <w:r w:rsidRPr="00CA5CA9">
      <w:rPr>
        <w:szCs w:val="18"/>
      </w:rPr>
      <w:t>/</w:t>
    </w:r>
    <w:r>
      <w:rPr>
        <w:szCs w:val="18"/>
      </w:rPr>
      <w:t>MC</w:t>
    </w:r>
    <w:r w:rsidRPr="00CA5CA9">
      <w:rPr>
        <w:szCs w:val="18"/>
      </w:rPr>
      <w:t>/</w:t>
    </w:r>
    <w:r w:rsidR="000E2677">
      <w:rPr>
        <w:szCs w:val="18"/>
      </w:rPr>
      <w:t>COP.2/15/Rev.1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1C69" w14:textId="22901240" w:rsidR="00670FAE" w:rsidRDefault="00670FAE"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3" w15:restartNumberingAfterBreak="0">
    <w:nsid w:val="44202FBF"/>
    <w:multiLevelType w:val="hybridMultilevel"/>
    <w:tmpl w:val="DABC2282"/>
    <w:lvl w:ilvl="0" w:tplc="755E1DCA">
      <w:start w:val="1"/>
      <w:numFmt w:val="decimal"/>
      <w:lvlText w:val="%1."/>
      <w:lvlJc w:val="left"/>
      <w:pPr>
        <w:ind w:left="2177" w:hanging="360"/>
      </w:pPr>
      <w:rPr>
        <w:rFonts w:hint="default"/>
      </w:rPr>
    </w:lvl>
    <w:lvl w:ilvl="1" w:tplc="08090019" w:tentative="1">
      <w:start w:val="1"/>
      <w:numFmt w:val="lowerLetter"/>
      <w:lvlText w:val="%2."/>
      <w:lvlJc w:val="left"/>
      <w:pPr>
        <w:ind w:left="2897" w:hanging="360"/>
      </w:pPr>
    </w:lvl>
    <w:lvl w:ilvl="2" w:tplc="0809001B" w:tentative="1">
      <w:start w:val="1"/>
      <w:numFmt w:val="lowerRoman"/>
      <w:lvlText w:val="%3."/>
      <w:lvlJc w:val="right"/>
      <w:pPr>
        <w:ind w:left="3617" w:hanging="180"/>
      </w:pPr>
    </w:lvl>
    <w:lvl w:ilvl="3" w:tplc="0809000F" w:tentative="1">
      <w:start w:val="1"/>
      <w:numFmt w:val="decimal"/>
      <w:lvlText w:val="%4."/>
      <w:lvlJc w:val="left"/>
      <w:pPr>
        <w:ind w:left="4337" w:hanging="360"/>
      </w:pPr>
    </w:lvl>
    <w:lvl w:ilvl="4" w:tplc="08090019" w:tentative="1">
      <w:start w:val="1"/>
      <w:numFmt w:val="lowerLetter"/>
      <w:lvlText w:val="%5."/>
      <w:lvlJc w:val="left"/>
      <w:pPr>
        <w:ind w:left="5057" w:hanging="360"/>
      </w:pPr>
    </w:lvl>
    <w:lvl w:ilvl="5" w:tplc="0809001B" w:tentative="1">
      <w:start w:val="1"/>
      <w:numFmt w:val="lowerRoman"/>
      <w:lvlText w:val="%6."/>
      <w:lvlJc w:val="right"/>
      <w:pPr>
        <w:ind w:left="5777" w:hanging="180"/>
      </w:pPr>
    </w:lvl>
    <w:lvl w:ilvl="6" w:tplc="0809000F" w:tentative="1">
      <w:start w:val="1"/>
      <w:numFmt w:val="decimal"/>
      <w:lvlText w:val="%7."/>
      <w:lvlJc w:val="left"/>
      <w:pPr>
        <w:ind w:left="6497" w:hanging="360"/>
      </w:pPr>
    </w:lvl>
    <w:lvl w:ilvl="7" w:tplc="08090019" w:tentative="1">
      <w:start w:val="1"/>
      <w:numFmt w:val="lowerLetter"/>
      <w:lvlText w:val="%8."/>
      <w:lvlJc w:val="left"/>
      <w:pPr>
        <w:ind w:left="7217" w:hanging="360"/>
      </w:pPr>
    </w:lvl>
    <w:lvl w:ilvl="8" w:tplc="0809001B" w:tentative="1">
      <w:start w:val="1"/>
      <w:numFmt w:val="lowerRoman"/>
      <w:lvlText w:val="%9."/>
      <w:lvlJc w:val="right"/>
      <w:pPr>
        <w:ind w:left="7937" w:hanging="180"/>
      </w:pPr>
    </w:lvl>
  </w:abstractNum>
  <w:abstractNum w:abstractNumId="4" w15:restartNumberingAfterBreak="0">
    <w:nsid w:val="52A66A9D"/>
    <w:multiLevelType w:val="multilevel"/>
    <w:tmpl w:val="3E7A1E8A"/>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0"/>
  </w:num>
  <w:num w:numId="3">
    <w:abstractNumId w:val="2"/>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3"/>
  </w:num>
  <w:num w:numId="23">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4">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6">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7">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8">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9">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0">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1">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2">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3">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4">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6">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fr-FR" w:vendorID="64" w:dllVersion="131078" w:nlCheck="1" w:checkStyle="0"/>
  <w:activeWritingStyle w:appName="MSWord" w:lang="en-GB" w:vendorID="64" w:dllVersion="131078"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5BEB"/>
    <w:rsid w:val="00026997"/>
    <w:rsid w:val="00026A08"/>
    <w:rsid w:val="00032E4E"/>
    <w:rsid w:val="00033E0B"/>
    <w:rsid w:val="00035EDE"/>
    <w:rsid w:val="000509B4"/>
    <w:rsid w:val="0006035B"/>
    <w:rsid w:val="0006096F"/>
    <w:rsid w:val="00061F3E"/>
    <w:rsid w:val="000649C5"/>
    <w:rsid w:val="00066AE7"/>
    <w:rsid w:val="00071886"/>
    <w:rsid w:val="000742BC"/>
    <w:rsid w:val="00076CC6"/>
    <w:rsid w:val="00082A0C"/>
    <w:rsid w:val="00083504"/>
    <w:rsid w:val="00090BDC"/>
    <w:rsid w:val="0009640C"/>
    <w:rsid w:val="000B22A2"/>
    <w:rsid w:val="000B541B"/>
    <w:rsid w:val="000B73F9"/>
    <w:rsid w:val="000C2A52"/>
    <w:rsid w:val="000C2A88"/>
    <w:rsid w:val="000D089C"/>
    <w:rsid w:val="000D14B3"/>
    <w:rsid w:val="000D33C0"/>
    <w:rsid w:val="000D4CF6"/>
    <w:rsid w:val="000D6941"/>
    <w:rsid w:val="000E2677"/>
    <w:rsid w:val="000F4829"/>
    <w:rsid w:val="000F6B21"/>
    <w:rsid w:val="00102EFB"/>
    <w:rsid w:val="001202E3"/>
    <w:rsid w:val="00123699"/>
    <w:rsid w:val="001241FB"/>
    <w:rsid w:val="00126BC9"/>
    <w:rsid w:val="0013059D"/>
    <w:rsid w:val="00136187"/>
    <w:rsid w:val="00141A55"/>
    <w:rsid w:val="0014293F"/>
    <w:rsid w:val="0014397D"/>
    <w:rsid w:val="001446A3"/>
    <w:rsid w:val="00152B6B"/>
    <w:rsid w:val="00155395"/>
    <w:rsid w:val="00155A2F"/>
    <w:rsid w:val="00156B6B"/>
    <w:rsid w:val="0015712F"/>
    <w:rsid w:val="00160D74"/>
    <w:rsid w:val="001646EA"/>
    <w:rsid w:val="00167D02"/>
    <w:rsid w:val="00171C2F"/>
    <w:rsid w:val="001759D8"/>
    <w:rsid w:val="00177D7F"/>
    <w:rsid w:val="00180C3F"/>
    <w:rsid w:val="00181175"/>
    <w:rsid w:val="00181EC8"/>
    <w:rsid w:val="00184349"/>
    <w:rsid w:val="00195F33"/>
    <w:rsid w:val="001A47E5"/>
    <w:rsid w:val="001B1617"/>
    <w:rsid w:val="001B3F55"/>
    <w:rsid w:val="001B504B"/>
    <w:rsid w:val="001B6F98"/>
    <w:rsid w:val="001C191A"/>
    <w:rsid w:val="001D3874"/>
    <w:rsid w:val="001D7E75"/>
    <w:rsid w:val="001E0D73"/>
    <w:rsid w:val="001E45BD"/>
    <w:rsid w:val="001E56D2"/>
    <w:rsid w:val="001E7D56"/>
    <w:rsid w:val="001F5186"/>
    <w:rsid w:val="001F75DE"/>
    <w:rsid w:val="00200D58"/>
    <w:rsid w:val="002011C1"/>
    <w:rsid w:val="002013BE"/>
    <w:rsid w:val="00201EDC"/>
    <w:rsid w:val="00205FE3"/>
    <w:rsid w:val="002063A4"/>
    <w:rsid w:val="0021145B"/>
    <w:rsid w:val="00220C23"/>
    <w:rsid w:val="002247F6"/>
    <w:rsid w:val="00225E21"/>
    <w:rsid w:val="00225E44"/>
    <w:rsid w:val="00234E78"/>
    <w:rsid w:val="00243D36"/>
    <w:rsid w:val="00246151"/>
    <w:rsid w:val="00247707"/>
    <w:rsid w:val="00247ED2"/>
    <w:rsid w:val="00252456"/>
    <w:rsid w:val="0026018E"/>
    <w:rsid w:val="00286740"/>
    <w:rsid w:val="00291EAE"/>
    <w:rsid w:val="002929D8"/>
    <w:rsid w:val="00295129"/>
    <w:rsid w:val="002A237D"/>
    <w:rsid w:val="002A4C53"/>
    <w:rsid w:val="002B0672"/>
    <w:rsid w:val="002B247F"/>
    <w:rsid w:val="002B50D4"/>
    <w:rsid w:val="002B58BF"/>
    <w:rsid w:val="002C145D"/>
    <w:rsid w:val="002C2C3E"/>
    <w:rsid w:val="002C533E"/>
    <w:rsid w:val="002C6E16"/>
    <w:rsid w:val="002D027F"/>
    <w:rsid w:val="002D3E15"/>
    <w:rsid w:val="002D7A85"/>
    <w:rsid w:val="002D7B60"/>
    <w:rsid w:val="002F4761"/>
    <w:rsid w:val="002F5C79"/>
    <w:rsid w:val="002F68EE"/>
    <w:rsid w:val="003019E2"/>
    <w:rsid w:val="00310BEB"/>
    <w:rsid w:val="003110A8"/>
    <w:rsid w:val="0031413F"/>
    <w:rsid w:val="00314854"/>
    <w:rsid w:val="003148BB"/>
    <w:rsid w:val="00317976"/>
    <w:rsid w:val="00320F2F"/>
    <w:rsid w:val="0032457E"/>
    <w:rsid w:val="00325D38"/>
    <w:rsid w:val="00335A30"/>
    <w:rsid w:val="0035277E"/>
    <w:rsid w:val="00353D47"/>
    <w:rsid w:val="00355EA9"/>
    <w:rsid w:val="003578DE"/>
    <w:rsid w:val="00361688"/>
    <w:rsid w:val="00370B8F"/>
    <w:rsid w:val="00380921"/>
    <w:rsid w:val="00382341"/>
    <w:rsid w:val="003877D5"/>
    <w:rsid w:val="003929B8"/>
    <w:rsid w:val="00393432"/>
    <w:rsid w:val="00396257"/>
    <w:rsid w:val="00397EB8"/>
    <w:rsid w:val="003A4FD0"/>
    <w:rsid w:val="003A69D1"/>
    <w:rsid w:val="003A7705"/>
    <w:rsid w:val="003A77F1"/>
    <w:rsid w:val="003B1545"/>
    <w:rsid w:val="003C3219"/>
    <w:rsid w:val="003C409D"/>
    <w:rsid w:val="003C4544"/>
    <w:rsid w:val="003C5583"/>
    <w:rsid w:val="003C5BA6"/>
    <w:rsid w:val="003C74CF"/>
    <w:rsid w:val="003D3752"/>
    <w:rsid w:val="003E35DA"/>
    <w:rsid w:val="003E455D"/>
    <w:rsid w:val="003F0E85"/>
    <w:rsid w:val="00410C55"/>
    <w:rsid w:val="00416854"/>
    <w:rsid w:val="00417725"/>
    <w:rsid w:val="0042266F"/>
    <w:rsid w:val="00434321"/>
    <w:rsid w:val="00437F26"/>
    <w:rsid w:val="00444097"/>
    <w:rsid w:val="00445487"/>
    <w:rsid w:val="00447E0D"/>
    <w:rsid w:val="00453EA8"/>
    <w:rsid w:val="00454769"/>
    <w:rsid w:val="00464F5D"/>
    <w:rsid w:val="00466991"/>
    <w:rsid w:val="0047064C"/>
    <w:rsid w:val="004822B7"/>
    <w:rsid w:val="0048468F"/>
    <w:rsid w:val="0049469E"/>
    <w:rsid w:val="004A2217"/>
    <w:rsid w:val="004A24F9"/>
    <w:rsid w:val="004A42E1"/>
    <w:rsid w:val="004B162C"/>
    <w:rsid w:val="004B2ABE"/>
    <w:rsid w:val="004C3DBE"/>
    <w:rsid w:val="004C5C96"/>
    <w:rsid w:val="004D06A4"/>
    <w:rsid w:val="004F1A81"/>
    <w:rsid w:val="004F5D88"/>
    <w:rsid w:val="00501354"/>
    <w:rsid w:val="005050D2"/>
    <w:rsid w:val="00510DAB"/>
    <w:rsid w:val="005218D9"/>
    <w:rsid w:val="005325D5"/>
    <w:rsid w:val="00536186"/>
    <w:rsid w:val="00537067"/>
    <w:rsid w:val="00544CBB"/>
    <w:rsid w:val="00551B65"/>
    <w:rsid w:val="00556704"/>
    <w:rsid w:val="005656D7"/>
    <w:rsid w:val="0057315F"/>
    <w:rsid w:val="00576104"/>
    <w:rsid w:val="00586418"/>
    <w:rsid w:val="00592B21"/>
    <w:rsid w:val="005B2DF4"/>
    <w:rsid w:val="005B44BF"/>
    <w:rsid w:val="005C67C8"/>
    <w:rsid w:val="005D0249"/>
    <w:rsid w:val="005D18FA"/>
    <w:rsid w:val="005D2886"/>
    <w:rsid w:val="005D4A43"/>
    <w:rsid w:val="005D4FD4"/>
    <w:rsid w:val="005D6E8C"/>
    <w:rsid w:val="005E3004"/>
    <w:rsid w:val="005E4352"/>
    <w:rsid w:val="005F100C"/>
    <w:rsid w:val="005F68DA"/>
    <w:rsid w:val="005F7419"/>
    <w:rsid w:val="00601BC9"/>
    <w:rsid w:val="0060773B"/>
    <w:rsid w:val="00613FD6"/>
    <w:rsid w:val="006157B5"/>
    <w:rsid w:val="00617224"/>
    <w:rsid w:val="00626FC6"/>
    <w:rsid w:val="006303B4"/>
    <w:rsid w:val="00630ADC"/>
    <w:rsid w:val="00633D3D"/>
    <w:rsid w:val="00641703"/>
    <w:rsid w:val="00642FC4"/>
    <w:rsid w:val="006431A6"/>
    <w:rsid w:val="00643E3A"/>
    <w:rsid w:val="006459F6"/>
    <w:rsid w:val="006501AD"/>
    <w:rsid w:val="00651BFA"/>
    <w:rsid w:val="00654475"/>
    <w:rsid w:val="00656DF0"/>
    <w:rsid w:val="00665A4B"/>
    <w:rsid w:val="00666FFF"/>
    <w:rsid w:val="00670B4A"/>
    <w:rsid w:val="00670FAE"/>
    <w:rsid w:val="0068706D"/>
    <w:rsid w:val="00692E2A"/>
    <w:rsid w:val="0069496A"/>
    <w:rsid w:val="00696C1C"/>
    <w:rsid w:val="006A76F2"/>
    <w:rsid w:val="006B7D29"/>
    <w:rsid w:val="006D19D4"/>
    <w:rsid w:val="006D5644"/>
    <w:rsid w:val="006D7EFB"/>
    <w:rsid w:val="006E5FAB"/>
    <w:rsid w:val="006E6672"/>
    <w:rsid w:val="006E6722"/>
    <w:rsid w:val="006F7AFF"/>
    <w:rsid w:val="007027B9"/>
    <w:rsid w:val="007066B5"/>
    <w:rsid w:val="007145DA"/>
    <w:rsid w:val="00715E88"/>
    <w:rsid w:val="00716D8B"/>
    <w:rsid w:val="00731576"/>
    <w:rsid w:val="00734CAA"/>
    <w:rsid w:val="00740EE2"/>
    <w:rsid w:val="00742680"/>
    <w:rsid w:val="00754391"/>
    <w:rsid w:val="0075533C"/>
    <w:rsid w:val="00755A18"/>
    <w:rsid w:val="00757581"/>
    <w:rsid w:val="007602F5"/>
    <w:rsid w:val="00760D36"/>
    <w:rsid w:val="007610AA"/>
    <w:rsid w:val="007611A0"/>
    <w:rsid w:val="00772574"/>
    <w:rsid w:val="00773E54"/>
    <w:rsid w:val="00787688"/>
    <w:rsid w:val="007935E6"/>
    <w:rsid w:val="00793ADA"/>
    <w:rsid w:val="00796D3F"/>
    <w:rsid w:val="00797F69"/>
    <w:rsid w:val="007A1683"/>
    <w:rsid w:val="007A5C12"/>
    <w:rsid w:val="007A68E4"/>
    <w:rsid w:val="007A7CB0"/>
    <w:rsid w:val="007B68A3"/>
    <w:rsid w:val="007C1CC1"/>
    <w:rsid w:val="007C2541"/>
    <w:rsid w:val="007D66A8"/>
    <w:rsid w:val="007E003F"/>
    <w:rsid w:val="007F0CF8"/>
    <w:rsid w:val="007F49DB"/>
    <w:rsid w:val="007F5E1B"/>
    <w:rsid w:val="007F62CB"/>
    <w:rsid w:val="008142EC"/>
    <w:rsid w:val="008164F2"/>
    <w:rsid w:val="00821395"/>
    <w:rsid w:val="00830E26"/>
    <w:rsid w:val="00834368"/>
    <w:rsid w:val="0083441A"/>
    <w:rsid w:val="00843576"/>
    <w:rsid w:val="00843B64"/>
    <w:rsid w:val="00844D06"/>
    <w:rsid w:val="00845261"/>
    <w:rsid w:val="008478FC"/>
    <w:rsid w:val="00851C51"/>
    <w:rsid w:val="008538F7"/>
    <w:rsid w:val="00867BFF"/>
    <w:rsid w:val="00871542"/>
    <w:rsid w:val="00872BF6"/>
    <w:rsid w:val="0088204E"/>
    <w:rsid w:val="0088480A"/>
    <w:rsid w:val="0088757A"/>
    <w:rsid w:val="0089431B"/>
    <w:rsid w:val="00895668"/>
    <w:rsid w:val="008957DD"/>
    <w:rsid w:val="00897D98"/>
    <w:rsid w:val="008A522C"/>
    <w:rsid w:val="008A6DF2"/>
    <w:rsid w:val="008A7807"/>
    <w:rsid w:val="008B4CC9"/>
    <w:rsid w:val="008C0B15"/>
    <w:rsid w:val="008C6D61"/>
    <w:rsid w:val="008D75E4"/>
    <w:rsid w:val="008D7C99"/>
    <w:rsid w:val="008E0FCB"/>
    <w:rsid w:val="008F6DFE"/>
    <w:rsid w:val="0090529F"/>
    <w:rsid w:val="0092178C"/>
    <w:rsid w:val="00930B88"/>
    <w:rsid w:val="00935376"/>
    <w:rsid w:val="00940DCC"/>
    <w:rsid w:val="0094179A"/>
    <w:rsid w:val="0094459E"/>
    <w:rsid w:val="00944DBC"/>
    <w:rsid w:val="00950977"/>
    <w:rsid w:val="00951A7B"/>
    <w:rsid w:val="00955512"/>
    <w:rsid w:val="009564A6"/>
    <w:rsid w:val="00957EF8"/>
    <w:rsid w:val="00966A53"/>
    <w:rsid w:val="00967621"/>
    <w:rsid w:val="00967E6A"/>
    <w:rsid w:val="009907B9"/>
    <w:rsid w:val="00990918"/>
    <w:rsid w:val="009A3A83"/>
    <w:rsid w:val="009B4A0F"/>
    <w:rsid w:val="009C11D2"/>
    <w:rsid w:val="009C6BCE"/>
    <w:rsid w:val="009C6C70"/>
    <w:rsid w:val="009C7B0A"/>
    <w:rsid w:val="009D0B63"/>
    <w:rsid w:val="009D5CB8"/>
    <w:rsid w:val="009E307E"/>
    <w:rsid w:val="009F6447"/>
    <w:rsid w:val="00A07870"/>
    <w:rsid w:val="00A07C54"/>
    <w:rsid w:val="00A07F19"/>
    <w:rsid w:val="00A10ABB"/>
    <w:rsid w:val="00A1348D"/>
    <w:rsid w:val="00A13C99"/>
    <w:rsid w:val="00A232EE"/>
    <w:rsid w:val="00A4175F"/>
    <w:rsid w:val="00A44411"/>
    <w:rsid w:val="00A469FA"/>
    <w:rsid w:val="00A53662"/>
    <w:rsid w:val="00A55B01"/>
    <w:rsid w:val="00A56B5B"/>
    <w:rsid w:val="00A603FF"/>
    <w:rsid w:val="00A619B6"/>
    <w:rsid w:val="00A648CA"/>
    <w:rsid w:val="00A657DD"/>
    <w:rsid w:val="00A666A6"/>
    <w:rsid w:val="00A675FD"/>
    <w:rsid w:val="00A72437"/>
    <w:rsid w:val="00A8048B"/>
    <w:rsid w:val="00A80611"/>
    <w:rsid w:val="00AA5BF4"/>
    <w:rsid w:val="00AB5340"/>
    <w:rsid w:val="00AC0A89"/>
    <w:rsid w:val="00AC7C96"/>
    <w:rsid w:val="00AD3593"/>
    <w:rsid w:val="00AE0812"/>
    <w:rsid w:val="00AE237D"/>
    <w:rsid w:val="00AE502A"/>
    <w:rsid w:val="00AF0010"/>
    <w:rsid w:val="00AF1AA8"/>
    <w:rsid w:val="00AF2154"/>
    <w:rsid w:val="00AF2C1F"/>
    <w:rsid w:val="00AF7C07"/>
    <w:rsid w:val="00B06C64"/>
    <w:rsid w:val="00B07D8E"/>
    <w:rsid w:val="00B11CAC"/>
    <w:rsid w:val="00B14FC9"/>
    <w:rsid w:val="00B15A29"/>
    <w:rsid w:val="00B22C93"/>
    <w:rsid w:val="00B27589"/>
    <w:rsid w:val="00B405B7"/>
    <w:rsid w:val="00B468C0"/>
    <w:rsid w:val="00B52222"/>
    <w:rsid w:val="00B531DA"/>
    <w:rsid w:val="00B54895"/>
    <w:rsid w:val="00B54FE7"/>
    <w:rsid w:val="00B647C6"/>
    <w:rsid w:val="00B655F9"/>
    <w:rsid w:val="00B66901"/>
    <w:rsid w:val="00B66F60"/>
    <w:rsid w:val="00B71E6D"/>
    <w:rsid w:val="00B72070"/>
    <w:rsid w:val="00B7433C"/>
    <w:rsid w:val="00B779E1"/>
    <w:rsid w:val="00B81940"/>
    <w:rsid w:val="00B81E3A"/>
    <w:rsid w:val="00B85CFB"/>
    <w:rsid w:val="00B914E9"/>
    <w:rsid w:val="00B91EE1"/>
    <w:rsid w:val="00B94602"/>
    <w:rsid w:val="00BA0090"/>
    <w:rsid w:val="00BA1A67"/>
    <w:rsid w:val="00BA6A80"/>
    <w:rsid w:val="00BB4ABB"/>
    <w:rsid w:val="00BC62BA"/>
    <w:rsid w:val="00BE5B5F"/>
    <w:rsid w:val="00BE7993"/>
    <w:rsid w:val="00C11971"/>
    <w:rsid w:val="00C179DE"/>
    <w:rsid w:val="00C26F55"/>
    <w:rsid w:val="00C30C63"/>
    <w:rsid w:val="00C30FF3"/>
    <w:rsid w:val="00C34D5C"/>
    <w:rsid w:val="00C36B8B"/>
    <w:rsid w:val="00C415C1"/>
    <w:rsid w:val="00C47DBF"/>
    <w:rsid w:val="00C552FF"/>
    <w:rsid w:val="00C558DA"/>
    <w:rsid w:val="00C55AF3"/>
    <w:rsid w:val="00C771A9"/>
    <w:rsid w:val="00C82943"/>
    <w:rsid w:val="00C84759"/>
    <w:rsid w:val="00C93096"/>
    <w:rsid w:val="00CA5CA9"/>
    <w:rsid w:val="00CA6C7F"/>
    <w:rsid w:val="00CB007D"/>
    <w:rsid w:val="00CB60CA"/>
    <w:rsid w:val="00CC0FC7"/>
    <w:rsid w:val="00CC10A6"/>
    <w:rsid w:val="00CD5EB8"/>
    <w:rsid w:val="00CD7044"/>
    <w:rsid w:val="00CE08B9"/>
    <w:rsid w:val="00CE3515"/>
    <w:rsid w:val="00CE524C"/>
    <w:rsid w:val="00CF141F"/>
    <w:rsid w:val="00CF4777"/>
    <w:rsid w:val="00CF65C8"/>
    <w:rsid w:val="00D013F5"/>
    <w:rsid w:val="00D05E3F"/>
    <w:rsid w:val="00D067BB"/>
    <w:rsid w:val="00D1352A"/>
    <w:rsid w:val="00D1638E"/>
    <w:rsid w:val="00D16540"/>
    <w:rsid w:val="00D169AF"/>
    <w:rsid w:val="00D17359"/>
    <w:rsid w:val="00D200EF"/>
    <w:rsid w:val="00D25175"/>
    <w:rsid w:val="00D25249"/>
    <w:rsid w:val="00D26854"/>
    <w:rsid w:val="00D44172"/>
    <w:rsid w:val="00D47BE3"/>
    <w:rsid w:val="00D5123E"/>
    <w:rsid w:val="00D63B8C"/>
    <w:rsid w:val="00D739CC"/>
    <w:rsid w:val="00D73BBF"/>
    <w:rsid w:val="00D806F9"/>
    <w:rsid w:val="00D8093D"/>
    <w:rsid w:val="00D8108C"/>
    <w:rsid w:val="00D842AE"/>
    <w:rsid w:val="00D9211C"/>
    <w:rsid w:val="00D92DE0"/>
    <w:rsid w:val="00D92FEF"/>
    <w:rsid w:val="00D931F9"/>
    <w:rsid w:val="00D93A0F"/>
    <w:rsid w:val="00DA1BCA"/>
    <w:rsid w:val="00DA3663"/>
    <w:rsid w:val="00DC274A"/>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398"/>
    <w:rsid w:val="00E24ADA"/>
    <w:rsid w:val="00E32F59"/>
    <w:rsid w:val="00E41908"/>
    <w:rsid w:val="00E46D9A"/>
    <w:rsid w:val="00E565FF"/>
    <w:rsid w:val="00E65388"/>
    <w:rsid w:val="00E7741D"/>
    <w:rsid w:val="00E808CD"/>
    <w:rsid w:val="00E81576"/>
    <w:rsid w:val="00E8348F"/>
    <w:rsid w:val="00E85B7D"/>
    <w:rsid w:val="00E9121B"/>
    <w:rsid w:val="00E9302E"/>
    <w:rsid w:val="00E94807"/>
    <w:rsid w:val="00E976AB"/>
    <w:rsid w:val="00EA0AE2"/>
    <w:rsid w:val="00EA39E5"/>
    <w:rsid w:val="00EA57A3"/>
    <w:rsid w:val="00EC227F"/>
    <w:rsid w:val="00EC2813"/>
    <w:rsid w:val="00EC5A46"/>
    <w:rsid w:val="00EC63E2"/>
    <w:rsid w:val="00ED0225"/>
    <w:rsid w:val="00ED366A"/>
    <w:rsid w:val="00ED6BB7"/>
    <w:rsid w:val="00EF22B3"/>
    <w:rsid w:val="00F03B69"/>
    <w:rsid w:val="00F07A50"/>
    <w:rsid w:val="00F113DA"/>
    <w:rsid w:val="00F266FC"/>
    <w:rsid w:val="00F3037A"/>
    <w:rsid w:val="00F3465A"/>
    <w:rsid w:val="00F37DC8"/>
    <w:rsid w:val="00F439B3"/>
    <w:rsid w:val="00F650C3"/>
    <w:rsid w:val="00F65D85"/>
    <w:rsid w:val="00F6700B"/>
    <w:rsid w:val="00F7137B"/>
    <w:rsid w:val="00F76B4F"/>
    <w:rsid w:val="00F8091E"/>
    <w:rsid w:val="00F8615C"/>
    <w:rsid w:val="00F969E5"/>
    <w:rsid w:val="00F97F02"/>
    <w:rsid w:val="00FA4972"/>
    <w:rsid w:val="00FA6BB0"/>
    <w:rsid w:val="00FB2DBD"/>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2FD96"/>
  <w15:docId w15:val="{88933E7C-0AB0-4F52-A3DE-78B5D534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pool"/>
    <w:link w:val="NotedebasdepageCar"/>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090BDC"/>
    <w:rPr>
      <w:b/>
      <w:sz w:val="28"/>
      <w:szCs w:val="28"/>
      <w:lang w:eastAsia="en-US"/>
    </w:rPr>
  </w:style>
  <w:style w:type="character" w:customStyle="1" w:styleId="CH2Char">
    <w:name w:val="CH2 Char"/>
    <w:link w:val="CH2"/>
    <w:locked/>
    <w:rsid w:val="00090BDC"/>
    <w:rPr>
      <w:b/>
      <w:sz w:val="24"/>
      <w:szCs w:val="24"/>
      <w:lang w:eastAsia="en-US"/>
    </w:rPr>
  </w:style>
  <w:style w:type="character" w:customStyle="1" w:styleId="NormalNonumberChar">
    <w:name w:val="Normal_No_number Char"/>
    <w:link w:val="NormalNonumber"/>
    <w:locked/>
    <w:rsid w:val="00090BD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57B41-42A8-4370-9F09-F62CCEFC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5253</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2018-11-07T05:23:00Z</cp:lastPrinted>
  <dcterms:created xsi:type="dcterms:W3CDTF">2018-11-07T08:39:00Z</dcterms:created>
  <dcterms:modified xsi:type="dcterms:W3CDTF">2018-11-07T08:39:00Z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9/13/2018 2:22:54 PM</vt:lpwstr>
  </property>
  <property fmtid="{D5CDD505-2E9C-101B-9397-08002B2CF9AE}" pid="5" name="OriginalDocID">
    <vt:lpwstr>d6016c70-2f9c-4606-97f8-ea266d63df51</vt:lpwstr>
  </property>
</Properties>
</file>