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0"/>
        <w:gridCol w:w="4714"/>
        <w:gridCol w:w="3385"/>
      </w:tblGrid>
      <w:tr w:rsidR="00CD0FA5" w:rsidRPr="00016769" w14:paraId="2C7811F9" w14:textId="77777777" w:rsidTr="00C649E1">
        <w:trPr>
          <w:cantSplit/>
          <w:trHeight w:val="850"/>
          <w:jc w:val="right"/>
        </w:trPr>
        <w:tc>
          <w:tcPr>
            <w:tcW w:w="1550" w:type="dxa"/>
          </w:tcPr>
          <w:p w14:paraId="5C835721" w14:textId="77777777" w:rsidR="00CD0FA5" w:rsidRPr="00016769" w:rsidRDefault="00CD0FA5" w:rsidP="00C649E1">
            <w:pPr>
              <w:tabs>
                <w:tab w:val="left" w:pos="624"/>
                <w:tab w:val="left" w:pos="1871"/>
                <w:tab w:val="left" w:pos="2495"/>
                <w:tab w:val="left" w:pos="3119"/>
                <w:tab w:val="left" w:pos="3742"/>
                <w:tab w:val="left" w:pos="4366"/>
              </w:tabs>
              <w:rPr>
                <w:rFonts w:ascii="Univers" w:hAnsi="Univers"/>
                <w:b/>
                <w:noProof/>
                <w:sz w:val="27"/>
                <w:szCs w:val="27"/>
              </w:rPr>
            </w:pPr>
            <w:bookmarkStart w:id="0" w:name="_Hlk517786179"/>
            <w:bookmarkStart w:id="1" w:name="_GoBack"/>
            <w:bookmarkEnd w:id="1"/>
            <w:r>
              <w:rPr>
                <w:rFonts w:ascii="Arial" w:hAnsi="Arial"/>
                <w:b/>
                <w:sz w:val="27"/>
                <w:szCs w:val="27"/>
              </w:rPr>
              <w:t>NATIONS</w:t>
            </w:r>
            <w:r>
              <w:rPr>
                <w:rFonts w:ascii="Arial" w:hAnsi="Arial"/>
                <w:b/>
                <w:sz w:val="27"/>
                <w:szCs w:val="27"/>
              </w:rPr>
              <w:br/>
              <w:t>UNIES</w:t>
            </w:r>
          </w:p>
        </w:tc>
        <w:tc>
          <w:tcPr>
            <w:tcW w:w="4751" w:type="dxa"/>
          </w:tcPr>
          <w:p w14:paraId="35B26A80" w14:textId="77777777" w:rsidR="00CD0FA5" w:rsidRPr="00016769" w:rsidRDefault="00CD0FA5" w:rsidP="00C649E1">
            <w:pPr>
              <w:tabs>
                <w:tab w:val="left" w:pos="624"/>
                <w:tab w:val="left" w:pos="1871"/>
                <w:tab w:val="left" w:pos="2495"/>
                <w:tab w:val="left" w:pos="3119"/>
                <w:tab w:val="left" w:pos="3742"/>
                <w:tab w:val="left" w:pos="4366"/>
              </w:tabs>
              <w:rPr>
                <w:rFonts w:ascii="Univers" w:hAnsi="Univers"/>
                <w:b/>
                <w:sz w:val="27"/>
                <w:szCs w:val="27"/>
              </w:rPr>
            </w:pPr>
          </w:p>
        </w:tc>
        <w:tc>
          <w:tcPr>
            <w:tcW w:w="3411" w:type="dxa"/>
          </w:tcPr>
          <w:p w14:paraId="18AC7E5A" w14:textId="77777777" w:rsidR="00CD0FA5" w:rsidRPr="00016769" w:rsidRDefault="00CD0FA5" w:rsidP="00C649E1">
            <w:pPr>
              <w:tabs>
                <w:tab w:val="left" w:pos="624"/>
                <w:tab w:val="left" w:pos="1871"/>
                <w:tab w:val="left" w:pos="2495"/>
                <w:tab w:val="left" w:pos="3119"/>
                <w:tab w:val="left" w:pos="3742"/>
                <w:tab w:val="left" w:pos="4366"/>
              </w:tabs>
              <w:jc w:val="right"/>
              <w:rPr>
                <w:rFonts w:ascii="Arial" w:hAnsi="Arial" w:cs="Arial"/>
                <w:b/>
                <w:sz w:val="64"/>
                <w:szCs w:val="64"/>
              </w:rPr>
            </w:pPr>
            <w:r>
              <w:rPr>
                <w:rFonts w:ascii="Arial" w:hAnsi="Arial"/>
                <w:b/>
                <w:sz w:val="64"/>
                <w:szCs w:val="64"/>
              </w:rPr>
              <w:t>MC</w:t>
            </w:r>
          </w:p>
        </w:tc>
      </w:tr>
      <w:tr w:rsidR="00CD0FA5" w:rsidRPr="00016769" w14:paraId="48E81A84" w14:textId="77777777" w:rsidTr="00C649E1">
        <w:trPr>
          <w:cantSplit/>
          <w:trHeight w:val="281"/>
          <w:jc w:val="right"/>
        </w:trPr>
        <w:tc>
          <w:tcPr>
            <w:tcW w:w="1550" w:type="dxa"/>
            <w:tcBorders>
              <w:bottom w:val="single" w:sz="4" w:space="0" w:color="auto"/>
            </w:tcBorders>
          </w:tcPr>
          <w:p w14:paraId="155637AE" w14:textId="77777777" w:rsidR="00CD0FA5" w:rsidRPr="00016769" w:rsidRDefault="00CD0FA5" w:rsidP="00C649E1">
            <w:pPr>
              <w:tabs>
                <w:tab w:val="left" w:pos="624"/>
                <w:tab w:val="left" w:pos="1871"/>
                <w:tab w:val="left" w:pos="2495"/>
                <w:tab w:val="left" w:pos="3119"/>
                <w:tab w:val="left" w:pos="3742"/>
                <w:tab w:val="left" w:pos="4366"/>
              </w:tabs>
              <w:rPr>
                <w:noProof/>
                <w:sz w:val="18"/>
                <w:szCs w:val="18"/>
              </w:rPr>
            </w:pPr>
          </w:p>
        </w:tc>
        <w:tc>
          <w:tcPr>
            <w:tcW w:w="4751" w:type="dxa"/>
            <w:tcBorders>
              <w:bottom w:val="single" w:sz="4" w:space="0" w:color="auto"/>
            </w:tcBorders>
          </w:tcPr>
          <w:p w14:paraId="27A2C6DC" w14:textId="77777777" w:rsidR="00CD0FA5" w:rsidRPr="00016769" w:rsidRDefault="00CD0FA5" w:rsidP="00C649E1">
            <w:pPr>
              <w:tabs>
                <w:tab w:val="left" w:pos="624"/>
                <w:tab w:val="left" w:pos="1871"/>
                <w:tab w:val="left" w:pos="2495"/>
                <w:tab w:val="left" w:pos="3119"/>
                <w:tab w:val="left" w:pos="3742"/>
                <w:tab w:val="left" w:pos="4366"/>
              </w:tabs>
              <w:rPr>
                <w:rFonts w:ascii="Univers" w:hAnsi="Univers"/>
                <w:b/>
                <w:sz w:val="18"/>
                <w:szCs w:val="18"/>
              </w:rPr>
            </w:pPr>
          </w:p>
        </w:tc>
        <w:tc>
          <w:tcPr>
            <w:tcW w:w="3411" w:type="dxa"/>
            <w:tcBorders>
              <w:bottom w:val="single" w:sz="4" w:space="0" w:color="auto"/>
            </w:tcBorders>
          </w:tcPr>
          <w:p w14:paraId="2AB3A5B0" w14:textId="2A5447B3" w:rsidR="00CD0FA5" w:rsidRPr="00016769" w:rsidRDefault="00CD0FA5" w:rsidP="00C649E1">
            <w:pPr>
              <w:tabs>
                <w:tab w:val="left" w:pos="624"/>
                <w:tab w:val="left" w:pos="1871"/>
                <w:tab w:val="left" w:pos="2495"/>
                <w:tab w:val="left" w:pos="3119"/>
                <w:tab w:val="left" w:pos="3742"/>
                <w:tab w:val="left" w:pos="4366"/>
              </w:tabs>
              <w:rPr>
                <w:b/>
                <w:bCs/>
                <w:noProof/>
                <w:sz w:val="18"/>
                <w:szCs w:val="18"/>
              </w:rPr>
            </w:pPr>
            <w:r>
              <w:rPr>
                <w:b/>
                <w:bCs/>
                <w:sz w:val="28"/>
              </w:rPr>
              <w:t>UNEP</w:t>
            </w:r>
            <w:bookmarkStart w:id="2" w:name="OLE_LINK1"/>
            <w:bookmarkStart w:id="3" w:name="OLE_LINK2"/>
            <w:r>
              <w:rPr>
                <w:b/>
                <w:bCs/>
                <w:sz w:val="28"/>
              </w:rPr>
              <w:t>/</w:t>
            </w:r>
            <w:r>
              <w:t>MC/</w:t>
            </w:r>
            <w:bookmarkEnd w:id="2"/>
            <w:bookmarkEnd w:id="3"/>
            <w:r>
              <w:t>COP.2/13</w:t>
            </w:r>
            <w:r w:rsidR="000A5CCC" w:rsidRPr="000A5CCC">
              <w:rPr>
                <w:rStyle w:val="Appelnotedebasdep"/>
                <w:sz w:val="18"/>
                <w:vertAlign w:val="baseline"/>
              </w:rPr>
              <w:footnoteReference w:customMarkFollows="1" w:id="1"/>
              <w:t>*</w:t>
            </w:r>
          </w:p>
        </w:tc>
      </w:tr>
      <w:bookmarkStart w:id="4" w:name="_MON_1021710510"/>
      <w:bookmarkEnd w:id="4"/>
      <w:bookmarkStart w:id="5" w:name="_MON_1021710482"/>
      <w:bookmarkEnd w:id="5"/>
      <w:tr w:rsidR="00CD0FA5" w:rsidRPr="000A5CCC" w14:paraId="1748FCB1" w14:textId="77777777" w:rsidTr="00C649E1">
        <w:trPr>
          <w:cantSplit/>
          <w:trHeight w:val="2549"/>
          <w:jc w:val="right"/>
        </w:trPr>
        <w:tc>
          <w:tcPr>
            <w:tcW w:w="1550" w:type="dxa"/>
            <w:tcBorders>
              <w:top w:val="single" w:sz="4" w:space="0" w:color="auto"/>
              <w:bottom w:val="single" w:sz="24" w:space="0" w:color="auto"/>
            </w:tcBorders>
          </w:tcPr>
          <w:p w14:paraId="0B4E2208" w14:textId="77777777" w:rsidR="00CD0FA5" w:rsidRPr="00016769" w:rsidRDefault="00CD0FA5" w:rsidP="00C649E1">
            <w:pPr>
              <w:tabs>
                <w:tab w:val="left" w:pos="624"/>
                <w:tab w:val="left" w:pos="1871"/>
                <w:tab w:val="left" w:pos="2495"/>
                <w:tab w:val="left" w:pos="3119"/>
                <w:tab w:val="left" w:pos="3742"/>
                <w:tab w:val="left" w:pos="4366"/>
              </w:tabs>
              <w:rPr>
                <w:noProof/>
              </w:rPr>
            </w:pPr>
            <w:r>
              <w:object w:dxaOrig="1831" w:dyaOrig="1726" w14:anchorId="407B7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57pt;mso-width-percent:0;mso-height-percent:0;mso-width-percent:0;mso-height-percent:0" o:ole="" fillcolor="window">
                  <v:imagedata r:id="rId8" o:title=""/>
                </v:shape>
                <o:OLEObject Type="Embed" ProgID="Word.Picture.8" ShapeID="_x0000_i1025" DrawAspect="Content" ObjectID="_1603876871" r:id="rId9"/>
              </w:object>
            </w:r>
            <w:r>
              <w:rPr>
                <w:noProof/>
                <w:lang w:val="fr-FR" w:eastAsia="zh-CN"/>
              </w:rPr>
              <w:drawing>
                <wp:inline distT="0" distB="0" distL="0" distR="0" wp14:anchorId="039FBB6C" wp14:editId="21E5CEF1">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F7C4BD8" w14:textId="6E0C99D2" w:rsidR="00CD0FA5" w:rsidRPr="00CD0FA5" w:rsidRDefault="00CD0FA5" w:rsidP="00C649E1">
            <w:pPr>
              <w:tabs>
                <w:tab w:val="left" w:pos="624"/>
                <w:tab w:val="left" w:pos="1871"/>
                <w:tab w:val="left" w:pos="2495"/>
                <w:tab w:val="left" w:pos="3119"/>
                <w:tab w:val="left" w:pos="3742"/>
                <w:tab w:val="left" w:pos="4366"/>
              </w:tabs>
              <w:spacing w:before="1200"/>
              <w:rPr>
                <w:rFonts w:ascii="Arial" w:hAnsi="Arial" w:cs="Arial"/>
                <w:b/>
                <w:sz w:val="28"/>
                <w:lang w:val="fr-FR"/>
              </w:rPr>
            </w:pPr>
            <w:r w:rsidRPr="00CD0FA5">
              <w:rPr>
                <w:rFonts w:ascii="Arial" w:hAnsi="Arial"/>
                <w:b/>
                <w:sz w:val="32"/>
                <w:szCs w:val="32"/>
                <w:lang w:val="fr-FR"/>
              </w:rPr>
              <w:t xml:space="preserve">Programme </w:t>
            </w:r>
            <w:r w:rsidRPr="00CD0FA5">
              <w:rPr>
                <w:rFonts w:ascii="Arial" w:hAnsi="Arial"/>
                <w:b/>
                <w:sz w:val="32"/>
                <w:szCs w:val="32"/>
                <w:lang w:val="fr-FR"/>
              </w:rPr>
              <w:br w:type="textWrapping" w:clear="all"/>
              <w:t xml:space="preserve">des Nations Unies </w:t>
            </w:r>
            <w:r w:rsidRPr="00CD0FA5">
              <w:rPr>
                <w:rFonts w:ascii="Arial" w:hAnsi="Arial"/>
                <w:b/>
                <w:sz w:val="32"/>
                <w:szCs w:val="32"/>
                <w:lang w:val="fr-FR"/>
              </w:rPr>
              <w:br w:type="textWrapping" w:clear="all"/>
              <w:t>pour l</w:t>
            </w:r>
            <w:r w:rsidR="008A1D13">
              <w:rPr>
                <w:rFonts w:ascii="Arial" w:hAnsi="Arial"/>
                <w:b/>
                <w:sz w:val="32"/>
                <w:szCs w:val="32"/>
                <w:lang w:val="fr-FR"/>
              </w:rPr>
              <w:t>’</w:t>
            </w:r>
            <w:r w:rsidRPr="00CD0FA5">
              <w:rPr>
                <w:rFonts w:ascii="Arial" w:hAnsi="Arial"/>
                <w:b/>
                <w:sz w:val="32"/>
                <w:szCs w:val="32"/>
                <w:lang w:val="fr-FR"/>
              </w:rPr>
              <w:t>environnement</w:t>
            </w:r>
          </w:p>
        </w:tc>
        <w:tc>
          <w:tcPr>
            <w:tcW w:w="3411" w:type="dxa"/>
            <w:tcBorders>
              <w:top w:val="single" w:sz="4" w:space="0" w:color="auto"/>
              <w:bottom w:val="single" w:sz="24" w:space="0" w:color="auto"/>
            </w:tcBorders>
          </w:tcPr>
          <w:p w14:paraId="6E768D7C" w14:textId="423A5E56" w:rsidR="00CD0FA5" w:rsidRPr="00CD0FA5" w:rsidRDefault="00CD0FA5" w:rsidP="00C649E1">
            <w:pPr>
              <w:tabs>
                <w:tab w:val="left" w:pos="624"/>
                <w:tab w:val="left" w:pos="1871"/>
                <w:tab w:val="left" w:pos="2495"/>
                <w:tab w:val="left" w:pos="3119"/>
                <w:tab w:val="left" w:pos="3742"/>
                <w:tab w:val="left" w:pos="4366"/>
              </w:tabs>
              <w:spacing w:before="120"/>
              <w:rPr>
                <w:lang w:val="fr-FR"/>
              </w:rPr>
            </w:pPr>
            <w:proofErr w:type="spellStart"/>
            <w:r w:rsidRPr="00CD0FA5">
              <w:rPr>
                <w:lang w:val="fr-FR"/>
              </w:rPr>
              <w:t>Distr</w:t>
            </w:r>
            <w:proofErr w:type="spellEnd"/>
            <w:r w:rsidRPr="00CD0FA5">
              <w:rPr>
                <w:lang w:val="fr-FR"/>
              </w:rPr>
              <w:t xml:space="preserve">.  </w:t>
            </w:r>
            <w:proofErr w:type="gramStart"/>
            <w:r w:rsidRPr="00CD0FA5">
              <w:rPr>
                <w:lang w:val="fr-FR"/>
              </w:rPr>
              <w:t>générale</w:t>
            </w:r>
            <w:proofErr w:type="gramEnd"/>
            <w:r w:rsidRPr="00CD0FA5">
              <w:rPr>
                <w:lang w:val="fr-FR"/>
              </w:rPr>
              <w:br/>
              <w:t>2</w:t>
            </w:r>
            <w:r>
              <w:rPr>
                <w:lang w:val="fr-FR"/>
              </w:rPr>
              <w:t>5 septembre</w:t>
            </w:r>
            <w:r w:rsidRPr="00CD0FA5">
              <w:rPr>
                <w:lang w:val="fr-FR"/>
              </w:rPr>
              <w:t xml:space="preserve"> 2018</w:t>
            </w:r>
          </w:p>
          <w:p w14:paraId="551EBD17" w14:textId="77777777" w:rsidR="00CD0FA5" w:rsidRPr="00CD0FA5" w:rsidRDefault="00CD0FA5" w:rsidP="00C649E1">
            <w:pPr>
              <w:tabs>
                <w:tab w:val="left" w:pos="624"/>
                <w:tab w:val="left" w:pos="1871"/>
                <w:tab w:val="left" w:pos="2495"/>
                <w:tab w:val="left" w:pos="3119"/>
                <w:tab w:val="left" w:pos="3742"/>
                <w:tab w:val="left" w:pos="4366"/>
              </w:tabs>
              <w:spacing w:before="240"/>
              <w:rPr>
                <w:b/>
                <w:lang w:val="fr-FR"/>
              </w:rPr>
            </w:pPr>
            <w:r w:rsidRPr="00CD0FA5">
              <w:rPr>
                <w:lang w:val="fr-FR"/>
              </w:rPr>
              <w:t>Français</w:t>
            </w:r>
            <w:r w:rsidRPr="00CD0FA5">
              <w:rPr>
                <w:lang w:val="fr-FR"/>
              </w:rPr>
              <w:br/>
              <w:t>Original : anglais</w:t>
            </w:r>
          </w:p>
        </w:tc>
      </w:tr>
    </w:tbl>
    <w:p w14:paraId="6612C3E7" w14:textId="77777777" w:rsidR="00CD0FA5" w:rsidRPr="00CD0FA5" w:rsidRDefault="00CD0FA5" w:rsidP="00CD0FA5">
      <w:pPr>
        <w:pStyle w:val="AATitle"/>
        <w:keepNext w:val="0"/>
        <w:keepLines w:val="0"/>
        <w:tabs>
          <w:tab w:val="left" w:pos="624"/>
          <w:tab w:val="left" w:pos="1871"/>
          <w:tab w:val="left" w:pos="2495"/>
          <w:tab w:val="left" w:pos="3119"/>
          <w:tab w:val="left" w:pos="3742"/>
          <w:tab w:val="left" w:pos="4366"/>
        </w:tabs>
        <w:rPr>
          <w:lang w:val="fr-FR"/>
        </w:rPr>
      </w:pPr>
      <w:r w:rsidRPr="00CD0FA5">
        <w:rPr>
          <w:lang w:val="fr-FR"/>
        </w:rPr>
        <w:t>Conférence des Parties à la Convention de Minamata sur le mercure</w:t>
      </w:r>
    </w:p>
    <w:p w14:paraId="78F25832" w14:textId="77777777" w:rsidR="00CD0FA5" w:rsidRPr="00CD0FA5" w:rsidRDefault="00CD0FA5" w:rsidP="00CD0FA5">
      <w:pPr>
        <w:pStyle w:val="AATitle"/>
        <w:keepNext w:val="0"/>
        <w:keepLines w:val="0"/>
        <w:tabs>
          <w:tab w:val="left" w:pos="624"/>
          <w:tab w:val="left" w:pos="1871"/>
          <w:tab w:val="left" w:pos="2495"/>
          <w:tab w:val="left" w:pos="3119"/>
          <w:tab w:val="left" w:pos="3742"/>
          <w:tab w:val="left" w:pos="4366"/>
        </w:tabs>
        <w:rPr>
          <w:lang w:val="fr-FR"/>
        </w:rPr>
      </w:pPr>
      <w:r w:rsidRPr="00CD0FA5">
        <w:rPr>
          <w:lang w:val="fr-FR"/>
        </w:rPr>
        <w:t>Deuxième réunion</w:t>
      </w:r>
    </w:p>
    <w:p w14:paraId="042E69DB" w14:textId="77777777" w:rsidR="00CD0FA5" w:rsidRPr="00CD0FA5" w:rsidRDefault="00CD0FA5" w:rsidP="00CD0FA5">
      <w:pPr>
        <w:pStyle w:val="AATitle"/>
        <w:tabs>
          <w:tab w:val="left" w:pos="624"/>
          <w:tab w:val="left" w:pos="1871"/>
          <w:tab w:val="left" w:pos="2495"/>
          <w:tab w:val="left" w:pos="3119"/>
          <w:tab w:val="left" w:pos="3742"/>
          <w:tab w:val="left" w:pos="4366"/>
        </w:tabs>
        <w:rPr>
          <w:b w:val="0"/>
          <w:lang w:val="fr-FR"/>
        </w:rPr>
      </w:pPr>
      <w:r w:rsidRPr="00CD0FA5">
        <w:rPr>
          <w:b w:val="0"/>
          <w:lang w:val="fr-FR"/>
        </w:rPr>
        <w:t>Genève, 19–23 novembre 2018</w:t>
      </w:r>
    </w:p>
    <w:p w14:paraId="68A9C0C4" w14:textId="79572701" w:rsidR="001D2D56" w:rsidRPr="00CD0FA5" w:rsidRDefault="001D2D56" w:rsidP="00976789">
      <w:pPr>
        <w:pStyle w:val="AATitle"/>
        <w:rPr>
          <w:b w:val="0"/>
          <w:lang w:val="fr-FR"/>
        </w:rPr>
      </w:pPr>
      <w:r w:rsidRPr="00CD0FA5">
        <w:rPr>
          <w:b w:val="0"/>
          <w:lang w:val="fr-FR"/>
        </w:rPr>
        <w:t>Point 5 i) de l</w:t>
      </w:r>
      <w:r w:rsidR="008A1D13">
        <w:rPr>
          <w:b w:val="0"/>
          <w:lang w:val="fr-FR"/>
        </w:rPr>
        <w:t>’</w:t>
      </w:r>
      <w:r w:rsidRPr="00CD0FA5">
        <w:rPr>
          <w:b w:val="0"/>
          <w:lang w:val="fr-FR"/>
        </w:rPr>
        <w:t>ordre du jour provisoire</w:t>
      </w:r>
      <w:r w:rsidR="00E7320F">
        <w:rPr>
          <w:rStyle w:val="Appelnotedebasdep"/>
          <w:b w:val="0"/>
          <w:lang w:val="fr-FR"/>
        </w:rPr>
        <w:footnoteReference w:customMarkFollows="1" w:id="2"/>
        <w:t>**</w:t>
      </w:r>
    </w:p>
    <w:p w14:paraId="0D122519" w14:textId="31C6B747" w:rsidR="00306F47" w:rsidRPr="00621161" w:rsidRDefault="001D2D56" w:rsidP="00306F47">
      <w:pPr>
        <w:pStyle w:val="AATitle2"/>
        <w:spacing w:before="60"/>
        <w:rPr>
          <w:lang w:val="fr-FR"/>
        </w:rPr>
      </w:pPr>
      <w:r>
        <w:rPr>
          <w:lang w:val="fr-FR"/>
        </w:rPr>
        <w:t xml:space="preserve">Questions soumises à la Conférence des </w:t>
      </w:r>
      <w:r w:rsidR="008A1D13">
        <w:rPr>
          <w:lang w:val="fr-FR"/>
        </w:rPr>
        <w:t>Parties pour examen ou décision </w:t>
      </w:r>
      <w:r>
        <w:rPr>
          <w:lang w:val="fr-FR"/>
        </w:rPr>
        <w:t>: évaluation de l</w:t>
      </w:r>
      <w:r w:rsidR="008A1D13">
        <w:rPr>
          <w:lang w:val="fr-FR"/>
        </w:rPr>
        <w:t>’</w:t>
      </w:r>
      <w:r>
        <w:rPr>
          <w:lang w:val="fr-FR"/>
        </w:rPr>
        <w:t>efficacité</w:t>
      </w:r>
    </w:p>
    <w:p w14:paraId="356599F9" w14:textId="72D89A38" w:rsidR="00306F47" w:rsidRPr="00621161" w:rsidRDefault="00306F47" w:rsidP="004849C1">
      <w:pPr>
        <w:pStyle w:val="BBTitle"/>
        <w:rPr>
          <w:lang w:val="fr-FR"/>
        </w:rPr>
      </w:pPr>
      <w:r>
        <w:rPr>
          <w:lang w:val="fr-FR"/>
        </w:rPr>
        <w:t>Rapport sur les grandes lignes, le plan et les éléments du cadre d</w:t>
      </w:r>
      <w:r w:rsidR="008A1D13">
        <w:rPr>
          <w:lang w:val="fr-FR"/>
        </w:rPr>
        <w:t>’</w:t>
      </w:r>
      <w:r>
        <w:rPr>
          <w:lang w:val="fr-FR"/>
        </w:rPr>
        <w:t>évaluation de l</w:t>
      </w:r>
      <w:r w:rsidR="008A1D13">
        <w:rPr>
          <w:lang w:val="fr-FR"/>
        </w:rPr>
        <w:t>’</w:t>
      </w:r>
      <w:r>
        <w:rPr>
          <w:lang w:val="fr-FR"/>
        </w:rPr>
        <w:t>efficacité</w:t>
      </w:r>
    </w:p>
    <w:p w14:paraId="15D0B94E" w14:textId="77777777" w:rsidR="00306F47" w:rsidRPr="00035ED3" w:rsidRDefault="00306F47" w:rsidP="004849C1">
      <w:pPr>
        <w:pStyle w:val="CH2"/>
      </w:pPr>
      <w:r>
        <w:rPr>
          <w:lang w:val="fr-FR"/>
        </w:rPr>
        <w:tab/>
      </w:r>
      <w:r>
        <w:rPr>
          <w:lang w:val="fr-FR"/>
        </w:rPr>
        <w:tab/>
        <w:t>Note du secrétariat</w:t>
      </w:r>
    </w:p>
    <w:p w14:paraId="44ED4209" w14:textId="532C989E" w:rsidR="00BC01F1" w:rsidRDefault="00306F47" w:rsidP="00AD4C74">
      <w:pPr>
        <w:pStyle w:val="Normalnumber"/>
        <w:numPr>
          <w:ilvl w:val="0"/>
          <w:numId w:val="5"/>
        </w:numPr>
        <w:tabs>
          <w:tab w:val="clear" w:pos="1247"/>
          <w:tab w:val="clear" w:pos="1814"/>
          <w:tab w:val="clear" w:pos="2381"/>
          <w:tab w:val="clear" w:pos="2948"/>
          <w:tab w:val="clear" w:pos="3515"/>
          <w:tab w:val="clear" w:pos="4082"/>
          <w:tab w:val="left" w:pos="624"/>
          <w:tab w:val="left" w:pos="1843"/>
        </w:tabs>
        <w:ind w:left="1247" w:firstLine="0"/>
        <w:rPr>
          <w:lang w:val="fr-FR"/>
        </w:rPr>
      </w:pPr>
      <w:r>
        <w:rPr>
          <w:lang w:val="fr-FR"/>
        </w:rPr>
        <w:t>À sa première réunion, la Conférence des Par</w:t>
      </w:r>
      <w:r w:rsidR="008A1D13">
        <w:rPr>
          <w:lang w:val="fr-FR"/>
        </w:rPr>
        <w:t>ties a adopté, dans sa décision </w:t>
      </w:r>
      <w:r>
        <w:rPr>
          <w:lang w:val="fr-FR"/>
        </w:rPr>
        <w:t>MC-1/9, une feuille de route pour la mise en place d</w:t>
      </w:r>
      <w:r w:rsidR="008A1D13">
        <w:rPr>
          <w:lang w:val="fr-FR"/>
        </w:rPr>
        <w:t>’</w:t>
      </w:r>
      <w:r>
        <w:rPr>
          <w:lang w:val="fr-FR"/>
        </w:rPr>
        <w:t>arrangements visant à fournir à la Conférence des Parties des données de surveillance comparables et les éléments d</w:t>
      </w:r>
      <w:r w:rsidR="008A1D13">
        <w:rPr>
          <w:lang w:val="fr-FR"/>
        </w:rPr>
        <w:t>’</w:t>
      </w:r>
      <w:r>
        <w:rPr>
          <w:lang w:val="fr-FR"/>
        </w:rPr>
        <w:t>un cadre d</w:t>
      </w:r>
      <w:r w:rsidR="008A1D13">
        <w:rPr>
          <w:lang w:val="fr-FR"/>
        </w:rPr>
        <w:t>’</w:t>
      </w:r>
      <w:r>
        <w:rPr>
          <w:lang w:val="fr-FR"/>
        </w:rPr>
        <w:t>évaluation de l</w:t>
      </w:r>
      <w:r w:rsidR="008A1D13">
        <w:rPr>
          <w:lang w:val="fr-FR"/>
        </w:rPr>
        <w:t>’</w:t>
      </w:r>
      <w:r>
        <w:rPr>
          <w:lang w:val="fr-FR"/>
        </w:rPr>
        <w:t>e</w:t>
      </w:r>
      <w:r w:rsidR="008A1D13">
        <w:rPr>
          <w:lang w:val="fr-FR"/>
        </w:rPr>
        <w:t>fficacité au titre de l’article </w:t>
      </w:r>
      <w:r>
        <w:rPr>
          <w:lang w:val="fr-FR"/>
        </w:rPr>
        <w:t>22 de la Convention de Minamata sur le merc</w:t>
      </w:r>
      <w:r w:rsidR="008A1D13">
        <w:rPr>
          <w:lang w:val="fr-FR"/>
        </w:rPr>
        <w:t>ure, qui était jointe en annexe </w:t>
      </w:r>
      <w:r>
        <w:rPr>
          <w:lang w:val="fr-FR"/>
        </w:rPr>
        <w:t>I à cette décision. La feuille de route prévoyait une réunion en présentiel d</w:t>
      </w:r>
      <w:r w:rsidR="008A1D13">
        <w:rPr>
          <w:lang w:val="fr-FR"/>
        </w:rPr>
        <w:t>’</w:t>
      </w:r>
      <w:r>
        <w:rPr>
          <w:lang w:val="fr-FR"/>
        </w:rPr>
        <w:t>un groupe spécial d</w:t>
      </w:r>
      <w:r w:rsidR="008A1D13">
        <w:rPr>
          <w:lang w:val="fr-FR"/>
        </w:rPr>
        <w:t>’</w:t>
      </w:r>
      <w:r>
        <w:rPr>
          <w:lang w:val="fr-FR"/>
        </w:rPr>
        <w:t>experts qui devait élaborer un projet de rapport énonçant, entre autres, les grandes lignes, le plan et les éléments du cadre d</w:t>
      </w:r>
      <w:r w:rsidR="008A1D13">
        <w:rPr>
          <w:lang w:val="fr-FR"/>
        </w:rPr>
        <w:t>’</w:t>
      </w:r>
      <w:r>
        <w:rPr>
          <w:lang w:val="fr-FR"/>
        </w:rPr>
        <w:t>évaluation de l</w:t>
      </w:r>
      <w:r w:rsidR="008A1D13">
        <w:rPr>
          <w:lang w:val="fr-FR"/>
        </w:rPr>
        <w:t>’</w:t>
      </w:r>
      <w:r>
        <w:rPr>
          <w:lang w:val="fr-FR"/>
        </w:rPr>
        <w:t>efficacité.</w:t>
      </w:r>
    </w:p>
    <w:p w14:paraId="53A8C44B" w14:textId="4F8E997F" w:rsidR="00306F47" w:rsidRPr="00621161" w:rsidRDefault="00306F47" w:rsidP="00AD4C74">
      <w:pPr>
        <w:pStyle w:val="Normalnumber"/>
        <w:numPr>
          <w:ilvl w:val="0"/>
          <w:numId w:val="5"/>
        </w:numPr>
        <w:tabs>
          <w:tab w:val="clear" w:pos="1247"/>
          <w:tab w:val="clear" w:pos="1814"/>
          <w:tab w:val="clear" w:pos="2381"/>
          <w:tab w:val="clear" w:pos="2948"/>
          <w:tab w:val="clear" w:pos="3515"/>
          <w:tab w:val="clear" w:pos="4082"/>
          <w:tab w:val="left" w:pos="624"/>
          <w:tab w:val="left" w:pos="1843"/>
        </w:tabs>
        <w:ind w:left="1247" w:firstLine="0"/>
        <w:rPr>
          <w:lang w:val="fr-FR"/>
        </w:rPr>
      </w:pPr>
      <w:r>
        <w:rPr>
          <w:lang w:val="fr-FR"/>
        </w:rPr>
        <w:t>Le Groupe spécial d</w:t>
      </w:r>
      <w:r w:rsidR="008A1D13">
        <w:rPr>
          <w:lang w:val="fr-FR"/>
        </w:rPr>
        <w:t>’</w:t>
      </w:r>
      <w:r>
        <w:rPr>
          <w:lang w:val="fr-FR"/>
        </w:rPr>
        <w:t>experts a été mis en place conformément au mandat figurant dans l</w:t>
      </w:r>
      <w:r w:rsidR="008A1D13">
        <w:rPr>
          <w:lang w:val="fr-FR"/>
        </w:rPr>
        <w:t>’</w:t>
      </w:r>
      <w:r w:rsidR="00FF307B">
        <w:rPr>
          <w:lang w:val="fr-FR"/>
        </w:rPr>
        <w:t>annexe </w:t>
      </w:r>
      <w:r>
        <w:rPr>
          <w:lang w:val="fr-FR"/>
        </w:rPr>
        <w:t xml:space="preserve">II </w:t>
      </w:r>
      <w:r w:rsidR="00BC01F1">
        <w:rPr>
          <w:lang w:val="fr-FR"/>
        </w:rPr>
        <w:t>à</w:t>
      </w:r>
      <w:r w:rsidR="008A1D13">
        <w:rPr>
          <w:lang w:val="fr-FR"/>
        </w:rPr>
        <w:t xml:space="preserve"> la décision </w:t>
      </w:r>
      <w:r>
        <w:rPr>
          <w:lang w:val="fr-FR"/>
        </w:rPr>
        <w:t>MC-1/9 et s</w:t>
      </w:r>
      <w:r w:rsidR="008A1D13">
        <w:rPr>
          <w:lang w:val="fr-FR"/>
        </w:rPr>
        <w:t>’</w:t>
      </w:r>
      <w:r>
        <w:rPr>
          <w:lang w:val="fr-FR"/>
        </w:rPr>
        <w:t>est</w:t>
      </w:r>
      <w:r w:rsidR="008A1D13">
        <w:rPr>
          <w:lang w:val="fr-FR"/>
        </w:rPr>
        <w:t xml:space="preserve"> réuni à Ottawa, du 5 au 9 mars </w:t>
      </w:r>
      <w:r>
        <w:rPr>
          <w:lang w:val="fr-FR"/>
        </w:rPr>
        <w:t>2018. Ses recommandations sont présentées dans l</w:t>
      </w:r>
      <w:r w:rsidR="008A1D13">
        <w:rPr>
          <w:lang w:val="fr-FR"/>
        </w:rPr>
        <w:t>’</w:t>
      </w:r>
      <w:r>
        <w:rPr>
          <w:lang w:val="fr-FR"/>
        </w:rPr>
        <w:t xml:space="preserve">annexe </w:t>
      </w:r>
      <w:r w:rsidR="00BC01F1">
        <w:rPr>
          <w:lang w:val="fr-FR"/>
        </w:rPr>
        <w:t>à</w:t>
      </w:r>
      <w:r>
        <w:rPr>
          <w:lang w:val="fr-FR"/>
        </w:rPr>
        <w:t xml:space="preserve"> la présente note. Son rapport sur les travaux de cette réunion </w:t>
      </w:r>
      <w:r w:rsidR="00621161">
        <w:rPr>
          <w:lang w:val="fr-FR"/>
        </w:rPr>
        <w:t>figur</w:t>
      </w:r>
      <w:r>
        <w:rPr>
          <w:lang w:val="fr-FR"/>
        </w:rPr>
        <w:t>e dans le document UNEP/MC/COP.2/INF/8.</w:t>
      </w:r>
    </w:p>
    <w:p w14:paraId="0C7F47DE" w14:textId="30A2EC5A" w:rsidR="00306F47" w:rsidRPr="00A06CF9" w:rsidRDefault="00306F47" w:rsidP="00AD4C74">
      <w:pPr>
        <w:pStyle w:val="Normalnumber"/>
        <w:numPr>
          <w:ilvl w:val="0"/>
          <w:numId w:val="5"/>
        </w:numPr>
        <w:tabs>
          <w:tab w:val="clear" w:pos="1247"/>
          <w:tab w:val="clear" w:pos="1814"/>
          <w:tab w:val="clear" w:pos="2381"/>
          <w:tab w:val="clear" w:pos="2948"/>
          <w:tab w:val="clear" w:pos="3515"/>
          <w:tab w:val="clear" w:pos="4082"/>
          <w:tab w:val="left" w:pos="624"/>
          <w:tab w:val="left" w:pos="1843"/>
        </w:tabs>
        <w:ind w:left="1247" w:firstLine="0"/>
      </w:pPr>
      <w:r>
        <w:rPr>
          <w:lang w:val="fr-FR"/>
        </w:rPr>
        <w:t>Comme prévu dans la feuille de route, le secrétariat a publié le projet de rapport sur les travaux du Groupe sur le site Web de la Convention de Minamata en mai 2018, pour observations. Un certain nombre de Parties et d</w:t>
      </w:r>
      <w:r w:rsidR="008A1D13">
        <w:rPr>
          <w:lang w:val="fr-FR"/>
        </w:rPr>
        <w:t>’</w:t>
      </w:r>
      <w:r>
        <w:rPr>
          <w:lang w:val="fr-FR"/>
        </w:rPr>
        <w:t>autres entités ont présenté des observations, qui sont reproduites dans</w:t>
      </w:r>
      <w:r w:rsidR="000A5CCC">
        <w:rPr>
          <w:lang w:val="fr-FR"/>
        </w:rPr>
        <w:t xml:space="preserve"> le document UNEP/MC/COP.2/INF/15</w:t>
      </w:r>
      <w:r>
        <w:rPr>
          <w:lang w:val="fr-FR"/>
        </w:rPr>
        <w:t>. Ces observations ont servi de point de départ pour la révision et l</w:t>
      </w:r>
      <w:r w:rsidR="008A1D13">
        <w:rPr>
          <w:lang w:val="fr-FR"/>
        </w:rPr>
        <w:t>’</w:t>
      </w:r>
      <w:r>
        <w:rPr>
          <w:lang w:val="fr-FR"/>
        </w:rPr>
        <w:t>établissement de la version finale du rapport. Certaines d</w:t>
      </w:r>
      <w:r w:rsidR="008A1D13">
        <w:rPr>
          <w:lang w:val="fr-FR"/>
        </w:rPr>
        <w:t>’</w:t>
      </w:r>
      <w:r>
        <w:rPr>
          <w:lang w:val="fr-FR"/>
        </w:rPr>
        <w:t>entre elles nécessitent toutefois un examen plus poussé par le Groupe, avec des orientations de la Conférence des Parties, et n</w:t>
      </w:r>
      <w:r w:rsidR="008A1D13">
        <w:rPr>
          <w:lang w:val="fr-FR"/>
        </w:rPr>
        <w:t>’</w:t>
      </w:r>
      <w:r>
        <w:rPr>
          <w:lang w:val="fr-FR"/>
        </w:rPr>
        <w:t>ont donc pas pu être</w:t>
      </w:r>
      <w:r w:rsidR="008A1D13">
        <w:rPr>
          <w:lang w:val="fr-FR"/>
        </w:rPr>
        <w:t xml:space="preserve"> prises en compte. Entre autres </w:t>
      </w:r>
      <w:r>
        <w:rPr>
          <w:lang w:val="fr-FR"/>
        </w:rPr>
        <w:t>:</w:t>
      </w:r>
    </w:p>
    <w:p w14:paraId="09F4C23B" w14:textId="680F46D9"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 xml:space="preserve">Selon une Partie, il conviendrait que le Groupe remanie le projet de rapport afin de le faire mieux correspondre avec la portée du mandat défini </w:t>
      </w:r>
      <w:r w:rsidR="004124CC">
        <w:rPr>
          <w:lang w:val="fr-FR"/>
        </w:rPr>
        <w:t>dans l’annexe </w:t>
      </w:r>
      <w:r w:rsidR="008A1D13">
        <w:rPr>
          <w:lang w:val="fr-FR"/>
        </w:rPr>
        <w:t>II de la décision </w:t>
      </w:r>
      <w:r>
        <w:rPr>
          <w:lang w:val="fr-FR"/>
        </w:rPr>
        <w:t>MC</w:t>
      </w:r>
      <w:r w:rsidR="00FF307B">
        <w:rPr>
          <w:lang w:val="fr-FR"/>
        </w:rPr>
        <w:t>-1/9. Cette </w:t>
      </w:r>
      <w:r>
        <w:rPr>
          <w:lang w:val="fr-FR"/>
        </w:rPr>
        <w:t>Partie a cité l</w:t>
      </w:r>
      <w:r w:rsidR="008A1D13">
        <w:rPr>
          <w:lang w:val="fr-FR"/>
        </w:rPr>
        <w:t>’</w:t>
      </w:r>
      <w:r>
        <w:rPr>
          <w:lang w:val="fr-FR"/>
        </w:rPr>
        <w:t>absence d</w:t>
      </w:r>
      <w:r w:rsidR="008A1D13">
        <w:rPr>
          <w:lang w:val="fr-FR"/>
        </w:rPr>
        <w:t>’</w:t>
      </w:r>
      <w:r>
        <w:rPr>
          <w:lang w:val="fr-FR"/>
        </w:rPr>
        <w:t>études sur les cadres d</w:t>
      </w:r>
      <w:r w:rsidR="008A1D13">
        <w:rPr>
          <w:lang w:val="fr-FR"/>
        </w:rPr>
        <w:t>’</w:t>
      </w:r>
      <w:r>
        <w:rPr>
          <w:lang w:val="fr-FR"/>
        </w:rPr>
        <w:t>évaluation de l</w:t>
      </w:r>
      <w:r w:rsidR="008A1D13">
        <w:rPr>
          <w:lang w:val="fr-FR"/>
        </w:rPr>
        <w:t>’</w:t>
      </w:r>
      <w:r>
        <w:rPr>
          <w:lang w:val="fr-FR"/>
        </w:rPr>
        <w:t>efficacité des autres accords multilatéraux sur l</w:t>
      </w:r>
      <w:r w:rsidR="008A1D13">
        <w:rPr>
          <w:lang w:val="fr-FR"/>
        </w:rPr>
        <w:t>’</w:t>
      </w:r>
      <w:r>
        <w:rPr>
          <w:lang w:val="fr-FR"/>
        </w:rPr>
        <w:t>environnement en dehors de la Convention de Stockholm sur les polluants organiques persistants et celle d</w:t>
      </w:r>
      <w:r w:rsidR="008A1D13">
        <w:rPr>
          <w:lang w:val="fr-FR"/>
        </w:rPr>
        <w:t>’</w:t>
      </w:r>
      <w:r>
        <w:rPr>
          <w:lang w:val="fr-FR"/>
        </w:rPr>
        <w:t>une évaluation détaillée des possibilités d</w:t>
      </w:r>
      <w:r w:rsidR="008A1D13">
        <w:rPr>
          <w:lang w:val="fr-FR"/>
        </w:rPr>
        <w:t>’</w:t>
      </w:r>
      <w:r>
        <w:rPr>
          <w:lang w:val="fr-FR"/>
        </w:rPr>
        <w:t>intégrer les informations provenant des programmes de surveillance existants dans l</w:t>
      </w:r>
      <w:r w:rsidR="008A1D13">
        <w:rPr>
          <w:lang w:val="fr-FR"/>
        </w:rPr>
        <w:t>’</w:t>
      </w:r>
      <w:r>
        <w:rPr>
          <w:lang w:val="fr-FR"/>
        </w:rPr>
        <w:t>évaluation de l</w:t>
      </w:r>
      <w:r w:rsidR="008A1D13">
        <w:rPr>
          <w:lang w:val="fr-FR"/>
        </w:rPr>
        <w:t>’</w:t>
      </w:r>
      <w:r>
        <w:rPr>
          <w:lang w:val="fr-FR"/>
        </w:rPr>
        <w:t>efficacité comme des exemples de cas où le Groupe ne s</w:t>
      </w:r>
      <w:r w:rsidR="008A1D13">
        <w:rPr>
          <w:lang w:val="fr-FR"/>
        </w:rPr>
        <w:t>’</w:t>
      </w:r>
      <w:r>
        <w:rPr>
          <w:lang w:val="fr-FR"/>
        </w:rPr>
        <w:t>était pas conformé à son mandat</w:t>
      </w:r>
      <w:r w:rsidR="00621161">
        <w:rPr>
          <w:lang w:val="fr-FR"/>
        </w:rPr>
        <w:t> ;</w:t>
      </w:r>
    </w:p>
    <w:p w14:paraId="0DCBF5DA" w14:textId="55A70439" w:rsidR="00306F47" w:rsidRPr="00621161" w:rsidRDefault="00306F47" w:rsidP="00AD4C74">
      <w:pPr>
        <w:pStyle w:val="Normalnumber"/>
        <w:keepNext/>
        <w:keepLines/>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lastRenderedPageBreak/>
        <w:t xml:space="preserve">Des préoccupations ont été exprimées concernant la proposition de mettre en place un plan mondial de surveillance, </w:t>
      </w:r>
      <w:r w:rsidR="00621161">
        <w:rPr>
          <w:lang w:val="fr-FR"/>
        </w:rPr>
        <w:t>étant donné</w:t>
      </w:r>
      <w:r w:rsidR="008A1D13">
        <w:rPr>
          <w:lang w:val="fr-FR"/>
        </w:rPr>
        <w:t xml:space="preserve"> que l’article </w:t>
      </w:r>
      <w:r>
        <w:rPr>
          <w:lang w:val="fr-FR"/>
        </w:rPr>
        <w:t>22 de la Convention prévoit une évaluation de l</w:t>
      </w:r>
      <w:r w:rsidR="008A1D13">
        <w:rPr>
          <w:lang w:val="fr-FR"/>
        </w:rPr>
        <w:t>’</w:t>
      </w:r>
      <w:r>
        <w:rPr>
          <w:lang w:val="fr-FR"/>
        </w:rPr>
        <w:t>efficacité menée sur la base des informations disponibles. Il a été noté que la Convention de Minamata n</w:t>
      </w:r>
      <w:r w:rsidR="008A1D13">
        <w:rPr>
          <w:lang w:val="fr-FR"/>
        </w:rPr>
        <w:t>’</w:t>
      </w:r>
      <w:r>
        <w:rPr>
          <w:lang w:val="fr-FR"/>
        </w:rPr>
        <w:t>exige pas des Parties qu</w:t>
      </w:r>
      <w:r w:rsidR="008A1D13">
        <w:rPr>
          <w:lang w:val="fr-FR"/>
        </w:rPr>
        <w:t>’</w:t>
      </w:r>
      <w:r>
        <w:rPr>
          <w:lang w:val="fr-FR"/>
        </w:rPr>
        <w:t>elles entreprennent des activités ou présentent des rapports en matière de surveillance</w:t>
      </w:r>
      <w:r w:rsidR="00621161">
        <w:rPr>
          <w:lang w:val="fr-FR"/>
        </w:rPr>
        <w:t> ;</w:t>
      </w:r>
    </w:p>
    <w:p w14:paraId="64A36A4F" w14:textId="27C83060"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À ce sujet, la conclusion du Groupe qu</w:t>
      </w:r>
      <w:r w:rsidR="008A1D13">
        <w:rPr>
          <w:lang w:val="fr-FR"/>
        </w:rPr>
        <w:t>’</w:t>
      </w:r>
      <w:r>
        <w:rPr>
          <w:lang w:val="fr-FR"/>
        </w:rPr>
        <w:t>il conviendrait de recueillir des données de surveillance sur les concentrations de mercure dans l</w:t>
      </w:r>
      <w:r w:rsidR="008A1D13">
        <w:rPr>
          <w:lang w:val="fr-FR"/>
        </w:rPr>
        <w:t>’</w:t>
      </w:r>
      <w:r>
        <w:rPr>
          <w:lang w:val="fr-FR"/>
        </w:rPr>
        <w:t>air, les biotes et les tissus humains (cheveux et sang de cordon ombilical) a suscité plusieurs observations selon lesquelles il faudrait peut-être collecter des données sur d</w:t>
      </w:r>
      <w:r w:rsidR="008A1D13">
        <w:rPr>
          <w:lang w:val="fr-FR"/>
        </w:rPr>
        <w:t>’</w:t>
      </w:r>
      <w:r>
        <w:rPr>
          <w:lang w:val="fr-FR"/>
        </w:rPr>
        <w:t>autres matrices</w:t>
      </w:r>
      <w:r w:rsidR="00621161">
        <w:rPr>
          <w:lang w:val="fr-FR"/>
        </w:rPr>
        <w:t> ;</w:t>
      </w:r>
    </w:p>
    <w:p w14:paraId="6C3248CA" w14:textId="77072585"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Une Partie a recommandé l</w:t>
      </w:r>
      <w:r w:rsidR="008A1D13">
        <w:rPr>
          <w:lang w:val="fr-FR"/>
        </w:rPr>
        <w:t>’</w:t>
      </w:r>
      <w:r>
        <w:rPr>
          <w:lang w:val="fr-FR"/>
        </w:rPr>
        <w:t>élaboration d</w:t>
      </w:r>
      <w:r w:rsidR="008A1D13">
        <w:rPr>
          <w:lang w:val="fr-FR"/>
        </w:rPr>
        <w:t>’</w:t>
      </w:r>
      <w:r>
        <w:rPr>
          <w:lang w:val="fr-FR"/>
        </w:rPr>
        <w:t xml:space="preserve">un « </w:t>
      </w:r>
      <w:r w:rsidR="00621161">
        <w:rPr>
          <w:lang w:val="fr-FR"/>
        </w:rPr>
        <w:t>g</w:t>
      </w:r>
      <w:r>
        <w:rPr>
          <w:lang w:val="fr-FR"/>
        </w:rPr>
        <w:t>uide technique de surveillance mondiale du mercure » pour faciliter la collecte de données comparables. D</w:t>
      </w:r>
      <w:r w:rsidR="008A1D13">
        <w:rPr>
          <w:lang w:val="fr-FR"/>
        </w:rPr>
        <w:t>’</w:t>
      </w:r>
      <w:r>
        <w:rPr>
          <w:lang w:val="fr-FR"/>
        </w:rPr>
        <w:t>autres ont attiré l</w:t>
      </w:r>
      <w:r w:rsidR="008A1D13">
        <w:rPr>
          <w:lang w:val="fr-FR"/>
        </w:rPr>
        <w:t>’</w:t>
      </w:r>
      <w:r>
        <w:rPr>
          <w:lang w:val="fr-FR"/>
        </w:rPr>
        <w:t>attention sur la nécessité de renforcer les capacités et de coopérer avec la société civile</w:t>
      </w:r>
      <w:r w:rsidR="00621161">
        <w:rPr>
          <w:lang w:val="fr-FR"/>
        </w:rPr>
        <w:t> ;</w:t>
      </w:r>
    </w:p>
    <w:p w14:paraId="601F6365" w14:textId="5B603ADD"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Il a été noté avec inquiétude qu</w:t>
      </w:r>
      <w:r w:rsidR="008A1D13">
        <w:rPr>
          <w:lang w:val="fr-FR"/>
        </w:rPr>
        <w:t>’</w:t>
      </w:r>
      <w:r>
        <w:rPr>
          <w:lang w:val="fr-FR"/>
        </w:rPr>
        <w:t>au lieu de présenter un choix de méthodes envisageables pour l</w:t>
      </w:r>
      <w:r w:rsidR="008A1D13">
        <w:rPr>
          <w:lang w:val="fr-FR"/>
        </w:rPr>
        <w:t>’</w:t>
      </w:r>
      <w:r>
        <w:rPr>
          <w:lang w:val="fr-FR"/>
        </w:rPr>
        <w:t>évaluation de l</w:t>
      </w:r>
      <w:r w:rsidR="008A1D13">
        <w:rPr>
          <w:lang w:val="fr-FR"/>
        </w:rPr>
        <w:t>’</w:t>
      </w:r>
      <w:r>
        <w:rPr>
          <w:lang w:val="fr-FR"/>
        </w:rPr>
        <w:t>efficacité, le Groupe spécial d</w:t>
      </w:r>
      <w:r w:rsidR="008A1D13">
        <w:rPr>
          <w:lang w:val="fr-FR"/>
        </w:rPr>
        <w:t>’</w:t>
      </w:r>
      <w:r>
        <w:rPr>
          <w:lang w:val="fr-FR"/>
        </w:rPr>
        <w:t>experts s</w:t>
      </w:r>
      <w:r w:rsidR="008A1D13">
        <w:rPr>
          <w:lang w:val="fr-FR"/>
        </w:rPr>
        <w:t>’</w:t>
      </w:r>
      <w:r>
        <w:rPr>
          <w:lang w:val="fr-FR"/>
        </w:rPr>
        <w:t>était largement étendu sur une seule, allant jusqu</w:t>
      </w:r>
      <w:r w:rsidR="008A1D13">
        <w:rPr>
          <w:lang w:val="fr-FR"/>
        </w:rPr>
        <w:t>’</w:t>
      </w:r>
      <w:r>
        <w:rPr>
          <w:lang w:val="fr-FR"/>
        </w:rPr>
        <w:t>à proposer des indicateurs de performance pour chaque article</w:t>
      </w:r>
      <w:r w:rsidR="00621161">
        <w:rPr>
          <w:lang w:val="fr-FR"/>
        </w:rPr>
        <w:t> ;</w:t>
      </w:r>
    </w:p>
    <w:p w14:paraId="2F34F6D4" w14:textId="61B448B5"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Concernant les sources d</w:t>
      </w:r>
      <w:r w:rsidR="008A1D13">
        <w:rPr>
          <w:lang w:val="fr-FR"/>
        </w:rPr>
        <w:t>’</w:t>
      </w:r>
      <w:r>
        <w:rPr>
          <w:lang w:val="fr-FR"/>
        </w:rPr>
        <w:t>informations pour l</w:t>
      </w:r>
      <w:r w:rsidR="008A1D13">
        <w:rPr>
          <w:lang w:val="fr-FR"/>
        </w:rPr>
        <w:t>’</w:t>
      </w:r>
      <w:r>
        <w:rPr>
          <w:lang w:val="fr-FR"/>
        </w:rPr>
        <w:t>évaluation de l</w:t>
      </w:r>
      <w:r w:rsidR="008A1D13">
        <w:rPr>
          <w:lang w:val="fr-FR"/>
        </w:rPr>
        <w:t>’</w:t>
      </w:r>
      <w:r>
        <w:rPr>
          <w:lang w:val="fr-FR"/>
        </w:rPr>
        <w:t>efficacité, une Partie a exprimé l</w:t>
      </w:r>
      <w:r w:rsidR="008A1D13">
        <w:rPr>
          <w:lang w:val="fr-FR"/>
        </w:rPr>
        <w:t>’</w:t>
      </w:r>
      <w:r>
        <w:rPr>
          <w:lang w:val="fr-FR"/>
        </w:rPr>
        <w:t>avis qu</w:t>
      </w:r>
      <w:r w:rsidR="008A1D13">
        <w:rPr>
          <w:lang w:val="fr-FR"/>
        </w:rPr>
        <w:t>’</w:t>
      </w:r>
      <w:r>
        <w:rPr>
          <w:lang w:val="fr-FR"/>
        </w:rPr>
        <w:t>il convenait de se fonder sur ce que</w:t>
      </w:r>
      <w:r w:rsidR="00293D56">
        <w:rPr>
          <w:lang w:val="fr-FR"/>
        </w:rPr>
        <w:t xml:space="preserve"> les Parties communiquaient au s</w:t>
      </w:r>
      <w:r>
        <w:rPr>
          <w:lang w:val="fr-FR"/>
        </w:rPr>
        <w:t>ecrétariat en application des dispositions de la Convention et a proposé que toute mention d</w:t>
      </w:r>
      <w:r w:rsidR="008A1D13">
        <w:rPr>
          <w:lang w:val="fr-FR"/>
        </w:rPr>
        <w:t>’</w:t>
      </w:r>
      <w:r>
        <w:rPr>
          <w:lang w:val="fr-FR"/>
        </w:rPr>
        <w:t>autres sources d</w:t>
      </w:r>
      <w:r w:rsidR="008A1D13">
        <w:rPr>
          <w:lang w:val="fr-FR"/>
        </w:rPr>
        <w:t>’</w:t>
      </w:r>
      <w:r>
        <w:rPr>
          <w:lang w:val="fr-FR"/>
        </w:rPr>
        <w:t>informations soit supprimée du cadre de surveillance et de la liste d</w:t>
      </w:r>
      <w:r w:rsidR="008A1D13">
        <w:rPr>
          <w:lang w:val="fr-FR"/>
        </w:rPr>
        <w:t>’</w:t>
      </w:r>
      <w:r>
        <w:rPr>
          <w:lang w:val="fr-FR"/>
        </w:rPr>
        <w:t>indicateurs potentiels. D</w:t>
      </w:r>
      <w:r w:rsidR="008A1D13">
        <w:rPr>
          <w:lang w:val="fr-FR"/>
        </w:rPr>
        <w:t>’</w:t>
      </w:r>
      <w:r>
        <w:rPr>
          <w:lang w:val="fr-FR"/>
        </w:rPr>
        <w:t>autres étaient toutefois favorables à l</w:t>
      </w:r>
      <w:r w:rsidR="008A1D13">
        <w:rPr>
          <w:lang w:val="fr-FR"/>
        </w:rPr>
        <w:t>’</w:t>
      </w:r>
      <w:r>
        <w:rPr>
          <w:lang w:val="fr-FR"/>
        </w:rPr>
        <w:t>utilisation d</w:t>
      </w:r>
      <w:r w:rsidR="008A1D13">
        <w:rPr>
          <w:lang w:val="fr-FR"/>
        </w:rPr>
        <w:t>’</w:t>
      </w:r>
      <w:r>
        <w:rPr>
          <w:lang w:val="fr-FR"/>
        </w:rPr>
        <w:t>autres sources d</w:t>
      </w:r>
      <w:r w:rsidR="008A1D13">
        <w:rPr>
          <w:lang w:val="fr-FR"/>
        </w:rPr>
        <w:t>’</w:t>
      </w:r>
      <w:r>
        <w:rPr>
          <w:lang w:val="fr-FR"/>
        </w:rPr>
        <w:t>informations, y compris les divers rapports de projet</w:t>
      </w:r>
      <w:r w:rsidR="00621161">
        <w:rPr>
          <w:lang w:val="fr-FR"/>
        </w:rPr>
        <w:t> ;</w:t>
      </w:r>
    </w:p>
    <w:p w14:paraId="1DEDF464" w14:textId="287EEE7E" w:rsidR="00306F47" w:rsidRPr="00621161" w:rsidRDefault="00306F47" w:rsidP="00AD4C74">
      <w:pPr>
        <w:pStyle w:val="Normalnumber"/>
        <w:numPr>
          <w:ilvl w:val="1"/>
          <w:numId w:val="13"/>
        </w:numPr>
        <w:tabs>
          <w:tab w:val="clear" w:pos="1247"/>
          <w:tab w:val="clear" w:pos="1814"/>
          <w:tab w:val="clear" w:pos="2381"/>
          <w:tab w:val="clear" w:pos="2948"/>
          <w:tab w:val="clear" w:pos="3515"/>
          <w:tab w:val="clear" w:pos="4082"/>
          <w:tab w:val="left" w:pos="624"/>
          <w:tab w:val="left" w:pos="2410"/>
        </w:tabs>
        <w:ind w:left="1247" w:firstLine="624"/>
        <w:rPr>
          <w:lang w:val="fr-FR"/>
        </w:rPr>
      </w:pPr>
      <w:r>
        <w:rPr>
          <w:lang w:val="fr-FR"/>
        </w:rPr>
        <w:t>Une Partie a relevé que le projet de rapport contenait des affirmations que le Groupe spécial avait omis d</w:t>
      </w:r>
      <w:r w:rsidR="008A1D13">
        <w:rPr>
          <w:lang w:val="fr-FR"/>
        </w:rPr>
        <w:t>’</w:t>
      </w:r>
      <w:r>
        <w:rPr>
          <w:lang w:val="fr-FR"/>
        </w:rPr>
        <w:t>étayer par des explications sur le raisonnement sous-jacent ou des preuves telles que des citations de publications et rapports scientifiques, ce qui amoindrissait l</w:t>
      </w:r>
      <w:r w:rsidR="008A1D13">
        <w:rPr>
          <w:lang w:val="fr-FR"/>
        </w:rPr>
        <w:t>’</w:t>
      </w:r>
      <w:r>
        <w:rPr>
          <w:lang w:val="fr-FR"/>
        </w:rPr>
        <w:t>aptitude des Parties à comprendre le contexte de ses suggestions.</w:t>
      </w:r>
    </w:p>
    <w:p w14:paraId="4CC55DD8" w14:textId="18CCA42A" w:rsidR="00306F47" w:rsidRPr="00621161" w:rsidRDefault="00015336" w:rsidP="004849C1">
      <w:pPr>
        <w:pStyle w:val="CH2"/>
        <w:rPr>
          <w:lang w:val="fr-FR"/>
        </w:rPr>
      </w:pPr>
      <w:r>
        <w:rPr>
          <w:lang w:val="fr-FR"/>
        </w:rPr>
        <w:tab/>
      </w:r>
      <w:r>
        <w:rPr>
          <w:lang w:val="fr-FR"/>
        </w:rPr>
        <w:tab/>
        <w:t>Mesures que pourrait prendre la Conférence des Parties</w:t>
      </w:r>
    </w:p>
    <w:p w14:paraId="0D3FCC67" w14:textId="59023FB8" w:rsidR="00BC01F1" w:rsidRDefault="00306F47" w:rsidP="00AD4C74">
      <w:pPr>
        <w:pStyle w:val="Normalnumber"/>
        <w:numPr>
          <w:ilvl w:val="0"/>
          <w:numId w:val="5"/>
        </w:numPr>
        <w:tabs>
          <w:tab w:val="clear" w:pos="1247"/>
          <w:tab w:val="clear" w:pos="1814"/>
          <w:tab w:val="clear" w:pos="2381"/>
          <w:tab w:val="clear" w:pos="2948"/>
          <w:tab w:val="clear" w:pos="3515"/>
          <w:tab w:val="clear" w:pos="4082"/>
          <w:tab w:val="left" w:pos="624"/>
          <w:tab w:val="left" w:pos="1843"/>
        </w:tabs>
        <w:ind w:left="1247" w:firstLine="0"/>
        <w:rPr>
          <w:lang w:val="fr-FR"/>
        </w:rPr>
      </w:pPr>
      <w:r>
        <w:rPr>
          <w:lang w:val="fr-FR"/>
        </w:rPr>
        <w:t>La Conférence des Parties souhaitera peut-être examiner les recommandations du Groupe spécial d</w:t>
      </w:r>
      <w:r w:rsidR="008A1D13">
        <w:rPr>
          <w:lang w:val="fr-FR"/>
        </w:rPr>
        <w:t>’</w:t>
      </w:r>
      <w:r>
        <w:rPr>
          <w:lang w:val="fr-FR"/>
        </w:rPr>
        <w:t>experts et les observations formulées par les Parties et autres entités concernant le rapport du Groupe. Elle souhaitera peut-être demander au Groupe spécial d</w:t>
      </w:r>
      <w:r w:rsidR="008A1D13">
        <w:rPr>
          <w:lang w:val="fr-FR"/>
        </w:rPr>
        <w:t>’</w:t>
      </w:r>
      <w:r>
        <w:rPr>
          <w:lang w:val="fr-FR"/>
        </w:rPr>
        <w:t>experts de poursuivre ses travaux et de revoir ses recommandations, en tenant compte des débats connexes et des orientations sur la question qu</w:t>
      </w:r>
      <w:r w:rsidR="008A1D13">
        <w:rPr>
          <w:lang w:val="fr-FR"/>
        </w:rPr>
        <w:t>’</w:t>
      </w:r>
      <w:r>
        <w:rPr>
          <w:lang w:val="fr-FR"/>
        </w:rPr>
        <w:t>elle fournira lors de sa deuxième réunion, ainsi que d</w:t>
      </w:r>
      <w:r w:rsidR="008A1D13">
        <w:rPr>
          <w:lang w:val="fr-FR"/>
        </w:rPr>
        <w:t>’</w:t>
      </w:r>
      <w:r>
        <w:rPr>
          <w:lang w:val="fr-FR"/>
        </w:rPr>
        <w:t>autres questions et sujets de préoccupation qui pourraient être soulevés au cours de cette réunion, et de lui présenter un rapport plus détaillé sur les arrangements proposés en vue de l</w:t>
      </w:r>
      <w:r w:rsidR="008A1D13">
        <w:rPr>
          <w:lang w:val="fr-FR"/>
        </w:rPr>
        <w:t>’</w:t>
      </w:r>
      <w:r>
        <w:rPr>
          <w:lang w:val="fr-FR"/>
        </w:rPr>
        <w:t>obtention de données de surveillance comparables et sur les éléments d</w:t>
      </w:r>
      <w:r w:rsidR="008A1D13">
        <w:rPr>
          <w:lang w:val="fr-FR"/>
        </w:rPr>
        <w:t>’</w:t>
      </w:r>
      <w:r>
        <w:rPr>
          <w:lang w:val="fr-FR"/>
        </w:rPr>
        <w:t>un cadre d</w:t>
      </w:r>
      <w:r w:rsidR="008A1D13">
        <w:rPr>
          <w:lang w:val="fr-FR"/>
        </w:rPr>
        <w:t>’</w:t>
      </w:r>
      <w:r>
        <w:rPr>
          <w:lang w:val="fr-FR"/>
        </w:rPr>
        <w:t>évaluation de l</w:t>
      </w:r>
      <w:r w:rsidR="008A1D13">
        <w:rPr>
          <w:lang w:val="fr-FR"/>
        </w:rPr>
        <w:t>’</w:t>
      </w:r>
      <w:r>
        <w:rPr>
          <w:lang w:val="fr-FR"/>
        </w:rPr>
        <w:t>efficacité, pour examen à sa troisième réunion.</w:t>
      </w:r>
    </w:p>
    <w:p w14:paraId="743CC9CB" w14:textId="082BA403" w:rsidR="00306F47" w:rsidRPr="00621161" w:rsidRDefault="00306F47" w:rsidP="004849C1">
      <w:pPr>
        <w:tabs>
          <w:tab w:val="clear" w:pos="1247"/>
          <w:tab w:val="clear" w:pos="1814"/>
          <w:tab w:val="clear" w:pos="2381"/>
          <w:tab w:val="clear" w:pos="2948"/>
          <w:tab w:val="clear" w:pos="3515"/>
        </w:tabs>
        <w:rPr>
          <w:b/>
          <w:sz w:val="28"/>
          <w:szCs w:val="28"/>
          <w:lang w:val="fr-FR"/>
        </w:rPr>
      </w:pPr>
      <w:r w:rsidRPr="00621161">
        <w:rPr>
          <w:lang w:val="fr-FR"/>
        </w:rPr>
        <w:br w:type="page"/>
      </w:r>
    </w:p>
    <w:p w14:paraId="5B165752" w14:textId="77777777" w:rsidR="00306F47" w:rsidRPr="00621161" w:rsidRDefault="00306F47" w:rsidP="004849C1">
      <w:pPr>
        <w:pStyle w:val="ZZAnxheader"/>
        <w:rPr>
          <w:lang w:val="fr-FR"/>
        </w:rPr>
      </w:pPr>
      <w:r>
        <w:rPr>
          <w:lang w:val="fr-FR"/>
        </w:rPr>
        <w:lastRenderedPageBreak/>
        <w:t>Annexe</w:t>
      </w:r>
    </w:p>
    <w:p w14:paraId="1E150BEF" w14:textId="65C941C1" w:rsidR="00306F47" w:rsidRPr="00621161" w:rsidRDefault="00306F47" w:rsidP="004849C1">
      <w:pPr>
        <w:pStyle w:val="ZZAnxtitle"/>
        <w:rPr>
          <w:b w:val="0"/>
          <w:bCs w:val="0"/>
          <w:lang w:val="fr-FR"/>
        </w:rPr>
      </w:pPr>
      <w:r>
        <w:rPr>
          <w:lang w:val="fr-FR"/>
        </w:rPr>
        <w:t>Recommandations du Groupe d</w:t>
      </w:r>
      <w:r w:rsidR="008A1D13">
        <w:rPr>
          <w:lang w:val="fr-FR"/>
        </w:rPr>
        <w:t>’</w:t>
      </w:r>
      <w:r w:rsidR="004124CC">
        <w:rPr>
          <w:lang w:val="fr-FR"/>
        </w:rPr>
        <w:t>experts en ce qui concerne la </w:t>
      </w:r>
      <w:r w:rsidRPr="00621161">
        <w:rPr>
          <w:lang w:val="fr-FR"/>
        </w:rPr>
        <w:t>surveillance</w:t>
      </w:r>
      <w:bookmarkStart w:id="6" w:name="_Hlk523214865"/>
    </w:p>
    <w:p w14:paraId="28778CE5" w14:textId="77777777" w:rsidR="00306F47" w:rsidRPr="00CD0FA5" w:rsidRDefault="00306F47" w:rsidP="004849C1">
      <w:pPr>
        <w:pStyle w:val="Text"/>
        <w:spacing w:line="240" w:lineRule="auto"/>
        <w:ind w:left="1247"/>
        <w:rPr>
          <w:rFonts w:ascii="Times New Roman" w:hAnsi="Times New Roman" w:cs="Times New Roman"/>
          <w:b/>
          <w:bCs/>
          <w:color w:val="auto"/>
          <w:sz w:val="26"/>
          <w:szCs w:val="24"/>
          <w:lang w:val="fr-FR"/>
        </w:rPr>
      </w:pPr>
      <w:r w:rsidRPr="00CD0FA5">
        <w:rPr>
          <w:rFonts w:ascii="Times New Roman" w:hAnsi="Times New Roman" w:cs="Times New Roman"/>
          <w:b/>
          <w:sz w:val="24"/>
          <w:lang w:val="fr-FR"/>
        </w:rPr>
        <w:t>Recommandations pour les arrangements en matière de données de surveillance</w:t>
      </w:r>
    </w:p>
    <w:bookmarkEnd w:id="6"/>
    <w:p w14:paraId="0D64F919" w14:textId="4EE59CB5" w:rsidR="00306F47" w:rsidRPr="00CD0FA5" w:rsidRDefault="00306F47" w:rsidP="004849C1">
      <w:pPr>
        <w:pStyle w:val="Text"/>
        <w:spacing w:after="120" w:line="240" w:lineRule="auto"/>
        <w:ind w:left="1247"/>
        <w:rPr>
          <w:rFonts w:ascii="Times New Roman" w:hAnsi="Times New Roman" w:cs="Times New Roman"/>
          <w:b/>
          <w:color w:val="auto"/>
          <w:sz w:val="20"/>
          <w:szCs w:val="20"/>
          <w:lang w:val="fr-FR"/>
        </w:rPr>
      </w:pPr>
      <w:r w:rsidRPr="00CD0FA5">
        <w:rPr>
          <w:rFonts w:ascii="Times New Roman" w:hAnsi="Times New Roman" w:cs="Times New Roman"/>
          <w:b/>
          <w:sz w:val="20"/>
          <w:szCs w:val="20"/>
          <w:lang w:val="fr-FR"/>
        </w:rPr>
        <w:t>Aperçu des types de données susceptibles d</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 xml:space="preserve">être comparées au niveau mondial, </w:t>
      </w:r>
      <w:r w:rsidR="004124CC">
        <w:rPr>
          <w:rFonts w:ascii="Times New Roman" w:hAnsi="Times New Roman" w:cs="Times New Roman"/>
          <w:b/>
          <w:sz w:val="20"/>
          <w:szCs w:val="20"/>
          <w:lang w:val="fr-FR"/>
        </w:rPr>
        <w:br/>
      </w:r>
      <w:r w:rsidRPr="00CD0FA5">
        <w:rPr>
          <w:rFonts w:ascii="Times New Roman" w:hAnsi="Times New Roman" w:cs="Times New Roman"/>
          <w:b/>
          <w:sz w:val="20"/>
          <w:szCs w:val="20"/>
          <w:lang w:val="fr-FR"/>
        </w:rPr>
        <w:t xml:space="preserve">ainsi que de leur disponibilité, et projet de plan pour intégrer les résultats comparables </w:t>
      </w:r>
      <w:r w:rsidR="004124CC">
        <w:rPr>
          <w:rFonts w:ascii="Times New Roman" w:hAnsi="Times New Roman" w:cs="Times New Roman"/>
          <w:b/>
          <w:sz w:val="20"/>
          <w:szCs w:val="20"/>
          <w:lang w:val="fr-FR"/>
        </w:rPr>
        <w:br/>
      </w:r>
      <w:r w:rsidRPr="00CD0FA5">
        <w:rPr>
          <w:rFonts w:ascii="Times New Roman" w:hAnsi="Times New Roman" w:cs="Times New Roman"/>
          <w:b/>
          <w:sz w:val="20"/>
          <w:szCs w:val="20"/>
          <w:lang w:val="fr-FR"/>
        </w:rPr>
        <w:t>aux fins des futures activités de surveillance</w:t>
      </w:r>
    </w:p>
    <w:p w14:paraId="75B4E7A1" w14:textId="27F36008" w:rsidR="00306F47" w:rsidRPr="00CD0FA5" w:rsidRDefault="00306F47" w:rsidP="004849C1">
      <w:pPr>
        <w:pStyle w:val="Text"/>
        <w:numPr>
          <w:ilvl w:val="0"/>
          <w:numId w:val="12"/>
        </w:numPr>
        <w:spacing w:after="120" w:line="240" w:lineRule="auto"/>
        <w:ind w:left="1871" w:hanging="624"/>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La Conférence des Parties devrait :</w:t>
      </w:r>
    </w:p>
    <w:p w14:paraId="38270A7E" w14:textId="58CBBA5A" w:rsidR="00306F47" w:rsidRPr="00CD0FA5" w:rsidRDefault="00B00100" w:rsidP="004849C1">
      <w:pPr>
        <w:pStyle w:val="Text"/>
        <w:numPr>
          <w:ilvl w:val="0"/>
          <w:numId w:val="6"/>
        </w:numPr>
        <w:spacing w:after="120" w:line="240" w:lineRule="auto"/>
        <w:ind w:left="2495" w:hanging="624"/>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Établir, par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intermédiaire du secrétariat, des relations avec les organismes qui gèrent les informations existantes.</w:t>
      </w:r>
    </w:p>
    <w:p w14:paraId="4CCA591E" w14:textId="43503AD9" w:rsidR="00306F47" w:rsidRPr="00CD0FA5" w:rsidRDefault="00B00100" w:rsidP="004849C1">
      <w:pPr>
        <w:pStyle w:val="Text"/>
        <w:numPr>
          <w:ilvl w:val="0"/>
          <w:numId w:val="6"/>
        </w:numPr>
        <w:spacing w:after="120" w:line="240" w:lineRule="auto"/>
        <w:ind w:left="2495" w:hanging="624"/>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Demander aux experts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 xml:space="preserve">élaborer un cadre pour les arrangements en matière de surveillance et la mise en </w:t>
      </w:r>
      <w:r w:rsidR="00BC01F1" w:rsidRPr="00CD0FA5">
        <w:rPr>
          <w:rFonts w:ascii="Times New Roman" w:hAnsi="Times New Roman" w:cs="Times New Roman"/>
          <w:sz w:val="20"/>
          <w:szCs w:val="20"/>
          <w:lang w:val="fr-FR"/>
        </w:rPr>
        <w:t>œuvre</w:t>
      </w:r>
      <w:r w:rsidRPr="00CD0FA5">
        <w:rPr>
          <w:rFonts w:ascii="Times New Roman" w:hAnsi="Times New Roman" w:cs="Times New Roman"/>
          <w:sz w:val="20"/>
          <w:szCs w:val="20"/>
          <w:lang w:val="fr-FR"/>
        </w:rPr>
        <w:t xml:space="preserve"> du plan proposé.</w:t>
      </w:r>
    </w:p>
    <w:p w14:paraId="09C9A978" w14:textId="574C36B9" w:rsidR="00306F47" w:rsidRPr="00CD0FA5" w:rsidRDefault="00B00100" w:rsidP="004849C1">
      <w:pPr>
        <w:pStyle w:val="Text"/>
        <w:numPr>
          <w:ilvl w:val="0"/>
          <w:numId w:val="6"/>
        </w:numPr>
        <w:spacing w:after="120" w:line="240" w:lineRule="auto"/>
        <w:ind w:left="2495" w:hanging="624"/>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Faire une recommandation au Fonds pour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environnement mondial (FEM)</w:t>
      </w:r>
      <w:r w:rsidR="00306F47" w:rsidRPr="00CD0FA5">
        <w:rPr>
          <w:rStyle w:val="Appelnotedebasdep"/>
          <w:rFonts w:cs="Times New Roman"/>
          <w:szCs w:val="20"/>
          <w:lang w:val="fr-FR"/>
        </w:rPr>
        <w:footnoteReference w:id="3"/>
      </w:r>
      <w:r w:rsidRPr="00CD0FA5">
        <w:rPr>
          <w:rFonts w:ascii="Times New Roman" w:hAnsi="Times New Roman" w:cs="Times New Roman"/>
          <w:sz w:val="20"/>
          <w:szCs w:val="20"/>
          <w:lang w:val="fr-FR"/>
        </w:rPr>
        <w:t xml:space="preserve"> concernant la nécessité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un appui pour la collecte de données essentielles et faciliter la communication continue de données de surveillance pour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efficacité.</w:t>
      </w:r>
    </w:p>
    <w:p w14:paraId="187724B5" w14:textId="77777777" w:rsidR="00306F47" w:rsidRPr="00CD0FA5" w:rsidRDefault="00306F47" w:rsidP="004849C1">
      <w:pPr>
        <w:pStyle w:val="Text"/>
        <w:spacing w:after="120" w:line="240" w:lineRule="auto"/>
        <w:ind w:left="1247"/>
        <w:rPr>
          <w:rFonts w:ascii="Times New Roman" w:hAnsi="Times New Roman" w:cs="Times New Roman"/>
          <w:b/>
          <w:bCs/>
          <w:color w:val="auto"/>
          <w:sz w:val="20"/>
          <w:szCs w:val="20"/>
          <w:lang w:val="fr-FR"/>
        </w:rPr>
      </w:pPr>
      <w:r w:rsidRPr="00CD0FA5">
        <w:rPr>
          <w:rFonts w:ascii="Times New Roman" w:hAnsi="Times New Roman" w:cs="Times New Roman"/>
          <w:b/>
          <w:sz w:val="20"/>
          <w:szCs w:val="20"/>
          <w:lang w:val="fr-FR"/>
        </w:rPr>
        <w:t>Examen des informations sur les programmes de surveillance existants</w:t>
      </w:r>
    </w:p>
    <w:p w14:paraId="2DC7EB81" w14:textId="38406B02" w:rsidR="00306F47" w:rsidRPr="00CD0FA5" w:rsidRDefault="00306F47" w:rsidP="00500725">
      <w:pPr>
        <w:pStyle w:val="Text"/>
        <w:numPr>
          <w:ilvl w:val="0"/>
          <w:numId w:val="12"/>
        </w:numPr>
        <w:tabs>
          <w:tab w:val="left" w:pos="1843"/>
        </w:tabs>
        <w:spacing w:after="120" w:line="240" w:lineRule="auto"/>
        <w:ind w:left="1247" w:firstLine="0"/>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La Conférence des Parties devrait inviter les pays et les organisations à continuer de communiquer des informations sur leurs programmes de surveillance pour alimenter les débats à la troisième réunion de la Conférence des Parties.</w:t>
      </w:r>
    </w:p>
    <w:p w14:paraId="69A26CBB" w14:textId="1B82D586" w:rsidR="00306F47" w:rsidRPr="00CD0FA5" w:rsidRDefault="00306F47" w:rsidP="004849C1">
      <w:pPr>
        <w:pStyle w:val="Text"/>
        <w:spacing w:after="120" w:line="240" w:lineRule="auto"/>
        <w:ind w:left="1247"/>
        <w:rPr>
          <w:rFonts w:ascii="Times New Roman" w:hAnsi="Times New Roman" w:cs="Times New Roman"/>
          <w:b/>
          <w:bCs/>
          <w:color w:val="auto"/>
          <w:sz w:val="20"/>
          <w:szCs w:val="20"/>
          <w:lang w:val="fr-FR"/>
        </w:rPr>
      </w:pPr>
      <w:r w:rsidRPr="00CD0FA5">
        <w:rPr>
          <w:rFonts w:ascii="Times New Roman" w:hAnsi="Times New Roman" w:cs="Times New Roman"/>
          <w:b/>
          <w:sz w:val="20"/>
          <w:szCs w:val="20"/>
          <w:lang w:val="fr-FR"/>
        </w:rPr>
        <w:t>Évaluation de la mesure dans laquelle les informations exa</w:t>
      </w:r>
      <w:r w:rsidR="00810A3B">
        <w:rPr>
          <w:rFonts w:ascii="Times New Roman" w:hAnsi="Times New Roman" w:cs="Times New Roman"/>
          <w:b/>
          <w:sz w:val="20"/>
          <w:szCs w:val="20"/>
          <w:lang w:val="fr-FR"/>
        </w:rPr>
        <w:t>minées répondent aux besoins en </w:t>
      </w:r>
      <w:r w:rsidRPr="00CD0FA5">
        <w:rPr>
          <w:rFonts w:ascii="Times New Roman" w:hAnsi="Times New Roman" w:cs="Times New Roman"/>
          <w:b/>
          <w:sz w:val="20"/>
          <w:szCs w:val="20"/>
          <w:lang w:val="fr-FR"/>
        </w:rPr>
        <w:t>matière de sur</w:t>
      </w:r>
      <w:r w:rsidR="008A1D13">
        <w:rPr>
          <w:rFonts w:ascii="Times New Roman" w:hAnsi="Times New Roman" w:cs="Times New Roman"/>
          <w:b/>
          <w:sz w:val="20"/>
          <w:szCs w:val="20"/>
          <w:lang w:val="fr-FR"/>
        </w:rPr>
        <w:t>veillance énoncés au paragraphe </w:t>
      </w:r>
      <w:r w:rsidRPr="00CD0FA5">
        <w:rPr>
          <w:rFonts w:ascii="Times New Roman" w:hAnsi="Times New Roman" w:cs="Times New Roman"/>
          <w:b/>
          <w:sz w:val="20"/>
          <w:szCs w:val="20"/>
          <w:lang w:val="fr-FR"/>
        </w:rPr>
        <w:t>2 de l</w:t>
      </w:r>
      <w:r w:rsidR="008A1D13">
        <w:rPr>
          <w:rFonts w:ascii="Times New Roman" w:hAnsi="Times New Roman" w:cs="Times New Roman"/>
          <w:b/>
          <w:sz w:val="20"/>
          <w:szCs w:val="20"/>
          <w:lang w:val="fr-FR"/>
        </w:rPr>
        <w:t>’article </w:t>
      </w:r>
      <w:r w:rsidRPr="00CD0FA5">
        <w:rPr>
          <w:rFonts w:ascii="Times New Roman" w:hAnsi="Times New Roman" w:cs="Times New Roman"/>
          <w:b/>
          <w:sz w:val="20"/>
          <w:szCs w:val="20"/>
          <w:lang w:val="fr-FR"/>
        </w:rPr>
        <w:t>22 de la Convention de Minamata sur le mercure et, à partir de là, définition de solutions possibles pour améliorer la comparabilité et l</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exhaustivité des informations examinées</w:t>
      </w:r>
    </w:p>
    <w:p w14:paraId="564087B3" w14:textId="4AB96814" w:rsidR="00BC01F1" w:rsidRDefault="00306F47" w:rsidP="00500725">
      <w:pPr>
        <w:pStyle w:val="Text"/>
        <w:numPr>
          <w:ilvl w:val="0"/>
          <w:numId w:val="12"/>
        </w:numPr>
        <w:tabs>
          <w:tab w:val="left" w:pos="1843"/>
        </w:tabs>
        <w:spacing w:after="120" w:line="240" w:lineRule="auto"/>
        <w:ind w:left="1247" w:firstLine="0"/>
        <w:rPr>
          <w:rFonts w:ascii="Times New Roman" w:hAnsi="Times New Roman" w:cs="Times New Roman"/>
          <w:sz w:val="20"/>
          <w:szCs w:val="20"/>
          <w:lang w:val="fr-FR"/>
        </w:rPr>
      </w:pPr>
      <w:r w:rsidRPr="00CD0FA5">
        <w:rPr>
          <w:rFonts w:ascii="Times New Roman" w:hAnsi="Times New Roman" w:cs="Times New Roman"/>
          <w:sz w:val="20"/>
          <w:szCs w:val="20"/>
          <w:lang w:val="fr-FR"/>
        </w:rPr>
        <w:t>La Conférence des Parties devrait mettre au point un plan mondial de surveillance comprenant des recommandations sur les lacunes informationnelles qu</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il convient de combler pour répondre pleinement aux besoins en matière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in</w:t>
      </w:r>
      <w:r w:rsidR="008A1D13">
        <w:rPr>
          <w:rFonts w:ascii="Times New Roman" w:hAnsi="Times New Roman" w:cs="Times New Roman"/>
          <w:sz w:val="20"/>
          <w:szCs w:val="20"/>
          <w:lang w:val="fr-FR"/>
        </w:rPr>
        <w:t>formation définis au paragraphe </w:t>
      </w:r>
      <w:r w:rsidRPr="00CD0FA5">
        <w:rPr>
          <w:rFonts w:ascii="Times New Roman" w:hAnsi="Times New Roman" w:cs="Times New Roman"/>
          <w:sz w:val="20"/>
          <w:szCs w:val="20"/>
          <w:lang w:val="fr-FR"/>
        </w:rPr>
        <w:t>2 de l</w:t>
      </w:r>
      <w:r w:rsidR="008A1D13">
        <w:rPr>
          <w:rFonts w:ascii="Times New Roman" w:hAnsi="Times New Roman" w:cs="Times New Roman"/>
          <w:sz w:val="20"/>
          <w:szCs w:val="20"/>
          <w:lang w:val="fr-FR"/>
        </w:rPr>
        <w:t>’article </w:t>
      </w:r>
      <w:r w:rsidRPr="00CD0FA5">
        <w:rPr>
          <w:rFonts w:ascii="Times New Roman" w:hAnsi="Times New Roman" w:cs="Times New Roman"/>
          <w:sz w:val="20"/>
          <w:szCs w:val="20"/>
          <w:lang w:val="fr-FR"/>
        </w:rPr>
        <w:t>22.</w:t>
      </w:r>
    </w:p>
    <w:p w14:paraId="7D59B34F" w14:textId="6B3A6B56" w:rsidR="00306F47" w:rsidRPr="00CD0FA5" w:rsidRDefault="00306F47" w:rsidP="004849C1">
      <w:pPr>
        <w:pStyle w:val="Text"/>
        <w:spacing w:after="120" w:line="240" w:lineRule="auto"/>
        <w:ind w:left="1247"/>
        <w:rPr>
          <w:rFonts w:ascii="Times New Roman" w:hAnsi="Times New Roman" w:cs="Times New Roman"/>
          <w:b/>
          <w:bCs/>
          <w:color w:val="auto"/>
          <w:sz w:val="20"/>
          <w:szCs w:val="20"/>
          <w:lang w:val="fr-FR"/>
        </w:rPr>
      </w:pPr>
      <w:r w:rsidRPr="00CD0FA5">
        <w:rPr>
          <w:rFonts w:ascii="Times New Roman" w:hAnsi="Times New Roman" w:cs="Times New Roman"/>
          <w:b/>
          <w:sz w:val="20"/>
          <w:szCs w:val="20"/>
          <w:lang w:val="fr-FR"/>
        </w:rPr>
        <w:t>Prise en compte du rapport coût-efficacité, de l</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 xml:space="preserve">utilité, de la faisabilité et de la durabilité, </w:t>
      </w:r>
      <w:r w:rsidR="00810A3B">
        <w:rPr>
          <w:rFonts w:ascii="Times New Roman" w:hAnsi="Times New Roman" w:cs="Times New Roman"/>
          <w:b/>
          <w:sz w:val="20"/>
          <w:szCs w:val="20"/>
          <w:lang w:val="fr-FR"/>
        </w:rPr>
        <w:br/>
      </w:r>
      <w:r w:rsidRPr="00CD0FA5">
        <w:rPr>
          <w:rFonts w:ascii="Times New Roman" w:hAnsi="Times New Roman" w:cs="Times New Roman"/>
          <w:b/>
          <w:sz w:val="20"/>
          <w:szCs w:val="20"/>
          <w:lang w:val="fr-FR"/>
        </w:rPr>
        <w:t>de la couverture mondiale et des capacités régionales dans la détermination des moyens d</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améliorer la surveillance à l</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avenir</w:t>
      </w:r>
    </w:p>
    <w:p w14:paraId="71942FE5" w14:textId="06335924" w:rsidR="00BC01F1" w:rsidRDefault="00306F47" w:rsidP="00500725">
      <w:pPr>
        <w:pStyle w:val="Text"/>
        <w:numPr>
          <w:ilvl w:val="0"/>
          <w:numId w:val="12"/>
        </w:numPr>
        <w:tabs>
          <w:tab w:val="left" w:pos="1843"/>
        </w:tabs>
        <w:spacing w:after="120" w:line="240" w:lineRule="auto"/>
        <w:ind w:left="1247" w:firstLine="0"/>
        <w:rPr>
          <w:rFonts w:ascii="Times New Roman" w:hAnsi="Times New Roman" w:cs="Times New Roman"/>
          <w:sz w:val="20"/>
          <w:szCs w:val="20"/>
          <w:lang w:val="fr-FR"/>
        </w:rPr>
      </w:pPr>
      <w:bookmarkStart w:id="7" w:name="_Hlk523222687"/>
      <w:r w:rsidRPr="00CD0FA5">
        <w:rPr>
          <w:rFonts w:ascii="Times New Roman" w:hAnsi="Times New Roman" w:cs="Times New Roman"/>
          <w:sz w:val="20"/>
          <w:szCs w:val="20"/>
          <w:lang w:val="fr-FR"/>
        </w:rPr>
        <w:t>Le Groupe a conclu que pour satisfaire aux exigences de l</w:t>
      </w:r>
      <w:r w:rsidR="008A1D13">
        <w:rPr>
          <w:rFonts w:ascii="Times New Roman" w:hAnsi="Times New Roman" w:cs="Times New Roman"/>
          <w:sz w:val="20"/>
          <w:szCs w:val="20"/>
          <w:lang w:val="fr-FR"/>
        </w:rPr>
        <w:t>’article </w:t>
      </w:r>
      <w:r w:rsidRPr="00CD0FA5">
        <w:rPr>
          <w:rFonts w:ascii="Times New Roman" w:hAnsi="Times New Roman" w:cs="Times New Roman"/>
          <w:sz w:val="20"/>
          <w:szCs w:val="20"/>
          <w:lang w:val="fr-FR"/>
        </w:rPr>
        <w:t>22 de la Convention concernant les données de surveillance, il convient de rassembler des informations sur les concentrations de mercure dans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air, les biotes et les tissus humains. Des méthodes économiquement rationnelles, pratiques, matériellement possibles et viables à long terme sont disponibles pour tous les types de surveillance. En ce qui concerne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air, une combinaison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 xml:space="preserve">échantillonnage atmosphérique (actif et passif) et de mesure des dépôts humides est recommandée, si possible. Du point de vue de la </w:t>
      </w:r>
      <w:proofErr w:type="spellStart"/>
      <w:r w:rsidRPr="00CD0FA5">
        <w:rPr>
          <w:rFonts w:ascii="Times New Roman" w:hAnsi="Times New Roman" w:cs="Times New Roman"/>
          <w:sz w:val="20"/>
          <w:szCs w:val="20"/>
          <w:lang w:val="fr-FR"/>
        </w:rPr>
        <w:t>biosurveillance</w:t>
      </w:r>
      <w:proofErr w:type="spellEnd"/>
      <w:r w:rsidRPr="00CD0FA5">
        <w:rPr>
          <w:rFonts w:ascii="Times New Roman" w:hAnsi="Times New Roman" w:cs="Times New Roman"/>
          <w:sz w:val="20"/>
          <w:szCs w:val="20"/>
          <w:lang w:val="fr-FR"/>
        </w:rPr>
        <w:t xml:space="preserve"> humaine, les cheveux et le sang de cordon ombilical répondent à tous les critères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inclusion dans un programme mondial de surveillance. Enfin, pour le biote, les méthodes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échantillonnage peuvent varier en fonction du biome et de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objectif, mais il en existe qui remplissent toutes les conditions. Il a été noté qu</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aucune surveillance de portée mondiale n</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existait pour le moment, mais que le projet de plan</w:t>
      </w:r>
      <w:r w:rsidRPr="00CD0FA5">
        <w:rPr>
          <w:rStyle w:val="Appelnotedebasdep"/>
          <w:rFonts w:cs="Times New Roman"/>
          <w:szCs w:val="20"/>
          <w:lang w:val="fr-FR"/>
        </w:rPr>
        <w:footnoteReference w:id="4"/>
      </w:r>
      <w:r w:rsidRPr="00CD0FA5">
        <w:rPr>
          <w:rFonts w:ascii="Times New Roman" w:hAnsi="Times New Roman" w:cs="Times New Roman"/>
          <w:sz w:val="20"/>
          <w:szCs w:val="20"/>
          <w:lang w:val="fr-FR"/>
        </w:rPr>
        <w:t xml:space="preserve"> contenait des recommandations sur la manière de combler les lacunes en matière de couverture. On disposait des technologies, des capacités analytiques et du savoir-faire spécialisé nécessaires pour assurer une couverture mondiale. </w:t>
      </w:r>
      <w:r w:rsidR="00621161" w:rsidRPr="00CD0FA5">
        <w:rPr>
          <w:rFonts w:ascii="Times New Roman" w:hAnsi="Times New Roman" w:cs="Times New Roman"/>
          <w:sz w:val="20"/>
          <w:szCs w:val="20"/>
          <w:lang w:val="fr-FR"/>
        </w:rPr>
        <w:t>L</w:t>
      </w:r>
      <w:r w:rsidRPr="00CD0FA5">
        <w:rPr>
          <w:rFonts w:ascii="Times New Roman" w:hAnsi="Times New Roman" w:cs="Times New Roman"/>
          <w:sz w:val="20"/>
          <w:szCs w:val="20"/>
          <w:lang w:val="fr-FR"/>
        </w:rPr>
        <w:t>e Groupe, a estimé que des progrès réguliers vers une surveillance à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échelle mondiale étaient possibles avec la mise en place de programmes supplémentaires.</w:t>
      </w:r>
      <w:bookmarkEnd w:id="7"/>
    </w:p>
    <w:p w14:paraId="511B404B" w14:textId="4FDA4F73" w:rsidR="00306F47" w:rsidRPr="00CD0FA5" w:rsidRDefault="00306F47" w:rsidP="004849C1">
      <w:pPr>
        <w:pStyle w:val="Text"/>
        <w:keepNext/>
        <w:keepLines/>
        <w:spacing w:after="120" w:line="240" w:lineRule="auto"/>
        <w:ind w:left="1247"/>
        <w:rPr>
          <w:rFonts w:ascii="Times New Roman" w:hAnsi="Times New Roman" w:cs="Times New Roman"/>
          <w:b/>
          <w:bCs/>
          <w:color w:val="auto"/>
          <w:sz w:val="20"/>
          <w:szCs w:val="20"/>
          <w:lang w:val="fr-FR"/>
        </w:rPr>
      </w:pPr>
      <w:r w:rsidRPr="00CD0FA5">
        <w:rPr>
          <w:rFonts w:ascii="Times New Roman" w:hAnsi="Times New Roman" w:cs="Times New Roman"/>
          <w:b/>
          <w:sz w:val="20"/>
          <w:szCs w:val="20"/>
          <w:lang w:val="fr-FR"/>
        </w:rPr>
        <w:t xml:space="preserve">Recensement des capacités de modélisation disponibles pour évaluer les variations </w:t>
      </w:r>
      <w:r w:rsidR="00810A3B">
        <w:rPr>
          <w:rFonts w:ascii="Times New Roman" w:hAnsi="Times New Roman" w:cs="Times New Roman"/>
          <w:b/>
          <w:sz w:val="20"/>
          <w:szCs w:val="20"/>
          <w:lang w:val="fr-FR"/>
        </w:rPr>
        <w:br/>
      </w:r>
      <w:r w:rsidRPr="00CD0FA5">
        <w:rPr>
          <w:rFonts w:ascii="Times New Roman" w:hAnsi="Times New Roman" w:cs="Times New Roman"/>
          <w:b/>
          <w:sz w:val="20"/>
          <w:szCs w:val="20"/>
          <w:lang w:val="fr-FR"/>
        </w:rPr>
        <w:t>au niveau mondial des concentrations de mercure dans chaque milieu et d</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un milieu à l</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autre</w:t>
      </w:r>
    </w:p>
    <w:p w14:paraId="1D7E55E4" w14:textId="343E85F3" w:rsidR="00306F47" w:rsidRPr="00CD0FA5" w:rsidRDefault="00306F47" w:rsidP="004849C1">
      <w:pPr>
        <w:pStyle w:val="Text"/>
        <w:keepNext/>
        <w:keepLines/>
        <w:numPr>
          <w:ilvl w:val="0"/>
          <w:numId w:val="12"/>
        </w:numPr>
        <w:spacing w:after="120" w:line="240" w:lineRule="auto"/>
        <w:ind w:left="1247" w:firstLine="0"/>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La</w:t>
      </w:r>
      <w:r w:rsidR="00AD4C74">
        <w:rPr>
          <w:rFonts w:ascii="Times New Roman" w:hAnsi="Times New Roman" w:cs="Times New Roman"/>
          <w:sz w:val="20"/>
          <w:szCs w:val="20"/>
          <w:lang w:val="fr-FR"/>
        </w:rPr>
        <w:t xml:space="preserve"> Conférence des Parties devrait </w:t>
      </w:r>
      <w:r w:rsidRPr="00CD0FA5">
        <w:rPr>
          <w:rFonts w:ascii="Times New Roman" w:hAnsi="Times New Roman" w:cs="Times New Roman"/>
          <w:sz w:val="20"/>
          <w:szCs w:val="20"/>
          <w:lang w:val="fr-FR"/>
        </w:rPr>
        <w:t>:</w:t>
      </w:r>
    </w:p>
    <w:p w14:paraId="2541B52B" w14:textId="57133582" w:rsidR="00BC01F1" w:rsidRDefault="00306F47" w:rsidP="004849C1">
      <w:pPr>
        <w:pStyle w:val="Text"/>
        <w:keepNext/>
        <w:keepLines/>
        <w:numPr>
          <w:ilvl w:val="0"/>
          <w:numId w:val="6"/>
        </w:numPr>
        <w:spacing w:after="120" w:line="240" w:lineRule="auto"/>
        <w:ind w:left="2495" w:hanging="624"/>
        <w:rPr>
          <w:rFonts w:ascii="Times New Roman" w:hAnsi="Times New Roman" w:cs="Times New Roman"/>
          <w:sz w:val="20"/>
          <w:szCs w:val="20"/>
          <w:lang w:val="fr-FR"/>
        </w:rPr>
      </w:pPr>
      <w:r w:rsidRPr="00CD0FA5">
        <w:rPr>
          <w:rFonts w:ascii="Times New Roman" w:hAnsi="Times New Roman" w:cs="Times New Roman"/>
          <w:sz w:val="20"/>
          <w:szCs w:val="20"/>
          <w:lang w:val="fr-FR"/>
        </w:rPr>
        <w:t>Encourager les Parties à coopérer en vue de développer et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améliorer la recherche en matière de modélisation et à valider les modèles, y compris combler les lacunes de ces derniers, par exemple en ce qui concerne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extraction artisanale et à petite échelle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or.</w:t>
      </w:r>
    </w:p>
    <w:p w14:paraId="47558CE6" w14:textId="57B66EC3" w:rsidR="00306F47" w:rsidRPr="00CD0FA5" w:rsidRDefault="00306F47" w:rsidP="004849C1">
      <w:pPr>
        <w:pStyle w:val="Text"/>
        <w:numPr>
          <w:ilvl w:val="0"/>
          <w:numId w:val="6"/>
        </w:numPr>
        <w:spacing w:after="120" w:line="240" w:lineRule="auto"/>
        <w:ind w:left="2495" w:hanging="624"/>
        <w:rPr>
          <w:rFonts w:ascii="Times New Roman" w:hAnsi="Times New Roman" w:cs="Times New Roman"/>
          <w:color w:val="auto"/>
          <w:sz w:val="20"/>
          <w:szCs w:val="20"/>
          <w:lang w:val="fr-FR"/>
        </w:rPr>
      </w:pPr>
      <w:r w:rsidRPr="00CD0FA5">
        <w:rPr>
          <w:rFonts w:ascii="Times New Roman" w:hAnsi="Times New Roman" w:cs="Times New Roman"/>
          <w:sz w:val="20"/>
          <w:szCs w:val="20"/>
          <w:lang w:val="fr-FR"/>
        </w:rPr>
        <w:t>Demander à des organisations de travailler à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élaboration, à la validation et à la poursuite de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utilisation de modèles, y compris les modèles de flux inter-compartiments (par exemple biote, air et population humaine, ou air-eau).</w:t>
      </w:r>
    </w:p>
    <w:p w14:paraId="1A501580" w14:textId="4CA85199" w:rsidR="00BC01F1" w:rsidRDefault="0088701E" w:rsidP="004849C1">
      <w:pPr>
        <w:pStyle w:val="Text"/>
        <w:numPr>
          <w:ilvl w:val="0"/>
          <w:numId w:val="6"/>
        </w:numPr>
        <w:spacing w:after="120" w:line="240" w:lineRule="auto"/>
        <w:ind w:left="2495" w:hanging="624"/>
        <w:rPr>
          <w:rFonts w:ascii="Times New Roman" w:hAnsi="Times New Roman" w:cs="Times New Roman"/>
          <w:sz w:val="20"/>
          <w:szCs w:val="20"/>
          <w:lang w:val="fr-FR"/>
        </w:rPr>
      </w:pPr>
      <w:r w:rsidRPr="00CD0FA5">
        <w:rPr>
          <w:rFonts w:ascii="Times New Roman" w:hAnsi="Times New Roman" w:cs="Times New Roman"/>
          <w:sz w:val="20"/>
          <w:szCs w:val="20"/>
          <w:lang w:val="fr-FR"/>
        </w:rPr>
        <w:t>Veiller à ce que la modélisation serve à éclairer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élaboration du plan de surveillance, ainsi que tous les ajustements futurs de ce dernier, et à produire des informations pour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efficacité.</w:t>
      </w:r>
    </w:p>
    <w:p w14:paraId="1D35CBC2" w14:textId="52C03656" w:rsidR="00306F47" w:rsidRPr="00CD0FA5" w:rsidRDefault="00306F47" w:rsidP="004849C1">
      <w:pPr>
        <w:pStyle w:val="Text"/>
        <w:spacing w:after="120" w:line="240" w:lineRule="auto"/>
        <w:ind w:left="1247"/>
        <w:rPr>
          <w:rFonts w:ascii="Times New Roman" w:hAnsi="Times New Roman" w:cs="Times New Roman"/>
          <w:b/>
          <w:sz w:val="20"/>
          <w:szCs w:val="20"/>
          <w:lang w:val="fr-FR"/>
        </w:rPr>
      </w:pPr>
      <w:r w:rsidRPr="00CD0FA5">
        <w:rPr>
          <w:rFonts w:ascii="Times New Roman" w:hAnsi="Times New Roman" w:cs="Times New Roman"/>
          <w:b/>
          <w:sz w:val="20"/>
          <w:szCs w:val="20"/>
          <w:lang w:val="fr-FR"/>
        </w:rPr>
        <w:t>Identification des sources de données susceptibles d</w:t>
      </w:r>
      <w:r w:rsidR="008A1D13">
        <w:rPr>
          <w:rFonts w:ascii="Times New Roman" w:hAnsi="Times New Roman" w:cs="Times New Roman"/>
          <w:b/>
          <w:sz w:val="20"/>
          <w:szCs w:val="20"/>
          <w:lang w:val="fr-FR"/>
        </w:rPr>
        <w:t>’</w:t>
      </w:r>
      <w:r w:rsidRPr="00CD0FA5">
        <w:rPr>
          <w:rFonts w:ascii="Times New Roman" w:hAnsi="Times New Roman" w:cs="Times New Roman"/>
          <w:b/>
          <w:sz w:val="20"/>
          <w:szCs w:val="20"/>
          <w:lang w:val="fr-FR"/>
        </w:rPr>
        <w:t>être uti</w:t>
      </w:r>
      <w:r w:rsidR="00810A3B">
        <w:rPr>
          <w:rFonts w:ascii="Times New Roman" w:hAnsi="Times New Roman" w:cs="Times New Roman"/>
          <w:b/>
          <w:sz w:val="20"/>
          <w:szCs w:val="20"/>
          <w:lang w:val="fr-FR"/>
        </w:rPr>
        <w:t>lisées pour établir une base de </w:t>
      </w:r>
      <w:r w:rsidRPr="00CD0FA5">
        <w:rPr>
          <w:rFonts w:ascii="Times New Roman" w:hAnsi="Times New Roman" w:cs="Times New Roman"/>
          <w:b/>
          <w:sz w:val="20"/>
          <w:szCs w:val="20"/>
          <w:lang w:val="fr-FR"/>
        </w:rPr>
        <w:t>référence</w:t>
      </w:r>
    </w:p>
    <w:p w14:paraId="33D68DDF" w14:textId="1551EEB3" w:rsidR="00306F47" w:rsidRDefault="00306F47" w:rsidP="00500725">
      <w:pPr>
        <w:pStyle w:val="Text"/>
        <w:numPr>
          <w:ilvl w:val="0"/>
          <w:numId w:val="12"/>
        </w:numPr>
        <w:tabs>
          <w:tab w:val="left" w:pos="1843"/>
        </w:tabs>
        <w:spacing w:after="120" w:line="240" w:lineRule="auto"/>
        <w:ind w:left="1247" w:firstLine="0"/>
        <w:rPr>
          <w:rFonts w:ascii="Times New Roman" w:hAnsi="Times New Roman" w:cs="Times New Roman"/>
          <w:sz w:val="20"/>
          <w:szCs w:val="20"/>
          <w:lang w:val="fr-FR"/>
        </w:rPr>
      </w:pPr>
      <w:r w:rsidRPr="00CD0FA5">
        <w:rPr>
          <w:rFonts w:ascii="Times New Roman" w:hAnsi="Times New Roman" w:cs="Times New Roman"/>
          <w:sz w:val="20"/>
          <w:szCs w:val="20"/>
          <w:lang w:val="fr-FR"/>
        </w:rPr>
        <w:t>La Conférence des Parties devrait, en vue de faciliter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efficacité, envisager de prendre des dispositions pour mettre en place un processus formel de collecte, gestion et publication de données sur le mercure au titre de la Convention de Minamata, compte tenu de la nécessité d</w:t>
      </w:r>
      <w:r w:rsidR="008A1D13">
        <w:rPr>
          <w:rFonts w:ascii="Times New Roman" w:hAnsi="Times New Roman" w:cs="Times New Roman"/>
          <w:sz w:val="20"/>
          <w:szCs w:val="20"/>
          <w:lang w:val="fr-FR"/>
        </w:rPr>
        <w:t>’</w:t>
      </w:r>
      <w:r w:rsidRPr="00CD0FA5">
        <w:rPr>
          <w:rFonts w:ascii="Times New Roman" w:hAnsi="Times New Roman" w:cs="Times New Roman"/>
          <w:sz w:val="20"/>
          <w:szCs w:val="20"/>
          <w:lang w:val="fr-FR"/>
        </w:rPr>
        <w:t xml:space="preserve">établir une base de référence pour ce processus. </w:t>
      </w:r>
      <w:r w:rsidR="00621161" w:rsidRPr="00CD0FA5">
        <w:rPr>
          <w:rFonts w:ascii="Times New Roman" w:hAnsi="Times New Roman" w:cs="Times New Roman"/>
          <w:sz w:val="20"/>
          <w:szCs w:val="20"/>
          <w:lang w:val="fr-FR"/>
        </w:rPr>
        <w:t>Il convient à cet égard de tenir compte des sources d</w:t>
      </w:r>
      <w:r w:rsidR="008A1D13">
        <w:rPr>
          <w:rFonts w:ascii="Times New Roman" w:hAnsi="Times New Roman" w:cs="Times New Roman"/>
          <w:sz w:val="20"/>
          <w:szCs w:val="20"/>
          <w:lang w:val="fr-FR"/>
        </w:rPr>
        <w:t>’</w:t>
      </w:r>
      <w:r w:rsidR="00621161" w:rsidRPr="00CD0FA5">
        <w:rPr>
          <w:rFonts w:ascii="Times New Roman" w:hAnsi="Times New Roman" w:cs="Times New Roman"/>
          <w:sz w:val="20"/>
          <w:szCs w:val="20"/>
          <w:lang w:val="fr-FR"/>
        </w:rPr>
        <w:t>information disponibles, y compris l</w:t>
      </w:r>
      <w:r w:rsidR="008A1D13">
        <w:rPr>
          <w:rFonts w:ascii="Times New Roman" w:hAnsi="Times New Roman" w:cs="Times New Roman"/>
          <w:sz w:val="20"/>
          <w:szCs w:val="20"/>
          <w:lang w:val="fr-FR"/>
        </w:rPr>
        <w:t>’</w:t>
      </w:r>
      <w:r w:rsidR="00621161" w:rsidRPr="00CD0FA5">
        <w:rPr>
          <w:rFonts w:ascii="Times New Roman" w:hAnsi="Times New Roman" w:cs="Times New Roman"/>
          <w:sz w:val="20"/>
          <w:szCs w:val="20"/>
          <w:lang w:val="fr-FR"/>
        </w:rPr>
        <w:t>Évaluation mondiale du mercure</w:t>
      </w:r>
      <w:bookmarkEnd w:id="0"/>
      <w:r w:rsidR="000A6E74">
        <w:rPr>
          <w:rFonts w:ascii="Times New Roman" w:hAnsi="Times New Roman" w:cs="Times New Roman"/>
          <w:sz w:val="20"/>
          <w:szCs w:val="20"/>
          <w:lang w:val="fr-FR"/>
        </w:rPr>
        <w:t>.</w:t>
      </w:r>
    </w:p>
    <w:p w14:paraId="5DCA4F00" w14:textId="1D8F9E5A" w:rsidR="00967EB7" w:rsidRPr="00743267" w:rsidRDefault="00967EB7" w:rsidP="004849C1">
      <w:pPr>
        <w:pStyle w:val="Text"/>
        <w:spacing w:after="120" w:line="240" w:lineRule="auto"/>
        <w:ind w:left="1276"/>
        <w:rPr>
          <w:rFonts w:ascii="Times New Roman" w:hAnsi="Times New Roman" w:cs="Times New Roman"/>
          <w:color w:val="auto"/>
          <w:sz w:val="20"/>
          <w:szCs w:val="20"/>
          <w:lang w:val="fr-FR"/>
        </w:rPr>
      </w:pPr>
      <w:r w:rsidRPr="00743267">
        <w:rPr>
          <w:rFonts w:ascii="Times New Roman" w:hAnsi="Times New Roman" w:cs="Times New Roman"/>
          <w:b/>
          <w:bCs/>
          <w:sz w:val="20"/>
          <w:szCs w:val="20"/>
          <w:lang w:val="fr-FR"/>
        </w:rPr>
        <w:t>Détermination de la manière dont les activités de surve</w:t>
      </w:r>
      <w:r w:rsidR="00810A3B">
        <w:rPr>
          <w:rFonts w:ascii="Times New Roman" w:hAnsi="Times New Roman" w:cs="Times New Roman"/>
          <w:b/>
          <w:bCs/>
          <w:sz w:val="20"/>
          <w:szCs w:val="20"/>
          <w:lang w:val="fr-FR"/>
        </w:rPr>
        <w:t>illance pourraient contribuer à </w:t>
      </w:r>
      <w:r w:rsidRPr="00743267">
        <w:rPr>
          <w:rFonts w:ascii="Times New Roman" w:hAnsi="Times New Roman" w:cs="Times New Roman"/>
          <w:b/>
          <w:bCs/>
          <w:sz w:val="20"/>
          <w:szCs w:val="20"/>
          <w:lang w:val="fr-FR"/>
        </w:rPr>
        <w:t>l</w:t>
      </w:r>
      <w:r w:rsidR="008A1D13">
        <w:rPr>
          <w:rFonts w:ascii="Times New Roman" w:hAnsi="Times New Roman" w:cs="Times New Roman"/>
          <w:b/>
          <w:bCs/>
          <w:sz w:val="20"/>
          <w:szCs w:val="20"/>
          <w:lang w:val="fr-FR"/>
        </w:rPr>
        <w:t>’</w:t>
      </w:r>
      <w:r w:rsidRPr="00743267">
        <w:rPr>
          <w:rFonts w:ascii="Times New Roman" w:hAnsi="Times New Roman" w:cs="Times New Roman"/>
          <w:b/>
          <w:bCs/>
          <w:sz w:val="20"/>
          <w:szCs w:val="20"/>
          <w:lang w:val="fr-FR"/>
        </w:rPr>
        <w:t>élaboration du</w:t>
      </w:r>
      <w:r>
        <w:rPr>
          <w:rFonts w:ascii="Times New Roman" w:hAnsi="Times New Roman" w:cs="Times New Roman"/>
          <w:b/>
          <w:bCs/>
          <w:sz w:val="20"/>
          <w:szCs w:val="20"/>
          <w:lang w:val="fr-FR"/>
        </w:rPr>
        <w:t> </w:t>
      </w:r>
      <w:r w:rsidRPr="00743267">
        <w:rPr>
          <w:rFonts w:ascii="Times New Roman" w:hAnsi="Times New Roman" w:cs="Times New Roman"/>
          <w:b/>
          <w:bCs/>
          <w:sz w:val="20"/>
          <w:szCs w:val="20"/>
          <w:lang w:val="fr-FR"/>
        </w:rPr>
        <w:t>cadre d</w:t>
      </w:r>
      <w:r w:rsidR="008A1D13">
        <w:rPr>
          <w:rFonts w:ascii="Times New Roman" w:hAnsi="Times New Roman" w:cs="Times New Roman"/>
          <w:b/>
          <w:bCs/>
          <w:sz w:val="20"/>
          <w:szCs w:val="20"/>
          <w:lang w:val="fr-FR"/>
        </w:rPr>
        <w:t>’</w:t>
      </w:r>
      <w:r w:rsidRPr="00743267">
        <w:rPr>
          <w:rFonts w:ascii="Times New Roman" w:hAnsi="Times New Roman" w:cs="Times New Roman"/>
          <w:b/>
          <w:bCs/>
          <w:sz w:val="20"/>
          <w:szCs w:val="20"/>
          <w:lang w:val="fr-FR"/>
        </w:rPr>
        <w:t>évaluation de l</w:t>
      </w:r>
      <w:r w:rsidR="008A1D13">
        <w:rPr>
          <w:rFonts w:ascii="Times New Roman" w:hAnsi="Times New Roman" w:cs="Times New Roman"/>
          <w:b/>
          <w:bCs/>
          <w:sz w:val="20"/>
          <w:szCs w:val="20"/>
          <w:lang w:val="fr-FR"/>
        </w:rPr>
        <w:t>’</w:t>
      </w:r>
      <w:r w:rsidRPr="00743267">
        <w:rPr>
          <w:rFonts w:ascii="Times New Roman" w:hAnsi="Times New Roman" w:cs="Times New Roman"/>
          <w:b/>
          <w:bCs/>
          <w:sz w:val="20"/>
          <w:szCs w:val="20"/>
          <w:lang w:val="fr-FR"/>
        </w:rPr>
        <w:t>efficacité</w:t>
      </w:r>
    </w:p>
    <w:p w14:paraId="3545AA10" w14:textId="050E4F70" w:rsidR="00967EB7" w:rsidRPr="00967EB7" w:rsidRDefault="00967EB7" w:rsidP="00500725">
      <w:pPr>
        <w:pStyle w:val="Text"/>
        <w:numPr>
          <w:ilvl w:val="0"/>
          <w:numId w:val="12"/>
        </w:numPr>
        <w:tabs>
          <w:tab w:val="left" w:pos="1843"/>
        </w:tabs>
        <w:spacing w:after="120" w:line="240" w:lineRule="auto"/>
        <w:ind w:left="1247" w:firstLine="0"/>
        <w:rPr>
          <w:rFonts w:ascii="Times New Roman" w:hAnsi="Times New Roman" w:cs="Times New Roman"/>
          <w:sz w:val="20"/>
          <w:szCs w:val="20"/>
          <w:lang w:val="fr-FR"/>
        </w:rPr>
      </w:pPr>
      <w:r w:rsidRPr="00967EB7">
        <w:rPr>
          <w:rFonts w:ascii="Times New Roman" w:hAnsi="Times New Roman" w:cs="Times New Roman"/>
          <w:sz w:val="20"/>
          <w:szCs w:val="20"/>
          <w:lang w:val="fr-FR"/>
        </w:rPr>
        <w:t>Recommandations concernant la manière dont les informations issues des activités de surveillance et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des liens de causalité pourraient contribuer à l</w:t>
      </w:r>
      <w:r w:rsidR="008A1D13">
        <w:rPr>
          <w:rFonts w:ascii="Times New Roman" w:hAnsi="Times New Roman" w:cs="Times New Roman"/>
          <w:sz w:val="20"/>
          <w:szCs w:val="20"/>
          <w:lang w:val="fr-FR"/>
        </w:rPr>
        <w:t>’évaluation de certains articles </w:t>
      </w:r>
      <w:r w:rsidRPr="00967EB7">
        <w:rPr>
          <w:rFonts w:ascii="Times New Roman" w:hAnsi="Times New Roman" w:cs="Times New Roman"/>
          <w:sz w:val="20"/>
          <w:szCs w:val="20"/>
          <w:lang w:val="fr-FR"/>
        </w:rPr>
        <w:t xml:space="preserve">: </w:t>
      </w:r>
    </w:p>
    <w:tbl>
      <w:tblPr>
        <w:tblStyle w:val="Grilledutableau"/>
        <w:tblW w:w="8551" w:type="dxa"/>
        <w:tblInd w:w="1270" w:type="dxa"/>
        <w:tblLayout w:type="fixed"/>
        <w:tblLook w:val="04A0" w:firstRow="1" w:lastRow="0" w:firstColumn="1" w:lastColumn="0" w:noHBand="0" w:noVBand="1"/>
      </w:tblPr>
      <w:tblGrid>
        <w:gridCol w:w="1613"/>
        <w:gridCol w:w="6938"/>
      </w:tblGrid>
      <w:tr w:rsidR="00967EB7" w:rsidRPr="000A5CCC" w14:paraId="660822E0" w14:textId="77777777" w:rsidTr="00373F5D">
        <w:tc>
          <w:tcPr>
            <w:tcW w:w="1613" w:type="dxa"/>
          </w:tcPr>
          <w:p w14:paraId="4C99F357" w14:textId="77777777"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jc w:val="center"/>
              <w:rPr>
                <w:rFonts w:ascii="Times New Roman" w:hAnsi="Times New Roman" w:cs="Times New Roman"/>
                <w:i/>
                <w:color w:val="auto"/>
                <w:sz w:val="18"/>
                <w:szCs w:val="18"/>
                <w:lang w:val="fr-FR"/>
              </w:rPr>
            </w:pPr>
            <w:r w:rsidRPr="00743267">
              <w:rPr>
                <w:rFonts w:ascii="Times New Roman" w:hAnsi="Times New Roman" w:cs="Times New Roman"/>
                <w:i/>
                <w:iCs/>
                <w:sz w:val="18"/>
                <w:szCs w:val="18"/>
                <w:lang w:val="fr-FR"/>
              </w:rPr>
              <w:t>Article</w:t>
            </w:r>
          </w:p>
        </w:tc>
        <w:tc>
          <w:tcPr>
            <w:tcW w:w="6938" w:type="dxa"/>
          </w:tcPr>
          <w:p w14:paraId="49192E0A" w14:textId="2457C972" w:rsidR="00967EB7" w:rsidRPr="00743267" w:rsidRDefault="00967EB7" w:rsidP="00373F5D">
            <w:pPr>
              <w:pStyle w:val="Paragraphedeliste"/>
              <w:tabs>
                <w:tab w:val="left" w:pos="1163"/>
              </w:tabs>
              <w:spacing w:after="40"/>
              <w:ind w:left="264"/>
              <w:jc w:val="center"/>
              <w:rPr>
                <w:rFonts w:eastAsia="Roboto"/>
                <w:i/>
                <w:sz w:val="18"/>
                <w:szCs w:val="18"/>
                <w:lang w:val="fr-FR"/>
              </w:rPr>
            </w:pPr>
            <w:r w:rsidRPr="00743267">
              <w:rPr>
                <w:i/>
                <w:iCs/>
                <w:sz w:val="18"/>
                <w:szCs w:val="18"/>
                <w:lang w:val="fr-FR"/>
              </w:rPr>
              <w:t>Description de la manière dont les données de surveillance à l</w:t>
            </w:r>
            <w:r w:rsidR="008A1D13">
              <w:rPr>
                <w:i/>
                <w:iCs/>
                <w:sz w:val="18"/>
                <w:szCs w:val="18"/>
                <w:lang w:val="fr-FR"/>
              </w:rPr>
              <w:t>’</w:t>
            </w:r>
            <w:r w:rsidRPr="00743267">
              <w:rPr>
                <w:i/>
                <w:iCs/>
                <w:sz w:val="18"/>
                <w:szCs w:val="18"/>
                <w:lang w:val="fr-FR"/>
              </w:rPr>
              <w:t>échelle mondiale (air, êtres humains, biotes) pourraient contribuer à l</w:t>
            </w:r>
            <w:r w:rsidR="008A1D13">
              <w:rPr>
                <w:i/>
                <w:iCs/>
                <w:sz w:val="18"/>
                <w:szCs w:val="18"/>
                <w:lang w:val="fr-FR"/>
              </w:rPr>
              <w:t>’</w:t>
            </w:r>
            <w:r w:rsidRPr="00743267">
              <w:rPr>
                <w:i/>
                <w:iCs/>
                <w:sz w:val="18"/>
                <w:szCs w:val="18"/>
                <w:lang w:val="fr-FR"/>
              </w:rPr>
              <w:t>évaluation de l</w:t>
            </w:r>
            <w:r w:rsidR="008A1D13">
              <w:rPr>
                <w:i/>
                <w:iCs/>
                <w:sz w:val="18"/>
                <w:szCs w:val="18"/>
                <w:lang w:val="fr-FR"/>
              </w:rPr>
              <w:t>’</w:t>
            </w:r>
            <w:r w:rsidRPr="00743267">
              <w:rPr>
                <w:i/>
                <w:iCs/>
                <w:sz w:val="18"/>
                <w:szCs w:val="18"/>
                <w:lang w:val="fr-FR"/>
              </w:rPr>
              <w:t>efficacité de la Convention</w:t>
            </w:r>
          </w:p>
        </w:tc>
      </w:tr>
      <w:tr w:rsidR="00967EB7" w:rsidRPr="000A5CCC" w14:paraId="637C840D" w14:textId="77777777" w:rsidTr="00373F5D">
        <w:tc>
          <w:tcPr>
            <w:tcW w:w="1613" w:type="dxa"/>
          </w:tcPr>
          <w:p w14:paraId="612EE522" w14:textId="77777777"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premier (Objectif)</w:t>
            </w:r>
          </w:p>
        </w:tc>
        <w:tc>
          <w:tcPr>
            <w:tcW w:w="6938" w:type="dxa"/>
          </w:tcPr>
          <w:p w14:paraId="5F19298F" w14:textId="31E55FC6" w:rsidR="00967EB7" w:rsidRPr="00743267" w:rsidRDefault="00967EB7" w:rsidP="004849C1">
            <w:pPr>
              <w:pStyle w:val="Paragraphedeliste"/>
              <w:numPr>
                <w:ilvl w:val="0"/>
                <w:numId w:val="14"/>
              </w:numPr>
              <w:pBdr>
                <w:top w:val="nil"/>
                <w:left w:val="nil"/>
                <w:bottom w:val="nil"/>
                <w:right w:val="nil"/>
                <w:between w:val="nil"/>
                <w:bar w:val="nil"/>
              </w:pBdr>
              <w:spacing w:after="40"/>
              <w:rPr>
                <w:rFonts w:eastAsia="Roboto"/>
                <w:sz w:val="18"/>
                <w:szCs w:val="18"/>
                <w:lang w:val="fr-FR"/>
              </w:rPr>
            </w:pPr>
            <w:r w:rsidRPr="00743267">
              <w:rPr>
                <w:sz w:val="18"/>
                <w:szCs w:val="18"/>
                <w:lang w:val="fr-FR"/>
              </w:rPr>
              <w:t>Niveau de mercure dans l</w:t>
            </w:r>
            <w:r w:rsidR="008A1D13">
              <w:rPr>
                <w:sz w:val="18"/>
                <w:szCs w:val="18"/>
                <w:lang w:val="fr-FR"/>
              </w:rPr>
              <w:t>’</w:t>
            </w:r>
            <w:r w:rsidRPr="00743267">
              <w:rPr>
                <w:sz w:val="18"/>
                <w:szCs w:val="18"/>
                <w:lang w:val="fr-FR"/>
              </w:rPr>
              <w:t>air, les êtres humains et les biotes</w:t>
            </w:r>
          </w:p>
          <w:p w14:paraId="635C357A" w14:textId="4A76E831" w:rsidR="00967EB7" w:rsidRPr="00743267" w:rsidRDefault="00967EB7" w:rsidP="004849C1">
            <w:pPr>
              <w:pStyle w:val="Tex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Attribution des concentrations de mercure dans l</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environnement et les êtres humains issues d</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émissions et rejets anthropiques estimés grâce à la modélisation de l</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information</w:t>
            </w:r>
          </w:p>
        </w:tc>
      </w:tr>
      <w:tr w:rsidR="00967EB7" w:rsidRPr="000A5CCC" w14:paraId="469099E4" w14:textId="77777777" w:rsidTr="00373F5D">
        <w:tc>
          <w:tcPr>
            <w:tcW w:w="1613" w:type="dxa"/>
          </w:tcPr>
          <w:p w14:paraId="3AE2D4CB" w14:textId="28FA7FCD"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 xml:space="preserve">7 </w:t>
            </w:r>
            <w:r w:rsidR="00FF307B">
              <w:rPr>
                <w:rFonts w:ascii="Times New Roman" w:hAnsi="Times New Roman" w:cs="Times New Roman"/>
                <w:sz w:val="18"/>
                <w:szCs w:val="18"/>
                <w:lang w:val="fr-FR"/>
              </w:rPr>
              <w:br/>
            </w:r>
            <w:r w:rsidRPr="00743267">
              <w:rPr>
                <w:rFonts w:ascii="Times New Roman" w:hAnsi="Times New Roman" w:cs="Times New Roman"/>
                <w:sz w:val="18"/>
                <w:szCs w:val="18"/>
                <w:lang w:val="fr-FR"/>
              </w:rPr>
              <w:t>(Ext</w:t>
            </w:r>
            <w:r w:rsidR="00002F95">
              <w:rPr>
                <w:rFonts w:ascii="Times New Roman" w:hAnsi="Times New Roman" w:cs="Times New Roman"/>
                <w:sz w:val="18"/>
                <w:szCs w:val="18"/>
                <w:lang w:val="fr-FR"/>
              </w:rPr>
              <w:t>raction minière artisanale et à </w:t>
            </w:r>
            <w:r w:rsidRPr="00743267">
              <w:rPr>
                <w:rFonts w:ascii="Times New Roman" w:hAnsi="Times New Roman" w:cs="Times New Roman"/>
                <w:sz w:val="18"/>
                <w:szCs w:val="18"/>
                <w:lang w:val="fr-FR"/>
              </w:rPr>
              <w:t>petite échelle d</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or)</w:t>
            </w:r>
          </w:p>
        </w:tc>
        <w:tc>
          <w:tcPr>
            <w:tcW w:w="6938" w:type="dxa"/>
          </w:tcPr>
          <w:p w14:paraId="2B0A4311" w14:textId="77777777" w:rsidR="00967EB7" w:rsidRPr="00743267" w:rsidRDefault="00967EB7" w:rsidP="004849C1">
            <w:pPr>
              <w:pStyle w:val="Paragraphedeliste"/>
              <w:numPr>
                <w:ilvl w:val="0"/>
                <w:numId w:val="15"/>
              </w:numPr>
              <w:pBdr>
                <w:top w:val="nil"/>
                <w:left w:val="nil"/>
                <w:bottom w:val="nil"/>
                <w:right w:val="nil"/>
                <w:between w:val="nil"/>
                <w:bar w:val="nil"/>
              </w:pBdr>
              <w:tabs>
                <w:tab w:val="left" w:pos="477"/>
              </w:tabs>
              <w:spacing w:after="40"/>
              <w:rPr>
                <w:rFonts w:eastAsia="Roboto"/>
                <w:sz w:val="18"/>
                <w:szCs w:val="18"/>
                <w:lang w:val="fr-FR"/>
              </w:rPr>
            </w:pPr>
            <w:r w:rsidRPr="00743267">
              <w:rPr>
                <w:sz w:val="18"/>
                <w:szCs w:val="18"/>
                <w:lang w:val="fr-FR"/>
              </w:rPr>
              <w:t>Concentrations de mercure chez les êtres humains</w:t>
            </w:r>
          </w:p>
          <w:p w14:paraId="43BBBC6A" w14:textId="06049E9C" w:rsidR="00967EB7" w:rsidRPr="00743267" w:rsidRDefault="00967EB7" w:rsidP="004849C1">
            <w:pPr>
              <w:pStyle w:val="Paragraphedeliste"/>
              <w:numPr>
                <w:ilvl w:val="0"/>
                <w:numId w:val="15"/>
              </w:numPr>
              <w:pBdr>
                <w:top w:val="nil"/>
                <w:left w:val="nil"/>
                <w:bottom w:val="nil"/>
                <w:right w:val="nil"/>
                <w:between w:val="nil"/>
                <w:bar w:val="nil"/>
              </w:pBdr>
              <w:tabs>
                <w:tab w:val="left" w:pos="477"/>
              </w:tabs>
              <w:spacing w:after="40"/>
              <w:rPr>
                <w:rFonts w:eastAsia="Roboto"/>
                <w:sz w:val="18"/>
                <w:szCs w:val="18"/>
                <w:lang w:val="fr-FR"/>
              </w:rPr>
            </w:pPr>
            <w:r w:rsidRPr="00743267">
              <w:rPr>
                <w:sz w:val="18"/>
                <w:szCs w:val="18"/>
                <w:lang w:val="fr-FR"/>
              </w:rPr>
              <w:t>Concentrations de mercure dans les poissons et autres biotes en aval des activités d</w:t>
            </w:r>
            <w:r w:rsidR="008A1D13">
              <w:rPr>
                <w:sz w:val="18"/>
                <w:szCs w:val="18"/>
                <w:lang w:val="fr-FR"/>
              </w:rPr>
              <w:t>’</w:t>
            </w:r>
            <w:r w:rsidRPr="00743267">
              <w:rPr>
                <w:sz w:val="18"/>
                <w:szCs w:val="18"/>
                <w:lang w:val="fr-FR"/>
              </w:rPr>
              <w:t>extraction</w:t>
            </w:r>
          </w:p>
          <w:p w14:paraId="1438152A" w14:textId="55915F4E" w:rsidR="00967EB7" w:rsidRPr="00743267" w:rsidRDefault="00967EB7" w:rsidP="004849C1">
            <w:pPr>
              <w:pStyle w:val="Tex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after="4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Concentrations de mercure dans l</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air ambiant</w:t>
            </w:r>
          </w:p>
        </w:tc>
      </w:tr>
      <w:tr w:rsidR="00967EB7" w:rsidRPr="000A5CCC" w14:paraId="5D29BC66" w14:textId="77777777" w:rsidTr="00373F5D">
        <w:tc>
          <w:tcPr>
            <w:tcW w:w="1613" w:type="dxa"/>
          </w:tcPr>
          <w:p w14:paraId="346C8B0F" w14:textId="77777777"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8 (Émissions)</w:t>
            </w:r>
          </w:p>
        </w:tc>
        <w:tc>
          <w:tcPr>
            <w:tcW w:w="6938" w:type="dxa"/>
          </w:tcPr>
          <w:p w14:paraId="431F8003" w14:textId="7BA63EAC" w:rsidR="00967EB7" w:rsidRPr="00743267" w:rsidRDefault="00967EB7" w:rsidP="004849C1">
            <w:pPr>
              <w:pStyle w:val="Paragraphedeliste"/>
              <w:numPr>
                <w:ilvl w:val="0"/>
                <w:numId w:val="16"/>
              </w:numPr>
              <w:pBdr>
                <w:top w:val="nil"/>
                <w:left w:val="nil"/>
                <w:bottom w:val="nil"/>
                <w:right w:val="nil"/>
                <w:between w:val="nil"/>
                <w:bar w:val="nil"/>
              </w:pBdr>
              <w:tabs>
                <w:tab w:val="left" w:pos="477"/>
              </w:tabs>
              <w:spacing w:after="40"/>
              <w:rPr>
                <w:rFonts w:eastAsia="Roboto"/>
                <w:iCs/>
                <w:sz w:val="18"/>
                <w:szCs w:val="18"/>
                <w:lang w:val="fr-FR"/>
              </w:rPr>
            </w:pPr>
            <w:r w:rsidRPr="00743267">
              <w:rPr>
                <w:sz w:val="18"/>
                <w:szCs w:val="18"/>
                <w:lang w:val="fr-FR"/>
              </w:rPr>
              <w:t>Concentrations de mercure dans l</w:t>
            </w:r>
            <w:r w:rsidR="008A1D13">
              <w:rPr>
                <w:sz w:val="18"/>
                <w:szCs w:val="18"/>
                <w:lang w:val="fr-FR"/>
              </w:rPr>
              <w:t>’</w:t>
            </w:r>
            <w:r w:rsidRPr="00743267">
              <w:rPr>
                <w:sz w:val="18"/>
                <w:szCs w:val="18"/>
                <w:lang w:val="fr-FR"/>
              </w:rPr>
              <w:t>air ambiant</w:t>
            </w:r>
          </w:p>
          <w:p w14:paraId="2A7ECA75" w14:textId="77777777" w:rsidR="00967EB7" w:rsidRPr="00743267" w:rsidRDefault="00967EB7" w:rsidP="004849C1">
            <w:pPr>
              <w:pStyle w:val="Tex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after="40" w:line="240" w:lineRule="auto"/>
              <w:rPr>
                <w:rFonts w:ascii="Times New Roman" w:hAnsi="Times New Roman" w:cs="Times New Roman"/>
                <w:iCs/>
                <w:color w:val="auto"/>
                <w:sz w:val="18"/>
                <w:szCs w:val="18"/>
                <w:lang w:val="fr-FR"/>
              </w:rPr>
            </w:pPr>
            <w:r w:rsidRPr="00743267">
              <w:rPr>
                <w:rFonts w:ascii="Times New Roman" w:hAnsi="Times New Roman" w:cs="Times New Roman"/>
                <w:sz w:val="18"/>
                <w:szCs w:val="18"/>
                <w:lang w:val="fr-FR"/>
              </w:rPr>
              <w:t>Concentrations de mercure dans les biotes et examen des conséquences au niveau local et propagation à longue distance</w:t>
            </w:r>
          </w:p>
        </w:tc>
      </w:tr>
      <w:tr w:rsidR="00967EB7" w:rsidRPr="000A5CCC" w14:paraId="60519BD3" w14:textId="77777777" w:rsidTr="00373F5D">
        <w:tc>
          <w:tcPr>
            <w:tcW w:w="1613" w:type="dxa"/>
          </w:tcPr>
          <w:p w14:paraId="252D835A" w14:textId="005F0353"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 xml:space="preserve">9 </w:t>
            </w:r>
            <w:r w:rsidR="00FF307B">
              <w:rPr>
                <w:rFonts w:ascii="Times New Roman" w:hAnsi="Times New Roman" w:cs="Times New Roman"/>
                <w:sz w:val="18"/>
                <w:szCs w:val="18"/>
                <w:lang w:val="fr-FR"/>
              </w:rPr>
              <w:br/>
            </w:r>
            <w:r w:rsidRPr="00743267">
              <w:rPr>
                <w:rFonts w:ascii="Times New Roman" w:hAnsi="Times New Roman" w:cs="Times New Roman"/>
                <w:sz w:val="18"/>
                <w:szCs w:val="18"/>
                <w:lang w:val="fr-FR"/>
              </w:rPr>
              <w:t>(Rejets)</w:t>
            </w:r>
          </w:p>
        </w:tc>
        <w:tc>
          <w:tcPr>
            <w:tcW w:w="6938" w:type="dxa"/>
          </w:tcPr>
          <w:p w14:paraId="5E14D58E" w14:textId="77777777" w:rsidR="00967EB7" w:rsidRPr="00743267" w:rsidRDefault="00967EB7" w:rsidP="004849C1">
            <w:pPr>
              <w:pStyle w:val="Paragraphedeliste"/>
              <w:numPr>
                <w:ilvl w:val="0"/>
                <w:numId w:val="16"/>
              </w:numPr>
              <w:pBdr>
                <w:top w:val="nil"/>
                <w:left w:val="nil"/>
                <w:bottom w:val="nil"/>
                <w:right w:val="nil"/>
                <w:between w:val="nil"/>
                <w:bar w:val="nil"/>
              </w:pBdr>
              <w:tabs>
                <w:tab w:val="left" w:pos="477"/>
              </w:tabs>
              <w:spacing w:after="40"/>
              <w:rPr>
                <w:rFonts w:eastAsia="Roboto"/>
                <w:iCs/>
                <w:sz w:val="18"/>
                <w:szCs w:val="18"/>
                <w:lang w:val="fr-FR"/>
              </w:rPr>
            </w:pPr>
            <w:r w:rsidRPr="00743267">
              <w:rPr>
                <w:sz w:val="18"/>
                <w:szCs w:val="18"/>
                <w:lang w:val="fr-FR"/>
              </w:rPr>
              <w:t>Concentrations de mercure dans les poissons et autres biotes et chez les êtres humains</w:t>
            </w:r>
          </w:p>
        </w:tc>
      </w:tr>
      <w:tr w:rsidR="00967EB7" w:rsidRPr="000A5CCC" w14:paraId="5F8F2477" w14:textId="77777777" w:rsidTr="00373F5D">
        <w:tc>
          <w:tcPr>
            <w:tcW w:w="1613" w:type="dxa"/>
          </w:tcPr>
          <w:p w14:paraId="35D3D56E" w14:textId="568DB862"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 xml:space="preserve">12 </w:t>
            </w:r>
            <w:r w:rsidR="00002F95">
              <w:rPr>
                <w:rFonts w:ascii="Times New Roman" w:hAnsi="Times New Roman" w:cs="Times New Roman"/>
                <w:sz w:val="18"/>
                <w:szCs w:val="18"/>
                <w:lang w:val="fr-FR"/>
              </w:rPr>
              <w:br/>
            </w:r>
            <w:r w:rsidRPr="00743267">
              <w:rPr>
                <w:rFonts w:ascii="Times New Roman" w:hAnsi="Times New Roman" w:cs="Times New Roman"/>
                <w:sz w:val="18"/>
                <w:szCs w:val="18"/>
                <w:lang w:val="fr-FR"/>
              </w:rPr>
              <w:t>(Sites contaminés)</w:t>
            </w:r>
          </w:p>
        </w:tc>
        <w:tc>
          <w:tcPr>
            <w:tcW w:w="6938" w:type="dxa"/>
          </w:tcPr>
          <w:p w14:paraId="1AAFA665" w14:textId="4972B5C6" w:rsidR="00967EB7" w:rsidRPr="00743267" w:rsidRDefault="00967EB7" w:rsidP="004849C1">
            <w:pPr>
              <w:pStyle w:val="T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Concentrations de mercure dans l</w:t>
            </w:r>
            <w:r w:rsidR="008A1D13">
              <w:rPr>
                <w:rFonts w:ascii="Times New Roman" w:hAnsi="Times New Roman" w:cs="Times New Roman"/>
                <w:sz w:val="18"/>
                <w:szCs w:val="18"/>
                <w:lang w:val="fr-FR"/>
              </w:rPr>
              <w:t>’</w:t>
            </w:r>
            <w:r w:rsidRPr="00743267">
              <w:rPr>
                <w:rFonts w:ascii="Times New Roman" w:hAnsi="Times New Roman" w:cs="Times New Roman"/>
                <w:sz w:val="18"/>
                <w:szCs w:val="18"/>
                <w:lang w:val="fr-FR"/>
              </w:rPr>
              <w:t>air, les êtres humains et les biotes</w:t>
            </w:r>
          </w:p>
        </w:tc>
      </w:tr>
      <w:tr w:rsidR="00967EB7" w:rsidRPr="000A5CCC" w14:paraId="68DCC940" w14:textId="77777777" w:rsidTr="00373F5D">
        <w:tc>
          <w:tcPr>
            <w:tcW w:w="1613" w:type="dxa"/>
          </w:tcPr>
          <w:p w14:paraId="1176D6C7" w14:textId="21584B0E"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 xml:space="preserve">16 </w:t>
            </w:r>
            <w:r w:rsidR="00002F95">
              <w:rPr>
                <w:rFonts w:ascii="Times New Roman" w:hAnsi="Times New Roman" w:cs="Times New Roman"/>
                <w:sz w:val="18"/>
                <w:szCs w:val="18"/>
                <w:lang w:val="fr-FR"/>
              </w:rPr>
              <w:br/>
            </w:r>
            <w:r w:rsidRPr="00743267">
              <w:rPr>
                <w:rFonts w:ascii="Times New Roman" w:hAnsi="Times New Roman" w:cs="Times New Roman"/>
                <w:sz w:val="18"/>
                <w:szCs w:val="18"/>
                <w:lang w:val="fr-FR"/>
              </w:rPr>
              <w:t>(Aspects sanitaires)</w:t>
            </w:r>
          </w:p>
        </w:tc>
        <w:tc>
          <w:tcPr>
            <w:tcW w:w="6938" w:type="dxa"/>
          </w:tcPr>
          <w:p w14:paraId="171A5933" w14:textId="77777777" w:rsidR="00967EB7" w:rsidRPr="00743267" w:rsidRDefault="00967EB7" w:rsidP="004849C1">
            <w:pPr>
              <w:pStyle w:val="Tex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Concentrations de mercure chez les êtres humains (suivi des mesures efficaces de protection des populations vulnérables)</w:t>
            </w:r>
          </w:p>
        </w:tc>
      </w:tr>
      <w:tr w:rsidR="00967EB7" w:rsidRPr="000A5CCC" w14:paraId="48DA8136" w14:textId="77777777" w:rsidTr="00373F5D">
        <w:tc>
          <w:tcPr>
            <w:tcW w:w="1613" w:type="dxa"/>
          </w:tcPr>
          <w:p w14:paraId="79218047" w14:textId="77777777"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18 (Information, sensibilisation et éducation du public)</w:t>
            </w:r>
          </w:p>
        </w:tc>
        <w:tc>
          <w:tcPr>
            <w:tcW w:w="6938" w:type="dxa"/>
          </w:tcPr>
          <w:p w14:paraId="15431071" w14:textId="6C330650" w:rsidR="00967EB7" w:rsidRPr="00743267" w:rsidRDefault="00967EB7" w:rsidP="004849C1">
            <w:pPr>
              <w:pStyle w:val="Paragraphedeliste"/>
              <w:numPr>
                <w:ilvl w:val="0"/>
                <w:numId w:val="17"/>
              </w:numPr>
              <w:pBdr>
                <w:top w:val="nil"/>
                <w:left w:val="nil"/>
                <w:bottom w:val="nil"/>
                <w:right w:val="nil"/>
                <w:between w:val="nil"/>
                <w:bar w:val="nil"/>
              </w:pBdr>
              <w:spacing w:after="40"/>
              <w:rPr>
                <w:rFonts w:eastAsia="Roboto"/>
                <w:sz w:val="18"/>
                <w:szCs w:val="18"/>
                <w:lang w:val="fr-FR"/>
              </w:rPr>
            </w:pPr>
            <w:r w:rsidRPr="00743267">
              <w:rPr>
                <w:sz w:val="18"/>
                <w:szCs w:val="18"/>
                <w:lang w:val="fr-FR"/>
              </w:rPr>
              <w:t>Nombre de Parties disposant de l</w:t>
            </w:r>
            <w:r w:rsidR="008A1D13">
              <w:rPr>
                <w:sz w:val="18"/>
                <w:szCs w:val="18"/>
                <w:lang w:val="fr-FR"/>
              </w:rPr>
              <w:t>’</w:t>
            </w:r>
            <w:r w:rsidRPr="00743267">
              <w:rPr>
                <w:sz w:val="18"/>
                <w:szCs w:val="18"/>
                <w:lang w:val="fr-FR"/>
              </w:rPr>
              <w:t>information sur les concentrations de mercure dans l</w:t>
            </w:r>
            <w:r w:rsidR="008A1D13">
              <w:rPr>
                <w:sz w:val="18"/>
                <w:szCs w:val="18"/>
                <w:lang w:val="fr-FR"/>
              </w:rPr>
              <w:t>’</w:t>
            </w:r>
            <w:r w:rsidRPr="00743267">
              <w:rPr>
                <w:sz w:val="18"/>
                <w:szCs w:val="18"/>
                <w:lang w:val="fr-FR"/>
              </w:rPr>
              <w:t>air, les êtres humains et les biotes</w:t>
            </w:r>
          </w:p>
        </w:tc>
      </w:tr>
      <w:tr w:rsidR="00967EB7" w:rsidRPr="000A5CCC" w14:paraId="2B9D57FB" w14:textId="77777777" w:rsidTr="00373F5D">
        <w:tc>
          <w:tcPr>
            <w:tcW w:w="1613" w:type="dxa"/>
          </w:tcPr>
          <w:p w14:paraId="019BDD5F" w14:textId="77777777" w:rsidR="00967EB7" w:rsidRPr="00743267" w:rsidRDefault="00967EB7" w:rsidP="00373F5D">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right="-336"/>
              <w:rPr>
                <w:rFonts w:ascii="Times New Roman" w:hAnsi="Times New Roman" w:cs="Times New Roman"/>
                <w:color w:val="auto"/>
                <w:sz w:val="18"/>
                <w:szCs w:val="18"/>
                <w:lang w:val="fr-FR"/>
              </w:rPr>
            </w:pPr>
            <w:r>
              <w:rPr>
                <w:rFonts w:ascii="Times New Roman" w:hAnsi="Times New Roman" w:cs="Times New Roman"/>
                <w:sz w:val="18"/>
                <w:szCs w:val="18"/>
                <w:lang w:val="fr-FR"/>
              </w:rPr>
              <w:t>Article </w:t>
            </w:r>
            <w:r w:rsidRPr="00743267">
              <w:rPr>
                <w:rFonts w:ascii="Times New Roman" w:hAnsi="Times New Roman" w:cs="Times New Roman"/>
                <w:sz w:val="18"/>
                <w:szCs w:val="18"/>
                <w:lang w:val="fr-FR"/>
              </w:rPr>
              <w:t>19 (Recherche-développement et surveillance)</w:t>
            </w:r>
          </w:p>
        </w:tc>
        <w:tc>
          <w:tcPr>
            <w:tcW w:w="6938" w:type="dxa"/>
          </w:tcPr>
          <w:p w14:paraId="53883670" w14:textId="3F6521D6" w:rsidR="00967EB7" w:rsidRPr="00743267" w:rsidRDefault="00967EB7" w:rsidP="004849C1">
            <w:pPr>
              <w:pStyle w:val="Paragraphedeliste"/>
              <w:numPr>
                <w:ilvl w:val="0"/>
                <w:numId w:val="17"/>
              </w:numPr>
              <w:pBdr>
                <w:top w:val="nil"/>
                <w:left w:val="nil"/>
                <w:bottom w:val="nil"/>
                <w:right w:val="nil"/>
                <w:between w:val="nil"/>
                <w:bar w:val="nil"/>
              </w:pBdr>
              <w:spacing w:after="40"/>
              <w:rPr>
                <w:rFonts w:eastAsia="Roboto"/>
                <w:sz w:val="18"/>
                <w:szCs w:val="18"/>
                <w:lang w:val="fr-FR"/>
              </w:rPr>
            </w:pPr>
            <w:r w:rsidRPr="00743267">
              <w:rPr>
                <w:sz w:val="18"/>
                <w:szCs w:val="18"/>
                <w:lang w:val="fr-FR"/>
              </w:rPr>
              <w:t>Nombre de Parties qui coopèrent en vue de produire et d</w:t>
            </w:r>
            <w:r w:rsidR="008A1D13">
              <w:rPr>
                <w:sz w:val="18"/>
                <w:szCs w:val="18"/>
                <w:lang w:val="fr-FR"/>
              </w:rPr>
              <w:t>’</w:t>
            </w:r>
            <w:r w:rsidRPr="00743267">
              <w:rPr>
                <w:sz w:val="18"/>
                <w:szCs w:val="18"/>
                <w:lang w:val="fr-FR"/>
              </w:rPr>
              <w:t>améliorer les informations disponibles en vue de leur inclusion dans le rapport mondial de surveillance (y compris par des sources de données existantes)</w:t>
            </w:r>
          </w:p>
        </w:tc>
      </w:tr>
    </w:tbl>
    <w:p w14:paraId="4E450FB3" w14:textId="6098A9A4" w:rsidR="00967EB7" w:rsidRPr="00C2471D" w:rsidRDefault="00967EB7" w:rsidP="00373F5D">
      <w:pPr>
        <w:pStyle w:val="Text"/>
        <w:keepNext/>
        <w:keepLines/>
        <w:spacing w:before="120" w:after="120" w:line="240" w:lineRule="auto"/>
        <w:ind w:left="1276"/>
        <w:rPr>
          <w:rFonts w:ascii="Times New Roman" w:hAnsi="Times New Roman" w:cs="Times New Roman"/>
          <w:b/>
          <w:bCs/>
          <w:color w:val="auto"/>
          <w:sz w:val="24"/>
          <w:szCs w:val="24"/>
          <w:lang w:val="fr-FR"/>
        </w:rPr>
      </w:pPr>
      <w:r w:rsidRPr="00C2471D">
        <w:rPr>
          <w:rFonts w:ascii="Times New Roman" w:hAnsi="Times New Roman" w:cs="Times New Roman"/>
          <w:b/>
          <w:bCs/>
          <w:sz w:val="24"/>
          <w:szCs w:val="24"/>
          <w:lang w:val="fr-FR"/>
        </w:rPr>
        <w:t>Recommandations concernant les éléments devant figurer dans le cadre d</w:t>
      </w:r>
      <w:r w:rsidR="008A1D13" w:rsidRPr="00C2471D">
        <w:rPr>
          <w:rFonts w:ascii="Times New Roman" w:hAnsi="Times New Roman" w:cs="Times New Roman"/>
          <w:b/>
          <w:bCs/>
          <w:sz w:val="24"/>
          <w:szCs w:val="24"/>
          <w:lang w:val="fr-FR"/>
        </w:rPr>
        <w:t>’</w:t>
      </w:r>
      <w:r w:rsidRPr="00C2471D">
        <w:rPr>
          <w:rFonts w:ascii="Times New Roman" w:hAnsi="Times New Roman" w:cs="Times New Roman"/>
          <w:b/>
          <w:bCs/>
          <w:sz w:val="24"/>
          <w:szCs w:val="24"/>
          <w:lang w:val="fr-FR"/>
        </w:rPr>
        <w:t>évaluation de l</w:t>
      </w:r>
      <w:r w:rsidR="008A1D13" w:rsidRPr="00C2471D">
        <w:rPr>
          <w:rFonts w:ascii="Times New Roman" w:hAnsi="Times New Roman" w:cs="Times New Roman"/>
          <w:b/>
          <w:bCs/>
          <w:sz w:val="24"/>
          <w:szCs w:val="24"/>
          <w:lang w:val="fr-FR"/>
        </w:rPr>
        <w:t>’</w:t>
      </w:r>
      <w:r w:rsidRPr="00C2471D">
        <w:rPr>
          <w:rFonts w:ascii="Times New Roman" w:hAnsi="Times New Roman" w:cs="Times New Roman"/>
          <w:b/>
          <w:bCs/>
          <w:sz w:val="24"/>
          <w:szCs w:val="24"/>
          <w:lang w:val="fr-FR"/>
        </w:rPr>
        <w:t>efficacité</w:t>
      </w:r>
    </w:p>
    <w:p w14:paraId="4A7825DC" w14:textId="6A79E9F4" w:rsidR="00967EB7" w:rsidRPr="00967EB7" w:rsidRDefault="00967EB7" w:rsidP="00373F5D">
      <w:pPr>
        <w:pStyle w:val="Text"/>
        <w:keepNext/>
        <w:keepLines/>
        <w:numPr>
          <w:ilvl w:val="0"/>
          <w:numId w:val="12"/>
        </w:numPr>
        <w:tabs>
          <w:tab w:val="left" w:pos="1843"/>
        </w:tabs>
        <w:spacing w:after="120" w:line="240" w:lineRule="auto"/>
        <w:ind w:left="1247" w:firstLine="0"/>
        <w:rPr>
          <w:rFonts w:ascii="Times New Roman" w:hAnsi="Times New Roman" w:cs="Times New Roman"/>
          <w:sz w:val="20"/>
          <w:szCs w:val="20"/>
          <w:lang w:val="fr-FR"/>
        </w:rPr>
      </w:pPr>
      <w:r w:rsidRPr="00967EB7">
        <w:rPr>
          <w:rFonts w:ascii="Times New Roman" w:hAnsi="Times New Roman" w:cs="Times New Roman"/>
          <w:sz w:val="20"/>
          <w:szCs w:val="20"/>
          <w:lang w:val="fr-FR"/>
        </w:rPr>
        <w:t>Le groupe spécial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experts a dressé une première liste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indicateurs pour la première 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Il convient de poursuivre les travaux pour examiner les lacunes dans les données et les niveaux de référence pour ces indicateurs, mettre au point des méthodes permettant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analyser les indicateurs article par article aux fins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globale et envisager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utiliser des données de surveillance pour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w:t>
      </w:r>
    </w:p>
    <w:p w14:paraId="7E514EF9" w14:textId="1A968653" w:rsidR="00967EB7" w:rsidRPr="00967EB7" w:rsidRDefault="00967EB7" w:rsidP="00500725">
      <w:pPr>
        <w:pStyle w:val="Text"/>
        <w:numPr>
          <w:ilvl w:val="0"/>
          <w:numId w:val="12"/>
        </w:numPr>
        <w:tabs>
          <w:tab w:val="left" w:pos="1843"/>
        </w:tabs>
        <w:spacing w:after="120" w:line="240" w:lineRule="auto"/>
        <w:ind w:left="1247" w:firstLine="0"/>
        <w:rPr>
          <w:rFonts w:ascii="Times New Roman" w:hAnsi="Times New Roman" w:cs="Times New Roman"/>
          <w:sz w:val="20"/>
          <w:szCs w:val="20"/>
          <w:lang w:val="fr-FR"/>
        </w:rPr>
      </w:pPr>
      <w:r w:rsidRPr="00967EB7">
        <w:rPr>
          <w:rFonts w:ascii="Times New Roman" w:hAnsi="Times New Roman" w:cs="Times New Roman"/>
          <w:sz w:val="20"/>
          <w:szCs w:val="20"/>
          <w:lang w:val="fr-FR"/>
        </w:rPr>
        <w:t>Le groupe spécial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experts recommande un processus en deux phases et un calendrier pour la première 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qui figurent ci-dessous. La Conférence des Parties devrait examiner la proposition tendant à créer un cadre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à sa troisième réunion.</w:t>
      </w:r>
    </w:p>
    <w:p w14:paraId="104F8F6F" w14:textId="10EADDE9" w:rsidR="00967EB7" w:rsidRPr="00743267" w:rsidRDefault="00967EB7" w:rsidP="004849C1">
      <w:pPr>
        <w:pStyle w:val="Paragraphedeliste"/>
        <w:numPr>
          <w:ilvl w:val="0"/>
          <w:numId w:val="8"/>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10" w:hanging="567"/>
        <w:rPr>
          <w:rFonts w:eastAsia="Roboto"/>
          <w:lang w:val="fr-FR"/>
        </w:rPr>
      </w:pPr>
      <w:r>
        <w:rPr>
          <w:lang w:val="fr-FR"/>
        </w:rPr>
        <w:t>Phase </w:t>
      </w:r>
      <w:r w:rsidR="001026B6">
        <w:rPr>
          <w:lang w:val="fr-FR"/>
        </w:rPr>
        <w:t>1 </w:t>
      </w:r>
      <w:r w:rsidRPr="00743267">
        <w:rPr>
          <w:lang w:val="fr-FR"/>
        </w:rPr>
        <w:t>: collecte et compilation des informations</w:t>
      </w:r>
    </w:p>
    <w:p w14:paraId="573E5B3B" w14:textId="2E4A48F9"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Pr>
          <w:lang w:val="fr-FR"/>
        </w:rPr>
        <w:t>Article </w:t>
      </w:r>
      <w:r w:rsidRPr="00743267">
        <w:rPr>
          <w:lang w:val="fr-FR"/>
        </w:rPr>
        <w:t>21 (Établissement de rapports) – Le secrétariat compile les données dans le cadre du cycle d</w:t>
      </w:r>
      <w:r w:rsidR="008A1D13">
        <w:rPr>
          <w:lang w:val="fr-FR"/>
        </w:rPr>
        <w:t>’</w:t>
      </w:r>
      <w:r w:rsidRPr="00743267">
        <w:rPr>
          <w:lang w:val="fr-FR"/>
        </w:rPr>
        <w:t>établissement des rapports, y compris un ensemble de statistiques descriptives</w:t>
      </w:r>
    </w:p>
    <w:p w14:paraId="0E3ED255" w14:textId="052FA4BB"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Autres communications adressées au secrétariat (consentement à l</w:t>
      </w:r>
      <w:r w:rsidR="008A1D13">
        <w:rPr>
          <w:lang w:val="fr-FR"/>
        </w:rPr>
        <w:t>’</w:t>
      </w:r>
      <w:r w:rsidRPr="00743267">
        <w:rPr>
          <w:lang w:val="fr-FR"/>
        </w:rPr>
        <w:t>importation, plans d</w:t>
      </w:r>
      <w:r w:rsidR="008A1D13">
        <w:rPr>
          <w:lang w:val="fr-FR"/>
        </w:rPr>
        <w:t>’</w:t>
      </w:r>
      <w:r w:rsidRPr="00743267">
        <w:rPr>
          <w:lang w:val="fr-FR"/>
        </w:rPr>
        <w:t>action nationaux, inventaires des émissions, dérogations, plans nationaux de mise en œuvre volontaires, etc.)</w:t>
      </w:r>
    </w:p>
    <w:p w14:paraId="1B17CFF0" w14:textId="77777777"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Rapport mondial de surveillance</w:t>
      </w:r>
      <w:r w:rsidRPr="00743267">
        <w:rPr>
          <w:rStyle w:val="Appelnotedebasdep"/>
          <w:rFonts w:eastAsia="Roboto"/>
          <w:szCs w:val="20"/>
          <w:lang w:val="fr-FR"/>
        </w:rPr>
        <w:footnoteReference w:id="5"/>
      </w:r>
    </w:p>
    <w:p w14:paraId="7B90E17B" w14:textId="77777777"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Rapport du Comité de mise en œuvre et du respect des obligations</w:t>
      </w:r>
    </w:p>
    <w:p w14:paraId="00272DD7" w14:textId="1C2D6599"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Rapport du Fonds pour l</w:t>
      </w:r>
      <w:r w:rsidR="008A1D13">
        <w:rPr>
          <w:lang w:val="fr-FR"/>
        </w:rPr>
        <w:t>’</w:t>
      </w:r>
      <w:r w:rsidRPr="00743267">
        <w:rPr>
          <w:lang w:val="fr-FR"/>
        </w:rPr>
        <w:t>environnement mondial</w:t>
      </w:r>
    </w:p>
    <w:p w14:paraId="7A1631D9" w14:textId="77777777"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Rapport du Programme international spécifique</w:t>
      </w:r>
    </w:p>
    <w:p w14:paraId="40833A22" w14:textId="0870DE0E"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Rapport du Programme spécial d</w:t>
      </w:r>
      <w:r w:rsidR="008A1D13">
        <w:rPr>
          <w:lang w:val="fr-FR"/>
        </w:rPr>
        <w:t>’</w:t>
      </w:r>
      <w:r w:rsidRPr="00743267">
        <w:rPr>
          <w:lang w:val="fr-FR"/>
        </w:rPr>
        <w:t>appui au renforcement des institutions nationales aux fins de la mise en œuvre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8A1D13">
        <w:rPr>
          <w:lang w:val="fr-FR"/>
        </w:rPr>
        <w:t>’</w:t>
      </w:r>
      <w:r w:rsidRPr="00743267">
        <w:rPr>
          <w:lang w:val="fr-FR"/>
        </w:rPr>
        <w:t>objet d</w:t>
      </w:r>
      <w:r w:rsidR="008A1D13">
        <w:rPr>
          <w:lang w:val="fr-FR"/>
        </w:rPr>
        <w:t>’</w:t>
      </w:r>
      <w:r w:rsidRPr="00743267">
        <w:rPr>
          <w:lang w:val="fr-FR"/>
        </w:rPr>
        <w:t>un commerce international et de la Convention de Stockholm sur les polluants organiques persistants, de la Convention de Minamata et de l</w:t>
      </w:r>
      <w:r w:rsidR="008A1D13">
        <w:rPr>
          <w:lang w:val="fr-FR"/>
        </w:rPr>
        <w:t>’</w:t>
      </w:r>
      <w:r w:rsidRPr="00743267">
        <w:rPr>
          <w:lang w:val="fr-FR"/>
        </w:rPr>
        <w:t>Approche stratégique de la gestion internationale des produits chimiques</w:t>
      </w:r>
    </w:p>
    <w:p w14:paraId="055A0C96" w14:textId="5E923CA5"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Autres informations pertinentes, y compris l</w:t>
      </w:r>
      <w:r w:rsidR="008A1D13">
        <w:rPr>
          <w:lang w:val="fr-FR"/>
        </w:rPr>
        <w:t>’</w:t>
      </w:r>
      <w:r w:rsidRPr="00743267">
        <w:rPr>
          <w:lang w:val="fr-FR"/>
        </w:rPr>
        <w:t>évaluation mondiale du mercure, le rapport du Programme des Nations Unies pour l</w:t>
      </w:r>
      <w:r w:rsidR="008A1D13">
        <w:rPr>
          <w:lang w:val="fr-FR"/>
        </w:rPr>
        <w:t>’</w:t>
      </w:r>
      <w:r w:rsidRPr="00743267">
        <w:rPr>
          <w:lang w:val="fr-FR"/>
        </w:rPr>
        <w:t>environnement sur l</w:t>
      </w:r>
      <w:r w:rsidR="008A1D13">
        <w:rPr>
          <w:lang w:val="fr-FR"/>
        </w:rPr>
        <w:t>’</w:t>
      </w:r>
      <w:r w:rsidRPr="00743267">
        <w:rPr>
          <w:lang w:val="fr-FR"/>
        </w:rPr>
        <w:t>offre, le commerce et la demande, les documents communiqués volontairement, les rapports d</w:t>
      </w:r>
      <w:r w:rsidR="008A1D13">
        <w:rPr>
          <w:lang w:val="fr-FR"/>
        </w:rPr>
        <w:t>’</w:t>
      </w:r>
      <w:r w:rsidRPr="00743267">
        <w:rPr>
          <w:lang w:val="fr-FR"/>
        </w:rPr>
        <w:t>organisations intergouvernementales (Organisation mondiale de la Santé, Organisation internationale du Travail, Programme des Nations Unies pour le développement, Programme de surveillance et d</w:t>
      </w:r>
      <w:r w:rsidR="008A1D13">
        <w:rPr>
          <w:lang w:val="fr-FR"/>
        </w:rPr>
        <w:t>’</w:t>
      </w:r>
      <w:r w:rsidRPr="00743267">
        <w:rPr>
          <w:lang w:val="fr-FR"/>
        </w:rPr>
        <w:t>évaluation de l</w:t>
      </w:r>
      <w:r w:rsidR="008A1D13">
        <w:rPr>
          <w:lang w:val="fr-FR"/>
        </w:rPr>
        <w:t>’</w:t>
      </w:r>
      <w:r w:rsidRPr="00743267">
        <w:rPr>
          <w:lang w:val="fr-FR"/>
        </w:rPr>
        <w:t>Arctique, Organisation des Nations Unies pour le développement industriel, etc.), les évaluations initiales de la Convention de Minamata, les rapports sur les projets menés dans le cadre du Partenariat mondial sur le mercure, les</w:t>
      </w:r>
      <w:r>
        <w:rPr>
          <w:lang w:val="fr-FR"/>
        </w:rPr>
        <w:t> </w:t>
      </w:r>
      <w:r w:rsidRPr="00743267">
        <w:rPr>
          <w:lang w:val="fr-FR"/>
        </w:rPr>
        <w:t>données commerciales recueillies par l</w:t>
      </w:r>
      <w:r w:rsidR="008A1D13">
        <w:rPr>
          <w:lang w:val="fr-FR"/>
        </w:rPr>
        <w:t>’</w:t>
      </w:r>
      <w:r w:rsidRPr="00743267">
        <w:rPr>
          <w:lang w:val="fr-FR"/>
        </w:rPr>
        <w:t>ONU et les publications scientifiques.</w:t>
      </w:r>
    </w:p>
    <w:p w14:paraId="6AA18EFC" w14:textId="5D81EE3A" w:rsidR="00967EB7" w:rsidRPr="00743267" w:rsidRDefault="001026B6" w:rsidP="004849C1">
      <w:pPr>
        <w:pStyle w:val="Paragraphedeliste"/>
        <w:numPr>
          <w:ilvl w:val="0"/>
          <w:numId w:val="8"/>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10" w:hanging="567"/>
        <w:rPr>
          <w:rFonts w:eastAsia="Roboto"/>
          <w:lang w:val="fr-FR"/>
        </w:rPr>
      </w:pPr>
      <w:r>
        <w:rPr>
          <w:lang w:val="fr-FR"/>
        </w:rPr>
        <w:t>Phase 2 </w:t>
      </w:r>
      <w:r w:rsidR="00967EB7" w:rsidRPr="00743267">
        <w:rPr>
          <w:lang w:val="fr-FR"/>
        </w:rPr>
        <w:t>: synthèse et évaluation de l</w:t>
      </w:r>
      <w:r w:rsidR="008A1D13">
        <w:rPr>
          <w:lang w:val="fr-FR"/>
        </w:rPr>
        <w:t>’</w:t>
      </w:r>
      <w:r w:rsidR="00967EB7" w:rsidRPr="00743267">
        <w:rPr>
          <w:lang w:val="fr-FR"/>
        </w:rPr>
        <w:t>information</w:t>
      </w:r>
    </w:p>
    <w:p w14:paraId="52F7581A" w14:textId="27096122"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Le secrétariat établit, à partir des informations recueillies pendant la première phase, un</w:t>
      </w:r>
      <w:r>
        <w:rPr>
          <w:lang w:val="fr-FR"/>
        </w:rPr>
        <w:t> </w:t>
      </w:r>
      <w:r w:rsidRPr="00743267">
        <w:rPr>
          <w:lang w:val="fr-FR"/>
        </w:rPr>
        <w:t>rapport préliminaire contenant une compilation des diverses informations et données disponibles pour faciliter l</w:t>
      </w:r>
      <w:r w:rsidR="008A1D13">
        <w:rPr>
          <w:lang w:val="fr-FR"/>
        </w:rPr>
        <w:t>’</w:t>
      </w:r>
      <w:r w:rsidRPr="00743267">
        <w:rPr>
          <w:lang w:val="fr-FR"/>
        </w:rPr>
        <w:t>évaluation de l</w:t>
      </w:r>
      <w:r w:rsidR="008A1D13">
        <w:rPr>
          <w:lang w:val="fr-FR"/>
        </w:rPr>
        <w:t>’</w:t>
      </w:r>
      <w:r w:rsidRPr="00743267">
        <w:rPr>
          <w:lang w:val="fr-FR"/>
        </w:rPr>
        <w:t xml:space="preserve">efficacité de la Convention. </w:t>
      </w:r>
    </w:p>
    <w:p w14:paraId="75FBAF44" w14:textId="3A2EA290"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Le comité d</w:t>
      </w:r>
      <w:r w:rsidR="008A1D13">
        <w:rPr>
          <w:lang w:val="fr-FR"/>
        </w:rPr>
        <w:t>’</w:t>
      </w:r>
      <w:r w:rsidRPr="00743267">
        <w:rPr>
          <w:lang w:val="fr-FR"/>
        </w:rPr>
        <w:t>évaluation de l</w:t>
      </w:r>
      <w:r w:rsidR="008A1D13">
        <w:rPr>
          <w:lang w:val="fr-FR"/>
        </w:rPr>
        <w:t>’</w:t>
      </w:r>
      <w:r w:rsidRPr="00743267">
        <w:rPr>
          <w:lang w:val="fr-FR"/>
        </w:rPr>
        <w:t>efficacité examinera et évaluera les informations compilées par le secrétariat.</w:t>
      </w:r>
    </w:p>
    <w:p w14:paraId="537FAB07" w14:textId="0BC1219F" w:rsidR="00967EB7" w:rsidRPr="00743267" w:rsidRDefault="00967EB7" w:rsidP="004849C1">
      <w:pPr>
        <w:pStyle w:val="Paragraphedeliste"/>
        <w:numPr>
          <w:ilvl w:val="1"/>
          <w:numId w:val="8"/>
        </w:numPr>
        <w:pBdr>
          <w:top w:val="nil"/>
          <w:left w:val="nil"/>
          <w:bottom w:val="nil"/>
          <w:right w:val="nil"/>
          <w:between w:val="nil"/>
          <w:bar w:val="nil"/>
        </w:pBdr>
        <w:tabs>
          <w:tab w:val="clear" w:pos="1247"/>
          <w:tab w:val="clear" w:pos="1814"/>
          <w:tab w:val="clear" w:pos="2381"/>
          <w:tab w:val="clear" w:pos="2948"/>
          <w:tab w:val="clear" w:pos="3515"/>
          <w:tab w:val="left" w:pos="624"/>
          <w:tab w:val="left" w:pos="2977"/>
        </w:tabs>
        <w:spacing w:after="120"/>
        <w:ind w:left="2977" w:hanging="567"/>
        <w:rPr>
          <w:rFonts w:eastAsia="Roboto"/>
          <w:lang w:val="fr-FR"/>
        </w:rPr>
      </w:pPr>
      <w:r w:rsidRPr="00743267">
        <w:rPr>
          <w:lang w:val="fr-FR"/>
        </w:rPr>
        <w:t>Le comité tire des conclusions quant à l</w:t>
      </w:r>
      <w:r w:rsidR="008A1D13">
        <w:rPr>
          <w:lang w:val="fr-FR"/>
        </w:rPr>
        <w:t>’</w:t>
      </w:r>
      <w:r w:rsidRPr="00743267">
        <w:rPr>
          <w:lang w:val="fr-FR"/>
        </w:rPr>
        <w:t>efficacité de la Convention et fait des recommandations à la Conférence des Parties sur les améliorations qui pourraient être nécessaires.</w:t>
      </w:r>
    </w:p>
    <w:p w14:paraId="2C5CFDB0" w14:textId="77777777" w:rsidR="00C0425C" w:rsidRPr="00743267" w:rsidRDefault="00C0425C" w:rsidP="00C0425C">
      <w:pPr>
        <w:pStyle w:val="Text"/>
        <w:keepNext/>
        <w:keepLines/>
        <w:spacing w:after="120"/>
        <w:ind w:left="1247"/>
        <w:rPr>
          <w:rFonts w:ascii="Times New Roman" w:hAnsi="Times New Roman" w:cs="Times New Roman"/>
          <w:b/>
          <w:bCs/>
          <w:color w:val="auto"/>
          <w:sz w:val="20"/>
          <w:szCs w:val="20"/>
          <w:lang w:val="fr-FR"/>
        </w:rPr>
      </w:pPr>
      <w:r w:rsidRPr="00743267">
        <w:rPr>
          <w:rFonts w:ascii="Times New Roman" w:hAnsi="Times New Roman" w:cs="Times New Roman"/>
          <w:b/>
          <w:bCs/>
          <w:sz w:val="20"/>
          <w:szCs w:val="20"/>
          <w:lang w:val="fr-FR"/>
        </w:rPr>
        <w:t>Projet de calendrier pour la première</w:t>
      </w:r>
      <w:r>
        <w:rPr>
          <w:rFonts w:ascii="Times New Roman" w:hAnsi="Times New Roman" w:cs="Times New Roman"/>
          <w:b/>
          <w:bCs/>
          <w:sz w:val="20"/>
          <w:szCs w:val="20"/>
          <w:lang w:val="fr-FR"/>
        </w:rPr>
        <w:t> </w:t>
      </w:r>
      <w:r w:rsidRPr="00743267">
        <w:rPr>
          <w:rFonts w:ascii="Times New Roman" w:hAnsi="Times New Roman" w:cs="Times New Roman"/>
          <w:b/>
          <w:bCs/>
          <w:sz w:val="20"/>
          <w:szCs w:val="20"/>
          <w:lang w:val="fr-FR"/>
        </w:rPr>
        <w:t>évaluation de l</w:t>
      </w:r>
      <w:r>
        <w:rPr>
          <w:rFonts w:ascii="Times New Roman" w:hAnsi="Times New Roman" w:cs="Times New Roman"/>
          <w:b/>
          <w:bCs/>
          <w:sz w:val="20"/>
          <w:szCs w:val="20"/>
          <w:lang w:val="fr-FR"/>
        </w:rPr>
        <w:t>’</w:t>
      </w:r>
      <w:r w:rsidRPr="00743267">
        <w:rPr>
          <w:rFonts w:ascii="Times New Roman" w:hAnsi="Times New Roman" w:cs="Times New Roman"/>
          <w:b/>
          <w:bCs/>
          <w:sz w:val="20"/>
          <w:szCs w:val="20"/>
          <w:lang w:val="fr-FR"/>
        </w:rPr>
        <w:t>efficacité</w:t>
      </w:r>
    </w:p>
    <w:tbl>
      <w:tblPr>
        <w:tblW w:w="9129" w:type="dxa"/>
        <w:tblInd w:w="3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55"/>
        <w:gridCol w:w="2408"/>
        <w:gridCol w:w="2433"/>
        <w:gridCol w:w="2433"/>
      </w:tblGrid>
      <w:tr w:rsidR="00C0425C" w:rsidRPr="00743267" w14:paraId="2FE7DB43" w14:textId="77777777" w:rsidTr="00373F5D">
        <w:trPr>
          <w:trHeight w:val="141"/>
          <w:tblHead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075B" w14:textId="77777777" w:rsidR="00C0425C" w:rsidRPr="00743267" w:rsidRDefault="00C0425C" w:rsidP="005F4BCA">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fr-FR"/>
              </w:rPr>
            </w:pPr>
            <w:r w:rsidRPr="00743267">
              <w:rPr>
                <w:rFonts w:ascii="Times New Roman" w:hAnsi="Times New Roman" w:cs="Times New Roman"/>
                <w:i/>
                <w:iCs/>
                <w:sz w:val="18"/>
                <w:szCs w:val="18"/>
                <w:lang w:val="fr-FR"/>
              </w:rPr>
              <w:t>Année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ED4D" w14:textId="77777777" w:rsidR="00C0425C" w:rsidRPr="00743267" w:rsidRDefault="00C0425C" w:rsidP="005F4BCA">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fr-FR"/>
              </w:rPr>
            </w:pPr>
            <w:r w:rsidRPr="00743267">
              <w:rPr>
                <w:rFonts w:ascii="Times New Roman" w:hAnsi="Times New Roman" w:cs="Times New Roman"/>
                <w:i/>
                <w:iCs/>
                <w:sz w:val="18"/>
                <w:szCs w:val="18"/>
                <w:lang w:val="fr-FR"/>
              </w:rPr>
              <w:t>Informations disponibles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F6222" w14:textId="77777777" w:rsidR="00C0425C" w:rsidRPr="00743267" w:rsidRDefault="00C0425C" w:rsidP="005F4BCA">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fr-FR"/>
              </w:rPr>
            </w:pPr>
            <w:r w:rsidRPr="00743267">
              <w:rPr>
                <w:rFonts w:ascii="Times New Roman" w:hAnsi="Times New Roman" w:cs="Times New Roman"/>
                <w:i/>
                <w:iCs/>
                <w:sz w:val="18"/>
                <w:szCs w:val="18"/>
                <w:lang w:val="fr-FR"/>
              </w:rPr>
              <w:t>Données de surveillance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B747" w14:textId="77777777" w:rsidR="00C0425C" w:rsidRPr="00743267" w:rsidRDefault="00C0425C" w:rsidP="005F4BCA">
            <w:pPr>
              <w:pStyle w:val="Text"/>
              <w:keepNext/>
              <w:keepLines/>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fr-FR"/>
              </w:rPr>
            </w:pPr>
            <w:r w:rsidRPr="00743267">
              <w:rPr>
                <w:rFonts w:ascii="Times New Roman" w:hAnsi="Times New Roman" w:cs="Times New Roman"/>
                <w:i/>
                <w:iCs/>
                <w:sz w:val="18"/>
                <w:szCs w:val="18"/>
                <w:lang w:val="fr-FR"/>
              </w:rPr>
              <w:t>Évaluation de l</w:t>
            </w:r>
            <w:r>
              <w:rPr>
                <w:rFonts w:ascii="Times New Roman" w:hAnsi="Times New Roman" w:cs="Times New Roman"/>
                <w:i/>
                <w:iCs/>
                <w:sz w:val="18"/>
                <w:szCs w:val="18"/>
                <w:lang w:val="fr-FR"/>
              </w:rPr>
              <w:t>’</w:t>
            </w:r>
            <w:r w:rsidRPr="00743267">
              <w:rPr>
                <w:rFonts w:ascii="Times New Roman" w:hAnsi="Times New Roman" w:cs="Times New Roman"/>
                <w:i/>
                <w:iCs/>
                <w:sz w:val="18"/>
                <w:szCs w:val="18"/>
                <w:lang w:val="fr-FR"/>
              </w:rPr>
              <w:t>efficacité</w:t>
            </w:r>
          </w:p>
        </w:tc>
      </w:tr>
      <w:tr w:rsidR="00C0425C" w:rsidRPr="000A5CCC" w14:paraId="34E55D9E" w14:textId="77777777" w:rsidTr="00373F5D">
        <w:trPr>
          <w:trHeight w:val="39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36338" w14:textId="77777777" w:rsidR="00C0425C" w:rsidRPr="00743267" w:rsidRDefault="00C0425C" w:rsidP="005F4BCA">
            <w:pPr>
              <w:pStyle w:val="Text"/>
              <w:keepNext/>
              <w:keepLines/>
              <w:tabs>
                <w:tab w:val="left" w:pos="477"/>
              </w:tabs>
              <w:spacing w:after="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2017 – entrée en</w:t>
            </w:r>
            <w:r>
              <w:rPr>
                <w:rFonts w:ascii="Times New Roman" w:hAnsi="Times New Roman" w:cs="Times New Roman"/>
                <w:sz w:val="18"/>
                <w:szCs w:val="18"/>
                <w:lang w:val="fr-FR"/>
              </w:rPr>
              <w:t> </w:t>
            </w:r>
            <w:r w:rsidRPr="00743267">
              <w:rPr>
                <w:rFonts w:ascii="Times New Roman" w:hAnsi="Times New Roman" w:cs="Times New Roman"/>
                <w:sz w:val="18"/>
                <w:szCs w:val="18"/>
                <w:lang w:val="fr-FR"/>
              </w:rPr>
              <w:t>vigueur, première</w:t>
            </w:r>
            <w:r>
              <w:rPr>
                <w:rFonts w:ascii="Times New Roman" w:hAnsi="Times New Roman" w:cs="Times New Roman"/>
                <w:sz w:val="18"/>
                <w:szCs w:val="18"/>
                <w:lang w:val="fr-FR"/>
              </w:rPr>
              <w:t> </w:t>
            </w:r>
            <w:r w:rsidRPr="00743267">
              <w:rPr>
                <w:rFonts w:ascii="Times New Roman" w:hAnsi="Times New Roman" w:cs="Times New Roman"/>
                <w:sz w:val="18"/>
                <w:szCs w:val="18"/>
                <w:lang w:val="fr-FR"/>
              </w:rPr>
              <w:t>réunion de la Conférence des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2446F" w14:textId="77777777" w:rsidR="00C0425C" w:rsidRPr="00743267" w:rsidRDefault="00C0425C" w:rsidP="005F4BCA">
            <w:pPr>
              <w:keepNext/>
              <w:keepLines/>
              <w:rPr>
                <w:sz w:val="18"/>
                <w:szCs w:val="18"/>
                <w:lang w:val="fr-FR"/>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138A" w14:textId="77777777" w:rsidR="00C0425C" w:rsidRPr="00743267" w:rsidRDefault="00C0425C" w:rsidP="005F4BCA">
            <w:pPr>
              <w:keepNext/>
              <w:keepLines/>
              <w:rPr>
                <w:sz w:val="18"/>
                <w:szCs w:val="18"/>
                <w:lang w:val="fr-FR"/>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27E56" w14:textId="77777777" w:rsidR="00C0425C" w:rsidRPr="00743267" w:rsidRDefault="00C0425C" w:rsidP="005F4BCA">
            <w:pPr>
              <w:keepNext/>
              <w:keepLines/>
              <w:rPr>
                <w:sz w:val="18"/>
                <w:szCs w:val="18"/>
                <w:lang w:val="fr-FR"/>
              </w:rPr>
            </w:pPr>
          </w:p>
        </w:tc>
      </w:tr>
      <w:tr w:rsidR="00C0425C" w:rsidRPr="000A5CCC" w14:paraId="5119AB93" w14:textId="77777777" w:rsidTr="00373F5D">
        <w:trPr>
          <w:trHeight w:val="24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4EF6" w14:textId="77777777" w:rsidR="00C0425C" w:rsidRDefault="00C0425C" w:rsidP="005F4BCA">
            <w:pPr>
              <w:pStyle w:val="Text"/>
              <w:keepNext/>
              <w:keepLines/>
              <w:tabs>
                <w:tab w:val="left" w:pos="477"/>
              </w:tabs>
              <w:spacing w:after="0" w:line="240" w:lineRule="auto"/>
              <w:rPr>
                <w:rFonts w:ascii="Times New Roman" w:hAnsi="Times New Roman" w:cs="Times New Roman"/>
                <w:sz w:val="18"/>
                <w:szCs w:val="18"/>
                <w:lang w:val="fr-FR"/>
              </w:rPr>
            </w:pPr>
            <w:r w:rsidRPr="00743267">
              <w:rPr>
                <w:rFonts w:ascii="Times New Roman" w:hAnsi="Times New Roman" w:cs="Times New Roman"/>
                <w:sz w:val="18"/>
                <w:szCs w:val="18"/>
                <w:lang w:val="fr-FR"/>
              </w:rPr>
              <w:t xml:space="preserve">2018 - </w:t>
            </w:r>
          </w:p>
          <w:p w14:paraId="23F32808" w14:textId="77777777" w:rsidR="00C0425C" w:rsidRPr="00743267" w:rsidRDefault="00C0425C" w:rsidP="005F4BCA">
            <w:pPr>
              <w:pStyle w:val="Text"/>
              <w:keepNext/>
              <w:keepLines/>
              <w:tabs>
                <w:tab w:val="left" w:pos="477"/>
              </w:tabs>
              <w:spacing w:after="0" w:line="240" w:lineRule="auto"/>
              <w:rPr>
                <w:rFonts w:ascii="Times New Roman" w:hAnsi="Times New Roman" w:cs="Times New Roman"/>
                <w:color w:val="auto"/>
                <w:sz w:val="18"/>
                <w:szCs w:val="18"/>
                <w:lang w:val="fr-FR"/>
              </w:rPr>
            </w:pPr>
            <w:proofErr w:type="gramStart"/>
            <w:r w:rsidRPr="00743267">
              <w:rPr>
                <w:rFonts w:ascii="Times New Roman" w:hAnsi="Times New Roman" w:cs="Times New Roman"/>
                <w:sz w:val="18"/>
                <w:szCs w:val="18"/>
                <w:lang w:val="fr-FR"/>
              </w:rPr>
              <w:t>deuxième</w:t>
            </w:r>
            <w:proofErr w:type="gramEnd"/>
            <w:r w:rsidRPr="00743267">
              <w:rPr>
                <w:rFonts w:ascii="Times New Roman" w:hAnsi="Times New Roman" w:cs="Times New Roman"/>
                <w:sz w:val="18"/>
                <w:szCs w:val="18"/>
                <w:lang w:val="fr-FR"/>
              </w:rPr>
              <w:t xml:space="preserve"> réunion de la Conférence des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8DA1" w14:textId="77777777" w:rsidR="00C0425C" w:rsidRPr="00743267" w:rsidRDefault="00C0425C" w:rsidP="00C0425C">
            <w:pPr>
              <w:pStyle w:val="Paragraphedeliste"/>
              <w:keepNext/>
              <w:keepLines/>
              <w:numPr>
                <w:ilvl w:val="0"/>
                <w:numId w:val="18"/>
              </w:numPr>
              <w:pBdr>
                <w:top w:val="nil"/>
                <w:left w:val="nil"/>
                <w:bottom w:val="nil"/>
                <w:right w:val="nil"/>
                <w:between w:val="nil"/>
                <w:bar w:val="nil"/>
              </w:pBdr>
              <w:rPr>
                <w:rFonts w:eastAsia="Roboto"/>
                <w:sz w:val="18"/>
                <w:szCs w:val="18"/>
                <w:lang w:val="fr-FR"/>
              </w:rPr>
            </w:pPr>
            <w:r w:rsidRPr="00743267">
              <w:rPr>
                <w:sz w:val="18"/>
                <w:szCs w:val="18"/>
                <w:lang w:val="fr-FR"/>
              </w:rPr>
              <w:t>Évaluation mondiale du mercure</w:t>
            </w:r>
          </w:p>
          <w:p w14:paraId="1A6D2159" w14:textId="77777777" w:rsidR="00C0425C" w:rsidRPr="00743267" w:rsidRDefault="00C0425C" w:rsidP="00C0425C">
            <w:pPr>
              <w:pStyle w:val="Paragraphedeliste"/>
              <w:keepNext/>
              <w:keepLines/>
              <w:numPr>
                <w:ilvl w:val="0"/>
                <w:numId w:val="18"/>
              </w:numPr>
              <w:pBdr>
                <w:top w:val="nil"/>
                <w:left w:val="nil"/>
                <w:bottom w:val="nil"/>
                <w:right w:val="nil"/>
                <w:between w:val="nil"/>
                <w:bar w:val="nil"/>
              </w:pBdr>
              <w:rPr>
                <w:rFonts w:eastAsia="Roboto"/>
                <w:sz w:val="18"/>
                <w:szCs w:val="18"/>
                <w:lang w:val="fr-FR"/>
              </w:rPr>
            </w:pPr>
            <w:r w:rsidRPr="00743267">
              <w:rPr>
                <w:sz w:val="18"/>
                <w:szCs w:val="18"/>
                <w:lang w:val="fr-FR"/>
              </w:rPr>
              <w:t>Majorité des évaluations initiales de la Convention de Minamata terminées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50E39" w14:textId="77777777" w:rsidR="00C0425C" w:rsidRPr="00743267" w:rsidRDefault="00C0425C" w:rsidP="00C0425C">
            <w:pPr>
              <w:pStyle w:val="Paragraphedeliste"/>
              <w:keepNext/>
              <w:keepLines/>
              <w:numPr>
                <w:ilvl w:val="0"/>
                <w:numId w:val="19"/>
              </w:numPr>
              <w:pBdr>
                <w:top w:val="nil"/>
                <w:left w:val="nil"/>
                <w:bottom w:val="nil"/>
                <w:right w:val="nil"/>
                <w:between w:val="nil"/>
                <w:bar w:val="nil"/>
              </w:pBdr>
              <w:rPr>
                <w:rFonts w:eastAsia="Roboto"/>
                <w:sz w:val="18"/>
                <w:szCs w:val="18"/>
                <w:lang w:val="fr-FR"/>
              </w:rPr>
            </w:pPr>
            <w:r w:rsidRPr="00743267">
              <w:rPr>
                <w:sz w:val="18"/>
                <w:szCs w:val="18"/>
                <w:lang w:val="fr-FR"/>
              </w:rPr>
              <w:t>La Conférence des Parties examine les résultats des travaux intersessions et les moyens de combler les lacunes et d</w:t>
            </w:r>
            <w:r>
              <w:rPr>
                <w:sz w:val="18"/>
                <w:szCs w:val="18"/>
                <w:lang w:val="fr-FR"/>
              </w:rPr>
              <w:t>’</w:t>
            </w:r>
            <w:r w:rsidRPr="00743267">
              <w:rPr>
                <w:sz w:val="18"/>
                <w:szCs w:val="18"/>
                <w:lang w:val="fr-FR"/>
              </w:rPr>
              <w:t>organiser les futures activités de surveillance, y compris les modalités d</w:t>
            </w:r>
            <w:r>
              <w:rPr>
                <w:sz w:val="18"/>
                <w:szCs w:val="18"/>
                <w:lang w:val="fr-FR"/>
              </w:rPr>
              <w:t>’</w:t>
            </w:r>
            <w:r w:rsidRPr="00743267">
              <w:rPr>
                <w:sz w:val="18"/>
                <w:szCs w:val="18"/>
                <w:lang w:val="fr-FR"/>
              </w:rPr>
              <w:t xml:space="preserve">organisation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9811" w14:textId="77777777" w:rsidR="00C0425C" w:rsidRPr="00743267" w:rsidRDefault="00C0425C" w:rsidP="00C0425C">
            <w:pPr>
              <w:pStyle w:val="Paragraphedeliste"/>
              <w:keepNext/>
              <w:keepLines/>
              <w:numPr>
                <w:ilvl w:val="0"/>
                <w:numId w:val="20"/>
              </w:numPr>
              <w:pBdr>
                <w:top w:val="nil"/>
                <w:left w:val="nil"/>
                <w:bottom w:val="nil"/>
                <w:right w:val="nil"/>
                <w:between w:val="nil"/>
                <w:bar w:val="nil"/>
              </w:pBdr>
              <w:rPr>
                <w:rFonts w:eastAsia="Roboto"/>
                <w:sz w:val="18"/>
                <w:szCs w:val="18"/>
                <w:lang w:val="fr-FR"/>
              </w:rPr>
            </w:pPr>
            <w:r w:rsidRPr="00743267">
              <w:rPr>
                <w:sz w:val="18"/>
                <w:szCs w:val="18"/>
                <w:lang w:val="fr-FR"/>
              </w:rPr>
              <w:t>La Conférence des Parties examine les résultats des travaux intersessions et la manière de créer un cadre d</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efficacité</w:t>
            </w:r>
          </w:p>
        </w:tc>
      </w:tr>
      <w:tr w:rsidR="00C0425C" w:rsidRPr="000A5CCC" w14:paraId="357692AB" w14:textId="77777777" w:rsidTr="00373F5D">
        <w:trPr>
          <w:trHeight w:val="94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819B7" w14:textId="77777777" w:rsidR="00C0425C" w:rsidRPr="00743267" w:rsidRDefault="00C0425C" w:rsidP="005F4BCA">
            <w:pPr>
              <w:pStyle w:val="Text"/>
              <w:keepNext/>
              <w:keepLines/>
              <w:tabs>
                <w:tab w:val="left" w:pos="477"/>
              </w:tabs>
              <w:spacing w:after="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2019 - troisième réunion de la Conférence des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F7039" w14:textId="77777777" w:rsidR="00C0425C" w:rsidRPr="00743267" w:rsidRDefault="00C0425C" w:rsidP="00C0425C">
            <w:pPr>
              <w:pStyle w:val="Paragraphedeliste"/>
              <w:keepNext/>
              <w:keepLines/>
              <w:numPr>
                <w:ilvl w:val="0"/>
                <w:numId w:val="21"/>
              </w:numPr>
              <w:pBdr>
                <w:top w:val="nil"/>
                <w:left w:val="nil"/>
                <w:bottom w:val="nil"/>
                <w:right w:val="nil"/>
                <w:between w:val="nil"/>
                <w:bar w:val="nil"/>
              </w:pBdr>
              <w:rPr>
                <w:rFonts w:eastAsia="Roboto"/>
                <w:sz w:val="18"/>
                <w:szCs w:val="18"/>
                <w:lang w:val="fr-FR"/>
              </w:rPr>
            </w:pPr>
            <w:r w:rsidRPr="00743267">
              <w:rPr>
                <w:sz w:val="18"/>
                <w:szCs w:val="18"/>
                <w:lang w:val="fr-FR"/>
              </w:rPr>
              <w:t>Article 21 (Établissement de rapports) : premier court rapport biennal avant le 31 décembre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12661" w14:textId="77777777" w:rsidR="00C0425C" w:rsidRPr="00743267" w:rsidRDefault="00C0425C" w:rsidP="00C0425C">
            <w:pPr>
              <w:pStyle w:val="Paragraphedeliste"/>
              <w:keepNext/>
              <w:keepLines/>
              <w:numPr>
                <w:ilvl w:val="0"/>
                <w:numId w:val="22"/>
              </w:numPr>
              <w:pBdr>
                <w:top w:val="nil"/>
                <w:left w:val="nil"/>
                <w:bottom w:val="nil"/>
                <w:right w:val="nil"/>
                <w:between w:val="nil"/>
                <w:bar w:val="nil"/>
              </w:pBdr>
              <w:rPr>
                <w:rFonts w:eastAsia="Roboto"/>
                <w:sz w:val="18"/>
                <w:szCs w:val="18"/>
                <w:lang w:val="fr-FR"/>
              </w:rPr>
            </w:pPr>
            <w:r w:rsidRPr="00743267">
              <w:rPr>
                <w:sz w:val="18"/>
                <w:szCs w:val="18"/>
                <w:lang w:val="fr-FR"/>
              </w:rPr>
              <w:t>Approuver les dispositions de surveillance, y compris les délais de présentation des données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A31C0" w14:textId="77777777" w:rsidR="00C0425C" w:rsidRPr="00743267" w:rsidRDefault="00C0425C" w:rsidP="00C0425C">
            <w:pPr>
              <w:pStyle w:val="Paragraphedeliste"/>
              <w:keepNext/>
              <w:keepLines/>
              <w:numPr>
                <w:ilvl w:val="0"/>
                <w:numId w:val="23"/>
              </w:numPr>
              <w:pBdr>
                <w:top w:val="nil"/>
                <w:left w:val="nil"/>
                <w:bottom w:val="nil"/>
                <w:right w:val="nil"/>
                <w:between w:val="nil"/>
                <w:bar w:val="nil"/>
              </w:pBdr>
              <w:rPr>
                <w:rFonts w:eastAsia="Roboto"/>
                <w:sz w:val="18"/>
                <w:szCs w:val="18"/>
                <w:lang w:val="fr-FR"/>
              </w:rPr>
            </w:pPr>
            <w:r w:rsidRPr="00743267">
              <w:rPr>
                <w:sz w:val="18"/>
                <w:szCs w:val="18"/>
                <w:lang w:val="fr-FR"/>
              </w:rPr>
              <w:t>Adoption du cadre d</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efficacité</w:t>
            </w:r>
          </w:p>
          <w:p w14:paraId="5D237CC6" w14:textId="77777777" w:rsidR="00C0425C" w:rsidRPr="00743267" w:rsidRDefault="00C0425C" w:rsidP="00C0425C">
            <w:pPr>
              <w:pStyle w:val="Paragraphedeliste"/>
              <w:keepNext/>
              <w:keepLines/>
              <w:numPr>
                <w:ilvl w:val="0"/>
                <w:numId w:val="23"/>
              </w:numPr>
              <w:pBdr>
                <w:top w:val="nil"/>
                <w:left w:val="nil"/>
                <w:bottom w:val="nil"/>
                <w:right w:val="nil"/>
                <w:between w:val="nil"/>
                <w:bar w:val="nil"/>
              </w:pBdr>
              <w:rPr>
                <w:rFonts w:eastAsia="Roboto"/>
                <w:sz w:val="18"/>
                <w:szCs w:val="18"/>
                <w:lang w:val="fr-FR"/>
              </w:rPr>
            </w:pPr>
            <w:r w:rsidRPr="00743267">
              <w:rPr>
                <w:sz w:val="18"/>
                <w:szCs w:val="18"/>
                <w:lang w:val="fr-FR"/>
              </w:rPr>
              <w:t>Désignation des membres du comité d</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efficacité</w:t>
            </w:r>
          </w:p>
        </w:tc>
      </w:tr>
      <w:tr w:rsidR="00C0425C" w:rsidRPr="000A5CCC" w14:paraId="37295657" w14:textId="77777777" w:rsidTr="00373F5D">
        <w:trPr>
          <w:trHeight w:val="99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82B0" w14:textId="77777777" w:rsidR="00C0425C" w:rsidRPr="00743267" w:rsidRDefault="00C0425C" w:rsidP="005F4BCA">
            <w:pPr>
              <w:pStyle w:val="Text"/>
              <w:tabs>
                <w:tab w:val="left" w:pos="477"/>
              </w:tabs>
              <w:spacing w:after="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2020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3683D" w14:textId="77777777" w:rsidR="00C0425C" w:rsidRPr="00743267" w:rsidRDefault="00C0425C" w:rsidP="00C0425C">
            <w:pPr>
              <w:pStyle w:val="Paragraphedeliste"/>
              <w:numPr>
                <w:ilvl w:val="0"/>
                <w:numId w:val="24"/>
              </w:numPr>
              <w:pBdr>
                <w:top w:val="nil"/>
                <w:left w:val="nil"/>
                <w:bottom w:val="nil"/>
                <w:right w:val="nil"/>
                <w:between w:val="nil"/>
                <w:bar w:val="nil"/>
              </w:pBdr>
              <w:rPr>
                <w:rFonts w:eastAsia="Roboto"/>
                <w:sz w:val="18"/>
                <w:szCs w:val="18"/>
                <w:lang w:val="fr-FR"/>
              </w:rPr>
            </w:pPr>
            <w:r w:rsidRPr="00743267">
              <w:rPr>
                <w:sz w:val="18"/>
                <w:szCs w:val="18"/>
                <w:lang w:val="fr-FR"/>
              </w:rPr>
              <w:t>Présentation des premiers</w:t>
            </w:r>
            <w:r>
              <w:rPr>
                <w:sz w:val="18"/>
                <w:szCs w:val="18"/>
                <w:lang w:val="fr-FR"/>
              </w:rPr>
              <w:t> </w:t>
            </w:r>
            <w:r w:rsidRPr="00743267">
              <w:rPr>
                <w:sz w:val="18"/>
                <w:szCs w:val="18"/>
                <w:lang w:val="fr-FR"/>
              </w:rPr>
              <w:t>plans d</w:t>
            </w:r>
            <w:r>
              <w:rPr>
                <w:sz w:val="18"/>
                <w:szCs w:val="18"/>
                <w:lang w:val="fr-FR"/>
              </w:rPr>
              <w:t>’</w:t>
            </w:r>
            <w:r w:rsidRPr="00743267">
              <w:rPr>
                <w:sz w:val="18"/>
                <w:szCs w:val="18"/>
                <w:lang w:val="fr-FR"/>
              </w:rPr>
              <w:t>action nationaux concernant l</w:t>
            </w:r>
            <w:r>
              <w:rPr>
                <w:sz w:val="18"/>
                <w:szCs w:val="18"/>
                <w:lang w:val="fr-FR"/>
              </w:rPr>
              <w:t>’</w:t>
            </w:r>
            <w:r w:rsidRPr="00743267">
              <w:rPr>
                <w:sz w:val="18"/>
                <w:szCs w:val="18"/>
                <w:lang w:val="fr-FR"/>
              </w:rPr>
              <w:t>extraction d</w:t>
            </w:r>
            <w:r>
              <w:rPr>
                <w:sz w:val="18"/>
                <w:szCs w:val="18"/>
                <w:lang w:val="fr-FR"/>
              </w:rPr>
              <w:t>’</w:t>
            </w:r>
            <w:r w:rsidRPr="00743267">
              <w:rPr>
                <w:sz w:val="18"/>
                <w:szCs w:val="18"/>
                <w:lang w:val="fr-FR"/>
              </w:rPr>
              <w:t>or artisanale et à petite échelle</w:t>
            </w:r>
          </w:p>
          <w:p w14:paraId="0C52BEE2" w14:textId="77777777" w:rsidR="00C0425C" w:rsidRPr="00743267" w:rsidRDefault="00C0425C" w:rsidP="00C0425C">
            <w:pPr>
              <w:pStyle w:val="Paragraphedeliste"/>
              <w:numPr>
                <w:ilvl w:val="0"/>
                <w:numId w:val="24"/>
              </w:numPr>
              <w:pBdr>
                <w:top w:val="nil"/>
                <w:left w:val="nil"/>
                <w:bottom w:val="nil"/>
                <w:right w:val="nil"/>
                <w:between w:val="nil"/>
                <w:bar w:val="nil"/>
              </w:pBdr>
              <w:rPr>
                <w:rFonts w:eastAsia="Roboto"/>
                <w:sz w:val="18"/>
                <w:szCs w:val="18"/>
                <w:lang w:val="fr-FR"/>
              </w:rPr>
            </w:pPr>
            <w:r w:rsidRPr="00743267">
              <w:rPr>
                <w:sz w:val="18"/>
                <w:szCs w:val="18"/>
                <w:lang w:val="fr-FR"/>
              </w:rPr>
              <w:t>Document sur les catégories de sources de rejets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D71ABF5" w14:textId="77777777" w:rsidR="00C0425C" w:rsidRPr="00743267" w:rsidRDefault="00C0425C" w:rsidP="005F4BCA">
            <w:pPr>
              <w:rPr>
                <w:sz w:val="18"/>
                <w:szCs w:val="18"/>
                <w:lang w:val="fr-FR"/>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DEB742" w14:textId="77777777" w:rsidR="00C0425C" w:rsidRPr="00743267" w:rsidRDefault="00C0425C" w:rsidP="005F4BCA">
            <w:pPr>
              <w:rPr>
                <w:sz w:val="18"/>
                <w:szCs w:val="18"/>
                <w:lang w:val="fr-FR"/>
              </w:rPr>
            </w:pPr>
          </w:p>
        </w:tc>
      </w:tr>
      <w:tr w:rsidR="00C0425C" w:rsidRPr="000A5CCC" w14:paraId="5750DB00" w14:textId="77777777" w:rsidTr="00373F5D">
        <w:trPr>
          <w:trHeight w:val="83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08B8" w14:textId="4CD90685" w:rsidR="00C0425C" w:rsidRPr="00743267" w:rsidRDefault="00C0425C" w:rsidP="005F4BCA">
            <w:pPr>
              <w:pStyle w:val="Text"/>
              <w:tabs>
                <w:tab w:val="left" w:pos="477"/>
              </w:tabs>
              <w:spacing w:after="0" w:line="240" w:lineRule="auto"/>
              <w:rPr>
                <w:rFonts w:ascii="Times New Roman" w:hAnsi="Times New Roman" w:cs="Times New Roman"/>
                <w:color w:val="auto"/>
                <w:sz w:val="18"/>
                <w:szCs w:val="18"/>
                <w:lang w:val="fr-FR"/>
              </w:rPr>
            </w:pPr>
            <w:r>
              <w:rPr>
                <w:rFonts w:ascii="Times New Roman" w:hAnsi="Times New Roman" w:cs="Times New Roman"/>
                <w:sz w:val="18"/>
                <w:szCs w:val="18"/>
                <w:lang w:val="fr-FR"/>
              </w:rPr>
              <w:t>2021 – quatrième </w:t>
            </w:r>
            <w:r w:rsidRPr="00743267">
              <w:rPr>
                <w:rFonts w:ascii="Times New Roman" w:hAnsi="Times New Roman" w:cs="Times New Roman"/>
                <w:sz w:val="18"/>
                <w:szCs w:val="18"/>
                <w:lang w:val="fr-FR"/>
              </w:rPr>
              <w:t>réunion de la Conférence des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54EC3" w14:textId="77777777" w:rsidR="00C0425C" w:rsidRPr="00743267" w:rsidRDefault="00C0425C" w:rsidP="00C0425C">
            <w:pPr>
              <w:pStyle w:val="Paragraphedeliste"/>
              <w:numPr>
                <w:ilvl w:val="0"/>
                <w:numId w:val="25"/>
              </w:numPr>
              <w:pBdr>
                <w:top w:val="nil"/>
                <w:left w:val="nil"/>
                <w:bottom w:val="nil"/>
                <w:right w:val="nil"/>
                <w:between w:val="nil"/>
                <w:bar w:val="nil"/>
              </w:pBdr>
              <w:rPr>
                <w:rFonts w:eastAsia="Roboto"/>
                <w:sz w:val="18"/>
                <w:szCs w:val="18"/>
                <w:lang w:val="fr-FR"/>
              </w:rPr>
            </w:pPr>
            <w:r w:rsidRPr="00743267">
              <w:rPr>
                <w:sz w:val="18"/>
                <w:szCs w:val="18"/>
                <w:lang w:val="fr-FR"/>
              </w:rPr>
              <w:t>Article 21 (Établissement de rapports) : premier rapport complet avant le 31 décembre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B7977" w14:textId="77777777" w:rsidR="00C0425C" w:rsidRPr="00743267" w:rsidRDefault="00C0425C" w:rsidP="00C0425C">
            <w:pPr>
              <w:pStyle w:val="Paragraphedeliste"/>
              <w:numPr>
                <w:ilvl w:val="0"/>
                <w:numId w:val="26"/>
              </w:numPr>
              <w:pBdr>
                <w:top w:val="nil"/>
                <w:left w:val="nil"/>
                <w:bottom w:val="nil"/>
                <w:right w:val="nil"/>
                <w:between w:val="nil"/>
                <w:bar w:val="nil"/>
              </w:pBdr>
              <w:rPr>
                <w:rFonts w:eastAsia="Roboto"/>
                <w:sz w:val="18"/>
                <w:szCs w:val="18"/>
                <w:lang w:val="fr-FR"/>
              </w:rPr>
            </w:pPr>
            <w:r w:rsidRPr="00743267">
              <w:rPr>
                <w:sz w:val="18"/>
                <w:szCs w:val="18"/>
                <w:lang w:val="fr-FR"/>
              </w:rPr>
              <w:t>La Conférence des Parties commence à élaborer le premier rapport de surveillance, qui sera pris en compte dans l</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 xml:space="preserve">efficacité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8FEB" w14:textId="77777777" w:rsidR="00C0425C" w:rsidRPr="00743267" w:rsidRDefault="00C0425C" w:rsidP="00C0425C">
            <w:pPr>
              <w:pStyle w:val="Paragraphedeliste"/>
              <w:numPr>
                <w:ilvl w:val="0"/>
                <w:numId w:val="27"/>
              </w:numPr>
              <w:pBdr>
                <w:top w:val="nil"/>
                <w:left w:val="nil"/>
                <w:bottom w:val="nil"/>
                <w:right w:val="nil"/>
                <w:between w:val="nil"/>
                <w:bar w:val="nil"/>
              </w:pBdr>
              <w:rPr>
                <w:rFonts w:eastAsia="Roboto"/>
                <w:sz w:val="18"/>
                <w:szCs w:val="18"/>
                <w:lang w:val="fr-FR"/>
              </w:rPr>
            </w:pPr>
            <w:r w:rsidRPr="00743267">
              <w:rPr>
                <w:sz w:val="18"/>
                <w:szCs w:val="18"/>
                <w:lang w:val="fr-FR"/>
              </w:rPr>
              <w:t>Tous les rapports issus de la première phase sont présentés au secrétariat (sauf le rapport mondial de surveillance)</w:t>
            </w:r>
          </w:p>
        </w:tc>
      </w:tr>
      <w:tr w:rsidR="00C0425C" w:rsidRPr="000A5CCC" w14:paraId="468AC819" w14:textId="77777777" w:rsidTr="00373F5D">
        <w:trPr>
          <w:trHeight w:val="132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646B" w14:textId="77777777" w:rsidR="00C0425C" w:rsidRPr="00743267" w:rsidRDefault="00C0425C" w:rsidP="005F4BCA">
            <w:pPr>
              <w:pStyle w:val="Text"/>
              <w:tabs>
                <w:tab w:val="left" w:pos="477"/>
              </w:tabs>
              <w:spacing w:after="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F3967" w14:textId="77777777" w:rsidR="00C0425C" w:rsidRPr="00743267" w:rsidRDefault="00C0425C" w:rsidP="00C0425C">
            <w:pPr>
              <w:pStyle w:val="Paragraphedeliste"/>
              <w:numPr>
                <w:ilvl w:val="0"/>
                <w:numId w:val="28"/>
              </w:numPr>
              <w:pBdr>
                <w:top w:val="nil"/>
                <w:left w:val="nil"/>
                <w:bottom w:val="nil"/>
                <w:right w:val="nil"/>
                <w:between w:val="nil"/>
                <w:bar w:val="nil"/>
              </w:pBdr>
              <w:rPr>
                <w:rFonts w:eastAsia="Roboto"/>
                <w:sz w:val="18"/>
                <w:szCs w:val="18"/>
                <w:lang w:val="fr-FR"/>
              </w:rPr>
            </w:pPr>
            <w:r w:rsidRPr="00743267">
              <w:rPr>
                <w:sz w:val="18"/>
                <w:szCs w:val="18"/>
                <w:lang w:val="fr-FR"/>
              </w:rPr>
              <w:t>Rapports nationaux au titre de l</w:t>
            </w:r>
            <w:r>
              <w:rPr>
                <w:sz w:val="18"/>
                <w:szCs w:val="18"/>
                <w:lang w:val="fr-FR"/>
              </w:rPr>
              <w:t>’article </w:t>
            </w:r>
            <w:r w:rsidRPr="00743267">
              <w:rPr>
                <w:sz w:val="18"/>
                <w:szCs w:val="18"/>
                <w:lang w:val="fr-FR"/>
              </w:rPr>
              <w:t>21 compilés</w:t>
            </w:r>
          </w:p>
          <w:p w14:paraId="409A3122" w14:textId="77777777" w:rsidR="00C0425C" w:rsidRPr="00743267" w:rsidRDefault="00C0425C" w:rsidP="00C0425C">
            <w:pPr>
              <w:pStyle w:val="Paragraphedeliste"/>
              <w:numPr>
                <w:ilvl w:val="0"/>
                <w:numId w:val="9"/>
              </w:numPr>
              <w:pBdr>
                <w:top w:val="nil"/>
                <w:left w:val="nil"/>
                <w:bottom w:val="nil"/>
                <w:right w:val="nil"/>
                <w:between w:val="nil"/>
                <w:bar w:val="nil"/>
              </w:pBdr>
              <w:rPr>
                <w:rFonts w:eastAsia="Roboto"/>
                <w:sz w:val="18"/>
                <w:szCs w:val="18"/>
                <w:lang w:val="fr-FR"/>
              </w:rPr>
            </w:pPr>
            <w:r w:rsidRPr="00743267">
              <w:rPr>
                <w:sz w:val="18"/>
                <w:szCs w:val="18"/>
                <w:lang w:val="fr-FR"/>
              </w:rPr>
              <w:t>Les inventaires des émissions et rejets commencent à être communiqués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BC3FC" w14:textId="77777777" w:rsidR="00C0425C" w:rsidRPr="00743267" w:rsidRDefault="00C0425C" w:rsidP="00C0425C">
            <w:pPr>
              <w:pStyle w:val="Paragraphedeliste"/>
              <w:numPr>
                <w:ilvl w:val="0"/>
                <w:numId w:val="29"/>
              </w:numPr>
              <w:pBdr>
                <w:top w:val="nil"/>
                <w:left w:val="nil"/>
                <w:bottom w:val="nil"/>
                <w:right w:val="nil"/>
                <w:between w:val="nil"/>
                <w:bar w:val="nil"/>
              </w:pBdr>
              <w:rPr>
                <w:rFonts w:eastAsia="Roboto"/>
                <w:sz w:val="18"/>
                <w:szCs w:val="18"/>
                <w:lang w:val="fr-FR"/>
              </w:rPr>
            </w:pPr>
            <w:r w:rsidRPr="00743267">
              <w:rPr>
                <w:sz w:val="18"/>
                <w:szCs w:val="18"/>
                <w:lang w:val="fr-FR"/>
              </w:rPr>
              <w:t>Préparation du rapport de surveillance et présentation au comité pour prise en compte aux fins du rapport sur l</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 xml:space="preserve">efficacité – comme suite au </w:t>
            </w:r>
            <w:proofErr w:type="spellStart"/>
            <w:r w:rsidRPr="00743267">
              <w:rPr>
                <w:sz w:val="18"/>
                <w:szCs w:val="18"/>
                <w:lang w:val="fr-FR"/>
              </w:rPr>
              <w:t>par</w:t>
            </w:r>
            <w:proofErr w:type="spellEnd"/>
            <w:r w:rsidRPr="00743267">
              <w:rPr>
                <w:sz w:val="18"/>
                <w:szCs w:val="18"/>
                <w:lang w:val="fr-FR"/>
              </w:rPr>
              <w:t>.</w:t>
            </w:r>
            <w:r>
              <w:rPr>
                <w:sz w:val="18"/>
                <w:szCs w:val="18"/>
                <w:lang w:val="fr-FR"/>
              </w:rPr>
              <w:t> </w:t>
            </w:r>
            <w:r w:rsidRPr="00743267">
              <w:rPr>
                <w:sz w:val="18"/>
                <w:szCs w:val="18"/>
                <w:lang w:val="fr-FR"/>
              </w:rPr>
              <w:t>2 de l</w:t>
            </w:r>
            <w:r>
              <w:rPr>
                <w:sz w:val="18"/>
                <w:szCs w:val="18"/>
                <w:lang w:val="fr-FR"/>
              </w:rPr>
              <w:t>’</w:t>
            </w:r>
            <w:r w:rsidRPr="00743267">
              <w:rPr>
                <w:sz w:val="18"/>
                <w:szCs w:val="18"/>
                <w:lang w:val="fr-FR"/>
              </w:rPr>
              <w:t>art</w:t>
            </w:r>
            <w:r>
              <w:rPr>
                <w:sz w:val="18"/>
                <w:szCs w:val="18"/>
                <w:lang w:val="fr-FR"/>
              </w:rPr>
              <w:t>icle </w:t>
            </w:r>
            <w:r w:rsidRPr="00743267">
              <w:rPr>
                <w:sz w:val="18"/>
                <w:szCs w:val="18"/>
                <w:lang w:val="fr-FR"/>
              </w:rPr>
              <w:t>22 qui tend à faciliter l</w:t>
            </w:r>
            <w:r>
              <w:rPr>
                <w:sz w:val="18"/>
                <w:szCs w:val="18"/>
                <w:lang w:val="fr-FR"/>
              </w:rPr>
              <w:t>’</w:t>
            </w:r>
            <w:r w:rsidRPr="00743267">
              <w:rPr>
                <w:sz w:val="18"/>
                <w:szCs w:val="18"/>
                <w:lang w:val="fr-FR"/>
              </w:rPr>
              <w:t>évaluation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A8432" w14:textId="77777777" w:rsidR="00C0425C" w:rsidRPr="00743267" w:rsidRDefault="00C0425C" w:rsidP="00C0425C">
            <w:pPr>
              <w:pStyle w:val="Paragraphedeliste"/>
              <w:numPr>
                <w:ilvl w:val="0"/>
                <w:numId w:val="30"/>
              </w:numPr>
              <w:pBdr>
                <w:top w:val="nil"/>
                <w:left w:val="nil"/>
                <w:bottom w:val="nil"/>
                <w:right w:val="nil"/>
                <w:between w:val="nil"/>
                <w:bar w:val="nil"/>
              </w:pBdr>
              <w:rPr>
                <w:rFonts w:eastAsia="Roboto"/>
                <w:sz w:val="18"/>
                <w:szCs w:val="18"/>
                <w:lang w:val="fr-FR"/>
              </w:rPr>
            </w:pPr>
            <w:r w:rsidRPr="00743267">
              <w:rPr>
                <w:sz w:val="18"/>
                <w:szCs w:val="18"/>
                <w:lang w:val="fr-FR"/>
              </w:rPr>
              <w:t>Juin : première phase achevée</w:t>
            </w:r>
          </w:p>
          <w:p w14:paraId="2C2E5080" w14:textId="77777777" w:rsidR="00C0425C" w:rsidRPr="00743267" w:rsidRDefault="00C0425C" w:rsidP="00C0425C">
            <w:pPr>
              <w:pStyle w:val="Paragraphedeliste"/>
              <w:numPr>
                <w:ilvl w:val="0"/>
                <w:numId w:val="10"/>
              </w:numPr>
              <w:pBdr>
                <w:top w:val="nil"/>
                <w:left w:val="nil"/>
                <w:bottom w:val="nil"/>
                <w:right w:val="nil"/>
                <w:between w:val="nil"/>
                <w:bar w:val="nil"/>
              </w:pBdr>
              <w:rPr>
                <w:rFonts w:eastAsia="Roboto"/>
                <w:sz w:val="18"/>
                <w:szCs w:val="18"/>
                <w:lang w:val="fr-FR"/>
              </w:rPr>
            </w:pPr>
            <w:r w:rsidRPr="00743267">
              <w:rPr>
                <w:sz w:val="18"/>
                <w:szCs w:val="18"/>
                <w:lang w:val="fr-FR"/>
              </w:rPr>
              <w:t>Décembre : le secrétariat met au point des analyses préliminaires</w:t>
            </w:r>
          </w:p>
          <w:p w14:paraId="07D30C48" w14:textId="77777777" w:rsidR="00C0425C" w:rsidRPr="00743267" w:rsidRDefault="00C0425C" w:rsidP="00C0425C">
            <w:pPr>
              <w:pStyle w:val="Paragraphedeliste"/>
              <w:numPr>
                <w:ilvl w:val="0"/>
                <w:numId w:val="10"/>
              </w:numPr>
              <w:pBdr>
                <w:top w:val="nil"/>
                <w:left w:val="nil"/>
                <w:bottom w:val="nil"/>
                <w:right w:val="nil"/>
                <w:between w:val="nil"/>
                <w:bar w:val="nil"/>
              </w:pBdr>
              <w:rPr>
                <w:rFonts w:eastAsia="Roboto"/>
                <w:sz w:val="18"/>
                <w:szCs w:val="18"/>
                <w:lang w:val="fr-FR"/>
              </w:rPr>
            </w:pPr>
            <w:r w:rsidRPr="00743267">
              <w:rPr>
                <w:sz w:val="18"/>
                <w:szCs w:val="18"/>
                <w:lang w:val="fr-FR"/>
              </w:rPr>
              <w:t>Le comité se réunit pour examiner les informations</w:t>
            </w:r>
          </w:p>
        </w:tc>
      </w:tr>
      <w:tr w:rsidR="00C0425C" w:rsidRPr="000A5CCC" w14:paraId="64F518B4" w14:textId="77777777" w:rsidTr="00373F5D">
        <w:trPr>
          <w:trHeight w:val="57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4BC9" w14:textId="1B6CF1DD" w:rsidR="00C0425C" w:rsidRPr="00743267" w:rsidRDefault="00C0425C" w:rsidP="005F4BCA">
            <w:pPr>
              <w:pStyle w:val="Text"/>
              <w:tabs>
                <w:tab w:val="left" w:pos="477"/>
              </w:tabs>
              <w:spacing w:after="0" w:line="240" w:lineRule="auto"/>
              <w:rPr>
                <w:rFonts w:ascii="Times New Roman" w:hAnsi="Times New Roman" w:cs="Times New Roman"/>
                <w:color w:val="auto"/>
                <w:sz w:val="18"/>
                <w:szCs w:val="18"/>
                <w:lang w:val="fr-FR"/>
              </w:rPr>
            </w:pPr>
            <w:r w:rsidRPr="00743267">
              <w:rPr>
                <w:rFonts w:ascii="Times New Roman" w:hAnsi="Times New Roman" w:cs="Times New Roman"/>
                <w:sz w:val="18"/>
                <w:szCs w:val="18"/>
                <w:lang w:val="fr-FR"/>
              </w:rPr>
              <w:t xml:space="preserve">2023 </w:t>
            </w:r>
            <w:r>
              <w:rPr>
                <w:rFonts w:ascii="Times New Roman" w:hAnsi="Times New Roman" w:cs="Times New Roman"/>
                <w:sz w:val="18"/>
                <w:szCs w:val="18"/>
                <w:lang w:val="fr-FR"/>
              </w:rPr>
              <w:t>–</w:t>
            </w:r>
            <w:r w:rsidRPr="00743267">
              <w:rPr>
                <w:rFonts w:ascii="Times New Roman" w:hAnsi="Times New Roman" w:cs="Times New Roman"/>
                <w:sz w:val="18"/>
                <w:szCs w:val="18"/>
                <w:lang w:val="fr-FR"/>
              </w:rPr>
              <w:t xml:space="preserve"> </w:t>
            </w:r>
            <w:r>
              <w:rPr>
                <w:rFonts w:ascii="Times New Roman" w:hAnsi="Times New Roman" w:cs="Times New Roman"/>
                <w:sz w:val="18"/>
                <w:szCs w:val="18"/>
                <w:lang w:val="fr-FR"/>
              </w:rPr>
              <w:t>cinquième </w:t>
            </w:r>
            <w:r w:rsidRPr="00743267">
              <w:rPr>
                <w:rFonts w:ascii="Times New Roman" w:hAnsi="Times New Roman" w:cs="Times New Roman"/>
                <w:sz w:val="18"/>
                <w:szCs w:val="18"/>
                <w:lang w:val="fr-FR"/>
              </w:rPr>
              <w:t>réunion de la Conférence des Parties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3CA7" w14:textId="77777777" w:rsidR="00C0425C" w:rsidRPr="00743267" w:rsidRDefault="00C0425C" w:rsidP="00C0425C">
            <w:pPr>
              <w:pStyle w:val="Paragraphedeliste"/>
              <w:numPr>
                <w:ilvl w:val="0"/>
                <w:numId w:val="11"/>
              </w:numPr>
              <w:pBdr>
                <w:top w:val="nil"/>
                <w:left w:val="nil"/>
                <w:bottom w:val="nil"/>
                <w:right w:val="nil"/>
                <w:between w:val="nil"/>
                <w:bar w:val="nil"/>
              </w:pBdr>
              <w:rPr>
                <w:rFonts w:eastAsia="Roboto"/>
                <w:sz w:val="18"/>
                <w:szCs w:val="18"/>
                <w:lang w:val="fr-FR"/>
              </w:rPr>
            </w:pPr>
            <w:r w:rsidRPr="00743267">
              <w:rPr>
                <w:sz w:val="18"/>
                <w:szCs w:val="18"/>
                <w:lang w:val="fr-FR"/>
              </w:rPr>
              <w:t>Rapport biennal</w:t>
            </w:r>
          </w:p>
          <w:p w14:paraId="25AEBC52" w14:textId="77777777" w:rsidR="00C0425C" w:rsidRPr="00743267" w:rsidRDefault="00C0425C" w:rsidP="00C0425C">
            <w:pPr>
              <w:pStyle w:val="Paragraphedeliste"/>
              <w:numPr>
                <w:ilvl w:val="0"/>
                <w:numId w:val="11"/>
              </w:numPr>
              <w:pBdr>
                <w:top w:val="nil"/>
                <w:left w:val="nil"/>
                <w:bottom w:val="nil"/>
                <w:right w:val="nil"/>
                <w:between w:val="nil"/>
                <w:bar w:val="nil"/>
              </w:pBdr>
              <w:rPr>
                <w:rFonts w:eastAsia="Roboto"/>
                <w:sz w:val="18"/>
                <w:szCs w:val="18"/>
                <w:lang w:val="fr-FR"/>
              </w:rPr>
            </w:pPr>
            <w:r w:rsidRPr="00743267">
              <w:rPr>
                <w:sz w:val="18"/>
                <w:szCs w:val="18"/>
                <w:lang w:val="fr-FR"/>
              </w:rPr>
              <w:t>Examen du plan d</w:t>
            </w:r>
            <w:r>
              <w:rPr>
                <w:sz w:val="18"/>
                <w:szCs w:val="18"/>
                <w:lang w:val="fr-FR"/>
              </w:rPr>
              <w:t>’</w:t>
            </w:r>
            <w:r w:rsidRPr="00743267">
              <w:rPr>
                <w:sz w:val="18"/>
                <w:szCs w:val="18"/>
                <w:lang w:val="fr-FR"/>
              </w:rPr>
              <w:t>action national</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4DC3" w14:textId="77777777" w:rsidR="00C0425C" w:rsidRPr="00743267" w:rsidRDefault="00C0425C" w:rsidP="00C0425C">
            <w:pPr>
              <w:pStyle w:val="Paragraphedeliste"/>
              <w:numPr>
                <w:ilvl w:val="0"/>
                <w:numId w:val="31"/>
              </w:numPr>
              <w:pBdr>
                <w:top w:val="nil"/>
                <w:left w:val="nil"/>
                <w:bottom w:val="nil"/>
                <w:right w:val="nil"/>
                <w:between w:val="nil"/>
                <w:bar w:val="nil"/>
              </w:pBdr>
              <w:rPr>
                <w:rFonts w:eastAsia="Roboto"/>
                <w:sz w:val="18"/>
                <w:szCs w:val="18"/>
                <w:lang w:val="fr-FR"/>
              </w:rPr>
            </w:pPr>
            <w:r w:rsidRPr="00743267">
              <w:rPr>
                <w:sz w:val="18"/>
                <w:szCs w:val="18"/>
                <w:lang w:val="fr-FR"/>
              </w:rPr>
              <w:t>La Conférence des Parties accueille avec satisfaction le rapport de surveillance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FF9F" w14:textId="77777777" w:rsidR="00C0425C" w:rsidRPr="00743267" w:rsidRDefault="00C0425C" w:rsidP="00C0425C">
            <w:pPr>
              <w:pStyle w:val="Paragraphedeliste"/>
              <w:numPr>
                <w:ilvl w:val="0"/>
                <w:numId w:val="32"/>
              </w:numPr>
              <w:pBdr>
                <w:top w:val="nil"/>
                <w:left w:val="nil"/>
                <w:bottom w:val="nil"/>
                <w:right w:val="nil"/>
                <w:between w:val="nil"/>
                <w:bar w:val="nil"/>
              </w:pBdr>
              <w:rPr>
                <w:rFonts w:eastAsia="Roboto"/>
                <w:sz w:val="18"/>
                <w:szCs w:val="18"/>
                <w:lang w:val="fr-FR"/>
              </w:rPr>
            </w:pPr>
            <w:r w:rsidRPr="00743267">
              <w:rPr>
                <w:sz w:val="18"/>
                <w:szCs w:val="18"/>
                <w:lang w:val="fr-FR"/>
              </w:rPr>
              <w:t>La Conférence des Parties accueille avec satisfaction le rapport d</w:t>
            </w:r>
            <w:r>
              <w:rPr>
                <w:sz w:val="18"/>
                <w:szCs w:val="18"/>
                <w:lang w:val="fr-FR"/>
              </w:rPr>
              <w:t>’</w:t>
            </w:r>
            <w:r w:rsidRPr="00743267">
              <w:rPr>
                <w:sz w:val="18"/>
                <w:szCs w:val="18"/>
                <w:lang w:val="fr-FR"/>
              </w:rPr>
              <w:t>évaluation de l</w:t>
            </w:r>
            <w:r>
              <w:rPr>
                <w:sz w:val="18"/>
                <w:szCs w:val="18"/>
                <w:lang w:val="fr-FR"/>
              </w:rPr>
              <w:t>’</w:t>
            </w:r>
            <w:r w:rsidRPr="00743267">
              <w:rPr>
                <w:sz w:val="18"/>
                <w:szCs w:val="18"/>
                <w:lang w:val="fr-FR"/>
              </w:rPr>
              <w:t>efficacité</w:t>
            </w:r>
          </w:p>
        </w:tc>
      </w:tr>
    </w:tbl>
    <w:p w14:paraId="38C87E80" w14:textId="3EB6DFE1" w:rsidR="00967EB7" w:rsidRPr="00967EB7" w:rsidRDefault="00967EB7" w:rsidP="00373F5D">
      <w:pPr>
        <w:pStyle w:val="Text"/>
        <w:numPr>
          <w:ilvl w:val="0"/>
          <w:numId w:val="12"/>
        </w:numPr>
        <w:tabs>
          <w:tab w:val="left" w:pos="1843"/>
        </w:tabs>
        <w:spacing w:before="120" w:after="120" w:line="240" w:lineRule="auto"/>
        <w:ind w:left="1247" w:firstLine="0"/>
        <w:rPr>
          <w:rFonts w:ascii="Times New Roman" w:hAnsi="Times New Roman" w:cs="Times New Roman"/>
          <w:sz w:val="20"/>
          <w:szCs w:val="20"/>
          <w:lang w:val="fr-FR"/>
        </w:rPr>
      </w:pPr>
      <w:r w:rsidRPr="00967EB7">
        <w:rPr>
          <w:rFonts w:ascii="Times New Roman" w:hAnsi="Times New Roman" w:cs="Times New Roman"/>
          <w:sz w:val="20"/>
          <w:szCs w:val="20"/>
          <w:lang w:val="fr-FR"/>
        </w:rPr>
        <w:t>Le mandat du comité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tel qu</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il est proposé dans le rapport sur les travaux du groupe spécial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experts sur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 (voir UNEP/MC/COP.2/INF/8), devrait être inclus dans le cadre d</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évaluation de l</w:t>
      </w:r>
      <w:r w:rsidR="008A1D13">
        <w:rPr>
          <w:rFonts w:ascii="Times New Roman" w:hAnsi="Times New Roman" w:cs="Times New Roman"/>
          <w:sz w:val="20"/>
          <w:szCs w:val="20"/>
          <w:lang w:val="fr-FR"/>
        </w:rPr>
        <w:t>’</w:t>
      </w:r>
      <w:r w:rsidRPr="00967EB7">
        <w:rPr>
          <w:rFonts w:ascii="Times New Roman" w:hAnsi="Times New Roman" w:cs="Times New Roman"/>
          <w:sz w:val="20"/>
          <w:szCs w:val="20"/>
          <w:lang w:val="fr-FR"/>
        </w:rPr>
        <w:t>efficacité.</w:t>
      </w:r>
    </w:p>
    <w:p w14:paraId="7EA9BFF3" w14:textId="77777777" w:rsidR="00967EB7" w:rsidRPr="00743267" w:rsidRDefault="00967EB7" w:rsidP="004849C1">
      <w:pPr>
        <w:pStyle w:val="Normal-pool"/>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967EB7" w:rsidRPr="000A5CCC" w14:paraId="46F36FD3" w14:textId="77777777" w:rsidTr="005F4BCA">
        <w:tc>
          <w:tcPr>
            <w:tcW w:w="1942" w:type="dxa"/>
            <w:shd w:val="clear" w:color="auto" w:fill="auto"/>
          </w:tcPr>
          <w:p w14:paraId="5135CA1B" w14:textId="77777777" w:rsidR="00967EB7" w:rsidRPr="00743267" w:rsidRDefault="00967EB7" w:rsidP="004849C1">
            <w:pPr>
              <w:pStyle w:val="Normal-pool"/>
              <w:tabs>
                <w:tab w:val="left" w:pos="624"/>
                <w:tab w:val="left" w:pos="1871"/>
                <w:tab w:val="left" w:pos="2495"/>
              </w:tabs>
              <w:spacing w:before="520"/>
              <w:rPr>
                <w:lang w:val="fr-FR"/>
              </w:rPr>
            </w:pPr>
          </w:p>
        </w:tc>
        <w:tc>
          <w:tcPr>
            <w:tcW w:w="1942" w:type="dxa"/>
            <w:shd w:val="clear" w:color="auto" w:fill="auto"/>
          </w:tcPr>
          <w:p w14:paraId="17975F54" w14:textId="77777777" w:rsidR="00967EB7" w:rsidRPr="00743267" w:rsidRDefault="00967EB7" w:rsidP="004849C1">
            <w:pPr>
              <w:pStyle w:val="Normal-pool"/>
              <w:tabs>
                <w:tab w:val="left" w:pos="624"/>
                <w:tab w:val="left" w:pos="1871"/>
                <w:tab w:val="left" w:pos="2495"/>
              </w:tabs>
              <w:spacing w:before="520"/>
              <w:rPr>
                <w:lang w:val="fr-FR"/>
              </w:rPr>
            </w:pPr>
          </w:p>
        </w:tc>
        <w:tc>
          <w:tcPr>
            <w:tcW w:w="1942" w:type="dxa"/>
            <w:tcBorders>
              <w:bottom w:val="single" w:sz="4" w:space="0" w:color="auto"/>
            </w:tcBorders>
            <w:shd w:val="clear" w:color="auto" w:fill="auto"/>
          </w:tcPr>
          <w:p w14:paraId="2530D41D" w14:textId="77777777" w:rsidR="00967EB7" w:rsidRPr="00743267" w:rsidRDefault="00967EB7" w:rsidP="004849C1">
            <w:pPr>
              <w:pStyle w:val="Normal-pool"/>
              <w:tabs>
                <w:tab w:val="left" w:pos="624"/>
                <w:tab w:val="left" w:pos="1871"/>
                <w:tab w:val="left" w:pos="2495"/>
              </w:tabs>
              <w:spacing w:before="520"/>
              <w:rPr>
                <w:lang w:val="fr-FR"/>
              </w:rPr>
            </w:pPr>
          </w:p>
        </w:tc>
        <w:tc>
          <w:tcPr>
            <w:tcW w:w="1943" w:type="dxa"/>
            <w:shd w:val="clear" w:color="auto" w:fill="auto"/>
          </w:tcPr>
          <w:p w14:paraId="5D4611A8" w14:textId="77777777" w:rsidR="00967EB7" w:rsidRPr="00743267" w:rsidRDefault="00967EB7" w:rsidP="004849C1">
            <w:pPr>
              <w:pStyle w:val="Normal-pool"/>
              <w:tabs>
                <w:tab w:val="left" w:pos="624"/>
                <w:tab w:val="left" w:pos="1871"/>
                <w:tab w:val="left" w:pos="2495"/>
              </w:tabs>
              <w:spacing w:before="520"/>
              <w:rPr>
                <w:lang w:val="fr-FR"/>
              </w:rPr>
            </w:pPr>
          </w:p>
        </w:tc>
        <w:tc>
          <w:tcPr>
            <w:tcW w:w="1943" w:type="dxa"/>
            <w:shd w:val="clear" w:color="auto" w:fill="auto"/>
          </w:tcPr>
          <w:p w14:paraId="642051EA" w14:textId="77777777" w:rsidR="00967EB7" w:rsidRPr="00743267" w:rsidRDefault="00967EB7" w:rsidP="004849C1">
            <w:pPr>
              <w:pStyle w:val="Normal-pool"/>
              <w:tabs>
                <w:tab w:val="left" w:pos="624"/>
                <w:tab w:val="left" w:pos="1871"/>
                <w:tab w:val="left" w:pos="2495"/>
              </w:tabs>
              <w:spacing w:before="520"/>
              <w:rPr>
                <w:lang w:val="fr-FR"/>
              </w:rPr>
            </w:pPr>
          </w:p>
        </w:tc>
      </w:tr>
    </w:tbl>
    <w:p w14:paraId="0415C820" w14:textId="77777777" w:rsidR="00967EB7" w:rsidRPr="00743267" w:rsidRDefault="00967EB7" w:rsidP="004849C1">
      <w:pPr>
        <w:pStyle w:val="Normal-pool"/>
        <w:tabs>
          <w:tab w:val="left" w:pos="624"/>
          <w:tab w:val="left" w:pos="1871"/>
          <w:tab w:val="left" w:pos="2495"/>
        </w:tabs>
        <w:rPr>
          <w:lang w:val="fr-FR"/>
        </w:rPr>
      </w:pPr>
    </w:p>
    <w:sectPr w:rsidR="00967EB7" w:rsidRPr="00743267" w:rsidSect="000161D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849"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6A00" w14:textId="77777777" w:rsidR="00067F74" w:rsidRDefault="00067F74">
      <w:r>
        <w:separator/>
      </w:r>
    </w:p>
  </w:endnote>
  <w:endnote w:type="continuationSeparator" w:id="0">
    <w:p w14:paraId="382416B5" w14:textId="77777777" w:rsidR="00067F74" w:rsidRDefault="0006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52504A9" w:rsidR="009E4A35" w:rsidRDefault="009E4A35">
    <w:pPr>
      <w:pStyle w:val="Pieddepage"/>
    </w:pPr>
    <w:r>
      <w:rPr>
        <w:rStyle w:val="Numrodepage"/>
      </w:rPr>
      <w:fldChar w:fldCharType="begin"/>
    </w:r>
    <w:r>
      <w:rPr>
        <w:rStyle w:val="Numrodepage"/>
      </w:rPr>
      <w:instrText xml:space="preserve"> PAGE </w:instrText>
    </w:r>
    <w:r>
      <w:rPr>
        <w:rStyle w:val="Numrodepage"/>
      </w:rPr>
      <w:fldChar w:fldCharType="separate"/>
    </w:r>
    <w:r w:rsidR="00DB7E7C">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0A6F3196" w:rsidR="009E4A35" w:rsidRDefault="009E4A35"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B7E7C">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5EEB0920" w:rsidR="009E4A35" w:rsidRDefault="004124CC" w:rsidP="00B848A1">
    <w:pPr>
      <w:pStyle w:val="Pieddepage"/>
      <w:tabs>
        <w:tab w:val="clear" w:pos="1247"/>
        <w:tab w:val="clear" w:pos="1814"/>
        <w:tab w:val="clear" w:pos="2381"/>
        <w:tab w:val="clear" w:pos="2948"/>
        <w:tab w:val="clear" w:pos="3515"/>
        <w:tab w:val="clear" w:pos="4320"/>
        <w:tab w:val="clear" w:pos="8640"/>
        <w:tab w:val="left" w:pos="624"/>
      </w:tabs>
    </w:pPr>
    <w:r>
      <w:rPr>
        <w:lang w:val="fr-FR"/>
      </w:rPr>
      <w:t>K1803264</w:t>
    </w:r>
    <w:r w:rsidR="009E4A35">
      <w:rPr>
        <w:lang w:val="fr-FR"/>
      </w:rPr>
      <w:tab/>
    </w:r>
    <w:r>
      <w:rPr>
        <w:lang w:val="fr-FR"/>
      </w:rPr>
      <w:t>1511</w:t>
    </w:r>
    <w:r w:rsidR="009E4A35">
      <w:rPr>
        <w:lang w:val="fr-F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641C" w14:textId="77777777" w:rsidR="00067F74" w:rsidRDefault="00067F74" w:rsidP="00D92DE0">
      <w:pPr>
        <w:ind w:left="624"/>
      </w:pPr>
      <w:r>
        <w:separator/>
      </w:r>
    </w:p>
  </w:footnote>
  <w:footnote w:type="continuationSeparator" w:id="0">
    <w:p w14:paraId="0D37821B" w14:textId="77777777" w:rsidR="00067F74" w:rsidRDefault="00067F74">
      <w:r>
        <w:continuationSeparator/>
      </w:r>
    </w:p>
  </w:footnote>
  <w:footnote w:id="1">
    <w:p w14:paraId="7E4F54A6" w14:textId="04B564B5" w:rsidR="000A5CCC" w:rsidRPr="000A5CCC" w:rsidRDefault="000A5CCC">
      <w:pPr>
        <w:pStyle w:val="Notedebasdepage"/>
        <w:rPr>
          <w:szCs w:val="18"/>
        </w:rPr>
      </w:pPr>
      <w:r w:rsidRPr="000A5CCC">
        <w:rPr>
          <w:rStyle w:val="Appelnotedebasdep"/>
          <w:sz w:val="18"/>
          <w:vertAlign w:val="baseline"/>
        </w:rPr>
        <w:t>*</w:t>
      </w:r>
      <w:r w:rsidRPr="000A5CCC">
        <w:rPr>
          <w:szCs w:val="18"/>
        </w:rPr>
        <w:t xml:space="preserve"> </w:t>
      </w:r>
      <w:r>
        <w:rPr>
          <w:szCs w:val="18"/>
        </w:rPr>
        <w:t>Nouveau tirage pour raisons techniques (5 novembre 2018).</w:t>
      </w:r>
    </w:p>
  </w:footnote>
  <w:footnote w:id="2">
    <w:p w14:paraId="1F804667" w14:textId="22EB2FB3" w:rsidR="00E7320F" w:rsidRDefault="00E7320F">
      <w:pPr>
        <w:pStyle w:val="Notedebasdepage"/>
      </w:pPr>
      <w:r w:rsidRPr="00A54542">
        <w:rPr>
          <w:rStyle w:val="Appelnotedebasdep"/>
          <w:sz w:val="18"/>
          <w:vertAlign w:val="baseline"/>
        </w:rPr>
        <w:t>**</w:t>
      </w:r>
      <w:r w:rsidRPr="00A54542">
        <w:rPr>
          <w:szCs w:val="18"/>
        </w:rPr>
        <w:t xml:space="preserve"> </w:t>
      </w:r>
      <w:r w:rsidRPr="000A5CCC">
        <w:rPr>
          <w:szCs w:val="18"/>
        </w:rPr>
        <w:t>UNEP/MC/COP.2/1.</w:t>
      </w:r>
    </w:p>
  </w:footnote>
  <w:footnote w:id="3">
    <w:p w14:paraId="1F8CCE1B" w14:textId="25DEB88E" w:rsidR="009E4A35" w:rsidRPr="00BB7C6A" w:rsidRDefault="009E4A35" w:rsidP="00306F47">
      <w:pPr>
        <w:pStyle w:val="Notedebasdepage"/>
      </w:pPr>
      <w:r>
        <w:rPr>
          <w:rStyle w:val="Appelnotedebasdep"/>
        </w:rPr>
        <w:footnoteRef/>
      </w:r>
      <w:r>
        <w:t xml:space="preserve"> Le FEM semble mieux indiqué que le Programme International spécifique pour le financement de</w:t>
      </w:r>
      <w:r w:rsidR="00BC01F1">
        <w:t>s</w:t>
      </w:r>
      <w:r>
        <w:t xml:space="preserve"> activités considérées, bien qu'il soit possible qu’un pays définisse certaines activités de surveillance comme d'importantes priorités nationales, dans la mesure où elles l'aident à s'acquitter durablement de ses obligations au titre de la Convention. </w:t>
      </w:r>
    </w:p>
  </w:footnote>
  <w:footnote w:id="4">
    <w:p w14:paraId="77CBB49A" w14:textId="77777777" w:rsidR="009E4A35" w:rsidRPr="00E54565" w:rsidRDefault="009E4A35" w:rsidP="00306F47">
      <w:pPr>
        <w:pStyle w:val="Notedebasdepage"/>
      </w:pPr>
      <w:r>
        <w:rPr>
          <w:rStyle w:val="Appelnotedebasdep"/>
        </w:rPr>
        <w:footnoteRef/>
      </w:r>
      <w:r>
        <w:t xml:space="preserve"> Voir UNEP/MC/COP.2/INF/8 pour plus de détails sur le projet de plan.</w:t>
      </w:r>
    </w:p>
  </w:footnote>
  <w:footnote w:id="5">
    <w:p w14:paraId="52AB1844" w14:textId="77777777" w:rsidR="00967EB7" w:rsidRPr="00E54565" w:rsidRDefault="00967EB7" w:rsidP="00967EB7">
      <w:pPr>
        <w:pStyle w:val="Notedebasdepage"/>
      </w:pPr>
      <w:r>
        <w:rPr>
          <w:rStyle w:val="Appelnotedebasdep"/>
        </w:rPr>
        <w:footnoteRef/>
      </w:r>
      <w:r>
        <w:t xml:space="preserve"> Le rapport du groupe spécial d’experts comprend une proposition tendant à élaborer un rapport mondial de surveillance pour l’évaluation de l’efficacité (voir UNEP/MC/COP.2/INF/8).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BC78500" w:rsidR="009E4A35" w:rsidRPr="00CA5CA9" w:rsidRDefault="009E4A35"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40461F86" w:rsidR="009E4A35" w:rsidRPr="00CA5CA9" w:rsidRDefault="009E4A35"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3D8FAC08" w:rsidR="009E4A35" w:rsidRDefault="009E4A35"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1E6F4352"/>
    <w:multiLevelType w:val="hybridMultilevel"/>
    <w:tmpl w:val="DF729F70"/>
    <w:numStyleLink w:val="Importovanstyl7"/>
  </w:abstractNum>
  <w:abstractNum w:abstractNumId="3" w15:restartNumberingAfterBreak="0">
    <w:nsid w:val="201C7F90"/>
    <w:multiLevelType w:val="hybridMultilevel"/>
    <w:tmpl w:val="08FE62DE"/>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5F6843"/>
    <w:multiLevelType w:val="hybridMultilevel"/>
    <w:tmpl w:val="2C1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11"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9504B8"/>
    <w:multiLevelType w:val="hybridMultilevel"/>
    <w:tmpl w:val="3538EBFC"/>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4B6597"/>
    <w:multiLevelType w:val="hybridMultilevel"/>
    <w:tmpl w:val="4F5E5A72"/>
    <w:lvl w:ilvl="0" w:tplc="0809000F">
      <w:start w:val="1"/>
      <w:numFmt w:val="decimal"/>
      <w:lvlText w:val="%1."/>
      <w:lvlJc w:val="left"/>
      <w:pPr>
        <w:ind w:left="2591" w:hanging="360"/>
      </w:pPr>
    </w:lvl>
    <w:lvl w:ilvl="1" w:tplc="040C0017">
      <w:start w:val="1"/>
      <w:numFmt w:val="lowerLetter"/>
      <w:lvlText w:val="%2)"/>
      <w:lvlJc w:val="left"/>
      <w:pPr>
        <w:ind w:left="3311" w:hanging="36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8"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77717A"/>
    <w:multiLevelType w:val="hybridMultilevel"/>
    <w:tmpl w:val="CC86DD1A"/>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8A1294"/>
    <w:multiLevelType w:val="hybridMultilevel"/>
    <w:tmpl w:val="C2AE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3C58D8"/>
    <w:multiLevelType w:val="hybridMultilevel"/>
    <w:tmpl w:val="FAA2A88E"/>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597DC7"/>
    <w:multiLevelType w:val="hybridMultilevel"/>
    <w:tmpl w:val="617084A2"/>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
  </w:num>
  <w:num w:numId="3">
    <w:abstractNumId w:val="10"/>
  </w:num>
  <w:num w:numId="4">
    <w:abstractNumId w:val="21"/>
    <w:lvlOverride w:ilvl="0">
      <w:lvl w:ilvl="0">
        <w:start w:val="1"/>
        <w:numFmt w:val="decimal"/>
        <w:pStyle w:val="Normalnumber"/>
        <w:lvlText w:val="%1."/>
        <w:lvlJc w:val="left"/>
        <w:pPr>
          <w:tabs>
            <w:tab w:val="num" w:pos="1134"/>
          </w:tabs>
          <w:ind w:left="1247" w:firstLine="0"/>
        </w:pPr>
        <w:rPr>
          <w:rFonts w:hint="default"/>
        </w:rPr>
      </w:lvl>
    </w:lvlOverride>
  </w:num>
  <w:num w:numId="5">
    <w:abstractNumId w:val="3"/>
  </w:num>
  <w:num w:numId="6">
    <w:abstractNumId w:val="20"/>
    <w:lvlOverride w:ilvl="0">
      <w:lvl w:ilvl="0" w:tplc="04090001">
        <w:start w:val="1"/>
        <w:numFmt w:val="bullet"/>
        <w:lvlText w:val=""/>
        <w:lvlJc w:val="left"/>
        <w:pPr>
          <w:ind w:left="1440" w:hanging="360"/>
        </w:pPr>
        <w:rPr>
          <w:rFonts w:ascii="Symbol" w:hAnsi="Symbol" w:hint="default"/>
        </w:rPr>
      </w:lvl>
    </w:lvlOverride>
  </w:num>
  <w:num w:numId="7">
    <w:abstractNumId w:val="23"/>
  </w:num>
  <w:num w:numId="8">
    <w:abstractNumId w:val="2"/>
    <w:lvlOverride w:ilvl="0">
      <w:lvl w:ilvl="0" w:tplc="B420E7D6">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A6179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E2314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2AC6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743A1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08838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8A448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66B80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0C990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5"/>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8"/>
    <w:lvlOverride w:ilvl="0">
      <w:lvl w:ilvl="0" w:tplc="0409000F">
        <w:start w:val="1"/>
        <w:numFmt w:val="decimal"/>
        <w:lvlText w:val="%1."/>
        <w:lvlJc w:val="left"/>
        <w:pPr>
          <w:ind w:left="1636" w:hanging="360"/>
        </w:pPr>
        <w:rPr>
          <w:rFonts w:hint="default"/>
        </w:rPr>
      </w:lvl>
    </w:lvlOverride>
  </w:num>
  <w:num w:numId="13">
    <w:abstractNumId w:val="17"/>
  </w:num>
  <w:num w:numId="14">
    <w:abstractNumId w:val="24"/>
    <w:lvlOverride w:ilvl="0">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6"/>
    <w:lvlOverride w:ilvl="0">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9"/>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26"/>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0"/>
    <w:lvlOverride w:ilvl="0">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27"/>
    <w:lvlOverride w:ilvl="0">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9"/>
    <w:lvlOverride w:ilvl="0">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3"/>
    <w:lvlOverride w:ilvl="0">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11"/>
    <w:lvlOverride w:ilvl="0">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28"/>
    <w:lvlOverride w:ilvl="0">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15"/>
    <w:lvlOverride w:ilvl="0">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2"/>
    <w:lvlOverride w:ilvl="0">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12"/>
    <w:lvlOverride w:ilvl="0">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abstractNumId w:val="18"/>
    <w:lvlOverride w:ilvl="0">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6"/>
    <w:lvlOverride w:ilvl="0">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4"/>
    <w:lvlOverride w:ilvl="0">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25"/>
    <w:lvlOverride w:ilvl="0">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14"/>
    <w:lvlOverride w:ilvl="0">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5"/>
    <w:lvlOverride w:ilvl="0">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FR"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2F95"/>
    <w:rsid w:val="000057BB"/>
    <w:rsid w:val="000077AD"/>
    <w:rsid w:val="00011A16"/>
    <w:rsid w:val="000149E6"/>
    <w:rsid w:val="00015336"/>
    <w:rsid w:val="000161D1"/>
    <w:rsid w:val="00023DA9"/>
    <w:rsid w:val="000247B0"/>
    <w:rsid w:val="00026997"/>
    <w:rsid w:val="00026A08"/>
    <w:rsid w:val="00032E4E"/>
    <w:rsid w:val="00033E0B"/>
    <w:rsid w:val="00035EDE"/>
    <w:rsid w:val="00042804"/>
    <w:rsid w:val="000509B4"/>
    <w:rsid w:val="000525E6"/>
    <w:rsid w:val="0006035B"/>
    <w:rsid w:val="0006096F"/>
    <w:rsid w:val="000649C5"/>
    <w:rsid w:val="00067F74"/>
    <w:rsid w:val="00071886"/>
    <w:rsid w:val="000742BC"/>
    <w:rsid w:val="00076CC6"/>
    <w:rsid w:val="0008191C"/>
    <w:rsid w:val="00082A0C"/>
    <w:rsid w:val="00083504"/>
    <w:rsid w:val="0009125A"/>
    <w:rsid w:val="0009640C"/>
    <w:rsid w:val="000A34F8"/>
    <w:rsid w:val="000A5CCC"/>
    <w:rsid w:val="000A6E74"/>
    <w:rsid w:val="000B22A2"/>
    <w:rsid w:val="000B2815"/>
    <w:rsid w:val="000B541B"/>
    <w:rsid w:val="000B73F9"/>
    <w:rsid w:val="000C2A52"/>
    <w:rsid w:val="000C2A88"/>
    <w:rsid w:val="000D33C0"/>
    <w:rsid w:val="000D4CF6"/>
    <w:rsid w:val="000D6941"/>
    <w:rsid w:val="000F3DCD"/>
    <w:rsid w:val="000F427E"/>
    <w:rsid w:val="000F4829"/>
    <w:rsid w:val="000F6B21"/>
    <w:rsid w:val="001026B6"/>
    <w:rsid w:val="00102EFB"/>
    <w:rsid w:val="00103F61"/>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D74"/>
    <w:rsid w:val="001646EA"/>
    <w:rsid w:val="00165717"/>
    <w:rsid w:val="00167D02"/>
    <w:rsid w:val="001759D8"/>
    <w:rsid w:val="00176D34"/>
    <w:rsid w:val="00177D7F"/>
    <w:rsid w:val="00180C3F"/>
    <w:rsid w:val="00181EC8"/>
    <w:rsid w:val="00184349"/>
    <w:rsid w:val="00195F33"/>
    <w:rsid w:val="001A47E5"/>
    <w:rsid w:val="001B1617"/>
    <w:rsid w:val="001B504B"/>
    <w:rsid w:val="001B6F98"/>
    <w:rsid w:val="001B764C"/>
    <w:rsid w:val="001C191A"/>
    <w:rsid w:val="001D2548"/>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520"/>
    <w:rsid w:val="00225E21"/>
    <w:rsid w:val="00225E44"/>
    <w:rsid w:val="002267B3"/>
    <w:rsid w:val="00233ADA"/>
    <w:rsid w:val="00234E78"/>
    <w:rsid w:val="00243D36"/>
    <w:rsid w:val="00246151"/>
    <w:rsid w:val="00247700"/>
    <w:rsid w:val="00247707"/>
    <w:rsid w:val="00252456"/>
    <w:rsid w:val="0026018E"/>
    <w:rsid w:val="00267570"/>
    <w:rsid w:val="00286740"/>
    <w:rsid w:val="00291EAE"/>
    <w:rsid w:val="002929D8"/>
    <w:rsid w:val="00293D56"/>
    <w:rsid w:val="002A237D"/>
    <w:rsid w:val="002A4C53"/>
    <w:rsid w:val="002A651F"/>
    <w:rsid w:val="002B0672"/>
    <w:rsid w:val="002B247F"/>
    <w:rsid w:val="002B50D4"/>
    <w:rsid w:val="002B58BF"/>
    <w:rsid w:val="002C145D"/>
    <w:rsid w:val="002C2C3E"/>
    <w:rsid w:val="002C533E"/>
    <w:rsid w:val="002D027F"/>
    <w:rsid w:val="002D3E15"/>
    <w:rsid w:val="002D7A85"/>
    <w:rsid w:val="002D7B60"/>
    <w:rsid w:val="002F15A5"/>
    <w:rsid w:val="002F4761"/>
    <w:rsid w:val="002F5C79"/>
    <w:rsid w:val="002F68EE"/>
    <w:rsid w:val="003019E2"/>
    <w:rsid w:val="00306F47"/>
    <w:rsid w:val="00310BEB"/>
    <w:rsid w:val="0031413F"/>
    <w:rsid w:val="00314854"/>
    <w:rsid w:val="003148BB"/>
    <w:rsid w:val="00314BBD"/>
    <w:rsid w:val="00317976"/>
    <w:rsid w:val="00320F2F"/>
    <w:rsid w:val="0032457E"/>
    <w:rsid w:val="00325D38"/>
    <w:rsid w:val="003436EE"/>
    <w:rsid w:val="0034788B"/>
    <w:rsid w:val="0035277E"/>
    <w:rsid w:val="00355EA9"/>
    <w:rsid w:val="003578DE"/>
    <w:rsid w:val="00361688"/>
    <w:rsid w:val="00367FD2"/>
    <w:rsid w:val="00373F5D"/>
    <w:rsid w:val="00380921"/>
    <w:rsid w:val="003877D5"/>
    <w:rsid w:val="003929B8"/>
    <w:rsid w:val="00393432"/>
    <w:rsid w:val="00396257"/>
    <w:rsid w:val="003962DC"/>
    <w:rsid w:val="00397EB8"/>
    <w:rsid w:val="003A4FD0"/>
    <w:rsid w:val="003A69D1"/>
    <w:rsid w:val="003A7705"/>
    <w:rsid w:val="003A77F1"/>
    <w:rsid w:val="003B1545"/>
    <w:rsid w:val="003C3219"/>
    <w:rsid w:val="003C328F"/>
    <w:rsid w:val="003C390C"/>
    <w:rsid w:val="003C409D"/>
    <w:rsid w:val="003C4544"/>
    <w:rsid w:val="003C5583"/>
    <w:rsid w:val="003C5BA6"/>
    <w:rsid w:val="003C74CF"/>
    <w:rsid w:val="003D3752"/>
    <w:rsid w:val="003E35DA"/>
    <w:rsid w:val="003E455D"/>
    <w:rsid w:val="003F0E85"/>
    <w:rsid w:val="00400697"/>
    <w:rsid w:val="00401406"/>
    <w:rsid w:val="00405DE0"/>
    <w:rsid w:val="00410C55"/>
    <w:rsid w:val="004124CC"/>
    <w:rsid w:val="00416854"/>
    <w:rsid w:val="00417725"/>
    <w:rsid w:val="0042266F"/>
    <w:rsid w:val="00434321"/>
    <w:rsid w:val="00437F26"/>
    <w:rsid w:val="00444097"/>
    <w:rsid w:val="00445487"/>
    <w:rsid w:val="004455F3"/>
    <w:rsid w:val="00447E0D"/>
    <w:rsid w:val="00452C33"/>
    <w:rsid w:val="00453EA8"/>
    <w:rsid w:val="00454769"/>
    <w:rsid w:val="00462809"/>
    <w:rsid w:val="00466991"/>
    <w:rsid w:val="0047064C"/>
    <w:rsid w:val="00471EFD"/>
    <w:rsid w:val="004822B7"/>
    <w:rsid w:val="004849C1"/>
    <w:rsid w:val="0048795D"/>
    <w:rsid w:val="0049469E"/>
    <w:rsid w:val="004A2217"/>
    <w:rsid w:val="004A24F9"/>
    <w:rsid w:val="004A42E1"/>
    <w:rsid w:val="004B162C"/>
    <w:rsid w:val="004B2ABE"/>
    <w:rsid w:val="004C3DBE"/>
    <w:rsid w:val="004C5C96"/>
    <w:rsid w:val="004D06A4"/>
    <w:rsid w:val="004D0D0C"/>
    <w:rsid w:val="004E7605"/>
    <w:rsid w:val="004F0543"/>
    <w:rsid w:val="004F1A81"/>
    <w:rsid w:val="004F5D88"/>
    <w:rsid w:val="00500725"/>
    <w:rsid w:val="00501354"/>
    <w:rsid w:val="005050D2"/>
    <w:rsid w:val="005218D9"/>
    <w:rsid w:val="005231E4"/>
    <w:rsid w:val="00536186"/>
    <w:rsid w:val="00544CBB"/>
    <w:rsid w:val="00551B65"/>
    <w:rsid w:val="00556704"/>
    <w:rsid w:val="005656D7"/>
    <w:rsid w:val="0057315F"/>
    <w:rsid w:val="0057433C"/>
    <w:rsid w:val="00576104"/>
    <w:rsid w:val="0058154F"/>
    <w:rsid w:val="00585A44"/>
    <w:rsid w:val="00586418"/>
    <w:rsid w:val="00592B21"/>
    <w:rsid w:val="005B2DF4"/>
    <w:rsid w:val="005B44BF"/>
    <w:rsid w:val="005B5A93"/>
    <w:rsid w:val="005B7C90"/>
    <w:rsid w:val="005C060C"/>
    <w:rsid w:val="005C67C8"/>
    <w:rsid w:val="005D0249"/>
    <w:rsid w:val="005D18FA"/>
    <w:rsid w:val="005D4FD4"/>
    <w:rsid w:val="005D6E8C"/>
    <w:rsid w:val="005E3004"/>
    <w:rsid w:val="005E7EFC"/>
    <w:rsid w:val="005F100C"/>
    <w:rsid w:val="005F68DA"/>
    <w:rsid w:val="005F7419"/>
    <w:rsid w:val="00601BC9"/>
    <w:rsid w:val="0060773B"/>
    <w:rsid w:val="006111FE"/>
    <w:rsid w:val="00613C1B"/>
    <w:rsid w:val="00613FD6"/>
    <w:rsid w:val="006157B5"/>
    <w:rsid w:val="00617224"/>
    <w:rsid w:val="00621161"/>
    <w:rsid w:val="0062338D"/>
    <w:rsid w:val="00626FC6"/>
    <w:rsid w:val="006303B4"/>
    <w:rsid w:val="00630ADC"/>
    <w:rsid w:val="00633D3D"/>
    <w:rsid w:val="006353E6"/>
    <w:rsid w:val="00641703"/>
    <w:rsid w:val="006431A6"/>
    <w:rsid w:val="00643E3A"/>
    <w:rsid w:val="006459F6"/>
    <w:rsid w:val="0064735D"/>
    <w:rsid w:val="006501AD"/>
    <w:rsid w:val="00651BFA"/>
    <w:rsid w:val="00654475"/>
    <w:rsid w:val="00656DF0"/>
    <w:rsid w:val="00665A4B"/>
    <w:rsid w:val="00670FAE"/>
    <w:rsid w:val="00677848"/>
    <w:rsid w:val="00691D83"/>
    <w:rsid w:val="00692E2A"/>
    <w:rsid w:val="0069496A"/>
    <w:rsid w:val="00696C1C"/>
    <w:rsid w:val="006A76F2"/>
    <w:rsid w:val="006B7D29"/>
    <w:rsid w:val="006C2CFD"/>
    <w:rsid w:val="006D19D4"/>
    <w:rsid w:val="006D5644"/>
    <w:rsid w:val="006D7EFB"/>
    <w:rsid w:val="006E6672"/>
    <w:rsid w:val="006E6722"/>
    <w:rsid w:val="006F7AFF"/>
    <w:rsid w:val="007027B9"/>
    <w:rsid w:val="007066B5"/>
    <w:rsid w:val="00714266"/>
    <w:rsid w:val="007145DA"/>
    <w:rsid w:val="00715E88"/>
    <w:rsid w:val="00716D8B"/>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3C89"/>
    <w:rsid w:val="00796D3F"/>
    <w:rsid w:val="007A1683"/>
    <w:rsid w:val="007A5C12"/>
    <w:rsid w:val="007A7CB0"/>
    <w:rsid w:val="007B68A3"/>
    <w:rsid w:val="007C2541"/>
    <w:rsid w:val="007D66A8"/>
    <w:rsid w:val="007E003F"/>
    <w:rsid w:val="007E0C10"/>
    <w:rsid w:val="007F0CF8"/>
    <w:rsid w:val="007F5E1B"/>
    <w:rsid w:val="007F62CB"/>
    <w:rsid w:val="007F6895"/>
    <w:rsid w:val="007F7A65"/>
    <w:rsid w:val="008109A1"/>
    <w:rsid w:val="00810A3B"/>
    <w:rsid w:val="008142EC"/>
    <w:rsid w:val="008164F2"/>
    <w:rsid w:val="00821395"/>
    <w:rsid w:val="0082144F"/>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01E"/>
    <w:rsid w:val="0088757A"/>
    <w:rsid w:val="0089431B"/>
    <w:rsid w:val="00894CA8"/>
    <w:rsid w:val="00895668"/>
    <w:rsid w:val="008957DD"/>
    <w:rsid w:val="00897D98"/>
    <w:rsid w:val="008A1D13"/>
    <w:rsid w:val="008A67DC"/>
    <w:rsid w:val="008A6DF2"/>
    <w:rsid w:val="008A7807"/>
    <w:rsid w:val="008B4CC9"/>
    <w:rsid w:val="008B594A"/>
    <w:rsid w:val="008C0B15"/>
    <w:rsid w:val="008D75E4"/>
    <w:rsid w:val="008D7C99"/>
    <w:rsid w:val="008E0FCB"/>
    <w:rsid w:val="008E673A"/>
    <w:rsid w:val="008F6DFE"/>
    <w:rsid w:val="0090529F"/>
    <w:rsid w:val="00906507"/>
    <w:rsid w:val="00913D3B"/>
    <w:rsid w:val="0092178C"/>
    <w:rsid w:val="00930B88"/>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67EB7"/>
    <w:rsid w:val="00976789"/>
    <w:rsid w:val="009907B9"/>
    <w:rsid w:val="00990918"/>
    <w:rsid w:val="009A3A83"/>
    <w:rsid w:val="009A5C57"/>
    <w:rsid w:val="009B4A0F"/>
    <w:rsid w:val="009C11D2"/>
    <w:rsid w:val="009C191E"/>
    <w:rsid w:val="009C6C70"/>
    <w:rsid w:val="009C7B0A"/>
    <w:rsid w:val="009D0B63"/>
    <w:rsid w:val="009D5CB8"/>
    <w:rsid w:val="009D5FAF"/>
    <w:rsid w:val="009E307E"/>
    <w:rsid w:val="009E4A35"/>
    <w:rsid w:val="00A07870"/>
    <w:rsid w:val="00A07C54"/>
    <w:rsid w:val="00A07F19"/>
    <w:rsid w:val="00A1348D"/>
    <w:rsid w:val="00A13C99"/>
    <w:rsid w:val="00A14DD7"/>
    <w:rsid w:val="00A232EE"/>
    <w:rsid w:val="00A4175F"/>
    <w:rsid w:val="00A44411"/>
    <w:rsid w:val="00A469FA"/>
    <w:rsid w:val="00A47A6E"/>
    <w:rsid w:val="00A53662"/>
    <w:rsid w:val="00A54542"/>
    <w:rsid w:val="00A55B01"/>
    <w:rsid w:val="00A56180"/>
    <w:rsid w:val="00A56B5B"/>
    <w:rsid w:val="00A603FF"/>
    <w:rsid w:val="00A619B6"/>
    <w:rsid w:val="00A648CA"/>
    <w:rsid w:val="00A657DD"/>
    <w:rsid w:val="00A666A6"/>
    <w:rsid w:val="00A675FD"/>
    <w:rsid w:val="00A72437"/>
    <w:rsid w:val="00A8048B"/>
    <w:rsid w:val="00A80611"/>
    <w:rsid w:val="00AA5BF4"/>
    <w:rsid w:val="00AB4558"/>
    <w:rsid w:val="00AB5340"/>
    <w:rsid w:val="00AB712E"/>
    <w:rsid w:val="00AC0A89"/>
    <w:rsid w:val="00AC7C96"/>
    <w:rsid w:val="00AD3593"/>
    <w:rsid w:val="00AD3D88"/>
    <w:rsid w:val="00AD4C74"/>
    <w:rsid w:val="00AD5584"/>
    <w:rsid w:val="00AE0812"/>
    <w:rsid w:val="00AE1120"/>
    <w:rsid w:val="00AE237D"/>
    <w:rsid w:val="00AE502A"/>
    <w:rsid w:val="00AE7C19"/>
    <w:rsid w:val="00AF0010"/>
    <w:rsid w:val="00AF1AA8"/>
    <w:rsid w:val="00AF2C1F"/>
    <w:rsid w:val="00AF5875"/>
    <w:rsid w:val="00AF5CCD"/>
    <w:rsid w:val="00AF7C07"/>
    <w:rsid w:val="00B00100"/>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647C6"/>
    <w:rsid w:val="00B64D18"/>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01F1"/>
    <w:rsid w:val="00BC2C5E"/>
    <w:rsid w:val="00BC62BA"/>
    <w:rsid w:val="00BE5B5F"/>
    <w:rsid w:val="00BE7993"/>
    <w:rsid w:val="00BF66CE"/>
    <w:rsid w:val="00C0425C"/>
    <w:rsid w:val="00C11971"/>
    <w:rsid w:val="00C15D5F"/>
    <w:rsid w:val="00C179DE"/>
    <w:rsid w:val="00C2471D"/>
    <w:rsid w:val="00C26F55"/>
    <w:rsid w:val="00C30C63"/>
    <w:rsid w:val="00C30FF3"/>
    <w:rsid w:val="00C34D5C"/>
    <w:rsid w:val="00C3554B"/>
    <w:rsid w:val="00C36B8B"/>
    <w:rsid w:val="00C415C1"/>
    <w:rsid w:val="00C43516"/>
    <w:rsid w:val="00C47DBF"/>
    <w:rsid w:val="00C552FF"/>
    <w:rsid w:val="00C558DA"/>
    <w:rsid w:val="00C55AF3"/>
    <w:rsid w:val="00C771A9"/>
    <w:rsid w:val="00C82943"/>
    <w:rsid w:val="00C84759"/>
    <w:rsid w:val="00C923BB"/>
    <w:rsid w:val="00C93096"/>
    <w:rsid w:val="00CA5CA9"/>
    <w:rsid w:val="00CA6C7F"/>
    <w:rsid w:val="00CB007D"/>
    <w:rsid w:val="00CB60CA"/>
    <w:rsid w:val="00CC0FC7"/>
    <w:rsid w:val="00CC10A6"/>
    <w:rsid w:val="00CD0FA5"/>
    <w:rsid w:val="00CD5EB8"/>
    <w:rsid w:val="00CD7044"/>
    <w:rsid w:val="00CE08B9"/>
    <w:rsid w:val="00CE3515"/>
    <w:rsid w:val="00CE524C"/>
    <w:rsid w:val="00CE6272"/>
    <w:rsid w:val="00CF141F"/>
    <w:rsid w:val="00CF4777"/>
    <w:rsid w:val="00CF65C8"/>
    <w:rsid w:val="00D013F5"/>
    <w:rsid w:val="00D05E3F"/>
    <w:rsid w:val="00D067BB"/>
    <w:rsid w:val="00D1352A"/>
    <w:rsid w:val="00D1638E"/>
    <w:rsid w:val="00D169AF"/>
    <w:rsid w:val="00D200EF"/>
    <w:rsid w:val="00D21872"/>
    <w:rsid w:val="00D25175"/>
    <w:rsid w:val="00D25249"/>
    <w:rsid w:val="00D26854"/>
    <w:rsid w:val="00D273CE"/>
    <w:rsid w:val="00D44172"/>
    <w:rsid w:val="00D47BE3"/>
    <w:rsid w:val="00D57F6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7E7C"/>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25DBA"/>
    <w:rsid w:val="00E32F59"/>
    <w:rsid w:val="00E34F4B"/>
    <w:rsid w:val="00E41908"/>
    <w:rsid w:val="00E46D9A"/>
    <w:rsid w:val="00E50E7E"/>
    <w:rsid w:val="00E565FF"/>
    <w:rsid w:val="00E65388"/>
    <w:rsid w:val="00E7320F"/>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607C"/>
    <w:rsid w:val="00F37DC8"/>
    <w:rsid w:val="00F4205B"/>
    <w:rsid w:val="00F439B3"/>
    <w:rsid w:val="00F650C3"/>
    <w:rsid w:val="00F65D85"/>
    <w:rsid w:val="00F6700B"/>
    <w:rsid w:val="00F7137B"/>
    <w:rsid w:val="00F71DBF"/>
    <w:rsid w:val="00F8091E"/>
    <w:rsid w:val="00F8615C"/>
    <w:rsid w:val="00F969E5"/>
    <w:rsid w:val="00FA035A"/>
    <w:rsid w:val="00FA4972"/>
    <w:rsid w:val="00FA6BB0"/>
    <w:rsid w:val="00FB2DBD"/>
    <w:rsid w:val="00FB67FD"/>
    <w:rsid w:val="00FD48DF"/>
    <w:rsid w:val="00FD5860"/>
    <w:rsid w:val="00FE352D"/>
    <w:rsid w:val="00FE40EB"/>
    <w:rsid w:val="00FE4D02"/>
    <w:rsid w:val="00FE7D62"/>
    <w:rsid w:val="00FF0DA0"/>
    <w:rsid w:val="00FF307B"/>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674B21A6-DF84-4CEE-A42D-F490EAE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3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rsid w:val="00E34F4B"/>
    <w:rPr>
      <w:lang w:eastAsia="en-US"/>
    </w:rPr>
  </w:style>
  <w:style w:type="character" w:customStyle="1" w:styleId="NormalnumberChar">
    <w:name w:val="Normal_number Char"/>
    <w:link w:val="Normalnumber"/>
    <w:locked/>
    <w:rsid w:val="00E34F4B"/>
    <w:rPr>
      <w:lang w:eastAsia="en-US"/>
    </w:rPr>
  </w:style>
  <w:style w:type="paragraph" w:customStyle="1" w:styleId="Text">
    <w:name w:val="Text"/>
    <w:rsid w:val="00306F47"/>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numbering" w:customStyle="1" w:styleId="Importovanstyl7">
    <w:name w:val="Importovaný styl 7"/>
    <w:rsid w:val="00306F4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EC26-7628-42CA-8F8B-0B3734F2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2898</Words>
  <Characters>15940</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2018-11-15T13:10:00Z</cp:lastPrinted>
  <dcterms:created xsi:type="dcterms:W3CDTF">2018-11-16T11:35:00Z</dcterms:created>
  <dcterms:modified xsi:type="dcterms:W3CDTF">2018-11-16T11:35:00Z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Andriamamonjy.Fiaferana</vt:lpwstr>
  </property>
  <property fmtid="{D5CDD505-2E9C-101B-9397-08002B2CF9AE}" pid="4" name="GeneratedDate">
    <vt:lpwstr>10/10/2018 8:35:03 AM</vt:lpwstr>
  </property>
  <property fmtid="{D5CDD505-2E9C-101B-9397-08002B2CF9AE}" pid="5" name="OriginalDocID">
    <vt:lpwstr>2f95ab48-d876-4fbc-adbe-1b57e6649cfd</vt:lpwstr>
  </property>
</Properties>
</file>