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0EF17D02" w14:textId="77777777" w:rsidTr="00086D4F">
        <w:trPr>
          <w:cantSplit/>
          <w:trHeight w:val="850"/>
          <w:jc w:val="right"/>
        </w:trPr>
        <w:tc>
          <w:tcPr>
            <w:tcW w:w="1550" w:type="dxa"/>
          </w:tcPr>
          <w:p w14:paraId="3D37BCED" w14:textId="77777777" w:rsidR="00032E4E" w:rsidRPr="00D25175" w:rsidRDefault="00032E4E" w:rsidP="002C54E3">
            <w:pPr>
              <w:rPr>
                <w:rFonts w:ascii="Univers" w:hAnsi="Univers"/>
                <w:noProof/>
              </w:rPr>
            </w:pPr>
            <w:bookmarkStart w:id="0" w:name="_GoBack"/>
            <w:bookmarkEnd w:id="0"/>
            <w:r>
              <w:rPr>
                <w:rFonts w:ascii="Arial" w:hAnsi="Arial"/>
                <w:b/>
                <w:sz w:val="27"/>
                <w:szCs w:val="27"/>
              </w:rPr>
              <w:t>NATIONS</w:t>
            </w:r>
            <w:r>
              <w:rPr>
                <w:rFonts w:ascii="Arial" w:hAnsi="Arial"/>
                <w:b/>
                <w:sz w:val="27"/>
                <w:szCs w:val="27"/>
              </w:rPr>
              <w:br/>
              <w:t>UNIES</w:t>
            </w:r>
          </w:p>
        </w:tc>
        <w:tc>
          <w:tcPr>
            <w:tcW w:w="4751" w:type="dxa"/>
          </w:tcPr>
          <w:p w14:paraId="1E579389" w14:textId="77777777" w:rsidR="00032E4E" w:rsidRPr="00D25175" w:rsidRDefault="00032E4E" w:rsidP="002C54E3">
            <w:pPr>
              <w:pStyle w:val="Normal-pool"/>
              <w:rPr>
                <w:rFonts w:ascii="Univers" w:hAnsi="Univers"/>
              </w:rPr>
            </w:pPr>
          </w:p>
        </w:tc>
        <w:tc>
          <w:tcPr>
            <w:tcW w:w="3411" w:type="dxa"/>
          </w:tcPr>
          <w:p w14:paraId="20C3B488" w14:textId="77777777" w:rsidR="00032E4E" w:rsidRPr="00D25175" w:rsidRDefault="00787688" w:rsidP="002C54E3">
            <w:pPr>
              <w:jc w:val="right"/>
              <w:rPr>
                <w:sz w:val="64"/>
                <w:szCs w:val="64"/>
              </w:rPr>
            </w:pPr>
            <w:r>
              <w:rPr>
                <w:rFonts w:ascii="Arial" w:hAnsi="Arial"/>
                <w:b/>
                <w:sz w:val="64"/>
                <w:szCs w:val="64"/>
              </w:rPr>
              <w:t>MC</w:t>
            </w:r>
          </w:p>
        </w:tc>
      </w:tr>
      <w:tr w:rsidR="00032E4E" w:rsidRPr="00D25175" w14:paraId="24E93281" w14:textId="77777777" w:rsidTr="00086D4F">
        <w:trPr>
          <w:cantSplit/>
          <w:trHeight w:val="281"/>
          <w:jc w:val="right"/>
        </w:trPr>
        <w:tc>
          <w:tcPr>
            <w:tcW w:w="1550" w:type="dxa"/>
            <w:tcBorders>
              <w:bottom w:val="single" w:sz="4" w:space="0" w:color="auto"/>
            </w:tcBorders>
          </w:tcPr>
          <w:p w14:paraId="615560A9" w14:textId="77777777" w:rsidR="00032E4E" w:rsidRPr="00D25175" w:rsidRDefault="00032E4E" w:rsidP="002C54E3">
            <w:pPr>
              <w:pStyle w:val="Normal-pool"/>
              <w:rPr>
                <w:noProof/>
                <w:sz w:val="18"/>
                <w:szCs w:val="18"/>
              </w:rPr>
            </w:pPr>
          </w:p>
        </w:tc>
        <w:tc>
          <w:tcPr>
            <w:tcW w:w="4751" w:type="dxa"/>
            <w:tcBorders>
              <w:bottom w:val="single" w:sz="4" w:space="0" w:color="auto"/>
            </w:tcBorders>
          </w:tcPr>
          <w:p w14:paraId="236A104F" w14:textId="77777777" w:rsidR="00032E4E" w:rsidRPr="00D25175" w:rsidRDefault="00032E4E" w:rsidP="002C54E3">
            <w:pPr>
              <w:pStyle w:val="Normal-pool"/>
              <w:rPr>
                <w:rFonts w:ascii="Univers" w:hAnsi="Univers"/>
                <w:sz w:val="18"/>
                <w:szCs w:val="18"/>
              </w:rPr>
            </w:pPr>
          </w:p>
        </w:tc>
        <w:tc>
          <w:tcPr>
            <w:tcW w:w="3411" w:type="dxa"/>
            <w:tcBorders>
              <w:bottom w:val="single" w:sz="4" w:space="0" w:color="auto"/>
            </w:tcBorders>
          </w:tcPr>
          <w:p w14:paraId="3700632B" w14:textId="77777777" w:rsidR="00032E4E" w:rsidRPr="00D25175" w:rsidRDefault="00032E4E" w:rsidP="002C54E3">
            <w:pPr>
              <w:pStyle w:val="Normal-pool"/>
              <w:rPr>
                <w:noProof/>
                <w:sz w:val="18"/>
                <w:szCs w:val="18"/>
              </w:rPr>
            </w:pPr>
            <w:r>
              <w:rPr>
                <w:b/>
                <w:bCs/>
                <w:sz w:val="28"/>
              </w:rPr>
              <w:t>UNEP</w:t>
            </w:r>
            <w:bookmarkStart w:id="1" w:name="OLE_LINK1"/>
            <w:bookmarkStart w:id="2" w:name="OLE_LINK2"/>
            <w:r>
              <w:rPr>
                <w:b/>
                <w:bCs/>
                <w:sz w:val="28"/>
              </w:rPr>
              <w:t>/</w:t>
            </w:r>
            <w:r>
              <w:t>MC/</w:t>
            </w:r>
            <w:bookmarkEnd w:id="1"/>
            <w:bookmarkEnd w:id="2"/>
            <w:r>
              <w:t>COP.2/12</w:t>
            </w:r>
          </w:p>
        </w:tc>
      </w:tr>
      <w:bookmarkStart w:id="3" w:name="_MON_1021710482"/>
      <w:bookmarkEnd w:id="3"/>
      <w:bookmarkStart w:id="4" w:name="_MON_1021710510"/>
      <w:bookmarkEnd w:id="4"/>
      <w:tr w:rsidR="00032E4E" w:rsidRPr="00D25175" w14:paraId="73A484DE" w14:textId="77777777" w:rsidTr="00086D4F">
        <w:trPr>
          <w:cantSplit/>
          <w:trHeight w:val="2549"/>
          <w:jc w:val="right"/>
        </w:trPr>
        <w:tc>
          <w:tcPr>
            <w:tcW w:w="1550" w:type="dxa"/>
            <w:tcBorders>
              <w:top w:val="single" w:sz="4" w:space="0" w:color="auto"/>
              <w:bottom w:val="single" w:sz="24" w:space="0" w:color="auto"/>
            </w:tcBorders>
          </w:tcPr>
          <w:p w14:paraId="21433616" w14:textId="77777777" w:rsidR="00032E4E" w:rsidRPr="00D25175" w:rsidRDefault="001F566E" w:rsidP="002C54E3">
            <w:pPr>
              <w:pStyle w:val="Normal-pool"/>
              <w:rPr>
                <w:noProof/>
              </w:rPr>
            </w:pPr>
            <w:r>
              <w:object w:dxaOrig="1831" w:dyaOrig="1726" w14:anchorId="33F7C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1.5pt;mso-width-percent:0;mso-height-percent:0;mso-width-percent:0;mso-height-percent:0" o:ole="" fillcolor="window">
                  <v:imagedata r:id="rId8" o:title=""/>
                </v:shape>
                <o:OLEObject Type="Embed" ProgID="Word.Picture.8" ShapeID="_x0000_i1025" DrawAspect="Content" ObjectID="_1600613811" r:id="rId9"/>
              </w:object>
            </w:r>
            <w:r>
              <w:rPr>
                <w:noProof/>
                <w:lang w:val="en-GB" w:eastAsia="zh-CN"/>
              </w:rPr>
              <w:drawing>
                <wp:inline distT="0" distB="0" distL="0" distR="0" wp14:anchorId="43312F7B" wp14:editId="50F76629">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7EBED0" w14:textId="6A743AA9" w:rsidR="00032E4E" w:rsidRPr="00D25175" w:rsidRDefault="00032E4E" w:rsidP="002C54E3">
            <w:pPr>
              <w:spacing w:before="1200"/>
              <w:rPr>
                <w:sz w:val="28"/>
              </w:rPr>
            </w:pPr>
            <w:r>
              <w:rPr>
                <w:rFonts w:ascii="Arial" w:hAnsi="Arial"/>
                <w:b/>
                <w:sz w:val="32"/>
                <w:szCs w:val="32"/>
              </w:rPr>
              <w:t xml:space="preserve">Programme </w:t>
            </w:r>
            <w:r>
              <w:rPr>
                <w:rFonts w:ascii="Arial" w:hAnsi="Arial"/>
                <w:b/>
                <w:sz w:val="32"/>
                <w:szCs w:val="32"/>
              </w:rPr>
              <w:br w:type="textWrapping" w:clear="all"/>
              <w:t xml:space="preserve">des Nations Unies </w:t>
            </w:r>
            <w:r>
              <w:rPr>
                <w:rFonts w:ascii="Arial" w:hAnsi="Arial"/>
                <w:b/>
                <w:sz w:val="32"/>
                <w:szCs w:val="32"/>
              </w:rPr>
              <w:br w:type="textWrapping" w:clear="all"/>
              <w:t>pour l</w:t>
            </w:r>
            <w:r w:rsidR="00B22520">
              <w:rPr>
                <w:rFonts w:ascii="Arial" w:hAnsi="Arial"/>
                <w:b/>
                <w:sz w:val="32"/>
                <w:szCs w:val="32"/>
              </w:rPr>
              <w:t>’</w:t>
            </w:r>
            <w:r>
              <w:rPr>
                <w:rFonts w:ascii="Arial" w:hAnsi="Arial"/>
                <w:b/>
                <w:sz w:val="32"/>
                <w:szCs w:val="32"/>
              </w:rPr>
              <w:t>environnement</w:t>
            </w:r>
          </w:p>
        </w:tc>
        <w:tc>
          <w:tcPr>
            <w:tcW w:w="3411" w:type="dxa"/>
            <w:tcBorders>
              <w:top w:val="single" w:sz="4" w:space="0" w:color="auto"/>
              <w:bottom w:val="single" w:sz="24" w:space="0" w:color="auto"/>
            </w:tcBorders>
          </w:tcPr>
          <w:p w14:paraId="5B6AFCB7" w14:textId="52F4E6C6" w:rsidR="00032E4E" w:rsidRPr="00D25175" w:rsidRDefault="00C21384" w:rsidP="002C54E3">
            <w:pPr>
              <w:pStyle w:val="Normal-pool"/>
              <w:spacing w:before="120"/>
            </w:pPr>
            <w:r>
              <w:t>Distr. </w:t>
            </w:r>
            <w:r w:rsidR="009A5BF9">
              <w:t>générale</w:t>
            </w:r>
            <w:r w:rsidR="0078325D">
              <w:t xml:space="preserve"> </w:t>
            </w:r>
            <w:r w:rsidR="00032E4E">
              <w:br w:type="textWrapping" w:clear="all"/>
              <w:t>3 septembre 2018</w:t>
            </w:r>
          </w:p>
          <w:p w14:paraId="3B3B792D" w14:textId="2A9AD181" w:rsidR="00032E4E" w:rsidRPr="00D25175" w:rsidRDefault="00B04130" w:rsidP="0078325D">
            <w:pPr>
              <w:pStyle w:val="Normal-pool"/>
              <w:spacing w:before="120"/>
            </w:pPr>
            <w:r>
              <w:t>Français</w:t>
            </w:r>
            <w:r w:rsidR="0078325D">
              <w:t xml:space="preserve"> </w:t>
            </w:r>
            <w:r w:rsidR="0078325D">
              <w:br/>
            </w:r>
            <w:r w:rsidR="00032E4E">
              <w:t>Original : anglais</w:t>
            </w:r>
          </w:p>
        </w:tc>
      </w:tr>
    </w:tbl>
    <w:p w14:paraId="098A2A78" w14:textId="4636E8B2" w:rsidR="00E976AB" w:rsidRPr="00D25175" w:rsidRDefault="00CB007D" w:rsidP="00E976AB">
      <w:pPr>
        <w:pStyle w:val="AATitle"/>
        <w:keepNext w:val="0"/>
        <w:keepLines w:val="0"/>
      </w:pPr>
      <w:r>
        <w:t>Conférence</w:t>
      </w:r>
      <w:r w:rsidR="003B1D65">
        <w:t xml:space="preserve"> des Parties à la Convention de </w:t>
      </w:r>
      <w:r>
        <w:t>Minamata sur le mercure</w:t>
      </w:r>
    </w:p>
    <w:p w14:paraId="148BEDC7" w14:textId="77777777" w:rsidR="00E976AB" w:rsidRPr="00D25175" w:rsidRDefault="00434321" w:rsidP="00E976AB">
      <w:pPr>
        <w:pStyle w:val="AATitle"/>
        <w:keepNext w:val="0"/>
        <w:keepLines w:val="0"/>
      </w:pPr>
      <w:r>
        <w:t>Deuxième réunion</w:t>
      </w:r>
    </w:p>
    <w:p w14:paraId="572D96E6" w14:textId="4B87877D" w:rsidR="00787688" w:rsidRDefault="00C21384" w:rsidP="00434321">
      <w:pPr>
        <w:pStyle w:val="AATitle"/>
        <w:rPr>
          <w:b w:val="0"/>
        </w:rPr>
      </w:pPr>
      <w:r>
        <w:rPr>
          <w:b w:val="0"/>
        </w:rPr>
        <w:t>Genève, 19–23 </w:t>
      </w:r>
      <w:r w:rsidR="00787688">
        <w:rPr>
          <w:b w:val="0"/>
        </w:rPr>
        <w:t>novembre 2018</w:t>
      </w:r>
    </w:p>
    <w:p w14:paraId="0B02EAD2" w14:textId="520DF4E9" w:rsidR="00F15578" w:rsidRDefault="00E54866" w:rsidP="00F15578">
      <w:pPr>
        <w:pStyle w:val="AATitle"/>
        <w:keepNext w:val="0"/>
        <w:keepLines w:val="0"/>
        <w:rPr>
          <w:b w:val="0"/>
        </w:rPr>
      </w:pPr>
      <w:r>
        <w:rPr>
          <w:b w:val="0"/>
        </w:rPr>
        <w:t>Point 5 h) de l</w:t>
      </w:r>
      <w:r w:rsidR="00B22520">
        <w:rPr>
          <w:b w:val="0"/>
        </w:rPr>
        <w:t>’</w:t>
      </w:r>
      <w:r>
        <w:rPr>
          <w:b w:val="0"/>
        </w:rPr>
        <w:t>ordre du jour provisoire</w:t>
      </w:r>
      <w:r w:rsidRPr="00A018C0">
        <w:rPr>
          <w:b w:val="0"/>
        </w:rPr>
        <w:footnoteReference w:customMarkFollows="1" w:id="2"/>
        <w:t>*</w:t>
      </w:r>
    </w:p>
    <w:p w14:paraId="09F73809" w14:textId="1851F705" w:rsidR="00F15578" w:rsidRDefault="00035ED3" w:rsidP="00B04130">
      <w:pPr>
        <w:pStyle w:val="AATitle2"/>
        <w:spacing w:before="60" w:after="0"/>
        <w:ind w:right="4251"/>
      </w:pPr>
      <w:r>
        <w:t xml:space="preserve">Questions soumises à la Conférence des Parties pour examen ou décision : collaboration avec </w:t>
      </w:r>
      <w:r w:rsidR="00C21384">
        <w:t>l</w:t>
      </w:r>
      <w:r w:rsidR="00B22520">
        <w:t>’</w:t>
      </w:r>
      <w:r w:rsidR="00C21384">
        <w:t>Organisation mondiale de </w:t>
      </w:r>
      <w:r>
        <w:t>la Santé et l</w:t>
      </w:r>
      <w:r w:rsidR="00B22520">
        <w:t>’</w:t>
      </w:r>
      <w:r>
        <w:t>Organisation internationale du Travail</w:t>
      </w:r>
    </w:p>
    <w:p w14:paraId="6C2D5828" w14:textId="6E9C0744" w:rsidR="000F681D" w:rsidRPr="002C54E3" w:rsidRDefault="00621E0B" w:rsidP="003E1DD8">
      <w:pPr>
        <w:pStyle w:val="BBTitle"/>
      </w:pPr>
      <w:r>
        <w:t>Collaboration avec l</w:t>
      </w:r>
      <w:r w:rsidR="00B22520">
        <w:t>’</w:t>
      </w:r>
      <w:r>
        <w:t>Organ</w:t>
      </w:r>
      <w:r w:rsidR="00C21384">
        <w:t>isation mondiale de la Santé et </w:t>
      </w:r>
      <w:r>
        <w:t>l</w:t>
      </w:r>
      <w:r w:rsidR="00B22520">
        <w:t>’</w:t>
      </w:r>
      <w:r>
        <w:t xml:space="preserve">Organisation internationale du Travail </w:t>
      </w:r>
    </w:p>
    <w:p w14:paraId="229BDACA" w14:textId="77777777" w:rsidR="00D34A59" w:rsidRPr="009102A2" w:rsidRDefault="002C54E3" w:rsidP="002C54E3">
      <w:pPr>
        <w:pStyle w:val="CH2"/>
      </w:pPr>
      <w:r>
        <w:tab/>
      </w:r>
      <w:r>
        <w:tab/>
        <w:t>Note du Secrétariat</w:t>
      </w:r>
    </w:p>
    <w:p w14:paraId="50252C5B" w14:textId="12964453" w:rsidR="006C08E4" w:rsidRPr="002C54E3" w:rsidRDefault="00773959" w:rsidP="00902971">
      <w:pPr>
        <w:pStyle w:val="Normalnumber"/>
        <w:numPr>
          <w:ilvl w:val="0"/>
          <w:numId w:val="6"/>
        </w:numPr>
      </w:pPr>
      <w:r>
        <w:t>Au paragraphe 2 de l</w:t>
      </w:r>
      <w:r w:rsidR="00B22520">
        <w:t>’</w:t>
      </w:r>
      <w:r>
        <w:t xml:space="preserve">article 16, </w:t>
      </w:r>
      <w:r w:rsidR="000604D6">
        <w:t>relatif aux aspects sanitaires,</w:t>
      </w:r>
      <w:r>
        <w:t>la Convention de Minamata sur le mercure prévoit que la Conférence des Parties, dans le cadre de l</w:t>
      </w:r>
      <w:r w:rsidR="00B22520">
        <w:t>’</w:t>
      </w:r>
      <w:r>
        <w:t>examen de questions ou activités liées à la santé, devrait consulter l</w:t>
      </w:r>
      <w:r w:rsidR="00B22520">
        <w:t>’</w:t>
      </w:r>
      <w:r>
        <w:t>Organisation mondiale de la Santé (OMS), l</w:t>
      </w:r>
      <w:r w:rsidR="00B22520">
        <w:t>’</w:t>
      </w:r>
      <w:r>
        <w:t>Organisation internationale du Travail (OIT) et d</w:t>
      </w:r>
      <w:r w:rsidR="00B22520">
        <w:t>’</w:t>
      </w:r>
      <w:r>
        <w:t>autres organisations intergouvernementales compétentes et collaborer avec celles-ci, et promouvoir la coopération et l</w:t>
      </w:r>
      <w:r w:rsidR="00B22520">
        <w:t>’</w:t>
      </w:r>
      <w:r>
        <w:t>échange d</w:t>
      </w:r>
      <w:r w:rsidR="00B22520">
        <w:t>’</w:t>
      </w:r>
      <w:r>
        <w:t>informations avec ces organisations, selon qu</w:t>
      </w:r>
      <w:r w:rsidR="00B22520">
        <w:t>’</w:t>
      </w:r>
      <w:r>
        <w:t>il convient.</w:t>
      </w:r>
    </w:p>
    <w:p w14:paraId="3D238902" w14:textId="7EE6C0A4" w:rsidR="000D283C" w:rsidRPr="002C54E3" w:rsidRDefault="00D34A59" w:rsidP="00902971">
      <w:pPr>
        <w:pStyle w:val="Normalnumber"/>
        <w:numPr>
          <w:ilvl w:val="0"/>
          <w:numId w:val="6"/>
        </w:numPr>
      </w:pPr>
      <w:r>
        <w:t xml:space="preserve">À sa première réunion, tenue à Genève du 24 au 29 septembre 2017, </w:t>
      </w:r>
      <w:r w:rsidR="003B1D65">
        <w:t>la Conférence des Parties à la C</w:t>
      </w:r>
      <w:r>
        <w:t>onvention de Minamata a prié le secrétariat de continuer de coopérer et de collaborer activement avec l</w:t>
      </w:r>
      <w:r w:rsidR="00B22520">
        <w:t>’</w:t>
      </w:r>
      <w:r>
        <w:t>OMS, l</w:t>
      </w:r>
      <w:r w:rsidR="00B22520">
        <w:t>’</w:t>
      </w:r>
      <w:r>
        <w:t>OIT et d</w:t>
      </w:r>
      <w:r w:rsidR="00B22520">
        <w:t>’</w:t>
      </w:r>
      <w:r>
        <w:t xml:space="preserve">autres organisations compétentes dans la mise en œuvre de la Convention de Minamata. </w:t>
      </w:r>
    </w:p>
    <w:p w14:paraId="174BE56D" w14:textId="3CAA0C7A" w:rsidR="000D283C" w:rsidRPr="002C54E3" w:rsidRDefault="00F105C7" w:rsidP="00902971">
      <w:pPr>
        <w:pStyle w:val="Normalnumber"/>
        <w:numPr>
          <w:ilvl w:val="0"/>
          <w:numId w:val="6"/>
        </w:numPr>
      </w:pPr>
      <w:r>
        <w:t>Les domaines clés de coopération et de collaboration avec l</w:t>
      </w:r>
      <w:r w:rsidR="00B22520">
        <w:t>’</w:t>
      </w:r>
      <w:r>
        <w:t>OMS comprennent les</w:t>
      </w:r>
      <w:r w:rsidR="00B22520">
        <w:t> </w:t>
      </w:r>
      <w:r>
        <w:t>thermomètres et les sphygmomanomètres au mercure utilisés par les services de santé, les</w:t>
      </w:r>
      <w:r w:rsidR="00B22520">
        <w:t> </w:t>
      </w:r>
      <w:r>
        <w:t xml:space="preserve">antiseptiques, les produits </w:t>
      </w:r>
      <w:r w:rsidR="003B1D65">
        <w:t>d</w:t>
      </w:r>
      <w:r w:rsidR="00B22520">
        <w:t>’</w:t>
      </w:r>
      <w:r w:rsidR="003B1D65">
        <w:t>éclaircissement</w:t>
      </w:r>
      <w:r>
        <w:t xml:space="preserve"> de la peau et les amalgames dentaires (art</w:t>
      </w:r>
      <w:r w:rsidR="000604D6">
        <w:t>.</w:t>
      </w:r>
      <w:r>
        <w:t>4 et annexe A) ; les stratégies de santé publique concernant l</w:t>
      </w:r>
      <w:r w:rsidR="00B22520">
        <w:t>’</w:t>
      </w:r>
      <w:r>
        <w:t>extraction minière artisanale et à petite échelle d</w:t>
      </w:r>
      <w:r w:rsidR="00B22520">
        <w:t>’</w:t>
      </w:r>
      <w:r>
        <w:t>or (art</w:t>
      </w:r>
      <w:r w:rsidR="000604D6">
        <w:t>.</w:t>
      </w:r>
      <w:r>
        <w:t xml:space="preserve">7 et annexe C) ; </w:t>
      </w:r>
      <w:r w:rsidR="000604D6">
        <w:t>l</w:t>
      </w:r>
      <w:r w:rsidR="00B22520">
        <w:t>’</w:t>
      </w:r>
      <w:r w:rsidR="000604D6">
        <w:t>évaluation des risques pour la santé humaine posés par les sites contaminés (art.12) ; </w:t>
      </w:r>
      <w:r>
        <w:t>l</w:t>
      </w:r>
      <w:r w:rsidR="00B22520">
        <w:t>’</w:t>
      </w:r>
      <w:r>
        <w:t>article concernant les aspects sanitaires (art</w:t>
      </w:r>
      <w:r w:rsidR="000604D6">
        <w:t>.</w:t>
      </w:r>
      <w:r>
        <w:t>16) ; l</w:t>
      </w:r>
      <w:r w:rsidR="00B22520">
        <w:t>’</w:t>
      </w:r>
      <w:r>
        <w:t>échange d</w:t>
      </w:r>
      <w:r w:rsidR="00B22520">
        <w:t>’</w:t>
      </w:r>
      <w:r>
        <w:t>informations sanitaires (art</w:t>
      </w:r>
      <w:r w:rsidR="000604D6">
        <w:t>.</w:t>
      </w:r>
      <w:r>
        <w:t>17) ; l</w:t>
      </w:r>
      <w:r w:rsidR="00B22520">
        <w:t>’</w:t>
      </w:r>
      <w:r>
        <w:t>information, la sensibilisation et l</w:t>
      </w:r>
      <w:r w:rsidR="00B22520">
        <w:t>’</w:t>
      </w:r>
      <w:r>
        <w:t>éducation du public en matière de santé humaine (article 18) ; et la recherche-développement et la surveillance s</w:t>
      </w:r>
      <w:r w:rsidR="00B22520">
        <w:t>’</w:t>
      </w:r>
      <w:r>
        <w:t>agissant de</w:t>
      </w:r>
      <w:r w:rsidR="003B1D65">
        <w:t xml:space="preserve"> la santé (art</w:t>
      </w:r>
      <w:r w:rsidR="000604D6">
        <w:t>.</w:t>
      </w:r>
      <w:r w:rsidR="003B1D65">
        <w:t>19), où les m</w:t>
      </w:r>
      <w:r>
        <w:t>inistères de la santé devraient jouer un rôle de premier plan. En outre, les secrétariats de l</w:t>
      </w:r>
      <w:r w:rsidR="00B22520">
        <w:t>’</w:t>
      </w:r>
      <w:r>
        <w:t>OMS et de la Convention de Minamata collaborent pour appuyer le renforcement des capacités et l</w:t>
      </w:r>
      <w:r w:rsidR="00B22520">
        <w:t>’</w:t>
      </w:r>
      <w:r>
        <w:t>assistance technique (article 14) ainsi que l</w:t>
      </w:r>
      <w:r w:rsidR="00B22520">
        <w:t>’</w:t>
      </w:r>
      <w:r>
        <w:t>évaluation de l</w:t>
      </w:r>
      <w:r w:rsidR="00B22520">
        <w:t>’</w:t>
      </w:r>
      <w:r>
        <w:t>efficacité (art</w:t>
      </w:r>
      <w:r w:rsidR="000604D6">
        <w:t>.</w:t>
      </w:r>
      <w:r>
        <w:t>22).</w:t>
      </w:r>
    </w:p>
    <w:p w14:paraId="55AD35F4" w14:textId="0F057267" w:rsidR="00611C95" w:rsidRPr="002C54E3" w:rsidRDefault="00D34A59" w:rsidP="00BF1603">
      <w:pPr>
        <w:pStyle w:val="Normalnumber"/>
        <w:keepNext/>
        <w:keepLines/>
        <w:numPr>
          <w:ilvl w:val="0"/>
          <w:numId w:val="6"/>
        </w:numPr>
      </w:pPr>
      <w:r>
        <w:lastRenderedPageBreak/>
        <w:t xml:space="preserve">Le secrétariat a entrepris </w:t>
      </w:r>
      <w:r w:rsidR="00970CB7">
        <w:t xml:space="preserve">diverses </w:t>
      </w:r>
      <w:r>
        <w:t>activités de coopération avec l</w:t>
      </w:r>
      <w:r w:rsidR="00B22520">
        <w:t>’</w:t>
      </w:r>
      <w:r>
        <w:t>OMS au cours de la période écoulée depuis la première réunion de la Conférence des Parties, notamment la participation à des ateliers régionaux de promotion de la Convention auprès des ministères de la santé, ainsi que la coopération technique concernant les documents d</w:t>
      </w:r>
      <w:r w:rsidR="00B22520">
        <w:t>’</w:t>
      </w:r>
      <w:r>
        <w:t>orientation et les demandes de renseignements sur des questions relatives à la santé.</w:t>
      </w:r>
      <w:r>
        <w:rPr>
          <w:rFonts w:asciiTheme="majorBidi" w:hAnsiTheme="majorBidi"/>
        </w:rPr>
        <w:t xml:space="preserve"> L</w:t>
      </w:r>
      <w:r w:rsidR="00B22520">
        <w:rPr>
          <w:rFonts w:asciiTheme="majorBidi" w:hAnsiTheme="majorBidi"/>
        </w:rPr>
        <w:t>’</w:t>
      </w:r>
      <w:r>
        <w:rPr>
          <w:rFonts w:asciiTheme="majorBidi" w:hAnsiTheme="majorBidi"/>
        </w:rPr>
        <w:t>OMS a participé aux travaux intersessions sur l</w:t>
      </w:r>
      <w:r w:rsidR="00B22520">
        <w:rPr>
          <w:rFonts w:asciiTheme="majorBidi" w:hAnsiTheme="majorBidi"/>
        </w:rPr>
        <w:t>’</w:t>
      </w:r>
      <w:r>
        <w:rPr>
          <w:rFonts w:asciiTheme="majorBidi" w:hAnsiTheme="majorBidi"/>
        </w:rPr>
        <w:t>évaluation de l</w:t>
      </w:r>
      <w:r w:rsidR="00B22520">
        <w:rPr>
          <w:rFonts w:asciiTheme="majorBidi" w:hAnsiTheme="majorBidi"/>
        </w:rPr>
        <w:t>’</w:t>
      </w:r>
      <w:r>
        <w:rPr>
          <w:rFonts w:asciiTheme="majorBidi" w:hAnsiTheme="majorBidi"/>
        </w:rPr>
        <w:t>efficacité, en apportant des contributions majeures au projet de rapport établi par le groupe d</w:t>
      </w:r>
      <w:r w:rsidR="00B22520">
        <w:rPr>
          <w:rFonts w:asciiTheme="majorBidi" w:hAnsiTheme="majorBidi"/>
        </w:rPr>
        <w:t>’</w:t>
      </w:r>
      <w:r>
        <w:rPr>
          <w:rFonts w:asciiTheme="majorBidi" w:hAnsiTheme="majorBidi"/>
        </w:rPr>
        <w:t xml:space="preserve">experts. </w:t>
      </w:r>
      <w:r>
        <w:t>Des informations actualisées sur les activités de l</w:t>
      </w:r>
      <w:r w:rsidR="00B22520">
        <w:t>’</w:t>
      </w:r>
      <w:r>
        <w:t>OMS intéressant la Convention de Minamata figurent dans l</w:t>
      </w:r>
      <w:r w:rsidR="00B22520">
        <w:t>’</w:t>
      </w:r>
      <w:r>
        <w:t xml:space="preserve">annexe à la présente note. </w:t>
      </w:r>
    </w:p>
    <w:p w14:paraId="70FBA3AF" w14:textId="0CA288E9" w:rsidR="000D283C" w:rsidRPr="002C54E3" w:rsidRDefault="00F105C7" w:rsidP="00902971">
      <w:pPr>
        <w:pStyle w:val="Normalnumber"/>
        <w:numPr>
          <w:ilvl w:val="0"/>
          <w:numId w:val="6"/>
        </w:numPr>
      </w:pPr>
      <w:r>
        <w:t>Parmi les domaines clés de coopération et de collaboration avec l</w:t>
      </w:r>
      <w:r w:rsidR="00B22520">
        <w:t>’</w:t>
      </w:r>
      <w:r>
        <w:t>OIT, on peut citer l</w:t>
      </w:r>
      <w:r w:rsidR="00B22520">
        <w:t>’</w:t>
      </w:r>
      <w:r>
        <w:t xml:space="preserve">élaboration et la mise en </w:t>
      </w:r>
      <w:r w:rsidR="00B04130">
        <w:t>œ</w:t>
      </w:r>
      <w:r>
        <w:t>uvre de programmes d</w:t>
      </w:r>
      <w:r w:rsidR="00B22520">
        <w:t>’</w:t>
      </w:r>
      <w:r>
        <w:t>éducation et de prévention à caractère scientifique sur l</w:t>
      </w:r>
      <w:r w:rsidR="00B22520">
        <w:t>’</w:t>
      </w:r>
      <w:r>
        <w:t>exposition professionnelle au mercure et aux composés du mercure, ainsi que la mise en place et le renforcement des capacités institutionnelles et des moyens dont disposent les professionnels de la</w:t>
      </w:r>
      <w:r w:rsidR="00B22520">
        <w:t> </w:t>
      </w:r>
      <w:r>
        <w:t>santé pour la prévention, le diagnostic, le traitement et la surveillance des risques pour la santé résultant de l</w:t>
      </w:r>
      <w:r w:rsidR="00B22520">
        <w:t>’</w:t>
      </w:r>
      <w:r>
        <w:t>exposition au mercure et aux composés du mercure.</w:t>
      </w:r>
    </w:p>
    <w:p w14:paraId="00C36CCF" w14:textId="6F4B2353" w:rsidR="00B43CA2" w:rsidRPr="002C54E3" w:rsidRDefault="00B43CA2" w:rsidP="00902971">
      <w:pPr>
        <w:pStyle w:val="Normalnumber"/>
        <w:numPr>
          <w:ilvl w:val="0"/>
          <w:numId w:val="6"/>
        </w:numPr>
      </w:pPr>
      <w:r>
        <w:t>Les possibilités de coopération avec l</w:t>
      </w:r>
      <w:r w:rsidR="00B22520">
        <w:t>’</w:t>
      </w:r>
      <w:r>
        <w:t>OIT ont été plus limitées au cours de cette période. Toutefois, le secrétariat continue de collaborer avec l</w:t>
      </w:r>
      <w:r w:rsidR="00B22520">
        <w:t>’</w:t>
      </w:r>
      <w:r>
        <w:t>organisation dans le cadre du Programme interorganisations pour la gestion rationnelle des produits chimiques (IOMC), le mécanisme de coordination international pour la gestion des substances chimiques.</w:t>
      </w:r>
    </w:p>
    <w:p w14:paraId="6431FAF8" w14:textId="77777777" w:rsidR="000D283C" w:rsidRPr="000D283C" w:rsidRDefault="00902971" w:rsidP="00902971">
      <w:pPr>
        <w:pStyle w:val="CH3"/>
        <w:spacing w:before="160" w:after="160"/>
      </w:pPr>
      <w:r>
        <w:tab/>
      </w:r>
      <w:r>
        <w:tab/>
        <w:t>Mesures que pourrait prendre la Conférence des Parties</w:t>
      </w:r>
    </w:p>
    <w:p w14:paraId="6C75D7A8" w14:textId="51EBB1F3" w:rsidR="00C72E49" w:rsidRPr="00B22520" w:rsidRDefault="000D283C" w:rsidP="00902971">
      <w:pPr>
        <w:pStyle w:val="Normalnumber"/>
        <w:numPr>
          <w:ilvl w:val="0"/>
          <w:numId w:val="6"/>
        </w:numPr>
        <w:rPr>
          <w:rFonts w:asciiTheme="majorBidi" w:hAnsiTheme="majorBidi" w:cstheme="majorBidi"/>
        </w:rPr>
      </w:pPr>
      <w:r>
        <w:t>La Conférence des Parties souhaitera peut-être prier le secrétariat de poursuivre activement la coopération et la collaboration sur les questions relatives à la santé avec les organisations intergouvernementales compétentes, en particulier l</w:t>
      </w:r>
      <w:r w:rsidR="00B22520">
        <w:t>’</w:t>
      </w:r>
      <w:r>
        <w:t>OMS et l</w:t>
      </w:r>
      <w:r w:rsidR="00B22520">
        <w:t>’</w:t>
      </w:r>
      <w:r>
        <w:t xml:space="preserve">OIT. La Conférence des Parties souhaitera peut-être examiner les moyens de concrétiser la mise en </w:t>
      </w:r>
      <w:r w:rsidR="00B04130">
        <w:t>œ</w:t>
      </w:r>
      <w:r>
        <w:t>uvre du paragraphe 2 de l</w:t>
      </w:r>
      <w:r w:rsidR="00B22520">
        <w:t>’</w:t>
      </w:r>
      <w:r>
        <w:t>article 16, y compris la possibilité d</w:t>
      </w:r>
      <w:r w:rsidR="00B22520">
        <w:t>’</w:t>
      </w:r>
      <w:r>
        <w:t>officialiser les accords de coopération.</w:t>
      </w:r>
      <w:r>
        <w:rPr>
          <w:rFonts w:asciiTheme="majorBidi" w:hAnsiTheme="majorBidi"/>
        </w:rPr>
        <w:t xml:space="preserve"> </w:t>
      </w:r>
    </w:p>
    <w:p w14:paraId="7FDF2BFB" w14:textId="77777777" w:rsidR="00480343" w:rsidRPr="000D283C" w:rsidRDefault="00480343">
      <w:pPr>
        <w:tabs>
          <w:tab w:val="clear" w:pos="1247"/>
          <w:tab w:val="clear" w:pos="1814"/>
          <w:tab w:val="clear" w:pos="2381"/>
          <w:tab w:val="clear" w:pos="2948"/>
          <w:tab w:val="clear" w:pos="3515"/>
        </w:tabs>
        <w:rPr>
          <w:b/>
        </w:rPr>
      </w:pPr>
      <w:r>
        <w:br w:type="page"/>
      </w:r>
    </w:p>
    <w:p w14:paraId="2FA74860" w14:textId="77777777" w:rsidR="00480343" w:rsidRDefault="00480343" w:rsidP="002C54E3">
      <w:pPr>
        <w:pStyle w:val="ZZAnxheader"/>
      </w:pPr>
      <w:r>
        <w:lastRenderedPageBreak/>
        <w:t>Annexe</w:t>
      </w:r>
    </w:p>
    <w:p w14:paraId="3F905F05" w14:textId="2DD5A890" w:rsidR="002C54E3" w:rsidRDefault="00B43CA2" w:rsidP="002C54E3">
      <w:pPr>
        <w:pStyle w:val="ZZAnxtitle"/>
      </w:pPr>
      <w:r>
        <w:t>Travaux de l</w:t>
      </w:r>
      <w:r w:rsidR="00B22520">
        <w:t>’</w:t>
      </w:r>
      <w:r>
        <w:t>Organisation mond</w:t>
      </w:r>
      <w:r w:rsidR="004754B6">
        <w:t>iale de la Santé intéressant la </w:t>
      </w:r>
      <w:r>
        <w:t>Convention de Minamata sur le mercure</w:t>
      </w:r>
    </w:p>
    <w:p w14:paraId="209A1BFC" w14:textId="7823C8D0" w:rsidR="002C54E3" w:rsidRPr="0066214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t>La collaboration entre l</w:t>
      </w:r>
      <w:r w:rsidR="00B22520">
        <w:t>’</w:t>
      </w:r>
      <w:r>
        <w:t>Organisation mondiale de la Santé (OMS) et la Conférence des Parties à la Convention de Minamata sur le mercure et le secrétariat de la Convention découle du texte de la Convention, en particulier du paragraphe 2 de l</w:t>
      </w:r>
      <w:r w:rsidR="00B22520">
        <w:t>’</w:t>
      </w:r>
      <w:r>
        <w:t>article 16 ; de la résolution </w:t>
      </w:r>
      <w:r w:rsidR="00970CB7">
        <w:t>sur les questions afférentes à d</w:t>
      </w:r>
      <w:r w:rsidR="00B22520">
        <w:t>’</w:t>
      </w:r>
      <w:r w:rsidR="00970CB7">
        <w:t>autres</w:t>
      </w:r>
      <w:r w:rsidR="008C5C09">
        <w:t xml:space="preserve"> organes internationaux</w:t>
      </w:r>
      <w:r>
        <w:t xml:space="preserve"> de la Conférence de plénipotentiaires ; et de la résolution WHA67.11 de l</w:t>
      </w:r>
      <w:r w:rsidR="00B22520">
        <w:t>’</w:t>
      </w:r>
      <w:r>
        <w:t>Assemblée mondiale de la Santé intitulée « Conséquences pour la santé publique de l</w:t>
      </w:r>
      <w:r w:rsidR="00B22520">
        <w:t>’</w:t>
      </w:r>
      <w:r>
        <w:t>exposition au mercure et aux composés du mercure : le rôle de l</w:t>
      </w:r>
      <w:r w:rsidR="00B22520">
        <w:t>’</w:t>
      </w:r>
      <w:r>
        <w:t>OMS et des ministères de la santé publique dans la mise en œuvre de la Convention de Minamata ».</w:t>
      </w:r>
    </w:p>
    <w:p w14:paraId="53304BDE" w14:textId="341F7766" w:rsidR="00B43CA2" w:rsidRPr="002C54E3" w:rsidRDefault="0066214E"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Au cours de la période allant de juin 2017 à juillet 2018, les activités de l</w:t>
      </w:r>
      <w:r w:rsidR="00B22520">
        <w:rPr>
          <w:rFonts w:asciiTheme="majorBidi" w:hAnsiTheme="majorBidi"/>
          <w:color w:val="000000" w:themeColor="text1"/>
        </w:rPr>
        <w:t>’</w:t>
      </w:r>
      <w:r>
        <w:rPr>
          <w:rFonts w:asciiTheme="majorBidi" w:hAnsiTheme="majorBidi"/>
          <w:color w:val="000000" w:themeColor="text1"/>
        </w:rPr>
        <w:t>OMS intéressant la</w:t>
      </w:r>
      <w:r w:rsidR="00B852E2">
        <w:rPr>
          <w:rFonts w:asciiTheme="majorBidi" w:hAnsiTheme="majorBidi"/>
          <w:color w:val="000000" w:themeColor="text1"/>
        </w:rPr>
        <w:t> </w:t>
      </w:r>
      <w:r>
        <w:rPr>
          <w:rFonts w:asciiTheme="majorBidi" w:hAnsiTheme="majorBidi"/>
          <w:color w:val="000000" w:themeColor="text1"/>
        </w:rPr>
        <w:t xml:space="preserve">Convention de Minamata ont porté sur les éléments suivants. </w:t>
      </w:r>
    </w:p>
    <w:p w14:paraId="7EDB5BC3" w14:textId="28CA823D" w:rsidR="00B43CA2" w:rsidRPr="000D283C" w:rsidRDefault="00902971" w:rsidP="00902971">
      <w:pPr>
        <w:pStyle w:val="CH3"/>
      </w:pPr>
      <w:r>
        <w:tab/>
      </w:r>
      <w:r>
        <w:tab/>
        <w:t>Orientations de l</w:t>
      </w:r>
      <w:r w:rsidR="00B22520">
        <w:t>’</w:t>
      </w:r>
      <w:r>
        <w:t xml:space="preserve">OMS sur la hiérarchisation et la planification de la mise en </w:t>
      </w:r>
      <w:r w:rsidR="00B04130">
        <w:t>œ</w:t>
      </w:r>
      <w:r w:rsidR="004754B6">
        <w:t>uvre des </w:t>
      </w:r>
      <w:r>
        <w:t>articles relatifs à la santé de la Convention de Minamata</w:t>
      </w:r>
    </w:p>
    <w:p w14:paraId="405C390F" w14:textId="4362A8CB" w:rsidR="00B43CA2" w:rsidRPr="000D283C" w:rsidRDefault="00EA45C6"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 xml:space="preserve">En raison des multiples rôles que doivent assumer les ministères de la santé dans la mise en </w:t>
      </w:r>
      <w:r w:rsidR="00B04130">
        <w:rPr>
          <w:rFonts w:asciiTheme="majorBidi" w:hAnsiTheme="majorBidi"/>
          <w:color w:val="000000" w:themeColor="text1"/>
        </w:rPr>
        <w:t>œ</w:t>
      </w:r>
      <w:r>
        <w:rPr>
          <w:rFonts w:asciiTheme="majorBidi" w:hAnsiTheme="majorBidi"/>
          <w:color w:val="000000" w:themeColor="text1"/>
        </w:rPr>
        <w:t>uvre de la Convention de Minamata, l</w:t>
      </w:r>
      <w:r w:rsidR="00B22520">
        <w:rPr>
          <w:rFonts w:asciiTheme="majorBidi" w:hAnsiTheme="majorBidi"/>
          <w:color w:val="000000" w:themeColor="text1"/>
        </w:rPr>
        <w:t>’</w:t>
      </w:r>
      <w:r>
        <w:rPr>
          <w:rFonts w:asciiTheme="majorBidi" w:hAnsiTheme="majorBidi"/>
          <w:color w:val="000000" w:themeColor="text1"/>
        </w:rPr>
        <w:t xml:space="preserve">OMS élabore des orientations sur la hiérarchisation et la planification globales de la mise en </w:t>
      </w:r>
      <w:r w:rsidR="00B04130">
        <w:rPr>
          <w:rFonts w:asciiTheme="majorBidi" w:hAnsiTheme="majorBidi"/>
          <w:color w:val="000000" w:themeColor="text1"/>
        </w:rPr>
        <w:t>œ</w:t>
      </w:r>
      <w:r>
        <w:rPr>
          <w:rFonts w:asciiTheme="majorBidi" w:hAnsiTheme="majorBidi"/>
          <w:color w:val="000000" w:themeColor="text1"/>
        </w:rPr>
        <w:t>uvre des articles relatifs à la santé de la Convention. Ce court document-cadre mentionnera les orientations techniques déjà élaborées par l</w:t>
      </w:r>
      <w:r w:rsidR="00B22520">
        <w:rPr>
          <w:rFonts w:asciiTheme="majorBidi" w:hAnsiTheme="majorBidi"/>
          <w:color w:val="000000" w:themeColor="text1"/>
        </w:rPr>
        <w:t>’</w:t>
      </w:r>
      <w:r>
        <w:rPr>
          <w:rFonts w:asciiTheme="majorBidi" w:hAnsiTheme="majorBidi"/>
          <w:color w:val="000000" w:themeColor="text1"/>
        </w:rPr>
        <w:t>OMS et fournira des orientations supplémentaires sur l</w:t>
      </w:r>
      <w:r w:rsidR="00B22520">
        <w:rPr>
          <w:rFonts w:asciiTheme="majorBidi" w:hAnsiTheme="majorBidi"/>
          <w:color w:val="000000" w:themeColor="text1"/>
        </w:rPr>
        <w:t>’</w:t>
      </w:r>
      <w:r>
        <w:rPr>
          <w:rFonts w:asciiTheme="majorBidi" w:hAnsiTheme="majorBidi"/>
          <w:color w:val="000000" w:themeColor="text1"/>
        </w:rPr>
        <w:t>intégration des mesures concernant le mercure dans les différents programmes de santé qui vont dans le sens de l</w:t>
      </w:r>
      <w:r w:rsidR="00B22520">
        <w:rPr>
          <w:rFonts w:asciiTheme="majorBidi" w:hAnsiTheme="majorBidi"/>
          <w:color w:val="000000" w:themeColor="text1"/>
        </w:rPr>
        <w:t>’</w:t>
      </w:r>
      <w:r>
        <w:rPr>
          <w:rFonts w:asciiTheme="majorBidi" w:hAnsiTheme="majorBidi"/>
          <w:color w:val="000000" w:themeColor="text1"/>
        </w:rPr>
        <w:t xml:space="preserve">article 16 relatif aux aspects sanitaires. </w:t>
      </w:r>
    </w:p>
    <w:p w14:paraId="2D05B99C" w14:textId="7D71BB55" w:rsidR="00B43CA2" w:rsidRPr="000D283C" w:rsidRDefault="00902971" w:rsidP="00902971">
      <w:pPr>
        <w:pStyle w:val="CH3"/>
      </w:pPr>
      <w:r>
        <w:tab/>
      </w:r>
      <w:r>
        <w:tab/>
        <w:t>Ateliers régionaux organisés par l</w:t>
      </w:r>
      <w:r w:rsidR="00B22520">
        <w:t>’</w:t>
      </w:r>
      <w:r>
        <w:t>Organisation mondiale de la Santé</w:t>
      </w:r>
    </w:p>
    <w:p w14:paraId="4FAE623F" w14:textId="1F3E37A8" w:rsidR="00B43CA2" w:rsidRPr="00902971"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OMS a achevé une série d</w:t>
      </w:r>
      <w:r w:rsidR="00B22520">
        <w:rPr>
          <w:rFonts w:asciiTheme="majorBidi" w:hAnsiTheme="majorBidi"/>
          <w:color w:val="000000" w:themeColor="text1"/>
        </w:rPr>
        <w:t>’</w:t>
      </w:r>
      <w:r>
        <w:rPr>
          <w:rFonts w:asciiTheme="majorBidi" w:hAnsiTheme="majorBidi"/>
          <w:color w:val="000000" w:themeColor="text1"/>
        </w:rPr>
        <w:t xml:space="preserve">ateliers régionaux de sensibilisation et de promotion de la mise en réseaux des ministères de la santé pour appuyer la mise en </w:t>
      </w:r>
      <w:r w:rsidR="00B04130">
        <w:rPr>
          <w:rFonts w:asciiTheme="majorBidi" w:hAnsiTheme="majorBidi"/>
          <w:color w:val="000000" w:themeColor="text1"/>
        </w:rPr>
        <w:t>œ</w:t>
      </w:r>
      <w:r>
        <w:rPr>
          <w:rFonts w:asciiTheme="majorBidi" w:hAnsiTheme="majorBidi"/>
          <w:color w:val="000000" w:themeColor="text1"/>
        </w:rPr>
        <w:t xml:space="preserve">uvre de la Convention de Minamata et de la résolution WHA67.11. </w:t>
      </w:r>
    </w:p>
    <w:p w14:paraId="6FFBFD26" w14:textId="2BD502FD"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Dans le prolongement des précédents ateliers pour les régions OMS des Amériques, de l</w:t>
      </w:r>
      <w:r w:rsidR="00B22520">
        <w:rPr>
          <w:rFonts w:asciiTheme="majorBidi" w:hAnsiTheme="majorBidi"/>
          <w:color w:val="000000" w:themeColor="text1"/>
        </w:rPr>
        <w:t>’</w:t>
      </w:r>
      <w:r>
        <w:rPr>
          <w:rFonts w:asciiTheme="majorBidi" w:hAnsiTheme="majorBidi"/>
          <w:color w:val="000000" w:themeColor="text1"/>
        </w:rPr>
        <w:t>Europe et de la Méditerranée orientale, des ateliers pour la région OMS du Pacifique occid</w:t>
      </w:r>
      <w:r w:rsidR="00BF1603">
        <w:rPr>
          <w:rFonts w:asciiTheme="majorBidi" w:hAnsiTheme="majorBidi"/>
          <w:color w:val="000000" w:themeColor="text1"/>
        </w:rPr>
        <w:t>ental se sont tenus à Minamata (Japon),</w:t>
      </w:r>
      <w:r>
        <w:rPr>
          <w:rFonts w:asciiTheme="majorBidi" w:hAnsiTheme="majorBidi"/>
          <w:color w:val="000000" w:themeColor="text1"/>
        </w:rPr>
        <w:t xml:space="preserve"> les 29 et 30 juin 2017, organisés conjointement par l</w:t>
      </w:r>
      <w:r w:rsidR="00B22520">
        <w:rPr>
          <w:rFonts w:asciiTheme="majorBidi" w:hAnsiTheme="majorBidi"/>
          <w:color w:val="000000" w:themeColor="text1"/>
        </w:rPr>
        <w:t>’</w:t>
      </w:r>
      <w:r>
        <w:rPr>
          <w:rFonts w:asciiTheme="majorBidi" w:hAnsiTheme="majorBidi"/>
          <w:color w:val="000000" w:themeColor="text1"/>
        </w:rPr>
        <w:t xml:space="preserve">OMS, le Ministère </w:t>
      </w:r>
      <w:r w:rsidR="00470C46">
        <w:rPr>
          <w:rFonts w:asciiTheme="majorBidi" w:hAnsiTheme="majorBidi"/>
          <w:color w:val="000000" w:themeColor="text1"/>
        </w:rPr>
        <w:t xml:space="preserve">japonais </w:t>
      </w:r>
      <w:r>
        <w:rPr>
          <w:rFonts w:asciiTheme="majorBidi" w:hAnsiTheme="majorBidi"/>
          <w:color w:val="000000" w:themeColor="text1"/>
        </w:rPr>
        <w:t>de l</w:t>
      </w:r>
      <w:r w:rsidR="00B22520">
        <w:rPr>
          <w:rFonts w:asciiTheme="majorBidi" w:hAnsiTheme="majorBidi"/>
          <w:color w:val="000000" w:themeColor="text1"/>
        </w:rPr>
        <w:t>’</w:t>
      </w:r>
      <w:r>
        <w:rPr>
          <w:rFonts w:asciiTheme="majorBidi" w:hAnsiTheme="majorBidi"/>
          <w:color w:val="000000" w:themeColor="text1"/>
        </w:rPr>
        <w:t>environnement et la ville de Minamata ; pour la région OMS d</w:t>
      </w:r>
      <w:r w:rsidR="00B22520">
        <w:rPr>
          <w:rFonts w:asciiTheme="majorBidi" w:hAnsiTheme="majorBidi"/>
          <w:color w:val="000000" w:themeColor="text1"/>
        </w:rPr>
        <w:t>’</w:t>
      </w:r>
      <w:r>
        <w:rPr>
          <w:rFonts w:asciiTheme="majorBidi" w:hAnsiTheme="majorBidi"/>
          <w:color w:val="000000" w:themeColor="text1"/>
        </w:rPr>
        <w:t xml:space="preserve">Asie du </w:t>
      </w:r>
      <w:r w:rsidR="00BF1603">
        <w:rPr>
          <w:rFonts w:asciiTheme="majorBidi" w:hAnsiTheme="majorBidi"/>
          <w:color w:val="000000" w:themeColor="text1"/>
        </w:rPr>
        <w:br/>
      </w:r>
      <w:r>
        <w:rPr>
          <w:rFonts w:asciiTheme="majorBidi" w:hAnsiTheme="majorBidi"/>
          <w:color w:val="000000" w:themeColor="text1"/>
        </w:rPr>
        <w:t>Sud-Est, à Bangkok, les 3 et 4 juillet 2017 ; et pour la région OMS de l</w:t>
      </w:r>
      <w:r w:rsidR="00B22520">
        <w:rPr>
          <w:rFonts w:asciiTheme="majorBidi" w:hAnsiTheme="majorBidi"/>
          <w:color w:val="000000" w:themeColor="text1"/>
        </w:rPr>
        <w:t>’</w:t>
      </w:r>
      <w:r>
        <w:rPr>
          <w:rFonts w:asciiTheme="majorBidi" w:hAnsiTheme="majorBidi"/>
          <w:color w:val="000000" w:themeColor="text1"/>
        </w:rPr>
        <w:t xml:space="preserve">Afrique, à Johannesburg </w:t>
      </w:r>
      <w:r w:rsidR="00470C46">
        <w:rPr>
          <w:rFonts w:asciiTheme="majorBidi" w:hAnsiTheme="majorBidi"/>
          <w:color w:val="000000" w:themeColor="text1"/>
        </w:rPr>
        <w:t>(</w:t>
      </w:r>
      <w:r>
        <w:rPr>
          <w:rFonts w:asciiTheme="majorBidi" w:hAnsiTheme="majorBidi"/>
          <w:color w:val="000000" w:themeColor="text1"/>
        </w:rPr>
        <w:t>Afrique du Sud</w:t>
      </w:r>
      <w:r w:rsidR="00470C46">
        <w:rPr>
          <w:rFonts w:asciiTheme="majorBidi" w:hAnsiTheme="majorBidi"/>
          <w:color w:val="000000" w:themeColor="text1"/>
        </w:rPr>
        <w:t>)</w:t>
      </w:r>
      <w:r>
        <w:rPr>
          <w:rFonts w:asciiTheme="majorBidi" w:hAnsiTheme="majorBidi"/>
          <w:color w:val="000000" w:themeColor="text1"/>
        </w:rPr>
        <w:t>, les 9 et 10 avril 2018.</w:t>
      </w:r>
      <w:r>
        <w:rPr>
          <w:rFonts w:asciiTheme="majorBidi" w:hAnsiTheme="majorBidi"/>
          <w:iCs/>
          <w:color w:val="000000" w:themeColor="text1"/>
        </w:rPr>
        <w:t xml:space="preserve"> </w:t>
      </w:r>
      <w:r>
        <w:rPr>
          <w:rFonts w:asciiTheme="majorBidi" w:hAnsiTheme="majorBidi"/>
          <w:color w:val="000000" w:themeColor="text1"/>
        </w:rPr>
        <w:t>Une brochure résumant les résultats des ateliers de l</w:t>
      </w:r>
      <w:r w:rsidR="00B22520">
        <w:rPr>
          <w:rFonts w:asciiTheme="majorBidi" w:hAnsiTheme="majorBidi"/>
          <w:color w:val="000000" w:themeColor="text1"/>
        </w:rPr>
        <w:t>’</w:t>
      </w:r>
      <w:r>
        <w:rPr>
          <w:rFonts w:asciiTheme="majorBidi" w:hAnsiTheme="majorBidi"/>
          <w:color w:val="000000" w:themeColor="text1"/>
        </w:rPr>
        <w:t>OMS est en cours d</w:t>
      </w:r>
      <w:r w:rsidR="00B22520">
        <w:rPr>
          <w:rFonts w:asciiTheme="majorBidi" w:hAnsiTheme="majorBidi"/>
          <w:color w:val="000000" w:themeColor="text1"/>
        </w:rPr>
        <w:t>’</w:t>
      </w:r>
      <w:r>
        <w:rPr>
          <w:rFonts w:asciiTheme="majorBidi" w:hAnsiTheme="majorBidi"/>
          <w:color w:val="000000" w:themeColor="text1"/>
        </w:rPr>
        <w:t>élaboration, pour diffusion en novembre 2018.</w:t>
      </w:r>
    </w:p>
    <w:p w14:paraId="312B9B15" w14:textId="77777777" w:rsidR="00B43CA2" w:rsidRPr="000D283C" w:rsidRDefault="00902971" w:rsidP="00902971">
      <w:pPr>
        <w:pStyle w:val="CH3"/>
      </w:pPr>
      <w:r>
        <w:tab/>
      </w:r>
      <w:r>
        <w:tab/>
        <w:t>Évaluations initiales au titre de la Convention de Minamata</w:t>
      </w:r>
    </w:p>
    <w:p w14:paraId="70E94D44" w14:textId="5BD83667"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En 2017, l</w:t>
      </w:r>
      <w:r w:rsidR="00B22520">
        <w:rPr>
          <w:rFonts w:asciiTheme="majorBidi" w:hAnsiTheme="majorBidi"/>
          <w:color w:val="000000" w:themeColor="text1"/>
        </w:rPr>
        <w:t>’</w:t>
      </w:r>
      <w:r>
        <w:rPr>
          <w:rFonts w:asciiTheme="majorBidi" w:hAnsiTheme="majorBidi"/>
          <w:color w:val="000000" w:themeColor="text1"/>
        </w:rPr>
        <w:t>OMS, en tant que co-agent d</w:t>
      </w:r>
      <w:r w:rsidR="00B22520">
        <w:rPr>
          <w:rFonts w:asciiTheme="majorBidi" w:hAnsiTheme="majorBidi"/>
          <w:color w:val="000000" w:themeColor="text1"/>
        </w:rPr>
        <w:t>’</w:t>
      </w:r>
      <w:r>
        <w:rPr>
          <w:rFonts w:asciiTheme="majorBidi" w:hAnsiTheme="majorBidi"/>
          <w:color w:val="000000" w:themeColor="text1"/>
        </w:rPr>
        <w:t>exécution chargé du projet d</w:t>
      </w:r>
      <w:r w:rsidR="00B22520">
        <w:rPr>
          <w:rFonts w:asciiTheme="majorBidi" w:hAnsiTheme="majorBidi"/>
          <w:color w:val="000000" w:themeColor="text1"/>
        </w:rPr>
        <w:t>’</w:t>
      </w:r>
      <w:r>
        <w:rPr>
          <w:rFonts w:asciiTheme="majorBidi" w:hAnsiTheme="majorBidi"/>
          <w:color w:val="000000" w:themeColor="text1"/>
        </w:rPr>
        <w:t>évaluation initiale prévue par la Convention de Minamata financé par le Fonds pour l</w:t>
      </w:r>
      <w:r w:rsidR="00B22520">
        <w:rPr>
          <w:rFonts w:asciiTheme="majorBidi" w:hAnsiTheme="majorBidi"/>
          <w:color w:val="000000" w:themeColor="text1"/>
        </w:rPr>
        <w:t>’</w:t>
      </w:r>
      <w:r>
        <w:rPr>
          <w:rFonts w:asciiTheme="majorBidi" w:hAnsiTheme="majorBidi"/>
          <w:color w:val="000000" w:themeColor="text1"/>
        </w:rPr>
        <w:t xml:space="preserve">environnement mondial (FEM), a aidé sept pays francophones (Bénin, Burkina Faso, Guinée, Mali, Niger, Sénégal et Togo) à mettre en œuvre avec succès les activités préparant à la ratification de la Convention de Minamata. Le projet a </w:t>
      </w:r>
      <w:r w:rsidR="00B7634F">
        <w:rPr>
          <w:rFonts w:asciiTheme="majorBidi" w:hAnsiTheme="majorBidi"/>
          <w:color w:val="000000" w:themeColor="text1"/>
        </w:rPr>
        <w:t>permis d</w:t>
      </w:r>
      <w:r w:rsidR="00B22520">
        <w:rPr>
          <w:rFonts w:asciiTheme="majorBidi" w:hAnsiTheme="majorBidi"/>
          <w:color w:val="000000" w:themeColor="text1"/>
        </w:rPr>
        <w:t>’</w:t>
      </w:r>
      <w:r w:rsidR="00B7634F">
        <w:rPr>
          <w:rFonts w:asciiTheme="majorBidi" w:hAnsiTheme="majorBidi"/>
          <w:color w:val="000000" w:themeColor="text1"/>
        </w:rPr>
        <w:t>appuyer</w:t>
      </w:r>
      <w:r>
        <w:rPr>
          <w:rFonts w:asciiTheme="majorBidi" w:hAnsiTheme="majorBidi"/>
          <w:color w:val="000000" w:themeColor="text1"/>
        </w:rPr>
        <w:t xml:space="preserve"> la réalisation d</w:t>
      </w:r>
      <w:r w:rsidR="00B22520">
        <w:rPr>
          <w:rFonts w:asciiTheme="majorBidi" w:hAnsiTheme="majorBidi"/>
          <w:color w:val="000000" w:themeColor="text1"/>
        </w:rPr>
        <w:t>’</w:t>
      </w:r>
      <w:r>
        <w:rPr>
          <w:rFonts w:asciiTheme="majorBidi" w:hAnsiTheme="majorBidi"/>
          <w:color w:val="000000" w:themeColor="text1"/>
        </w:rPr>
        <w:t>évaluations initiales sur l</w:t>
      </w:r>
      <w:r w:rsidR="00B22520">
        <w:rPr>
          <w:rFonts w:asciiTheme="majorBidi" w:hAnsiTheme="majorBidi"/>
          <w:color w:val="000000" w:themeColor="text1"/>
        </w:rPr>
        <w:t>’</w:t>
      </w:r>
      <w:r>
        <w:rPr>
          <w:rFonts w:asciiTheme="majorBidi" w:hAnsiTheme="majorBidi"/>
          <w:color w:val="000000" w:themeColor="text1"/>
        </w:rPr>
        <w:t xml:space="preserve">utilisation et la gestion du mercure dans le système de santé et </w:t>
      </w:r>
      <w:r w:rsidR="00B7634F">
        <w:rPr>
          <w:rFonts w:asciiTheme="majorBidi" w:hAnsiTheme="majorBidi"/>
          <w:color w:val="000000" w:themeColor="text1"/>
        </w:rPr>
        <w:t xml:space="preserve">de </w:t>
      </w:r>
      <w:r>
        <w:rPr>
          <w:rFonts w:asciiTheme="majorBidi" w:hAnsiTheme="majorBidi"/>
          <w:color w:val="000000" w:themeColor="text1"/>
        </w:rPr>
        <w:t>publi</w:t>
      </w:r>
      <w:r w:rsidR="00B7634F">
        <w:rPr>
          <w:rFonts w:asciiTheme="majorBidi" w:hAnsiTheme="majorBidi"/>
          <w:color w:val="000000" w:themeColor="text1"/>
        </w:rPr>
        <w:t>er</w:t>
      </w:r>
      <w:r>
        <w:rPr>
          <w:rFonts w:asciiTheme="majorBidi" w:hAnsiTheme="majorBidi"/>
          <w:color w:val="000000" w:themeColor="text1"/>
        </w:rPr>
        <w:t xml:space="preserve"> des supports de communication sur les effets du mercure sur la santé. Grâce à l</w:t>
      </w:r>
      <w:r w:rsidR="00B22520">
        <w:rPr>
          <w:rFonts w:asciiTheme="majorBidi" w:hAnsiTheme="majorBidi"/>
          <w:color w:val="000000" w:themeColor="text1"/>
        </w:rPr>
        <w:t>’</w:t>
      </w:r>
      <w:r>
        <w:rPr>
          <w:rFonts w:asciiTheme="majorBidi" w:hAnsiTheme="majorBidi"/>
          <w:color w:val="000000" w:themeColor="text1"/>
        </w:rPr>
        <w:t>appui fourni, les pays ont été en mesure de prendre de meilleures décisions en matière de politiques et de stratégies fondées sur des données factuelles, et de définir les domaines d</w:t>
      </w:r>
      <w:r w:rsidR="00B22520">
        <w:rPr>
          <w:rFonts w:asciiTheme="majorBidi" w:hAnsiTheme="majorBidi"/>
          <w:color w:val="000000" w:themeColor="text1"/>
        </w:rPr>
        <w:t>’</w:t>
      </w:r>
      <w:r>
        <w:rPr>
          <w:rFonts w:asciiTheme="majorBidi" w:hAnsiTheme="majorBidi"/>
          <w:color w:val="000000" w:themeColor="text1"/>
        </w:rPr>
        <w:t>intervention prioritaires. Afin de faciliter l</w:t>
      </w:r>
      <w:r w:rsidR="00B22520">
        <w:rPr>
          <w:rFonts w:asciiTheme="majorBidi" w:hAnsiTheme="majorBidi"/>
          <w:color w:val="000000" w:themeColor="text1"/>
        </w:rPr>
        <w:t>’</w:t>
      </w:r>
      <w:r>
        <w:rPr>
          <w:rFonts w:asciiTheme="majorBidi" w:hAnsiTheme="majorBidi"/>
          <w:color w:val="000000" w:themeColor="text1"/>
        </w:rPr>
        <w:t>échange de données d</w:t>
      </w:r>
      <w:r w:rsidR="00B22520">
        <w:rPr>
          <w:rFonts w:asciiTheme="majorBidi" w:hAnsiTheme="majorBidi"/>
          <w:color w:val="000000" w:themeColor="text1"/>
        </w:rPr>
        <w:t>’</w:t>
      </w:r>
      <w:r>
        <w:rPr>
          <w:rFonts w:asciiTheme="majorBidi" w:hAnsiTheme="majorBidi"/>
          <w:color w:val="000000" w:themeColor="text1"/>
        </w:rPr>
        <w:t>expérience et de pratiques optimales entre les pays en vue de réduire l</w:t>
      </w:r>
      <w:r w:rsidR="00B22520">
        <w:rPr>
          <w:rFonts w:asciiTheme="majorBidi" w:hAnsiTheme="majorBidi"/>
          <w:color w:val="000000" w:themeColor="text1"/>
        </w:rPr>
        <w:t>’</w:t>
      </w:r>
      <w:r>
        <w:rPr>
          <w:rFonts w:asciiTheme="majorBidi" w:hAnsiTheme="majorBidi"/>
          <w:color w:val="000000" w:themeColor="text1"/>
        </w:rPr>
        <w:t>utilisation du mercure, l</w:t>
      </w:r>
      <w:r w:rsidR="00B22520">
        <w:rPr>
          <w:rFonts w:asciiTheme="majorBidi" w:hAnsiTheme="majorBidi"/>
          <w:color w:val="000000" w:themeColor="text1"/>
        </w:rPr>
        <w:t>’</w:t>
      </w:r>
      <w:r>
        <w:rPr>
          <w:rFonts w:asciiTheme="majorBidi" w:hAnsiTheme="majorBidi"/>
          <w:color w:val="000000" w:themeColor="text1"/>
        </w:rPr>
        <w:t xml:space="preserve">OMS a mis au point des supports de communication qui renforcent le rôle du secteur de la santé dans la mise en </w:t>
      </w:r>
      <w:r w:rsidR="00B04130">
        <w:rPr>
          <w:rFonts w:asciiTheme="majorBidi" w:hAnsiTheme="majorBidi"/>
          <w:color w:val="000000" w:themeColor="text1"/>
        </w:rPr>
        <w:t>œ</w:t>
      </w:r>
      <w:r>
        <w:rPr>
          <w:rFonts w:asciiTheme="majorBidi" w:hAnsiTheme="majorBidi"/>
          <w:color w:val="000000" w:themeColor="text1"/>
        </w:rPr>
        <w:t>uvre de la Convention de Minamata.</w:t>
      </w:r>
    </w:p>
    <w:p w14:paraId="41462556" w14:textId="2CF92A7B" w:rsidR="00B43CA2" w:rsidRPr="000D283C" w:rsidRDefault="00902971" w:rsidP="00902971">
      <w:pPr>
        <w:pStyle w:val="CH3"/>
      </w:pPr>
      <w:r>
        <w:tab/>
      </w:r>
      <w:r>
        <w:tab/>
        <w:t>Extraction minière artisanale et à petite échelle d</w:t>
      </w:r>
      <w:r w:rsidR="00B22520">
        <w:t>’</w:t>
      </w:r>
      <w:r>
        <w:t>or</w:t>
      </w:r>
    </w:p>
    <w:p w14:paraId="3B1322FE" w14:textId="23AF6712"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OMS a travaillé à l</w:t>
      </w:r>
      <w:r w:rsidR="00B22520">
        <w:rPr>
          <w:rFonts w:asciiTheme="majorBidi" w:hAnsiTheme="majorBidi"/>
          <w:color w:val="000000" w:themeColor="text1"/>
        </w:rPr>
        <w:t>’</w:t>
      </w:r>
      <w:r>
        <w:rPr>
          <w:rFonts w:asciiTheme="majorBidi" w:hAnsiTheme="majorBidi"/>
          <w:color w:val="000000" w:themeColor="text1"/>
        </w:rPr>
        <w:t>élaboration d</w:t>
      </w:r>
      <w:r w:rsidR="00B22520">
        <w:rPr>
          <w:rFonts w:asciiTheme="majorBidi" w:hAnsiTheme="majorBidi"/>
          <w:color w:val="000000" w:themeColor="text1"/>
        </w:rPr>
        <w:t>’</w:t>
      </w:r>
      <w:r>
        <w:rPr>
          <w:rFonts w:asciiTheme="majorBidi" w:hAnsiTheme="majorBidi"/>
          <w:color w:val="000000" w:themeColor="text1"/>
        </w:rPr>
        <w:t>un document d</w:t>
      </w:r>
      <w:r w:rsidR="00B22520">
        <w:rPr>
          <w:rFonts w:asciiTheme="majorBidi" w:hAnsiTheme="majorBidi"/>
          <w:color w:val="000000" w:themeColor="text1"/>
        </w:rPr>
        <w:t>’</w:t>
      </w:r>
      <w:r>
        <w:rPr>
          <w:rFonts w:asciiTheme="majorBidi" w:hAnsiTheme="majorBidi"/>
          <w:color w:val="000000" w:themeColor="text1"/>
        </w:rPr>
        <w:t>orientation à l</w:t>
      </w:r>
      <w:r w:rsidR="00B22520">
        <w:rPr>
          <w:rFonts w:asciiTheme="majorBidi" w:hAnsiTheme="majorBidi"/>
          <w:color w:val="000000" w:themeColor="text1"/>
        </w:rPr>
        <w:t>’</w:t>
      </w:r>
      <w:r>
        <w:rPr>
          <w:rFonts w:asciiTheme="majorBidi" w:hAnsiTheme="majorBidi"/>
          <w:color w:val="000000" w:themeColor="text1"/>
        </w:rPr>
        <w:t>intention des ministères de la santé sur la prise en compte des répercussions sur la santé de l</w:t>
      </w:r>
      <w:r w:rsidR="00B22520">
        <w:rPr>
          <w:rFonts w:asciiTheme="majorBidi" w:hAnsiTheme="majorBidi"/>
          <w:color w:val="000000" w:themeColor="text1"/>
        </w:rPr>
        <w:t>’</w:t>
      </w:r>
      <w:r>
        <w:rPr>
          <w:rFonts w:asciiTheme="majorBidi" w:hAnsiTheme="majorBidi"/>
          <w:color w:val="000000" w:themeColor="text1"/>
        </w:rPr>
        <w:t>extraction d</w:t>
      </w:r>
      <w:r w:rsidR="00B22520">
        <w:rPr>
          <w:rFonts w:asciiTheme="majorBidi" w:hAnsiTheme="majorBidi"/>
          <w:color w:val="000000" w:themeColor="text1"/>
        </w:rPr>
        <w:t>’</w:t>
      </w:r>
      <w:r>
        <w:rPr>
          <w:rFonts w:asciiTheme="majorBidi" w:hAnsiTheme="majorBidi"/>
          <w:color w:val="000000" w:themeColor="text1"/>
        </w:rPr>
        <w:t>or artisanale et à petite échelle. L</w:t>
      </w:r>
      <w:r w:rsidR="00B22520">
        <w:rPr>
          <w:rFonts w:asciiTheme="majorBidi" w:hAnsiTheme="majorBidi"/>
          <w:color w:val="000000" w:themeColor="text1"/>
        </w:rPr>
        <w:t>’</w:t>
      </w:r>
      <w:r>
        <w:rPr>
          <w:rFonts w:asciiTheme="majorBidi" w:hAnsiTheme="majorBidi"/>
          <w:color w:val="000000" w:themeColor="text1"/>
        </w:rPr>
        <w:t>initiative a été lancée en réponse à la résolution</w:t>
      </w:r>
      <w:r w:rsidR="00B04130">
        <w:rPr>
          <w:rFonts w:asciiTheme="majorBidi" w:hAnsiTheme="majorBidi"/>
          <w:color w:val="000000" w:themeColor="text1"/>
        </w:rPr>
        <w:t> </w:t>
      </w:r>
      <w:r>
        <w:rPr>
          <w:rFonts w:asciiTheme="majorBidi" w:hAnsiTheme="majorBidi"/>
          <w:color w:val="000000" w:themeColor="text1"/>
        </w:rPr>
        <w:t>WHA67.11 et s</w:t>
      </w:r>
      <w:r w:rsidR="00B22520">
        <w:rPr>
          <w:rFonts w:asciiTheme="majorBidi" w:hAnsiTheme="majorBidi"/>
          <w:color w:val="000000" w:themeColor="text1"/>
        </w:rPr>
        <w:t>’</w:t>
      </w:r>
      <w:r>
        <w:rPr>
          <w:rFonts w:asciiTheme="majorBidi" w:hAnsiTheme="majorBidi"/>
          <w:color w:val="000000" w:themeColor="text1"/>
        </w:rPr>
        <w:t xml:space="preserve">appuie sur un processus consultatif des États membres. </w:t>
      </w:r>
    </w:p>
    <w:p w14:paraId="68324070" w14:textId="0FC5145F"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En outre, l</w:t>
      </w:r>
      <w:r w:rsidR="00B22520">
        <w:rPr>
          <w:rFonts w:asciiTheme="majorBidi" w:hAnsiTheme="majorBidi"/>
          <w:color w:val="000000" w:themeColor="text1"/>
        </w:rPr>
        <w:t>’</w:t>
      </w:r>
      <w:r>
        <w:rPr>
          <w:rFonts w:asciiTheme="majorBidi" w:hAnsiTheme="majorBidi"/>
          <w:color w:val="000000" w:themeColor="text1"/>
        </w:rPr>
        <w:t>OMS teste l</w:t>
      </w:r>
      <w:r w:rsidR="00B22520">
        <w:rPr>
          <w:rFonts w:asciiTheme="majorBidi" w:hAnsiTheme="majorBidi"/>
          <w:color w:val="000000" w:themeColor="text1"/>
        </w:rPr>
        <w:t>’</w:t>
      </w:r>
      <w:r>
        <w:rPr>
          <w:rFonts w:asciiTheme="majorBidi" w:hAnsiTheme="majorBidi"/>
          <w:color w:val="000000" w:themeColor="text1"/>
        </w:rPr>
        <w:t>utilisation des orientations dans trois pays africains qui sont en train d</w:t>
      </w:r>
      <w:r w:rsidR="00B22520">
        <w:rPr>
          <w:rFonts w:asciiTheme="majorBidi" w:hAnsiTheme="majorBidi"/>
          <w:color w:val="000000" w:themeColor="text1"/>
        </w:rPr>
        <w:t>’</w:t>
      </w:r>
      <w:r>
        <w:rPr>
          <w:rFonts w:asciiTheme="majorBidi" w:hAnsiTheme="majorBidi"/>
          <w:color w:val="000000" w:themeColor="text1"/>
        </w:rPr>
        <w:t>élaborer des plans d</w:t>
      </w:r>
      <w:r w:rsidR="00B22520">
        <w:rPr>
          <w:rFonts w:asciiTheme="majorBidi" w:hAnsiTheme="majorBidi"/>
          <w:color w:val="000000" w:themeColor="text1"/>
        </w:rPr>
        <w:t>’</w:t>
      </w:r>
      <w:r>
        <w:rPr>
          <w:rFonts w:asciiTheme="majorBidi" w:hAnsiTheme="majorBidi"/>
          <w:color w:val="000000" w:themeColor="text1"/>
        </w:rPr>
        <w:t>action nationaux élargis sur l</w:t>
      </w:r>
      <w:r w:rsidR="00B22520">
        <w:rPr>
          <w:rFonts w:asciiTheme="majorBidi" w:hAnsiTheme="majorBidi"/>
          <w:color w:val="000000" w:themeColor="text1"/>
        </w:rPr>
        <w:t>’</w:t>
      </w:r>
      <w:r>
        <w:rPr>
          <w:rFonts w:asciiTheme="majorBidi" w:hAnsiTheme="majorBidi"/>
          <w:color w:val="000000" w:themeColor="text1"/>
        </w:rPr>
        <w:t>extraction d</w:t>
      </w:r>
      <w:r w:rsidR="00B22520">
        <w:rPr>
          <w:rFonts w:asciiTheme="majorBidi" w:hAnsiTheme="majorBidi"/>
          <w:color w:val="000000" w:themeColor="text1"/>
        </w:rPr>
        <w:t>’</w:t>
      </w:r>
      <w:r>
        <w:rPr>
          <w:rFonts w:asciiTheme="majorBidi" w:hAnsiTheme="majorBidi"/>
          <w:color w:val="000000" w:themeColor="text1"/>
        </w:rPr>
        <w:t>or artisanale et à petite échelle, conformément à la Convention. Le projet pilote a été mené au Ghana, au Mozambique et au Nigéria, et comprend une évaluation rapide de la situation sanitaire et une évaluation des capacités et des systèmes institutionnels. Les activités au Mozambique seront achevées d</w:t>
      </w:r>
      <w:r w:rsidR="00B22520">
        <w:rPr>
          <w:rFonts w:asciiTheme="majorBidi" w:hAnsiTheme="majorBidi"/>
          <w:color w:val="000000" w:themeColor="text1"/>
        </w:rPr>
        <w:t>’</w:t>
      </w:r>
      <w:r w:rsidR="00B04130">
        <w:rPr>
          <w:rFonts w:asciiTheme="majorBidi" w:hAnsiTheme="majorBidi"/>
          <w:color w:val="000000" w:themeColor="text1"/>
        </w:rPr>
        <w:t>ici à décembre </w:t>
      </w:r>
      <w:r>
        <w:rPr>
          <w:rFonts w:asciiTheme="majorBidi" w:hAnsiTheme="majorBidi"/>
          <w:color w:val="000000" w:themeColor="text1"/>
        </w:rPr>
        <w:t>2018, et d</w:t>
      </w:r>
      <w:r w:rsidR="00B22520">
        <w:rPr>
          <w:rFonts w:asciiTheme="majorBidi" w:hAnsiTheme="majorBidi"/>
          <w:color w:val="000000" w:themeColor="text1"/>
        </w:rPr>
        <w:t>’</w:t>
      </w:r>
      <w:r>
        <w:rPr>
          <w:rFonts w:asciiTheme="majorBidi" w:hAnsiTheme="majorBidi"/>
          <w:color w:val="000000" w:themeColor="text1"/>
        </w:rPr>
        <w:t>ici à mai 2019 pour le Ghana et le Nigéria.</w:t>
      </w:r>
    </w:p>
    <w:p w14:paraId="6ADF048B" w14:textId="683AC1E4"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lastRenderedPageBreak/>
        <w:t>D</w:t>
      </w:r>
      <w:r w:rsidR="00B22520">
        <w:rPr>
          <w:rFonts w:asciiTheme="majorBidi" w:hAnsiTheme="majorBidi"/>
          <w:color w:val="000000" w:themeColor="text1"/>
        </w:rPr>
        <w:t>’</w:t>
      </w:r>
      <w:r>
        <w:rPr>
          <w:rFonts w:asciiTheme="majorBidi" w:hAnsiTheme="majorBidi"/>
          <w:color w:val="000000" w:themeColor="text1"/>
        </w:rPr>
        <w:t>autres documents sur l</w:t>
      </w:r>
      <w:r w:rsidR="00B22520">
        <w:rPr>
          <w:rFonts w:asciiTheme="majorBidi" w:hAnsiTheme="majorBidi"/>
          <w:color w:val="000000" w:themeColor="text1"/>
        </w:rPr>
        <w:t>’</w:t>
      </w:r>
      <w:r>
        <w:rPr>
          <w:rFonts w:asciiTheme="majorBidi" w:hAnsiTheme="majorBidi"/>
          <w:color w:val="000000" w:themeColor="text1"/>
        </w:rPr>
        <w:t>extraction d</w:t>
      </w:r>
      <w:r w:rsidR="00B22520">
        <w:rPr>
          <w:rFonts w:asciiTheme="majorBidi" w:hAnsiTheme="majorBidi"/>
          <w:color w:val="000000" w:themeColor="text1"/>
        </w:rPr>
        <w:t>’</w:t>
      </w:r>
      <w:r>
        <w:rPr>
          <w:rFonts w:asciiTheme="majorBidi" w:hAnsiTheme="majorBidi"/>
          <w:color w:val="000000" w:themeColor="text1"/>
        </w:rPr>
        <w:t>or artisanale et à petite échelle et la santé en cours d</w:t>
      </w:r>
      <w:r w:rsidR="00B22520">
        <w:rPr>
          <w:rFonts w:asciiTheme="majorBidi" w:hAnsiTheme="majorBidi"/>
          <w:color w:val="000000" w:themeColor="text1"/>
        </w:rPr>
        <w:t>’</w:t>
      </w:r>
      <w:r>
        <w:rPr>
          <w:rFonts w:asciiTheme="majorBidi" w:hAnsiTheme="majorBidi"/>
          <w:color w:val="000000" w:themeColor="text1"/>
        </w:rPr>
        <w:t>élaboration comprennent des orientations sur la manière de procéder à une évaluation rapide de la situation sanitaire des mineurs concernés et des membres de leur famille, sur la base du projet pilote entrepris dans les trois pays africains.</w:t>
      </w:r>
    </w:p>
    <w:p w14:paraId="08BE2C01" w14:textId="77777777" w:rsidR="00B43CA2" w:rsidRPr="000D283C" w:rsidRDefault="00902971" w:rsidP="00902971">
      <w:pPr>
        <w:pStyle w:val="CH3"/>
      </w:pPr>
      <w:r>
        <w:tab/>
      </w:r>
      <w:r>
        <w:tab/>
        <w:t>Amalgames dentaires</w:t>
      </w:r>
    </w:p>
    <w:p w14:paraId="02AADE3C" w14:textId="542C6EE2"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élimination progressive de l</w:t>
      </w:r>
      <w:r w:rsidR="00B22520">
        <w:rPr>
          <w:rFonts w:asciiTheme="majorBidi" w:hAnsiTheme="majorBidi"/>
          <w:color w:val="000000" w:themeColor="text1"/>
        </w:rPr>
        <w:t>’</w:t>
      </w:r>
      <w:r>
        <w:rPr>
          <w:rFonts w:asciiTheme="majorBidi" w:hAnsiTheme="majorBidi"/>
          <w:color w:val="000000" w:themeColor="text1"/>
        </w:rPr>
        <w:t xml:space="preserve">utilisation des amalgames dentaires dans le cadre de la Convention de Minamata peut </w:t>
      </w:r>
      <w:r w:rsidR="004F6D27">
        <w:rPr>
          <w:rFonts w:asciiTheme="majorBidi" w:hAnsiTheme="majorBidi"/>
          <w:color w:val="000000" w:themeColor="text1"/>
        </w:rPr>
        <w:t xml:space="preserve">favoriser </w:t>
      </w:r>
      <w:r>
        <w:rPr>
          <w:rFonts w:asciiTheme="majorBidi" w:hAnsiTheme="majorBidi"/>
          <w:color w:val="000000" w:themeColor="text1"/>
        </w:rPr>
        <w:t>un changement profond des soins dentaires. L</w:t>
      </w:r>
      <w:r w:rsidR="00B22520">
        <w:rPr>
          <w:rFonts w:asciiTheme="majorBidi" w:hAnsiTheme="majorBidi"/>
          <w:color w:val="000000" w:themeColor="text1"/>
        </w:rPr>
        <w:t>’</w:t>
      </w:r>
      <w:r>
        <w:rPr>
          <w:rFonts w:asciiTheme="majorBidi" w:hAnsiTheme="majorBidi"/>
          <w:color w:val="000000" w:themeColor="text1"/>
        </w:rPr>
        <w:t>OMS a élaboré et diffusé aux États membres, aux partenaires internationaux de santé bucco-dentaire et autres parties prenantes une série d</w:t>
      </w:r>
      <w:r w:rsidR="00B22520">
        <w:rPr>
          <w:rFonts w:asciiTheme="majorBidi" w:hAnsiTheme="majorBidi"/>
          <w:color w:val="000000" w:themeColor="text1"/>
        </w:rPr>
        <w:t>’</w:t>
      </w:r>
      <w:r>
        <w:rPr>
          <w:rFonts w:asciiTheme="majorBidi" w:hAnsiTheme="majorBidi"/>
          <w:color w:val="000000" w:themeColor="text1"/>
        </w:rPr>
        <w:t>interventions stratégiques alignées sur les neuf mesures énoncées à l</w:t>
      </w:r>
      <w:r w:rsidR="00B22520">
        <w:rPr>
          <w:rFonts w:asciiTheme="majorBidi" w:hAnsiTheme="majorBidi"/>
          <w:color w:val="000000" w:themeColor="text1"/>
        </w:rPr>
        <w:t>’</w:t>
      </w:r>
      <w:r>
        <w:rPr>
          <w:rFonts w:asciiTheme="majorBidi" w:hAnsiTheme="majorBidi"/>
          <w:color w:val="000000" w:themeColor="text1"/>
        </w:rPr>
        <w:t>annexe A de la Convention. Ces interventions sont centrées sur une démarche multiforme qui allie la gestion des déchets, la gestion des connaissances et le renforcement des systèmes de santé dans le cadre d</w:t>
      </w:r>
      <w:r w:rsidR="00B22520">
        <w:rPr>
          <w:rFonts w:asciiTheme="majorBidi" w:hAnsiTheme="majorBidi"/>
          <w:color w:val="000000" w:themeColor="text1"/>
        </w:rPr>
        <w:t>’</w:t>
      </w:r>
      <w:r>
        <w:rPr>
          <w:rFonts w:asciiTheme="majorBidi" w:hAnsiTheme="majorBidi"/>
          <w:color w:val="000000" w:themeColor="text1"/>
        </w:rPr>
        <w:t>une couverture sanitaire universelle</w:t>
      </w:r>
      <w:r w:rsidR="0086307B">
        <w:rPr>
          <w:rStyle w:val="FootnoteReference"/>
          <w:rFonts w:cstheme="majorBidi"/>
          <w:lang w:val="en-US" w:eastAsia="fr-CH"/>
        </w:rPr>
        <w:footnoteReference w:id="3"/>
      </w:r>
      <w:r>
        <w:t>.</w:t>
      </w:r>
      <w:r>
        <w:rPr>
          <w:rFonts w:asciiTheme="majorBidi" w:hAnsiTheme="majorBidi"/>
          <w:color w:val="000000" w:themeColor="text1"/>
        </w:rPr>
        <w:t xml:space="preserve"> </w:t>
      </w:r>
    </w:p>
    <w:p w14:paraId="701C5C4A" w14:textId="77777777" w:rsidR="00B43CA2" w:rsidRPr="000D283C" w:rsidRDefault="00902971" w:rsidP="00902971">
      <w:pPr>
        <w:pStyle w:val="CH3"/>
      </w:pPr>
      <w:r>
        <w:tab/>
      </w:r>
      <w:r>
        <w:tab/>
        <w:t>Thermomètres et sphygmomanomètres contenant du mercure</w:t>
      </w:r>
    </w:p>
    <w:p w14:paraId="0B0D8171" w14:textId="76D6237F"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 xml:space="preserve">OMS est partenaire du projet du FEM intitulé « Réduction des émissions non intentionnelles de polluants organiques persistants (UPOP) et de mercure dans </w:t>
      </w:r>
      <w:r w:rsidR="004F6D27">
        <w:rPr>
          <w:rFonts w:asciiTheme="majorBidi" w:hAnsiTheme="majorBidi"/>
          <w:color w:val="000000" w:themeColor="text1"/>
        </w:rPr>
        <w:t xml:space="preserve">le </w:t>
      </w:r>
      <w:r>
        <w:rPr>
          <w:rFonts w:asciiTheme="majorBidi" w:hAnsiTheme="majorBidi"/>
          <w:color w:val="000000" w:themeColor="text1"/>
        </w:rPr>
        <w:t xml:space="preserve">secteur de la santé en Afrique », mis en </w:t>
      </w:r>
      <w:r w:rsidR="00B04130">
        <w:rPr>
          <w:rFonts w:asciiTheme="majorBidi" w:hAnsiTheme="majorBidi"/>
          <w:color w:val="000000" w:themeColor="text1"/>
        </w:rPr>
        <w:t>œ</w:t>
      </w:r>
      <w:r>
        <w:rPr>
          <w:rFonts w:asciiTheme="majorBidi" w:hAnsiTheme="majorBidi"/>
          <w:color w:val="000000" w:themeColor="text1"/>
        </w:rPr>
        <w:t>uvre par le Programme des Nations Unies pour le développement (2016–2019). Le projet prévoit la remise de thermomètres et de sphygmomanomètres sans mercure à des établissements de santé pilotes dans quatre pays d</w:t>
      </w:r>
      <w:r w:rsidR="00B22520">
        <w:rPr>
          <w:rFonts w:asciiTheme="majorBidi" w:hAnsiTheme="majorBidi"/>
          <w:color w:val="000000" w:themeColor="text1"/>
        </w:rPr>
        <w:t>’</w:t>
      </w:r>
      <w:r>
        <w:rPr>
          <w:rFonts w:asciiTheme="majorBidi" w:hAnsiTheme="majorBidi"/>
          <w:color w:val="000000" w:themeColor="text1"/>
        </w:rPr>
        <w:t xml:space="preserve">Afrique subsaharienne (Ghana, Madagascar, République-Unie de Tanzanie et Zambie). </w:t>
      </w:r>
    </w:p>
    <w:p w14:paraId="202B8E84" w14:textId="77777777" w:rsidR="00B43CA2" w:rsidRPr="000D283C" w:rsidRDefault="00902971" w:rsidP="00902971">
      <w:pPr>
        <w:pStyle w:val="CH3"/>
        <w:rPr>
          <w:rFonts w:asciiTheme="majorBidi" w:hAnsiTheme="majorBidi" w:cstheme="majorBidi"/>
          <w:i/>
          <w:iCs/>
          <w:color w:val="000000" w:themeColor="text1"/>
        </w:rPr>
      </w:pPr>
      <w:r>
        <w:tab/>
      </w:r>
      <w:r>
        <w:tab/>
        <w:t>Mercure et méthylmercure présents dans les poissons</w:t>
      </w:r>
    </w:p>
    <w:p w14:paraId="420715DA" w14:textId="35E30C99"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Le Comité du Codex sur les contaminants dans les aliments poursuit ses travaux sur l</w:t>
      </w:r>
      <w:r w:rsidR="00B22520">
        <w:rPr>
          <w:rFonts w:asciiTheme="majorBidi" w:hAnsiTheme="majorBidi"/>
          <w:color w:val="000000" w:themeColor="text1"/>
        </w:rPr>
        <w:t>’</w:t>
      </w:r>
      <w:r>
        <w:rPr>
          <w:rFonts w:asciiTheme="majorBidi" w:hAnsiTheme="majorBidi"/>
          <w:color w:val="000000" w:themeColor="text1"/>
        </w:rPr>
        <w:t>établissement de teneurs maximales de mercure dans le poisson</w:t>
      </w:r>
      <w:r w:rsidR="00E27C08">
        <w:rPr>
          <w:rStyle w:val="FootnoteReference"/>
          <w:rFonts w:cstheme="majorBidi"/>
          <w:lang w:val="en-US" w:eastAsia="fr-CH"/>
        </w:rPr>
        <w:footnoteReference w:id="4"/>
      </w:r>
      <w:r>
        <w:t>.</w:t>
      </w:r>
      <w:r>
        <w:rPr>
          <w:rFonts w:asciiTheme="majorBidi" w:hAnsiTheme="majorBidi"/>
          <w:color w:val="000000" w:themeColor="text1"/>
        </w:rPr>
        <w:t xml:space="preserve"> </w:t>
      </w:r>
    </w:p>
    <w:p w14:paraId="24DE1301" w14:textId="77777777" w:rsidR="00B43CA2" w:rsidRPr="000D283C" w:rsidRDefault="00902971" w:rsidP="00902971">
      <w:pPr>
        <w:pStyle w:val="CH3"/>
      </w:pPr>
      <w:r>
        <w:tab/>
      </w:r>
      <w:r>
        <w:tab/>
        <w:t xml:space="preserve">Surveillance biologique </w:t>
      </w:r>
    </w:p>
    <w:p w14:paraId="768BD9CA" w14:textId="7B47370D"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i/>
          <w:iCs/>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OMS, par l</w:t>
      </w:r>
      <w:r w:rsidR="00B22520">
        <w:rPr>
          <w:rFonts w:asciiTheme="majorBidi" w:hAnsiTheme="majorBidi"/>
          <w:color w:val="000000" w:themeColor="text1"/>
        </w:rPr>
        <w:t>’</w:t>
      </w:r>
      <w:r>
        <w:rPr>
          <w:rFonts w:asciiTheme="majorBidi" w:hAnsiTheme="majorBidi"/>
          <w:color w:val="000000" w:themeColor="text1"/>
        </w:rPr>
        <w:t>intermédiaire de son Bureau régional pour l</w:t>
      </w:r>
      <w:r w:rsidR="00B22520">
        <w:rPr>
          <w:rFonts w:asciiTheme="majorBidi" w:hAnsiTheme="majorBidi"/>
          <w:color w:val="000000" w:themeColor="text1"/>
        </w:rPr>
        <w:t>’</w:t>
      </w:r>
      <w:r>
        <w:rPr>
          <w:rFonts w:asciiTheme="majorBidi" w:hAnsiTheme="majorBidi"/>
          <w:color w:val="000000" w:themeColor="text1"/>
        </w:rPr>
        <w:t>Europe, a collaboré avec le Programme des Nations Unies pour l</w:t>
      </w:r>
      <w:r w:rsidR="00B22520">
        <w:rPr>
          <w:rFonts w:asciiTheme="majorBidi" w:hAnsiTheme="majorBidi"/>
          <w:color w:val="000000" w:themeColor="text1"/>
        </w:rPr>
        <w:t>’</w:t>
      </w:r>
      <w:r>
        <w:rPr>
          <w:rFonts w:asciiTheme="majorBidi" w:hAnsiTheme="majorBidi"/>
          <w:color w:val="000000" w:themeColor="text1"/>
        </w:rPr>
        <w:t xml:space="preserve">environnement à la mise en </w:t>
      </w:r>
      <w:r w:rsidR="00B04130">
        <w:rPr>
          <w:rFonts w:asciiTheme="majorBidi" w:hAnsiTheme="majorBidi"/>
          <w:color w:val="000000" w:themeColor="text1"/>
        </w:rPr>
        <w:t>œ</w:t>
      </w:r>
      <w:r>
        <w:rPr>
          <w:rFonts w:asciiTheme="majorBidi" w:hAnsiTheme="majorBidi"/>
          <w:color w:val="000000" w:themeColor="text1"/>
        </w:rPr>
        <w:t>uvre du projet du FEM intitulé « Élaboration d</w:t>
      </w:r>
      <w:r w:rsidR="00B22520">
        <w:rPr>
          <w:rFonts w:asciiTheme="majorBidi" w:hAnsiTheme="majorBidi"/>
          <w:color w:val="000000" w:themeColor="text1"/>
        </w:rPr>
        <w:t>’</w:t>
      </w:r>
      <w:r>
        <w:rPr>
          <w:rFonts w:asciiTheme="majorBidi" w:hAnsiTheme="majorBidi"/>
          <w:color w:val="000000" w:themeColor="text1"/>
        </w:rPr>
        <w:t>un plan pour la surveillance mondiale de l</w:t>
      </w:r>
      <w:r w:rsidR="00B22520">
        <w:rPr>
          <w:rFonts w:asciiTheme="majorBidi" w:hAnsiTheme="majorBidi"/>
          <w:color w:val="000000" w:themeColor="text1"/>
        </w:rPr>
        <w:t>’</w:t>
      </w:r>
      <w:r>
        <w:rPr>
          <w:rFonts w:asciiTheme="majorBidi" w:hAnsiTheme="majorBidi"/>
          <w:color w:val="000000" w:themeColor="text1"/>
        </w:rPr>
        <w:t>exposition humaine au mercure et des concentrations de mercure dans l</w:t>
      </w:r>
      <w:r w:rsidR="00B22520">
        <w:rPr>
          <w:rFonts w:asciiTheme="majorBidi" w:hAnsiTheme="majorBidi"/>
          <w:color w:val="000000" w:themeColor="text1"/>
        </w:rPr>
        <w:t>’</w:t>
      </w:r>
      <w:r>
        <w:rPr>
          <w:rFonts w:asciiTheme="majorBidi" w:hAnsiTheme="majorBidi"/>
          <w:color w:val="000000" w:themeColor="text1"/>
        </w:rPr>
        <w:t>environnement ». Une approche harmonisée d</w:t>
      </w:r>
      <w:r w:rsidR="00B22520">
        <w:rPr>
          <w:rFonts w:asciiTheme="majorBidi" w:hAnsiTheme="majorBidi"/>
          <w:color w:val="000000" w:themeColor="text1"/>
        </w:rPr>
        <w:t>’</w:t>
      </w:r>
      <w:r>
        <w:rPr>
          <w:rFonts w:asciiTheme="majorBidi" w:hAnsiTheme="majorBidi"/>
          <w:color w:val="000000" w:themeColor="text1"/>
        </w:rPr>
        <w:t>évaluation de l</w:t>
      </w:r>
      <w:r w:rsidR="00B22520">
        <w:rPr>
          <w:rFonts w:asciiTheme="majorBidi" w:hAnsiTheme="majorBidi"/>
          <w:color w:val="000000" w:themeColor="text1"/>
        </w:rPr>
        <w:t>’</w:t>
      </w:r>
      <w:r>
        <w:rPr>
          <w:rFonts w:asciiTheme="majorBidi" w:hAnsiTheme="majorBidi"/>
          <w:color w:val="000000" w:themeColor="text1"/>
        </w:rPr>
        <w:t>exposition prénatale au mercure a été mise au point, comprenant un protocole d</w:t>
      </w:r>
      <w:r w:rsidR="00B22520">
        <w:rPr>
          <w:rFonts w:asciiTheme="majorBidi" w:hAnsiTheme="majorBidi"/>
          <w:color w:val="000000" w:themeColor="text1"/>
        </w:rPr>
        <w:t>’</w:t>
      </w:r>
      <w:r>
        <w:rPr>
          <w:rFonts w:asciiTheme="majorBidi" w:hAnsiTheme="majorBidi"/>
          <w:color w:val="000000" w:themeColor="text1"/>
        </w:rPr>
        <w:t>enquête de l</w:t>
      </w:r>
      <w:r w:rsidR="00B22520">
        <w:rPr>
          <w:rFonts w:asciiTheme="majorBidi" w:hAnsiTheme="majorBidi"/>
          <w:color w:val="000000" w:themeColor="text1"/>
        </w:rPr>
        <w:t>’</w:t>
      </w:r>
      <w:r>
        <w:rPr>
          <w:rFonts w:asciiTheme="majorBidi" w:hAnsiTheme="majorBidi"/>
          <w:color w:val="000000" w:themeColor="text1"/>
        </w:rPr>
        <w:t>OMS et une série de modes opératoires normalisés pour l</w:t>
      </w:r>
      <w:r w:rsidR="00B22520">
        <w:rPr>
          <w:rFonts w:asciiTheme="majorBidi" w:hAnsiTheme="majorBidi"/>
          <w:color w:val="000000" w:themeColor="text1"/>
        </w:rPr>
        <w:t>’</w:t>
      </w:r>
      <w:r>
        <w:rPr>
          <w:rFonts w:asciiTheme="majorBidi" w:hAnsiTheme="majorBidi"/>
          <w:color w:val="000000" w:themeColor="text1"/>
        </w:rPr>
        <w:t>échantillonnage et l</w:t>
      </w:r>
      <w:r w:rsidR="00B22520">
        <w:rPr>
          <w:rFonts w:asciiTheme="majorBidi" w:hAnsiTheme="majorBidi"/>
          <w:color w:val="000000" w:themeColor="text1"/>
        </w:rPr>
        <w:t>’</w:t>
      </w:r>
      <w:r>
        <w:rPr>
          <w:rFonts w:asciiTheme="majorBidi" w:hAnsiTheme="majorBidi"/>
          <w:color w:val="000000" w:themeColor="text1"/>
        </w:rPr>
        <w:t>analyse. Les données sur l</w:t>
      </w:r>
      <w:r w:rsidR="00B22520">
        <w:rPr>
          <w:rFonts w:asciiTheme="majorBidi" w:hAnsiTheme="majorBidi"/>
          <w:color w:val="000000" w:themeColor="text1"/>
        </w:rPr>
        <w:t>’</w:t>
      </w:r>
      <w:r>
        <w:rPr>
          <w:rFonts w:asciiTheme="majorBidi" w:hAnsiTheme="majorBidi"/>
          <w:color w:val="000000" w:themeColor="text1"/>
        </w:rPr>
        <w:t xml:space="preserve">exposition au mercure provenant de sept pays ont été recueillies et seront publiées dans un journal scientifique. </w:t>
      </w:r>
    </w:p>
    <w:p w14:paraId="6E2EFEB6" w14:textId="77777777" w:rsidR="00B43CA2" w:rsidRPr="000D283C" w:rsidRDefault="00902971" w:rsidP="00902971">
      <w:pPr>
        <w:pStyle w:val="CH3"/>
      </w:pPr>
      <w:r>
        <w:tab/>
      </w:r>
      <w:r>
        <w:tab/>
        <w:t>Travaux intersessions de la Conférence des Parties</w:t>
      </w:r>
    </w:p>
    <w:p w14:paraId="1BEE6E5A" w14:textId="67AF7B42"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OMS a contribué aux travaux d</w:t>
      </w:r>
      <w:r w:rsidR="00B22520">
        <w:rPr>
          <w:rFonts w:asciiTheme="majorBidi" w:hAnsiTheme="majorBidi"/>
          <w:color w:val="000000" w:themeColor="text1"/>
        </w:rPr>
        <w:t>’</w:t>
      </w:r>
      <w:r>
        <w:rPr>
          <w:rFonts w:asciiTheme="majorBidi" w:hAnsiTheme="majorBidi"/>
          <w:color w:val="000000" w:themeColor="text1"/>
        </w:rPr>
        <w:t>un groupe spécial d</w:t>
      </w:r>
      <w:r w:rsidR="00B22520">
        <w:rPr>
          <w:rFonts w:asciiTheme="majorBidi" w:hAnsiTheme="majorBidi"/>
          <w:color w:val="000000" w:themeColor="text1"/>
        </w:rPr>
        <w:t>’</w:t>
      </w:r>
      <w:r>
        <w:rPr>
          <w:rFonts w:asciiTheme="majorBidi" w:hAnsiTheme="majorBidi"/>
          <w:color w:val="000000" w:themeColor="text1"/>
        </w:rPr>
        <w:t>experts sur les arrangements visant à fournir à la Conférence des Parties des données de surveillance comparables et les éléments du cadre d</w:t>
      </w:r>
      <w:r w:rsidR="00B22520">
        <w:rPr>
          <w:rFonts w:asciiTheme="majorBidi" w:hAnsiTheme="majorBidi"/>
          <w:color w:val="000000" w:themeColor="text1"/>
        </w:rPr>
        <w:t>’</w:t>
      </w:r>
      <w:r>
        <w:rPr>
          <w:rFonts w:asciiTheme="majorBidi" w:hAnsiTheme="majorBidi"/>
          <w:color w:val="000000" w:themeColor="text1"/>
        </w:rPr>
        <w:t>évaluation de l</w:t>
      </w:r>
      <w:r w:rsidR="00B22520">
        <w:rPr>
          <w:rFonts w:asciiTheme="majorBidi" w:hAnsiTheme="majorBidi"/>
          <w:color w:val="000000" w:themeColor="text1"/>
        </w:rPr>
        <w:t>’</w:t>
      </w:r>
      <w:r>
        <w:rPr>
          <w:rFonts w:asciiTheme="majorBidi" w:hAnsiTheme="majorBidi"/>
          <w:color w:val="000000" w:themeColor="text1"/>
        </w:rPr>
        <w:t>efficacité au titre de l</w:t>
      </w:r>
      <w:r w:rsidR="00B22520">
        <w:rPr>
          <w:rFonts w:asciiTheme="majorBidi" w:hAnsiTheme="majorBidi"/>
          <w:color w:val="000000" w:themeColor="text1"/>
        </w:rPr>
        <w:t>’</w:t>
      </w:r>
      <w:r>
        <w:rPr>
          <w:rFonts w:asciiTheme="majorBidi" w:hAnsiTheme="majorBidi"/>
          <w:color w:val="000000" w:themeColor="text1"/>
        </w:rPr>
        <w:t>article 22</w:t>
      </w:r>
      <w:r w:rsidR="008C5C09">
        <w:rPr>
          <w:rFonts w:asciiTheme="majorBidi" w:hAnsiTheme="majorBidi"/>
          <w:color w:val="000000" w:themeColor="text1"/>
        </w:rPr>
        <w:t xml:space="preserve"> de la Convention</w:t>
      </w:r>
      <w:r>
        <w:rPr>
          <w:rFonts w:asciiTheme="majorBidi" w:hAnsiTheme="majorBidi"/>
          <w:color w:val="000000" w:themeColor="text1"/>
        </w:rPr>
        <w:t>. L</w:t>
      </w:r>
      <w:r w:rsidR="00B22520">
        <w:rPr>
          <w:rFonts w:asciiTheme="majorBidi" w:hAnsiTheme="majorBidi"/>
          <w:color w:val="000000" w:themeColor="text1"/>
        </w:rPr>
        <w:t>’</w:t>
      </w:r>
      <w:r>
        <w:rPr>
          <w:rFonts w:asciiTheme="majorBidi" w:hAnsiTheme="majorBidi"/>
          <w:color w:val="000000" w:themeColor="text1"/>
        </w:rPr>
        <w:t>OMS a participé à la réunion du groupe, qui s</w:t>
      </w:r>
      <w:r w:rsidR="00B22520">
        <w:rPr>
          <w:rFonts w:asciiTheme="majorBidi" w:hAnsiTheme="majorBidi"/>
          <w:color w:val="000000" w:themeColor="text1"/>
        </w:rPr>
        <w:t>’</w:t>
      </w:r>
      <w:r>
        <w:rPr>
          <w:rFonts w:asciiTheme="majorBidi" w:hAnsiTheme="majorBidi"/>
          <w:color w:val="000000" w:themeColor="text1"/>
        </w:rPr>
        <w:t>est tenue à Ottawa du 5 au 9 mars 2018. L</w:t>
      </w:r>
      <w:r w:rsidR="00B22520">
        <w:rPr>
          <w:rFonts w:asciiTheme="majorBidi" w:hAnsiTheme="majorBidi"/>
          <w:color w:val="000000" w:themeColor="text1"/>
        </w:rPr>
        <w:t>’</w:t>
      </w:r>
      <w:r>
        <w:rPr>
          <w:rFonts w:asciiTheme="majorBidi" w:hAnsiTheme="majorBidi"/>
          <w:color w:val="000000" w:themeColor="text1"/>
        </w:rPr>
        <w:t>OMS a également formulé des observations sur le premier projet d</w:t>
      </w:r>
      <w:r w:rsidR="00B22520">
        <w:rPr>
          <w:rFonts w:asciiTheme="majorBidi" w:hAnsiTheme="majorBidi"/>
          <w:color w:val="000000" w:themeColor="text1"/>
        </w:rPr>
        <w:t>’</w:t>
      </w:r>
      <w:r>
        <w:rPr>
          <w:rFonts w:asciiTheme="majorBidi" w:hAnsiTheme="majorBidi"/>
          <w:color w:val="000000" w:themeColor="text1"/>
        </w:rPr>
        <w:t>orientations sur la gestion des sites contaminés.</w:t>
      </w:r>
    </w:p>
    <w:p w14:paraId="250C2B45" w14:textId="77777777" w:rsidR="00B43CA2" w:rsidRPr="000D283C" w:rsidRDefault="00902971" w:rsidP="00902971">
      <w:pPr>
        <w:pStyle w:val="CH3"/>
      </w:pPr>
      <w:r>
        <w:tab/>
      </w:r>
      <w:r>
        <w:tab/>
        <w:t>Évaluation mondiale du mercure</w:t>
      </w:r>
    </w:p>
    <w:p w14:paraId="5EE4AEDC" w14:textId="5274C516"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olor w:val="000000" w:themeColor="text1"/>
        </w:rPr>
        <w:t>L</w:t>
      </w:r>
      <w:r w:rsidR="00B22520">
        <w:rPr>
          <w:rFonts w:asciiTheme="majorBidi" w:hAnsiTheme="majorBidi"/>
          <w:color w:val="000000" w:themeColor="text1"/>
        </w:rPr>
        <w:t>’</w:t>
      </w:r>
      <w:r>
        <w:rPr>
          <w:rFonts w:asciiTheme="majorBidi" w:hAnsiTheme="majorBidi"/>
          <w:color w:val="000000" w:themeColor="text1"/>
        </w:rPr>
        <w:t>OMS a dirigé la rédaction d</w:t>
      </w:r>
      <w:r w:rsidR="00B22520">
        <w:rPr>
          <w:rFonts w:asciiTheme="majorBidi" w:hAnsiTheme="majorBidi"/>
          <w:color w:val="000000" w:themeColor="text1"/>
        </w:rPr>
        <w:t>’</w:t>
      </w:r>
      <w:r>
        <w:rPr>
          <w:rFonts w:asciiTheme="majorBidi" w:hAnsiTheme="majorBidi"/>
          <w:color w:val="000000" w:themeColor="text1"/>
        </w:rPr>
        <w:t>un chapitre sur la biosurveillance humaine du mercure pour le rapport 2018 de l</w:t>
      </w:r>
      <w:r w:rsidR="00B22520">
        <w:rPr>
          <w:rFonts w:asciiTheme="majorBidi" w:hAnsiTheme="majorBidi"/>
          <w:color w:val="000000" w:themeColor="text1"/>
        </w:rPr>
        <w:t>’</w:t>
      </w:r>
      <w:r>
        <w:rPr>
          <w:rFonts w:asciiTheme="majorBidi" w:hAnsiTheme="majorBidi"/>
          <w:color w:val="000000" w:themeColor="text1"/>
        </w:rPr>
        <w:t>Évaluation mondiale du mercure, qui présente des données mondiales sur l</w:t>
      </w:r>
      <w:r w:rsidR="00B22520">
        <w:rPr>
          <w:rFonts w:asciiTheme="majorBidi" w:hAnsiTheme="majorBidi"/>
          <w:color w:val="000000" w:themeColor="text1"/>
        </w:rPr>
        <w:t>’</w:t>
      </w:r>
      <w:r>
        <w:rPr>
          <w:rFonts w:asciiTheme="majorBidi" w:hAnsiTheme="majorBidi"/>
          <w:color w:val="000000" w:themeColor="text1"/>
        </w:rPr>
        <w:t>exposition au mercure, montre l</w:t>
      </w:r>
      <w:r w:rsidR="00B22520">
        <w:rPr>
          <w:rFonts w:asciiTheme="majorBidi" w:hAnsiTheme="majorBidi"/>
          <w:color w:val="000000" w:themeColor="text1"/>
        </w:rPr>
        <w:t>’</w:t>
      </w:r>
      <w:r>
        <w:rPr>
          <w:rFonts w:asciiTheme="majorBidi" w:hAnsiTheme="majorBidi"/>
          <w:color w:val="000000" w:themeColor="text1"/>
        </w:rPr>
        <w:t xml:space="preserve">évolution dans le temps et identifie les lacunes en matière de données. </w:t>
      </w:r>
    </w:p>
    <w:p w14:paraId="061521FD" w14:textId="77777777" w:rsidR="00B43CA2" w:rsidRPr="000D283C" w:rsidRDefault="00902971" w:rsidP="00902971">
      <w:pPr>
        <w:pStyle w:val="CH3"/>
      </w:pPr>
      <w:r>
        <w:tab/>
      </w:r>
      <w:r>
        <w:tab/>
        <w:t>Assemblée mondiale de la Santé</w:t>
      </w:r>
    </w:p>
    <w:p w14:paraId="73C5A83F" w14:textId="45B30383"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rPr>
      </w:pPr>
      <w:r>
        <w:rPr>
          <w:rFonts w:asciiTheme="majorBidi" w:hAnsiTheme="majorBidi"/>
        </w:rPr>
        <w:t>Comme cela avait été demandé lors de la soixante-dixième Assemblée mondiale de la Santé, le Secrétariat de l</w:t>
      </w:r>
      <w:r w:rsidR="00B22520">
        <w:rPr>
          <w:rFonts w:asciiTheme="majorBidi" w:hAnsiTheme="majorBidi"/>
        </w:rPr>
        <w:t>’</w:t>
      </w:r>
      <w:r>
        <w:rPr>
          <w:rFonts w:asciiTheme="majorBidi" w:hAnsiTheme="majorBidi"/>
        </w:rPr>
        <w:t xml:space="preserve">OMS présentera un rapport sur la mise en </w:t>
      </w:r>
      <w:r w:rsidR="00B04130">
        <w:rPr>
          <w:rFonts w:asciiTheme="majorBidi" w:hAnsiTheme="majorBidi"/>
        </w:rPr>
        <w:t>œ</w:t>
      </w:r>
      <w:r>
        <w:rPr>
          <w:rFonts w:asciiTheme="majorBidi" w:hAnsiTheme="majorBidi"/>
        </w:rPr>
        <w:t xml:space="preserve">uvre de la résolution WHA67.11 à la soixante-douzième Assemblée mondiale de la Santé et à la soixante-quatorzième Assemblée mondiale de la Santé.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02971" w14:paraId="6FF9F304" w14:textId="77777777" w:rsidTr="00902971">
        <w:tc>
          <w:tcPr>
            <w:tcW w:w="1897" w:type="dxa"/>
          </w:tcPr>
          <w:p w14:paraId="00D461B7" w14:textId="77777777" w:rsidR="00902971" w:rsidRPr="00C21384" w:rsidRDefault="00902971" w:rsidP="004754B6">
            <w:pPr>
              <w:pStyle w:val="Normal-pool"/>
            </w:pPr>
          </w:p>
        </w:tc>
        <w:tc>
          <w:tcPr>
            <w:tcW w:w="1897" w:type="dxa"/>
          </w:tcPr>
          <w:p w14:paraId="6EB56173" w14:textId="77777777" w:rsidR="00902971" w:rsidRPr="00C21384" w:rsidRDefault="00902971" w:rsidP="004754B6">
            <w:pPr>
              <w:pStyle w:val="Normal-pool"/>
            </w:pPr>
          </w:p>
        </w:tc>
        <w:tc>
          <w:tcPr>
            <w:tcW w:w="1897" w:type="dxa"/>
            <w:tcBorders>
              <w:bottom w:val="single" w:sz="4" w:space="0" w:color="auto"/>
            </w:tcBorders>
          </w:tcPr>
          <w:p w14:paraId="3F686CEB" w14:textId="77777777" w:rsidR="00902971" w:rsidRPr="00C21384" w:rsidRDefault="00902971" w:rsidP="00B852E2">
            <w:pPr>
              <w:pStyle w:val="Normal-pool"/>
              <w:spacing w:before="520"/>
            </w:pPr>
          </w:p>
        </w:tc>
        <w:tc>
          <w:tcPr>
            <w:tcW w:w="1897" w:type="dxa"/>
          </w:tcPr>
          <w:p w14:paraId="24274738" w14:textId="77777777" w:rsidR="00902971" w:rsidRPr="00C21384" w:rsidRDefault="00902971" w:rsidP="004754B6">
            <w:pPr>
              <w:pStyle w:val="Normal-pool"/>
            </w:pPr>
          </w:p>
        </w:tc>
        <w:tc>
          <w:tcPr>
            <w:tcW w:w="1898" w:type="dxa"/>
          </w:tcPr>
          <w:p w14:paraId="11E3ECA3" w14:textId="77777777" w:rsidR="00902971" w:rsidRPr="00C21384" w:rsidRDefault="00902971" w:rsidP="004754B6">
            <w:pPr>
              <w:pStyle w:val="Normal-pool"/>
            </w:pPr>
          </w:p>
        </w:tc>
      </w:tr>
    </w:tbl>
    <w:p w14:paraId="62ECDD6F" w14:textId="77777777" w:rsidR="00B43CA2" w:rsidRPr="00B852E2" w:rsidRDefault="00B43CA2" w:rsidP="00B04130">
      <w:pPr>
        <w:pStyle w:val="Normal-pool"/>
        <w:rPr>
          <w:sz w:val="4"/>
          <w:szCs w:val="4"/>
        </w:rPr>
      </w:pPr>
    </w:p>
    <w:sectPr w:rsidR="00B43CA2" w:rsidRPr="00B852E2"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8CB6" w14:textId="77777777" w:rsidR="00D866F2" w:rsidRDefault="00D866F2">
      <w:r>
        <w:separator/>
      </w:r>
    </w:p>
  </w:endnote>
  <w:endnote w:type="continuationSeparator" w:id="0">
    <w:p w14:paraId="3FA97559" w14:textId="77777777" w:rsidR="00D866F2" w:rsidRDefault="00D866F2">
      <w:r>
        <w:continuationSeparator/>
      </w:r>
    </w:p>
  </w:endnote>
  <w:endnote w:type="continuationNotice" w:id="1">
    <w:p w14:paraId="39753309" w14:textId="77777777" w:rsidR="00D866F2" w:rsidRDefault="00D8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C07B" w14:textId="4B5D33A3"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74595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C808" w14:textId="382DA2A3"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4595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B0DC" w14:textId="312D4657" w:rsidR="00B14A4A" w:rsidRPr="00B14A4A" w:rsidRDefault="003B1D65" w:rsidP="00A03C49">
    <w:pPr>
      <w:pStyle w:val="Normal-pool"/>
    </w:pPr>
    <w:r>
      <w:t>K1802169</w:t>
    </w:r>
    <w:r>
      <w:tab/>
      <w:t>0</w:t>
    </w:r>
    <w:r w:rsidR="00B22520">
      <w:t>8</w:t>
    </w:r>
    <w:r w:rsidR="005511A8">
      <w:t>10</w:t>
    </w:r>
    <w:r w:rsidR="00902971">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5162" w14:textId="77777777" w:rsidR="00D866F2" w:rsidRDefault="00D866F2" w:rsidP="00902971">
      <w:pPr>
        <w:spacing w:before="60"/>
        <w:ind w:left="624"/>
      </w:pPr>
      <w:r>
        <w:separator/>
      </w:r>
    </w:p>
  </w:footnote>
  <w:footnote w:type="continuationSeparator" w:id="0">
    <w:p w14:paraId="72073EBC" w14:textId="77777777" w:rsidR="00D866F2" w:rsidRDefault="00D866F2">
      <w:r>
        <w:continuationSeparator/>
      </w:r>
    </w:p>
  </w:footnote>
  <w:footnote w:type="continuationNotice" w:id="1">
    <w:p w14:paraId="39013F97" w14:textId="77777777" w:rsidR="00D866F2" w:rsidRDefault="00D866F2"/>
  </w:footnote>
  <w:footnote w:id="2">
    <w:p w14:paraId="2C422387" w14:textId="77777777" w:rsidR="00E54866" w:rsidRPr="001176CB" w:rsidRDefault="00E54866" w:rsidP="00E54866">
      <w:pPr>
        <w:tabs>
          <w:tab w:val="left" w:pos="624"/>
        </w:tabs>
        <w:spacing w:before="20" w:after="40"/>
        <w:ind w:left="1247"/>
        <w:rPr>
          <w:sz w:val="18"/>
          <w:szCs w:val="18"/>
        </w:rPr>
      </w:pPr>
      <w:r>
        <w:rPr>
          <w:sz w:val="18"/>
          <w:szCs w:val="18"/>
        </w:rPr>
        <w:t>* UNEP/MC/COP.2/1.</w:t>
      </w:r>
    </w:p>
  </w:footnote>
  <w:footnote w:id="3">
    <w:p w14:paraId="0059AA51" w14:textId="77777777" w:rsidR="0086307B" w:rsidRPr="00A03C49" w:rsidRDefault="0086307B">
      <w:pPr>
        <w:pStyle w:val="FootnoteText"/>
      </w:pPr>
      <w:r>
        <w:rPr>
          <w:rStyle w:val="FootnoteReference"/>
        </w:rPr>
        <w:footnoteRef/>
      </w:r>
      <w:r>
        <w:t xml:space="preserve"> http://www.who.int/bulletin/volumes/96/6/17-203141.pdf.</w:t>
      </w:r>
    </w:p>
  </w:footnote>
  <w:footnote w:id="4">
    <w:p w14:paraId="0AE7A8B7" w14:textId="084ABEDD" w:rsidR="00E27C08" w:rsidRPr="00A03C49" w:rsidRDefault="00E27C08">
      <w:pPr>
        <w:pStyle w:val="FootnoteText"/>
        <w:rPr>
          <w:szCs w:val="18"/>
        </w:rPr>
      </w:pPr>
      <w:r>
        <w:rPr>
          <w:rStyle w:val="FootnoteReference"/>
          <w:sz w:val="18"/>
        </w:rPr>
        <w:footnoteRef/>
      </w:r>
      <w:r>
        <w:t xml:space="preserve"> </w:t>
      </w:r>
      <w:r w:rsidRPr="00B852E2">
        <w:rPr>
          <w:rStyle w:val="Hyperlink"/>
          <w:rFonts w:asciiTheme="majorBidi" w:hAnsiTheme="majorBidi"/>
          <w:color w:val="000000" w:themeColor="text1"/>
          <w:sz w:val="18"/>
          <w:szCs w:val="18"/>
        </w:rPr>
        <w:t>http://www.fao.org/fao-who-codexalimentarius/meetings/fr/</w:t>
      </w:r>
      <w:r>
        <w:rPr>
          <w:rStyle w:val="Hyperlink"/>
          <w:rFonts w:asciiTheme="majorBidi" w:hAnsiTheme="majorBidi"/>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DE65" w14:textId="0A6E6ADC" w:rsidR="006111FE" w:rsidRPr="00CA5CA9" w:rsidRDefault="008B6C98" w:rsidP="00434321">
    <w:pPr>
      <w:pStyle w:val="Header"/>
      <w:rPr>
        <w:szCs w:val="18"/>
      </w:rPr>
    </w:pPr>
    <w:r>
      <w:t>UNEP/MC/COP.2/12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7ADD" w14:textId="490626A7" w:rsidR="006111FE" w:rsidRPr="00CA5CA9" w:rsidRDefault="008B6C98" w:rsidP="00F7137B">
    <w:pPr>
      <w:pStyle w:val="Header"/>
      <w:jc w:val="right"/>
      <w:rPr>
        <w:szCs w:val="18"/>
      </w:rPr>
    </w:pPr>
    <w:r>
      <w:t>UNEP/MC/COP.2/12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5BC8" w14:textId="2F311E91" w:rsidR="00A03C49" w:rsidRDefault="00A03C49" w:rsidP="00A03C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BD7CC7A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C6748BF"/>
    <w:multiLevelType w:val="hybridMultilevel"/>
    <w:tmpl w:val="EDFEF358"/>
    <w:lvl w:ilvl="0" w:tplc="33D0FA5C">
      <w:start w:val="1"/>
      <w:numFmt w:val="decimal"/>
      <w:lvlText w:val="%1."/>
      <w:lvlJc w:val="left"/>
      <w:pPr>
        <w:ind w:left="36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1"/>
  </w:num>
  <w:num w:numId="6">
    <w:abstractNumId w:val="1"/>
    <w:lvlOverride w:ilvl="0">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FR" w:vendorID="64" w:dllVersion="6" w:nlCheck="1" w:checkStyle="1"/>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3"/>
    <w:rsid w:val="00035EDE"/>
    <w:rsid w:val="000418A7"/>
    <w:rsid w:val="000509B4"/>
    <w:rsid w:val="0006035B"/>
    <w:rsid w:val="000604D6"/>
    <w:rsid w:val="0006096F"/>
    <w:rsid w:val="00064883"/>
    <w:rsid w:val="000649C5"/>
    <w:rsid w:val="00071886"/>
    <w:rsid w:val="000742BC"/>
    <w:rsid w:val="00076CC6"/>
    <w:rsid w:val="00082A0C"/>
    <w:rsid w:val="00083504"/>
    <w:rsid w:val="00086D4F"/>
    <w:rsid w:val="0009640C"/>
    <w:rsid w:val="000B22A2"/>
    <w:rsid w:val="000B541B"/>
    <w:rsid w:val="000B6A26"/>
    <w:rsid w:val="000B73F9"/>
    <w:rsid w:val="000C2A52"/>
    <w:rsid w:val="000C2A88"/>
    <w:rsid w:val="000D283C"/>
    <w:rsid w:val="000D33C0"/>
    <w:rsid w:val="000D4CF6"/>
    <w:rsid w:val="000D6941"/>
    <w:rsid w:val="000F38EF"/>
    <w:rsid w:val="000F3DCD"/>
    <w:rsid w:val="000F4829"/>
    <w:rsid w:val="000F51C1"/>
    <w:rsid w:val="000F681D"/>
    <w:rsid w:val="000F6B21"/>
    <w:rsid w:val="00102EFB"/>
    <w:rsid w:val="001202E3"/>
    <w:rsid w:val="001227FF"/>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0D11"/>
    <w:rsid w:val="001C191A"/>
    <w:rsid w:val="001D19E1"/>
    <w:rsid w:val="001D3874"/>
    <w:rsid w:val="001D7E75"/>
    <w:rsid w:val="001E0D73"/>
    <w:rsid w:val="001E45BD"/>
    <w:rsid w:val="001E5528"/>
    <w:rsid w:val="001E56D2"/>
    <w:rsid w:val="001E7D56"/>
    <w:rsid w:val="001F5186"/>
    <w:rsid w:val="001F566E"/>
    <w:rsid w:val="001F683A"/>
    <w:rsid w:val="001F75DE"/>
    <w:rsid w:val="00200D58"/>
    <w:rsid w:val="002011C1"/>
    <w:rsid w:val="002013BE"/>
    <w:rsid w:val="00201EDC"/>
    <w:rsid w:val="00204C2E"/>
    <w:rsid w:val="0020513E"/>
    <w:rsid w:val="002063A4"/>
    <w:rsid w:val="0021145B"/>
    <w:rsid w:val="00220C23"/>
    <w:rsid w:val="002247F6"/>
    <w:rsid w:val="00225E21"/>
    <w:rsid w:val="00225E44"/>
    <w:rsid w:val="00225FD2"/>
    <w:rsid w:val="00234E78"/>
    <w:rsid w:val="00243D36"/>
    <w:rsid w:val="00246151"/>
    <w:rsid w:val="00246B29"/>
    <w:rsid w:val="00247707"/>
    <w:rsid w:val="00252456"/>
    <w:rsid w:val="0026018E"/>
    <w:rsid w:val="002701D5"/>
    <w:rsid w:val="00286740"/>
    <w:rsid w:val="00291719"/>
    <w:rsid w:val="00291EAE"/>
    <w:rsid w:val="002929D8"/>
    <w:rsid w:val="00293562"/>
    <w:rsid w:val="002A237D"/>
    <w:rsid w:val="002A4C53"/>
    <w:rsid w:val="002B0672"/>
    <w:rsid w:val="002B0677"/>
    <w:rsid w:val="002B247F"/>
    <w:rsid w:val="002B50D4"/>
    <w:rsid w:val="002B58BF"/>
    <w:rsid w:val="002B5C5E"/>
    <w:rsid w:val="002B71AE"/>
    <w:rsid w:val="002C145D"/>
    <w:rsid w:val="002C2C3E"/>
    <w:rsid w:val="002C533E"/>
    <w:rsid w:val="002C54E3"/>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36A10"/>
    <w:rsid w:val="00350EF3"/>
    <w:rsid w:val="0035277E"/>
    <w:rsid w:val="00355EA9"/>
    <w:rsid w:val="003578DE"/>
    <w:rsid w:val="00361688"/>
    <w:rsid w:val="0036598C"/>
    <w:rsid w:val="00367FD2"/>
    <w:rsid w:val="00380921"/>
    <w:rsid w:val="003833A7"/>
    <w:rsid w:val="003877D5"/>
    <w:rsid w:val="003929B8"/>
    <w:rsid w:val="00393432"/>
    <w:rsid w:val="00396257"/>
    <w:rsid w:val="00397EB8"/>
    <w:rsid w:val="003A0ACF"/>
    <w:rsid w:val="003A4FD0"/>
    <w:rsid w:val="003A69D1"/>
    <w:rsid w:val="003A7705"/>
    <w:rsid w:val="003A77F1"/>
    <w:rsid w:val="003B1545"/>
    <w:rsid w:val="003B1D65"/>
    <w:rsid w:val="003C3219"/>
    <w:rsid w:val="003C409D"/>
    <w:rsid w:val="003C4544"/>
    <w:rsid w:val="003C5583"/>
    <w:rsid w:val="003C5BA6"/>
    <w:rsid w:val="003C74CF"/>
    <w:rsid w:val="003D3752"/>
    <w:rsid w:val="003E1DD8"/>
    <w:rsid w:val="003E20F5"/>
    <w:rsid w:val="003E35DA"/>
    <w:rsid w:val="003E455D"/>
    <w:rsid w:val="003F0E85"/>
    <w:rsid w:val="00410C55"/>
    <w:rsid w:val="004156A7"/>
    <w:rsid w:val="00416854"/>
    <w:rsid w:val="00417725"/>
    <w:rsid w:val="0042266F"/>
    <w:rsid w:val="00424C56"/>
    <w:rsid w:val="00434321"/>
    <w:rsid w:val="00437F26"/>
    <w:rsid w:val="00444097"/>
    <w:rsid w:val="00445487"/>
    <w:rsid w:val="00447E0D"/>
    <w:rsid w:val="00452D6F"/>
    <w:rsid w:val="00453EA8"/>
    <w:rsid w:val="00454769"/>
    <w:rsid w:val="00464DF6"/>
    <w:rsid w:val="00466991"/>
    <w:rsid w:val="0047064C"/>
    <w:rsid w:val="00470C46"/>
    <w:rsid w:val="00473375"/>
    <w:rsid w:val="004754B6"/>
    <w:rsid w:val="00480343"/>
    <w:rsid w:val="004822B7"/>
    <w:rsid w:val="0048449A"/>
    <w:rsid w:val="0049469E"/>
    <w:rsid w:val="004A2217"/>
    <w:rsid w:val="004A24F9"/>
    <w:rsid w:val="004A42E1"/>
    <w:rsid w:val="004B162C"/>
    <w:rsid w:val="004B2ABE"/>
    <w:rsid w:val="004B618A"/>
    <w:rsid w:val="004C3DBE"/>
    <w:rsid w:val="004C5C96"/>
    <w:rsid w:val="004D06A4"/>
    <w:rsid w:val="004F1A81"/>
    <w:rsid w:val="004F5D88"/>
    <w:rsid w:val="004F6D27"/>
    <w:rsid w:val="00501354"/>
    <w:rsid w:val="005050D2"/>
    <w:rsid w:val="0051281A"/>
    <w:rsid w:val="005218D9"/>
    <w:rsid w:val="00536186"/>
    <w:rsid w:val="005362E8"/>
    <w:rsid w:val="00544CBB"/>
    <w:rsid w:val="005511A8"/>
    <w:rsid w:val="00551B65"/>
    <w:rsid w:val="00556704"/>
    <w:rsid w:val="005656D7"/>
    <w:rsid w:val="0057315F"/>
    <w:rsid w:val="00576104"/>
    <w:rsid w:val="00586418"/>
    <w:rsid w:val="00591A7A"/>
    <w:rsid w:val="00592B21"/>
    <w:rsid w:val="005B2DF4"/>
    <w:rsid w:val="005B44BF"/>
    <w:rsid w:val="005C67C8"/>
    <w:rsid w:val="005D0249"/>
    <w:rsid w:val="005D18FA"/>
    <w:rsid w:val="005D3010"/>
    <w:rsid w:val="005D4FD4"/>
    <w:rsid w:val="005D6E8C"/>
    <w:rsid w:val="005E3004"/>
    <w:rsid w:val="005F100C"/>
    <w:rsid w:val="005F2AF3"/>
    <w:rsid w:val="005F68DA"/>
    <w:rsid w:val="005F7419"/>
    <w:rsid w:val="00601BC9"/>
    <w:rsid w:val="0060773B"/>
    <w:rsid w:val="006111FE"/>
    <w:rsid w:val="00611C95"/>
    <w:rsid w:val="00613FD6"/>
    <w:rsid w:val="006157B5"/>
    <w:rsid w:val="00617224"/>
    <w:rsid w:val="00621E0B"/>
    <w:rsid w:val="00626FC6"/>
    <w:rsid w:val="006303B4"/>
    <w:rsid w:val="00630ADC"/>
    <w:rsid w:val="00633D3D"/>
    <w:rsid w:val="00641703"/>
    <w:rsid w:val="006431A6"/>
    <w:rsid w:val="00643E3A"/>
    <w:rsid w:val="006459F6"/>
    <w:rsid w:val="006501AD"/>
    <w:rsid w:val="006503B7"/>
    <w:rsid w:val="00651BFA"/>
    <w:rsid w:val="00654475"/>
    <w:rsid w:val="00656DF0"/>
    <w:rsid w:val="0066214E"/>
    <w:rsid w:val="00665A4B"/>
    <w:rsid w:val="00670FAE"/>
    <w:rsid w:val="00690C5E"/>
    <w:rsid w:val="00692E2A"/>
    <w:rsid w:val="0069496A"/>
    <w:rsid w:val="00696C1C"/>
    <w:rsid w:val="006A1A8B"/>
    <w:rsid w:val="006A69F1"/>
    <w:rsid w:val="006A76F2"/>
    <w:rsid w:val="006B7D29"/>
    <w:rsid w:val="006C08E4"/>
    <w:rsid w:val="006D19D4"/>
    <w:rsid w:val="006D5644"/>
    <w:rsid w:val="006D7EFB"/>
    <w:rsid w:val="006E6672"/>
    <w:rsid w:val="006E6722"/>
    <w:rsid w:val="006F7AFF"/>
    <w:rsid w:val="007027B9"/>
    <w:rsid w:val="007066B5"/>
    <w:rsid w:val="00711E75"/>
    <w:rsid w:val="007145DA"/>
    <w:rsid w:val="00715E88"/>
    <w:rsid w:val="00716698"/>
    <w:rsid w:val="00716D8B"/>
    <w:rsid w:val="00725623"/>
    <w:rsid w:val="00734CAA"/>
    <w:rsid w:val="00740EE2"/>
    <w:rsid w:val="00742680"/>
    <w:rsid w:val="00745958"/>
    <w:rsid w:val="0075533C"/>
    <w:rsid w:val="00755A18"/>
    <w:rsid w:val="00757581"/>
    <w:rsid w:val="007602F5"/>
    <w:rsid w:val="00760D36"/>
    <w:rsid w:val="007611A0"/>
    <w:rsid w:val="00766E5E"/>
    <w:rsid w:val="00772574"/>
    <w:rsid w:val="00773959"/>
    <w:rsid w:val="00773E54"/>
    <w:rsid w:val="0078325D"/>
    <w:rsid w:val="00784941"/>
    <w:rsid w:val="00787688"/>
    <w:rsid w:val="007935E6"/>
    <w:rsid w:val="00796D3F"/>
    <w:rsid w:val="00796FAE"/>
    <w:rsid w:val="007A1683"/>
    <w:rsid w:val="007A5C12"/>
    <w:rsid w:val="007A7CB0"/>
    <w:rsid w:val="007B68A3"/>
    <w:rsid w:val="007C2541"/>
    <w:rsid w:val="007C4DBF"/>
    <w:rsid w:val="007C7D86"/>
    <w:rsid w:val="007D66A8"/>
    <w:rsid w:val="007E003F"/>
    <w:rsid w:val="007F0CF8"/>
    <w:rsid w:val="007F1798"/>
    <w:rsid w:val="007F3C02"/>
    <w:rsid w:val="007F5849"/>
    <w:rsid w:val="007F5E1B"/>
    <w:rsid w:val="007F62CB"/>
    <w:rsid w:val="008142EC"/>
    <w:rsid w:val="008164F2"/>
    <w:rsid w:val="00821395"/>
    <w:rsid w:val="00826976"/>
    <w:rsid w:val="008302A2"/>
    <w:rsid w:val="00830E26"/>
    <w:rsid w:val="00834368"/>
    <w:rsid w:val="0083441A"/>
    <w:rsid w:val="00843576"/>
    <w:rsid w:val="00843B64"/>
    <w:rsid w:val="00845261"/>
    <w:rsid w:val="008478FC"/>
    <w:rsid w:val="00851C51"/>
    <w:rsid w:val="008538F7"/>
    <w:rsid w:val="0086307B"/>
    <w:rsid w:val="00867BFF"/>
    <w:rsid w:val="00871542"/>
    <w:rsid w:val="00872BF6"/>
    <w:rsid w:val="00881940"/>
    <w:rsid w:val="00883086"/>
    <w:rsid w:val="0088480A"/>
    <w:rsid w:val="0088757A"/>
    <w:rsid w:val="0089431B"/>
    <w:rsid w:val="00895668"/>
    <w:rsid w:val="008957DD"/>
    <w:rsid w:val="00897D98"/>
    <w:rsid w:val="00897E15"/>
    <w:rsid w:val="008A07E6"/>
    <w:rsid w:val="008A40F4"/>
    <w:rsid w:val="008A6DF2"/>
    <w:rsid w:val="008A7807"/>
    <w:rsid w:val="008B0A34"/>
    <w:rsid w:val="008B4CC9"/>
    <w:rsid w:val="008B6C98"/>
    <w:rsid w:val="008C0B15"/>
    <w:rsid w:val="008C5C09"/>
    <w:rsid w:val="008D75E4"/>
    <w:rsid w:val="008D7C99"/>
    <w:rsid w:val="008E0FCB"/>
    <w:rsid w:val="008F6DFE"/>
    <w:rsid w:val="00902971"/>
    <w:rsid w:val="00902B1D"/>
    <w:rsid w:val="0090529F"/>
    <w:rsid w:val="00911BC1"/>
    <w:rsid w:val="0092178C"/>
    <w:rsid w:val="009226D3"/>
    <w:rsid w:val="00930B88"/>
    <w:rsid w:val="00935376"/>
    <w:rsid w:val="00940DCC"/>
    <w:rsid w:val="0094179A"/>
    <w:rsid w:val="0094459E"/>
    <w:rsid w:val="00944DBC"/>
    <w:rsid w:val="00950977"/>
    <w:rsid w:val="00951A7B"/>
    <w:rsid w:val="00955512"/>
    <w:rsid w:val="00956093"/>
    <w:rsid w:val="009564A6"/>
    <w:rsid w:val="00957EF8"/>
    <w:rsid w:val="0096264C"/>
    <w:rsid w:val="00966A53"/>
    <w:rsid w:val="00967621"/>
    <w:rsid w:val="00967E6A"/>
    <w:rsid w:val="00970CB7"/>
    <w:rsid w:val="009907B9"/>
    <w:rsid w:val="00990918"/>
    <w:rsid w:val="009A3A83"/>
    <w:rsid w:val="009A5BF9"/>
    <w:rsid w:val="009B10AF"/>
    <w:rsid w:val="009B4A0F"/>
    <w:rsid w:val="009C11D2"/>
    <w:rsid w:val="009C6C70"/>
    <w:rsid w:val="009C7B0A"/>
    <w:rsid w:val="009D0B63"/>
    <w:rsid w:val="009D5CB8"/>
    <w:rsid w:val="009E307E"/>
    <w:rsid w:val="00A03C49"/>
    <w:rsid w:val="00A07870"/>
    <w:rsid w:val="00A07C54"/>
    <w:rsid w:val="00A07F19"/>
    <w:rsid w:val="00A124BB"/>
    <w:rsid w:val="00A1348D"/>
    <w:rsid w:val="00A13C99"/>
    <w:rsid w:val="00A232EE"/>
    <w:rsid w:val="00A24EFE"/>
    <w:rsid w:val="00A347F6"/>
    <w:rsid w:val="00A4175F"/>
    <w:rsid w:val="00A44411"/>
    <w:rsid w:val="00A469FA"/>
    <w:rsid w:val="00A47A6E"/>
    <w:rsid w:val="00A5331C"/>
    <w:rsid w:val="00A53662"/>
    <w:rsid w:val="00A55B01"/>
    <w:rsid w:val="00A56B5B"/>
    <w:rsid w:val="00A603FF"/>
    <w:rsid w:val="00A619B6"/>
    <w:rsid w:val="00A646A5"/>
    <w:rsid w:val="00A648CA"/>
    <w:rsid w:val="00A657DD"/>
    <w:rsid w:val="00A66313"/>
    <w:rsid w:val="00A666A6"/>
    <w:rsid w:val="00A675FD"/>
    <w:rsid w:val="00A72437"/>
    <w:rsid w:val="00A8048B"/>
    <w:rsid w:val="00A80611"/>
    <w:rsid w:val="00AA5BF4"/>
    <w:rsid w:val="00AB5340"/>
    <w:rsid w:val="00AC0A89"/>
    <w:rsid w:val="00AC7C96"/>
    <w:rsid w:val="00AD3593"/>
    <w:rsid w:val="00AE0812"/>
    <w:rsid w:val="00AE10B0"/>
    <w:rsid w:val="00AE237D"/>
    <w:rsid w:val="00AE502A"/>
    <w:rsid w:val="00AE54CB"/>
    <w:rsid w:val="00AF0010"/>
    <w:rsid w:val="00AF1AA8"/>
    <w:rsid w:val="00AF2C1F"/>
    <w:rsid w:val="00AF7C07"/>
    <w:rsid w:val="00B04130"/>
    <w:rsid w:val="00B06C64"/>
    <w:rsid w:val="00B07D8E"/>
    <w:rsid w:val="00B11CAC"/>
    <w:rsid w:val="00B14A4A"/>
    <w:rsid w:val="00B15A29"/>
    <w:rsid w:val="00B17527"/>
    <w:rsid w:val="00B22520"/>
    <w:rsid w:val="00B22C93"/>
    <w:rsid w:val="00B27589"/>
    <w:rsid w:val="00B373A3"/>
    <w:rsid w:val="00B405B7"/>
    <w:rsid w:val="00B43CA2"/>
    <w:rsid w:val="00B468C0"/>
    <w:rsid w:val="00B47A15"/>
    <w:rsid w:val="00B50FE9"/>
    <w:rsid w:val="00B51C43"/>
    <w:rsid w:val="00B52222"/>
    <w:rsid w:val="00B531DA"/>
    <w:rsid w:val="00B54895"/>
    <w:rsid w:val="00B54FE7"/>
    <w:rsid w:val="00B647C6"/>
    <w:rsid w:val="00B655F9"/>
    <w:rsid w:val="00B66901"/>
    <w:rsid w:val="00B66F60"/>
    <w:rsid w:val="00B71E6D"/>
    <w:rsid w:val="00B72070"/>
    <w:rsid w:val="00B7634F"/>
    <w:rsid w:val="00B779E1"/>
    <w:rsid w:val="00B81E3A"/>
    <w:rsid w:val="00B852E2"/>
    <w:rsid w:val="00B85CFB"/>
    <w:rsid w:val="00B87461"/>
    <w:rsid w:val="00B914E9"/>
    <w:rsid w:val="00B91EE1"/>
    <w:rsid w:val="00B94602"/>
    <w:rsid w:val="00BA0090"/>
    <w:rsid w:val="00BA1A67"/>
    <w:rsid w:val="00BA4934"/>
    <w:rsid w:val="00BA6A80"/>
    <w:rsid w:val="00BB4ABB"/>
    <w:rsid w:val="00BC62BA"/>
    <w:rsid w:val="00BD530E"/>
    <w:rsid w:val="00BE12BB"/>
    <w:rsid w:val="00BE5B5F"/>
    <w:rsid w:val="00BE7993"/>
    <w:rsid w:val="00BF1603"/>
    <w:rsid w:val="00BF726B"/>
    <w:rsid w:val="00C11971"/>
    <w:rsid w:val="00C179DE"/>
    <w:rsid w:val="00C21384"/>
    <w:rsid w:val="00C26F55"/>
    <w:rsid w:val="00C30C63"/>
    <w:rsid w:val="00C30FF3"/>
    <w:rsid w:val="00C34D5C"/>
    <w:rsid w:val="00C36B8B"/>
    <w:rsid w:val="00C415C1"/>
    <w:rsid w:val="00C47DBF"/>
    <w:rsid w:val="00C5125C"/>
    <w:rsid w:val="00C552FF"/>
    <w:rsid w:val="00C558DA"/>
    <w:rsid w:val="00C55AF3"/>
    <w:rsid w:val="00C72E49"/>
    <w:rsid w:val="00C771A9"/>
    <w:rsid w:val="00C82943"/>
    <w:rsid w:val="00C84728"/>
    <w:rsid w:val="00C84759"/>
    <w:rsid w:val="00C93096"/>
    <w:rsid w:val="00CA2F0C"/>
    <w:rsid w:val="00CA5CA9"/>
    <w:rsid w:val="00CA6C7F"/>
    <w:rsid w:val="00CB007D"/>
    <w:rsid w:val="00CB60CA"/>
    <w:rsid w:val="00CC0FC7"/>
    <w:rsid w:val="00CC10A6"/>
    <w:rsid w:val="00CD5EB8"/>
    <w:rsid w:val="00CD7044"/>
    <w:rsid w:val="00CE08B9"/>
    <w:rsid w:val="00CE3515"/>
    <w:rsid w:val="00CE4844"/>
    <w:rsid w:val="00CE524C"/>
    <w:rsid w:val="00CF141F"/>
    <w:rsid w:val="00CF4777"/>
    <w:rsid w:val="00CF65C8"/>
    <w:rsid w:val="00D013F5"/>
    <w:rsid w:val="00D05E3F"/>
    <w:rsid w:val="00D067BB"/>
    <w:rsid w:val="00D13422"/>
    <w:rsid w:val="00D1352A"/>
    <w:rsid w:val="00D1638E"/>
    <w:rsid w:val="00D169AF"/>
    <w:rsid w:val="00D200EF"/>
    <w:rsid w:val="00D25175"/>
    <w:rsid w:val="00D25249"/>
    <w:rsid w:val="00D26854"/>
    <w:rsid w:val="00D27DAD"/>
    <w:rsid w:val="00D34A59"/>
    <w:rsid w:val="00D36C41"/>
    <w:rsid w:val="00D44172"/>
    <w:rsid w:val="00D47BE3"/>
    <w:rsid w:val="00D63B8C"/>
    <w:rsid w:val="00D739CC"/>
    <w:rsid w:val="00D806F9"/>
    <w:rsid w:val="00D8093D"/>
    <w:rsid w:val="00D8108C"/>
    <w:rsid w:val="00D842AE"/>
    <w:rsid w:val="00D866F2"/>
    <w:rsid w:val="00D91EAE"/>
    <w:rsid w:val="00D9211C"/>
    <w:rsid w:val="00D92DE0"/>
    <w:rsid w:val="00D92FEF"/>
    <w:rsid w:val="00D931F9"/>
    <w:rsid w:val="00D93A0F"/>
    <w:rsid w:val="00DA1BCA"/>
    <w:rsid w:val="00DA3663"/>
    <w:rsid w:val="00DB10A3"/>
    <w:rsid w:val="00DC1792"/>
    <w:rsid w:val="00DC274A"/>
    <w:rsid w:val="00DC2B84"/>
    <w:rsid w:val="00DC46FF"/>
    <w:rsid w:val="00DC5254"/>
    <w:rsid w:val="00DC569D"/>
    <w:rsid w:val="00DD1A4F"/>
    <w:rsid w:val="00DD3107"/>
    <w:rsid w:val="00DD7C2C"/>
    <w:rsid w:val="00DE5BDA"/>
    <w:rsid w:val="00DF433C"/>
    <w:rsid w:val="00DF519F"/>
    <w:rsid w:val="00E0035A"/>
    <w:rsid w:val="00E06797"/>
    <w:rsid w:val="00E11AF3"/>
    <w:rsid w:val="00E1265B"/>
    <w:rsid w:val="00E12E09"/>
    <w:rsid w:val="00E13B48"/>
    <w:rsid w:val="00E13EC3"/>
    <w:rsid w:val="00E1404F"/>
    <w:rsid w:val="00E17E15"/>
    <w:rsid w:val="00E21C83"/>
    <w:rsid w:val="00E24ADA"/>
    <w:rsid w:val="00E27C08"/>
    <w:rsid w:val="00E32F59"/>
    <w:rsid w:val="00E41908"/>
    <w:rsid w:val="00E46D9A"/>
    <w:rsid w:val="00E54866"/>
    <w:rsid w:val="00E565FF"/>
    <w:rsid w:val="00E65388"/>
    <w:rsid w:val="00E743AA"/>
    <w:rsid w:val="00E7741D"/>
    <w:rsid w:val="00E808CD"/>
    <w:rsid w:val="00E8348F"/>
    <w:rsid w:val="00E85B7D"/>
    <w:rsid w:val="00E9121B"/>
    <w:rsid w:val="00E9302E"/>
    <w:rsid w:val="00E96087"/>
    <w:rsid w:val="00E963A6"/>
    <w:rsid w:val="00E96971"/>
    <w:rsid w:val="00E976AB"/>
    <w:rsid w:val="00EA0AE2"/>
    <w:rsid w:val="00EA39E5"/>
    <w:rsid w:val="00EA45C6"/>
    <w:rsid w:val="00EA57A3"/>
    <w:rsid w:val="00EC2813"/>
    <w:rsid w:val="00EC366F"/>
    <w:rsid w:val="00EC5A46"/>
    <w:rsid w:val="00EC63E2"/>
    <w:rsid w:val="00ED0225"/>
    <w:rsid w:val="00ED366A"/>
    <w:rsid w:val="00ED6BB7"/>
    <w:rsid w:val="00ED71E2"/>
    <w:rsid w:val="00EF22B3"/>
    <w:rsid w:val="00EF3124"/>
    <w:rsid w:val="00F03B69"/>
    <w:rsid w:val="00F07A50"/>
    <w:rsid w:val="00F105C7"/>
    <w:rsid w:val="00F113DA"/>
    <w:rsid w:val="00F15578"/>
    <w:rsid w:val="00F266FC"/>
    <w:rsid w:val="00F3037A"/>
    <w:rsid w:val="00F3465A"/>
    <w:rsid w:val="00F37DC8"/>
    <w:rsid w:val="00F40A30"/>
    <w:rsid w:val="00F439B3"/>
    <w:rsid w:val="00F650C3"/>
    <w:rsid w:val="00F65D85"/>
    <w:rsid w:val="00F6700B"/>
    <w:rsid w:val="00F7137B"/>
    <w:rsid w:val="00F75514"/>
    <w:rsid w:val="00F8091E"/>
    <w:rsid w:val="00F8615C"/>
    <w:rsid w:val="00F969E5"/>
    <w:rsid w:val="00F979F2"/>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9A5635"/>
  <w15:docId w15:val="{58368BA6-EDBE-44FB-9528-DB3471F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D34A59"/>
    <w:rPr>
      <w:lang w:eastAsia="en-US"/>
    </w:rPr>
  </w:style>
  <w:style w:type="numbering" w:customStyle="1" w:styleId="WWNum25">
    <w:name w:val="WWNum25"/>
    <w:basedOn w:val="NoList"/>
    <w:rsid w:val="00D34A59"/>
    <w:pPr>
      <w:numPr>
        <w:numId w:val="5"/>
      </w:numPr>
    </w:pPr>
  </w:style>
  <w:style w:type="paragraph" w:styleId="NormalWeb">
    <w:name w:val="Normal (Web)"/>
    <w:basedOn w:val="Normal"/>
    <w:uiPriority w:val="99"/>
    <w:unhideWhenUsed/>
    <w:rsid w:val="005362E8"/>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character" w:styleId="FollowedHyperlink">
    <w:name w:val="FollowedHyperlink"/>
    <w:basedOn w:val="DefaultParagraphFont"/>
    <w:semiHidden/>
    <w:unhideWhenUsed/>
    <w:rsid w:val="00B85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C8CA-84F8-4A81-866E-BBEB5BCA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2018-10-04T11:13:00Z</cp:lastPrinted>
  <dcterms:created xsi:type="dcterms:W3CDTF">2018-10-09T16:10:00Z</dcterms:created>
  <dcterms:modified xsi:type="dcterms:W3CDTF">2018-10-09T16:10:00Z</dcterms:modified>
</cp:coreProperties>
</file>