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D25175" w14:paraId="4B9F0F9B" w14:textId="77777777" w:rsidTr="00CB007D">
        <w:trPr>
          <w:cantSplit/>
          <w:trHeight w:val="850"/>
          <w:jc w:val="right"/>
        </w:trPr>
        <w:tc>
          <w:tcPr>
            <w:tcW w:w="1550" w:type="dxa"/>
          </w:tcPr>
          <w:p w14:paraId="2A9B9F9D" w14:textId="15044B30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t>NATIONS</w:t>
            </w:r>
            <w:r w:rsidR="009A483A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UNIES</w:t>
            </w:r>
          </w:p>
        </w:tc>
        <w:tc>
          <w:tcPr>
            <w:tcW w:w="4751" w:type="dxa"/>
          </w:tcPr>
          <w:p w14:paraId="2F47229A" w14:textId="7777777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57073C3F" w14:textId="77777777" w:rsidR="00032E4E" w:rsidRPr="00D25175" w:rsidRDefault="00787688" w:rsidP="004455F3">
            <w:pPr>
              <w:tabs>
                <w:tab w:val="left" w:pos="624"/>
                <w:tab w:val="left" w:pos="1871"/>
                <w:tab w:val="left" w:pos="2495"/>
              </w:tabs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D25175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D25175" w14:paraId="0DEAC680" w14:textId="77777777" w:rsidTr="00CB007D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30269B88" w14:textId="7777777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4296B4D" w14:textId="7777777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540639F8" w14:textId="39E4C689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noProof/>
                <w:sz w:val="18"/>
                <w:szCs w:val="18"/>
              </w:rPr>
            </w:pPr>
            <w:r w:rsidRPr="00D25175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D25175">
              <w:rPr>
                <w:b/>
                <w:bCs/>
                <w:sz w:val="28"/>
              </w:rPr>
              <w:t>/</w:t>
            </w:r>
            <w:r w:rsidR="00787688" w:rsidRPr="00D25175">
              <w:t>MC</w:t>
            </w:r>
            <w:r w:rsidRPr="00D25175">
              <w:t>/</w:t>
            </w:r>
            <w:bookmarkEnd w:id="0"/>
            <w:bookmarkEnd w:id="1"/>
            <w:r w:rsidR="00787688" w:rsidRPr="00D25175">
              <w:t>COP.</w:t>
            </w:r>
            <w:r w:rsidR="00434321">
              <w:t>2</w:t>
            </w:r>
            <w:r w:rsidRPr="00D25175">
              <w:t>/</w:t>
            </w:r>
            <w:r w:rsidR="00D013F5" w:rsidRPr="00D25175">
              <w:t>1</w:t>
            </w:r>
            <w:r w:rsidR="00C6275F">
              <w:t>0</w:t>
            </w:r>
          </w:p>
        </w:tc>
      </w:tr>
      <w:bookmarkStart w:id="2" w:name="_MON_1021710510"/>
      <w:bookmarkEnd w:id="2"/>
      <w:bookmarkStart w:id="3" w:name="_MON_1021710482"/>
      <w:bookmarkEnd w:id="3"/>
      <w:tr w:rsidR="00032E4E" w:rsidRPr="00C02566" w14:paraId="34AA74B4" w14:textId="77777777" w:rsidTr="00CB007D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D25175" w:rsidRDefault="008E1AE5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noProof/>
              </w:rPr>
            </w:pPr>
            <w:r w:rsidRPr="00D25175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5.5pt;height:61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00171024" r:id="rId9"/>
              </w:object>
            </w:r>
            <w:r w:rsidR="00011A16" w:rsidRPr="00D25175">
              <w:rPr>
                <w:noProof/>
                <w:lang w:val="en-US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3B6F457D" w:rsidR="00032E4E" w:rsidRPr="00393E01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spacing w:before="1200"/>
              <w:rPr>
                <w:rFonts w:ascii="Arial" w:hAnsi="Arial" w:cs="Arial"/>
                <w:b/>
                <w:sz w:val="28"/>
                <w:lang w:val="fr-FR"/>
              </w:rPr>
            </w:pPr>
            <w:r w:rsidRPr="00393E01">
              <w:rPr>
                <w:rFonts w:ascii="Arial" w:hAnsi="Arial" w:cs="Arial"/>
                <w:b/>
                <w:sz w:val="32"/>
                <w:szCs w:val="32"/>
                <w:lang w:val="fr-FR"/>
              </w:rPr>
              <w:t>Programme</w:t>
            </w:r>
            <w:r w:rsidR="00393E01" w:rsidRPr="00393E01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  <w:t xml:space="preserve">des Nations Unies </w:t>
            </w:r>
            <w:r w:rsidR="00393E01" w:rsidRPr="00393E01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</w:r>
            <w:r w:rsidR="00393E01">
              <w:rPr>
                <w:rFonts w:ascii="Arial" w:hAnsi="Arial" w:cs="Arial"/>
                <w:b/>
                <w:sz w:val="32"/>
                <w:szCs w:val="32"/>
                <w:lang w:val="fr-FR"/>
              </w:rPr>
              <w:t>pour l’environnement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4BCA9F62" w:rsidR="00032E4E" w:rsidRPr="0039490B" w:rsidRDefault="009A483A" w:rsidP="004455F3">
            <w:pPr>
              <w:tabs>
                <w:tab w:val="left" w:pos="624"/>
                <w:tab w:val="left" w:pos="1871"/>
                <w:tab w:val="left" w:pos="2495"/>
              </w:tabs>
              <w:spacing w:before="120"/>
              <w:rPr>
                <w:lang w:val="fr-FR"/>
              </w:rPr>
            </w:pPr>
            <w:r>
              <w:rPr>
                <w:lang w:val="fr-FR"/>
              </w:rPr>
              <w:t>Distr. </w:t>
            </w:r>
            <w:r w:rsidR="0039490B" w:rsidRPr="0039490B">
              <w:rPr>
                <w:lang w:val="fr-FR"/>
              </w:rPr>
              <w:t>gé</w:t>
            </w:r>
            <w:r w:rsidR="00032E4E" w:rsidRPr="0039490B">
              <w:rPr>
                <w:lang w:val="fr-FR"/>
              </w:rPr>
              <w:t>n</w:t>
            </w:r>
            <w:r w:rsidR="0039490B" w:rsidRPr="0039490B">
              <w:rPr>
                <w:lang w:val="fr-FR"/>
              </w:rPr>
              <w:t>é</w:t>
            </w:r>
            <w:r w:rsidR="00032E4E" w:rsidRPr="0039490B">
              <w:rPr>
                <w:lang w:val="fr-FR"/>
              </w:rPr>
              <w:t>ral</w:t>
            </w:r>
            <w:r w:rsidR="0039490B" w:rsidRPr="0039490B">
              <w:rPr>
                <w:lang w:val="fr-FR"/>
              </w:rPr>
              <w:t>e</w:t>
            </w:r>
            <w:r w:rsidR="005B2DF4" w:rsidRPr="0039490B">
              <w:rPr>
                <w:lang w:val="fr-FR"/>
              </w:rPr>
              <w:t xml:space="preserve"> </w:t>
            </w:r>
            <w:r w:rsidR="00032E4E" w:rsidRPr="0039490B">
              <w:rPr>
                <w:lang w:val="fr-FR"/>
              </w:rPr>
              <w:br w:type="textWrapping" w:clear="all"/>
            </w:r>
            <w:r>
              <w:rPr>
                <w:lang w:val="fr-FR"/>
              </w:rPr>
              <w:t>25 </w:t>
            </w:r>
            <w:r w:rsidR="0039490B" w:rsidRPr="0039490B">
              <w:rPr>
                <w:lang w:val="fr-FR"/>
              </w:rPr>
              <w:t>s</w:t>
            </w:r>
            <w:r w:rsidR="00C6275F" w:rsidRPr="0039490B">
              <w:rPr>
                <w:lang w:val="fr-FR"/>
              </w:rPr>
              <w:t>eptemb</w:t>
            </w:r>
            <w:r w:rsidR="0039490B" w:rsidRPr="0039490B">
              <w:rPr>
                <w:lang w:val="fr-FR"/>
              </w:rPr>
              <w:t>re</w:t>
            </w:r>
            <w:r w:rsidR="00434321" w:rsidRPr="0039490B">
              <w:rPr>
                <w:lang w:val="fr-FR"/>
              </w:rPr>
              <w:t xml:space="preserve"> </w:t>
            </w:r>
            <w:r w:rsidR="0042266F" w:rsidRPr="0039490B">
              <w:rPr>
                <w:lang w:val="fr-FR"/>
              </w:rPr>
              <w:t>201</w:t>
            </w:r>
            <w:r w:rsidR="00434321" w:rsidRPr="0039490B">
              <w:rPr>
                <w:lang w:val="fr-FR"/>
              </w:rPr>
              <w:t>8</w:t>
            </w:r>
          </w:p>
          <w:p w14:paraId="1A75CF9D" w14:textId="63785DF3" w:rsidR="00032E4E" w:rsidRPr="0039490B" w:rsidRDefault="0039490B" w:rsidP="009A483A">
            <w:pPr>
              <w:tabs>
                <w:tab w:val="left" w:pos="624"/>
                <w:tab w:val="left" w:pos="1871"/>
                <w:tab w:val="left" w:pos="2495"/>
              </w:tabs>
              <w:spacing w:before="240"/>
              <w:rPr>
                <w:lang w:val="fr-FR"/>
              </w:rPr>
            </w:pPr>
            <w:r w:rsidRPr="0039490B">
              <w:rPr>
                <w:lang w:val="fr-FR"/>
              </w:rPr>
              <w:t>Français</w:t>
            </w:r>
            <w:r w:rsidR="009A483A">
              <w:rPr>
                <w:lang w:val="fr-FR"/>
              </w:rPr>
              <w:br/>
            </w:r>
            <w:r>
              <w:rPr>
                <w:lang w:val="fr-FR"/>
              </w:rPr>
              <w:t>O</w:t>
            </w:r>
            <w:r w:rsidR="00032E4E" w:rsidRPr="0039490B">
              <w:rPr>
                <w:lang w:val="fr-FR"/>
              </w:rPr>
              <w:t>riginal</w:t>
            </w:r>
            <w:r w:rsidR="009A483A">
              <w:rPr>
                <w:lang w:val="fr-FR"/>
              </w:rPr>
              <w:t> </w:t>
            </w:r>
            <w:r w:rsidR="00032E4E" w:rsidRPr="0039490B">
              <w:rPr>
                <w:lang w:val="fr-FR"/>
              </w:rPr>
              <w:t xml:space="preserve">: </w:t>
            </w:r>
            <w:r w:rsidRPr="0039490B">
              <w:rPr>
                <w:lang w:val="fr-FR"/>
              </w:rPr>
              <w:t>a</w:t>
            </w:r>
            <w:r w:rsidR="00032E4E" w:rsidRPr="0039490B">
              <w:rPr>
                <w:lang w:val="fr-FR"/>
              </w:rPr>
              <w:t>ngl</w:t>
            </w:r>
            <w:r w:rsidRPr="0039490B">
              <w:rPr>
                <w:lang w:val="fr-FR"/>
              </w:rPr>
              <w:t>ais</w:t>
            </w:r>
          </w:p>
        </w:tc>
      </w:tr>
    </w:tbl>
    <w:p w14:paraId="0A4BFFDA" w14:textId="1F397C90" w:rsidR="00E976AB" w:rsidRPr="0039490B" w:rsidRDefault="00CB007D" w:rsidP="004455F3">
      <w:pPr>
        <w:pStyle w:val="AATitle"/>
        <w:keepNext w:val="0"/>
        <w:keepLines w:val="0"/>
        <w:tabs>
          <w:tab w:val="left" w:pos="624"/>
          <w:tab w:val="left" w:pos="1871"/>
          <w:tab w:val="left" w:pos="2495"/>
        </w:tabs>
        <w:rPr>
          <w:lang w:val="fr-FR"/>
        </w:rPr>
      </w:pPr>
      <w:r w:rsidRPr="0039490B">
        <w:rPr>
          <w:lang w:val="fr-FR"/>
        </w:rPr>
        <w:t>Conf</w:t>
      </w:r>
      <w:r w:rsidR="0039490B" w:rsidRPr="0039490B">
        <w:rPr>
          <w:lang w:val="fr-FR"/>
        </w:rPr>
        <w:t>é</w:t>
      </w:r>
      <w:r w:rsidRPr="0039490B">
        <w:rPr>
          <w:lang w:val="fr-FR"/>
        </w:rPr>
        <w:t xml:space="preserve">rence </w:t>
      </w:r>
      <w:r w:rsidR="0039490B" w:rsidRPr="0039490B">
        <w:rPr>
          <w:lang w:val="fr-FR"/>
        </w:rPr>
        <w:t xml:space="preserve">des </w:t>
      </w:r>
      <w:r w:rsidRPr="0039490B">
        <w:rPr>
          <w:lang w:val="fr-FR"/>
        </w:rPr>
        <w:t xml:space="preserve">Parties </w:t>
      </w:r>
      <w:r w:rsidR="0039490B" w:rsidRPr="0039490B">
        <w:rPr>
          <w:lang w:val="fr-FR"/>
        </w:rPr>
        <w:t xml:space="preserve">à la </w:t>
      </w:r>
      <w:r w:rsidR="009A483A">
        <w:rPr>
          <w:lang w:val="fr-FR"/>
        </w:rPr>
        <w:t>Convention de </w:t>
      </w:r>
      <w:r w:rsidR="00787688" w:rsidRPr="0039490B">
        <w:rPr>
          <w:lang w:val="fr-FR"/>
        </w:rPr>
        <w:t xml:space="preserve">Minamata </w:t>
      </w:r>
      <w:r w:rsidR="0039490B">
        <w:rPr>
          <w:lang w:val="fr-FR"/>
        </w:rPr>
        <w:t>sur le m</w:t>
      </w:r>
      <w:r w:rsidR="00787688" w:rsidRPr="0039490B">
        <w:rPr>
          <w:lang w:val="fr-FR"/>
        </w:rPr>
        <w:t>ercur</w:t>
      </w:r>
      <w:r w:rsidR="0039490B">
        <w:rPr>
          <w:lang w:val="fr-FR"/>
        </w:rPr>
        <w:t>e</w:t>
      </w:r>
    </w:p>
    <w:p w14:paraId="26A6CAA0" w14:textId="2331E502" w:rsidR="00E976AB" w:rsidRPr="0039490B" w:rsidRDefault="0039490B" w:rsidP="004455F3">
      <w:pPr>
        <w:pStyle w:val="AATitle"/>
        <w:keepNext w:val="0"/>
        <w:keepLines w:val="0"/>
        <w:tabs>
          <w:tab w:val="left" w:pos="624"/>
          <w:tab w:val="left" w:pos="1871"/>
          <w:tab w:val="left" w:pos="2495"/>
        </w:tabs>
        <w:rPr>
          <w:lang w:val="fr-FR"/>
        </w:rPr>
      </w:pPr>
      <w:r w:rsidRPr="0039490B">
        <w:rPr>
          <w:lang w:val="fr-FR"/>
        </w:rPr>
        <w:t>Deuxième réunion</w:t>
      </w:r>
    </w:p>
    <w:p w14:paraId="67B82F12" w14:textId="06392F1C" w:rsidR="00787688" w:rsidRPr="0039490B" w:rsidRDefault="00787688" w:rsidP="004455F3">
      <w:pPr>
        <w:pStyle w:val="AATitle"/>
        <w:tabs>
          <w:tab w:val="left" w:pos="624"/>
          <w:tab w:val="left" w:pos="1871"/>
          <w:tab w:val="left" w:pos="2495"/>
        </w:tabs>
        <w:rPr>
          <w:lang w:val="fr-FR"/>
        </w:rPr>
      </w:pPr>
      <w:r w:rsidRPr="0039490B">
        <w:rPr>
          <w:b w:val="0"/>
          <w:lang w:val="fr-FR"/>
        </w:rPr>
        <w:t>Gen</w:t>
      </w:r>
      <w:r w:rsidR="0039490B" w:rsidRPr="0039490B">
        <w:rPr>
          <w:b w:val="0"/>
          <w:lang w:val="fr-FR"/>
        </w:rPr>
        <w:t>è</w:t>
      </w:r>
      <w:r w:rsidRPr="0039490B">
        <w:rPr>
          <w:b w:val="0"/>
          <w:lang w:val="fr-FR"/>
        </w:rPr>
        <w:t>v</w:t>
      </w:r>
      <w:r w:rsidR="0039490B" w:rsidRPr="0039490B">
        <w:rPr>
          <w:b w:val="0"/>
          <w:lang w:val="fr-FR"/>
        </w:rPr>
        <w:t>e</w:t>
      </w:r>
      <w:r w:rsidR="00E976AB" w:rsidRPr="0039490B">
        <w:rPr>
          <w:b w:val="0"/>
          <w:lang w:val="fr-FR"/>
        </w:rPr>
        <w:t xml:space="preserve">, </w:t>
      </w:r>
      <w:r w:rsidR="00434321" w:rsidRPr="0039490B">
        <w:rPr>
          <w:b w:val="0"/>
          <w:lang w:val="fr-FR"/>
        </w:rPr>
        <w:t>19</w:t>
      </w:r>
      <w:r w:rsidR="00325D38" w:rsidRPr="0039490B">
        <w:rPr>
          <w:b w:val="0"/>
          <w:lang w:val="fr-FR"/>
        </w:rPr>
        <w:t>–2</w:t>
      </w:r>
      <w:r w:rsidR="00434321" w:rsidRPr="0039490B">
        <w:rPr>
          <w:b w:val="0"/>
          <w:lang w:val="fr-FR"/>
        </w:rPr>
        <w:t>3</w:t>
      </w:r>
      <w:r w:rsidR="009A483A">
        <w:rPr>
          <w:b w:val="0"/>
          <w:lang w:val="fr-FR"/>
        </w:rPr>
        <w:t> </w:t>
      </w:r>
      <w:r w:rsidR="0039490B" w:rsidRPr="0039490B">
        <w:rPr>
          <w:b w:val="0"/>
          <w:lang w:val="fr-FR"/>
        </w:rPr>
        <w:t>n</w:t>
      </w:r>
      <w:r w:rsidR="00434321" w:rsidRPr="0039490B">
        <w:rPr>
          <w:b w:val="0"/>
          <w:lang w:val="fr-FR"/>
        </w:rPr>
        <w:t>ovemb</w:t>
      </w:r>
      <w:r w:rsidR="0039490B" w:rsidRPr="0039490B">
        <w:rPr>
          <w:b w:val="0"/>
          <w:lang w:val="fr-FR"/>
        </w:rPr>
        <w:t>re</w:t>
      </w:r>
      <w:r w:rsidR="00434321" w:rsidRPr="0039490B">
        <w:rPr>
          <w:b w:val="0"/>
          <w:lang w:val="fr-FR"/>
        </w:rPr>
        <w:t xml:space="preserve"> 2018</w:t>
      </w:r>
    </w:p>
    <w:p w14:paraId="271F2664" w14:textId="0F49A7BE" w:rsidR="00C6275F" w:rsidRPr="0039490B" w:rsidRDefault="009A483A" w:rsidP="00FC51B1">
      <w:pPr>
        <w:pStyle w:val="AATitle"/>
        <w:rPr>
          <w:lang w:val="fr-FR"/>
        </w:rPr>
      </w:pPr>
      <w:bookmarkStart w:id="4" w:name="_Hlk517786179"/>
      <w:r>
        <w:rPr>
          <w:b w:val="0"/>
          <w:lang w:val="fr-FR"/>
        </w:rPr>
        <w:t>Point </w:t>
      </w:r>
      <w:r w:rsidR="00C6275F" w:rsidRPr="0039490B">
        <w:rPr>
          <w:b w:val="0"/>
          <w:lang w:val="fr-FR"/>
        </w:rPr>
        <w:t>5</w:t>
      </w:r>
      <w:r>
        <w:rPr>
          <w:b w:val="0"/>
          <w:lang w:val="fr-FR"/>
        </w:rPr>
        <w:t> </w:t>
      </w:r>
      <w:r w:rsidR="00C6275F" w:rsidRPr="0039490B">
        <w:rPr>
          <w:b w:val="0"/>
          <w:lang w:val="fr-FR"/>
        </w:rPr>
        <w:t xml:space="preserve">f) </w:t>
      </w:r>
      <w:r w:rsidR="0039490B" w:rsidRPr="0039490B">
        <w:rPr>
          <w:b w:val="0"/>
          <w:lang w:val="fr-FR"/>
        </w:rPr>
        <w:t xml:space="preserve">de l’ordre du jour </w:t>
      </w:r>
      <w:r w:rsidR="00C6275F" w:rsidRPr="0039490B">
        <w:rPr>
          <w:b w:val="0"/>
          <w:lang w:val="fr-FR"/>
        </w:rPr>
        <w:t>provisio</w:t>
      </w:r>
      <w:r w:rsidR="0039490B" w:rsidRPr="0039490B">
        <w:rPr>
          <w:b w:val="0"/>
          <w:lang w:val="fr-FR"/>
        </w:rPr>
        <w:t>re</w:t>
      </w:r>
      <w:r w:rsidR="00C6275F" w:rsidRPr="0039490B">
        <w:rPr>
          <w:rStyle w:val="FootnoteReference"/>
          <w:vertAlign w:val="baseline"/>
          <w:lang w:val="fr-FR"/>
        </w:rPr>
        <w:footnoteReference w:customMarkFollows="1" w:id="1"/>
        <w:t>*</w:t>
      </w:r>
    </w:p>
    <w:p w14:paraId="7110836C" w14:textId="50B4EB79" w:rsidR="00C6275F" w:rsidRPr="0039490B" w:rsidRDefault="0039490B" w:rsidP="00FC51B1">
      <w:pPr>
        <w:pStyle w:val="AATitle2"/>
        <w:spacing w:before="60"/>
        <w:rPr>
          <w:lang w:val="fr-FR"/>
        </w:rPr>
      </w:pPr>
      <w:r>
        <w:rPr>
          <w:lang w:val="fr-FR"/>
        </w:rPr>
        <w:t>Questions soumises à la Conférence des Parties pour</w:t>
      </w:r>
      <w:r w:rsidR="009A483A">
        <w:rPr>
          <w:lang w:val="fr-FR"/>
        </w:rPr>
        <w:t> </w:t>
      </w:r>
      <w:r>
        <w:rPr>
          <w:lang w:val="fr-FR"/>
        </w:rPr>
        <w:t>examen ou décision</w:t>
      </w:r>
      <w:r w:rsidR="009A483A">
        <w:rPr>
          <w:lang w:val="fr-FR"/>
        </w:rPr>
        <w:t> </w:t>
      </w:r>
      <w:r w:rsidR="00C6275F" w:rsidRPr="0039490B">
        <w:rPr>
          <w:lang w:val="fr-FR"/>
        </w:rPr>
        <w:t xml:space="preserve">: </w:t>
      </w:r>
      <w:r>
        <w:rPr>
          <w:lang w:val="fr-FR"/>
        </w:rPr>
        <w:t xml:space="preserve">renforcement des capacités, assistance technique et transfert de technologie </w:t>
      </w:r>
    </w:p>
    <w:p w14:paraId="218EAFCF" w14:textId="3C940FF9" w:rsidR="00C6275F" w:rsidRPr="00CE3D88" w:rsidRDefault="00CE3D88" w:rsidP="00C6275F">
      <w:pPr>
        <w:pStyle w:val="BBTitle"/>
        <w:rPr>
          <w:lang w:val="fr-FR"/>
        </w:rPr>
      </w:pPr>
      <w:r w:rsidRPr="00CE3D88">
        <w:rPr>
          <w:lang w:val="fr-FR"/>
        </w:rPr>
        <w:t>Communications et rapports soumis</w:t>
      </w:r>
      <w:r w:rsidR="007B203B">
        <w:rPr>
          <w:lang w:val="fr-FR"/>
        </w:rPr>
        <w:t xml:space="preserve"> </w:t>
      </w:r>
      <w:r w:rsidR="009A483A">
        <w:rPr>
          <w:lang w:val="fr-FR"/>
        </w:rPr>
        <w:t>dans le domaine des </w:t>
      </w:r>
      <w:r w:rsidRPr="00CE3D88">
        <w:rPr>
          <w:lang w:val="fr-FR"/>
        </w:rPr>
        <w:t xml:space="preserve">technologies de </w:t>
      </w:r>
      <w:r w:rsidR="001A0D14">
        <w:rPr>
          <w:lang w:val="fr-FR"/>
        </w:rPr>
        <w:t>remplacement et du transfert de </w:t>
      </w:r>
      <w:r w:rsidRPr="00CE3D88">
        <w:rPr>
          <w:lang w:val="fr-FR"/>
        </w:rPr>
        <w:t>technologie</w:t>
      </w:r>
      <w:r w:rsidR="00732321">
        <w:rPr>
          <w:lang w:val="fr-FR"/>
        </w:rPr>
        <w:t>s</w:t>
      </w:r>
      <w:r w:rsidR="001A0D14">
        <w:rPr>
          <w:lang w:val="fr-FR"/>
        </w:rPr>
        <w:t xml:space="preserve"> (article </w:t>
      </w:r>
      <w:r w:rsidRPr="00CE3D88">
        <w:rPr>
          <w:lang w:val="fr-FR"/>
        </w:rPr>
        <w:t>14, par.</w:t>
      </w:r>
      <w:r w:rsidR="001A0D14">
        <w:rPr>
          <w:lang w:val="fr-FR"/>
        </w:rPr>
        <w:t> </w:t>
      </w:r>
      <w:r w:rsidRPr="00CE3D88">
        <w:rPr>
          <w:lang w:val="fr-FR"/>
        </w:rPr>
        <w:t xml:space="preserve">4) </w:t>
      </w:r>
    </w:p>
    <w:p w14:paraId="79FB6F7D" w14:textId="312EFB9C" w:rsidR="00C6275F" w:rsidRPr="004C2AB4" w:rsidRDefault="00C6275F" w:rsidP="00FC51B1">
      <w:pPr>
        <w:pStyle w:val="CH2"/>
      </w:pPr>
      <w:r w:rsidRPr="00CE3D88">
        <w:rPr>
          <w:lang w:val="fr-FR"/>
        </w:rPr>
        <w:tab/>
      </w:r>
      <w:r w:rsidRPr="00CE3D88">
        <w:rPr>
          <w:lang w:val="fr-FR"/>
        </w:rPr>
        <w:tab/>
      </w:r>
      <w:r w:rsidRPr="00035ED3">
        <w:t xml:space="preserve">Note </w:t>
      </w:r>
      <w:r w:rsidR="00CE3D88">
        <w:t xml:space="preserve">du secrétariat </w:t>
      </w:r>
    </w:p>
    <w:p w14:paraId="3DF0FFB4" w14:textId="7F773257" w:rsidR="00C6275F" w:rsidRPr="0045047A" w:rsidRDefault="007B203B" w:rsidP="00FC51B1">
      <w:pPr>
        <w:pStyle w:val="Normalnumber"/>
        <w:numPr>
          <w:ilvl w:val="0"/>
          <w:numId w:val="3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>
        <w:rPr>
          <w:lang w:val="fr-FR"/>
        </w:rPr>
        <w:t>L</w:t>
      </w:r>
      <w:r w:rsidR="00393E01">
        <w:rPr>
          <w:lang w:val="fr-FR"/>
        </w:rPr>
        <w:t>e paragraphe </w:t>
      </w:r>
      <w:r w:rsidR="00CA07B6">
        <w:rPr>
          <w:lang w:val="fr-FR"/>
        </w:rPr>
        <w:t>4 de l</w:t>
      </w:r>
      <w:r>
        <w:rPr>
          <w:lang w:val="fr-FR"/>
        </w:rPr>
        <w:t>’</w:t>
      </w:r>
      <w:r w:rsidR="00D323E0" w:rsidRPr="00D323E0">
        <w:rPr>
          <w:lang w:val="fr-FR"/>
        </w:rPr>
        <w:t>ar</w:t>
      </w:r>
      <w:r w:rsidR="00174FA1" w:rsidRPr="00D323E0">
        <w:rPr>
          <w:lang w:val="fr-FR"/>
        </w:rPr>
        <w:t>ticle</w:t>
      </w:r>
      <w:r w:rsidR="00393E01">
        <w:rPr>
          <w:lang w:val="fr-FR"/>
        </w:rPr>
        <w:t> </w:t>
      </w:r>
      <w:r w:rsidR="00174FA1" w:rsidRPr="00D323E0">
        <w:rPr>
          <w:lang w:val="fr-FR"/>
        </w:rPr>
        <w:t>14</w:t>
      </w:r>
      <w:r w:rsidR="00D323E0" w:rsidRPr="00D323E0">
        <w:rPr>
          <w:lang w:val="fr-FR"/>
        </w:rPr>
        <w:t xml:space="preserve"> </w:t>
      </w:r>
      <w:r w:rsidR="0045047A">
        <w:rPr>
          <w:lang w:val="fr-FR"/>
        </w:rPr>
        <w:t>de la Convention de Minamata</w:t>
      </w:r>
      <w:r w:rsidR="00442C88">
        <w:rPr>
          <w:lang w:val="fr-FR"/>
        </w:rPr>
        <w:t xml:space="preserve"> sur le mercure</w:t>
      </w:r>
      <w:r>
        <w:rPr>
          <w:lang w:val="fr-FR"/>
        </w:rPr>
        <w:t>,</w:t>
      </w:r>
      <w:r w:rsidR="0045047A">
        <w:rPr>
          <w:lang w:val="fr-FR"/>
        </w:rPr>
        <w:t xml:space="preserve"> </w:t>
      </w:r>
      <w:r w:rsidR="00D323E0" w:rsidRPr="00D323E0">
        <w:rPr>
          <w:lang w:val="fr-FR"/>
        </w:rPr>
        <w:t xml:space="preserve">relatif </w:t>
      </w:r>
      <w:r w:rsidR="00732321">
        <w:rPr>
          <w:lang w:val="fr-FR"/>
        </w:rPr>
        <w:t>à</w:t>
      </w:r>
      <w:r w:rsidR="00D323E0" w:rsidRPr="00D323E0">
        <w:rPr>
          <w:lang w:val="fr-FR"/>
        </w:rPr>
        <w:t xml:space="preserve"> l’assistance technique et au transfert de technologies</w:t>
      </w:r>
      <w:r>
        <w:rPr>
          <w:lang w:val="fr-FR"/>
        </w:rPr>
        <w:t>,</w:t>
      </w:r>
      <w:r w:rsidR="0045047A">
        <w:rPr>
          <w:lang w:val="fr-FR"/>
        </w:rPr>
        <w:t xml:space="preserve"> </w:t>
      </w:r>
      <w:r w:rsidR="00732321">
        <w:rPr>
          <w:lang w:val="fr-FR"/>
        </w:rPr>
        <w:t xml:space="preserve">prévoit </w:t>
      </w:r>
      <w:r w:rsidR="0045047A">
        <w:rPr>
          <w:lang w:val="fr-FR"/>
        </w:rPr>
        <w:t xml:space="preserve">que </w:t>
      </w:r>
      <w:r w:rsidR="00D323E0" w:rsidRPr="00D323E0">
        <w:rPr>
          <w:lang w:val="fr-FR"/>
        </w:rPr>
        <w:t>la Conférence des Part</w:t>
      </w:r>
      <w:r w:rsidR="00823728">
        <w:rPr>
          <w:lang w:val="fr-FR"/>
        </w:rPr>
        <w:t>ies, au plus tard à sa deuxième </w:t>
      </w:r>
      <w:r w:rsidR="00D323E0" w:rsidRPr="00D323E0">
        <w:rPr>
          <w:lang w:val="fr-FR"/>
        </w:rPr>
        <w:t>r</w:t>
      </w:r>
      <w:r w:rsidR="00732321">
        <w:rPr>
          <w:lang w:val="fr-FR"/>
        </w:rPr>
        <w:t>é</w:t>
      </w:r>
      <w:r w:rsidR="00D323E0" w:rsidRPr="00D323E0">
        <w:rPr>
          <w:lang w:val="fr-FR"/>
        </w:rPr>
        <w:t>union et, par la suite, à intervalles réguliers, examine les informations sur les initiatives en cours et les progr</w:t>
      </w:r>
      <w:r w:rsidR="00D323E0">
        <w:rPr>
          <w:lang w:val="fr-FR"/>
        </w:rPr>
        <w:t>è</w:t>
      </w:r>
      <w:r w:rsidR="00D323E0" w:rsidRPr="00D323E0">
        <w:rPr>
          <w:lang w:val="fr-FR"/>
        </w:rPr>
        <w:t>s accomplis dans le domaine des technologies de remplacement, évalue les besoins</w:t>
      </w:r>
      <w:r w:rsidR="00D323E0">
        <w:rPr>
          <w:lang w:val="fr-FR"/>
        </w:rPr>
        <w:t xml:space="preserve"> des Parties en matière de technologies de remplacement, en particulier ceux des Parties qui sont des pays en d</w:t>
      </w:r>
      <w:r w:rsidR="00793605">
        <w:rPr>
          <w:lang w:val="fr-FR"/>
        </w:rPr>
        <w:t>é</w:t>
      </w:r>
      <w:r w:rsidR="00D323E0">
        <w:rPr>
          <w:lang w:val="fr-FR"/>
        </w:rPr>
        <w:t>veloppement</w:t>
      </w:r>
      <w:r w:rsidR="0045047A">
        <w:rPr>
          <w:lang w:val="fr-FR"/>
        </w:rPr>
        <w:t>,</w:t>
      </w:r>
      <w:r w:rsidR="00D323E0" w:rsidRPr="00D323E0">
        <w:rPr>
          <w:lang w:val="fr-FR"/>
        </w:rPr>
        <w:t xml:space="preserve"> </w:t>
      </w:r>
      <w:r w:rsidR="00D323E0">
        <w:rPr>
          <w:lang w:val="fr-FR"/>
        </w:rPr>
        <w:t>et identifie les défis rencontrés par les Parties, en particulier celles qui sont des pays en d</w:t>
      </w:r>
      <w:r w:rsidR="00CA07B6">
        <w:rPr>
          <w:lang w:val="fr-FR"/>
        </w:rPr>
        <w:t>é</w:t>
      </w:r>
      <w:r w:rsidR="00D323E0">
        <w:rPr>
          <w:lang w:val="fr-FR"/>
        </w:rPr>
        <w:t>veloppement</w:t>
      </w:r>
      <w:r w:rsidR="0045047A">
        <w:rPr>
          <w:lang w:val="fr-FR"/>
        </w:rPr>
        <w:t xml:space="preserve">, en matière de transfert de technologies. </w:t>
      </w:r>
      <w:r w:rsidR="0045047A" w:rsidRPr="0045047A">
        <w:rPr>
          <w:lang w:val="fr-FR"/>
        </w:rPr>
        <w:t xml:space="preserve">La Conférence des Parties devrait </w:t>
      </w:r>
      <w:r w:rsidR="00CA07B6">
        <w:rPr>
          <w:lang w:val="fr-FR"/>
        </w:rPr>
        <w:t xml:space="preserve">pour ce faire tenir </w:t>
      </w:r>
      <w:r w:rsidR="0045047A" w:rsidRPr="0045047A">
        <w:rPr>
          <w:lang w:val="fr-FR"/>
        </w:rPr>
        <w:t xml:space="preserve">compte </w:t>
      </w:r>
      <w:r w:rsidR="00CA07B6">
        <w:rPr>
          <w:lang w:val="fr-FR"/>
        </w:rPr>
        <w:t>d</w:t>
      </w:r>
      <w:r w:rsidR="0045047A" w:rsidRPr="0045047A">
        <w:rPr>
          <w:lang w:val="fr-FR"/>
        </w:rPr>
        <w:t xml:space="preserve">es communications et </w:t>
      </w:r>
      <w:r w:rsidR="00CA07B6">
        <w:rPr>
          <w:lang w:val="fr-FR"/>
        </w:rPr>
        <w:t xml:space="preserve">des </w:t>
      </w:r>
      <w:r w:rsidR="0045047A" w:rsidRPr="0045047A">
        <w:rPr>
          <w:lang w:val="fr-FR"/>
        </w:rPr>
        <w:t xml:space="preserve">rapports soumis par les Parties, y </w:t>
      </w:r>
      <w:r w:rsidR="00393E01">
        <w:rPr>
          <w:lang w:val="fr-FR"/>
        </w:rPr>
        <w:t>compris ceux requis à l’article </w:t>
      </w:r>
      <w:r w:rsidR="0045047A" w:rsidRPr="0045047A">
        <w:rPr>
          <w:lang w:val="fr-FR"/>
        </w:rPr>
        <w:t xml:space="preserve">21, ainsi </w:t>
      </w:r>
      <w:r w:rsidR="00FE4FED">
        <w:rPr>
          <w:lang w:val="fr-FR"/>
        </w:rPr>
        <w:t>q</w:t>
      </w:r>
      <w:r w:rsidR="0045047A" w:rsidRPr="0045047A">
        <w:rPr>
          <w:lang w:val="fr-FR"/>
        </w:rPr>
        <w:t xml:space="preserve">ue </w:t>
      </w:r>
      <w:r w:rsidR="00CA07B6">
        <w:rPr>
          <w:lang w:val="fr-FR"/>
        </w:rPr>
        <w:t>d</w:t>
      </w:r>
      <w:r w:rsidR="0045047A" w:rsidRPr="0045047A">
        <w:rPr>
          <w:lang w:val="fr-FR"/>
        </w:rPr>
        <w:t xml:space="preserve">es informations fournies par d’autres parties prenantes. </w:t>
      </w:r>
    </w:p>
    <w:p w14:paraId="618E6871" w14:textId="0DB22C2C" w:rsidR="00C6275F" w:rsidRPr="00CA07B6" w:rsidRDefault="00823728" w:rsidP="00FC51B1">
      <w:pPr>
        <w:pStyle w:val="Normalnumber"/>
        <w:numPr>
          <w:ilvl w:val="0"/>
          <w:numId w:val="3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>
        <w:rPr>
          <w:lang w:val="fr-FR"/>
        </w:rPr>
        <w:t>À</w:t>
      </w:r>
      <w:r w:rsidR="0045047A" w:rsidRPr="00FE4FED">
        <w:rPr>
          <w:lang w:val="fr-FR"/>
        </w:rPr>
        <w:t xml:space="preserve"> la suite de l’examen de la question à la première r</w:t>
      </w:r>
      <w:r w:rsidR="00CA07B6">
        <w:rPr>
          <w:lang w:val="fr-FR"/>
        </w:rPr>
        <w:t>é</w:t>
      </w:r>
      <w:r w:rsidR="0045047A" w:rsidRPr="00FE4FED">
        <w:rPr>
          <w:lang w:val="fr-FR"/>
        </w:rPr>
        <w:t xml:space="preserve">union de la Conférence des Parties, </w:t>
      </w:r>
      <w:r w:rsidR="00CA07B6">
        <w:rPr>
          <w:lang w:val="fr-FR"/>
        </w:rPr>
        <w:t xml:space="preserve">qui s’est </w:t>
      </w:r>
      <w:r w:rsidR="00393E01">
        <w:rPr>
          <w:lang w:val="fr-FR"/>
        </w:rPr>
        <w:t>tenue à Genève du 24 au 29 </w:t>
      </w:r>
      <w:r w:rsidR="0045047A" w:rsidRPr="00FE4FED">
        <w:rPr>
          <w:lang w:val="fr-FR"/>
        </w:rPr>
        <w:t>septembre 2017, le secr</w:t>
      </w:r>
      <w:r w:rsidR="00CA07B6">
        <w:rPr>
          <w:lang w:val="fr-FR"/>
        </w:rPr>
        <w:t>é</w:t>
      </w:r>
      <w:r w:rsidR="0045047A" w:rsidRPr="00FE4FED">
        <w:rPr>
          <w:lang w:val="fr-FR"/>
        </w:rPr>
        <w:t xml:space="preserve">tariat a demandé aux Parties </w:t>
      </w:r>
      <w:r w:rsidR="00FE4FED" w:rsidRPr="00FE4FED">
        <w:rPr>
          <w:lang w:val="fr-FR"/>
        </w:rPr>
        <w:t xml:space="preserve">et aux autres parties prenantes de soumettre des communications et des rapports au sujet des questions susmentionnées, ainsi </w:t>
      </w:r>
      <w:r w:rsidR="00393E01">
        <w:rPr>
          <w:lang w:val="fr-FR"/>
        </w:rPr>
        <w:t>qu’il est indiqué au paragraphe 4 de l’article </w:t>
      </w:r>
      <w:r w:rsidR="00FE4FED" w:rsidRPr="00FE4FED">
        <w:rPr>
          <w:lang w:val="fr-FR"/>
        </w:rPr>
        <w:t xml:space="preserve">14. </w:t>
      </w:r>
    </w:p>
    <w:p w14:paraId="2F499EE7" w14:textId="06FD7C08" w:rsidR="00C6275F" w:rsidRPr="00FE4FED" w:rsidRDefault="00370918" w:rsidP="00FC51B1">
      <w:pPr>
        <w:pStyle w:val="Normalnumber"/>
        <w:numPr>
          <w:ilvl w:val="0"/>
          <w:numId w:val="3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>
        <w:rPr>
          <w:lang w:val="fr-FR"/>
        </w:rPr>
        <w:t>Des communications ont été</w:t>
      </w:r>
      <w:r w:rsidR="00FE4FED" w:rsidRPr="00FE4FED">
        <w:rPr>
          <w:lang w:val="fr-FR"/>
        </w:rPr>
        <w:t xml:space="preserve"> reç</w:t>
      </w:r>
      <w:r w:rsidR="00823728">
        <w:rPr>
          <w:lang w:val="fr-FR"/>
        </w:rPr>
        <w:t>ues de trois </w:t>
      </w:r>
      <w:r w:rsidR="00FE4FED" w:rsidRPr="00FE4FED">
        <w:rPr>
          <w:lang w:val="fr-FR"/>
        </w:rPr>
        <w:t>Parties, à savoir le</w:t>
      </w:r>
      <w:r w:rsidR="00393E01">
        <w:rPr>
          <w:lang w:val="fr-FR"/>
        </w:rPr>
        <w:t>s É</w:t>
      </w:r>
      <w:r w:rsidR="00442C88">
        <w:rPr>
          <w:lang w:val="fr-FR"/>
        </w:rPr>
        <w:t xml:space="preserve">tats-Unis d’Amérique, le </w:t>
      </w:r>
      <w:r w:rsidR="00FE4FED" w:rsidRPr="00FE4FED">
        <w:rPr>
          <w:lang w:val="fr-FR"/>
        </w:rPr>
        <w:t>Japon</w:t>
      </w:r>
      <w:r w:rsidR="00442C88">
        <w:rPr>
          <w:lang w:val="fr-FR"/>
        </w:rPr>
        <w:t xml:space="preserve"> et </w:t>
      </w:r>
      <w:r w:rsidR="00FE4FED" w:rsidRPr="00FE4FED">
        <w:rPr>
          <w:lang w:val="fr-FR"/>
        </w:rPr>
        <w:t xml:space="preserve">le Nigéria, et de deux organisations non </w:t>
      </w:r>
      <w:r w:rsidR="00FE4FED">
        <w:rPr>
          <w:lang w:val="fr-FR"/>
        </w:rPr>
        <w:t>gouvernementales, à savoir le Ré</w:t>
      </w:r>
      <w:r w:rsidR="00FE4FED" w:rsidRPr="00FE4FED">
        <w:rPr>
          <w:lang w:val="fr-FR"/>
        </w:rPr>
        <w:t xml:space="preserve">seau international pour l’élimination des polluants organiques persistants et le Groupe de travail </w:t>
      </w:r>
      <w:r w:rsidR="00FE4FED">
        <w:rPr>
          <w:lang w:val="fr-FR"/>
        </w:rPr>
        <w:t xml:space="preserve">Zéro mercure. Ces communications ont été rassemblées dans le document paru sous la cote </w:t>
      </w:r>
      <w:r w:rsidR="00C6275F" w:rsidRPr="00FE4FED">
        <w:rPr>
          <w:lang w:val="fr-FR"/>
        </w:rPr>
        <w:t xml:space="preserve">UNEP/MC/COP.2/INF/5 </w:t>
      </w:r>
      <w:r>
        <w:rPr>
          <w:lang w:val="fr-FR"/>
        </w:rPr>
        <w:t xml:space="preserve">et sont également disponibles sur le site de la Convention de Minamata, à l’adresse </w:t>
      </w:r>
      <w:hyperlink r:id="rId11" w:history="1">
        <w:r w:rsidR="00C6275F" w:rsidRPr="00FE4FED">
          <w:rPr>
            <w:lang w:val="fr-FR"/>
          </w:rPr>
          <w:t>www.mercuryconvention.org/Meetings/Intersessionalnbsp;work/tabid/6325/language/en-US/Default.aspx</w:t>
        </w:r>
      </w:hyperlink>
      <w:r w:rsidR="00C6275F" w:rsidRPr="00FE4FED">
        <w:rPr>
          <w:lang w:val="fr-FR"/>
        </w:rPr>
        <w:t>.</w:t>
      </w:r>
    </w:p>
    <w:p w14:paraId="3661D451" w14:textId="6F9EE136" w:rsidR="00C6275F" w:rsidRPr="00987230" w:rsidRDefault="00370918" w:rsidP="006F5BCF">
      <w:pPr>
        <w:pStyle w:val="Normalnumber"/>
        <w:keepNext/>
        <w:keepLines/>
        <w:numPr>
          <w:ilvl w:val="0"/>
          <w:numId w:val="3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 w:rsidRPr="00370918">
        <w:rPr>
          <w:lang w:val="fr-FR"/>
        </w:rPr>
        <w:lastRenderedPageBreak/>
        <w:t xml:space="preserve">Les </w:t>
      </w:r>
      <w:r w:rsidR="00CA07B6">
        <w:rPr>
          <w:lang w:val="fr-FR"/>
        </w:rPr>
        <w:t xml:space="preserve">communications reçues </w:t>
      </w:r>
      <w:r w:rsidRPr="00370918">
        <w:rPr>
          <w:lang w:val="fr-FR"/>
        </w:rPr>
        <w:t xml:space="preserve">donnent un apercu </w:t>
      </w:r>
      <w:r w:rsidR="00732321">
        <w:rPr>
          <w:lang w:val="fr-FR"/>
        </w:rPr>
        <w:t xml:space="preserve">général de la </w:t>
      </w:r>
      <w:r w:rsidRPr="00370918">
        <w:rPr>
          <w:lang w:val="fr-FR"/>
        </w:rPr>
        <w:t xml:space="preserve">gamme de technologies </w:t>
      </w:r>
      <w:r w:rsidR="00442C88">
        <w:rPr>
          <w:lang w:val="fr-FR"/>
        </w:rPr>
        <w:t xml:space="preserve">de remplacement </w:t>
      </w:r>
      <w:r w:rsidRPr="00370918">
        <w:rPr>
          <w:lang w:val="fr-FR"/>
        </w:rPr>
        <w:t>qui ont été mises au point pour traiter de</w:t>
      </w:r>
      <w:r w:rsidR="00442C88">
        <w:rPr>
          <w:lang w:val="fr-FR"/>
        </w:rPr>
        <w:t xml:space="preserve"> la qu</w:t>
      </w:r>
      <w:r w:rsidRPr="00370918">
        <w:rPr>
          <w:lang w:val="fr-FR"/>
        </w:rPr>
        <w:t>estion</w:t>
      </w:r>
      <w:r w:rsidR="00442C88">
        <w:rPr>
          <w:lang w:val="fr-FR"/>
        </w:rPr>
        <w:t xml:space="preserve"> du </w:t>
      </w:r>
      <w:r w:rsidRPr="00370918">
        <w:rPr>
          <w:lang w:val="fr-FR"/>
        </w:rPr>
        <w:t>mercure ainsi que des exemples de la manière dont ell</w:t>
      </w:r>
      <w:r w:rsidR="00732321">
        <w:rPr>
          <w:lang w:val="fr-FR"/>
        </w:rPr>
        <w:t>e</w:t>
      </w:r>
      <w:r w:rsidRPr="00370918">
        <w:rPr>
          <w:lang w:val="fr-FR"/>
        </w:rPr>
        <w:t>s ont été utilisées, notamment dans le cadre d</w:t>
      </w:r>
      <w:r w:rsidR="00732321">
        <w:rPr>
          <w:lang w:val="fr-FR"/>
        </w:rPr>
        <w:t>e</w:t>
      </w:r>
      <w:r w:rsidR="00442C88">
        <w:rPr>
          <w:lang w:val="fr-FR"/>
        </w:rPr>
        <w:t>s activités d’</w:t>
      </w:r>
      <w:r>
        <w:rPr>
          <w:lang w:val="fr-FR"/>
        </w:rPr>
        <w:t>assi</w:t>
      </w:r>
      <w:r w:rsidRPr="00370918">
        <w:rPr>
          <w:lang w:val="fr-FR"/>
        </w:rPr>
        <w:t>stance techni</w:t>
      </w:r>
      <w:r>
        <w:rPr>
          <w:lang w:val="fr-FR"/>
        </w:rPr>
        <w:t>q</w:t>
      </w:r>
      <w:r w:rsidRPr="00370918">
        <w:rPr>
          <w:lang w:val="fr-FR"/>
        </w:rPr>
        <w:t>ue et d</w:t>
      </w:r>
      <w:r w:rsidR="00EF701E">
        <w:rPr>
          <w:lang w:val="fr-FR"/>
        </w:rPr>
        <w:t>e</w:t>
      </w:r>
      <w:r>
        <w:rPr>
          <w:lang w:val="fr-FR"/>
        </w:rPr>
        <w:t xml:space="preserve"> renforcement des capacités dans les pays en d</w:t>
      </w:r>
      <w:r w:rsidR="00732321">
        <w:rPr>
          <w:lang w:val="fr-FR"/>
        </w:rPr>
        <w:t>é</w:t>
      </w:r>
      <w:r>
        <w:rPr>
          <w:lang w:val="fr-FR"/>
        </w:rPr>
        <w:t xml:space="preserve">veloppement et les pays à </w:t>
      </w:r>
      <w:r w:rsidR="00732321">
        <w:rPr>
          <w:lang w:val="fr-FR"/>
        </w:rPr>
        <w:t>é</w:t>
      </w:r>
      <w:r>
        <w:rPr>
          <w:lang w:val="fr-FR"/>
        </w:rPr>
        <w:t xml:space="preserve">conomie en transition. </w:t>
      </w:r>
      <w:r w:rsidRPr="00987230">
        <w:rPr>
          <w:lang w:val="fr-FR"/>
        </w:rPr>
        <w:t>Un</w:t>
      </w:r>
      <w:r w:rsidR="00987230" w:rsidRPr="00987230">
        <w:rPr>
          <w:lang w:val="fr-FR"/>
        </w:rPr>
        <w:t xml:space="preserve">e Partie qui est un </w:t>
      </w:r>
      <w:r w:rsidRPr="00987230">
        <w:rPr>
          <w:lang w:val="fr-FR"/>
        </w:rPr>
        <w:t xml:space="preserve">pays </w:t>
      </w:r>
      <w:r w:rsidR="00987230" w:rsidRPr="00987230">
        <w:rPr>
          <w:lang w:val="fr-FR"/>
        </w:rPr>
        <w:t xml:space="preserve">en développement </w:t>
      </w:r>
      <w:r w:rsidR="00987230">
        <w:rPr>
          <w:lang w:val="fr-FR"/>
        </w:rPr>
        <w:t xml:space="preserve">a, dans sa communication, mis en évidence </w:t>
      </w:r>
      <w:r w:rsidR="00987230" w:rsidRPr="00987230">
        <w:rPr>
          <w:lang w:val="fr-FR"/>
        </w:rPr>
        <w:t xml:space="preserve">les domaines </w:t>
      </w:r>
      <w:r w:rsidR="00C02566">
        <w:rPr>
          <w:lang w:val="fr-FR"/>
        </w:rPr>
        <w:t>où</w:t>
      </w:r>
      <w:r w:rsidR="00732321">
        <w:rPr>
          <w:lang w:val="fr-FR"/>
        </w:rPr>
        <w:t xml:space="preserve"> le besoin </w:t>
      </w:r>
      <w:r w:rsidR="00987230">
        <w:rPr>
          <w:lang w:val="fr-FR"/>
        </w:rPr>
        <w:t>de programmes de transfert de technologies, d’assistance technique et de renforcement des capacités</w:t>
      </w:r>
      <w:r w:rsidR="00732321">
        <w:rPr>
          <w:lang w:val="fr-FR"/>
        </w:rPr>
        <w:t xml:space="preserve"> a été identifé</w:t>
      </w:r>
      <w:r w:rsidR="00C6275F" w:rsidRPr="00987230">
        <w:rPr>
          <w:lang w:val="fr-FR"/>
        </w:rPr>
        <w:t xml:space="preserve">. </w:t>
      </w:r>
    </w:p>
    <w:p w14:paraId="621AFD71" w14:textId="3043CACA" w:rsidR="00C6275F" w:rsidRPr="00987230" w:rsidRDefault="00987230" w:rsidP="00987230">
      <w:pPr>
        <w:pStyle w:val="CH2"/>
        <w:ind w:firstLine="0"/>
        <w:rPr>
          <w:b w:val="0"/>
          <w:lang w:val="fr-FR"/>
        </w:rPr>
      </w:pPr>
      <w:r>
        <w:rPr>
          <w:lang w:val="fr-FR"/>
        </w:rPr>
        <w:t>Mesures que pourrait prendre la Conf</w:t>
      </w:r>
      <w:r w:rsidR="0039490B">
        <w:rPr>
          <w:lang w:val="fr-FR"/>
        </w:rPr>
        <w:t>é</w:t>
      </w:r>
      <w:r>
        <w:rPr>
          <w:lang w:val="fr-FR"/>
        </w:rPr>
        <w:t xml:space="preserve">rence des Parties </w:t>
      </w:r>
    </w:p>
    <w:p w14:paraId="4079C5F9" w14:textId="376C2060" w:rsidR="00C6275F" w:rsidRPr="0039490B" w:rsidRDefault="00987230" w:rsidP="00FC51B1">
      <w:pPr>
        <w:pStyle w:val="Normalnumber"/>
        <w:numPr>
          <w:ilvl w:val="0"/>
          <w:numId w:val="3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 w:rsidRPr="00464766">
        <w:rPr>
          <w:lang w:val="fr-FR"/>
        </w:rPr>
        <w:t>L</w:t>
      </w:r>
      <w:r w:rsidR="00464766" w:rsidRPr="00464766">
        <w:rPr>
          <w:lang w:val="fr-FR"/>
        </w:rPr>
        <w:t>a</w:t>
      </w:r>
      <w:r w:rsidRPr="00464766">
        <w:rPr>
          <w:lang w:val="fr-FR"/>
        </w:rPr>
        <w:t xml:space="preserve"> Confé</w:t>
      </w:r>
      <w:r w:rsidR="00C6275F" w:rsidRPr="00464766">
        <w:rPr>
          <w:lang w:val="fr-FR"/>
        </w:rPr>
        <w:t xml:space="preserve">rence </w:t>
      </w:r>
      <w:r w:rsidRPr="00464766">
        <w:rPr>
          <w:lang w:val="fr-FR"/>
        </w:rPr>
        <w:t xml:space="preserve">des </w:t>
      </w:r>
      <w:r w:rsidR="00C6275F" w:rsidRPr="00464766">
        <w:rPr>
          <w:lang w:val="fr-FR"/>
        </w:rPr>
        <w:t xml:space="preserve">Parties </w:t>
      </w:r>
      <w:r w:rsidR="00C02566">
        <w:rPr>
          <w:lang w:val="fr-FR"/>
        </w:rPr>
        <w:t>souhaitera peut-ê</w:t>
      </w:r>
      <w:r w:rsidR="00464766" w:rsidRPr="00464766">
        <w:rPr>
          <w:lang w:val="fr-FR"/>
        </w:rPr>
        <w:t>tre examiner les informations cont</w:t>
      </w:r>
      <w:r w:rsidR="00464766">
        <w:rPr>
          <w:lang w:val="fr-FR"/>
        </w:rPr>
        <w:t>e</w:t>
      </w:r>
      <w:r w:rsidR="00464766" w:rsidRPr="00464766">
        <w:rPr>
          <w:lang w:val="fr-FR"/>
        </w:rPr>
        <w:t>nues dans les communications reçues, et a</w:t>
      </w:r>
      <w:r w:rsidR="00464766">
        <w:rPr>
          <w:lang w:val="fr-FR"/>
        </w:rPr>
        <w:t xml:space="preserve">ppeler </w:t>
      </w:r>
      <w:r w:rsidR="00464766" w:rsidRPr="00464766">
        <w:rPr>
          <w:lang w:val="fr-FR"/>
        </w:rPr>
        <w:t xml:space="preserve">l’attention des Parties et des parties prenantes concernées, en particulier celles qui fournissent </w:t>
      </w:r>
      <w:r w:rsidR="00793605">
        <w:rPr>
          <w:lang w:val="fr-FR"/>
        </w:rPr>
        <w:t>le</w:t>
      </w:r>
      <w:r w:rsidR="00464766">
        <w:rPr>
          <w:lang w:val="fr-FR"/>
        </w:rPr>
        <w:t xml:space="preserve"> renforcement des capacités et </w:t>
      </w:r>
      <w:r w:rsidR="00793605">
        <w:rPr>
          <w:lang w:val="fr-FR"/>
        </w:rPr>
        <w:t>l’</w:t>
      </w:r>
      <w:r w:rsidR="00464766">
        <w:rPr>
          <w:lang w:val="fr-FR"/>
        </w:rPr>
        <w:t>assista</w:t>
      </w:r>
      <w:r w:rsidR="002E5529">
        <w:rPr>
          <w:lang w:val="fr-FR"/>
        </w:rPr>
        <w:t>nce technique visés à l’article </w:t>
      </w:r>
      <w:r w:rsidR="00464766">
        <w:rPr>
          <w:lang w:val="fr-FR"/>
        </w:rPr>
        <w:t>14, sur les technologies de remplacement, les initiatives en cours et les activités mentionnées dans les communications ainsi que sur les besoins et les pro</w:t>
      </w:r>
      <w:bookmarkStart w:id="5" w:name="_GoBack"/>
      <w:bookmarkEnd w:id="5"/>
      <w:r w:rsidR="00464766">
        <w:rPr>
          <w:lang w:val="fr-FR"/>
        </w:rPr>
        <w:t xml:space="preserve">blèmes qui y sont décrits. </w:t>
      </w:r>
      <w:r w:rsidR="00464766" w:rsidRPr="0039490B">
        <w:rPr>
          <w:lang w:val="fr-FR"/>
        </w:rPr>
        <w:t xml:space="preserve">La </w:t>
      </w:r>
      <w:r w:rsidR="00C6275F" w:rsidRPr="0039490B">
        <w:rPr>
          <w:lang w:val="fr-FR"/>
        </w:rPr>
        <w:t>Conf</w:t>
      </w:r>
      <w:r w:rsidR="00464766" w:rsidRPr="0039490B">
        <w:rPr>
          <w:lang w:val="fr-FR"/>
        </w:rPr>
        <w:t>é</w:t>
      </w:r>
      <w:r w:rsidR="00C6275F" w:rsidRPr="0039490B">
        <w:rPr>
          <w:lang w:val="fr-FR"/>
        </w:rPr>
        <w:t xml:space="preserve">rence </w:t>
      </w:r>
      <w:r w:rsidR="00464766" w:rsidRPr="0039490B">
        <w:rPr>
          <w:lang w:val="fr-FR"/>
        </w:rPr>
        <w:t xml:space="preserve">des </w:t>
      </w:r>
      <w:r w:rsidR="00C6275F" w:rsidRPr="0039490B">
        <w:rPr>
          <w:lang w:val="fr-FR"/>
        </w:rPr>
        <w:t xml:space="preserve">Parties </w:t>
      </w:r>
      <w:r w:rsidR="00C02566">
        <w:rPr>
          <w:lang w:val="fr-FR"/>
        </w:rPr>
        <w:t>souhaitera peut-ê</w:t>
      </w:r>
      <w:r w:rsidR="00464766" w:rsidRPr="0039490B">
        <w:rPr>
          <w:lang w:val="fr-FR"/>
        </w:rPr>
        <w:t xml:space="preserve">tre également examiner la question plus avant à sa </w:t>
      </w:r>
      <w:r w:rsidR="002E5529">
        <w:rPr>
          <w:lang w:val="fr-FR"/>
        </w:rPr>
        <w:t>quatrième </w:t>
      </w:r>
      <w:r w:rsidR="0039490B" w:rsidRPr="0039490B">
        <w:rPr>
          <w:lang w:val="fr-FR"/>
        </w:rPr>
        <w:t>r</w:t>
      </w:r>
      <w:r w:rsidR="00793605">
        <w:rPr>
          <w:lang w:val="fr-FR"/>
        </w:rPr>
        <w:t>é</w:t>
      </w:r>
      <w:r w:rsidR="0039490B" w:rsidRPr="0039490B">
        <w:rPr>
          <w:lang w:val="fr-FR"/>
        </w:rPr>
        <w:t xml:space="preserve">union, en tenant compte des communications et </w:t>
      </w:r>
      <w:r w:rsidR="00793605">
        <w:rPr>
          <w:lang w:val="fr-FR"/>
        </w:rPr>
        <w:t xml:space="preserve">des </w:t>
      </w:r>
      <w:r w:rsidR="0039490B" w:rsidRPr="0039490B">
        <w:rPr>
          <w:lang w:val="fr-FR"/>
        </w:rPr>
        <w:t xml:space="preserve">rapports supplémentaires soumis par les Parties </w:t>
      </w:r>
      <w:r w:rsidR="00793605">
        <w:rPr>
          <w:lang w:val="fr-FR"/>
        </w:rPr>
        <w:t>ainsi que d</w:t>
      </w:r>
      <w:r w:rsidR="0039490B" w:rsidRPr="0039490B">
        <w:rPr>
          <w:lang w:val="fr-FR"/>
        </w:rPr>
        <w:t>es informations fournies par d’autres parties prenantes, compilées par le secretariat</w:t>
      </w:r>
      <w:r w:rsidR="0039490B">
        <w:rPr>
          <w:lang w:val="fr-FR"/>
        </w:rPr>
        <w:t xml:space="preserve"> et communiquées par les Part</w:t>
      </w:r>
      <w:r w:rsidR="002E5529">
        <w:rPr>
          <w:lang w:val="fr-FR"/>
        </w:rPr>
        <w:t>ies en application de l’article </w:t>
      </w:r>
      <w:r w:rsidR="0039490B">
        <w:rPr>
          <w:lang w:val="fr-FR"/>
        </w:rPr>
        <w:t xml:space="preserve">21. </w:t>
      </w:r>
      <w:r w:rsidR="00C6275F" w:rsidRPr="0039490B">
        <w:rPr>
          <w:lang w:val="fr-F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E976AB" w:rsidRPr="00C02566" w14:paraId="6DB0CABC" w14:textId="77777777" w:rsidTr="00990918">
        <w:tc>
          <w:tcPr>
            <w:tcW w:w="1942" w:type="dxa"/>
            <w:shd w:val="clear" w:color="auto" w:fill="auto"/>
          </w:tcPr>
          <w:p w14:paraId="6D3F7C2C" w14:textId="77777777" w:rsidR="00E976AB" w:rsidRPr="0039490B" w:rsidRDefault="00E976AB" w:rsidP="001179F2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rPr>
                <w:lang w:val="fr-FR"/>
              </w:rPr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39490B" w:rsidRDefault="00E976AB" w:rsidP="001179F2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rPr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39490B" w:rsidRDefault="00E976AB" w:rsidP="001179F2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480"/>
              <w:rPr>
                <w:lang w:val="fr-FR"/>
              </w:rPr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39490B" w:rsidRDefault="00E976AB" w:rsidP="001179F2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rPr>
                <w:lang w:val="fr-FR"/>
              </w:rPr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39490B" w:rsidRDefault="00E976AB" w:rsidP="001179F2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rPr>
                <w:lang w:val="fr-FR"/>
              </w:rPr>
            </w:pPr>
          </w:p>
        </w:tc>
      </w:tr>
      <w:bookmarkEnd w:id="4"/>
    </w:tbl>
    <w:p w14:paraId="325E8270" w14:textId="5BC268D8" w:rsidR="00032E4E" w:rsidRPr="001179F2" w:rsidRDefault="00032E4E" w:rsidP="007B0DE5">
      <w:pPr>
        <w:pStyle w:val="Normal-pool"/>
        <w:tabs>
          <w:tab w:val="left" w:pos="624"/>
          <w:tab w:val="left" w:pos="1871"/>
          <w:tab w:val="left" w:pos="2495"/>
        </w:tabs>
        <w:rPr>
          <w:sz w:val="24"/>
          <w:szCs w:val="24"/>
          <w:u w:val="single"/>
          <w:lang w:val="fr-FR"/>
        </w:rPr>
      </w:pPr>
    </w:p>
    <w:sectPr w:rsidR="00032E4E" w:rsidRPr="001179F2" w:rsidSect="006F5B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851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81B1A" w14:textId="77777777" w:rsidR="008E1AE5" w:rsidRDefault="008E1AE5">
      <w:r>
        <w:separator/>
      </w:r>
    </w:p>
  </w:endnote>
  <w:endnote w:type="continuationSeparator" w:id="0">
    <w:p w14:paraId="59F7FFF7" w14:textId="77777777" w:rsidR="008E1AE5" w:rsidRDefault="008E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A827" w14:textId="67ECAA88" w:rsidR="006111FE" w:rsidRDefault="006111F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9B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48B7" w14:textId="45E749A2" w:rsidR="006111FE" w:rsidRDefault="006111FE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75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713FF" w14:textId="4343C297" w:rsidR="004455F3" w:rsidRDefault="004455F3">
    <w:pPr>
      <w:pStyle w:val="Footer"/>
    </w:pPr>
    <w:r>
      <w:t>K180</w:t>
    </w:r>
    <w:r w:rsidR="00C6275F">
      <w:t>2578</w:t>
    </w:r>
    <w:r>
      <w:tab/>
    </w:r>
    <w:r w:rsidR="00823728">
      <w:t>04</w:t>
    </w:r>
    <w:r w:rsidR="00A3408F">
      <w:t>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510A" w14:textId="77777777" w:rsidR="008E1AE5" w:rsidRDefault="008E1AE5" w:rsidP="00D92DE0">
      <w:pPr>
        <w:ind w:left="624"/>
      </w:pPr>
      <w:r>
        <w:separator/>
      </w:r>
    </w:p>
  </w:footnote>
  <w:footnote w:type="continuationSeparator" w:id="0">
    <w:p w14:paraId="6432A8AB" w14:textId="77777777" w:rsidR="008E1AE5" w:rsidRDefault="008E1AE5">
      <w:r>
        <w:continuationSeparator/>
      </w:r>
    </w:p>
  </w:footnote>
  <w:footnote w:id="1">
    <w:p w14:paraId="1AACA6D8" w14:textId="79FE825A" w:rsidR="00C6275F" w:rsidRDefault="00C6275F" w:rsidP="00C6275F">
      <w:pPr>
        <w:pStyle w:val="Standard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71"/>
          <w:tab w:val="left" w:pos="2494"/>
          <w:tab w:val="left" w:pos="3061"/>
          <w:tab w:val="left" w:pos="3628"/>
          <w:tab w:val="left" w:pos="4195"/>
          <w:tab w:val="left" w:pos="4762"/>
          <w:tab w:val="left" w:pos="5329"/>
        </w:tabs>
        <w:spacing w:before="20" w:after="40"/>
        <w:ind w:left="1247"/>
        <w:rPr>
          <w:sz w:val="18"/>
          <w:szCs w:val="18"/>
        </w:rPr>
      </w:pPr>
      <w:r w:rsidRPr="00FC51B1">
        <w:rPr>
          <w:rStyle w:val="FootnoteReference"/>
          <w:vertAlign w:val="baseline"/>
        </w:rPr>
        <w:t>*</w:t>
      </w:r>
      <w:r>
        <w:rPr>
          <w:sz w:val="18"/>
          <w:szCs w:val="18"/>
        </w:rPr>
        <w:t xml:space="preserve"> UNEP/MC/COP.2/1.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4E3A" w14:textId="12F64338" w:rsidR="006111FE" w:rsidRPr="00CA5CA9" w:rsidRDefault="006111FE" w:rsidP="00434321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COP.2</w:t>
    </w:r>
    <w:r w:rsidRPr="00CA5CA9">
      <w:rPr>
        <w:szCs w:val="18"/>
      </w:rPr>
      <w:t>/</w:t>
    </w:r>
    <w:r>
      <w:rPr>
        <w:szCs w:val="18"/>
      </w:rPr>
      <w:t>1</w:t>
    </w:r>
    <w:r w:rsidR="00C6275F">
      <w:rPr>
        <w:szCs w:val="18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1C51" w14:textId="0C7D8959" w:rsidR="006111FE" w:rsidRPr="00CA5CA9" w:rsidRDefault="006111FE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1</w:t>
    </w:r>
    <w:r w:rsidR="00C6275F">
      <w:rPr>
        <w:szCs w:val="18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8784" w14:textId="756A8827" w:rsidR="006111FE" w:rsidRDefault="006111FE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2"/>
  </w:num>
  <w:num w:numId="38">
    <w:abstractNumId w:val="2"/>
    <w:lvlOverride w:ilvl="0">
      <w:startOverride w:val="1"/>
    </w:lvlOverride>
  </w:num>
  <w:num w:numId="39">
    <w:abstractNumId w:val="4"/>
  </w:num>
  <w:num w:numId="40">
    <w:abstractNumId w:val="4"/>
  </w:num>
  <w:num w:numId="4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57BB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B22A2"/>
    <w:rsid w:val="000B541B"/>
    <w:rsid w:val="000B73F9"/>
    <w:rsid w:val="000C2A52"/>
    <w:rsid w:val="000C2A88"/>
    <w:rsid w:val="000D33C0"/>
    <w:rsid w:val="000D4CF6"/>
    <w:rsid w:val="000D6941"/>
    <w:rsid w:val="000F3DCD"/>
    <w:rsid w:val="000F4829"/>
    <w:rsid w:val="000F6B21"/>
    <w:rsid w:val="00102EFB"/>
    <w:rsid w:val="001179F2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395"/>
    <w:rsid w:val="00155A2F"/>
    <w:rsid w:val="00156B6B"/>
    <w:rsid w:val="00160D74"/>
    <w:rsid w:val="001646EA"/>
    <w:rsid w:val="00167D02"/>
    <w:rsid w:val="00173556"/>
    <w:rsid w:val="00174FA1"/>
    <w:rsid w:val="001759D8"/>
    <w:rsid w:val="00177D7F"/>
    <w:rsid w:val="00180C3F"/>
    <w:rsid w:val="00181EC8"/>
    <w:rsid w:val="00184349"/>
    <w:rsid w:val="00195F33"/>
    <w:rsid w:val="001A0D14"/>
    <w:rsid w:val="001A47E5"/>
    <w:rsid w:val="001B1617"/>
    <w:rsid w:val="001B504B"/>
    <w:rsid w:val="001B6F98"/>
    <w:rsid w:val="001C191A"/>
    <w:rsid w:val="001D3874"/>
    <w:rsid w:val="001D7E75"/>
    <w:rsid w:val="001E0D73"/>
    <w:rsid w:val="001E12EE"/>
    <w:rsid w:val="001E21C2"/>
    <w:rsid w:val="001E45BD"/>
    <w:rsid w:val="001E56D2"/>
    <w:rsid w:val="001E7D56"/>
    <w:rsid w:val="001F5186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5E44"/>
    <w:rsid w:val="00234E78"/>
    <w:rsid w:val="00243D36"/>
    <w:rsid w:val="00246151"/>
    <w:rsid w:val="00247707"/>
    <w:rsid w:val="00252456"/>
    <w:rsid w:val="0026018E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C145D"/>
    <w:rsid w:val="002C2C3E"/>
    <w:rsid w:val="002C4227"/>
    <w:rsid w:val="002C4F61"/>
    <w:rsid w:val="002C533E"/>
    <w:rsid w:val="002D027F"/>
    <w:rsid w:val="002D3E15"/>
    <w:rsid w:val="002D7A85"/>
    <w:rsid w:val="002D7B60"/>
    <w:rsid w:val="002E5529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968"/>
    <w:rsid w:val="00325D38"/>
    <w:rsid w:val="0035277E"/>
    <w:rsid w:val="00355EA9"/>
    <w:rsid w:val="003578DE"/>
    <w:rsid w:val="00361688"/>
    <w:rsid w:val="00367FD2"/>
    <w:rsid w:val="00370918"/>
    <w:rsid w:val="00380921"/>
    <w:rsid w:val="003877D5"/>
    <w:rsid w:val="003929B8"/>
    <w:rsid w:val="00393432"/>
    <w:rsid w:val="00393E01"/>
    <w:rsid w:val="0039490B"/>
    <w:rsid w:val="00396257"/>
    <w:rsid w:val="00397EB8"/>
    <w:rsid w:val="003A4FD0"/>
    <w:rsid w:val="003A69D1"/>
    <w:rsid w:val="003A7705"/>
    <w:rsid w:val="003A77F1"/>
    <w:rsid w:val="003B1545"/>
    <w:rsid w:val="003C0F26"/>
    <w:rsid w:val="003C3219"/>
    <w:rsid w:val="003C390C"/>
    <w:rsid w:val="003C409D"/>
    <w:rsid w:val="003C4544"/>
    <w:rsid w:val="003C5583"/>
    <w:rsid w:val="003C5BA6"/>
    <w:rsid w:val="003C74CF"/>
    <w:rsid w:val="003D3752"/>
    <w:rsid w:val="003E35DA"/>
    <w:rsid w:val="003E455D"/>
    <w:rsid w:val="003F0E85"/>
    <w:rsid w:val="00405245"/>
    <w:rsid w:val="00405DE0"/>
    <w:rsid w:val="00410C55"/>
    <w:rsid w:val="00413443"/>
    <w:rsid w:val="00416854"/>
    <w:rsid w:val="00417725"/>
    <w:rsid w:val="0042266F"/>
    <w:rsid w:val="00434321"/>
    <w:rsid w:val="00437F26"/>
    <w:rsid w:val="00442C88"/>
    <w:rsid w:val="00444097"/>
    <w:rsid w:val="00445487"/>
    <w:rsid w:val="004455F3"/>
    <w:rsid w:val="00447E0D"/>
    <w:rsid w:val="0045047A"/>
    <w:rsid w:val="00453EA8"/>
    <w:rsid w:val="00454769"/>
    <w:rsid w:val="00464766"/>
    <w:rsid w:val="00466991"/>
    <w:rsid w:val="0047064C"/>
    <w:rsid w:val="004822B7"/>
    <w:rsid w:val="0049469E"/>
    <w:rsid w:val="004A2217"/>
    <w:rsid w:val="004A24F9"/>
    <w:rsid w:val="004A42E1"/>
    <w:rsid w:val="004B162C"/>
    <w:rsid w:val="004B2ABE"/>
    <w:rsid w:val="004C3DBE"/>
    <w:rsid w:val="004C5C96"/>
    <w:rsid w:val="004C5E14"/>
    <w:rsid w:val="004D06A4"/>
    <w:rsid w:val="004F1A81"/>
    <w:rsid w:val="004F5D88"/>
    <w:rsid w:val="00501354"/>
    <w:rsid w:val="005050D2"/>
    <w:rsid w:val="005218D9"/>
    <w:rsid w:val="00536186"/>
    <w:rsid w:val="00544CBB"/>
    <w:rsid w:val="00551B65"/>
    <w:rsid w:val="00556704"/>
    <w:rsid w:val="00560FC7"/>
    <w:rsid w:val="005656D7"/>
    <w:rsid w:val="0057315F"/>
    <w:rsid w:val="0057433C"/>
    <w:rsid w:val="00576104"/>
    <w:rsid w:val="00586418"/>
    <w:rsid w:val="00592B21"/>
    <w:rsid w:val="005B2DF4"/>
    <w:rsid w:val="005B44BF"/>
    <w:rsid w:val="005C67C8"/>
    <w:rsid w:val="005D0249"/>
    <w:rsid w:val="005D18FA"/>
    <w:rsid w:val="005D4FD4"/>
    <w:rsid w:val="005D6E8C"/>
    <w:rsid w:val="005E3004"/>
    <w:rsid w:val="005F100C"/>
    <w:rsid w:val="005F68DA"/>
    <w:rsid w:val="005F7419"/>
    <w:rsid w:val="00601BC9"/>
    <w:rsid w:val="0060773B"/>
    <w:rsid w:val="006111FE"/>
    <w:rsid w:val="00613FD6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70FAE"/>
    <w:rsid w:val="00672B15"/>
    <w:rsid w:val="00677848"/>
    <w:rsid w:val="00692E2A"/>
    <w:rsid w:val="0069496A"/>
    <w:rsid w:val="00696C1C"/>
    <w:rsid w:val="006A76F2"/>
    <w:rsid w:val="006B0456"/>
    <w:rsid w:val="006B7D29"/>
    <w:rsid w:val="006D19D4"/>
    <w:rsid w:val="006D5644"/>
    <w:rsid w:val="006D7EFB"/>
    <w:rsid w:val="006E6672"/>
    <w:rsid w:val="006E6722"/>
    <w:rsid w:val="006F5BCF"/>
    <w:rsid w:val="006F7AFF"/>
    <w:rsid w:val="007027B9"/>
    <w:rsid w:val="007066B5"/>
    <w:rsid w:val="007145DA"/>
    <w:rsid w:val="00715E88"/>
    <w:rsid w:val="00716D8B"/>
    <w:rsid w:val="00732321"/>
    <w:rsid w:val="00734CAA"/>
    <w:rsid w:val="00740EE2"/>
    <w:rsid w:val="00742680"/>
    <w:rsid w:val="0075533C"/>
    <w:rsid w:val="00755A18"/>
    <w:rsid w:val="00757581"/>
    <w:rsid w:val="007602F5"/>
    <w:rsid w:val="00760D36"/>
    <w:rsid w:val="007611A0"/>
    <w:rsid w:val="00772574"/>
    <w:rsid w:val="00773E54"/>
    <w:rsid w:val="00787688"/>
    <w:rsid w:val="007935E6"/>
    <w:rsid w:val="00793605"/>
    <w:rsid w:val="00796D3F"/>
    <w:rsid w:val="007A1683"/>
    <w:rsid w:val="007A5C12"/>
    <w:rsid w:val="007A7CB0"/>
    <w:rsid w:val="007B0DE5"/>
    <w:rsid w:val="007B203B"/>
    <w:rsid w:val="007B68A3"/>
    <w:rsid w:val="007C2541"/>
    <w:rsid w:val="007D66A8"/>
    <w:rsid w:val="007E003F"/>
    <w:rsid w:val="007F0CF8"/>
    <w:rsid w:val="007F5E1B"/>
    <w:rsid w:val="007F62CB"/>
    <w:rsid w:val="008142EC"/>
    <w:rsid w:val="008164F2"/>
    <w:rsid w:val="00821395"/>
    <w:rsid w:val="00823728"/>
    <w:rsid w:val="00830E26"/>
    <w:rsid w:val="00834368"/>
    <w:rsid w:val="0083441A"/>
    <w:rsid w:val="00843576"/>
    <w:rsid w:val="00843B64"/>
    <w:rsid w:val="00845261"/>
    <w:rsid w:val="008478FC"/>
    <w:rsid w:val="00851C51"/>
    <w:rsid w:val="008538F7"/>
    <w:rsid w:val="00867BFF"/>
    <w:rsid w:val="00871542"/>
    <w:rsid w:val="00872BF6"/>
    <w:rsid w:val="00874046"/>
    <w:rsid w:val="0088480A"/>
    <w:rsid w:val="0088757A"/>
    <w:rsid w:val="0089431B"/>
    <w:rsid w:val="00894CA8"/>
    <w:rsid w:val="00895668"/>
    <w:rsid w:val="008957DD"/>
    <w:rsid w:val="00897D98"/>
    <w:rsid w:val="008A6DF2"/>
    <w:rsid w:val="008A7807"/>
    <w:rsid w:val="008B4CC9"/>
    <w:rsid w:val="008C0B15"/>
    <w:rsid w:val="008D75E4"/>
    <w:rsid w:val="008D7C99"/>
    <w:rsid w:val="008E0FCB"/>
    <w:rsid w:val="008E1AE5"/>
    <w:rsid w:val="008F6DFE"/>
    <w:rsid w:val="0090529F"/>
    <w:rsid w:val="009173C9"/>
    <w:rsid w:val="0092178C"/>
    <w:rsid w:val="00923ABB"/>
    <w:rsid w:val="00930B88"/>
    <w:rsid w:val="00935376"/>
    <w:rsid w:val="00940DCC"/>
    <w:rsid w:val="0094179A"/>
    <w:rsid w:val="0094459E"/>
    <w:rsid w:val="00944DBC"/>
    <w:rsid w:val="00950977"/>
    <w:rsid w:val="00951A7B"/>
    <w:rsid w:val="00955512"/>
    <w:rsid w:val="009564A6"/>
    <w:rsid w:val="00957EF8"/>
    <w:rsid w:val="00964637"/>
    <w:rsid w:val="00966A53"/>
    <w:rsid w:val="00967621"/>
    <w:rsid w:val="00967E6A"/>
    <w:rsid w:val="00987230"/>
    <w:rsid w:val="009907B9"/>
    <w:rsid w:val="00990918"/>
    <w:rsid w:val="009A3A83"/>
    <w:rsid w:val="009A483A"/>
    <w:rsid w:val="009B4A0F"/>
    <w:rsid w:val="009C11D2"/>
    <w:rsid w:val="009C6C70"/>
    <w:rsid w:val="009C7B0A"/>
    <w:rsid w:val="009D0B63"/>
    <w:rsid w:val="009D5CB8"/>
    <w:rsid w:val="009D5FAF"/>
    <w:rsid w:val="009E307E"/>
    <w:rsid w:val="00A07870"/>
    <w:rsid w:val="00A07C54"/>
    <w:rsid w:val="00A07F19"/>
    <w:rsid w:val="00A1348D"/>
    <w:rsid w:val="00A13C99"/>
    <w:rsid w:val="00A232EE"/>
    <w:rsid w:val="00A3408F"/>
    <w:rsid w:val="00A4175F"/>
    <w:rsid w:val="00A44411"/>
    <w:rsid w:val="00A469FA"/>
    <w:rsid w:val="00A47A6E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155B"/>
    <w:rsid w:val="00A72437"/>
    <w:rsid w:val="00A8048B"/>
    <w:rsid w:val="00A80611"/>
    <w:rsid w:val="00AA5BF4"/>
    <w:rsid w:val="00AB5340"/>
    <w:rsid w:val="00AC0A89"/>
    <w:rsid w:val="00AC7C96"/>
    <w:rsid w:val="00AD3593"/>
    <w:rsid w:val="00AE0812"/>
    <w:rsid w:val="00AE237D"/>
    <w:rsid w:val="00AE502A"/>
    <w:rsid w:val="00AF0010"/>
    <w:rsid w:val="00AF1AA8"/>
    <w:rsid w:val="00AF2C1F"/>
    <w:rsid w:val="00AF7C07"/>
    <w:rsid w:val="00B02A2C"/>
    <w:rsid w:val="00B06C64"/>
    <w:rsid w:val="00B07D8E"/>
    <w:rsid w:val="00B11CAC"/>
    <w:rsid w:val="00B15A29"/>
    <w:rsid w:val="00B22C93"/>
    <w:rsid w:val="00B27589"/>
    <w:rsid w:val="00B405B7"/>
    <w:rsid w:val="00B468C0"/>
    <w:rsid w:val="00B50FE9"/>
    <w:rsid w:val="00B52222"/>
    <w:rsid w:val="00B531DA"/>
    <w:rsid w:val="00B54895"/>
    <w:rsid w:val="00B54FE7"/>
    <w:rsid w:val="00B622F5"/>
    <w:rsid w:val="00B647C6"/>
    <w:rsid w:val="00B655F9"/>
    <w:rsid w:val="00B66901"/>
    <w:rsid w:val="00B66F60"/>
    <w:rsid w:val="00B71E6D"/>
    <w:rsid w:val="00B72070"/>
    <w:rsid w:val="00B779E1"/>
    <w:rsid w:val="00B81E3A"/>
    <w:rsid w:val="00B85CFB"/>
    <w:rsid w:val="00B914E9"/>
    <w:rsid w:val="00B91EE1"/>
    <w:rsid w:val="00B94602"/>
    <w:rsid w:val="00BA0090"/>
    <w:rsid w:val="00BA1A67"/>
    <w:rsid w:val="00BA6A80"/>
    <w:rsid w:val="00BB4ABB"/>
    <w:rsid w:val="00BC62BA"/>
    <w:rsid w:val="00BE5B5F"/>
    <w:rsid w:val="00BE7993"/>
    <w:rsid w:val="00C02566"/>
    <w:rsid w:val="00C11971"/>
    <w:rsid w:val="00C179DE"/>
    <w:rsid w:val="00C26F55"/>
    <w:rsid w:val="00C30C63"/>
    <w:rsid w:val="00C30FF3"/>
    <w:rsid w:val="00C34D5C"/>
    <w:rsid w:val="00C36B8B"/>
    <w:rsid w:val="00C415C1"/>
    <w:rsid w:val="00C47DBF"/>
    <w:rsid w:val="00C552FF"/>
    <w:rsid w:val="00C558DA"/>
    <w:rsid w:val="00C55AF3"/>
    <w:rsid w:val="00C6275F"/>
    <w:rsid w:val="00C771A9"/>
    <w:rsid w:val="00C82943"/>
    <w:rsid w:val="00C84759"/>
    <w:rsid w:val="00C93096"/>
    <w:rsid w:val="00CA07B6"/>
    <w:rsid w:val="00CA5270"/>
    <w:rsid w:val="00CA5CA9"/>
    <w:rsid w:val="00CA6C7F"/>
    <w:rsid w:val="00CB007D"/>
    <w:rsid w:val="00CB60CA"/>
    <w:rsid w:val="00CC0FC7"/>
    <w:rsid w:val="00CC10A6"/>
    <w:rsid w:val="00CC3B1E"/>
    <w:rsid w:val="00CD5EB8"/>
    <w:rsid w:val="00CD7044"/>
    <w:rsid w:val="00CE08B9"/>
    <w:rsid w:val="00CE3515"/>
    <w:rsid w:val="00CE3D88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323E0"/>
    <w:rsid w:val="00D44172"/>
    <w:rsid w:val="00D47BE3"/>
    <w:rsid w:val="00D63B8C"/>
    <w:rsid w:val="00D70BD5"/>
    <w:rsid w:val="00D739CC"/>
    <w:rsid w:val="00D806F9"/>
    <w:rsid w:val="00D8093D"/>
    <w:rsid w:val="00D8108C"/>
    <w:rsid w:val="00D83208"/>
    <w:rsid w:val="00D842AE"/>
    <w:rsid w:val="00D9211C"/>
    <w:rsid w:val="00D92DE0"/>
    <w:rsid w:val="00D92FEF"/>
    <w:rsid w:val="00D931F9"/>
    <w:rsid w:val="00D93A0F"/>
    <w:rsid w:val="00DA1BCA"/>
    <w:rsid w:val="00DA3663"/>
    <w:rsid w:val="00DC1792"/>
    <w:rsid w:val="00DC274A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4ADA"/>
    <w:rsid w:val="00E32F59"/>
    <w:rsid w:val="00E41908"/>
    <w:rsid w:val="00E46D9A"/>
    <w:rsid w:val="00E50E7E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C2813"/>
    <w:rsid w:val="00EC5A46"/>
    <w:rsid w:val="00EC63E2"/>
    <w:rsid w:val="00ED0225"/>
    <w:rsid w:val="00ED366A"/>
    <w:rsid w:val="00ED6BB7"/>
    <w:rsid w:val="00EF22B3"/>
    <w:rsid w:val="00EF701E"/>
    <w:rsid w:val="00F03B69"/>
    <w:rsid w:val="00F07A50"/>
    <w:rsid w:val="00F113DA"/>
    <w:rsid w:val="00F266FC"/>
    <w:rsid w:val="00F3037A"/>
    <w:rsid w:val="00F3465A"/>
    <w:rsid w:val="00F37DC8"/>
    <w:rsid w:val="00F4141B"/>
    <w:rsid w:val="00F439B3"/>
    <w:rsid w:val="00F650C3"/>
    <w:rsid w:val="00F65D85"/>
    <w:rsid w:val="00F6700B"/>
    <w:rsid w:val="00F71240"/>
    <w:rsid w:val="00F7137B"/>
    <w:rsid w:val="00F8091E"/>
    <w:rsid w:val="00F8190C"/>
    <w:rsid w:val="00F8615C"/>
    <w:rsid w:val="00F969E5"/>
    <w:rsid w:val="00FA4972"/>
    <w:rsid w:val="00FA6BB0"/>
    <w:rsid w:val="00FB2DBD"/>
    <w:rsid w:val="00FC51B1"/>
    <w:rsid w:val="00FD48DF"/>
    <w:rsid w:val="00FD5860"/>
    <w:rsid w:val="00FD63A9"/>
    <w:rsid w:val="00FE352D"/>
    <w:rsid w:val="00FE40EB"/>
    <w:rsid w:val="00FE4D02"/>
    <w:rsid w:val="00FE4FED"/>
    <w:rsid w:val="00FE7D62"/>
    <w:rsid w:val="00FF0DA0"/>
    <w:rsid w:val="00FF19B7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406B4B"/>
  <w15:docId w15:val="{C4EC6AFB-20B5-4B4C-92EF-CC5D1784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BBTitleChar">
    <w:name w:val="BB_Title Char"/>
    <w:link w:val="BBTitle"/>
    <w:rsid w:val="00C6275F"/>
    <w:rPr>
      <w:b/>
      <w:sz w:val="28"/>
      <w:szCs w:val="28"/>
      <w:lang w:eastAsia="en-US"/>
    </w:rPr>
  </w:style>
  <w:style w:type="character" w:customStyle="1" w:styleId="CH2Char">
    <w:name w:val="CH2 Char"/>
    <w:link w:val="CH2"/>
    <w:locked/>
    <w:rsid w:val="00C6275F"/>
    <w:rPr>
      <w:b/>
      <w:sz w:val="24"/>
      <w:szCs w:val="24"/>
      <w:lang w:eastAsia="en-US"/>
    </w:rPr>
  </w:style>
  <w:style w:type="character" w:customStyle="1" w:styleId="NormalnumberChar">
    <w:name w:val="Normal_number Char"/>
    <w:link w:val="Normalnumber"/>
    <w:locked/>
    <w:rsid w:val="00C6275F"/>
    <w:rPr>
      <w:lang w:eastAsia="en-US"/>
    </w:rPr>
  </w:style>
  <w:style w:type="paragraph" w:customStyle="1" w:styleId="Standard">
    <w:name w:val="Standard"/>
    <w:rsid w:val="00C6275F"/>
    <w:pPr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autoSpaceDN w:val="0"/>
      <w:textAlignment w:val="baseline"/>
    </w:pPr>
    <w:rPr>
      <w:kern w:val="3"/>
      <w:lang w:eastAsia="en-US"/>
    </w:rPr>
  </w:style>
  <w:style w:type="numbering" w:customStyle="1" w:styleId="WWNum25">
    <w:name w:val="WWNum25"/>
    <w:basedOn w:val="NoList"/>
    <w:rsid w:val="00C6275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curyconvention.org/Meetings/Intersessionalnbsp;work/tabid/6325/language/en-U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5058-9449-4041-AF6C-BBB613CA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Eliane Rakoto</cp:lastModifiedBy>
  <cp:revision>2</cp:revision>
  <cp:lastPrinted>2018-10-04T11:33:00Z</cp:lastPrinted>
  <dcterms:created xsi:type="dcterms:W3CDTF">2018-10-04T12:10:00Z</dcterms:created>
  <dcterms:modified xsi:type="dcterms:W3CDTF">2018-10-04T12:10:00Z</dcterms:modified>
</cp:coreProperties>
</file>