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24FB5277" w:rsidR="00032E4E" w:rsidRPr="00D25175" w:rsidRDefault="00032E4E" w:rsidP="00023DA9">
            <w:pPr>
              <w:rPr>
                <w:rFonts w:ascii="Univers" w:hAnsi="Univers"/>
                <w:b/>
                <w:noProof/>
                <w:sz w:val="27"/>
                <w:szCs w:val="27"/>
              </w:rPr>
            </w:pPr>
            <w:bookmarkStart w:id="0" w:name="_GoBack"/>
            <w:bookmarkEnd w:id="0"/>
            <w:r w:rsidRPr="00D25175">
              <w:rPr>
                <w:rFonts w:ascii="Arial" w:hAnsi="Arial" w:cs="Arial"/>
                <w:b/>
                <w:noProof/>
                <w:sz w:val="27"/>
                <w:szCs w:val="27"/>
              </w:rPr>
              <w:t>UNITED</w:t>
            </w:r>
            <w:r w:rsidR="009F412C">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A660E2">
            <w:pPr>
              <w:pStyle w:val="Normal-pool"/>
              <w:rPr>
                <w:noProof/>
              </w:rPr>
            </w:pPr>
          </w:p>
        </w:tc>
        <w:tc>
          <w:tcPr>
            <w:tcW w:w="4751" w:type="dxa"/>
            <w:tcBorders>
              <w:bottom w:val="single" w:sz="4" w:space="0" w:color="auto"/>
            </w:tcBorders>
          </w:tcPr>
          <w:p w14:paraId="54296B4D" w14:textId="77777777" w:rsidR="00032E4E" w:rsidRPr="00A660E2" w:rsidRDefault="00032E4E" w:rsidP="00A660E2">
            <w:pPr>
              <w:pStyle w:val="Normal-pool"/>
            </w:pPr>
          </w:p>
        </w:tc>
        <w:tc>
          <w:tcPr>
            <w:tcW w:w="3411" w:type="dxa"/>
            <w:tcBorders>
              <w:bottom w:val="single" w:sz="4" w:space="0" w:color="auto"/>
            </w:tcBorders>
          </w:tcPr>
          <w:p w14:paraId="540639F8" w14:textId="3AF0EAC8" w:rsidR="00032E4E" w:rsidRPr="00D25175" w:rsidRDefault="00032E4E" w:rsidP="00434321">
            <w:pPr>
              <w:rPr>
                <w:noProof/>
                <w:sz w:val="18"/>
                <w:szCs w:val="18"/>
              </w:rPr>
            </w:pPr>
            <w:r w:rsidRPr="00D25175">
              <w:rPr>
                <w:b/>
                <w:bCs/>
                <w:sz w:val="28"/>
              </w:rPr>
              <w:t>UNEP</w:t>
            </w:r>
            <w:bookmarkStart w:id="1" w:name="OLE_LINK1"/>
            <w:bookmarkStart w:id="2" w:name="OLE_LINK2"/>
            <w:r w:rsidR="00787688" w:rsidRPr="00D25175">
              <w:rPr>
                <w:b/>
                <w:bCs/>
                <w:sz w:val="28"/>
              </w:rPr>
              <w:t>/</w:t>
            </w:r>
            <w:r w:rsidR="00787688" w:rsidRPr="00D25175">
              <w:t>MC</w:t>
            </w:r>
            <w:r w:rsidRPr="00D25175">
              <w:t>/</w:t>
            </w:r>
            <w:bookmarkEnd w:id="1"/>
            <w:bookmarkEnd w:id="2"/>
            <w:r w:rsidR="00787688" w:rsidRPr="00D25175">
              <w:t>COP.</w:t>
            </w:r>
            <w:r w:rsidR="00434321">
              <w:t>2</w:t>
            </w:r>
            <w:r w:rsidRPr="00D25175">
              <w:t>/</w:t>
            </w:r>
            <w:r w:rsidR="007352DC">
              <w:t>9</w:t>
            </w:r>
          </w:p>
        </w:tc>
      </w:tr>
      <w:bookmarkStart w:id="3" w:name="_MON_1021710482"/>
      <w:bookmarkEnd w:id="3"/>
      <w:bookmarkStart w:id="4" w:name="_MON_1021710510"/>
      <w:bookmarkEnd w:id="4"/>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D35109" w:rsidP="00023DA9">
            <w:pPr>
              <w:rPr>
                <w:noProof/>
              </w:rPr>
            </w:pPr>
            <w:r w:rsidRPr="00D25175">
              <w:rPr>
                <w:noProof/>
              </w:rPr>
              <w:object w:dxaOrig="1831" w:dyaOrig="1726" w14:anchorId="39238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57.75pt;mso-width-percent:0;mso-height-percent:0;mso-width-percent:0;mso-height-percent:0" o:ole="" fillcolor="window">
                  <v:imagedata r:id="rId8" o:title=""/>
                </v:shape>
                <o:OLEObject Type="Embed" ProgID="Word.Picture.8" ShapeID="_x0000_i1025" DrawAspect="Content" ObjectID="_1602932515"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B83A5D" w:rsidRDefault="00032E4E" w:rsidP="00023DA9">
            <w:pPr>
              <w:spacing w:before="1200"/>
              <w:rPr>
                <w:rFonts w:ascii="Arial" w:hAnsi="Arial" w:cs="Arial"/>
                <w:b/>
                <w:sz w:val="28"/>
              </w:rPr>
            </w:pPr>
            <w:r w:rsidRPr="00B83A5D">
              <w:rPr>
                <w:rFonts w:ascii="Arial" w:hAnsi="Arial" w:cs="Arial"/>
                <w:b/>
                <w:sz w:val="32"/>
                <w:szCs w:val="32"/>
              </w:rPr>
              <w:t>United Nations</w:t>
            </w:r>
            <w:r w:rsidR="005B2DF4" w:rsidRPr="00B83A5D">
              <w:rPr>
                <w:rFonts w:ascii="Arial" w:hAnsi="Arial" w:cs="Arial"/>
                <w:b/>
                <w:sz w:val="32"/>
                <w:szCs w:val="32"/>
              </w:rPr>
              <w:t xml:space="preserve"> </w:t>
            </w:r>
            <w:r w:rsidRPr="00B83A5D">
              <w:rPr>
                <w:rFonts w:ascii="Arial" w:hAnsi="Arial" w:cs="Arial"/>
                <w:b/>
                <w:sz w:val="32"/>
                <w:szCs w:val="32"/>
              </w:rPr>
              <w:br w:type="textWrapping" w:clear="all"/>
              <w:t>Environment</w:t>
            </w:r>
            <w:r w:rsidR="005B2DF4" w:rsidRPr="00B83A5D">
              <w:rPr>
                <w:rFonts w:ascii="Arial" w:hAnsi="Arial" w:cs="Arial"/>
                <w:b/>
                <w:sz w:val="32"/>
                <w:szCs w:val="32"/>
              </w:rPr>
              <w:t xml:space="preserve"> </w:t>
            </w:r>
            <w:r w:rsidRPr="00B83A5D">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37B69E11" w:rsidR="00032E4E" w:rsidRPr="00B83A5D" w:rsidRDefault="00032E4E" w:rsidP="00814443">
            <w:pPr>
              <w:spacing w:before="120"/>
            </w:pPr>
            <w:r w:rsidRPr="00B83A5D">
              <w:t>Distr.: General</w:t>
            </w:r>
            <w:r w:rsidR="005B2DF4" w:rsidRPr="00B83A5D">
              <w:t xml:space="preserve"> </w:t>
            </w:r>
            <w:r w:rsidRPr="00B83A5D">
              <w:br w:type="textWrapping" w:clear="all"/>
            </w:r>
            <w:r w:rsidR="00814443" w:rsidRPr="00400CDF">
              <w:t>2</w:t>
            </w:r>
            <w:r w:rsidR="002227C4" w:rsidRPr="00400CDF">
              <w:t>5</w:t>
            </w:r>
            <w:r w:rsidR="004E2BAB" w:rsidRPr="00400CDF">
              <w:t xml:space="preserve"> September</w:t>
            </w:r>
            <w:r w:rsidR="004E2BAB" w:rsidRPr="00B83A5D">
              <w:t xml:space="preserve"> 2018</w:t>
            </w:r>
          </w:p>
          <w:p w14:paraId="1A75CF9D" w14:textId="77777777" w:rsidR="00032E4E" w:rsidRPr="001F302D" w:rsidRDefault="00032E4E" w:rsidP="00C1570C">
            <w:pPr>
              <w:spacing w:before="120"/>
            </w:pPr>
            <w:r w:rsidRPr="001F302D">
              <w:t>Original: English</w:t>
            </w:r>
          </w:p>
        </w:tc>
      </w:tr>
    </w:tbl>
    <w:p w14:paraId="0A4BFFDA" w14:textId="30575E0E" w:rsidR="00E976AB" w:rsidRPr="00D25175" w:rsidRDefault="00CB007D" w:rsidP="00E976AB">
      <w:pPr>
        <w:pStyle w:val="AATitle"/>
        <w:keepNext w:val="0"/>
        <w:keepLines w:val="0"/>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E976AB">
      <w:pPr>
        <w:pStyle w:val="AATitle"/>
        <w:keepNext w:val="0"/>
        <w:keepLines w:val="0"/>
      </w:pPr>
      <w:r>
        <w:t>Second</w:t>
      </w:r>
      <w:r w:rsidR="00787688" w:rsidRPr="00D25175">
        <w:t xml:space="preserve"> meeting</w:t>
      </w:r>
    </w:p>
    <w:p w14:paraId="67B82F12" w14:textId="5B325575" w:rsidR="00787688" w:rsidRDefault="00787688" w:rsidP="00434321">
      <w:pPr>
        <w:pStyle w:val="AATitle"/>
        <w:rPr>
          <w:b w:val="0"/>
        </w:rPr>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41CF4448" w14:textId="4B60580D" w:rsidR="00F15578" w:rsidRDefault="00E54866" w:rsidP="00F15578">
      <w:pPr>
        <w:pStyle w:val="AATitle"/>
        <w:keepNext w:val="0"/>
        <w:keepLines w:val="0"/>
        <w:rPr>
          <w:b w:val="0"/>
        </w:rPr>
      </w:pPr>
      <w:r>
        <w:rPr>
          <w:b w:val="0"/>
        </w:rPr>
        <w:t xml:space="preserve">Item </w:t>
      </w:r>
      <w:r w:rsidR="00F7267C">
        <w:rPr>
          <w:b w:val="0"/>
        </w:rPr>
        <w:t>5</w:t>
      </w:r>
      <w:r w:rsidRPr="00A018C0">
        <w:rPr>
          <w:b w:val="0"/>
        </w:rPr>
        <w:t xml:space="preserve"> (</w:t>
      </w:r>
      <w:r w:rsidR="00F7267C">
        <w:rPr>
          <w:b w:val="0"/>
        </w:rPr>
        <w:t>e</w:t>
      </w:r>
      <w:r w:rsidRPr="00A018C0">
        <w:rPr>
          <w:b w:val="0"/>
        </w:rPr>
        <w:t xml:space="preserve">) </w:t>
      </w:r>
      <w:r w:rsidR="007352DC">
        <w:rPr>
          <w:b w:val="0"/>
        </w:rPr>
        <w:t xml:space="preserve">(ii) </w:t>
      </w:r>
      <w:r w:rsidRPr="00A018C0">
        <w:rPr>
          <w:b w:val="0"/>
        </w:rPr>
        <w:t>of the provisional agenda</w:t>
      </w:r>
      <w:r w:rsidRPr="00A018C0">
        <w:rPr>
          <w:b w:val="0"/>
        </w:rPr>
        <w:footnoteReference w:customMarkFollows="1" w:id="1"/>
        <w:t>*</w:t>
      </w:r>
    </w:p>
    <w:p w14:paraId="2D8757BE" w14:textId="50BC8CF8" w:rsidR="00F15578" w:rsidRDefault="00ED6C14" w:rsidP="00C1570C">
      <w:pPr>
        <w:pStyle w:val="AATitle2"/>
        <w:ind w:right="4814"/>
      </w:pPr>
      <w:r>
        <w:t xml:space="preserve">Matters </w:t>
      </w:r>
      <w:r w:rsidR="004E2BAB">
        <w:t>for</w:t>
      </w:r>
      <w:r>
        <w:t xml:space="preserve"> consideration or action by the Conference of </w:t>
      </w:r>
      <w:r w:rsidR="006F3218">
        <w:t xml:space="preserve">the </w:t>
      </w:r>
      <w:r>
        <w:t xml:space="preserve">Parties: </w:t>
      </w:r>
      <w:r w:rsidR="00B83A5D">
        <w:t>o</w:t>
      </w:r>
      <w:r w:rsidR="00F7267C">
        <w:t xml:space="preserve">peration of the financial mechanism: </w:t>
      </w:r>
      <w:r w:rsidR="007352DC">
        <w:t>Specific International Programme</w:t>
      </w:r>
      <w:r w:rsidR="00976470" w:rsidRPr="00976470">
        <w:t xml:space="preserve"> </w:t>
      </w:r>
      <w:r w:rsidR="00976470" w:rsidRPr="004455F3">
        <w:t xml:space="preserve">to Support </w:t>
      </w:r>
      <w:r w:rsidR="00976470" w:rsidRPr="00A52429">
        <w:t>Capacity-</w:t>
      </w:r>
      <w:r w:rsidR="00813D9C" w:rsidRPr="00A52429">
        <w:t>B</w:t>
      </w:r>
      <w:r w:rsidR="00976470" w:rsidRPr="00A52429">
        <w:t>uilding and</w:t>
      </w:r>
      <w:r w:rsidR="00976470" w:rsidRPr="004455F3">
        <w:t xml:space="preserve"> Technical Assistance</w:t>
      </w:r>
      <w:r w:rsidR="00D511E8">
        <w:t xml:space="preserve"> </w:t>
      </w:r>
    </w:p>
    <w:p w14:paraId="2D4E2359" w14:textId="520FEA85" w:rsidR="004E2BAB" w:rsidRPr="009C3E45" w:rsidRDefault="007352DC" w:rsidP="004E2BAB">
      <w:pPr>
        <w:pStyle w:val="BBTitle"/>
      </w:pPr>
      <w:r>
        <w:t xml:space="preserve">Overall report on the Specific International Programme to </w:t>
      </w:r>
      <w:r w:rsidR="00B83A5D" w:rsidRPr="00A52429">
        <w:t>S</w:t>
      </w:r>
      <w:r w:rsidRPr="00A52429">
        <w:t xml:space="preserve">upport </w:t>
      </w:r>
      <w:r w:rsidR="00B83A5D" w:rsidRPr="00A52429">
        <w:t>C</w:t>
      </w:r>
      <w:r w:rsidRPr="00A52429">
        <w:t>apacity-</w:t>
      </w:r>
      <w:r w:rsidR="00813D9C" w:rsidRPr="00C1570C">
        <w:t>B</w:t>
      </w:r>
      <w:r w:rsidRPr="00A52429">
        <w:t xml:space="preserve">uilding and </w:t>
      </w:r>
      <w:r w:rsidR="00B83A5D" w:rsidRPr="00A52429">
        <w:t>T</w:t>
      </w:r>
      <w:r w:rsidRPr="00A52429">
        <w:t xml:space="preserve">echnical </w:t>
      </w:r>
      <w:r w:rsidR="00B83A5D" w:rsidRPr="00A52429">
        <w:t>A</w:t>
      </w:r>
      <w:r w:rsidRPr="00A52429">
        <w:t>ssistance</w:t>
      </w:r>
      <w:r>
        <w:t xml:space="preserve"> </w:t>
      </w:r>
    </w:p>
    <w:p w14:paraId="29AEE47A" w14:textId="00F6C956" w:rsidR="004E2BAB" w:rsidRDefault="004E2BAB" w:rsidP="00525143">
      <w:pPr>
        <w:pStyle w:val="CH2"/>
      </w:pPr>
      <w:r w:rsidRPr="009C3E45">
        <w:tab/>
      </w:r>
      <w:r w:rsidRPr="009C3E45">
        <w:tab/>
      </w:r>
      <w:r w:rsidRPr="00AF5B8A">
        <w:t>Note by the secretariat</w:t>
      </w:r>
    </w:p>
    <w:p w14:paraId="1696A3D0" w14:textId="27661681" w:rsidR="00B258A8" w:rsidRPr="00B258A8" w:rsidRDefault="00525143" w:rsidP="00525143">
      <w:pPr>
        <w:pStyle w:val="CH1"/>
      </w:pPr>
      <w:r>
        <w:tab/>
        <w:t>I.</w:t>
      </w:r>
      <w:r>
        <w:tab/>
      </w:r>
      <w:r w:rsidR="00EA2CF8">
        <w:t>Introduction</w:t>
      </w:r>
    </w:p>
    <w:p w14:paraId="68301B43" w14:textId="07A24CDA" w:rsidR="00F3771F" w:rsidRPr="00824FF8" w:rsidRDefault="00824FF8" w:rsidP="00AB3FD0">
      <w:pPr>
        <w:pStyle w:val="Normalnumber"/>
        <w:numPr>
          <w:ilvl w:val="0"/>
          <w:numId w:val="1"/>
        </w:numPr>
        <w:rPr>
          <w:bCs/>
        </w:rPr>
      </w:pPr>
      <w:bookmarkStart w:id="5" w:name="_Hlk525996845"/>
      <w:r w:rsidRPr="00824FF8">
        <w:rPr>
          <w:bCs/>
        </w:rPr>
        <w:t xml:space="preserve">In paragraph 5 of article 13, </w:t>
      </w:r>
      <w:r w:rsidR="00193398">
        <w:rPr>
          <w:bCs/>
        </w:rPr>
        <w:t>on the financial resources and mechanism,</w:t>
      </w:r>
      <w:r w:rsidR="00193398" w:rsidRPr="00824FF8">
        <w:rPr>
          <w:bCs/>
        </w:rPr>
        <w:t xml:space="preserve"> </w:t>
      </w:r>
      <w:r w:rsidRPr="00824FF8">
        <w:rPr>
          <w:bCs/>
        </w:rPr>
        <w:t>t</w:t>
      </w:r>
      <w:r>
        <w:t xml:space="preserve">he </w:t>
      </w:r>
      <w:r w:rsidRPr="00824FF8">
        <w:rPr>
          <w:bCs/>
        </w:rPr>
        <w:t>Minamata Convention on Mercury defines a mechanism for the provision of adequate, predictable and timely financial resources to support developing</w:t>
      </w:r>
      <w:r w:rsidR="000661F5">
        <w:rPr>
          <w:bCs/>
        </w:rPr>
        <w:t>-</w:t>
      </w:r>
      <w:r w:rsidRPr="00824FF8">
        <w:rPr>
          <w:bCs/>
        </w:rPr>
        <w:t xml:space="preserve">country </w:t>
      </w:r>
      <w:r w:rsidR="00815105">
        <w:rPr>
          <w:bCs/>
        </w:rPr>
        <w:t>p</w:t>
      </w:r>
      <w:r w:rsidRPr="00824FF8">
        <w:rPr>
          <w:bCs/>
        </w:rPr>
        <w:t xml:space="preserve">arties and </w:t>
      </w:r>
      <w:r w:rsidR="00815105">
        <w:rPr>
          <w:bCs/>
        </w:rPr>
        <w:t>p</w:t>
      </w:r>
      <w:r w:rsidRPr="00824FF8">
        <w:rPr>
          <w:bCs/>
        </w:rPr>
        <w:t xml:space="preserve">arties with economies in transition in implementing their obligations under the Convention. According to the Convention, the mechanism should include the Global Environment Facility Trust Fund and a </w:t>
      </w:r>
      <w:r w:rsidR="009949B3">
        <w:rPr>
          <w:bCs/>
        </w:rPr>
        <w:t>s</w:t>
      </w:r>
      <w:r w:rsidR="009949B3" w:rsidRPr="00824FF8">
        <w:rPr>
          <w:bCs/>
        </w:rPr>
        <w:t xml:space="preserve">pecific </w:t>
      </w:r>
      <w:r w:rsidR="009949B3">
        <w:rPr>
          <w:bCs/>
        </w:rPr>
        <w:t>i</w:t>
      </w:r>
      <w:r w:rsidR="009949B3" w:rsidRPr="00824FF8">
        <w:rPr>
          <w:bCs/>
        </w:rPr>
        <w:t xml:space="preserve">nternational </w:t>
      </w:r>
      <w:r w:rsidR="009949B3">
        <w:rPr>
          <w:bCs/>
        </w:rPr>
        <w:t>p</w:t>
      </w:r>
      <w:r w:rsidR="009949B3" w:rsidRPr="00824FF8">
        <w:rPr>
          <w:bCs/>
        </w:rPr>
        <w:t xml:space="preserve">rogramme </w:t>
      </w:r>
      <w:r w:rsidRPr="00824FF8">
        <w:rPr>
          <w:bCs/>
        </w:rPr>
        <w:t xml:space="preserve">to </w:t>
      </w:r>
      <w:r w:rsidR="009949B3">
        <w:rPr>
          <w:bCs/>
        </w:rPr>
        <w:t>s</w:t>
      </w:r>
      <w:r w:rsidR="009949B3" w:rsidRPr="00824FF8">
        <w:rPr>
          <w:bCs/>
        </w:rPr>
        <w:t xml:space="preserve">upport </w:t>
      </w:r>
      <w:r w:rsidR="009949B3">
        <w:rPr>
          <w:bCs/>
        </w:rPr>
        <w:t>c</w:t>
      </w:r>
      <w:r w:rsidR="009949B3" w:rsidRPr="00824FF8">
        <w:rPr>
          <w:bCs/>
        </w:rPr>
        <w:t>apacity</w:t>
      </w:r>
      <w:r w:rsidRPr="00824FF8">
        <w:rPr>
          <w:bCs/>
        </w:rPr>
        <w:t xml:space="preserve">-building and </w:t>
      </w:r>
      <w:r w:rsidR="009949B3">
        <w:rPr>
          <w:bCs/>
        </w:rPr>
        <w:t>t</w:t>
      </w:r>
      <w:r w:rsidR="009949B3" w:rsidRPr="00824FF8">
        <w:rPr>
          <w:bCs/>
        </w:rPr>
        <w:t xml:space="preserve">echnical </w:t>
      </w:r>
      <w:r w:rsidR="009949B3">
        <w:rPr>
          <w:bCs/>
        </w:rPr>
        <w:t>a</w:t>
      </w:r>
      <w:r w:rsidR="009949B3" w:rsidRPr="00824FF8">
        <w:rPr>
          <w:bCs/>
        </w:rPr>
        <w:t>ssistance</w:t>
      </w:r>
      <w:r w:rsidRPr="00824FF8">
        <w:rPr>
          <w:bCs/>
        </w:rPr>
        <w:t>.</w:t>
      </w:r>
      <w:r>
        <w:rPr>
          <w:bCs/>
        </w:rPr>
        <w:t xml:space="preserve"> </w:t>
      </w:r>
      <w:bookmarkEnd w:id="5"/>
      <w:r w:rsidR="004E2BAB" w:rsidRPr="00824FF8">
        <w:rPr>
          <w:bCs/>
        </w:rPr>
        <w:t>Th</w:t>
      </w:r>
      <w:r w:rsidR="00B83A5D">
        <w:rPr>
          <w:bCs/>
        </w:rPr>
        <w:t>e present</w:t>
      </w:r>
      <w:r w:rsidR="004E2BAB" w:rsidRPr="00824FF8">
        <w:rPr>
          <w:bCs/>
        </w:rPr>
        <w:t xml:space="preserve"> note </w:t>
      </w:r>
      <w:r w:rsidR="00B83A5D">
        <w:rPr>
          <w:bCs/>
        </w:rPr>
        <w:t>sets out</w:t>
      </w:r>
      <w:r w:rsidR="00B83A5D" w:rsidRPr="00824FF8">
        <w:rPr>
          <w:bCs/>
        </w:rPr>
        <w:t xml:space="preserve"> </w:t>
      </w:r>
      <w:r w:rsidR="0000753A" w:rsidRPr="00824FF8">
        <w:rPr>
          <w:bCs/>
        </w:rPr>
        <w:t xml:space="preserve">the </w:t>
      </w:r>
      <w:r w:rsidR="0000753A" w:rsidRPr="00240DE9">
        <w:rPr>
          <w:bCs/>
        </w:rPr>
        <w:t>overall report</w:t>
      </w:r>
      <w:r w:rsidR="004E2BAB" w:rsidRPr="00240DE9">
        <w:rPr>
          <w:bCs/>
        </w:rPr>
        <w:t xml:space="preserve"> on the second entity</w:t>
      </w:r>
      <w:r w:rsidR="0000753A" w:rsidRPr="00240DE9">
        <w:rPr>
          <w:bCs/>
        </w:rPr>
        <w:t xml:space="preserve"> of the financial mechanism</w:t>
      </w:r>
      <w:r w:rsidRPr="00240DE9">
        <w:rPr>
          <w:bCs/>
        </w:rPr>
        <w:t>,</w:t>
      </w:r>
      <w:r w:rsidR="004E2BAB" w:rsidRPr="00240DE9">
        <w:rPr>
          <w:rStyle w:val="Appelnotedebasdep"/>
          <w:bCs/>
        </w:rPr>
        <w:footnoteReference w:id="2"/>
      </w:r>
      <w:r w:rsidR="0000753A" w:rsidRPr="00240DE9">
        <w:rPr>
          <w:bCs/>
        </w:rPr>
        <w:t xml:space="preserve"> namely </w:t>
      </w:r>
      <w:r w:rsidR="004E2BAB" w:rsidRPr="00240DE9">
        <w:rPr>
          <w:bCs/>
        </w:rPr>
        <w:t>the Specific International Programme</w:t>
      </w:r>
      <w:r w:rsidR="00A52429">
        <w:rPr>
          <w:bCs/>
        </w:rPr>
        <w:t xml:space="preserve"> </w:t>
      </w:r>
      <w:r w:rsidR="00A52429">
        <w:t xml:space="preserve">to </w:t>
      </w:r>
      <w:r w:rsidR="00A52429" w:rsidRPr="00A52429">
        <w:t>Support C</w:t>
      </w:r>
      <w:r w:rsidR="00A52429" w:rsidRPr="00A95AD6">
        <w:t>apacity-B</w:t>
      </w:r>
      <w:r w:rsidR="00A52429" w:rsidRPr="00A52429">
        <w:t>uilding and T</w:t>
      </w:r>
      <w:r w:rsidR="00A52429" w:rsidRPr="00A95AD6">
        <w:t>echnical Assistance</w:t>
      </w:r>
      <w:r w:rsidR="004E2BAB" w:rsidRPr="00240DE9">
        <w:rPr>
          <w:bCs/>
        </w:rPr>
        <w:t>.</w:t>
      </w:r>
      <w:r w:rsidR="001D1E83" w:rsidRPr="00240DE9">
        <w:rPr>
          <w:bCs/>
        </w:rPr>
        <w:t xml:space="preserve"> </w:t>
      </w:r>
    </w:p>
    <w:p w14:paraId="6DBAD828" w14:textId="127E300D" w:rsidR="009565E6" w:rsidRDefault="000E18D1" w:rsidP="00FD387C">
      <w:pPr>
        <w:pStyle w:val="Normalnumber"/>
        <w:numPr>
          <w:ilvl w:val="0"/>
          <w:numId w:val="1"/>
        </w:numPr>
        <w:tabs>
          <w:tab w:val="clear" w:pos="1134"/>
        </w:tabs>
        <w:rPr>
          <w:bCs/>
        </w:rPr>
      </w:pPr>
      <w:r w:rsidRPr="00A52429">
        <w:rPr>
          <w:bCs/>
        </w:rPr>
        <w:t xml:space="preserve">In decision MC-1/6 on the </w:t>
      </w:r>
      <w:r w:rsidR="00B83A5D" w:rsidRPr="00A52429">
        <w:rPr>
          <w:bCs/>
        </w:rPr>
        <w:t>Specific International Programme</w:t>
      </w:r>
      <w:r w:rsidR="00430FFF" w:rsidRPr="00A52429">
        <w:rPr>
          <w:bCs/>
        </w:rPr>
        <w:t>, the Conference of the Parties to the Minamata Convention</w:t>
      </w:r>
      <w:r w:rsidRPr="00A52429">
        <w:rPr>
          <w:bCs/>
        </w:rPr>
        <w:t xml:space="preserve"> decided</w:t>
      </w:r>
      <w:r w:rsidR="000036FF" w:rsidRPr="00A52429">
        <w:rPr>
          <w:bCs/>
        </w:rPr>
        <w:t xml:space="preserve"> that </w:t>
      </w:r>
      <w:r w:rsidR="00430FFF" w:rsidRPr="00A52429">
        <w:rPr>
          <w:bCs/>
        </w:rPr>
        <w:t xml:space="preserve">the hosting </w:t>
      </w:r>
      <w:r w:rsidR="000036FF" w:rsidRPr="00A52429">
        <w:rPr>
          <w:bCs/>
        </w:rPr>
        <w:t>institution</w:t>
      </w:r>
      <w:r w:rsidR="000036FF">
        <w:rPr>
          <w:bCs/>
        </w:rPr>
        <w:t xml:space="preserve"> referred to in paragraph 9 of article 13</w:t>
      </w:r>
      <w:r w:rsidR="00B83A5D">
        <w:rPr>
          <w:bCs/>
        </w:rPr>
        <w:t xml:space="preserve"> of the Convention</w:t>
      </w:r>
      <w:r w:rsidR="000036FF">
        <w:rPr>
          <w:rStyle w:val="Appelnotedebasdep"/>
          <w:bCs/>
        </w:rPr>
        <w:footnoteReference w:id="3"/>
      </w:r>
      <w:r w:rsidR="000036FF">
        <w:rPr>
          <w:bCs/>
        </w:rPr>
        <w:t xml:space="preserve"> </w:t>
      </w:r>
      <w:r w:rsidR="008C7032">
        <w:rPr>
          <w:bCs/>
        </w:rPr>
        <w:t>wa</w:t>
      </w:r>
      <w:r w:rsidR="000036FF">
        <w:rPr>
          <w:bCs/>
        </w:rPr>
        <w:t>s to be provided by the United Nations Environment Programme</w:t>
      </w:r>
      <w:r w:rsidR="008C7032">
        <w:rPr>
          <w:bCs/>
        </w:rPr>
        <w:t xml:space="preserve"> and</w:t>
      </w:r>
      <w:r w:rsidR="000036FF">
        <w:rPr>
          <w:bCs/>
        </w:rPr>
        <w:t xml:space="preserve"> approved the necessary hosting </w:t>
      </w:r>
      <w:r w:rsidR="00430FFF" w:rsidRPr="00430FFF">
        <w:rPr>
          <w:bCs/>
        </w:rPr>
        <w:t xml:space="preserve">arrangements, </w:t>
      </w:r>
      <w:r w:rsidR="000036FF">
        <w:rPr>
          <w:bCs/>
        </w:rPr>
        <w:t xml:space="preserve">guidance on the </w:t>
      </w:r>
      <w:r w:rsidR="00430FFF" w:rsidRPr="00430FFF">
        <w:rPr>
          <w:bCs/>
        </w:rPr>
        <w:t>operations</w:t>
      </w:r>
      <w:r w:rsidR="008C7032">
        <w:rPr>
          <w:bCs/>
        </w:rPr>
        <w:t xml:space="preserve"> </w:t>
      </w:r>
      <w:r w:rsidR="008D676F">
        <w:rPr>
          <w:bCs/>
        </w:rPr>
        <w:t xml:space="preserve">of </w:t>
      </w:r>
      <w:r w:rsidR="008C7032">
        <w:rPr>
          <w:bCs/>
        </w:rPr>
        <w:t>and</w:t>
      </w:r>
      <w:r w:rsidR="00430FFF" w:rsidRPr="00430FFF">
        <w:rPr>
          <w:bCs/>
        </w:rPr>
        <w:t xml:space="preserve"> duration </w:t>
      </w:r>
      <w:r w:rsidR="008C7032">
        <w:rPr>
          <w:bCs/>
        </w:rPr>
        <w:t xml:space="preserve">of the </w:t>
      </w:r>
      <w:r w:rsidR="005E4DC7">
        <w:rPr>
          <w:bCs/>
        </w:rPr>
        <w:t>S</w:t>
      </w:r>
      <w:r w:rsidR="008C7032">
        <w:rPr>
          <w:bCs/>
        </w:rPr>
        <w:t xml:space="preserve">pecific </w:t>
      </w:r>
      <w:r w:rsidR="005E4DC7">
        <w:rPr>
          <w:bCs/>
        </w:rPr>
        <w:t>I</w:t>
      </w:r>
      <w:r w:rsidR="00206438">
        <w:rPr>
          <w:bCs/>
        </w:rPr>
        <w:t xml:space="preserve">nternational </w:t>
      </w:r>
      <w:r w:rsidR="005E4DC7">
        <w:rPr>
          <w:bCs/>
        </w:rPr>
        <w:t>P</w:t>
      </w:r>
      <w:r w:rsidR="00206438">
        <w:rPr>
          <w:bCs/>
        </w:rPr>
        <w:t xml:space="preserve">rogramme </w:t>
      </w:r>
      <w:r w:rsidR="00430FFF" w:rsidRPr="00430FFF">
        <w:rPr>
          <w:bCs/>
        </w:rPr>
        <w:t xml:space="preserve">and </w:t>
      </w:r>
      <w:r w:rsidR="00206438">
        <w:rPr>
          <w:bCs/>
        </w:rPr>
        <w:t xml:space="preserve">the </w:t>
      </w:r>
      <w:r w:rsidR="00430FFF" w:rsidRPr="00430FFF">
        <w:rPr>
          <w:bCs/>
        </w:rPr>
        <w:t xml:space="preserve">terms of reference of the </w:t>
      </w:r>
      <w:r w:rsidR="005E4DC7">
        <w:rPr>
          <w:bCs/>
        </w:rPr>
        <w:t>P</w:t>
      </w:r>
      <w:r w:rsidR="00430FFF" w:rsidRPr="00430FFF">
        <w:rPr>
          <w:bCs/>
        </w:rPr>
        <w:t>rogramme</w:t>
      </w:r>
      <w:r w:rsidR="008C7032">
        <w:rPr>
          <w:bCs/>
        </w:rPr>
        <w:t xml:space="preserve"> as set out in the annexes to the decision</w:t>
      </w:r>
      <w:r w:rsidR="00430FFF">
        <w:rPr>
          <w:bCs/>
        </w:rPr>
        <w:t>.</w:t>
      </w:r>
      <w:r w:rsidR="00B258A8">
        <w:rPr>
          <w:bCs/>
        </w:rPr>
        <w:t xml:space="preserve"> The Conference </w:t>
      </w:r>
      <w:r w:rsidR="003B3534">
        <w:rPr>
          <w:bCs/>
        </w:rPr>
        <w:t xml:space="preserve">of the Parties </w:t>
      </w:r>
      <w:r w:rsidR="00B258A8">
        <w:rPr>
          <w:bCs/>
        </w:rPr>
        <w:t xml:space="preserve">also requested the Executive Director of the United Nations Environment Programme to establish a trust fund for the </w:t>
      </w:r>
      <w:r w:rsidR="003B3534">
        <w:rPr>
          <w:bCs/>
        </w:rPr>
        <w:t>p</w:t>
      </w:r>
      <w:r w:rsidR="00B258A8">
        <w:rPr>
          <w:bCs/>
        </w:rPr>
        <w:t xml:space="preserve">rogramme and to implement the governance arrangements set out in the annexes </w:t>
      </w:r>
      <w:r w:rsidR="003B3534">
        <w:rPr>
          <w:bCs/>
        </w:rPr>
        <w:t xml:space="preserve">to </w:t>
      </w:r>
      <w:r w:rsidR="00B258A8">
        <w:rPr>
          <w:bCs/>
        </w:rPr>
        <w:t>the decision.</w:t>
      </w:r>
    </w:p>
    <w:p w14:paraId="09809933" w14:textId="6E7F0D44" w:rsidR="00085A59" w:rsidRDefault="00B258A8" w:rsidP="00C15FEB">
      <w:pPr>
        <w:pStyle w:val="Normalnumber"/>
        <w:numPr>
          <w:ilvl w:val="0"/>
          <w:numId w:val="1"/>
        </w:numPr>
        <w:rPr>
          <w:bCs/>
        </w:rPr>
      </w:pPr>
      <w:r>
        <w:rPr>
          <w:bCs/>
        </w:rPr>
        <w:lastRenderedPageBreak/>
        <w:t xml:space="preserve">It is to be noted that annex I </w:t>
      </w:r>
      <w:r w:rsidR="003B3534">
        <w:rPr>
          <w:bCs/>
        </w:rPr>
        <w:t xml:space="preserve">to </w:t>
      </w:r>
      <w:r w:rsidR="00861732">
        <w:rPr>
          <w:bCs/>
        </w:rPr>
        <w:t>decision MC-1/6</w:t>
      </w:r>
      <w:r w:rsidR="001D1E83">
        <w:rPr>
          <w:bCs/>
        </w:rPr>
        <w:t>,</w:t>
      </w:r>
      <w:r w:rsidR="00861732">
        <w:rPr>
          <w:bCs/>
        </w:rPr>
        <w:t xml:space="preserve"> </w:t>
      </w:r>
      <w:r w:rsidR="003B3534">
        <w:rPr>
          <w:bCs/>
        </w:rPr>
        <w:t xml:space="preserve">setting out </w:t>
      </w:r>
      <w:r>
        <w:rPr>
          <w:bCs/>
        </w:rPr>
        <w:t>the hosting arrangements</w:t>
      </w:r>
      <w:r w:rsidR="008D676F">
        <w:rPr>
          <w:bCs/>
        </w:rPr>
        <w:t>,</w:t>
      </w:r>
      <w:r>
        <w:rPr>
          <w:bCs/>
        </w:rPr>
        <w:t xml:space="preserve"> guidance on the operations </w:t>
      </w:r>
      <w:r w:rsidR="008D676F">
        <w:rPr>
          <w:bCs/>
        </w:rPr>
        <w:t xml:space="preserve">of </w:t>
      </w:r>
      <w:r>
        <w:rPr>
          <w:bCs/>
        </w:rPr>
        <w:t xml:space="preserve">and duration of the </w:t>
      </w:r>
      <w:r w:rsidR="00085A59">
        <w:rPr>
          <w:bCs/>
        </w:rPr>
        <w:t>Specific International P</w:t>
      </w:r>
      <w:r w:rsidR="00811159" w:rsidRPr="00811159">
        <w:rPr>
          <w:bCs/>
        </w:rPr>
        <w:t>rogramme</w:t>
      </w:r>
      <w:r w:rsidR="001D1E83">
        <w:rPr>
          <w:bCs/>
        </w:rPr>
        <w:t>,</w:t>
      </w:r>
      <w:r w:rsidR="00A83481">
        <w:rPr>
          <w:bCs/>
        </w:rPr>
        <w:t xml:space="preserve"> was adopted with brackets in paragraph 6</w:t>
      </w:r>
      <w:r w:rsidR="00AB3FD0">
        <w:rPr>
          <w:bCs/>
        </w:rPr>
        <w:t xml:space="preserve">, </w:t>
      </w:r>
      <w:r w:rsidR="000E18D1">
        <w:rPr>
          <w:bCs/>
        </w:rPr>
        <w:t xml:space="preserve">which </w:t>
      </w:r>
      <w:r w:rsidR="00811159">
        <w:rPr>
          <w:bCs/>
        </w:rPr>
        <w:t>refer</w:t>
      </w:r>
      <w:r w:rsidR="000E18D1">
        <w:rPr>
          <w:bCs/>
        </w:rPr>
        <w:t>s</w:t>
      </w:r>
      <w:r w:rsidR="00811159">
        <w:rPr>
          <w:bCs/>
        </w:rPr>
        <w:t xml:space="preserve"> to the eligibility of non-parties for funding</w:t>
      </w:r>
      <w:r w:rsidR="00A83481">
        <w:rPr>
          <w:bCs/>
        </w:rPr>
        <w:t xml:space="preserve">. </w:t>
      </w:r>
      <w:r w:rsidR="00AB3FD0">
        <w:rPr>
          <w:bCs/>
        </w:rPr>
        <w:t>The bracketed text presents</w:t>
      </w:r>
      <w:r w:rsidR="00950A8C">
        <w:rPr>
          <w:bCs/>
        </w:rPr>
        <w:t xml:space="preserve"> two options</w:t>
      </w:r>
      <w:r w:rsidR="002A760E">
        <w:rPr>
          <w:bCs/>
        </w:rPr>
        <w:t>:</w:t>
      </w:r>
      <w:r w:rsidR="00950A8C">
        <w:rPr>
          <w:bCs/>
        </w:rPr>
        <w:t xml:space="preserve"> one states that non-</w:t>
      </w:r>
      <w:r w:rsidR="003B3534">
        <w:rPr>
          <w:bCs/>
        </w:rPr>
        <w:t>p</w:t>
      </w:r>
      <w:r w:rsidR="00950A8C">
        <w:rPr>
          <w:bCs/>
        </w:rPr>
        <w:t>arties are not eligible</w:t>
      </w:r>
      <w:r w:rsidR="00A83481">
        <w:rPr>
          <w:bCs/>
        </w:rPr>
        <w:t xml:space="preserve"> to apply for funding but can participate in some activities undertaken by the Specific International Programme upon invitation by a </w:t>
      </w:r>
      <w:r w:rsidR="002A760E">
        <w:rPr>
          <w:bCs/>
        </w:rPr>
        <w:t>p</w:t>
      </w:r>
      <w:r w:rsidR="00A83481">
        <w:rPr>
          <w:bCs/>
        </w:rPr>
        <w:t>arty, on a case-by-case basis</w:t>
      </w:r>
      <w:r w:rsidR="002A760E">
        <w:rPr>
          <w:bCs/>
        </w:rPr>
        <w:t>, while</w:t>
      </w:r>
      <w:r w:rsidR="00A83481">
        <w:rPr>
          <w:bCs/>
        </w:rPr>
        <w:t xml:space="preserve"> </w:t>
      </w:r>
      <w:r w:rsidR="002A760E">
        <w:rPr>
          <w:bCs/>
        </w:rPr>
        <w:t>t</w:t>
      </w:r>
      <w:r w:rsidR="00950A8C">
        <w:rPr>
          <w:bCs/>
        </w:rPr>
        <w:t xml:space="preserve">he other states that signatories to the Convention are eligible </w:t>
      </w:r>
      <w:r w:rsidR="00A83481">
        <w:rPr>
          <w:bCs/>
        </w:rPr>
        <w:t xml:space="preserve">for funding </w:t>
      </w:r>
      <w:r w:rsidR="00950A8C">
        <w:rPr>
          <w:bCs/>
        </w:rPr>
        <w:t xml:space="preserve">provided they are taking meaningful steps towards becoming a </w:t>
      </w:r>
      <w:r w:rsidR="002A760E">
        <w:rPr>
          <w:bCs/>
        </w:rPr>
        <w:t>p</w:t>
      </w:r>
      <w:r w:rsidR="00950A8C">
        <w:rPr>
          <w:bCs/>
        </w:rPr>
        <w:t xml:space="preserve">arty. </w:t>
      </w:r>
      <w:r w:rsidR="00811159" w:rsidRPr="00811159">
        <w:rPr>
          <w:bCs/>
        </w:rPr>
        <w:t>A</w:t>
      </w:r>
      <w:r w:rsidRPr="00811159">
        <w:rPr>
          <w:bCs/>
        </w:rPr>
        <w:t xml:space="preserve"> set of brackets </w:t>
      </w:r>
      <w:r w:rsidR="00811159" w:rsidRPr="00811159">
        <w:rPr>
          <w:bCs/>
        </w:rPr>
        <w:t xml:space="preserve">also </w:t>
      </w:r>
      <w:r w:rsidRPr="00811159">
        <w:rPr>
          <w:bCs/>
        </w:rPr>
        <w:t>remain</w:t>
      </w:r>
      <w:r w:rsidR="00AB3FD0">
        <w:rPr>
          <w:bCs/>
        </w:rPr>
        <w:t>s</w:t>
      </w:r>
      <w:r w:rsidRPr="00811159">
        <w:rPr>
          <w:bCs/>
        </w:rPr>
        <w:t xml:space="preserve"> in annex II</w:t>
      </w:r>
      <w:r w:rsidR="000E18D1">
        <w:rPr>
          <w:bCs/>
        </w:rPr>
        <w:t xml:space="preserve"> to</w:t>
      </w:r>
      <w:r w:rsidR="00AB3FD0">
        <w:rPr>
          <w:bCs/>
        </w:rPr>
        <w:t xml:space="preserve"> the decision, which contains</w:t>
      </w:r>
      <w:r w:rsidR="00A83481">
        <w:rPr>
          <w:bCs/>
        </w:rPr>
        <w:t xml:space="preserve"> the terms of reference of the </w:t>
      </w:r>
      <w:r w:rsidR="005E4DC7">
        <w:rPr>
          <w:bCs/>
        </w:rPr>
        <w:t>Specific International P</w:t>
      </w:r>
      <w:r w:rsidR="005E4DC7" w:rsidRPr="00811159">
        <w:rPr>
          <w:bCs/>
        </w:rPr>
        <w:t>rogramme</w:t>
      </w:r>
      <w:r w:rsidRPr="00811159">
        <w:rPr>
          <w:bCs/>
        </w:rPr>
        <w:t xml:space="preserve">. </w:t>
      </w:r>
      <w:r w:rsidR="00950A8C">
        <w:rPr>
          <w:bCs/>
        </w:rPr>
        <w:t xml:space="preserve">Here the brackets </w:t>
      </w:r>
      <w:r w:rsidR="000E18D1">
        <w:rPr>
          <w:bCs/>
        </w:rPr>
        <w:t>are in paragraph 1</w:t>
      </w:r>
      <w:r w:rsidR="00FB11DA">
        <w:rPr>
          <w:bCs/>
        </w:rPr>
        <w:t>, which</w:t>
      </w:r>
      <w:r w:rsidR="000E18D1">
        <w:rPr>
          <w:bCs/>
        </w:rPr>
        <w:t xml:space="preserve"> </w:t>
      </w:r>
      <w:r w:rsidR="00AB3FD0">
        <w:rPr>
          <w:bCs/>
        </w:rPr>
        <w:t>relate</w:t>
      </w:r>
      <w:r w:rsidR="00FB11DA">
        <w:rPr>
          <w:bCs/>
        </w:rPr>
        <w:t>s</w:t>
      </w:r>
      <w:r w:rsidR="00AB3FD0">
        <w:rPr>
          <w:bCs/>
        </w:rPr>
        <w:t xml:space="preserve"> </w:t>
      </w:r>
      <w:r w:rsidR="00950A8C">
        <w:rPr>
          <w:bCs/>
        </w:rPr>
        <w:t>to whether the Governing Board of the Specific International Programme</w:t>
      </w:r>
      <w:r w:rsidR="00A83481">
        <w:rPr>
          <w:bCs/>
        </w:rPr>
        <w:t xml:space="preserve"> </w:t>
      </w:r>
      <w:r w:rsidR="002B4663">
        <w:rPr>
          <w:bCs/>
        </w:rPr>
        <w:t xml:space="preserve">is to </w:t>
      </w:r>
      <w:r w:rsidR="00A83481">
        <w:rPr>
          <w:bCs/>
        </w:rPr>
        <w:t xml:space="preserve">consist of </w:t>
      </w:r>
      <w:r w:rsidR="002A760E">
        <w:rPr>
          <w:bCs/>
        </w:rPr>
        <w:t xml:space="preserve">10 </w:t>
      </w:r>
      <w:r w:rsidR="00A83481">
        <w:rPr>
          <w:bCs/>
        </w:rPr>
        <w:t xml:space="preserve">members “from” or “nominated by” </w:t>
      </w:r>
      <w:r w:rsidR="002A760E">
        <w:rPr>
          <w:bCs/>
        </w:rPr>
        <w:t>p</w:t>
      </w:r>
      <w:r w:rsidR="00A83481">
        <w:rPr>
          <w:bCs/>
        </w:rPr>
        <w:t>arties</w:t>
      </w:r>
      <w:r w:rsidR="00950A8C">
        <w:rPr>
          <w:bCs/>
        </w:rPr>
        <w:t xml:space="preserve">. </w:t>
      </w:r>
      <w:r w:rsidR="00AB3FD0">
        <w:rPr>
          <w:bCs/>
        </w:rPr>
        <w:t>P</w:t>
      </w:r>
      <w:r w:rsidR="002B53ED">
        <w:rPr>
          <w:bCs/>
        </w:rPr>
        <w:t xml:space="preserve">aragraph 6 of annex I and paragraph 1 </w:t>
      </w:r>
      <w:r w:rsidR="00A83481">
        <w:rPr>
          <w:bCs/>
        </w:rPr>
        <w:t xml:space="preserve">of </w:t>
      </w:r>
      <w:r w:rsidR="002B53ED">
        <w:rPr>
          <w:bCs/>
        </w:rPr>
        <w:t xml:space="preserve">annex II </w:t>
      </w:r>
      <w:r w:rsidR="002B4663">
        <w:rPr>
          <w:bCs/>
        </w:rPr>
        <w:t xml:space="preserve">to </w:t>
      </w:r>
      <w:r w:rsidR="00AB3FD0">
        <w:rPr>
          <w:bCs/>
        </w:rPr>
        <w:t xml:space="preserve">decision </w:t>
      </w:r>
      <w:r w:rsidR="002B53ED">
        <w:rPr>
          <w:bCs/>
        </w:rPr>
        <w:t>MC-1/6</w:t>
      </w:r>
      <w:r w:rsidR="00A83481">
        <w:rPr>
          <w:bCs/>
        </w:rPr>
        <w:t xml:space="preserve"> </w:t>
      </w:r>
      <w:r w:rsidR="002A760E">
        <w:rPr>
          <w:bCs/>
        </w:rPr>
        <w:t xml:space="preserve">are </w:t>
      </w:r>
      <w:r w:rsidR="002E363B">
        <w:rPr>
          <w:bCs/>
        </w:rPr>
        <w:t>reproduced in</w:t>
      </w:r>
      <w:r w:rsidR="002B53ED">
        <w:rPr>
          <w:bCs/>
        </w:rPr>
        <w:t xml:space="preserve"> annex I to the present note</w:t>
      </w:r>
      <w:r w:rsidR="002A760E">
        <w:rPr>
          <w:bCs/>
        </w:rPr>
        <w:t xml:space="preserve"> for the consideration of the Conference of the Parties at its second meeting</w:t>
      </w:r>
      <w:r w:rsidR="002B53ED">
        <w:rPr>
          <w:bCs/>
        </w:rPr>
        <w:t xml:space="preserve">. </w:t>
      </w:r>
    </w:p>
    <w:p w14:paraId="137229C5" w14:textId="206753BA" w:rsidR="00403F8A" w:rsidRPr="00085A59" w:rsidRDefault="00085A59" w:rsidP="00676CA7">
      <w:pPr>
        <w:pStyle w:val="Normalnumber"/>
        <w:numPr>
          <w:ilvl w:val="0"/>
          <w:numId w:val="1"/>
        </w:numPr>
        <w:tabs>
          <w:tab w:val="clear" w:pos="1134"/>
        </w:tabs>
        <w:rPr>
          <w:bCs/>
        </w:rPr>
      </w:pPr>
      <w:r>
        <w:rPr>
          <w:bCs/>
        </w:rPr>
        <w:t>Th</w:t>
      </w:r>
      <w:r w:rsidR="002B4663">
        <w:rPr>
          <w:bCs/>
        </w:rPr>
        <w:t>e present</w:t>
      </w:r>
      <w:r w:rsidR="00430FFF" w:rsidRPr="00085A59">
        <w:rPr>
          <w:bCs/>
        </w:rPr>
        <w:t xml:space="preserve"> report on the Specific International Programme </w:t>
      </w:r>
      <w:r w:rsidR="00B308B6" w:rsidRPr="00085A59">
        <w:rPr>
          <w:bCs/>
        </w:rPr>
        <w:t>is</w:t>
      </w:r>
      <w:r w:rsidR="00430FFF" w:rsidRPr="00085A59">
        <w:rPr>
          <w:bCs/>
        </w:rPr>
        <w:t xml:space="preserve"> set out in </w:t>
      </w:r>
      <w:r w:rsidR="00AB3FD0">
        <w:rPr>
          <w:bCs/>
        </w:rPr>
        <w:t>five</w:t>
      </w:r>
      <w:r w:rsidR="00AB3FD0" w:rsidRPr="00085A59">
        <w:rPr>
          <w:bCs/>
        </w:rPr>
        <w:t xml:space="preserve"> </w:t>
      </w:r>
      <w:r w:rsidR="002B4663">
        <w:rPr>
          <w:bCs/>
        </w:rPr>
        <w:t>sections</w:t>
      </w:r>
      <w:r w:rsidR="00430FFF" w:rsidRPr="00085A59">
        <w:rPr>
          <w:bCs/>
        </w:rPr>
        <w:t xml:space="preserve">: </w:t>
      </w:r>
      <w:r w:rsidR="002B4663">
        <w:rPr>
          <w:bCs/>
        </w:rPr>
        <w:t>section</w:t>
      </w:r>
      <w:r w:rsidR="002B4663" w:rsidRPr="00085A59">
        <w:rPr>
          <w:bCs/>
        </w:rPr>
        <w:t xml:space="preserve"> </w:t>
      </w:r>
      <w:r w:rsidR="00430FFF" w:rsidRPr="00085A59">
        <w:rPr>
          <w:bCs/>
        </w:rPr>
        <w:t xml:space="preserve">I </w:t>
      </w:r>
      <w:r w:rsidR="00FB11DA">
        <w:rPr>
          <w:bCs/>
        </w:rPr>
        <w:t>is</w:t>
      </w:r>
      <w:r w:rsidR="00B308B6" w:rsidRPr="00085A59">
        <w:rPr>
          <w:bCs/>
        </w:rPr>
        <w:t xml:space="preserve"> this introduction</w:t>
      </w:r>
      <w:r w:rsidR="00AB3FD0">
        <w:rPr>
          <w:bCs/>
        </w:rPr>
        <w:t>;</w:t>
      </w:r>
      <w:r w:rsidR="00B308B6" w:rsidRPr="00085A59">
        <w:rPr>
          <w:bCs/>
        </w:rPr>
        <w:t xml:space="preserve"> </w:t>
      </w:r>
      <w:r w:rsidR="002B4663">
        <w:rPr>
          <w:bCs/>
        </w:rPr>
        <w:t>section</w:t>
      </w:r>
      <w:r w:rsidR="002B4663" w:rsidRPr="00085A59">
        <w:rPr>
          <w:bCs/>
        </w:rPr>
        <w:t xml:space="preserve"> </w:t>
      </w:r>
      <w:r w:rsidR="00B308B6" w:rsidRPr="00085A59">
        <w:rPr>
          <w:bCs/>
        </w:rPr>
        <w:t xml:space="preserve">II </w:t>
      </w:r>
      <w:r w:rsidR="00AB3FD0">
        <w:rPr>
          <w:bCs/>
        </w:rPr>
        <w:t xml:space="preserve">contains </w:t>
      </w:r>
      <w:r w:rsidR="00B308B6" w:rsidRPr="00085A59">
        <w:rPr>
          <w:bCs/>
        </w:rPr>
        <w:t>inform</w:t>
      </w:r>
      <w:r w:rsidR="00AB3FD0">
        <w:rPr>
          <w:bCs/>
        </w:rPr>
        <w:t>ation</w:t>
      </w:r>
      <w:r w:rsidR="00B308B6" w:rsidRPr="00085A59">
        <w:rPr>
          <w:bCs/>
        </w:rPr>
        <w:t xml:space="preserve"> </w:t>
      </w:r>
      <w:r w:rsidR="00811159" w:rsidRPr="00085A59">
        <w:rPr>
          <w:bCs/>
        </w:rPr>
        <w:t xml:space="preserve">on the establishment and status of the </w:t>
      </w:r>
      <w:r w:rsidR="0053048D" w:rsidRPr="00085A59">
        <w:rPr>
          <w:bCs/>
        </w:rPr>
        <w:t xml:space="preserve">Specific Trust Fund </w:t>
      </w:r>
      <w:r w:rsidR="00811159" w:rsidRPr="00085A59">
        <w:rPr>
          <w:bCs/>
        </w:rPr>
        <w:t>for the Specific International Programme</w:t>
      </w:r>
      <w:r w:rsidR="00AB3FD0">
        <w:rPr>
          <w:bCs/>
        </w:rPr>
        <w:t>;</w:t>
      </w:r>
      <w:r w:rsidR="00811159" w:rsidRPr="00085A59">
        <w:rPr>
          <w:bCs/>
        </w:rPr>
        <w:t xml:space="preserve"> </w:t>
      </w:r>
      <w:r w:rsidR="002B4663">
        <w:rPr>
          <w:bCs/>
        </w:rPr>
        <w:t>section</w:t>
      </w:r>
      <w:r w:rsidR="002B4663" w:rsidRPr="00085A59">
        <w:rPr>
          <w:bCs/>
        </w:rPr>
        <w:t xml:space="preserve"> </w:t>
      </w:r>
      <w:r w:rsidR="00811159" w:rsidRPr="00085A59">
        <w:rPr>
          <w:bCs/>
        </w:rPr>
        <w:t>III sets</w:t>
      </w:r>
      <w:r w:rsidR="00B308B6" w:rsidRPr="00085A59">
        <w:rPr>
          <w:bCs/>
        </w:rPr>
        <w:t xml:space="preserve"> out the </w:t>
      </w:r>
      <w:r w:rsidR="00811159" w:rsidRPr="00085A59">
        <w:rPr>
          <w:bCs/>
        </w:rPr>
        <w:t>g</w:t>
      </w:r>
      <w:r w:rsidR="008345E4" w:rsidRPr="00085A59">
        <w:rPr>
          <w:bCs/>
        </w:rPr>
        <w:t>overnance arrangements for the Specific I</w:t>
      </w:r>
      <w:r w:rsidR="00811159" w:rsidRPr="00085A59">
        <w:rPr>
          <w:bCs/>
        </w:rPr>
        <w:t xml:space="preserve">nternational </w:t>
      </w:r>
      <w:r w:rsidR="008345E4" w:rsidRPr="00085A59">
        <w:rPr>
          <w:bCs/>
        </w:rPr>
        <w:t>P</w:t>
      </w:r>
      <w:r w:rsidR="000646D6" w:rsidRPr="00085A59">
        <w:rPr>
          <w:bCs/>
        </w:rPr>
        <w:t>rogramme</w:t>
      </w:r>
      <w:r w:rsidR="00AB3FD0">
        <w:rPr>
          <w:bCs/>
        </w:rPr>
        <w:t>;</w:t>
      </w:r>
      <w:r w:rsidR="000646D6" w:rsidRPr="00085A59">
        <w:rPr>
          <w:bCs/>
        </w:rPr>
        <w:t xml:space="preserve"> </w:t>
      </w:r>
      <w:r w:rsidR="005E4DC7">
        <w:rPr>
          <w:bCs/>
        </w:rPr>
        <w:t>s</w:t>
      </w:r>
      <w:r w:rsidR="002B4663">
        <w:rPr>
          <w:bCs/>
        </w:rPr>
        <w:t xml:space="preserve">ection </w:t>
      </w:r>
      <w:r w:rsidR="000646D6" w:rsidRPr="00085A59">
        <w:rPr>
          <w:bCs/>
        </w:rPr>
        <w:t xml:space="preserve">IV outlines the work of the Governing Board </w:t>
      </w:r>
      <w:r w:rsidR="00634380" w:rsidRPr="00085A59">
        <w:rPr>
          <w:bCs/>
        </w:rPr>
        <w:t xml:space="preserve">and the Specific International Programme </w:t>
      </w:r>
      <w:r w:rsidR="002B4663">
        <w:rPr>
          <w:bCs/>
        </w:rPr>
        <w:t>to date</w:t>
      </w:r>
      <w:r w:rsidR="005D1000" w:rsidRPr="005D1000">
        <w:rPr>
          <w:bCs/>
        </w:rPr>
        <w:t xml:space="preserve"> </w:t>
      </w:r>
      <w:r w:rsidR="005D1000" w:rsidRPr="0073702E">
        <w:rPr>
          <w:bCs/>
        </w:rPr>
        <w:t xml:space="preserve">and </w:t>
      </w:r>
      <w:r w:rsidR="005D1000" w:rsidRPr="000661F5">
        <w:rPr>
          <w:bCs/>
        </w:rPr>
        <w:t xml:space="preserve">gives an overview of the first round of applications to the Specific International </w:t>
      </w:r>
      <w:r w:rsidR="005D1000" w:rsidRPr="0073702E">
        <w:rPr>
          <w:bCs/>
        </w:rPr>
        <w:t>Programme</w:t>
      </w:r>
      <w:r w:rsidR="00FA73AE">
        <w:rPr>
          <w:bCs/>
        </w:rPr>
        <w:t>; and</w:t>
      </w:r>
      <w:r w:rsidR="000646D6" w:rsidRPr="00085A59">
        <w:rPr>
          <w:bCs/>
        </w:rPr>
        <w:t xml:space="preserve"> </w:t>
      </w:r>
      <w:r w:rsidR="002B4663">
        <w:rPr>
          <w:bCs/>
        </w:rPr>
        <w:t>section</w:t>
      </w:r>
      <w:r w:rsidR="002B4663" w:rsidRPr="00085A59">
        <w:rPr>
          <w:bCs/>
        </w:rPr>
        <w:t xml:space="preserve"> </w:t>
      </w:r>
      <w:r w:rsidR="000646D6" w:rsidRPr="00085A59">
        <w:rPr>
          <w:bCs/>
        </w:rPr>
        <w:t xml:space="preserve">V </w:t>
      </w:r>
      <w:r w:rsidR="002B4663">
        <w:rPr>
          <w:bCs/>
        </w:rPr>
        <w:t>relates to</w:t>
      </w:r>
      <w:r w:rsidR="002B4663" w:rsidRPr="00085A59">
        <w:rPr>
          <w:bCs/>
        </w:rPr>
        <w:t xml:space="preserve"> </w:t>
      </w:r>
      <w:r w:rsidR="00634380" w:rsidRPr="00085A59">
        <w:rPr>
          <w:bCs/>
        </w:rPr>
        <w:t xml:space="preserve">the review </w:t>
      </w:r>
      <w:r w:rsidR="00FA73AE">
        <w:rPr>
          <w:bCs/>
        </w:rPr>
        <w:t xml:space="preserve">of the financial mechanism </w:t>
      </w:r>
      <w:r w:rsidR="00634380" w:rsidRPr="00085A59">
        <w:rPr>
          <w:bCs/>
        </w:rPr>
        <w:t xml:space="preserve">mandated by </w:t>
      </w:r>
      <w:r w:rsidR="00FA73AE">
        <w:rPr>
          <w:bCs/>
        </w:rPr>
        <w:t>a</w:t>
      </w:r>
      <w:r w:rsidR="00634380" w:rsidRPr="00085A59">
        <w:rPr>
          <w:bCs/>
        </w:rPr>
        <w:t xml:space="preserve">rticle 13 of the </w:t>
      </w:r>
      <w:r w:rsidR="00634380" w:rsidRPr="0073702E">
        <w:rPr>
          <w:bCs/>
        </w:rPr>
        <w:t>Convention</w:t>
      </w:r>
      <w:r w:rsidR="003617F8" w:rsidRPr="0073702E">
        <w:rPr>
          <w:bCs/>
        </w:rPr>
        <w:t xml:space="preserve">. </w:t>
      </w:r>
      <w:r w:rsidR="00FA73AE" w:rsidRPr="0073702E">
        <w:rPr>
          <w:bCs/>
        </w:rPr>
        <w:t>Th</w:t>
      </w:r>
      <w:r w:rsidR="002B4663" w:rsidRPr="0073702E">
        <w:rPr>
          <w:bCs/>
        </w:rPr>
        <w:t>e</w:t>
      </w:r>
      <w:r w:rsidR="002B4663">
        <w:rPr>
          <w:bCs/>
        </w:rPr>
        <w:t xml:space="preserve"> present</w:t>
      </w:r>
      <w:r w:rsidR="00FA73AE">
        <w:rPr>
          <w:bCs/>
        </w:rPr>
        <w:t xml:space="preserve"> document also contains a</w:t>
      </w:r>
      <w:r w:rsidR="00811159" w:rsidRPr="00085A59">
        <w:rPr>
          <w:bCs/>
        </w:rPr>
        <w:t>nnex</w:t>
      </w:r>
      <w:r w:rsidR="00FA73AE">
        <w:rPr>
          <w:bCs/>
        </w:rPr>
        <w:t>es</w:t>
      </w:r>
      <w:r w:rsidR="00811159" w:rsidRPr="00085A59">
        <w:rPr>
          <w:bCs/>
        </w:rPr>
        <w:t xml:space="preserve"> setting </w:t>
      </w:r>
      <w:r w:rsidR="005F7DAB" w:rsidRPr="00085A59">
        <w:rPr>
          <w:bCs/>
        </w:rPr>
        <w:t xml:space="preserve">out </w:t>
      </w:r>
      <w:r w:rsidR="002B53ED" w:rsidRPr="00085A59">
        <w:rPr>
          <w:bCs/>
        </w:rPr>
        <w:t xml:space="preserve">the text remaining in brackets as per paragraph </w:t>
      </w:r>
      <w:r w:rsidR="002B4663">
        <w:rPr>
          <w:bCs/>
        </w:rPr>
        <w:t>3</w:t>
      </w:r>
      <w:r w:rsidR="002B4663" w:rsidRPr="00085A59">
        <w:rPr>
          <w:bCs/>
        </w:rPr>
        <w:t xml:space="preserve"> </w:t>
      </w:r>
      <w:r w:rsidR="002B53ED" w:rsidRPr="00085A59">
        <w:rPr>
          <w:bCs/>
        </w:rPr>
        <w:t>above</w:t>
      </w:r>
      <w:r w:rsidR="00FA73AE">
        <w:rPr>
          <w:bCs/>
        </w:rPr>
        <w:t xml:space="preserve"> (annex I), </w:t>
      </w:r>
      <w:r w:rsidR="00811159" w:rsidRPr="00085A59">
        <w:rPr>
          <w:bCs/>
        </w:rPr>
        <w:t>t</w:t>
      </w:r>
      <w:r w:rsidR="005F7DAB" w:rsidRPr="00085A59">
        <w:rPr>
          <w:bCs/>
        </w:rPr>
        <w:t xml:space="preserve">he </w:t>
      </w:r>
      <w:r w:rsidR="00FA73AE">
        <w:rPr>
          <w:bCs/>
        </w:rPr>
        <w:t>r</w:t>
      </w:r>
      <w:r w:rsidR="005F7DAB" w:rsidRPr="00085A59">
        <w:rPr>
          <w:bCs/>
        </w:rPr>
        <w:t>ule</w:t>
      </w:r>
      <w:r w:rsidR="00FA73AE">
        <w:rPr>
          <w:bCs/>
        </w:rPr>
        <w:t>s</w:t>
      </w:r>
      <w:r w:rsidR="005F7DAB" w:rsidRPr="00085A59">
        <w:rPr>
          <w:bCs/>
        </w:rPr>
        <w:t xml:space="preserve"> of </w:t>
      </w:r>
      <w:r w:rsidR="00FA73AE">
        <w:rPr>
          <w:bCs/>
        </w:rPr>
        <w:t>p</w:t>
      </w:r>
      <w:r w:rsidR="005F7DAB" w:rsidRPr="00085A59">
        <w:rPr>
          <w:bCs/>
        </w:rPr>
        <w:t>rocedure adopted by the Governing Board</w:t>
      </w:r>
      <w:r w:rsidR="00FA73AE">
        <w:rPr>
          <w:bCs/>
        </w:rPr>
        <w:t xml:space="preserve"> (annex II)</w:t>
      </w:r>
      <w:r w:rsidR="005F7DAB" w:rsidRPr="00085A59">
        <w:rPr>
          <w:bCs/>
        </w:rPr>
        <w:t xml:space="preserve"> and an overview of the </w:t>
      </w:r>
      <w:r w:rsidR="00634380" w:rsidRPr="00085A59">
        <w:rPr>
          <w:bCs/>
        </w:rPr>
        <w:t xml:space="preserve">applications received by </w:t>
      </w:r>
      <w:r w:rsidR="00FB11DA">
        <w:rPr>
          <w:bCs/>
        </w:rPr>
        <w:t xml:space="preserve">31 August 2018, which was </w:t>
      </w:r>
      <w:r w:rsidR="00634380" w:rsidRPr="00085A59">
        <w:rPr>
          <w:bCs/>
        </w:rPr>
        <w:t xml:space="preserve">the deadline </w:t>
      </w:r>
      <w:r w:rsidR="002B4663">
        <w:rPr>
          <w:bCs/>
        </w:rPr>
        <w:t xml:space="preserve">for </w:t>
      </w:r>
      <w:r w:rsidR="00634380" w:rsidRPr="00085A59">
        <w:rPr>
          <w:bCs/>
        </w:rPr>
        <w:t>the first round of applications to the Specific International Programme</w:t>
      </w:r>
      <w:r w:rsidR="00C15FEB">
        <w:rPr>
          <w:bCs/>
        </w:rPr>
        <w:t xml:space="preserve"> </w:t>
      </w:r>
      <w:r w:rsidR="00FA73AE">
        <w:rPr>
          <w:bCs/>
        </w:rPr>
        <w:t>(annex III)</w:t>
      </w:r>
      <w:r w:rsidR="00634380" w:rsidRPr="00085A59">
        <w:rPr>
          <w:bCs/>
        </w:rPr>
        <w:t>.</w:t>
      </w:r>
      <w:r w:rsidRPr="00085A59">
        <w:rPr>
          <w:bCs/>
        </w:rPr>
        <w:t xml:space="preserve"> </w:t>
      </w:r>
    </w:p>
    <w:p w14:paraId="594DF9CE" w14:textId="2EA2CDB7" w:rsidR="0053048D" w:rsidRPr="0053048D" w:rsidRDefault="00FD387C" w:rsidP="00FD387C">
      <w:pPr>
        <w:pStyle w:val="CH1"/>
      </w:pPr>
      <w:r>
        <w:tab/>
        <w:t>II.</w:t>
      </w:r>
      <w:r>
        <w:tab/>
      </w:r>
      <w:r w:rsidR="0053048D" w:rsidRPr="0053048D">
        <w:t xml:space="preserve">The </w:t>
      </w:r>
      <w:r w:rsidR="0053048D" w:rsidRPr="00D86C56">
        <w:t>Specific Trust Fund for</w:t>
      </w:r>
      <w:r w:rsidR="0053048D">
        <w:t xml:space="preserve"> the Specific International Programme</w:t>
      </w:r>
    </w:p>
    <w:p w14:paraId="1F75273C" w14:textId="5FC477C0" w:rsidR="0053048D" w:rsidRDefault="00581F92" w:rsidP="00400CDF">
      <w:pPr>
        <w:pStyle w:val="Normalnumber"/>
        <w:numPr>
          <w:ilvl w:val="0"/>
          <w:numId w:val="1"/>
        </w:numPr>
        <w:tabs>
          <w:tab w:val="clear" w:pos="1134"/>
        </w:tabs>
      </w:pPr>
      <w:r>
        <w:t>I</w:t>
      </w:r>
      <w:r w:rsidR="0053048D">
        <w:t xml:space="preserve">n </w:t>
      </w:r>
      <w:r>
        <w:t xml:space="preserve">the </w:t>
      </w:r>
      <w:r w:rsidRPr="00596AFF">
        <w:t>annex to</w:t>
      </w:r>
      <w:r>
        <w:t xml:space="preserve"> </w:t>
      </w:r>
      <w:r w:rsidR="0053048D">
        <w:t>decision MC-1/10</w:t>
      </w:r>
      <w:r w:rsidR="0047594B">
        <w:t>,</w:t>
      </w:r>
      <w:r w:rsidR="0053048D">
        <w:t xml:space="preserve"> on the </w:t>
      </w:r>
      <w:r w:rsidR="004D5EE4">
        <w:t>f</w:t>
      </w:r>
      <w:r w:rsidR="0053048D">
        <w:t xml:space="preserve">inancial </w:t>
      </w:r>
      <w:r w:rsidR="004D5EE4">
        <w:t>r</w:t>
      </w:r>
      <w:r w:rsidR="0053048D">
        <w:t xml:space="preserve">ules for </w:t>
      </w:r>
      <w:r w:rsidR="00D74D28">
        <w:t xml:space="preserve">the Conference of the Parties to the Minamata Convention on Mercury, its subsidiary bodies and the secretariat of the Convention, </w:t>
      </w:r>
      <w:r>
        <w:t xml:space="preserve">paragraph 4 of </w:t>
      </w:r>
      <w:r w:rsidR="00D74D28">
        <w:t xml:space="preserve">rule 4 </w:t>
      </w:r>
      <w:r>
        <w:t>specifies that</w:t>
      </w:r>
      <w:r w:rsidR="006907E5">
        <w:t xml:space="preserve"> the Executive D</w:t>
      </w:r>
      <w:r w:rsidR="00D74D28">
        <w:t xml:space="preserve">irector of the United Nations Environment Programme </w:t>
      </w:r>
      <w:r w:rsidR="005E4DC7">
        <w:t>is to</w:t>
      </w:r>
      <w:r>
        <w:t xml:space="preserve"> </w:t>
      </w:r>
      <w:r w:rsidR="00D74D28">
        <w:t xml:space="preserve">establish </w:t>
      </w:r>
      <w:r>
        <w:t>a s</w:t>
      </w:r>
      <w:r w:rsidR="00D74D28">
        <w:t xml:space="preserve">pecific </w:t>
      </w:r>
      <w:r>
        <w:t>t</w:t>
      </w:r>
      <w:r w:rsidR="00D74D28">
        <w:t xml:space="preserve">rust </w:t>
      </w:r>
      <w:r>
        <w:t>f</w:t>
      </w:r>
      <w:r w:rsidR="00D74D28">
        <w:t>und for the Specific International Programme. Further</w:t>
      </w:r>
      <w:r>
        <w:t>,</w:t>
      </w:r>
      <w:r w:rsidR="00D74D28">
        <w:t xml:space="preserve"> </w:t>
      </w:r>
      <w:r>
        <w:t xml:space="preserve">in decision </w:t>
      </w:r>
      <w:r w:rsidR="00D74D28">
        <w:t>MC-1/6</w:t>
      </w:r>
      <w:r w:rsidR="00F17722">
        <w:t>, paragraph 3,</w:t>
      </w:r>
      <w:r w:rsidR="00D74D28">
        <w:t xml:space="preserve"> </w:t>
      </w:r>
      <w:r>
        <w:t xml:space="preserve">the Conference of the Parties </w:t>
      </w:r>
      <w:r w:rsidR="00D74D28">
        <w:t>request</w:t>
      </w:r>
      <w:r>
        <w:t>ed</w:t>
      </w:r>
      <w:r w:rsidR="00D74D28">
        <w:t xml:space="preserve"> the Executive Director</w:t>
      </w:r>
      <w:r>
        <w:t xml:space="preserve"> to establish such a fund</w:t>
      </w:r>
      <w:r w:rsidR="00D74D28">
        <w:t xml:space="preserve">. </w:t>
      </w:r>
    </w:p>
    <w:p w14:paraId="59BE049C" w14:textId="0EA31510" w:rsidR="001A0FDF" w:rsidRDefault="00581F92" w:rsidP="00676CA7">
      <w:pPr>
        <w:pStyle w:val="Normalnumber"/>
        <w:numPr>
          <w:ilvl w:val="0"/>
          <w:numId w:val="1"/>
        </w:numPr>
        <w:tabs>
          <w:tab w:val="clear" w:pos="1134"/>
        </w:tabs>
      </w:pPr>
      <w:r>
        <w:t>Accordingly, f</w:t>
      </w:r>
      <w:r w:rsidR="00D74D28">
        <w:t xml:space="preserve">ollowing the first </w:t>
      </w:r>
      <w:r w:rsidR="00D74D28" w:rsidRPr="00234050">
        <w:t>meeting</w:t>
      </w:r>
      <w:r w:rsidR="00F17722" w:rsidRPr="00234050">
        <w:t xml:space="preserve"> of the</w:t>
      </w:r>
      <w:r w:rsidR="00F17722">
        <w:t xml:space="preserve"> Conference of Parties</w:t>
      </w:r>
      <w:r w:rsidR="00D74D28">
        <w:t>, the Executive Director establish</w:t>
      </w:r>
      <w:r w:rsidR="00085A59">
        <w:t>ed</w:t>
      </w:r>
      <w:r w:rsidR="00D74D28">
        <w:t xml:space="preserve"> the Specific Trust Fund. As per para</w:t>
      </w:r>
      <w:r w:rsidR="00803E10">
        <w:t>graph</w:t>
      </w:r>
      <w:r w:rsidR="00D74D28">
        <w:t xml:space="preserve"> 9 of annex I of </w:t>
      </w:r>
      <w:r w:rsidR="00107C89">
        <w:t xml:space="preserve">decision </w:t>
      </w:r>
      <w:r w:rsidR="00D74D28">
        <w:t xml:space="preserve">MC-1/6 </w:t>
      </w:r>
      <w:r w:rsidR="006907E5" w:rsidRPr="0042507A">
        <w:t>and paragraph</w:t>
      </w:r>
      <w:r w:rsidR="00803E10" w:rsidRPr="0042507A">
        <w:t xml:space="preserve"> 6</w:t>
      </w:r>
      <w:r w:rsidR="006907E5" w:rsidRPr="0042507A">
        <w:t xml:space="preserve"> of </w:t>
      </w:r>
      <w:r w:rsidR="00803E10" w:rsidRPr="0042507A">
        <w:t xml:space="preserve">rule 5 of the </w:t>
      </w:r>
      <w:r w:rsidRPr="0042507A">
        <w:t>f</w:t>
      </w:r>
      <w:r w:rsidR="00803E10" w:rsidRPr="0042507A">
        <w:t xml:space="preserve">inancial </w:t>
      </w:r>
      <w:r w:rsidRPr="0042507A">
        <w:t>r</w:t>
      </w:r>
      <w:r w:rsidR="00803E10" w:rsidRPr="0042507A">
        <w:t>ules (</w:t>
      </w:r>
      <w:r w:rsidR="00107C89" w:rsidRPr="0042507A">
        <w:t xml:space="preserve">decision </w:t>
      </w:r>
      <w:r w:rsidR="006907E5" w:rsidRPr="0042507A">
        <w:t>MC-1/10</w:t>
      </w:r>
      <w:r w:rsidR="00803E10" w:rsidRPr="0042507A">
        <w:t>)</w:t>
      </w:r>
      <w:r w:rsidR="006907E5" w:rsidRPr="0042507A">
        <w:t>,</w:t>
      </w:r>
      <w:r w:rsidR="006907E5">
        <w:t xml:space="preserve"> </w:t>
      </w:r>
      <w:r w:rsidR="00D74D28">
        <w:t xml:space="preserve">contributions to the </w:t>
      </w:r>
      <w:r w:rsidR="005E4DC7">
        <w:t>Specific International Programm</w:t>
      </w:r>
      <w:r w:rsidR="00D74D28">
        <w:t xml:space="preserve">e are encouraged from a broad range of sources. This includes all </w:t>
      </w:r>
      <w:r w:rsidR="00107C89">
        <w:t>p</w:t>
      </w:r>
      <w:r w:rsidR="00D74D28">
        <w:t xml:space="preserve">arties to the Minamata Convention with the capacity to contribute, as well as other relevant stakeholders, including Governments, the private sector, foundations, non-governmental organizations, intergovernmental organizations, academia and other types of civil society actors. </w:t>
      </w:r>
    </w:p>
    <w:p w14:paraId="75A789F2" w14:textId="5DF16734" w:rsidR="00D74D28" w:rsidRDefault="00D74D28" w:rsidP="00676CA7">
      <w:pPr>
        <w:pStyle w:val="Normalnumber"/>
        <w:numPr>
          <w:ilvl w:val="0"/>
          <w:numId w:val="1"/>
        </w:numPr>
        <w:tabs>
          <w:tab w:val="clear" w:pos="1134"/>
        </w:tabs>
      </w:pPr>
      <w:r>
        <w:t>Further, as per para</w:t>
      </w:r>
      <w:r w:rsidR="00107C89">
        <w:t>graph</w:t>
      </w:r>
      <w:r>
        <w:t xml:space="preserve"> 12 of annex I</w:t>
      </w:r>
      <w:r w:rsidR="006907E5">
        <w:t xml:space="preserve"> of </w:t>
      </w:r>
      <w:r w:rsidR="00107C89">
        <w:t xml:space="preserve">decision </w:t>
      </w:r>
      <w:r w:rsidR="006907E5">
        <w:t>MC-1/6</w:t>
      </w:r>
      <w:r w:rsidR="00107C89">
        <w:t>,</w:t>
      </w:r>
      <w:r>
        <w:t xml:space="preserve"> the </w:t>
      </w:r>
      <w:r w:rsidR="005E4DC7">
        <w:t>Specific International Program</w:t>
      </w:r>
      <w:r>
        <w:t xml:space="preserve">me will be open to receive voluntary contributions for a period of </w:t>
      </w:r>
      <w:r w:rsidR="00107C89">
        <w:t xml:space="preserve">10 </w:t>
      </w:r>
      <w:r>
        <w:t xml:space="preserve">years from </w:t>
      </w:r>
      <w:r w:rsidR="00107C89">
        <w:t xml:space="preserve">the </w:t>
      </w:r>
      <w:r>
        <w:t xml:space="preserve">establishment of </w:t>
      </w:r>
      <w:r w:rsidR="00107C89">
        <w:t xml:space="preserve">its </w:t>
      </w:r>
      <w:r>
        <w:t xml:space="preserve">trust fund. The Conference of the Parties may decide to extend this period, not exceeding an additional seven years, taking into account the review process of the financial mechanism </w:t>
      </w:r>
      <w:r w:rsidR="004305FE">
        <w:t>provided for in</w:t>
      </w:r>
      <w:r>
        <w:t xml:space="preserve"> paragraph 11 of article 13 of the Minamata Convention. </w:t>
      </w:r>
      <w:r w:rsidR="001A0FDF">
        <w:t>The Specific Trust Fund was thus established with an initial expiry date of 31 December 2028.</w:t>
      </w:r>
    </w:p>
    <w:p w14:paraId="1B5025B9" w14:textId="3703D672" w:rsidR="00D74D28" w:rsidRDefault="00CE3AE5" w:rsidP="00676CA7">
      <w:pPr>
        <w:pStyle w:val="Normalnumber"/>
        <w:numPr>
          <w:ilvl w:val="0"/>
          <w:numId w:val="1"/>
        </w:numPr>
        <w:tabs>
          <w:tab w:val="clear" w:pos="1134"/>
        </w:tabs>
      </w:pPr>
      <w:r>
        <w:t xml:space="preserve">As </w:t>
      </w:r>
      <w:r w:rsidR="00EB6036">
        <w:t xml:space="preserve">at </w:t>
      </w:r>
      <w:r>
        <w:t>31 August</w:t>
      </w:r>
      <w:r w:rsidR="00107C89">
        <w:t xml:space="preserve"> 2018</w:t>
      </w:r>
      <w:r>
        <w:t xml:space="preserve">, pledges to the </w:t>
      </w:r>
      <w:r w:rsidR="005E4DC7">
        <w:t xml:space="preserve">Specific International Programme </w:t>
      </w:r>
      <w:r>
        <w:t>amount</w:t>
      </w:r>
      <w:r w:rsidR="00107C89">
        <w:t>ed</w:t>
      </w:r>
      <w:r>
        <w:t xml:space="preserve"> to </w:t>
      </w:r>
      <w:r w:rsidR="00107C89">
        <w:t>$</w:t>
      </w:r>
      <w:r>
        <w:t xml:space="preserve">1,281,448. Contributions were pledged </w:t>
      </w:r>
      <w:r w:rsidR="00107C89">
        <w:t xml:space="preserve">by </w:t>
      </w:r>
      <w:r>
        <w:t xml:space="preserve">Austria, Denmark, Germany, the Netherlands, Norway, Sweden, the United Kingdom </w:t>
      </w:r>
      <w:r w:rsidR="00107C89">
        <w:t xml:space="preserve">of Great Britain and Northern Ireland </w:t>
      </w:r>
      <w:r>
        <w:t>and the United States</w:t>
      </w:r>
      <w:r w:rsidR="00107C89">
        <w:t xml:space="preserve"> of America</w:t>
      </w:r>
      <w:r>
        <w:t xml:space="preserve">. </w:t>
      </w:r>
    </w:p>
    <w:p w14:paraId="2BCB2B34" w14:textId="334FD8C3" w:rsidR="00911622" w:rsidRPr="00FD387C" w:rsidRDefault="00911622" w:rsidP="00711B94">
      <w:pPr>
        <w:pStyle w:val="Titletable"/>
        <w:spacing w:after="20"/>
      </w:pPr>
      <w:r w:rsidRPr="00400CDF">
        <w:lastRenderedPageBreak/>
        <w:t>Contributions</w:t>
      </w:r>
      <w:r w:rsidRPr="00FD387C">
        <w:t xml:space="preserve"> and pledges received for 2018, as </w:t>
      </w:r>
      <w:r w:rsidR="00B23ECE">
        <w:t>at</w:t>
      </w:r>
      <w:r w:rsidRPr="00FD387C">
        <w:t xml:space="preserve"> 31 August 2018</w:t>
      </w:r>
      <w:r w:rsidR="00EB6036">
        <w:t xml:space="preserve"> </w:t>
      </w:r>
    </w:p>
    <w:p w14:paraId="0F9FA9EE" w14:textId="69294713" w:rsidR="001F302D" w:rsidRDefault="001F302D">
      <w:pPr>
        <w:pStyle w:val="Titletable"/>
        <w:rPr>
          <w:b w:val="0"/>
          <w:sz w:val="18"/>
          <w:szCs w:val="18"/>
        </w:rPr>
      </w:pPr>
      <w:r w:rsidRPr="00400CDF">
        <w:rPr>
          <w:b w:val="0"/>
          <w:sz w:val="18"/>
          <w:szCs w:val="18"/>
        </w:rPr>
        <w:t>(in United States dollars)</w:t>
      </w:r>
    </w:p>
    <w:tbl>
      <w:tblPr>
        <w:tblW w:w="6804" w:type="dxa"/>
        <w:tblInd w:w="1276" w:type="dxa"/>
        <w:tblLook w:val="04A0" w:firstRow="1" w:lastRow="0" w:firstColumn="1" w:lastColumn="0" w:noHBand="0" w:noVBand="1"/>
      </w:tblPr>
      <w:tblGrid>
        <w:gridCol w:w="3402"/>
        <w:gridCol w:w="3402"/>
      </w:tblGrid>
      <w:tr w:rsidR="00400CDF" w:rsidRPr="00400CDF" w14:paraId="6F1F5598" w14:textId="77777777" w:rsidTr="00FE2907">
        <w:trPr>
          <w:tblHeader/>
        </w:trPr>
        <w:tc>
          <w:tcPr>
            <w:tcW w:w="3402" w:type="dxa"/>
            <w:tcBorders>
              <w:top w:val="single" w:sz="4" w:space="0" w:color="auto"/>
              <w:bottom w:val="single" w:sz="12" w:space="0" w:color="auto"/>
            </w:tcBorders>
            <w:shd w:val="clear" w:color="auto" w:fill="FFFFFF" w:themeFill="background1"/>
          </w:tcPr>
          <w:p w14:paraId="0A1151DE" w14:textId="154F40DC" w:rsidR="00C85594" w:rsidRPr="00400CDF" w:rsidRDefault="00400CDF" w:rsidP="00C1570C">
            <w:pPr>
              <w:keepNext/>
              <w:keepLines/>
              <w:spacing w:before="40" w:after="40"/>
              <w:rPr>
                <w:i/>
                <w:sz w:val="18"/>
                <w:szCs w:val="18"/>
              </w:rPr>
            </w:pPr>
            <w:r w:rsidRPr="00400CDF">
              <w:rPr>
                <w:i/>
                <w:sz w:val="18"/>
                <w:szCs w:val="18"/>
              </w:rPr>
              <w:t>Donor</w:t>
            </w:r>
          </w:p>
        </w:tc>
        <w:tc>
          <w:tcPr>
            <w:tcW w:w="3402" w:type="dxa"/>
            <w:tcBorders>
              <w:top w:val="single" w:sz="4" w:space="0" w:color="auto"/>
              <w:bottom w:val="single" w:sz="12" w:space="0" w:color="auto"/>
            </w:tcBorders>
            <w:shd w:val="clear" w:color="auto" w:fill="FFFFFF" w:themeFill="background1"/>
          </w:tcPr>
          <w:p w14:paraId="557E736F" w14:textId="77777777" w:rsidR="00400CDF" w:rsidRPr="00400CDF" w:rsidRDefault="00400CDF" w:rsidP="00C1570C">
            <w:pPr>
              <w:keepNext/>
              <w:keepLines/>
              <w:spacing w:before="40" w:after="40"/>
              <w:jc w:val="right"/>
              <w:rPr>
                <w:i/>
                <w:sz w:val="18"/>
                <w:szCs w:val="18"/>
              </w:rPr>
            </w:pPr>
            <w:r w:rsidRPr="00400CDF">
              <w:rPr>
                <w:i/>
                <w:sz w:val="18"/>
                <w:szCs w:val="18"/>
              </w:rPr>
              <w:t>Total amount pledged/contributed</w:t>
            </w:r>
          </w:p>
        </w:tc>
      </w:tr>
      <w:tr w:rsidR="00400CDF" w:rsidRPr="00400CDF" w14:paraId="6D356D4C" w14:textId="77777777" w:rsidTr="00FE2907">
        <w:tc>
          <w:tcPr>
            <w:tcW w:w="3402" w:type="dxa"/>
            <w:tcBorders>
              <w:top w:val="single" w:sz="12" w:space="0" w:color="auto"/>
            </w:tcBorders>
            <w:shd w:val="clear" w:color="auto" w:fill="auto"/>
          </w:tcPr>
          <w:p w14:paraId="2023941E" w14:textId="77777777" w:rsidR="00400CDF" w:rsidRPr="00400CDF" w:rsidRDefault="00400CDF" w:rsidP="00C1570C">
            <w:pPr>
              <w:keepNext/>
              <w:keepLines/>
              <w:spacing w:before="40" w:after="40"/>
              <w:rPr>
                <w:sz w:val="18"/>
                <w:szCs w:val="18"/>
              </w:rPr>
            </w:pPr>
            <w:r w:rsidRPr="00400CDF">
              <w:rPr>
                <w:sz w:val="18"/>
                <w:szCs w:val="18"/>
              </w:rPr>
              <w:t>Austria</w:t>
            </w:r>
          </w:p>
        </w:tc>
        <w:tc>
          <w:tcPr>
            <w:tcW w:w="3402" w:type="dxa"/>
            <w:tcBorders>
              <w:top w:val="single" w:sz="12" w:space="0" w:color="auto"/>
            </w:tcBorders>
            <w:shd w:val="clear" w:color="auto" w:fill="auto"/>
          </w:tcPr>
          <w:p w14:paraId="0FF60BF5" w14:textId="1C77FAAF" w:rsidR="00400CDF" w:rsidRPr="00400CDF" w:rsidRDefault="00400CDF" w:rsidP="00C1570C">
            <w:pPr>
              <w:keepNext/>
              <w:keepLines/>
              <w:spacing w:before="40" w:after="40"/>
              <w:jc w:val="right"/>
              <w:rPr>
                <w:sz w:val="18"/>
                <w:szCs w:val="18"/>
              </w:rPr>
            </w:pPr>
            <w:r w:rsidRPr="00400CDF">
              <w:rPr>
                <w:sz w:val="18"/>
                <w:szCs w:val="18"/>
              </w:rPr>
              <w:t xml:space="preserve">46 </w:t>
            </w:r>
            <w:r w:rsidR="005D1000">
              <w:rPr>
                <w:sz w:val="18"/>
                <w:szCs w:val="18"/>
              </w:rPr>
              <w:t>950</w:t>
            </w:r>
          </w:p>
        </w:tc>
      </w:tr>
      <w:tr w:rsidR="00400CDF" w:rsidRPr="00400CDF" w14:paraId="0F383D38" w14:textId="77777777" w:rsidTr="00FE2907">
        <w:tc>
          <w:tcPr>
            <w:tcW w:w="3402" w:type="dxa"/>
            <w:shd w:val="clear" w:color="auto" w:fill="auto"/>
          </w:tcPr>
          <w:p w14:paraId="35AEFEC3" w14:textId="77777777" w:rsidR="00400CDF" w:rsidRPr="00400CDF" w:rsidRDefault="00400CDF" w:rsidP="00C1570C">
            <w:pPr>
              <w:keepNext/>
              <w:keepLines/>
              <w:spacing w:before="40" w:after="40"/>
              <w:rPr>
                <w:sz w:val="18"/>
                <w:szCs w:val="18"/>
              </w:rPr>
            </w:pPr>
            <w:r w:rsidRPr="00400CDF">
              <w:rPr>
                <w:sz w:val="18"/>
                <w:szCs w:val="18"/>
              </w:rPr>
              <w:t>Denmark</w:t>
            </w:r>
          </w:p>
        </w:tc>
        <w:tc>
          <w:tcPr>
            <w:tcW w:w="3402" w:type="dxa"/>
            <w:shd w:val="clear" w:color="auto" w:fill="auto"/>
          </w:tcPr>
          <w:p w14:paraId="157045F3" w14:textId="77777777" w:rsidR="00400CDF" w:rsidRPr="00400CDF" w:rsidRDefault="00400CDF" w:rsidP="00C1570C">
            <w:pPr>
              <w:keepNext/>
              <w:keepLines/>
              <w:spacing w:before="40" w:after="40"/>
              <w:jc w:val="right"/>
              <w:rPr>
                <w:sz w:val="18"/>
                <w:szCs w:val="18"/>
              </w:rPr>
            </w:pPr>
            <w:r w:rsidRPr="00400CDF">
              <w:rPr>
                <w:sz w:val="18"/>
                <w:szCs w:val="18"/>
              </w:rPr>
              <w:t>31 765</w:t>
            </w:r>
          </w:p>
        </w:tc>
      </w:tr>
      <w:tr w:rsidR="00400CDF" w:rsidRPr="00400CDF" w14:paraId="186864A8" w14:textId="77777777" w:rsidTr="00FE2907">
        <w:tc>
          <w:tcPr>
            <w:tcW w:w="3402" w:type="dxa"/>
            <w:shd w:val="clear" w:color="auto" w:fill="auto"/>
          </w:tcPr>
          <w:p w14:paraId="7B913AD2" w14:textId="77777777" w:rsidR="00400CDF" w:rsidRPr="00400CDF" w:rsidRDefault="00400CDF" w:rsidP="00C1570C">
            <w:pPr>
              <w:keepNext/>
              <w:keepLines/>
              <w:spacing w:before="40" w:after="40"/>
              <w:rPr>
                <w:sz w:val="18"/>
                <w:szCs w:val="18"/>
              </w:rPr>
            </w:pPr>
            <w:r w:rsidRPr="00400CDF">
              <w:rPr>
                <w:sz w:val="18"/>
                <w:szCs w:val="18"/>
              </w:rPr>
              <w:t>Germany</w:t>
            </w:r>
          </w:p>
        </w:tc>
        <w:tc>
          <w:tcPr>
            <w:tcW w:w="3402" w:type="dxa"/>
            <w:shd w:val="clear" w:color="auto" w:fill="auto"/>
          </w:tcPr>
          <w:p w14:paraId="0D8A944F" w14:textId="77777777" w:rsidR="00400CDF" w:rsidRPr="00400CDF" w:rsidRDefault="00400CDF" w:rsidP="00C1570C">
            <w:pPr>
              <w:keepNext/>
              <w:keepLines/>
              <w:spacing w:before="40" w:after="40"/>
              <w:jc w:val="right"/>
              <w:rPr>
                <w:sz w:val="18"/>
                <w:szCs w:val="18"/>
              </w:rPr>
            </w:pPr>
            <w:r w:rsidRPr="00400CDF">
              <w:rPr>
                <w:sz w:val="18"/>
                <w:szCs w:val="18"/>
              </w:rPr>
              <w:t>101 175</w:t>
            </w:r>
          </w:p>
        </w:tc>
      </w:tr>
      <w:tr w:rsidR="00400CDF" w:rsidRPr="00400CDF" w14:paraId="35CEE763" w14:textId="77777777" w:rsidTr="00FE2907">
        <w:tc>
          <w:tcPr>
            <w:tcW w:w="3402" w:type="dxa"/>
            <w:shd w:val="clear" w:color="auto" w:fill="auto"/>
          </w:tcPr>
          <w:p w14:paraId="77EA3F38" w14:textId="77777777" w:rsidR="00400CDF" w:rsidRPr="00400CDF" w:rsidRDefault="00400CDF" w:rsidP="00C1570C">
            <w:pPr>
              <w:keepNext/>
              <w:keepLines/>
              <w:spacing w:before="40" w:after="40"/>
              <w:rPr>
                <w:sz w:val="18"/>
                <w:szCs w:val="18"/>
              </w:rPr>
            </w:pPr>
            <w:r w:rsidRPr="00400CDF">
              <w:rPr>
                <w:sz w:val="18"/>
                <w:szCs w:val="18"/>
              </w:rPr>
              <w:t>Netherlands</w:t>
            </w:r>
          </w:p>
        </w:tc>
        <w:tc>
          <w:tcPr>
            <w:tcW w:w="3402" w:type="dxa"/>
            <w:shd w:val="clear" w:color="auto" w:fill="auto"/>
          </w:tcPr>
          <w:p w14:paraId="70883E67" w14:textId="77777777" w:rsidR="00400CDF" w:rsidRPr="00400CDF" w:rsidRDefault="00400CDF" w:rsidP="00C1570C">
            <w:pPr>
              <w:keepNext/>
              <w:keepLines/>
              <w:spacing w:before="40" w:after="40"/>
              <w:jc w:val="right"/>
              <w:rPr>
                <w:sz w:val="18"/>
                <w:szCs w:val="18"/>
              </w:rPr>
            </w:pPr>
            <w:r w:rsidRPr="00400CDF">
              <w:rPr>
                <w:sz w:val="18"/>
                <w:szCs w:val="18"/>
              </w:rPr>
              <w:t>29 079</w:t>
            </w:r>
          </w:p>
        </w:tc>
      </w:tr>
      <w:tr w:rsidR="00400CDF" w:rsidRPr="00400CDF" w14:paraId="74CC2311" w14:textId="77777777" w:rsidTr="00FE2907">
        <w:tc>
          <w:tcPr>
            <w:tcW w:w="3402" w:type="dxa"/>
            <w:shd w:val="clear" w:color="auto" w:fill="auto"/>
          </w:tcPr>
          <w:p w14:paraId="5D8F7F14" w14:textId="77777777" w:rsidR="00400CDF" w:rsidRPr="00400CDF" w:rsidRDefault="00400CDF" w:rsidP="00C1570C">
            <w:pPr>
              <w:keepNext/>
              <w:keepLines/>
              <w:spacing w:before="40" w:after="40"/>
              <w:rPr>
                <w:sz w:val="18"/>
                <w:szCs w:val="18"/>
              </w:rPr>
            </w:pPr>
            <w:r w:rsidRPr="00400CDF">
              <w:rPr>
                <w:sz w:val="18"/>
                <w:szCs w:val="18"/>
              </w:rPr>
              <w:t>Norway</w:t>
            </w:r>
          </w:p>
        </w:tc>
        <w:tc>
          <w:tcPr>
            <w:tcW w:w="3402" w:type="dxa"/>
            <w:shd w:val="clear" w:color="auto" w:fill="auto"/>
          </w:tcPr>
          <w:p w14:paraId="650B125B" w14:textId="77777777" w:rsidR="00400CDF" w:rsidRPr="00400CDF" w:rsidRDefault="00400CDF" w:rsidP="00C1570C">
            <w:pPr>
              <w:keepNext/>
              <w:keepLines/>
              <w:spacing w:before="40" w:after="40"/>
              <w:jc w:val="right"/>
              <w:rPr>
                <w:sz w:val="18"/>
                <w:szCs w:val="18"/>
              </w:rPr>
            </w:pPr>
            <w:r w:rsidRPr="00400CDF">
              <w:rPr>
                <w:sz w:val="18"/>
                <w:szCs w:val="18"/>
              </w:rPr>
              <w:t>500 000</w:t>
            </w:r>
          </w:p>
        </w:tc>
      </w:tr>
      <w:tr w:rsidR="00400CDF" w:rsidRPr="00400CDF" w14:paraId="533A9A13" w14:textId="77777777" w:rsidTr="00FE2907">
        <w:tc>
          <w:tcPr>
            <w:tcW w:w="3402" w:type="dxa"/>
            <w:shd w:val="clear" w:color="auto" w:fill="auto"/>
          </w:tcPr>
          <w:p w14:paraId="566A4699" w14:textId="77777777" w:rsidR="00400CDF" w:rsidRPr="00400CDF" w:rsidRDefault="00400CDF" w:rsidP="00C1570C">
            <w:pPr>
              <w:keepNext/>
              <w:keepLines/>
              <w:spacing w:before="40" w:after="40"/>
              <w:rPr>
                <w:sz w:val="18"/>
                <w:szCs w:val="18"/>
              </w:rPr>
            </w:pPr>
            <w:r w:rsidRPr="00400CDF">
              <w:rPr>
                <w:sz w:val="18"/>
                <w:szCs w:val="18"/>
              </w:rPr>
              <w:t>Sweden</w:t>
            </w:r>
          </w:p>
        </w:tc>
        <w:tc>
          <w:tcPr>
            <w:tcW w:w="3402" w:type="dxa"/>
            <w:shd w:val="clear" w:color="auto" w:fill="auto"/>
          </w:tcPr>
          <w:p w14:paraId="46234C80" w14:textId="77777777" w:rsidR="00400CDF" w:rsidRPr="00400CDF" w:rsidRDefault="00400CDF" w:rsidP="00C1570C">
            <w:pPr>
              <w:keepNext/>
              <w:keepLines/>
              <w:spacing w:before="40" w:after="40"/>
              <w:jc w:val="right"/>
              <w:rPr>
                <w:sz w:val="18"/>
                <w:szCs w:val="18"/>
              </w:rPr>
            </w:pPr>
            <w:r w:rsidRPr="00400CDF">
              <w:rPr>
                <w:sz w:val="18"/>
                <w:szCs w:val="18"/>
              </w:rPr>
              <w:t>328 440</w:t>
            </w:r>
          </w:p>
        </w:tc>
      </w:tr>
      <w:tr w:rsidR="00400CDF" w:rsidRPr="00400CDF" w14:paraId="0A947D86" w14:textId="77777777" w:rsidTr="00FE2907">
        <w:tc>
          <w:tcPr>
            <w:tcW w:w="3402" w:type="dxa"/>
            <w:shd w:val="clear" w:color="auto" w:fill="auto"/>
          </w:tcPr>
          <w:p w14:paraId="0A35A100" w14:textId="77777777" w:rsidR="00400CDF" w:rsidRPr="00400CDF" w:rsidRDefault="00400CDF" w:rsidP="00C1570C">
            <w:pPr>
              <w:keepNext/>
              <w:keepLines/>
              <w:spacing w:before="40" w:after="40"/>
              <w:rPr>
                <w:sz w:val="18"/>
                <w:szCs w:val="18"/>
              </w:rPr>
            </w:pPr>
            <w:r w:rsidRPr="00400CDF">
              <w:rPr>
                <w:sz w:val="18"/>
                <w:szCs w:val="18"/>
              </w:rPr>
              <w:t>United Kingdom</w:t>
            </w:r>
          </w:p>
        </w:tc>
        <w:tc>
          <w:tcPr>
            <w:tcW w:w="3402" w:type="dxa"/>
            <w:shd w:val="clear" w:color="auto" w:fill="auto"/>
          </w:tcPr>
          <w:p w14:paraId="466E2529" w14:textId="77777777" w:rsidR="00400CDF" w:rsidRPr="00400CDF" w:rsidRDefault="00400CDF" w:rsidP="00C1570C">
            <w:pPr>
              <w:keepNext/>
              <w:keepLines/>
              <w:spacing w:before="40" w:after="40"/>
              <w:jc w:val="right"/>
              <w:rPr>
                <w:sz w:val="18"/>
                <w:szCs w:val="18"/>
              </w:rPr>
            </w:pPr>
            <w:r w:rsidRPr="00400CDF">
              <w:rPr>
                <w:sz w:val="18"/>
                <w:szCs w:val="18"/>
              </w:rPr>
              <w:t>144 039</w:t>
            </w:r>
          </w:p>
        </w:tc>
      </w:tr>
      <w:tr w:rsidR="00400CDF" w:rsidRPr="00104FEA" w14:paraId="492BEFA8" w14:textId="77777777" w:rsidTr="00FE2907">
        <w:tc>
          <w:tcPr>
            <w:tcW w:w="3402" w:type="dxa"/>
            <w:tcBorders>
              <w:bottom w:val="single" w:sz="4" w:space="0" w:color="auto"/>
            </w:tcBorders>
            <w:shd w:val="clear" w:color="auto" w:fill="auto"/>
          </w:tcPr>
          <w:p w14:paraId="7DA0392B" w14:textId="77777777" w:rsidR="00400CDF" w:rsidRPr="00104FEA" w:rsidRDefault="00400CDF" w:rsidP="00C1570C">
            <w:pPr>
              <w:keepNext/>
              <w:keepLines/>
              <w:spacing w:before="40" w:after="40"/>
              <w:rPr>
                <w:sz w:val="18"/>
                <w:szCs w:val="18"/>
              </w:rPr>
            </w:pPr>
            <w:r w:rsidRPr="00104FEA">
              <w:rPr>
                <w:sz w:val="18"/>
                <w:szCs w:val="18"/>
              </w:rPr>
              <w:t>United States</w:t>
            </w:r>
          </w:p>
        </w:tc>
        <w:tc>
          <w:tcPr>
            <w:tcW w:w="3402" w:type="dxa"/>
            <w:tcBorders>
              <w:bottom w:val="single" w:sz="4" w:space="0" w:color="auto"/>
            </w:tcBorders>
            <w:shd w:val="clear" w:color="auto" w:fill="auto"/>
          </w:tcPr>
          <w:p w14:paraId="06BE2F5E" w14:textId="77777777" w:rsidR="00400CDF" w:rsidRPr="00104FEA" w:rsidRDefault="00400CDF" w:rsidP="00C1570C">
            <w:pPr>
              <w:keepNext/>
              <w:keepLines/>
              <w:spacing w:before="40" w:after="40"/>
              <w:jc w:val="right"/>
              <w:rPr>
                <w:sz w:val="18"/>
                <w:szCs w:val="18"/>
              </w:rPr>
            </w:pPr>
            <w:r w:rsidRPr="00104FEA">
              <w:rPr>
                <w:sz w:val="18"/>
                <w:szCs w:val="18"/>
              </w:rPr>
              <w:t>100 000</w:t>
            </w:r>
          </w:p>
        </w:tc>
      </w:tr>
      <w:tr w:rsidR="00400CDF" w:rsidRPr="00104FEA" w14:paraId="25FD1E3B" w14:textId="77777777" w:rsidTr="00FE2907">
        <w:tc>
          <w:tcPr>
            <w:tcW w:w="3402" w:type="dxa"/>
            <w:tcBorders>
              <w:top w:val="single" w:sz="4" w:space="0" w:color="auto"/>
              <w:bottom w:val="single" w:sz="12" w:space="0" w:color="auto"/>
            </w:tcBorders>
            <w:shd w:val="clear" w:color="auto" w:fill="auto"/>
          </w:tcPr>
          <w:p w14:paraId="3595D6F3" w14:textId="77777777" w:rsidR="00400CDF" w:rsidRPr="00104FEA" w:rsidRDefault="00400CDF" w:rsidP="00C1570C">
            <w:pPr>
              <w:keepNext/>
              <w:keepLines/>
              <w:spacing w:before="40" w:after="40"/>
              <w:rPr>
                <w:b/>
                <w:sz w:val="18"/>
                <w:szCs w:val="18"/>
              </w:rPr>
            </w:pPr>
            <w:r w:rsidRPr="00104FEA">
              <w:rPr>
                <w:b/>
                <w:sz w:val="18"/>
                <w:szCs w:val="18"/>
              </w:rPr>
              <w:t>Total contributions and pledges</w:t>
            </w:r>
          </w:p>
        </w:tc>
        <w:tc>
          <w:tcPr>
            <w:tcW w:w="3402" w:type="dxa"/>
            <w:tcBorders>
              <w:top w:val="single" w:sz="4" w:space="0" w:color="auto"/>
              <w:bottom w:val="single" w:sz="12" w:space="0" w:color="auto"/>
            </w:tcBorders>
            <w:shd w:val="clear" w:color="auto" w:fill="auto"/>
          </w:tcPr>
          <w:p w14:paraId="5063F6BA" w14:textId="77777777" w:rsidR="00400CDF" w:rsidRPr="00104FEA" w:rsidRDefault="00400CDF" w:rsidP="00C1570C">
            <w:pPr>
              <w:keepNext/>
              <w:keepLines/>
              <w:spacing w:before="40" w:after="40"/>
              <w:jc w:val="right"/>
              <w:rPr>
                <w:b/>
                <w:sz w:val="18"/>
                <w:szCs w:val="18"/>
              </w:rPr>
            </w:pPr>
            <w:r w:rsidRPr="00104FEA" w:rsidDel="00084E3C">
              <w:rPr>
                <w:b/>
                <w:sz w:val="18"/>
                <w:szCs w:val="18"/>
              </w:rPr>
              <w:t>$</w:t>
            </w:r>
            <w:r w:rsidRPr="00104FEA">
              <w:rPr>
                <w:b/>
                <w:sz w:val="18"/>
                <w:szCs w:val="18"/>
              </w:rPr>
              <w:t>1 281 448</w:t>
            </w:r>
          </w:p>
        </w:tc>
      </w:tr>
    </w:tbl>
    <w:p w14:paraId="249B8B81" w14:textId="663A2953" w:rsidR="0053048D" w:rsidRPr="00104FEA" w:rsidRDefault="004305FE" w:rsidP="00400CDF">
      <w:pPr>
        <w:pStyle w:val="Normalnumber"/>
        <w:numPr>
          <w:ilvl w:val="0"/>
          <w:numId w:val="1"/>
        </w:numPr>
        <w:tabs>
          <w:tab w:val="clear" w:pos="1134"/>
        </w:tabs>
        <w:spacing w:before="240"/>
      </w:pPr>
      <w:r w:rsidRPr="00104FEA">
        <w:t>In addition to the above, a</w:t>
      </w:r>
      <w:r w:rsidR="00CE3AE5" w:rsidRPr="00104FEA">
        <w:t xml:space="preserve"> contribution of 1 million Swiss francs for the Specific International Programme has been received </w:t>
      </w:r>
      <w:r w:rsidR="00084E3C" w:rsidRPr="00104FEA">
        <w:t>from Switzerland</w:t>
      </w:r>
      <w:r w:rsidR="00CE3AE5" w:rsidRPr="00104FEA">
        <w:t xml:space="preserve">. The Swiss contribution </w:t>
      </w:r>
      <w:r w:rsidR="00CF1ED7" w:rsidRPr="00104FEA">
        <w:t>is condition</w:t>
      </w:r>
      <w:r w:rsidR="001F302D" w:rsidRPr="00104FEA">
        <w:t>al</w:t>
      </w:r>
      <w:r w:rsidR="00CF1ED7" w:rsidRPr="00104FEA">
        <w:t xml:space="preserve"> on a satisfactory solution regarding the arrangement of the Minamata Secretariat agreed to by the C</w:t>
      </w:r>
      <w:r w:rsidR="00084E3C" w:rsidRPr="00104FEA">
        <w:t xml:space="preserve">onference of the </w:t>
      </w:r>
      <w:r w:rsidR="00CF1ED7" w:rsidRPr="00104FEA">
        <w:t>P</w:t>
      </w:r>
      <w:r w:rsidR="00084E3C" w:rsidRPr="00104FEA">
        <w:t>arties</w:t>
      </w:r>
      <w:r w:rsidR="00CF1ED7" w:rsidRPr="00104FEA">
        <w:t xml:space="preserve">. </w:t>
      </w:r>
    </w:p>
    <w:p w14:paraId="6A12BDDF" w14:textId="3988059B" w:rsidR="00CE3AE5" w:rsidRDefault="00053FAF" w:rsidP="00676CA7">
      <w:pPr>
        <w:pStyle w:val="Normalnumber"/>
        <w:numPr>
          <w:ilvl w:val="0"/>
          <w:numId w:val="1"/>
        </w:numPr>
        <w:tabs>
          <w:tab w:val="clear" w:pos="1134"/>
        </w:tabs>
      </w:pPr>
      <w:r w:rsidRPr="00104FEA">
        <w:t>Contributions</w:t>
      </w:r>
      <w:r w:rsidR="00CE3AE5" w:rsidRPr="00104FEA">
        <w:t xml:space="preserve"> to the Specific International Programme are to be </w:t>
      </w:r>
      <w:r w:rsidR="004305FE" w:rsidRPr="00104FEA">
        <w:t>allocated to</w:t>
      </w:r>
      <w:r w:rsidR="00CE3AE5" w:rsidRPr="00104FEA">
        <w:t xml:space="preserve"> country-led projects</w:t>
      </w:r>
      <w:r w:rsidRPr="00104FEA">
        <w:t xml:space="preserve"> selected by the Governing Board</w:t>
      </w:r>
      <w:r w:rsidR="002F1B55">
        <w:t xml:space="preserve"> that improve the capacity of developing countries and countries with economies in transition to implement their obligations under the Minamata Convention</w:t>
      </w:r>
      <w:r>
        <w:t>. Contributions</w:t>
      </w:r>
      <w:r w:rsidR="002F1B55">
        <w:t xml:space="preserve"> to the Specific </w:t>
      </w:r>
      <w:r w:rsidR="00A4053D">
        <w:t xml:space="preserve">Trust </w:t>
      </w:r>
      <w:r w:rsidR="002F1B55">
        <w:t>Fund</w:t>
      </w:r>
      <w:r>
        <w:t xml:space="preserve"> </w:t>
      </w:r>
      <w:r w:rsidR="00765113">
        <w:t xml:space="preserve">must </w:t>
      </w:r>
      <w:r>
        <w:t xml:space="preserve">also cover all costs </w:t>
      </w:r>
      <w:r w:rsidR="00084E3C">
        <w:t xml:space="preserve">associated with </w:t>
      </w:r>
      <w:r>
        <w:t>the meetings and the work of the Governing Board</w:t>
      </w:r>
      <w:r w:rsidR="00A4053D">
        <w:t xml:space="preserve"> and costs related to the operation of the </w:t>
      </w:r>
      <w:r w:rsidR="00084E3C">
        <w:t>p</w:t>
      </w:r>
      <w:r w:rsidR="00A4053D">
        <w:t xml:space="preserve">rogramme, as established </w:t>
      </w:r>
      <w:r w:rsidR="00D03FA5">
        <w:t>in a</w:t>
      </w:r>
      <w:r w:rsidR="00A4053D">
        <w:t>nnex II to decision MC-1/6</w:t>
      </w:r>
      <w:r>
        <w:t xml:space="preserve">. </w:t>
      </w:r>
    </w:p>
    <w:p w14:paraId="781DD226" w14:textId="39C5E3A6" w:rsidR="00AE7D3C" w:rsidRDefault="00765113" w:rsidP="00676CA7">
      <w:pPr>
        <w:pStyle w:val="Normalnumber"/>
        <w:numPr>
          <w:ilvl w:val="0"/>
          <w:numId w:val="1"/>
        </w:numPr>
        <w:tabs>
          <w:tab w:val="clear" w:pos="1134"/>
        </w:tabs>
      </w:pPr>
      <w:r>
        <w:t>A</w:t>
      </w:r>
      <w:r w:rsidR="00D03FA5">
        <w:t>nnex I to decision MC-1/6</w:t>
      </w:r>
      <w:r>
        <w:t xml:space="preserve"> also provides for</w:t>
      </w:r>
      <w:r w:rsidR="00D03FA5">
        <w:t xml:space="preserve"> the </w:t>
      </w:r>
      <w:r w:rsidR="00AA0C03">
        <w:t>Executive</w:t>
      </w:r>
      <w:r w:rsidR="00D03FA5">
        <w:t xml:space="preserve"> </w:t>
      </w:r>
      <w:r w:rsidR="00AA0C03">
        <w:t>Director</w:t>
      </w:r>
      <w:r w:rsidR="00D03FA5">
        <w:t xml:space="preserve"> of the United Nations </w:t>
      </w:r>
      <w:r w:rsidR="00AA0C03">
        <w:t>Environment</w:t>
      </w:r>
      <w:r w:rsidR="00D03FA5">
        <w:t xml:space="preserve"> Programme </w:t>
      </w:r>
      <w:r>
        <w:t xml:space="preserve">to </w:t>
      </w:r>
      <w:r w:rsidR="00D03FA5">
        <w:t xml:space="preserve">deliver administrative support to the </w:t>
      </w:r>
      <w:r w:rsidR="005E4DC7">
        <w:t>Specific International Programme</w:t>
      </w:r>
      <w:r w:rsidR="00D03FA5">
        <w:t>, through the allocation of human and other resources, through the secretariat of the Minamata Convention.</w:t>
      </w:r>
      <w:r w:rsidR="00D03FA5">
        <w:rPr>
          <w:rStyle w:val="Appelnotedebasdep"/>
        </w:rPr>
        <w:footnoteReference w:id="4"/>
      </w:r>
      <w:r w:rsidR="00D03FA5">
        <w:t xml:space="preserve"> </w:t>
      </w:r>
      <w:r w:rsidR="006B02FE">
        <w:t>A</w:t>
      </w:r>
      <w:r w:rsidR="00AA0C03">
        <w:t>nnex II</w:t>
      </w:r>
      <w:r>
        <w:t xml:space="preserve"> to the decision</w:t>
      </w:r>
      <w:r w:rsidR="006B02FE">
        <w:t xml:space="preserve"> indicates </w:t>
      </w:r>
      <w:r w:rsidR="00AA0C03">
        <w:t xml:space="preserve">that the secretariat will provide one position for the technical assistance and capacity-building activities of the secretariat and the activities of the </w:t>
      </w:r>
      <w:r w:rsidR="005E4DC7">
        <w:t>Specific International Programme</w:t>
      </w:r>
      <w:r w:rsidR="006B02FE">
        <w:t>,</w:t>
      </w:r>
      <w:r w:rsidR="00AA0C03">
        <w:t xml:space="preserve"> to be covered by the General Trust Fund, taking into account that the staffing requirements of the </w:t>
      </w:r>
      <w:r w:rsidR="005E4DC7">
        <w:t xml:space="preserve">Specific International Programme </w:t>
      </w:r>
      <w:r w:rsidR="00AA0C03">
        <w:t xml:space="preserve">will be reviewed. All support for </w:t>
      </w:r>
      <w:r w:rsidR="006B02FE">
        <w:t xml:space="preserve">the </w:t>
      </w:r>
      <w:r w:rsidR="00AA0C03">
        <w:t xml:space="preserve">activities of the </w:t>
      </w:r>
      <w:r w:rsidR="006B02FE">
        <w:t>p</w:t>
      </w:r>
      <w:r w:rsidR="00AA0C03">
        <w:t xml:space="preserve">rogramme and its Governing Board </w:t>
      </w:r>
      <w:r w:rsidR="006B02FE">
        <w:t xml:space="preserve">for </w:t>
      </w:r>
      <w:r w:rsidR="00AA0C03">
        <w:t xml:space="preserve">2018 has been </w:t>
      </w:r>
      <w:r w:rsidR="00420EFF">
        <w:t xml:space="preserve">provided </w:t>
      </w:r>
      <w:r w:rsidR="006B02FE">
        <w:t xml:space="preserve">by </w:t>
      </w:r>
      <w:r w:rsidR="00AE7D3C">
        <w:t xml:space="preserve">the current limited </w:t>
      </w:r>
      <w:r w:rsidR="006B02FE">
        <w:t>secretariat</w:t>
      </w:r>
      <w:r w:rsidR="00AE7D3C">
        <w:t xml:space="preserve"> staff. </w:t>
      </w:r>
    </w:p>
    <w:p w14:paraId="25243892" w14:textId="017E5C49" w:rsidR="00A742A9" w:rsidRDefault="0083774B" w:rsidP="0083774B">
      <w:pPr>
        <w:pStyle w:val="CH1"/>
      </w:pPr>
      <w:r>
        <w:tab/>
        <w:t>III.</w:t>
      </w:r>
      <w:r>
        <w:tab/>
      </w:r>
      <w:r w:rsidR="006B02FE">
        <w:t>G</w:t>
      </w:r>
      <w:r w:rsidR="00A742A9">
        <w:t xml:space="preserve">overnance arrangements for the </w:t>
      </w:r>
      <w:r w:rsidR="005E4DC7">
        <w:t>Specific International Program</w:t>
      </w:r>
      <w:r w:rsidR="00A742A9">
        <w:t>me</w:t>
      </w:r>
      <w:r w:rsidR="00A742A9" w:rsidRPr="00A742A9">
        <w:t xml:space="preserve"> </w:t>
      </w:r>
    </w:p>
    <w:p w14:paraId="703D7397" w14:textId="745C19C7" w:rsidR="00A742A9" w:rsidRDefault="006B02FE" w:rsidP="00711B94">
      <w:pPr>
        <w:pStyle w:val="Normalnumber"/>
        <w:numPr>
          <w:ilvl w:val="0"/>
          <w:numId w:val="1"/>
        </w:numPr>
        <w:tabs>
          <w:tab w:val="clear" w:pos="1134"/>
        </w:tabs>
      </w:pPr>
      <w:r>
        <w:t>A</w:t>
      </w:r>
      <w:r w:rsidR="009726D4">
        <w:t>nnex I of decision MC-1/6</w:t>
      </w:r>
      <w:r>
        <w:t xml:space="preserve"> provide</w:t>
      </w:r>
      <w:r w:rsidR="001F302D">
        <w:t>s</w:t>
      </w:r>
      <w:r>
        <w:t xml:space="preserve"> for the </w:t>
      </w:r>
      <w:r w:rsidRPr="00B734CE">
        <w:t>establishmen</w:t>
      </w:r>
      <w:r>
        <w:t xml:space="preserve">t of </w:t>
      </w:r>
      <w:r w:rsidR="009726D4">
        <w:t xml:space="preserve">a </w:t>
      </w:r>
      <w:r w:rsidR="00DC3FE0">
        <w:t>g</w:t>
      </w:r>
      <w:r w:rsidR="009726D4">
        <w:t xml:space="preserve">overning </w:t>
      </w:r>
      <w:r w:rsidR="00DC3FE0">
        <w:t>b</w:t>
      </w:r>
      <w:r w:rsidR="009726D4">
        <w:t xml:space="preserve">oard of the </w:t>
      </w:r>
      <w:r w:rsidR="005E4DC7">
        <w:t xml:space="preserve">Specific International Programme </w:t>
      </w:r>
      <w:r w:rsidR="009726D4">
        <w:t>to oversee and implement t</w:t>
      </w:r>
      <w:r w:rsidR="00284BB2">
        <w:t>he guidance of the Conference</w:t>
      </w:r>
      <w:r>
        <w:t xml:space="preserve"> of the Parties</w:t>
      </w:r>
      <w:r w:rsidR="00284BB2">
        <w:t>, including decision-making on projects and project management.</w:t>
      </w:r>
    </w:p>
    <w:p w14:paraId="1C28F736" w14:textId="6F650BF2" w:rsidR="009726D4" w:rsidRDefault="00285DA7" w:rsidP="00400CDF">
      <w:pPr>
        <w:pStyle w:val="Normalnumber"/>
        <w:numPr>
          <w:ilvl w:val="0"/>
          <w:numId w:val="1"/>
        </w:numPr>
        <w:tabs>
          <w:tab w:val="clear" w:pos="1134"/>
        </w:tabs>
      </w:pPr>
      <w:r>
        <w:t>A</w:t>
      </w:r>
      <w:r w:rsidR="009726D4">
        <w:t>nnex II of decision MC-1/6</w:t>
      </w:r>
      <w:r w:rsidR="002A760E">
        <w:t>,</w:t>
      </w:r>
      <w:r w:rsidR="009726D4">
        <w:t xml:space="preserve"> which sets out the terms of reference of the </w:t>
      </w:r>
      <w:r w:rsidR="005E4DC7">
        <w:t>Specific International Programm</w:t>
      </w:r>
      <w:r w:rsidR="009726D4">
        <w:t xml:space="preserve">e, </w:t>
      </w:r>
      <w:r>
        <w:t>stipulates</w:t>
      </w:r>
      <w:r w:rsidR="009726D4">
        <w:t xml:space="preserve"> in paragraph 1 that the Governing Board </w:t>
      </w:r>
      <w:r w:rsidR="001F302D">
        <w:t xml:space="preserve">is to </w:t>
      </w:r>
      <w:r w:rsidR="009726D4">
        <w:t>consist of 10</w:t>
      </w:r>
      <w:r w:rsidR="00BB72AE">
        <w:t> </w:t>
      </w:r>
      <w:r w:rsidR="009726D4">
        <w:t>members</w:t>
      </w:r>
      <w:r w:rsidR="00765113">
        <w:t xml:space="preserve"> and </w:t>
      </w:r>
      <w:r w:rsidR="009726D4">
        <w:t xml:space="preserve">that each of the five United Nations regions </w:t>
      </w:r>
      <w:r w:rsidR="005E4DC7">
        <w:t xml:space="preserve">is to </w:t>
      </w:r>
      <w:r w:rsidR="009726D4">
        <w:t xml:space="preserve">nominate two members through </w:t>
      </w:r>
      <w:r w:rsidR="0048336A">
        <w:t>its</w:t>
      </w:r>
      <w:r w:rsidR="009726D4">
        <w:t xml:space="preserve"> Bureau representatives. As </w:t>
      </w:r>
      <w:r w:rsidR="000F4740">
        <w:t xml:space="preserve">is </w:t>
      </w:r>
      <w:r w:rsidR="009726D4">
        <w:t xml:space="preserve">mentioned above, paragraph </w:t>
      </w:r>
      <w:r w:rsidR="00765113">
        <w:t>1</w:t>
      </w:r>
      <w:r w:rsidR="009726D4">
        <w:t xml:space="preserve"> states: “The Governing Board … shall consist of 10 members [from] [nominated by] parties.” The call for nominations to the Governing Board through the respective Bureau members was </w:t>
      </w:r>
      <w:r>
        <w:t>broadly disseminated</w:t>
      </w:r>
      <w:r w:rsidR="009726D4">
        <w:t xml:space="preserve"> </w:t>
      </w:r>
      <w:r w:rsidR="00284BB2">
        <w:t xml:space="preserve">by the Secretariat </w:t>
      </w:r>
      <w:r w:rsidR="009726D4">
        <w:t>following the first meeting of the Conference of the Parties. Given the current brackets</w:t>
      </w:r>
      <w:r w:rsidR="001936B3">
        <w:t>,</w:t>
      </w:r>
      <w:r w:rsidR="009726D4">
        <w:t xml:space="preserve"> the current members of the Governing Board are all </w:t>
      </w:r>
      <w:r>
        <w:t>p</w:t>
      </w:r>
      <w:r w:rsidR="009726D4">
        <w:t>art</w:t>
      </w:r>
      <w:r>
        <w:t>ies</w:t>
      </w:r>
      <w:r w:rsidR="009726D4">
        <w:t xml:space="preserve"> to the Minamata Convention</w:t>
      </w:r>
      <w:r>
        <w:t xml:space="preserve"> pending </w:t>
      </w:r>
      <w:r w:rsidR="001F302D">
        <w:t xml:space="preserve">the </w:t>
      </w:r>
      <w:r>
        <w:t>resolution of this matter</w:t>
      </w:r>
      <w:r w:rsidR="009726D4">
        <w:t xml:space="preserve">. </w:t>
      </w:r>
    </w:p>
    <w:p w14:paraId="49C47A46" w14:textId="2AF995FD" w:rsidR="009726D4" w:rsidRPr="0073702E" w:rsidRDefault="009726D4" w:rsidP="0048336A">
      <w:pPr>
        <w:pStyle w:val="Normalnumber"/>
        <w:numPr>
          <w:ilvl w:val="0"/>
          <w:numId w:val="1"/>
        </w:numPr>
        <w:tabs>
          <w:tab w:val="clear" w:pos="1134"/>
        </w:tabs>
      </w:pPr>
      <w:r>
        <w:t xml:space="preserve">The </w:t>
      </w:r>
      <w:r w:rsidR="005C54DB">
        <w:t xml:space="preserve">members of the Governing Board </w:t>
      </w:r>
      <w:r w:rsidR="005C54DB" w:rsidRPr="0073702E">
        <w:t>are:</w:t>
      </w:r>
    </w:p>
    <w:p w14:paraId="364BC969" w14:textId="41D8DF58" w:rsidR="005C54DB" w:rsidRDefault="005C54DB" w:rsidP="00340F36">
      <w:pPr>
        <w:pStyle w:val="Normalnumber"/>
        <w:numPr>
          <w:ilvl w:val="1"/>
          <w:numId w:val="5"/>
        </w:numPr>
        <w:tabs>
          <w:tab w:val="clear" w:pos="1134"/>
        </w:tabs>
        <w:ind w:firstLine="624"/>
      </w:pPr>
      <w:r w:rsidRPr="004C415B">
        <w:t xml:space="preserve">For </w:t>
      </w:r>
      <w:r w:rsidR="004C415B" w:rsidRPr="0048336A">
        <w:t xml:space="preserve">the </w:t>
      </w:r>
      <w:r w:rsidRPr="004C415B">
        <w:t>Africa</w:t>
      </w:r>
      <w:r w:rsidR="004C415B" w:rsidRPr="004C415B">
        <w:t>n States</w:t>
      </w:r>
      <w:r>
        <w:t xml:space="preserve">: Sam Adu-Kumi (Ghana) and </w:t>
      </w:r>
      <w:r w:rsidR="00C85594">
        <w:t xml:space="preserve">Abdallah </w:t>
      </w:r>
      <w:r>
        <w:t>Younous Adoum (Chad)</w:t>
      </w:r>
    </w:p>
    <w:p w14:paraId="11BF5037" w14:textId="024E6DF6" w:rsidR="005C54DB" w:rsidRDefault="005C54DB" w:rsidP="00340F36">
      <w:pPr>
        <w:pStyle w:val="Normalnumber"/>
        <w:numPr>
          <w:ilvl w:val="1"/>
          <w:numId w:val="5"/>
        </w:numPr>
        <w:tabs>
          <w:tab w:val="clear" w:pos="1134"/>
        </w:tabs>
        <w:ind w:firstLine="624"/>
      </w:pPr>
      <w:r>
        <w:t xml:space="preserve">For </w:t>
      </w:r>
      <w:r w:rsidR="004C415B">
        <w:t xml:space="preserve">the </w:t>
      </w:r>
      <w:r>
        <w:t>Asia</w:t>
      </w:r>
      <w:r w:rsidR="004C415B">
        <w:t>-</w:t>
      </w:r>
      <w:r>
        <w:t>Pacific</w:t>
      </w:r>
      <w:r w:rsidR="004C415B">
        <w:t xml:space="preserve"> States</w:t>
      </w:r>
      <w:r>
        <w:t>: Prasert Tap</w:t>
      </w:r>
      <w:r w:rsidR="00A54B1B">
        <w:t>a</w:t>
      </w:r>
      <w:r>
        <w:t>neey</w:t>
      </w:r>
      <w:r w:rsidR="00A54B1B">
        <w:t>an</w:t>
      </w:r>
      <w:r>
        <w:t>gkul (Thailand) and W</w:t>
      </w:r>
      <w:r w:rsidR="00A54B1B">
        <w:t xml:space="preserve">. </w:t>
      </w:r>
      <w:r>
        <w:t>T</w:t>
      </w:r>
      <w:r w:rsidR="00A54B1B">
        <w:t xml:space="preserve">. </w:t>
      </w:r>
      <w:r>
        <w:t>B</w:t>
      </w:r>
      <w:r w:rsidR="00A54B1B">
        <w:t>.</w:t>
      </w:r>
      <w:r>
        <w:t xml:space="preserve"> Dissanayake (Sri</w:t>
      </w:r>
      <w:r w:rsidR="005E702D">
        <w:t> </w:t>
      </w:r>
      <w:r>
        <w:t>Lanka)</w:t>
      </w:r>
    </w:p>
    <w:p w14:paraId="3A9DA04C" w14:textId="64856306" w:rsidR="005C54DB" w:rsidRDefault="005C54DB" w:rsidP="00340F36">
      <w:pPr>
        <w:pStyle w:val="Normalnumber"/>
        <w:numPr>
          <w:ilvl w:val="1"/>
          <w:numId w:val="5"/>
        </w:numPr>
        <w:tabs>
          <w:tab w:val="clear" w:pos="1134"/>
        </w:tabs>
        <w:ind w:firstLine="624"/>
      </w:pPr>
      <w:r>
        <w:t xml:space="preserve">For </w:t>
      </w:r>
      <w:r w:rsidR="004C415B">
        <w:t xml:space="preserve">the </w:t>
      </w:r>
      <w:r>
        <w:t xml:space="preserve">Central and </w:t>
      </w:r>
      <w:r w:rsidR="00285DA7">
        <w:t>E</w:t>
      </w:r>
      <w:r>
        <w:t>astern Europe</w:t>
      </w:r>
      <w:r w:rsidR="004C415B">
        <w:t>an States</w:t>
      </w:r>
      <w:r>
        <w:t>: Kaupo Heinma (Estonia) and Anahit Aleksandyn (Armenia)</w:t>
      </w:r>
    </w:p>
    <w:p w14:paraId="17C09945" w14:textId="33F8EC1D" w:rsidR="005C54DB" w:rsidRDefault="005C54DB" w:rsidP="00340F36">
      <w:pPr>
        <w:pStyle w:val="Normalnumber"/>
        <w:numPr>
          <w:ilvl w:val="1"/>
          <w:numId w:val="5"/>
        </w:numPr>
        <w:tabs>
          <w:tab w:val="clear" w:pos="1134"/>
        </w:tabs>
        <w:ind w:firstLine="624"/>
      </w:pPr>
      <w:r>
        <w:lastRenderedPageBreak/>
        <w:t>For</w:t>
      </w:r>
      <w:r w:rsidR="004C415B">
        <w:t xml:space="preserve"> the</w:t>
      </w:r>
      <w:r>
        <w:t xml:space="preserve"> Latin America</w:t>
      </w:r>
      <w:r w:rsidR="004C415B">
        <w:t>n</w:t>
      </w:r>
      <w:r>
        <w:t xml:space="preserve"> and Caribbean</w:t>
      </w:r>
      <w:r w:rsidR="004C415B">
        <w:t xml:space="preserve"> States</w:t>
      </w:r>
      <w:r>
        <w:t>: Florencia Grimalt (Argentina) and Nero</w:t>
      </w:r>
      <w:r w:rsidR="00C21D12">
        <w:t> </w:t>
      </w:r>
      <w:r>
        <w:t>Cunha Ferreira (Brazil)</w:t>
      </w:r>
    </w:p>
    <w:p w14:paraId="76DEDE79" w14:textId="48D2A5FB" w:rsidR="005C54DB" w:rsidRDefault="005C54DB" w:rsidP="00340F36">
      <w:pPr>
        <w:pStyle w:val="Normalnumber"/>
        <w:numPr>
          <w:ilvl w:val="1"/>
          <w:numId w:val="5"/>
        </w:numPr>
        <w:tabs>
          <w:tab w:val="clear" w:pos="1134"/>
        </w:tabs>
        <w:ind w:firstLine="624"/>
      </w:pPr>
      <w:r>
        <w:t xml:space="preserve">For </w:t>
      </w:r>
      <w:r w:rsidR="004C415B">
        <w:t xml:space="preserve">the </w:t>
      </w:r>
      <w:r>
        <w:t>W</w:t>
      </w:r>
      <w:r w:rsidR="00284BB2">
        <w:t>estern Europe</w:t>
      </w:r>
      <w:r w:rsidR="004C415B">
        <w:t>an</w:t>
      </w:r>
      <w:r w:rsidR="00284BB2">
        <w:t xml:space="preserve"> and </w:t>
      </w:r>
      <w:r w:rsidR="001F302D">
        <w:t>o</w:t>
      </w:r>
      <w:r w:rsidR="00284BB2">
        <w:t>ther</w:t>
      </w:r>
      <w:r w:rsidR="004C415B">
        <w:t xml:space="preserve"> State</w:t>
      </w:r>
      <w:r w:rsidR="00284BB2">
        <w:t>s: Reginald</w:t>
      </w:r>
      <w:r>
        <w:t xml:space="preserve"> Hernaus (Netherlands) and Atle</w:t>
      </w:r>
      <w:r w:rsidR="00C21D12">
        <w:t> </w:t>
      </w:r>
      <w:r>
        <w:t>Fretheim (Norway)</w:t>
      </w:r>
    </w:p>
    <w:p w14:paraId="1D3F7F32" w14:textId="784C8662" w:rsidR="005C54DB" w:rsidRDefault="005C54DB" w:rsidP="0048336A">
      <w:pPr>
        <w:pStyle w:val="Normalnumber"/>
        <w:numPr>
          <w:ilvl w:val="0"/>
          <w:numId w:val="1"/>
        </w:numPr>
        <w:tabs>
          <w:tab w:val="clear" w:pos="1134"/>
        </w:tabs>
      </w:pPr>
      <w:r>
        <w:t>According to the terms of reference of the Specific International Programme</w:t>
      </w:r>
      <w:r w:rsidR="00285DA7">
        <w:t>,</w:t>
      </w:r>
      <w:r>
        <w:t xml:space="preserve"> the first members of the Governing Board will serve until the third meeting of the Conference of the Parties. Thereafter</w:t>
      </w:r>
      <w:r w:rsidR="00285DA7">
        <w:t>,</w:t>
      </w:r>
      <w:r>
        <w:t xml:space="preserve"> the members </w:t>
      </w:r>
      <w:r w:rsidR="001F302D">
        <w:t xml:space="preserve">are to </w:t>
      </w:r>
      <w:r>
        <w:t xml:space="preserve">be nominated every two years by regional groups and their membership </w:t>
      </w:r>
      <w:r w:rsidR="001F302D">
        <w:t>is to</w:t>
      </w:r>
      <w:r w:rsidR="00285DA7">
        <w:t xml:space="preserve"> </w:t>
      </w:r>
      <w:r>
        <w:t xml:space="preserve">be confirmed by the Conference of the Parties. </w:t>
      </w:r>
    </w:p>
    <w:p w14:paraId="572A2B2C" w14:textId="274EE0D2" w:rsidR="000646D6" w:rsidRDefault="005C54DB" w:rsidP="0048336A">
      <w:pPr>
        <w:pStyle w:val="Normalnumber"/>
        <w:numPr>
          <w:ilvl w:val="0"/>
          <w:numId w:val="1"/>
        </w:numPr>
        <w:tabs>
          <w:tab w:val="clear" w:pos="1134"/>
        </w:tabs>
      </w:pPr>
      <w:r>
        <w:t xml:space="preserve">Furthermore, </w:t>
      </w:r>
      <w:r w:rsidRPr="00F8156C">
        <w:t>the terms of reference</w:t>
      </w:r>
      <w:r>
        <w:t xml:space="preserve"> of the Specific International Programme </w:t>
      </w:r>
      <w:r w:rsidR="005E4DC7">
        <w:t>provide</w:t>
      </w:r>
      <w:r>
        <w:t xml:space="preserve"> that the Governing Board </w:t>
      </w:r>
      <w:r w:rsidR="005E4DC7">
        <w:t xml:space="preserve">is to </w:t>
      </w:r>
      <w:r>
        <w:t xml:space="preserve">have two co-chairs, elected from among the members of the Board and reflecting the composition of the Board and the purpose of the Programme. </w:t>
      </w:r>
      <w:r w:rsidR="00284BB2">
        <w:t xml:space="preserve">The Governing Board will take its decisions by consensus. If all efforts to reach consensus have been exhausted and no agreement has been reached, the decision </w:t>
      </w:r>
      <w:r w:rsidR="005E4DC7">
        <w:t xml:space="preserve">is to </w:t>
      </w:r>
      <w:r w:rsidR="00284BB2">
        <w:t xml:space="preserve">be taken by a three-quarter majority of its members present and voting. </w:t>
      </w:r>
    </w:p>
    <w:p w14:paraId="5B4D564D" w14:textId="1813A0AC" w:rsidR="000646D6" w:rsidRDefault="000646D6" w:rsidP="0048336A">
      <w:pPr>
        <w:pStyle w:val="Normalnumber"/>
        <w:numPr>
          <w:ilvl w:val="0"/>
          <w:numId w:val="1"/>
        </w:numPr>
        <w:tabs>
          <w:tab w:val="clear" w:pos="1134"/>
        </w:tabs>
      </w:pPr>
      <w:r>
        <w:t xml:space="preserve">The terms of reference also </w:t>
      </w:r>
      <w:r w:rsidR="00131C08">
        <w:t>stipulate</w:t>
      </w:r>
      <w:r>
        <w:t xml:space="preserve"> a number of other matters related to the Governing Board, including: that the Board </w:t>
      </w:r>
      <w:r w:rsidR="005E4DC7">
        <w:t xml:space="preserve">is to </w:t>
      </w:r>
      <w:r>
        <w:t>adopt its rules of procedure and present these to the Conference of the Parties at its second meeting for its information; that the Board will in principle meet once a year to approve project applications and review progress under the Programme; and that the Board will take operational decisions regarding the functioning of the Specific International Programme.</w:t>
      </w:r>
    </w:p>
    <w:p w14:paraId="0C113EC5" w14:textId="75566542" w:rsidR="00131C08" w:rsidRPr="00131C08" w:rsidRDefault="0083774B" w:rsidP="0083774B">
      <w:pPr>
        <w:pStyle w:val="CH1"/>
      </w:pPr>
      <w:r>
        <w:tab/>
        <w:t>IV.</w:t>
      </w:r>
      <w:r>
        <w:tab/>
      </w:r>
      <w:r w:rsidR="00131C08" w:rsidRPr="0053048D">
        <w:t xml:space="preserve">The </w:t>
      </w:r>
      <w:r w:rsidR="00131C08">
        <w:t xml:space="preserve">work of the </w:t>
      </w:r>
      <w:r w:rsidR="0017173B">
        <w:t xml:space="preserve">Governing Board and the </w:t>
      </w:r>
      <w:r w:rsidR="00131C08">
        <w:t xml:space="preserve">Specific International Programme </w:t>
      </w:r>
      <w:r w:rsidR="00710FCF">
        <w:t xml:space="preserve">after the </w:t>
      </w:r>
      <w:r w:rsidR="002E5627">
        <w:t>f</w:t>
      </w:r>
      <w:r w:rsidR="00710FCF">
        <w:t xml:space="preserve">irst </w:t>
      </w:r>
      <w:r w:rsidR="002E5627">
        <w:t>m</w:t>
      </w:r>
      <w:r w:rsidR="00710FCF">
        <w:t>eeting of the Conference of the Parties</w:t>
      </w:r>
    </w:p>
    <w:p w14:paraId="20FF71A6" w14:textId="6A0BA8E1" w:rsidR="005C54DB" w:rsidRDefault="00131C08" w:rsidP="0048336A">
      <w:pPr>
        <w:pStyle w:val="Normalnumber"/>
        <w:numPr>
          <w:ilvl w:val="0"/>
          <w:numId w:val="1"/>
        </w:numPr>
        <w:tabs>
          <w:tab w:val="clear" w:pos="1134"/>
        </w:tabs>
      </w:pPr>
      <w:r>
        <w:t xml:space="preserve">The first meeting of the </w:t>
      </w:r>
      <w:r w:rsidR="001B0016" w:rsidRPr="00304824">
        <w:t>Governing Board</w:t>
      </w:r>
      <w:r w:rsidR="001B0016">
        <w:t xml:space="preserve"> of the </w:t>
      </w:r>
      <w:r w:rsidR="005E4DC7">
        <w:t xml:space="preserve">Specific International Programme </w:t>
      </w:r>
      <w:r>
        <w:t xml:space="preserve">took place </w:t>
      </w:r>
      <w:r w:rsidR="001F302D">
        <w:t xml:space="preserve">in Geneva on </w:t>
      </w:r>
      <w:r>
        <w:t>15</w:t>
      </w:r>
      <w:r w:rsidR="001F302D">
        <w:t xml:space="preserve"> and </w:t>
      </w:r>
      <w:r>
        <w:t>16 May 2018. At th</w:t>
      </w:r>
      <w:r w:rsidR="002E5627">
        <w:t>at</w:t>
      </w:r>
      <w:r>
        <w:t xml:space="preserve"> meeting</w:t>
      </w:r>
      <w:r w:rsidR="002E5627">
        <w:t>,</w:t>
      </w:r>
      <w:r>
        <w:t xml:space="preserve"> </w:t>
      </w:r>
      <w:r w:rsidR="000646D6">
        <w:t xml:space="preserve">Mr. Sam </w:t>
      </w:r>
      <w:r w:rsidR="00420EFF">
        <w:t>Adu-Kumi of Ghana and Mr. Reginald</w:t>
      </w:r>
      <w:r w:rsidR="000646D6">
        <w:t xml:space="preserve"> Hernaus of the </w:t>
      </w:r>
      <w:r>
        <w:t>Netherlands were elected as Co-Chairs of the Governing Board for th</w:t>
      </w:r>
      <w:r w:rsidR="002E5627">
        <w:t>e</w:t>
      </w:r>
      <w:r w:rsidR="0017173B">
        <w:t xml:space="preserve"> first</w:t>
      </w:r>
      <w:r>
        <w:t xml:space="preserve"> term.</w:t>
      </w:r>
      <w:r w:rsidR="00756D60">
        <w:t xml:space="preserve"> </w:t>
      </w:r>
    </w:p>
    <w:p w14:paraId="0B484D6D" w14:textId="5C5AAF4E" w:rsidR="0017173B" w:rsidRPr="0017173B" w:rsidRDefault="0083774B" w:rsidP="0083774B">
      <w:pPr>
        <w:pStyle w:val="CH3"/>
      </w:pPr>
      <w:r w:rsidRPr="0083774B">
        <w:tab/>
        <w:t>1.</w:t>
      </w:r>
      <w:r w:rsidRPr="0083774B">
        <w:tab/>
      </w:r>
      <w:r w:rsidR="0017173B" w:rsidRPr="0048336A">
        <w:t xml:space="preserve">Rules of </w:t>
      </w:r>
      <w:r w:rsidR="005E702D" w:rsidRPr="0048336A">
        <w:t>p</w:t>
      </w:r>
      <w:r w:rsidR="0017173B" w:rsidRPr="0048336A">
        <w:t>rocedure</w:t>
      </w:r>
    </w:p>
    <w:p w14:paraId="6567C657" w14:textId="7E2B6C19" w:rsidR="000646D6" w:rsidRDefault="0093466D" w:rsidP="0048336A">
      <w:pPr>
        <w:pStyle w:val="Normalnumber"/>
        <w:numPr>
          <w:ilvl w:val="0"/>
          <w:numId w:val="1"/>
        </w:numPr>
        <w:tabs>
          <w:tab w:val="clear" w:pos="1134"/>
        </w:tabs>
      </w:pPr>
      <w:r>
        <w:t xml:space="preserve">At its </w:t>
      </w:r>
      <w:r w:rsidR="0017173B">
        <w:t>first meeting</w:t>
      </w:r>
      <w:r>
        <w:t>,</w:t>
      </w:r>
      <w:r w:rsidR="0017173B">
        <w:t xml:space="preserve"> the Conference of Parties</w:t>
      </w:r>
      <w:r>
        <w:t>,</w:t>
      </w:r>
      <w:r w:rsidR="0017173B">
        <w:t xml:space="preserve"> through the terms of reference for the </w:t>
      </w:r>
      <w:r w:rsidR="001F302D">
        <w:t>S</w:t>
      </w:r>
      <w:r w:rsidR="00794CF1">
        <w:t xml:space="preserve">pecific </w:t>
      </w:r>
      <w:r w:rsidR="001F302D">
        <w:t>I</w:t>
      </w:r>
      <w:r w:rsidR="00794CF1">
        <w:t xml:space="preserve">nternational </w:t>
      </w:r>
      <w:r w:rsidR="0017173B">
        <w:t>Programme (para</w:t>
      </w:r>
      <w:r w:rsidR="00676CA7">
        <w:t xml:space="preserve">. </w:t>
      </w:r>
      <w:r w:rsidR="0017173B">
        <w:t xml:space="preserve">3 of annex II </w:t>
      </w:r>
      <w:r>
        <w:t xml:space="preserve">to </w:t>
      </w:r>
      <w:r w:rsidR="0017173B">
        <w:t>decision MC-1/6)</w:t>
      </w:r>
      <w:r>
        <w:t>,</w:t>
      </w:r>
      <w:r w:rsidR="0017173B">
        <w:t xml:space="preserve"> requested the secretariat to prepare draft rules of procedure for consideration and adoption by the Governing Board</w:t>
      </w:r>
      <w:r w:rsidR="009B2230">
        <w:t>, with</w:t>
      </w:r>
      <w:r w:rsidR="0017173B">
        <w:t xml:space="preserve"> </w:t>
      </w:r>
      <w:r w:rsidR="009B2230">
        <w:t>t</w:t>
      </w:r>
      <w:r w:rsidR="0017173B">
        <w:t xml:space="preserve">he adopted rules of procedure to be presented to the Conference of Parties at its second meeting for its information. </w:t>
      </w:r>
    </w:p>
    <w:p w14:paraId="50AB42C5" w14:textId="15DD2640" w:rsidR="00064D68" w:rsidRDefault="0017173B" w:rsidP="00400CDF">
      <w:pPr>
        <w:pStyle w:val="Normalnumber"/>
        <w:numPr>
          <w:ilvl w:val="0"/>
          <w:numId w:val="1"/>
        </w:numPr>
        <w:tabs>
          <w:tab w:val="clear" w:pos="1134"/>
        </w:tabs>
      </w:pPr>
      <w:r>
        <w:t xml:space="preserve">At its first meeting, the Governing Board considered the draft rules of procedure prepared by the secretariat. The draft rules of procedure </w:t>
      </w:r>
      <w:r w:rsidR="00064D68">
        <w:t xml:space="preserve">followed the guidance on the operation of the Specific International Programme and the terms of reference adopted for the Specific </w:t>
      </w:r>
      <w:r w:rsidR="00765151">
        <w:t>International</w:t>
      </w:r>
      <w:r w:rsidR="00064D68">
        <w:t xml:space="preserve"> Programme</w:t>
      </w:r>
      <w:r w:rsidR="00794CF1">
        <w:t xml:space="preserve">, as set out in the annexes to decision </w:t>
      </w:r>
      <w:r w:rsidR="00064D68">
        <w:t>MC-1/6, and where necessary suggested text drawn from</w:t>
      </w:r>
      <w:r>
        <w:t xml:space="preserve"> </w:t>
      </w:r>
      <w:r w:rsidR="005E702D">
        <w:t xml:space="preserve">the </w:t>
      </w:r>
      <w:r>
        <w:t xml:space="preserve">rules </w:t>
      </w:r>
      <w:r w:rsidR="005E702D">
        <w:t xml:space="preserve">of </w:t>
      </w:r>
      <w:r>
        <w:t xml:space="preserve">other grant-making programmes, such as the </w:t>
      </w:r>
      <w:r w:rsidR="001936B3">
        <w:t>S</w:t>
      </w:r>
      <w:r>
        <w:t xml:space="preserve">pecial Programme </w:t>
      </w:r>
      <w:r w:rsidR="00AC6649">
        <w:t>to support</w:t>
      </w:r>
      <w:r>
        <w:t xml:space="preserve"> institutional strengthening at the national level for implementation of the Basel</w:t>
      </w:r>
      <w:r w:rsidR="00AC6649">
        <w:t xml:space="preserve"> Convention on the Control of Transboundary Movements of Hazardous Wastes and </w:t>
      </w:r>
      <w:r w:rsidR="00CC2D24">
        <w:t>T</w:t>
      </w:r>
      <w:r w:rsidR="00AC6649">
        <w:t>heir Disposal</w:t>
      </w:r>
      <w:r>
        <w:t xml:space="preserve">, </w:t>
      </w:r>
      <w:r w:rsidR="00CC2D24">
        <w:t xml:space="preserve">the </w:t>
      </w:r>
      <w:r w:rsidR="00AC6649">
        <w:t xml:space="preserve">Rotterdam Convention on the Prior Informed Consent Procedure for Certain Hazardous Chemicals and Pesticides in International Trade and the </w:t>
      </w:r>
      <w:r>
        <w:t>Stockholm</w:t>
      </w:r>
      <w:r w:rsidR="00AC6649">
        <w:t xml:space="preserve"> C</w:t>
      </w:r>
      <w:r>
        <w:t>onvention</w:t>
      </w:r>
      <w:r w:rsidR="00AC6649">
        <w:t xml:space="preserve"> on Persistent Organic Pollutants</w:t>
      </w:r>
      <w:r>
        <w:t xml:space="preserve">, the Minamata Convention and the Strategic Approach to International Chemicals Management. </w:t>
      </w:r>
      <w:r w:rsidR="00064D68">
        <w:t xml:space="preserve">Furthermore, as </w:t>
      </w:r>
      <w:r w:rsidR="00794CF1">
        <w:t xml:space="preserve">the </w:t>
      </w:r>
      <w:r w:rsidR="00064D68">
        <w:t xml:space="preserve">draft rules of procedure were based on the text of </w:t>
      </w:r>
      <w:r w:rsidR="005E702D">
        <w:t xml:space="preserve">decision </w:t>
      </w:r>
      <w:r w:rsidR="00064D68">
        <w:t>MC-1/6</w:t>
      </w:r>
      <w:r w:rsidR="00794CF1">
        <w:t>, they</w:t>
      </w:r>
      <w:r w:rsidR="00064D68">
        <w:t xml:space="preserve"> included the bracket</w:t>
      </w:r>
      <w:r w:rsidR="00420EFF">
        <w:t>ed</w:t>
      </w:r>
      <w:r w:rsidR="00064D68">
        <w:t xml:space="preserve"> text on </w:t>
      </w:r>
      <w:r w:rsidR="005E702D">
        <w:t xml:space="preserve">the </w:t>
      </w:r>
      <w:r w:rsidR="00064D68">
        <w:t xml:space="preserve">eligibility </w:t>
      </w:r>
      <w:r w:rsidR="00765151">
        <w:t>of</w:t>
      </w:r>
      <w:r w:rsidR="00420EFF">
        <w:t xml:space="preserve"> non-</w:t>
      </w:r>
      <w:r w:rsidR="00794CF1">
        <w:t>p</w:t>
      </w:r>
      <w:r w:rsidR="00420EFF">
        <w:t>arties or</w:t>
      </w:r>
      <w:r w:rsidR="00064D68">
        <w:t xml:space="preserve"> signatories </w:t>
      </w:r>
      <w:r w:rsidR="00420EFF">
        <w:t xml:space="preserve">to </w:t>
      </w:r>
      <w:r w:rsidR="00765151">
        <w:t>apply for funding and on the Governing Board</w:t>
      </w:r>
      <w:r w:rsidR="00420EFF">
        <w:t xml:space="preserve"> members</w:t>
      </w:r>
      <w:r w:rsidR="00B570F0">
        <w:t>hip</w:t>
      </w:r>
      <w:r w:rsidR="00765151">
        <w:t xml:space="preserve">. </w:t>
      </w:r>
    </w:p>
    <w:p w14:paraId="23A4A253" w14:textId="5D8DD811" w:rsidR="00E67FA7" w:rsidRDefault="00064D68" w:rsidP="0048336A">
      <w:pPr>
        <w:pStyle w:val="Normalnumber"/>
        <w:numPr>
          <w:ilvl w:val="0"/>
          <w:numId w:val="1"/>
        </w:numPr>
        <w:tabs>
          <w:tab w:val="clear" w:pos="1134"/>
        </w:tabs>
      </w:pPr>
      <w:r>
        <w:t xml:space="preserve">The Board </w:t>
      </w:r>
      <w:r w:rsidR="00B570F0">
        <w:t xml:space="preserve">members </w:t>
      </w:r>
      <w:r>
        <w:t xml:space="preserve">exchanged views on a number of </w:t>
      </w:r>
      <w:r w:rsidR="00C10AE3">
        <w:t xml:space="preserve">procedural and </w:t>
      </w:r>
      <w:r>
        <w:t xml:space="preserve">substantive issues, such as the exact term of the members, the procedure to replace a member, the participation of observers and how to manage the issue of potential conflict of interest when a Board member may have been involved in the preparation of an application. </w:t>
      </w:r>
    </w:p>
    <w:p w14:paraId="4CB756AB" w14:textId="60111B59" w:rsidR="00403F8A" w:rsidRDefault="00676CA7" w:rsidP="00400CDF">
      <w:pPr>
        <w:pStyle w:val="Normalnumber"/>
        <w:numPr>
          <w:ilvl w:val="0"/>
          <w:numId w:val="1"/>
        </w:numPr>
        <w:tabs>
          <w:tab w:val="clear" w:pos="1134"/>
        </w:tabs>
      </w:pPr>
      <w:r>
        <w:t>After</w:t>
      </w:r>
      <w:r w:rsidR="00064D68">
        <w:t xml:space="preserve"> </w:t>
      </w:r>
      <w:r w:rsidR="00B570F0">
        <w:t xml:space="preserve">its </w:t>
      </w:r>
      <w:r w:rsidR="00064D68">
        <w:t>deliberations, the</w:t>
      </w:r>
      <w:r w:rsidR="00B570F0">
        <w:t xml:space="preserve"> Governing Board</w:t>
      </w:r>
      <w:r w:rsidR="00064D68">
        <w:t xml:space="preserve"> adopted</w:t>
      </w:r>
      <w:r w:rsidR="00765151">
        <w:t xml:space="preserve"> the </w:t>
      </w:r>
      <w:r w:rsidR="00B570F0">
        <w:t>r</w:t>
      </w:r>
      <w:r w:rsidR="00765151">
        <w:t xml:space="preserve">ules of </w:t>
      </w:r>
      <w:r w:rsidR="00B570F0">
        <w:t>p</w:t>
      </w:r>
      <w:r w:rsidR="00765151">
        <w:t>rocedure</w:t>
      </w:r>
      <w:r w:rsidR="00B570F0">
        <w:t xml:space="preserve">. </w:t>
      </w:r>
      <w:r w:rsidR="00765151">
        <w:t xml:space="preserve">The </w:t>
      </w:r>
      <w:r w:rsidR="00B570F0">
        <w:t>r</w:t>
      </w:r>
      <w:r w:rsidR="00765151">
        <w:t xml:space="preserve">ules of </w:t>
      </w:r>
      <w:r w:rsidR="00B570F0" w:rsidRPr="00676CA7">
        <w:t>p</w:t>
      </w:r>
      <w:r w:rsidR="00765151" w:rsidRPr="00676CA7">
        <w:t>rocedure</w:t>
      </w:r>
      <w:r w:rsidR="00B570F0" w:rsidRPr="00676CA7">
        <w:t xml:space="preserve"> as adopted</w:t>
      </w:r>
      <w:r w:rsidR="00765151" w:rsidRPr="00676CA7">
        <w:t xml:space="preserve"> are </w:t>
      </w:r>
      <w:r w:rsidR="00AC6649" w:rsidRPr="001936B3">
        <w:t>set out</w:t>
      </w:r>
      <w:r w:rsidR="00B570F0" w:rsidRPr="001936B3">
        <w:t xml:space="preserve"> in annex II to th</w:t>
      </w:r>
      <w:r w:rsidR="00AC6649" w:rsidRPr="001936B3">
        <w:t>e present</w:t>
      </w:r>
      <w:r w:rsidR="00B570F0" w:rsidRPr="001936B3">
        <w:t xml:space="preserve"> </w:t>
      </w:r>
      <w:r w:rsidR="00AC6649" w:rsidRPr="001936B3">
        <w:t xml:space="preserve">note </w:t>
      </w:r>
      <w:r w:rsidR="00B570F0" w:rsidRPr="001936B3">
        <w:t xml:space="preserve">for the information of </w:t>
      </w:r>
      <w:r w:rsidR="00765151" w:rsidRPr="00EA6923">
        <w:t xml:space="preserve">the Conference of the Parties. The rules of </w:t>
      </w:r>
      <w:r w:rsidR="00B570F0" w:rsidRPr="00EA6923">
        <w:t>p</w:t>
      </w:r>
      <w:r w:rsidR="00765151" w:rsidRPr="00EA6923">
        <w:t xml:space="preserve">rocedure </w:t>
      </w:r>
      <w:r w:rsidR="00B570F0" w:rsidRPr="00676CA7">
        <w:t xml:space="preserve">still </w:t>
      </w:r>
      <w:r>
        <w:t xml:space="preserve">contain </w:t>
      </w:r>
      <w:r w:rsidR="00301E5D">
        <w:t>bracketed text in rule 2</w:t>
      </w:r>
      <w:r w:rsidR="00E3280C">
        <w:t>, on the definition of “signatory”,</w:t>
      </w:r>
      <w:r w:rsidR="00301E5D">
        <w:t xml:space="preserve"> </w:t>
      </w:r>
      <w:r w:rsidR="00723F5D" w:rsidRPr="00676CA7">
        <w:t>one</w:t>
      </w:r>
      <w:r w:rsidR="00B570F0" w:rsidRPr="00676CA7">
        <w:t xml:space="preserve"> </w:t>
      </w:r>
      <w:r w:rsidR="00114F9D" w:rsidRPr="00676CA7">
        <w:t>placeholder</w:t>
      </w:r>
      <w:r>
        <w:t xml:space="preserve"> in rule 3,</w:t>
      </w:r>
      <w:r w:rsidR="00114F9D" w:rsidRPr="00676CA7">
        <w:t xml:space="preserve"> </w:t>
      </w:r>
      <w:r>
        <w:t>regarding</w:t>
      </w:r>
      <w:r w:rsidR="00114F9D" w:rsidRPr="00676CA7">
        <w:t xml:space="preserve"> the term of the Board</w:t>
      </w:r>
      <w:r w:rsidR="00723F5D" w:rsidRPr="001936B3">
        <w:t xml:space="preserve"> members</w:t>
      </w:r>
      <w:r>
        <w:t>,</w:t>
      </w:r>
      <w:r w:rsidR="00723F5D" w:rsidRPr="00676CA7">
        <w:t xml:space="preserve"> and a </w:t>
      </w:r>
      <w:r w:rsidR="00624BB6">
        <w:t>pair</w:t>
      </w:r>
      <w:r w:rsidR="00723F5D" w:rsidRPr="00676CA7">
        <w:t xml:space="preserve"> of bracket</w:t>
      </w:r>
      <w:r w:rsidR="00624BB6">
        <w:t>ed texts</w:t>
      </w:r>
      <w:r w:rsidR="00723F5D" w:rsidRPr="00676CA7">
        <w:t xml:space="preserve"> in </w:t>
      </w:r>
      <w:r w:rsidRPr="00400CDF">
        <w:t>r</w:t>
      </w:r>
      <w:r w:rsidR="00723F5D" w:rsidRPr="00676CA7">
        <w:t>ule 9</w:t>
      </w:r>
      <w:r>
        <w:t>,</w:t>
      </w:r>
      <w:r w:rsidR="00723F5D" w:rsidRPr="00676CA7">
        <w:t xml:space="preserve"> on the timing of the election of co-chairs, </w:t>
      </w:r>
      <w:r w:rsidR="00624BB6">
        <w:t>on which the Board will take a decision at its</w:t>
      </w:r>
      <w:r w:rsidR="00723F5D" w:rsidRPr="00676CA7">
        <w:t xml:space="preserve"> next meeting.</w:t>
      </w:r>
      <w:r w:rsidR="004312D4">
        <w:t xml:space="preserve"> </w:t>
      </w:r>
      <w:r w:rsidR="004312D4" w:rsidRPr="00C1570C">
        <w:rPr>
          <w:bCs/>
          <w:color w:val="7030A0"/>
        </w:rPr>
        <w:t>Following the resolution by the C</w:t>
      </w:r>
      <w:r w:rsidR="00F47AD5" w:rsidRPr="00C1570C">
        <w:rPr>
          <w:bCs/>
          <w:color w:val="7030A0"/>
        </w:rPr>
        <w:t>onference of the Parties</w:t>
      </w:r>
      <w:r w:rsidR="004312D4" w:rsidRPr="00C1570C">
        <w:rPr>
          <w:bCs/>
          <w:color w:val="7030A0"/>
        </w:rPr>
        <w:t xml:space="preserve"> of the remaining square brackets</w:t>
      </w:r>
      <w:r w:rsidR="00F47AD5" w:rsidRPr="00C1570C">
        <w:rPr>
          <w:bCs/>
          <w:color w:val="7030A0"/>
        </w:rPr>
        <w:t xml:space="preserve"> in the text presented</w:t>
      </w:r>
      <w:r w:rsidR="004312D4" w:rsidRPr="00C1570C">
        <w:rPr>
          <w:bCs/>
          <w:color w:val="7030A0"/>
        </w:rPr>
        <w:t xml:space="preserve"> in the annexes to </w:t>
      </w:r>
      <w:r w:rsidR="00F47AD5" w:rsidRPr="00C1570C">
        <w:rPr>
          <w:bCs/>
          <w:color w:val="7030A0"/>
        </w:rPr>
        <w:t xml:space="preserve">decision </w:t>
      </w:r>
      <w:r w:rsidR="004312D4" w:rsidRPr="00C1570C">
        <w:rPr>
          <w:bCs/>
          <w:color w:val="7030A0"/>
        </w:rPr>
        <w:t>MC-1/6, the Governing Board will revisit the bracketed text in rule 2, on the inclusion of the definition of “signatory”, and in rule 3</w:t>
      </w:r>
      <w:r w:rsidR="00E05240" w:rsidRPr="00C1570C">
        <w:rPr>
          <w:bCs/>
          <w:color w:val="7030A0"/>
        </w:rPr>
        <w:t>,</w:t>
      </w:r>
      <w:r w:rsidR="004312D4" w:rsidRPr="00C1570C">
        <w:rPr>
          <w:bCs/>
          <w:color w:val="7030A0"/>
        </w:rPr>
        <w:t xml:space="preserve"> on whether the members are nominated from </w:t>
      </w:r>
      <w:r w:rsidR="0063248A" w:rsidRPr="00C1570C">
        <w:rPr>
          <w:bCs/>
          <w:color w:val="7030A0"/>
        </w:rPr>
        <w:t xml:space="preserve">among </w:t>
      </w:r>
      <w:r w:rsidR="004312D4" w:rsidRPr="00C1570C">
        <w:rPr>
          <w:bCs/>
          <w:color w:val="7030A0"/>
        </w:rPr>
        <w:t xml:space="preserve">or nominated by </w:t>
      </w:r>
      <w:r w:rsidR="0063248A" w:rsidRPr="00C1570C">
        <w:rPr>
          <w:bCs/>
          <w:color w:val="7030A0"/>
        </w:rPr>
        <w:t xml:space="preserve">the </w:t>
      </w:r>
      <w:r w:rsidR="004312D4" w:rsidRPr="00C1570C">
        <w:rPr>
          <w:bCs/>
          <w:color w:val="7030A0"/>
        </w:rPr>
        <w:t>parties</w:t>
      </w:r>
      <w:r w:rsidR="00E05240" w:rsidRPr="00C1570C">
        <w:t>.</w:t>
      </w:r>
      <w:r w:rsidR="005372D9" w:rsidRPr="00C1570C">
        <w:rPr>
          <w:bCs/>
        </w:rPr>
        <w:t xml:space="preserve"> </w:t>
      </w:r>
    </w:p>
    <w:p w14:paraId="12922DC4" w14:textId="2F0FE3FB" w:rsidR="00765151" w:rsidRPr="00C10AE3" w:rsidRDefault="0083774B" w:rsidP="0083774B">
      <w:pPr>
        <w:pStyle w:val="CH3"/>
      </w:pPr>
      <w:r>
        <w:lastRenderedPageBreak/>
        <w:tab/>
      </w:r>
      <w:r w:rsidRPr="0083774B">
        <w:t>2.</w:t>
      </w:r>
      <w:r w:rsidRPr="0083774B">
        <w:tab/>
      </w:r>
      <w:r w:rsidR="00D45D67" w:rsidRPr="0048336A">
        <w:t xml:space="preserve">Application, </w:t>
      </w:r>
      <w:r w:rsidR="00C10AE3" w:rsidRPr="0048336A">
        <w:t>screening and appraisal process</w:t>
      </w:r>
      <w:r w:rsidR="00376334" w:rsidRPr="0048336A">
        <w:t xml:space="preserve"> </w:t>
      </w:r>
      <w:r w:rsidR="00B570F0" w:rsidRPr="0048336A">
        <w:t>for</w:t>
      </w:r>
      <w:r w:rsidR="00376334" w:rsidRPr="0048336A">
        <w:t xml:space="preserve"> the </w:t>
      </w:r>
      <w:r w:rsidR="005E4DC7" w:rsidRPr="0048336A">
        <w:t>Specific International Progr</w:t>
      </w:r>
      <w:r w:rsidR="00376334" w:rsidRPr="0048336A">
        <w:t>amme</w:t>
      </w:r>
      <w:r w:rsidR="00C10AE3" w:rsidRPr="0048336A">
        <w:t xml:space="preserve">, including </w:t>
      </w:r>
      <w:r w:rsidR="00D45D67" w:rsidRPr="0048336A">
        <w:t>criteria</w:t>
      </w:r>
    </w:p>
    <w:p w14:paraId="47B92465" w14:textId="4DB37147" w:rsidR="00420504" w:rsidRDefault="00420504" w:rsidP="0048336A">
      <w:pPr>
        <w:pStyle w:val="Normalnumber"/>
        <w:numPr>
          <w:ilvl w:val="0"/>
          <w:numId w:val="1"/>
        </w:numPr>
        <w:tabs>
          <w:tab w:val="clear" w:pos="1134"/>
        </w:tabs>
      </w:pPr>
      <w:r>
        <w:t>As per annex I of decision</w:t>
      </w:r>
      <w:r w:rsidR="002F1B55">
        <w:t xml:space="preserve"> MC-1/6</w:t>
      </w:r>
      <w:r w:rsidR="00B570F0">
        <w:t>,</w:t>
      </w:r>
      <w:r w:rsidR="002F1B55">
        <w:t xml:space="preserve"> </w:t>
      </w:r>
      <w:r>
        <w:t xml:space="preserve">the Governing Board </w:t>
      </w:r>
      <w:r w:rsidRPr="009378CB">
        <w:t>is to oversee</w:t>
      </w:r>
      <w:r>
        <w:t xml:space="preserve"> the </w:t>
      </w:r>
      <w:r w:rsidR="005E4DC7">
        <w:t>Specific International Progra</w:t>
      </w:r>
      <w:r>
        <w:t xml:space="preserve">mme, implement the guidance of the Conference of the Parties and decide </w:t>
      </w:r>
      <w:r w:rsidR="00E67FA7">
        <w:t>on projects and project management</w:t>
      </w:r>
      <w:r>
        <w:t xml:space="preserve">. As per annex II of the same decision, the Governing Board is to approve applications for funding and endorse, as appropriate, criteria and procedures for application, assessment, reporting and evaluation. </w:t>
      </w:r>
    </w:p>
    <w:p w14:paraId="59E09A91" w14:textId="07670AA1" w:rsidR="00420504" w:rsidRDefault="00420504" w:rsidP="0048336A">
      <w:pPr>
        <w:pStyle w:val="Normalnumber"/>
        <w:numPr>
          <w:ilvl w:val="0"/>
          <w:numId w:val="1"/>
        </w:numPr>
        <w:tabs>
          <w:tab w:val="clear" w:pos="1134"/>
        </w:tabs>
      </w:pPr>
      <w:r>
        <w:t>To facilitate the work of the Governing Board in its consideration o</w:t>
      </w:r>
      <w:r w:rsidR="002471A7">
        <w:t>f</w:t>
      </w:r>
      <w:r>
        <w:t xml:space="preserve"> how to operationali</w:t>
      </w:r>
      <w:r w:rsidR="002471A7">
        <w:t>z</w:t>
      </w:r>
      <w:r>
        <w:t xml:space="preserve">e the application, screening and appraisal process </w:t>
      </w:r>
      <w:r w:rsidR="002471A7">
        <w:t>for</w:t>
      </w:r>
      <w:r>
        <w:t xml:space="preserve"> the Specific International</w:t>
      </w:r>
      <w:r w:rsidR="00203B08">
        <w:t xml:space="preserve"> P</w:t>
      </w:r>
      <w:r>
        <w:t xml:space="preserve">rogramme, the secretariat prepared a number of documents for the first meeting of the Governing Board, including: </w:t>
      </w:r>
    </w:p>
    <w:p w14:paraId="517622EB" w14:textId="0B531BB9" w:rsidR="00420504" w:rsidRPr="00C756E9" w:rsidRDefault="002471A7" w:rsidP="004300C7">
      <w:pPr>
        <w:pStyle w:val="Normalnumber"/>
        <w:numPr>
          <w:ilvl w:val="1"/>
          <w:numId w:val="34"/>
        </w:numPr>
        <w:ind w:firstLine="624"/>
      </w:pPr>
      <w:r w:rsidRPr="00C756E9">
        <w:t>A</w:t>
      </w:r>
      <w:r w:rsidR="00420504" w:rsidRPr="00CD246F">
        <w:t xml:space="preserve"> proposed application form</w:t>
      </w:r>
    </w:p>
    <w:p w14:paraId="5C033EEC" w14:textId="0E5B3B63" w:rsidR="00420504" w:rsidRPr="00C756E9" w:rsidRDefault="002471A7" w:rsidP="004300C7">
      <w:pPr>
        <w:pStyle w:val="Normalnumber"/>
        <w:numPr>
          <w:ilvl w:val="1"/>
          <w:numId w:val="34"/>
        </w:numPr>
        <w:ind w:firstLine="624"/>
      </w:pPr>
      <w:r w:rsidRPr="00C756E9">
        <w:t>A</w:t>
      </w:r>
      <w:r w:rsidR="00420504" w:rsidRPr="00C756E9">
        <w:t xml:space="preserve"> proposed budget format</w:t>
      </w:r>
    </w:p>
    <w:p w14:paraId="2D38F70C" w14:textId="400D96C0" w:rsidR="00420504" w:rsidRPr="00C756E9" w:rsidRDefault="002471A7" w:rsidP="004300C7">
      <w:pPr>
        <w:pStyle w:val="Normalnumber"/>
        <w:numPr>
          <w:ilvl w:val="1"/>
          <w:numId w:val="34"/>
        </w:numPr>
        <w:tabs>
          <w:tab w:val="clear" w:pos="1134"/>
        </w:tabs>
        <w:ind w:firstLine="624"/>
      </w:pPr>
      <w:r w:rsidRPr="00C756E9">
        <w:t>A</w:t>
      </w:r>
      <w:r w:rsidR="00420504" w:rsidRPr="00C756E9">
        <w:t xml:space="preserve"> proposed set of </w:t>
      </w:r>
      <w:r w:rsidR="00203B08" w:rsidRPr="00C756E9">
        <w:t xml:space="preserve">comprehensive </w:t>
      </w:r>
      <w:r w:rsidR="00420504" w:rsidRPr="00C756E9">
        <w:t xml:space="preserve">guidelines to assist </w:t>
      </w:r>
      <w:r w:rsidR="00203B08" w:rsidRPr="00C756E9">
        <w:t>applicants in the</w:t>
      </w:r>
      <w:r w:rsidR="00420504" w:rsidRPr="00C756E9">
        <w:t xml:space="preserve"> preparation </w:t>
      </w:r>
      <w:r w:rsidR="00203B08" w:rsidRPr="00C756E9">
        <w:t>of</w:t>
      </w:r>
      <w:r w:rsidR="00420504" w:rsidRPr="00C756E9">
        <w:t xml:space="preserve"> applications</w:t>
      </w:r>
      <w:r w:rsidR="00AC6649" w:rsidRPr="00C756E9">
        <w:t>.</w:t>
      </w:r>
      <w:r w:rsidR="00420504" w:rsidRPr="00C756E9">
        <w:t xml:space="preserve"> </w:t>
      </w:r>
    </w:p>
    <w:p w14:paraId="00558D53" w14:textId="79ED46C1" w:rsidR="00203B08" w:rsidRDefault="00203B08" w:rsidP="0048336A">
      <w:pPr>
        <w:pStyle w:val="Normalnumber"/>
        <w:numPr>
          <w:ilvl w:val="0"/>
          <w:numId w:val="1"/>
        </w:numPr>
        <w:tabs>
          <w:tab w:val="clear" w:pos="1134"/>
        </w:tabs>
      </w:pPr>
      <w:r>
        <w:t xml:space="preserve">The draft documents prepared drew from the application process used </w:t>
      </w:r>
      <w:r w:rsidR="002471A7">
        <w:t>for</w:t>
      </w:r>
      <w:r>
        <w:t xml:space="preserve"> </w:t>
      </w:r>
      <w:r w:rsidRPr="001936B3">
        <w:t xml:space="preserve">the Special </w:t>
      </w:r>
      <w:r w:rsidRPr="00EA6923">
        <w:t>Programme. The Special Programme model was selected to build on the e</w:t>
      </w:r>
      <w:r>
        <w:t>xperiences gained from three rounds of applications to the Special Programme</w:t>
      </w:r>
      <w:r w:rsidR="002471A7">
        <w:t xml:space="preserve"> and to </w:t>
      </w:r>
      <w:r>
        <w:t xml:space="preserve">respond to the request by </w:t>
      </w:r>
      <w:r w:rsidR="009E42B3">
        <w:t>potential applicant</w:t>
      </w:r>
      <w:r>
        <w:t xml:space="preserve"> countries to minimize divergence from known application templates and procedures. </w:t>
      </w:r>
    </w:p>
    <w:p w14:paraId="5EBE40D9" w14:textId="1D8B05CD" w:rsidR="00E31307" w:rsidRDefault="00E31307" w:rsidP="0048336A">
      <w:pPr>
        <w:pStyle w:val="Normalnumber"/>
        <w:numPr>
          <w:ilvl w:val="0"/>
          <w:numId w:val="1"/>
        </w:numPr>
        <w:tabs>
          <w:tab w:val="clear" w:pos="1134"/>
        </w:tabs>
      </w:pPr>
      <w:r>
        <w:t xml:space="preserve">In addition to considering the proposed application documents, the </w:t>
      </w:r>
      <w:r w:rsidR="00202017">
        <w:t>Governing</w:t>
      </w:r>
      <w:r>
        <w:t xml:space="preserve"> Board also deliberated on the</w:t>
      </w:r>
      <w:r w:rsidR="001D15F2">
        <w:t xml:space="preserve"> eligibility of applicants, the</w:t>
      </w:r>
      <w:r>
        <w:t xml:space="preserve"> size and duration of the projects, </w:t>
      </w:r>
      <w:r w:rsidR="00202017">
        <w:t xml:space="preserve">the role of </w:t>
      </w:r>
      <w:r w:rsidR="002471A7">
        <w:t>n</w:t>
      </w:r>
      <w:r w:rsidR="00202017">
        <w:t xml:space="preserve">ational </w:t>
      </w:r>
      <w:r w:rsidR="002471A7">
        <w:t>f</w:t>
      </w:r>
      <w:r w:rsidR="00202017">
        <w:t xml:space="preserve">ocal </w:t>
      </w:r>
      <w:r w:rsidR="002471A7">
        <w:t>p</w:t>
      </w:r>
      <w:r w:rsidR="00202017">
        <w:t>oints</w:t>
      </w:r>
      <w:r w:rsidR="00E55A01">
        <w:t xml:space="preserve"> to the Minamata Convention</w:t>
      </w:r>
      <w:r w:rsidR="00202017">
        <w:t xml:space="preserve">, </w:t>
      </w:r>
      <w:r>
        <w:t xml:space="preserve">the schedule of the first round of applications, </w:t>
      </w:r>
      <w:r w:rsidR="00E55A01">
        <w:t xml:space="preserve">the </w:t>
      </w:r>
      <w:r w:rsidR="00202017">
        <w:t xml:space="preserve">issue of co-financing </w:t>
      </w:r>
      <w:r>
        <w:t xml:space="preserve">and the criteria for assessing the applications. </w:t>
      </w:r>
    </w:p>
    <w:p w14:paraId="195714DC" w14:textId="448F6CF9" w:rsidR="00202017" w:rsidRDefault="00E31307" w:rsidP="0048336A">
      <w:pPr>
        <w:pStyle w:val="Normalnumber"/>
        <w:numPr>
          <w:ilvl w:val="0"/>
          <w:numId w:val="1"/>
        </w:numPr>
        <w:tabs>
          <w:tab w:val="clear" w:pos="1134"/>
        </w:tabs>
      </w:pPr>
      <w:r>
        <w:t xml:space="preserve">The </w:t>
      </w:r>
      <w:r w:rsidR="00202017">
        <w:t>Governing</w:t>
      </w:r>
      <w:r>
        <w:t xml:space="preserve"> Board decided that </w:t>
      </w:r>
      <w:r w:rsidR="001D15F2">
        <w:t>given the b</w:t>
      </w:r>
      <w:r w:rsidR="00E67FA7">
        <w:t xml:space="preserve">rackets on eligibility, only </w:t>
      </w:r>
      <w:r w:rsidR="001D15F2">
        <w:t xml:space="preserve">applications from </w:t>
      </w:r>
      <w:r w:rsidR="003C4F5E">
        <w:t>p</w:t>
      </w:r>
      <w:r w:rsidR="001D15F2">
        <w:t xml:space="preserve">arties </w:t>
      </w:r>
      <w:r w:rsidR="0015478A">
        <w:t>could</w:t>
      </w:r>
      <w:r w:rsidR="001D15F2">
        <w:t xml:space="preserve"> be considered</w:t>
      </w:r>
      <w:r w:rsidR="002471A7" w:rsidRPr="002471A7">
        <w:t xml:space="preserve"> </w:t>
      </w:r>
      <w:r w:rsidR="002471A7">
        <w:t>for the first round of funding</w:t>
      </w:r>
      <w:r w:rsidR="001D15F2">
        <w:t>. The Board further decided that</w:t>
      </w:r>
      <w:r w:rsidR="002471A7">
        <w:t xml:space="preserve"> only</w:t>
      </w:r>
      <w:r w:rsidR="00202017">
        <w:t xml:space="preserve"> </w:t>
      </w:r>
      <w:r>
        <w:t xml:space="preserve">applications for projects between </w:t>
      </w:r>
      <w:r w:rsidR="002471A7">
        <w:t>$</w:t>
      </w:r>
      <w:r>
        <w:t xml:space="preserve">50,000 and </w:t>
      </w:r>
      <w:r w:rsidR="002471A7">
        <w:t>$</w:t>
      </w:r>
      <w:r>
        <w:t>250,000</w:t>
      </w:r>
      <w:r w:rsidR="002471A7">
        <w:t xml:space="preserve"> would be invited for the first round of funding and </w:t>
      </w:r>
      <w:r w:rsidR="00202017">
        <w:t xml:space="preserve">that the maximum duration of projects should be three years. </w:t>
      </w:r>
      <w:r w:rsidR="002471A7">
        <w:t>Regarding</w:t>
      </w:r>
      <w:r w:rsidR="00202017">
        <w:t xml:space="preserve"> the role of the </w:t>
      </w:r>
      <w:r w:rsidR="002471A7">
        <w:t>n</w:t>
      </w:r>
      <w:r w:rsidR="00202017">
        <w:t xml:space="preserve">ational </w:t>
      </w:r>
      <w:r w:rsidR="002471A7">
        <w:t>f</w:t>
      </w:r>
      <w:r w:rsidR="00202017">
        <w:t xml:space="preserve">ocal </w:t>
      </w:r>
      <w:r w:rsidR="002471A7">
        <w:t>p</w:t>
      </w:r>
      <w:r w:rsidR="00202017">
        <w:t>oints</w:t>
      </w:r>
      <w:r w:rsidR="002471A7">
        <w:t>, the Governing Board</w:t>
      </w:r>
      <w:r w:rsidR="00202017">
        <w:t xml:space="preserve"> agreed that they should be given the role of </w:t>
      </w:r>
      <w:r w:rsidR="00E67FA7">
        <w:t xml:space="preserve">formally </w:t>
      </w:r>
      <w:r w:rsidR="00202017">
        <w:t>endorsing the applications and facilitat</w:t>
      </w:r>
      <w:r w:rsidR="002471A7">
        <w:t>ing</w:t>
      </w:r>
      <w:r w:rsidR="00202017">
        <w:t xml:space="preserve"> </w:t>
      </w:r>
      <w:r w:rsidR="002471A7">
        <w:t xml:space="preserve">in-country </w:t>
      </w:r>
      <w:r w:rsidR="00202017">
        <w:t>communication</w:t>
      </w:r>
      <w:r w:rsidR="002471A7">
        <w:t>s</w:t>
      </w:r>
      <w:r w:rsidR="00202017">
        <w:t xml:space="preserve"> on the </w:t>
      </w:r>
      <w:r w:rsidR="005E4DC7">
        <w:t>Specific International Programme</w:t>
      </w:r>
      <w:r w:rsidR="00202017">
        <w:t>. Regarding the schedule of the first round, the Board agreed that early operationali</w:t>
      </w:r>
      <w:r w:rsidR="002471A7">
        <w:t>z</w:t>
      </w:r>
      <w:r w:rsidR="00202017">
        <w:t xml:space="preserve">ation </w:t>
      </w:r>
      <w:r w:rsidR="008D14DE">
        <w:t>would</w:t>
      </w:r>
      <w:r w:rsidR="00202017">
        <w:t xml:space="preserve"> contribute to raising the profile of the </w:t>
      </w:r>
      <w:r w:rsidR="008D14DE">
        <w:t>p</w:t>
      </w:r>
      <w:r w:rsidR="00202017">
        <w:t xml:space="preserve">rogramme and thus that the first projects selected by the Governing Board should be known by the second meeting of the Conference of the Parties. On the issue of co-financing, as annex I </w:t>
      </w:r>
      <w:r w:rsidR="008D14DE">
        <w:t xml:space="preserve">to decision </w:t>
      </w:r>
      <w:r w:rsidR="00202017">
        <w:t>MC-1/6 refer</w:t>
      </w:r>
      <w:r w:rsidR="008D14DE">
        <w:t>red</w:t>
      </w:r>
      <w:r w:rsidR="00202017">
        <w:t xml:space="preserve"> to financial and in-kind resources but otherwise ma</w:t>
      </w:r>
      <w:r w:rsidR="008D14DE">
        <w:t>de</w:t>
      </w:r>
      <w:r w:rsidR="00202017">
        <w:t xml:space="preserve"> no mention of co-financing, </w:t>
      </w:r>
      <w:r w:rsidR="00E67FA7">
        <w:t>the Governing Board agree</w:t>
      </w:r>
      <w:r w:rsidR="008D14DE">
        <w:t>d</w:t>
      </w:r>
      <w:r w:rsidR="00E67FA7">
        <w:t xml:space="preserve"> that </w:t>
      </w:r>
      <w:r w:rsidR="00202017">
        <w:t xml:space="preserve">applicants </w:t>
      </w:r>
      <w:r w:rsidR="008D14DE">
        <w:t xml:space="preserve">could </w:t>
      </w:r>
      <w:r w:rsidR="00202017">
        <w:t xml:space="preserve">be encouraged to identify </w:t>
      </w:r>
      <w:r w:rsidR="00E67FA7">
        <w:t>cash</w:t>
      </w:r>
      <w:r w:rsidR="00202017">
        <w:t xml:space="preserve"> and in-kind co-financ</w:t>
      </w:r>
      <w:r w:rsidR="008D14DE">
        <w:t>ing</w:t>
      </w:r>
      <w:r w:rsidR="00202017">
        <w:t xml:space="preserve"> but that the </w:t>
      </w:r>
      <w:r w:rsidR="00E55A01">
        <w:t>indication</w:t>
      </w:r>
      <w:r w:rsidR="00202017">
        <w:t xml:space="preserve"> of co-financing </w:t>
      </w:r>
      <w:r w:rsidR="003C4F5E">
        <w:t>would</w:t>
      </w:r>
      <w:r w:rsidR="00202017">
        <w:t xml:space="preserve"> not</w:t>
      </w:r>
      <w:r w:rsidR="003C4F5E">
        <w:t xml:space="preserve"> be</w:t>
      </w:r>
      <w:r w:rsidR="00202017">
        <w:t xml:space="preserve"> a prerequisite for project eligib</w:t>
      </w:r>
      <w:r w:rsidR="008D14DE">
        <w:t>ility</w:t>
      </w:r>
      <w:r w:rsidR="00202017">
        <w:t xml:space="preserve">. </w:t>
      </w:r>
    </w:p>
    <w:p w14:paraId="4A229427" w14:textId="5E77F2D6" w:rsidR="004C4B12" w:rsidRPr="000661F5" w:rsidRDefault="004C4B12" w:rsidP="0048336A">
      <w:pPr>
        <w:pStyle w:val="Normalnumber"/>
        <w:numPr>
          <w:ilvl w:val="0"/>
          <w:numId w:val="1"/>
        </w:numPr>
        <w:tabs>
          <w:tab w:val="clear" w:pos="1134"/>
        </w:tabs>
      </w:pPr>
      <w:r>
        <w:t xml:space="preserve">The </w:t>
      </w:r>
      <w:r w:rsidRPr="000661F5">
        <w:t xml:space="preserve">Governing Board deliberated </w:t>
      </w:r>
      <w:r w:rsidR="00242422" w:rsidRPr="000661F5">
        <w:t>in considerable depth</w:t>
      </w:r>
      <w:r w:rsidR="00242422" w:rsidRPr="00ED2D63">
        <w:t xml:space="preserve"> </w:t>
      </w:r>
      <w:r w:rsidRPr="00ED2D63">
        <w:t>on the criteria t</w:t>
      </w:r>
      <w:r w:rsidR="00242422" w:rsidRPr="00ED2D63">
        <w:t>hat would</w:t>
      </w:r>
      <w:r w:rsidRPr="00ED2D63">
        <w:t xml:space="preserve"> guide the appraisal </w:t>
      </w:r>
      <w:r w:rsidR="00242422" w:rsidRPr="00ED2D63">
        <w:t>and approval of programme</w:t>
      </w:r>
      <w:r w:rsidRPr="00ED2D63">
        <w:t xml:space="preserve"> applications and agreed on the following criteria: </w:t>
      </w:r>
    </w:p>
    <w:p w14:paraId="262C9D64" w14:textId="5D01FAC3" w:rsidR="004C4B12" w:rsidRDefault="004C4B12" w:rsidP="000520BB">
      <w:pPr>
        <w:pStyle w:val="Normalnumber"/>
        <w:numPr>
          <w:ilvl w:val="0"/>
          <w:numId w:val="0"/>
        </w:numPr>
        <w:ind w:left="1247" w:firstLine="624"/>
      </w:pPr>
      <w:r w:rsidRPr="00ED2D63">
        <w:t>(a)</w:t>
      </w:r>
      <w:r w:rsidRPr="00ED2D63">
        <w:tab/>
        <w:t>Measures are</w:t>
      </w:r>
      <w:r>
        <w:t xml:space="preserve"> within the scope of the Specific International Programme and improve capacity to implement the obligations under the </w:t>
      </w:r>
      <w:r w:rsidRPr="0073702E">
        <w:t>Minamata Convention</w:t>
      </w:r>
      <w:r w:rsidR="0073702E">
        <w:t>.</w:t>
      </w:r>
      <w:r w:rsidR="00DC7129" w:rsidRPr="0073702E">
        <w:t xml:space="preserve">  </w:t>
      </w:r>
    </w:p>
    <w:p w14:paraId="21041062" w14:textId="2FFDF4B7" w:rsidR="004C4B12" w:rsidRDefault="004C4B12" w:rsidP="000520BB">
      <w:pPr>
        <w:pStyle w:val="Normalnumber"/>
        <w:numPr>
          <w:ilvl w:val="0"/>
          <w:numId w:val="0"/>
        </w:numPr>
        <w:ind w:left="1247" w:firstLine="624"/>
      </w:pPr>
      <w:r>
        <w:t>(b)</w:t>
      </w:r>
      <w:r>
        <w:tab/>
        <w:t>Proposals contribute to the expected outcomes of the Specific International Programme</w:t>
      </w:r>
      <w:r w:rsidR="0073702E">
        <w:t>.</w:t>
      </w:r>
    </w:p>
    <w:p w14:paraId="62D1BF9F" w14:textId="28B01418" w:rsidR="004C4B12" w:rsidRDefault="004C4B12" w:rsidP="000520BB">
      <w:pPr>
        <w:pStyle w:val="Normalnumber"/>
        <w:numPr>
          <w:ilvl w:val="0"/>
          <w:numId w:val="0"/>
        </w:numPr>
        <w:ind w:left="1247" w:firstLine="624"/>
      </w:pPr>
      <w:r>
        <w:t>(c)</w:t>
      </w:r>
      <w:r>
        <w:tab/>
        <w:t>Proposals are country-driven</w:t>
      </w:r>
      <w:r w:rsidR="000661F5">
        <w:t xml:space="preserve"> and support</w:t>
      </w:r>
      <w:r>
        <w:t xml:space="preserve"> national priorities</w:t>
      </w:r>
      <w:r w:rsidR="0073702E">
        <w:t>.</w:t>
      </w:r>
    </w:p>
    <w:p w14:paraId="5F65C11C" w14:textId="05FFAE65" w:rsidR="004C4B12" w:rsidRDefault="004C4B12" w:rsidP="000520BB">
      <w:pPr>
        <w:pStyle w:val="Normalnumber"/>
        <w:numPr>
          <w:ilvl w:val="0"/>
          <w:numId w:val="0"/>
        </w:numPr>
        <w:ind w:left="1247" w:firstLine="624"/>
      </w:pPr>
      <w:r>
        <w:t>(d)</w:t>
      </w:r>
      <w:r>
        <w:tab/>
        <w:t>Project outcome(s) are sustainable over the medium and/or longer term</w:t>
      </w:r>
      <w:r w:rsidR="0073702E">
        <w:t>.</w:t>
      </w:r>
    </w:p>
    <w:p w14:paraId="7F9010ED" w14:textId="61186011" w:rsidR="004C4B12" w:rsidRDefault="004C4B12" w:rsidP="000520BB">
      <w:pPr>
        <w:pStyle w:val="Normalnumber"/>
        <w:numPr>
          <w:ilvl w:val="0"/>
          <w:numId w:val="0"/>
        </w:numPr>
        <w:ind w:left="1247" w:firstLine="624"/>
      </w:pPr>
      <w:r>
        <w:t>(e)</w:t>
      </w:r>
      <w:r>
        <w:tab/>
        <w:t>Proposals include performance targets (project milestones that show progress towards completing the project outputs and achieving the overall project outcome) that measure the improvement in the capacity of developing</w:t>
      </w:r>
      <w:r w:rsidR="000661F5">
        <w:t>-</w:t>
      </w:r>
      <w:r>
        <w:t xml:space="preserve">country </w:t>
      </w:r>
      <w:r w:rsidR="00242422">
        <w:t>p</w:t>
      </w:r>
      <w:r>
        <w:t xml:space="preserve">arties and </w:t>
      </w:r>
      <w:r w:rsidR="00242422">
        <w:t>p</w:t>
      </w:r>
      <w:r>
        <w:t>arties with economies in transition in implementing their obligations under the Convention</w:t>
      </w:r>
      <w:r w:rsidR="000661F5">
        <w:t>.</w:t>
      </w:r>
    </w:p>
    <w:p w14:paraId="255387AB" w14:textId="45D07EBD" w:rsidR="004C4B12" w:rsidRDefault="004C4B12" w:rsidP="000520BB">
      <w:pPr>
        <w:pStyle w:val="Normalnumber"/>
        <w:numPr>
          <w:ilvl w:val="0"/>
          <w:numId w:val="0"/>
        </w:numPr>
        <w:ind w:left="1247" w:firstLine="624"/>
      </w:pPr>
      <w:r>
        <w:t>(f)</w:t>
      </w:r>
      <w:r>
        <w:tab/>
      </w:r>
      <w:r w:rsidR="0073702E">
        <w:t>There is e</w:t>
      </w:r>
      <w:r>
        <w:t xml:space="preserve">vidence of political commitment </w:t>
      </w:r>
      <w:r w:rsidR="0073702E">
        <w:t>by the</w:t>
      </w:r>
      <w:r>
        <w:t xml:space="preserve"> institution or organization delivering the project</w:t>
      </w:r>
      <w:r w:rsidR="0073702E">
        <w:t>.</w:t>
      </w:r>
    </w:p>
    <w:p w14:paraId="5BB8B8B5" w14:textId="65A704CC" w:rsidR="004C4B12" w:rsidRDefault="004C4B12" w:rsidP="000520BB">
      <w:pPr>
        <w:pStyle w:val="Normalnumber"/>
        <w:numPr>
          <w:ilvl w:val="0"/>
          <w:numId w:val="0"/>
        </w:numPr>
        <w:ind w:left="1247" w:firstLine="624"/>
      </w:pPr>
      <w:r>
        <w:t>(g)</w:t>
      </w:r>
      <w:r>
        <w:tab/>
      </w:r>
      <w:r w:rsidR="0073702E">
        <w:t>There are p</w:t>
      </w:r>
      <w:r>
        <w:t xml:space="preserve">articipation and commitment </w:t>
      </w:r>
      <w:r w:rsidR="0073702E">
        <w:t>by</w:t>
      </w:r>
      <w:r>
        <w:t xml:space="preserve"> partners and other relevant actors, as applicable</w:t>
      </w:r>
      <w:r w:rsidR="0073702E">
        <w:t>.</w:t>
      </w:r>
    </w:p>
    <w:p w14:paraId="16C40042" w14:textId="0AA688A3" w:rsidR="004C4B12" w:rsidRDefault="004C4B12" w:rsidP="000520BB">
      <w:pPr>
        <w:pStyle w:val="Normalnumber"/>
        <w:numPr>
          <w:ilvl w:val="0"/>
          <w:numId w:val="0"/>
        </w:numPr>
        <w:ind w:left="1247" w:firstLine="624"/>
      </w:pPr>
      <w:r>
        <w:t>(h)</w:t>
      </w:r>
      <w:r>
        <w:tab/>
      </w:r>
      <w:r w:rsidR="0073702E">
        <w:t>The c</w:t>
      </w:r>
      <w:r>
        <w:t>ountry status of the applicant, including whether the applicant is a small island developing State or a least developed country</w:t>
      </w:r>
      <w:r w:rsidR="0073702E">
        <w:t>, meets the</w:t>
      </w:r>
      <w:r w:rsidR="000661F5">
        <w:t xml:space="preserve"> established</w:t>
      </w:r>
      <w:r w:rsidR="0073702E">
        <w:t xml:space="preserve"> criteria.</w:t>
      </w:r>
    </w:p>
    <w:p w14:paraId="64D13E92" w14:textId="42713D1E" w:rsidR="004C4B12" w:rsidRDefault="004C4B12" w:rsidP="000520BB">
      <w:pPr>
        <w:pStyle w:val="Normalnumber"/>
        <w:numPr>
          <w:ilvl w:val="0"/>
          <w:numId w:val="0"/>
        </w:numPr>
        <w:ind w:left="1247" w:firstLine="624"/>
      </w:pPr>
      <w:r>
        <w:lastRenderedPageBreak/>
        <w:t>(i)</w:t>
      </w:r>
      <w:r>
        <w:tab/>
      </w:r>
      <w:r w:rsidR="0073702E">
        <w:t>The p</w:t>
      </w:r>
      <w:r>
        <w:t>roject complement</w:t>
      </w:r>
      <w:r w:rsidR="0073702E">
        <w:t>s</w:t>
      </w:r>
      <w:r>
        <w:t xml:space="preserve"> existing arrangements, in particular the GEF, the Special Programme and other existing assistance frameworks, if relevant</w:t>
      </w:r>
      <w:r w:rsidR="0073702E">
        <w:t>.</w:t>
      </w:r>
      <w:r>
        <w:t xml:space="preserve"> </w:t>
      </w:r>
    </w:p>
    <w:p w14:paraId="08C48C5F" w14:textId="495F4B18" w:rsidR="004C4B12" w:rsidRDefault="004C4B12" w:rsidP="000520BB">
      <w:pPr>
        <w:pStyle w:val="Normalnumber"/>
        <w:numPr>
          <w:ilvl w:val="0"/>
          <w:numId w:val="0"/>
        </w:numPr>
        <w:ind w:left="1247" w:firstLine="624"/>
      </w:pPr>
      <w:r>
        <w:t>(j)</w:t>
      </w:r>
      <w:r>
        <w:tab/>
      </w:r>
      <w:r w:rsidR="0073702E">
        <w:t>D</w:t>
      </w:r>
      <w:r>
        <w:t>uplication of projects in the same country</w:t>
      </w:r>
      <w:r w:rsidR="0073702E">
        <w:t xml:space="preserve"> is avoided.</w:t>
      </w:r>
    </w:p>
    <w:p w14:paraId="66C727B3" w14:textId="1CD70EFB" w:rsidR="004C4B12" w:rsidRDefault="004C4B12" w:rsidP="000520BB">
      <w:pPr>
        <w:pStyle w:val="Normalnumber"/>
        <w:numPr>
          <w:ilvl w:val="0"/>
          <w:numId w:val="0"/>
        </w:numPr>
        <w:ind w:left="1247" w:firstLine="624"/>
      </w:pPr>
      <w:r>
        <w:t>(k)</w:t>
      </w:r>
      <w:r>
        <w:tab/>
      </w:r>
      <w:r w:rsidR="0073702E">
        <w:t>T</w:t>
      </w:r>
      <w:r>
        <w:t xml:space="preserve">he project builds </w:t>
      </w:r>
      <w:r w:rsidR="0073702E">
        <w:t xml:space="preserve">appropriately </w:t>
      </w:r>
      <w:r>
        <w:t>on previous initiatives and projects</w:t>
      </w:r>
      <w:r w:rsidR="0073702E">
        <w:t xml:space="preserve"> and</w:t>
      </w:r>
      <w:r>
        <w:t xml:space="preserve"> established mechanisms and draws on lessons learned</w:t>
      </w:r>
      <w:r w:rsidR="0073702E">
        <w:t>.</w:t>
      </w:r>
    </w:p>
    <w:p w14:paraId="31089D26" w14:textId="3EED5545" w:rsidR="004C4B12" w:rsidRDefault="004C4B12" w:rsidP="000520BB">
      <w:pPr>
        <w:pStyle w:val="Normalnumber"/>
        <w:numPr>
          <w:ilvl w:val="0"/>
          <w:numId w:val="0"/>
        </w:numPr>
        <w:ind w:left="1247" w:firstLine="624"/>
      </w:pPr>
      <w:r>
        <w:t>(l)</w:t>
      </w:r>
      <w:r>
        <w:tab/>
      </w:r>
      <w:r w:rsidR="0073702E">
        <w:t>T</w:t>
      </w:r>
      <w:r>
        <w:t xml:space="preserve">he project </w:t>
      </w:r>
      <w:r w:rsidR="0073702E">
        <w:t xml:space="preserve">involves sufficient </w:t>
      </w:r>
      <w:r>
        <w:t>engage</w:t>
      </w:r>
      <w:r w:rsidR="0073702E">
        <w:t>ment</w:t>
      </w:r>
      <w:r>
        <w:t xml:space="preserve"> at the national level and, where applicable, in the regional context</w:t>
      </w:r>
      <w:r w:rsidR="0073702E">
        <w:t>.</w:t>
      </w:r>
    </w:p>
    <w:p w14:paraId="2BC3CE12" w14:textId="6D33F5B4" w:rsidR="004C4B12" w:rsidRDefault="004C4B12" w:rsidP="000520BB">
      <w:pPr>
        <w:pStyle w:val="Normalnumber"/>
        <w:numPr>
          <w:ilvl w:val="0"/>
          <w:numId w:val="0"/>
        </w:numPr>
        <w:ind w:left="1247" w:firstLine="624"/>
      </w:pPr>
      <w:r>
        <w:t>(m)</w:t>
      </w:r>
      <w:r>
        <w:tab/>
      </w:r>
      <w:r w:rsidR="0073702E">
        <w:t>T</w:t>
      </w:r>
      <w:r>
        <w:t>he project is consistent with the integrated approach to financing the sound management of chemicals and waste, as relevant to the implementation of the Convention</w:t>
      </w:r>
      <w:r w:rsidR="0073702E">
        <w:t>.</w:t>
      </w:r>
    </w:p>
    <w:p w14:paraId="5A9A1926" w14:textId="49CA67BB" w:rsidR="004C4B12" w:rsidRDefault="004C4B12" w:rsidP="000520BB">
      <w:pPr>
        <w:pStyle w:val="Normalnumber"/>
        <w:numPr>
          <w:ilvl w:val="0"/>
          <w:numId w:val="0"/>
        </w:numPr>
        <w:ind w:left="1247" w:firstLine="624"/>
      </w:pPr>
      <w:r>
        <w:t>(n)</w:t>
      </w:r>
      <w:r>
        <w:tab/>
      </w:r>
      <w:r w:rsidR="0073702E">
        <w:t>T</w:t>
      </w:r>
      <w:r>
        <w:t xml:space="preserve">he project responds </w:t>
      </w:r>
      <w:r w:rsidR="0073702E">
        <w:t xml:space="preserve">adequately </w:t>
      </w:r>
      <w:r>
        <w:t>to gender considerations</w:t>
      </w:r>
      <w:r w:rsidR="0073702E">
        <w:t>.</w:t>
      </w:r>
      <w:r>
        <w:t xml:space="preserve"> </w:t>
      </w:r>
    </w:p>
    <w:p w14:paraId="41AFE7CD" w14:textId="74FA48AC" w:rsidR="004C4B12" w:rsidRDefault="004C4B12" w:rsidP="000520BB">
      <w:pPr>
        <w:pStyle w:val="Normalnumber"/>
        <w:numPr>
          <w:ilvl w:val="0"/>
          <w:numId w:val="0"/>
        </w:numPr>
        <w:ind w:left="1247" w:firstLine="624"/>
      </w:pPr>
      <w:r>
        <w:t>(o)</w:t>
      </w:r>
      <w:r>
        <w:tab/>
      </w:r>
      <w:r w:rsidR="000661F5">
        <w:t>The p</w:t>
      </w:r>
      <w:r>
        <w:t>roject</w:t>
      </w:r>
      <w:r w:rsidR="000661F5">
        <w:t>’s</w:t>
      </w:r>
      <w:r>
        <w:t xml:space="preserve"> outcome(s) contribute(s) to the Sustainable Development Goals and do</w:t>
      </w:r>
      <w:r w:rsidR="000661F5">
        <w:t>(es)</w:t>
      </w:r>
      <w:r>
        <w:t xml:space="preserve"> not generate adverse environmental or social effects in other areas.</w:t>
      </w:r>
    </w:p>
    <w:p w14:paraId="3CFDCA8A" w14:textId="3D034D30" w:rsidR="004C4B12" w:rsidRDefault="004C4B12" w:rsidP="00F37B67">
      <w:pPr>
        <w:pStyle w:val="Normalnumber"/>
        <w:numPr>
          <w:ilvl w:val="0"/>
          <w:numId w:val="1"/>
        </w:numPr>
        <w:tabs>
          <w:tab w:val="clear" w:pos="1134"/>
        </w:tabs>
      </w:pPr>
      <w:r>
        <w:t xml:space="preserve">Furthermore, the Governing Board noted that in the future, it may also be guided by the following additional criteria in its decision-making on applications: </w:t>
      </w:r>
    </w:p>
    <w:p w14:paraId="52386395" w14:textId="57CF0626" w:rsidR="004C4B12" w:rsidRDefault="004C4B12" w:rsidP="00F37B67">
      <w:pPr>
        <w:pStyle w:val="Normalnumber"/>
        <w:numPr>
          <w:ilvl w:val="0"/>
          <w:numId w:val="0"/>
        </w:numPr>
        <w:ind w:left="1247" w:firstLine="624"/>
      </w:pPr>
      <w:r>
        <w:t>(a)</w:t>
      </w:r>
      <w:r>
        <w:tab/>
        <w:t>Determination of cumulative allocations to a country, based on the contributions received and the needs expressed in the applications submitted within the Specific International Programme;</w:t>
      </w:r>
    </w:p>
    <w:p w14:paraId="464FCD77" w14:textId="03FB092F" w:rsidR="004C4B12" w:rsidRDefault="004C4B12" w:rsidP="00400CDF">
      <w:pPr>
        <w:pStyle w:val="Normalnumber"/>
        <w:numPr>
          <w:ilvl w:val="0"/>
          <w:numId w:val="0"/>
        </w:numPr>
        <w:ind w:left="1247" w:firstLine="624"/>
      </w:pPr>
      <w:r>
        <w:t>(b)</w:t>
      </w:r>
      <w:r>
        <w:tab/>
        <w:t xml:space="preserve">Consideration of reports of earlier projects funded by the </w:t>
      </w:r>
      <w:r w:rsidR="005E4DC7">
        <w:t>Specific International Programm</w:t>
      </w:r>
      <w:r>
        <w:t>e involving the applicant.</w:t>
      </w:r>
    </w:p>
    <w:p w14:paraId="185E6577" w14:textId="4BCD0E4A" w:rsidR="001D15F2" w:rsidRDefault="00D12B1C" w:rsidP="0048336A">
      <w:pPr>
        <w:pStyle w:val="Normalnumber"/>
        <w:numPr>
          <w:ilvl w:val="0"/>
          <w:numId w:val="1"/>
        </w:numPr>
        <w:tabs>
          <w:tab w:val="clear" w:pos="1134"/>
        </w:tabs>
      </w:pPr>
      <w:r>
        <w:t>Based on the outcome of its deliberations on the application, screening and appraisal process, including the agreed criteria, t</w:t>
      </w:r>
      <w:r w:rsidR="001D15F2">
        <w:t xml:space="preserve">he </w:t>
      </w:r>
      <w:r w:rsidR="00FA26DE">
        <w:t>Governing</w:t>
      </w:r>
      <w:r w:rsidR="001D15F2">
        <w:t xml:space="preserve"> Board </w:t>
      </w:r>
      <w:r>
        <w:t xml:space="preserve">agreed </w:t>
      </w:r>
      <w:r w:rsidR="001D15F2">
        <w:t xml:space="preserve">that the secretariat </w:t>
      </w:r>
      <w:r>
        <w:t xml:space="preserve">should </w:t>
      </w:r>
      <w:r w:rsidR="001D15F2">
        <w:t xml:space="preserve">complete the application forms and application guidance </w:t>
      </w:r>
      <w:r w:rsidR="00FA26DE">
        <w:t xml:space="preserve">and ready all </w:t>
      </w:r>
      <w:r>
        <w:t xml:space="preserve">the </w:t>
      </w:r>
      <w:r w:rsidR="00FA26DE">
        <w:t>materials for the</w:t>
      </w:r>
      <w:r w:rsidR="001D15F2">
        <w:t xml:space="preserve"> launch </w:t>
      </w:r>
      <w:r w:rsidR="00E67FA7">
        <w:t xml:space="preserve">of </w:t>
      </w:r>
      <w:r w:rsidR="001D15F2">
        <w:t xml:space="preserve">the first round of applications. </w:t>
      </w:r>
    </w:p>
    <w:p w14:paraId="6FCCD266" w14:textId="01EC7093" w:rsidR="00403F8A" w:rsidRDefault="001D15F2" w:rsidP="0048336A">
      <w:pPr>
        <w:pStyle w:val="Normalnumber"/>
        <w:numPr>
          <w:ilvl w:val="0"/>
          <w:numId w:val="1"/>
        </w:numPr>
        <w:tabs>
          <w:tab w:val="clear" w:pos="1134"/>
        </w:tabs>
      </w:pPr>
      <w:r>
        <w:t xml:space="preserve">The Board also </w:t>
      </w:r>
      <w:r w:rsidR="00D12B1C">
        <w:t>agreed</w:t>
      </w:r>
      <w:r>
        <w:t xml:space="preserve"> th</w:t>
      </w:r>
      <w:r w:rsidR="00FA26DE">
        <w:t xml:space="preserve">at the secretariat </w:t>
      </w:r>
      <w:r w:rsidR="00D12B1C">
        <w:t xml:space="preserve">should </w:t>
      </w:r>
      <w:r w:rsidR="00E67FA7">
        <w:t>conduct</w:t>
      </w:r>
      <w:r w:rsidR="00FA26DE">
        <w:t xml:space="preserve"> the appraisal of the applications and consult with the </w:t>
      </w:r>
      <w:r w:rsidR="003C4F5E">
        <w:t>s</w:t>
      </w:r>
      <w:r w:rsidR="00FA26DE">
        <w:t>ecreta</w:t>
      </w:r>
      <w:r w:rsidR="00E67FA7">
        <w:t>riat of the Global Environment</w:t>
      </w:r>
      <w:r w:rsidR="00FA26DE">
        <w:t xml:space="preserve"> Facility </w:t>
      </w:r>
      <w:r w:rsidR="00EA6923">
        <w:t xml:space="preserve">(GEF) </w:t>
      </w:r>
      <w:r w:rsidR="00FA26DE">
        <w:t xml:space="preserve">and the </w:t>
      </w:r>
      <w:r w:rsidR="003C4F5E">
        <w:t>s</w:t>
      </w:r>
      <w:r w:rsidR="00FA26DE">
        <w:t xml:space="preserve">ecretariat of the Special Programme to ensure complementarity and avoid duplication. </w:t>
      </w:r>
    </w:p>
    <w:p w14:paraId="1A5AD0F9" w14:textId="70561D92" w:rsidR="00FA26DE" w:rsidRPr="00FA26DE" w:rsidRDefault="0083774B" w:rsidP="0083774B">
      <w:pPr>
        <w:pStyle w:val="CH3"/>
      </w:pPr>
      <w:r w:rsidRPr="0083774B">
        <w:tab/>
        <w:t>3.</w:t>
      </w:r>
      <w:r w:rsidRPr="0083774B">
        <w:tab/>
      </w:r>
      <w:r w:rsidR="00FA26DE" w:rsidRPr="0048336A">
        <w:t xml:space="preserve">First </w:t>
      </w:r>
      <w:r w:rsidR="003B16C1" w:rsidRPr="0048336A">
        <w:t>r</w:t>
      </w:r>
      <w:r w:rsidR="00FA26DE" w:rsidRPr="0048336A">
        <w:t xml:space="preserve">ound of applications to the </w:t>
      </w:r>
      <w:r w:rsidR="005E4DC7" w:rsidRPr="0048336A">
        <w:t>Specific International Programme</w:t>
      </w:r>
    </w:p>
    <w:p w14:paraId="2BE0F415" w14:textId="32B957E3" w:rsidR="00FA26DE" w:rsidRDefault="00FA26DE" w:rsidP="0048336A">
      <w:pPr>
        <w:pStyle w:val="Normalnumber"/>
        <w:numPr>
          <w:ilvl w:val="0"/>
          <w:numId w:val="1"/>
        </w:numPr>
        <w:tabs>
          <w:tab w:val="clear" w:pos="1134"/>
        </w:tabs>
      </w:pPr>
      <w:r>
        <w:t xml:space="preserve">Immediately following the </w:t>
      </w:r>
      <w:r w:rsidRPr="00304824">
        <w:t>conclusion of the</w:t>
      </w:r>
      <w:r>
        <w:t xml:space="preserve"> first meeting of the Governing Board, the secretariat finali</w:t>
      </w:r>
      <w:r w:rsidR="003B16C1">
        <w:t>z</w:t>
      </w:r>
      <w:r>
        <w:t xml:space="preserve">ed all materials for the launch of the first round of applications to the Specific International Programme. </w:t>
      </w:r>
    </w:p>
    <w:p w14:paraId="35DEBBCD" w14:textId="0B6D5E09" w:rsidR="00FA26DE" w:rsidRDefault="00FA26DE" w:rsidP="0048336A">
      <w:pPr>
        <w:pStyle w:val="Normalnumber"/>
        <w:numPr>
          <w:ilvl w:val="0"/>
          <w:numId w:val="1"/>
        </w:numPr>
        <w:tabs>
          <w:tab w:val="clear" w:pos="1134"/>
        </w:tabs>
      </w:pPr>
      <w:r>
        <w:t>The first round was launched on Tuesday, 5 June 2018, with a deadline for submission of applications by Friday, 31 August 2018</w:t>
      </w:r>
      <w:r w:rsidR="00E67FA7">
        <w:t xml:space="preserve">, </w:t>
      </w:r>
      <w:r w:rsidR="003B16C1">
        <w:t xml:space="preserve">allowing </w:t>
      </w:r>
      <w:r w:rsidR="00E67FA7">
        <w:t xml:space="preserve">90 days for </w:t>
      </w:r>
      <w:r w:rsidR="00AC6649">
        <w:t xml:space="preserve">the </w:t>
      </w:r>
      <w:r w:rsidR="00E67FA7">
        <w:t>preparation of submissions</w:t>
      </w:r>
      <w:r>
        <w:t xml:space="preserve">. </w:t>
      </w:r>
    </w:p>
    <w:p w14:paraId="684BAA6E" w14:textId="5C6AD0EA" w:rsidR="00FA2022" w:rsidRDefault="00FA26DE" w:rsidP="0048336A">
      <w:pPr>
        <w:pStyle w:val="Normalnumber"/>
        <w:numPr>
          <w:ilvl w:val="0"/>
          <w:numId w:val="1"/>
        </w:numPr>
        <w:tabs>
          <w:tab w:val="clear" w:pos="1134"/>
        </w:tabs>
      </w:pPr>
      <w:r>
        <w:t xml:space="preserve">The announcement of the launch was prominently </w:t>
      </w:r>
      <w:r w:rsidR="003B16C1">
        <w:t xml:space="preserve">placed </w:t>
      </w:r>
      <w:r>
        <w:t xml:space="preserve">on the Minamata Convention website on 5 June 2018 and remained </w:t>
      </w:r>
      <w:r w:rsidR="003B16C1">
        <w:t xml:space="preserve">there </w:t>
      </w:r>
      <w:r>
        <w:t xml:space="preserve">for the duration of the open period. </w:t>
      </w:r>
      <w:r w:rsidR="00FA2022">
        <w:t xml:space="preserve">Prospective </w:t>
      </w:r>
      <w:r w:rsidR="00471735">
        <w:t>applicants</w:t>
      </w:r>
      <w:r w:rsidR="00FA2022">
        <w:t xml:space="preserve"> were </w:t>
      </w:r>
      <w:r w:rsidR="00471735">
        <w:t>able to download the following guidelines and forms</w:t>
      </w:r>
      <w:r w:rsidR="00FA2022">
        <w:t xml:space="preserve">: </w:t>
      </w:r>
    </w:p>
    <w:p w14:paraId="1F08BF7D" w14:textId="03B12A2B" w:rsidR="00FA2022" w:rsidRDefault="003B16C1" w:rsidP="00711B94">
      <w:pPr>
        <w:pStyle w:val="Normalnumber"/>
        <w:numPr>
          <w:ilvl w:val="1"/>
          <w:numId w:val="33"/>
        </w:numPr>
        <w:tabs>
          <w:tab w:val="clear" w:pos="1134"/>
        </w:tabs>
        <w:ind w:firstLine="624"/>
      </w:pPr>
      <w:r>
        <w:t>A</w:t>
      </w:r>
      <w:r w:rsidR="00FA2022">
        <w:t>pplication guidelines</w:t>
      </w:r>
      <w:r w:rsidR="00471735">
        <w:t xml:space="preserve"> for the first round of applications to the </w:t>
      </w:r>
      <w:r w:rsidR="005E4DC7">
        <w:t>Specific International Programm</w:t>
      </w:r>
      <w:r w:rsidR="00471735">
        <w:t>e</w:t>
      </w:r>
      <w:r w:rsidR="00E55A01">
        <w:t xml:space="preserve"> (see UNEP/MC/COP.2</w:t>
      </w:r>
      <w:r w:rsidR="00512F75">
        <w:t>/INF</w:t>
      </w:r>
      <w:r w:rsidR="00AC6649">
        <w:t>/</w:t>
      </w:r>
      <w:r w:rsidR="00512F75">
        <w:t>16)</w:t>
      </w:r>
      <w:r w:rsidR="00AC6649">
        <w:t>;</w:t>
      </w:r>
    </w:p>
    <w:p w14:paraId="55FDEF26" w14:textId="5003C2BD" w:rsidR="00471735" w:rsidRDefault="003B16C1" w:rsidP="00C1570C">
      <w:pPr>
        <w:pStyle w:val="Normalnumber"/>
        <w:numPr>
          <w:ilvl w:val="1"/>
          <w:numId w:val="33"/>
        </w:numPr>
        <w:tabs>
          <w:tab w:val="clear" w:pos="1134"/>
        </w:tabs>
        <w:ind w:firstLine="624"/>
      </w:pPr>
      <w:r>
        <w:t>A</w:t>
      </w:r>
      <w:r w:rsidR="00FA2022">
        <w:t>pplic</w:t>
      </w:r>
      <w:r w:rsidR="00E67FA7">
        <w:t>ation f</w:t>
      </w:r>
      <w:r w:rsidR="00471735">
        <w:t>o</w:t>
      </w:r>
      <w:r w:rsidR="00E67FA7">
        <w:t>r</w:t>
      </w:r>
      <w:r w:rsidR="00471735">
        <w:t>m IA (project proposal summary)</w:t>
      </w:r>
      <w:r w:rsidR="00AC6649">
        <w:t>;</w:t>
      </w:r>
      <w:r w:rsidR="00471735">
        <w:t xml:space="preserve"> </w:t>
      </w:r>
    </w:p>
    <w:p w14:paraId="0FEE1F1D" w14:textId="6B93DC23" w:rsidR="00471735" w:rsidRDefault="003B16C1" w:rsidP="00C1570C">
      <w:pPr>
        <w:pStyle w:val="Normalnumber"/>
        <w:numPr>
          <w:ilvl w:val="1"/>
          <w:numId w:val="33"/>
        </w:numPr>
        <w:tabs>
          <w:tab w:val="clear" w:pos="1134"/>
        </w:tabs>
        <w:ind w:firstLine="624"/>
      </w:pPr>
      <w:r>
        <w:t>A</w:t>
      </w:r>
      <w:r w:rsidR="00471735">
        <w:t>pplication form IB (project description)</w:t>
      </w:r>
      <w:r w:rsidR="00AC6649">
        <w:t>;</w:t>
      </w:r>
    </w:p>
    <w:p w14:paraId="1D047FF5" w14:textId="682CA646" w:rsidR="00471735" w:rsidRDefault="003B16C1" w:rsidP="00C1570C">
      <w:pPr>
        <w:pStyle w:val="Normalnumber"/>
        <w:numPr>
          <w:ilvl w:val="1"/>
          <w:numId w:val="33"/>
        </w:numPr>
        <w:tabs>
          <w:tab w:val="clear" w:pos="1134"/>
        </w:tabs>
        <w:ind w:firstLine="624"/>
      </w:pPr>
      <w:r>
        <w:t>A</w:t>
      </w:r>
      <w:r w:rsidR="00471735">
        <w:t>pplication form II (project budget)</w:t>
      </w:r>
      <w:r w:rsidR="00AC6649">
        <w:t>.</w:t>
      </w:r>
    </w:p>
    <w:p w14:paraId="1B3794BA" w14:textId="7FC91F6D" w:rsidR="00FA26DE" w:rsidRDefault="00FA26DE" w:rsidP="00400CDF">
      <w:pPr>
        <w:pStyle w:val="Normalnumber"/>
        <w:numPr>
          <w:ilvl w:val="0"/>
          <w:numId w:val="1"/>
        </w:numPr>
        <w:tabs>
          <w:tab w:val="clear" w:pos="1134"/>
        </w:tabs>
      </w:pPr>
      <w:r>
        <w:t xml:space="preserve">The </w:t>
      </w:r>
      <w:r w:rsidR="00EA6923">
        <w:t>launch of</w:t>
      </w:r>
      <w:r w:rsidR="00471735">
        <w:t xml:space="preserve"> the first round </w:t>
      </w:r>
      <w:r w:rsidR="0043548F">
        <w:t>of</w:t>
      </w:r>
      <w:r w:rsidR="00471735">
        <w:t xml:space="preserve"> applications </w:t>
      </w:r>
      <w:r w:rsidR="003D7069">
        <w:t xml:space="preserve">was also </w:t>
      </w:r>
      <w:r w:rsidR="00EA6923">
        <w:t>widely publicized</w:t>
      </w:r>
      <w:r w:rsidR="003D7069">
        <w:t xml:space="preserve"> </w:t>
      </w:r>
      <w:r w:rsidR="003D7069" w:rsidRPr="00EA6923">
        <w:t>through a</w:t>
      </w:r>
      <w:r w:rsidR="00EA6923" w:rsidRPr="00EA6923">
        <w:t xml:space="preserve">n </w:t>
      </w:r>
      <w:r w:rsidR="003D7069" w:rsidRPr="00EA6923">
        <w:t xml:space="preserve">email </w:t>
      </w:r>
      <w:r w:rsidR="00EA6923" w:rsidRPr="00400CDF">
        <w:t>broadcast</w:t>
      </w:r>
      <w:r w:rsidR="00E67FA7" w:rsidRPr="00EA6923">
        <w:t xml:space="preserve"> by the secretariat that</w:t>
      </w:r>
      <w:r w:rsidR="00FA2022" w:rsidRPr="00EA6923">
        <w:t xml:space="preserve"> includ</w:t>
      </w:r>
      <w:r w:rsidR="00EA6923" w:rsidRPr="00EA6923">
        <w:t>ed</w:t>
      </w:r>
      <w:r w:rsidR="00FA2022" w:rsidRPr="00EA6923">
        <w:t xml:space="preserve"> the</w:t>
      </w:r>
      <w:r w:rsidR="003D7069" w:rsidRPr="00EA6923">
        <w:t xml:space="preserve"> </w:t>
      </w:r>
      <w:r w:rsidR="00713DAC" w:rsidRPr="00EA6923">
        <w:t>n</w:t>
      </w:r>
      <w:r w:rsidR="00FA2022" w:rsidRPr="00EA6923">
        <w:t xml:space="preserve">ational </w:t>
      </w:r>
      <w:r w:rsidR="00713DAC" w:rsidRPr="00EA6923">
        <w:t>f</w:t>
      </w:r>
      <w:r w:rsidR="003D7069" w:rsidRPr="00EA6923">
        <w:t xml:space="preserve">ocal </w:t>
      </w:r>
      <w:r w:rsidR="00713DAC" w:rsidRPr="00447AC6">
        <w:t>p</w:t>
      </w:r>
      <w:r w:rsidR="003D7069" w:rsidRPr="00C917BC">
        <w:t xml:space="preserve">oints of the Minamata </w:t>
      </w:r>
      <w:r w:rsidR="00FA2022" w:rsidRPr="00EA6923">
        <w:t>Co</w:t>
      </w:r>
      <w:r w:rsidR="00FA2022">
        <w:t>nvention</w:t>
      </w:r>
      <w:r w:rsidR="003D7069">
        <w:t xml:space="preserve">, </w:t>
      </w:r>
      <w:r w:rsidR="00AC6649">
        <w:t xml:space="preserve">participants in </w:t>
      </w:r>
      <w:r w:rsidR="003D7069">
        <w:t xml:space="preserve">the first meeting of </w:t>
      </w:r>
      <w:r w:rsidR="003D7069" w:rsidRPr="00AC6649">
        <w:t xml:space="preserve">the Conference of Parties, </w:t>
      </w:r>
      <w:r w:rsidR="00FA2022" w:rsidRPr="00AC6649">
        <w:t xml:space="preserve">the </w:t>
      </w:r>
      <w:r w:rsidR="00713DAC" w:rsidRPr="00400CDF">
        <w:t>national</w:t>
      </w:r>
      <w:r w:rsidR="00FA2022" w:rsidRPr="00400CDF">
        <w:t xml:space="preserve"> </w:t>
      </w:r>
      <w:r w:rsidR="00713DAC" w:rsidRPr="00400CDF">
        <w:t>f</w:t>
      </w:r>
      <w:r w:rsidR="003D7069" w:rsidRPr="00400CDF">
        <w:t xml:space="preserve">ocal </w:t>
      </w:r>
      <w:r w:rsidR="00713DAC" w:rsidRPr="00400CDF">
        <w:t>p</w:t>
      </w:r>
      <w:r w:rsidR="003D7069" w:rsidRPr="00400CDF">
        <w:t>oints of the United</w:t>
      </w:r>
      <w:r w:rsidR="000D31ED">
        <w:t> </w:t>
      </w:r>
      <w:r w:rsidR="003D7069" w:rsidRPr="00400CDF">
        <w:t>Nations Environment Programme</w:t>
      </w:r>
      <w:r w:rsidR="00EA6923" w:rsidRPr="00EA6923">
        <w:t>, and</w:t>
      </w:r>
      <w:r w:rsidR="00DF5255" w:rsidRPr="00EA6923">
        <w:t xml:space="preserve"> </w:t>
      </w:r>
      <w:r w:rsidR="00723F5D" w:rsidRPr="00EA6923">
        <w:t xml:space="preserve">regional officers dealing with the chemicals agenda, </w:t>
      </w:r>
      <w:r w:rsidR="003D7069" w:rsidRPr="00EA6923">
        <w:t xml:space="preserve">as well as </w:t>
      </w:r>
      <w:r w:rsidR="00FA2022" w:rsidRPr="00EA6923">
        <w:t>through</w:t>
      </w:r>
      <w:r w:rsidR="003D7069" w:rsidRPr="00EA6923">
        <w:t xml:space="preserve"> the special communications of the Executive Secretary. The </w:t>
      </w:r>
      <w:r w:rsidR="00FA2022" w:rsidRPr="00EA6923">
        <w:t>announcement</w:t>
      </w:r>
      <w:r w:rsidR="003D7069" w:rsidRPr="00EA6923">
        <w:t xml:space="preserve"> was also reiterated at the </w:t>
      </w:r>
      <w:r w:rsidR="00FA2022" w:rsidRPr="00EA6923">
        <w:t>regular</w:t>
      </w:r>
      <w:r w:rsidR="003D7069" w:rsidRPr="00EA6923">
        <w:t xml:space="preserve"> </w:t>
      </w:r>
      <w:r w:rsidR="00FA2022" w:rsidRPr="00EA6923">
        <w:t>chem</w:t>
      </w:r>
      <w:r w:rsidR="00FA2022">
        <w:t>icals</w:t>
      </w:r>
      <w:r w:rsidR="003D7069">
        <w:t xml:space="preserve"> and waste briefing</w:t>
      </w:r>
      <w:r w:rsidR="0043548F">
        <w:t>s</w:t>
      </w:r>
      <w:r w:rsidR="003D7069">
        <w:t xml:space="preserve"> held in Geneva</w:t>
      </w:r>
      <w:r w:rsidR="00E67FA7">
        <w:t xml:space="preserve"> on </w:t>
      </w:r>
      <w:r w:rsidR="00874CDF">
        <w:t>12 June 2018</w:t>
      </w:r>
      <w:r w:rsidR="003D7069">
        <w:t xml:space="preserve">, </w:t>
      </w:r>
      <w:r w:rsidR="00713DAC">
        <w:t xml:space="preserve">at </w:t>
      </w:r>
      <w:r w:rsidR="003D7069">
        <w:t xml:space="preserve">meetings of the Mercury Group of the Inter-Organization </w:t>
      </w:r>
      <w:r w:rsidR="00FA2022">
        <w:t>Programme</w:t>
      </w:r>
      <w:r w:rsidR="003D7069">
        <w:t xml:space="preserve"> for the Sound Management of </w:t>
      </w:r>
      <w:r w:rsidR="00FA2022">
        <w:t>Chemicals</w:t>
      </w:r>
      <w:r w:rsidR="003D7069">
        <w:t xml:space="preserve"> and at the Bureau meetings of the </w:t>
      </w:r>
      <w:r w:rsidR="00FA2022">
        <w:t>Basel</w:t>
      </w:r>
      <w:r w:rsidR="003D7069">
        <w:t xml:space="preserve">, Rotterdam and </w:t>
      </w:r>
      <w:r w:rsidR="00FA2022">
        <w:t>Stockholm</w:t>
      </w:r>
      <w:r w:rsidR="003D7069">
        <w:t xml:space="preserve"> conventions</w:t>
      </w:r>
      <w:r w:rsidR="00874CDF">
        <w:t xml:space="preserve"> to which the secretariat </w:t>
      </w:r>
      <w:r w:rsidR="00EA6923">
        <w:t xml:space="preserve">of the Minamata Convention </w:t>
      </w:r>
      <w:r w:rsidR="00874CDF">
        <w:t>was invited</w:t>
      </w:r>
      <w:r w:rsidR="003D7069">
        <w:t xml:space="preserve">. Between June and </w:t>
      </w:r>
      <w:r w:rsidR="00FA2022">
        <w:t>August,</w:t>
      </w:r>
      <w:r w:rsidR="003D7069">
        <w:t xml:space="preserve"> the secretariat </w:t>
      </w:r>
      <w:r w:rsidR="00FA2022">
        <w:t>responded</w:t>
      </w:r>
      <w:r w:rsidR="003D7069">
        <w:t xml:space="preserve"> to </w:t>
      </w:r>
      <w:r w:rsidR="00EA6923">
        <w:t>numerous</w:t>
      </w:r>
      <w:r w:rsidR="003D7069">
        <w:t xml:space="preserve"> </w:t>
      </w:r>
      <w:r w:rsidR="00FA2022">
        <w:t>queries</w:t>
      </w:r>
      <w:r w:rsidR="003D7069">
        <w:t xml:space="preserve">, </w:t>
      </w:r>
      <w:r w:rsidR="00FA2022">
        <w:t>mostly</w:t>
      </w:r>
      <w:r w:rsidR="003D7069">
        <w:t xml:space="preserve"> related to eligibility</w:t>
      </w:r>
      <w:r w:rsidR="0066671A">
        <w:t xml:space="preserve"> for</w:t>
      </w:r>
      <w:r w:rsidR="003D7069">
        <w:t xml:space="preserve"> the Specific International </w:t>
      </w:r>
      <w:r w:rsidR="00FA2022">
        <w:t>Programme</w:t>
      </w:r>
      <w:r w:rsidR="003D7069">
        <w:t xml:space="preserve">. </w:t>
      </w:r>
    </w:p>
    <w:p w14:paraId="350EFEAA" w14:textId="77777777" w:rsidR="000520BB" w:rsidRDefault="00471735" w:rsidP="00BB39E9">
      <w:pPr>
        <w:pStyle w:val="Normalnumber"/>
        <w:numPr>
          <w:ilvl w:val="0"/>
          <w:numId w:val="1"/>
        </w:numPr>
        <w:tabs>
          <w:tab w:val="clear" w:pos="1134"/>
        </w:tabs>
      </w:pPr>
      <w:r>
        <w:lastRenderedPageBreak/>
        <w:t xml:space="preserve">By 31 August 2018, a </w:t>
      </w:r>
      <w:r w:rsidR="003D7069">
        <w:t xml:space="preserve">total </w:t>
      </w:r>
      <w:r>
        <w:t xml:space="preserve">of </w:t>
      </w:r>
      <w:r w:rsidR="003D7069">
        <w:t xml:space="preserve">19 applications </w:t>
      </w:r>
      <w:r w:rsidR="0066671A">
        <w:t xml:space="preserve">had been </w:t>
      </w:r>
      <w:r w:rsidR="003D7069">
        <w:t xml:space="preserve">received from 18 parties. </w:t>
      </w:r>
      <w:r w:rsidR="00FA2022">
        <w:t>Information</w:t>
      </w:r>
      <w:r w:rsidR="003D7069">
        <w:t xml:space="preserve"> on the regions and </w:t>
      </w:r>
      <w:r w:rsidR="00EA6923">
        <w:t>economic status</w:t>
      </w:r>
      <w:r w:rsidR="003D7069">
        <w:t xml:space="preserve"> of countries from which applications were received is provided in annex III to the present note. </w:t>
      </w:r>
    </w:p>
    <w:p w14:paraId="3BEF614C" w14:textId="6E0E48E2" w:rsidR="003D7069" w:rsidRDefault="003D7069" w:rsidP="00BB39E9">
      <w:pPr>
        <w:pStyle w:val="Normalnumber"/>
        <w:numPr>
          <w:ilvl w:val="0"/>
          <w:numId w:val="1"/>
        </w:numPr>
        <w:tabs>
          <w:tab w:val="clear" w:pos="1134"/>
        </w:tabs>
      </w:pPr>
      <w:r>
        <w:t xml:space="preserve">The secretariat is screening, reviewing and </w:t>
      </w:r>
      <w:r w:rsidR="00FA2022">
        <w:t>appraising</w:t>
      </w:r>
      <w:r>
        <w:t xml:space="preserve"> the</w:t>
      </w:r>
      <w:r w:rsidR="00471735">
        <w:t>se</w:t>
      </w:r>
      <w:r>
        <w:t xml:space="preserve"> applications and consulting with the </w:t>
      </w:r>
      <w:r w:rsidR="00EA6923">
        <w:t xml:space="preserve">GEF </w:t>
      </w:r>
      <w:r w:rsidR="0066671A">
        <w:t>s</w:t>
      </w:r>
      <w:r>
        <w:t xml:space="preserve">ecretariat and the </w:t>
      </w:r>
      <w:r w:rsidR="0066671A">
        <w:t>s</w:t>
      </w:r>
      <w:r w:rsidR="00FA2022">
        <w:t>ecretariat</w:t>
      </w:r>
      <w:r>
        <w:t xml:space="preserve"> of the Special Programme</w:t>
      </w:r>
      <w:r w:rsidR="0066671A">
        <w:t>,</w:t>
      </w:r>
      <w:r>
        <w:t xml:space="preserve"> as requested </w:t>
      </w:r>
      <w:r w:rsidR="00874CDF">
        <w:t>by</w:t>
      </w:r>
      <w:r>
        <w:t xml:space="preserve"> the </w:t>
      </w:r>
      <w:r w:rsidR="00FA2022">
        <w:t>Governing</w:t>
      </w:r>
      <w:r>
        <w:t xml:space="preserve"> Board. </w:t>
      </w:r>
    </w:p>
    <w:p w14:paraId="76991F52" w14:textId="0D39C9D7" w:rsidR="003D7069" w:rsidRDefault="003D7069" w:rsidP="00BB39E9">
      <w:pPr>
        <w:pStyle w:val="Normalnumber"/>
        <w:numPr>
          <w:ilvl w:val="0"/>
          <w:numId w:val="1"/>
        </w:numPr>
        <w:tabs>
          <w:tab w:val="clear" w:pos="1134"/>
        </w:tabs>
      </w:pPr>
      <w:r>
        <w:t xml:space="preserve">The second meeting of the </w:t>
      </w:r>
      <w:r w:rsidR="00FA2022">
        <w:t>Governing</w:t>
      </w:r>
      <w:r>
        <w:t xml:space="preserve"> </w:t>
      </w:r>
      <w:r w:rsidR="00FA2022">
        <w:t>Board</w:t>
      </w:r>
      <w:r w:rsidR="00874CDF">
        <w:t xml:space="preserve"> is </w:t>
      </w:r>
      <w:r w:rsidR="00DF5255">
        <w:t>to be held in Oslo</w:t>
      </w:r>
      <w:r w:rsidR="00471735">
        <w:t xml:space="preserve">, </w:t>
      </w:r>
      <w:r w:rsidR="00874CDF">
        <w:t>at the invitation of the Norwegian Government</w:t>
      </w:r>
      <w:r w:rsidR="00DF5255">
        <w:t>, on 2 and 3 October 2018</w:t>
      </w:r>
      <w:r w:rsidR="00874CDF">
        <w:t>. At th</w:t>
      </w:r>
      <w:r w:rsidR="0066671A">
        <w:t>at</w:t>
      </w:r>
      <w:r w:rsidR="00874CDF">
        <w:t xml:space="preserve"> meeting</w:t>
      </w:r>
      <w:r w:rsidR="0066671A">
        <w:t>,</w:t>
      </w:r>
      <w:r w:rsidR="00874CDF">
        <w:t xml:space="preserve"> the Governing Board </w:t>
      </w:r>
      <w:r w:rsidR="00FA2022">
        <w:t>will review the eligible applications a</w:t>
      </w:r>
      <w:r w:rsidR="00471735">
        <w:t>nd</w:t>
      </w:r>
      <w:r w:rsidR="0066671A">
        <w:t>,</w:t>
      </w:r>
      <w:r w:rsidR="00471735">
        <w:t xml:space="preserve"> </w:t>
      </w:r>
      <w:r w:rsidR="00DF31A8">
        <w:t>based on the criteria it approved</w:t>
      </w:r>
      <w:r w:rsidR="0066671A">
        <w:t>,</w:t>
      </w:r>
      <w:r w:rsidR="00DF31A8">
        <w:t xml:space="preserve"> select and </w:t>
      </w:r>
      <w:r w:rsidR="00471735">
        <w:t>approve applications</w:t>
      </w:r>
      <w:r w:rsidR="00FA2022">
        <w:t xml:space="preserve"> subject to the availability of funds.</w:t>
      </w:r>
    </w:p>
    <w:p w14:paraId="66639E91" w14:textId="7D00FF44" w:rsidR="00FA2022" w:rsidRDefault="00FA2022" w:rsidP="00BB39E9">
      <w:pPr>
        <w:pStyle w:val="Normalnumber"/>
        <w:numPr>
          <w:ilvl w:val="0"/>
          <w:numId w:val="1"/>
        </w:numPr>
        <w:tabs>
          <w:tab w:val="clear" w:pos="1134"/>
        </w:tabs>
      </w:pPr>
      <w:r>
        <w:t>The outcome of the second meeting of the Governing Board will be transmitted to the Conference of Parties</w:t>
      </w:r>
      <w:r w:rsidR="0066671A">
        <w:t xml:space="preserve"> at its second meeting</w:t>
      </w:r>
      <w:r>
        <w:t xml:space="preserve">. </w:t>
      </w:r>
    </w:p>
    <w:p w14:paraId="6E3E9E3E" w14:textId="17120C05" w:rsidR="00FA2022" w:rsidRPr="00FA2022" w:rsidRDefault="0083774B" w:rsidP="0083774B">
      <w:pPr>
        <w:pStyle w:val="CH3"/>
      </w:pPr>
      <w:r w:rsidRPr="0083774B">
        <w:tab/>
        <w:t>4.</w:t>
      </w:r>
      <w:r w:rsidRPr="0083774B">
        <w:tab/>
      </w:r>
      <w:r w:rsidR="00FA2022" w:rsidRPr="00400CDF">
        <w:t xml:space="preserve">Resource </w:t>
      </w:r>
      <w:r w:rsidR="0066671A" w:rsidRPr="00400CDF">
        <w:t>m</w:t>
      </w:r>
      <w:r w:rsidR="00FA2022" w:rsidRPr="00400CDF">
        <w:t xml:space="preserve">obilization </w:t>
      </w:r>
      <w:r w:rsidR="0066671A" w:rsidRPr="00400CDF">
        <w:t>s</w:t>
      </w:r>
      <w:r w:rsidR="00FA2022" w:rsidRPr="00400CDF">
        <w:t>trategy for</w:t>
      </w:r>
      <w:r w:rsidR="00FA2022" w:rsidRPr="0083774B">
        <w:t xml:space="preserve"> the </w:t>
      </w:r>
      <w:r w:rsidR="005E4DC7" w:rsidRPr="0083774B">
        <w:t>Specific International Programme</w:t>
      </w:r>
    </w:p>
    <w:p w14:paraId="4B76FAA4" w14:textId="7E971282" w:rsidR="00366DBE" w:rsidRDefault="0066671A" w:rsidP="00400CDF">
      <w:pPr>
        <w:pStyle w:val="Normalnumber"/>
        <w:numPr>
          <w:ilvl w:val="0"/>
          <w:numId w:val="1"/>
        </w:numPr>
        <w:tabs>
          <w:tab w:val="clear" w:pos="1134"/>
        </w:tabs>
      </w:pPr>
      <w:r>
        <w:t>P</w:t>
      </w:r>
      <w:r w:rsidR="00366DBE">
        <w:t xml:space="preserve">aragraph 10 of </w:t>
      </w:r>
      <w:r w:rsidR="00D35B39">
        <w:t xml:space="preserve">annex I of </w:t>
      </w:r>
      <w:r w:rsidR="00D35B39" w:rsidRPr="00B734CE">
        <w:t>decision MC-</w:t>
      </w:r>
      <w:r w:rsidR="00D35B39">
        <w:t>1/6</w:t>
      </w:r>
      <w:r>
        <w:t xml:space="preserve"> stipulates</w:t>
      </w:r>
      <w:r w:rsidR="00D35B39">
        <w:t xml:space="preserve"> that </w:t>
      </w:r>
      <w:r>
        <w:t xml:space="preserve">the secretariat should develop </w:t>
      </w:r>
      <w:r w:rsidR="00D35B39">
        <w:t xml:space="preserve">a resource </w:t>
      </w:r>
      <w:r w:rsidR="00366DBE">
        <w:t>mobilization</w:t>
      </w:r>
      <w:r w:rsidR="00D35B39">
        <w:t xml:space="preserve"> strategy </w:t>
      </w:r>
      <w:r w:rsidR="00366DBE">
        <w:t>in consultation with the Governing Board with a view to attract</w:t>
      </w:r>
      <w:r>
        <w:t>ing</w:t>
      </w:r>
      <w:r w:rsidR="00366DBE">
        <w:t xml:space="preserve"> a broad range of donors, build</w:t>
      </w:r>
      <w:r w:rsidR="00484BDA">
        <w:t>ing</w:t>
      </w:r>
      <w:r w:rsidR="00366DBE">
        <w:t xml:space="preserve"> on lessons learned in other areas. It </w:t>
      </w:r>
      <w:r w:rsidR="00484BDA">
        <w:t>also indicates</w:t>
      </w:r>
      <w:r w:rsidR="00874CDF">
        <w:t xml:space="preserve"> </w:t>
      </w:r>
      <w:r w:rsidR="00366DBE">
        <w:t>that the strategy should include approaches whose purpose is to leverage resources, including in-kind resources, from non-State actors. Paragraph 11 add</w:t>
      </w:r>
      <w:r w:rsidR="00484BDA">
        <w:t>s</w:t>
      </w:r>
      <w:r w:rsidR="00366DBE">
        <w:t xml:space="preserve"> that other </w:t>
      </w:r>
      <w:r w:rsidR="00874CDF">
        <w:t xml:space="preserve">sources of </w:t>
      </w:r>
      <w:r w:rsidR="00366DBE">
        <w:t xml:space="preserve">resources for the Specific International Programme </w:t>
      </w:r>
      <w:r w:rsidR="00484BDA">
        <w:t xml:space="preserve">may be leveraged </w:t>
      </w:r>
      <w:r w:rsidR="00366DBE">
        <w:t>through coordination with other relevant programmes and initiatives, including (a) linkages with exist</w:t>
      </w:r>
      <w:r w:rsidR="00874CDF">
        <w:t>ing</w:t>
      </w:r>
      <w:r w:rsidR="00366DBE">
        <w:t xml:space="preserve"> programmes and initiatives to see</w:t>
      </w:r>
      <w:r w:rsidR="00484BDA">
        <w:t>k</w:t>
      </w:r>
      <w:r w:rsidR="00366DBE">
        <w:t xml:space="preserve"> co-benefits were possible</w:t>
      </w:r>
      <w:r w:rsidR="004C35C1">
        <w:t>,</w:t>
      </w:r>
      <w:r w:rsidR="00366DBE">
        <w:t xml:space="preserve"> and (b) promoting and leveraging partnerships and collaboration as appropriate, building on lessons learned from other conventions. </w:t>
      </w:r>
    </w:p>
    <w:p w14:paraId="5890288E" w14:textId="62FF7AEA" w:rsidR="00CE5459" w:rsidRDefault="00B31DCB" w:rsidP="00400CDF">
      <w:pPr>
        <w:pStyle w:val="Normalnumber"/>
        <w:numPr>
          <w:ilvl w:val="0"/>
          <w:numId w:val="1"/>
        </w:numPr>
        <w:tabs>
          <w:tab w:val="clear" w:pos="1134"/>
        </w:tabs>
      </w:pPr>
      <w:r>
        <w:t xml:space="preserve">To begin the task of </w:t>
      </w:r>
      <w:r w:rsidR="00484BDA">
        <w:t xml:space="preserve">developing </w:t>
      </w:r>
      <w:r>
        <w:t>th</w:t>
      </w:r>
      <w:r w:rsidR="00484BDA">
        <w:t>e</w:t>
      </w:r>
      <w:r>
        <w:t xml:space="preserve"> strategy, the secretariat prepared a discussion paper for the first meeting of the Governing Board. The discussion paper </w:t>
      </w:r>
      <w:r w:rsidR="00484BDA">
        <w:t>was</w:t>
      </w:r>
      <w:r>
        <w:t xml:space="preserve"> in four sections: the first detail</w:t>
      </w:r>
      <w:r w:rsidR="00484BDA">
        <w:t>ed</w:t>
      </w:r>
      <w:r>
        <w:t xml:space="preserve"> the provisions for the Specific </w:t>
      </w:r>
      <w:r w:rsidR="00CE5459">
        <w:t>International</w:t>
      </w:r>
      <w:r>
        <w:t xml:space="preserve"> </w:t>
      </w:r>
      <w:r w:rsidR="00DF5255">
        <w:t>P</w:t>
      </w:r>
      <w:r>
        <w:t>rogramme</w:t>
      </w:r>
      <w:r w:rsidR="00484BDA">
        <w:t>,</w:t>
      </w:r>
      <w:r>
        <w:t xml:space="preserve"> </w:t>
      </w:r>
      <w:r w:rsidR="00484BDA">
        <w:t>t</w:t>
      </w:r>
      <w:r>
        <w:t>he second discusse</w:t>
      </w:r>
      <w:r w:rsidR="00484BDA">
        <w:t>d</w:t>
      </w:r>
      <w:r>
        <w:t xml:space="preserve"> the raising of resources for the </w:t>
      </w:r>
      <w:r w:rsidR="00DF5255">
        <w:t>P</w:t>
      </w:r>
      <w:r>
        <w:t>rogramme</w:t>
      </w:r>
      <w:r w:rsidR="00484BDA">
        <w:t>,</w:t>
      </w:r>
      <w:r>
        <w:t xml:space="preserve"> </w:t>
      </w:r>
      <w:r w:rsidR="00484BDA">
        <w:t>t</w:t>
      </w:r>
      <w:r>
        <w:t>he third outline</w:t>
      </w:r>
      <w:r w:rsidR="00484BDA">
        <w:t>d</w:t>
      </w:r>
      <w:r>
        <w:t xml:space="preserve"> the conceptual elements constituting a resource mobili</w:t>
      </w:r>
      <w:r w:rsidR="00484BDA">
        <w:t>z</w:t>
      </w:r>
      <w:r>
        <w:t xml:space="preserve">ation strategy </w:t>
      </w:r>
      <w:r w:rsidR="00484BDA">
        <w:t>a</w:t>
      </w:r>
      <w:r>
        <w:t xml:space="preserve">nd the fourth, which </w:t>
      </w:r>
      <w:r w:rsidR="00874CDF">
        <w:t>was</w:t>
      </w:r>
      <w:r>
        <w:t xml:space="preserve"> for core consideration by the </w:t>
      </w:r>
      <w:r w:rsidR="00CE5459">
        <w:t>Governing</w:t>
      </w:r>
      <w:r>
        <w:t xml:space="preserve"> </w:t>
      </w:r>
      <w:r w:rsidR="00CE5459">
        <w:t>Board</w:t>
      </w:r>
      <w:r>
        <w:t>, set out 10 areas of further discussion needed within th</w:t>
      </w:r>
      <w:r w:rsidR="00CE5459">
        <w:t>e</w:t>
      </w:r>
      <w:r>
        <w:t xml:space="preserve"> </w:t>
      </w:r>
      <w:r w:rsidR="00CE5459">
        <w:t>Governing</w:t>
      </w:r>
      <w:r>
        <w:t xml:space="preserve"> </w:t>
      </w:r>
      <w:r w:rsidR="00874CDF">
        <w:t>B</w:t>
      </w:r>
      <w:r w:rsidR="00CE5459">
        <w:t xml:space="preserve">oard to shape the strategy. </w:t>
      </w:r>
    </w:p>
    <w:p w14:paraId="27754747" w14:textId="3F6E2BB4" w:rsidR="00B31DCB" w:rsidRDefault="00484BDA" w:rsidP="00400CDF">
      <w:pPr>
        <w:pStyle w:val="Normalnumber"/>
        <w:numPr>
          <w:ilvl w:val="0"/>
          <w:numId w:val="1"/>
        </w:numPr>
        <w:tabs>
          <w:tab w:val="clear" w:pos="1134"/>
        </w:tabs>
      </w:pPr>
      <w:r>
        <w:t>D</w:t>
      </w:r>
      <w:r w:rsidR="00CE5459">
        <w:t>etailed discussion of the resource mobili</w:t>
      </w:r>
      <w:r>
        <w:t>z</w:t>
      </w:r>
      <w:r w:rsidR="00CE5459">
        <w:t xml:space="preserve">ation strategy was deferred, as the first meeting of the Governing Board was devoted to </w:t>
      </w:r>
      <w:r w:rsidR="00602CB8">
        <w:t>addressing</w:t>
      </w:r>
      <w:r w:rsidR="00CE5459">
        <w:t xml:space="preserve"> the rules of procedure and matters </w:t>
      </w:r>
      <w:r w:rsidR="00C51DE0">
        <w:t xml:space="preserve">required </w:t>
      </w:r>
      <w:r w:rsidR="00CE5459">
        <w:t xml:space="preserve">to allow the immediate launch of the first round of applications. </w:t>
      </w:r>
    </w:p>
    <w:p w14:paraId="286A4795" w14:textId="5FF01F82" w:rsidR="00CE5459" w:rsidRPr="00CE5459" w:rsidRDefault="0083774B" w:rsidP="0083774B">
      <w:pPr>
        <w:pStyle w:val="CH1"/>
      </w:pPr>
      <w:r>
        <w:tab/>
        <w:t>V.</w:t>
      </w:r>
      <w:r>
        <w:tab/>
      </w:r>
      <w:r w:rsidR="00CE5459" w:rsidRPr="00CE5459">
        <w:t>Review of the financial mechanism of the Minamata Convention on Mercury</w:t>
      </w:r>
    </w:p>
    <w:p w14:paraId="6C600DFA" w14:textId="40C2E339" w:rsidR="005C0022" w:rsidRPr="001B36F7" w:rsidRDefault="00072949" w:rsidP="00400CDF">
      <w:pPr>
        <w:pStyle w:val="Normalnumber"/>
        <w:numPr>
          <w:ilvl w:val="0"/>
          <w:numId w:val="1"/>
        </w:numPr>
        <w:tabs>
          <w:tab w:val="clear" w:pos="1134"/>
        </w:tabs>
      </w:pPr>
      <w:r>
        <w:t>P</w:t>
      </w:r>
      <w:r w:rsidR="00CE5459" w:rsidRPr="00CE5459">
        <w:t xml:space="preserve">aragraph 11 of article 13 of the Convention </w:t>
      </w:r>
      <w:r>
        <w:t>stipulates that</w:t>
      </w:r>
      <w:r w:rsidR="00CE5459" w:rsidRPr="00CE5459">
        <w:t xml:space="preserve"> the Conference of the Parties </w:t>
      </w:r>
      <w:r w:rsidR="00DF5255">
        <w:t xml:space="preserve">is to </w:t>
      </w:r>
      <w:r w:rsidR="00CE5459" w:rsidRPr="00CE5459">
        <w:t>review, no later than at its third meeting, and thereafter on a regular basis, the level of funding</w:t>
      </w:r>
      <w:r w:rsidR="00602CB8">
        <w:t xml:space="preserve"> and</w:t>
      </w:r>
      <w:r w:rsidR="00CE5459" w:rsidRPr="00CE5459">
        <w:t xml:space="preserve"> the</w:t>
      </w:r>
      <w:r w:rsidR="00CE5459">
        <w:rPr>
          <w:bCs/>
        </w:rPr>
        <w:t xml:space="preserve"> guidance provided by the Conference of the Parties to the entities entrusted to operationali</w:t>
      </w:r>
      <w:r>
        <w:rPr>
          <w:bCs/>
        </w:rPr>
        <w:t>z</w:t>
      </w:r>
      <w:r w:rsidR="00CE5459">
        <w:rPr>
          <w:bCs/>
        </w:rPr>
        <w:t xml:space="preserve">e the </w:t>
      </w:r>
      <w:r>
        <w:rPr>
          <w:bCs/>
        </w:rPr>
        <w:t>m</w:t>
      </w:r>
      <w:r w:rsidR="00CE5459">
        <w:rPr>
          <w:bCs/>
        </w:rPr>
        <w:t xml:space="preserve">echanism under the article. The review </w:t>
      </w:r>
      <w:r w:rsidR="00DF5255">
        <w:rPr>
          <w:bCs/>
        </w:rPr>
        <w:t>is</w:t>
      </w:r>
      <w:r w:rsidR="00602CB8">
        <w:rPr>
          <w:bCs/>
        </w:rPr>
        <w:t xml:space="preserve"> also</w:t>
      </w:r>
      <w:r w:rsidR="00DF5255">
        <w:rPr>
          <w:bCs/>
        </w:rPr>
        <w:t xml:space="preserve"> to</w:t>
      </w:r>
      <w:r w:rsidR="00602CB8">
        <w:rPr>
          <w:bCs/>
        </w:rPr>
        <w:t xml:space="preserve"> </w:t>
      </w:r>
      <w:r w:rsidR="00CE5459">
        <w:rPr>
          <w:bCs/>
        </w:rPr>
        <w:t>consider the effectiveness</w:t>
      </w:r>
      <w:r w:rsidR="00602CB8">
        <w:rPr>
          <w:bCs/>
        </w:rPr>
        <w:t xml:space="preserve"> of those entities</w:t>
      </w:r>
      <w:r w:rsidR="00CE5459">
        <w:rPr>
          <w:bCs/>
        </w:rPr>
        <w:t xml:space="preserve"> and their ability to address the changing needs of developing</w:t>
      </w:r>
      <w:r w:rsidR="000661F5">
        <w:rPr>
          <w:bCs/>
        </w:rPr>
        <w:t>-</w:t>
      </w:r>
      <w:r w:rsidR="00CE5459">
        <w:rPr>
          <w:bCs/>
        </w:rPr>
        <w:t xml:space="preserve">country </w:t>
      </w:r>
      <w:r w:rsidR="00602CB8">
        <w:rPr>
          <w:bCs/>
        </w:rPr>
        <w:t>p</w:t>
      </w:r>
      <w:r w:rsidR="00CE5459">
        <w:rPr>
          <w:bCs/>
        </w:rPr>
        <w:t xml:space="preserve">arties and </w:t>
      </w:r>
      <w:r w:rsidR="00602CB8">
        <w:rPr>
          <w:bCs/>
        </w:rPr>
        <w:t>p</w:t>
      </w:r>
      <w:r w:rsidR="00CE5459">
        <w:rPr>
          <w:bCs/>
        </w:rPr>
        <w:t xml:space="preserve">arties with economies in transition. Based on </w:t>
      </w:r>
      <w:r w:rsidR="00602CB8">
        <w:rPr>
          <w:bCs/>
        </w:rPr>
        <w:t>the</w:t>
      </w:r>
      <w:r w:rsidR="00CE5459">
        <w:rPr>
          <w:bCs/>
        </w:rPr>
        <w:t xml:space="preserve"> review, the Conference </w:t>
      </w:r>
      <w:r w:rsidR="00602CB8">
        <w:rPr>
          <w:bCs/>
        </w:rPr>
        <w:t xml:space="preserve">of the Parties </w:t>
      </w:r>
      <w:r w:rsidR="005E4DC7">
        <w:rPr>
          <w:bCs/>
        </w:rPr>
        <w:t>will</w:t>
      </w:r>
      <w:r w:rsidR="00602CB8">
        <w:rPr>
          <w:bCs/>
        </w:rPr>
        <w:t xml:space="preserve"> </w:t>
      </w:r>
      <w:r w:rsidR="00602CB8" w:rsidRPr="00EA6923">
        <w:rPr>
          <w:bCs/>
        </w:rPr>
        <w:t xml:space="preserve">then </w:t>
      </w:r>
      <w:r w:rsidR="00CE5459" w:rsidRPr="00EA6923">
        <w:rPr>
          <w:bCs/>
        </w:rPr>
        <w:t>take appropriate action to improve the effectiveness of the financial mechanism.</w:t>
      </w:r>
      <w:r w:rsidR="003712B9">
        <w:rPr>
          <w:bCs/>
        </w:rPr>
        <w:t xml:space="preserve"> </w:t>
      </w:r>
    </w:p>
    <w:p w14:paraId="18BC7B88" w14:textId="5CA2711B" w:rsidR="005C0022" w:rsidRPr="00711B94" w:rsidRDefault="005C0022" w:rsidP="00C1570C">
      <w:pPr>
        <w:pStyle w:val="BBTitle"/>
        <w:spacing w:before="360" w:after="120"/>
      </w:pPr>
      <w:r w:rsidRPr="00711B94">
        <w:t>Suggested action by the Conference of the Parties</w:t>
      </w:r>
      <w:r w:rsidR="00C31BD6" w:rsidRPr="00711B94">
        <w:t xml:space="preserve"> </w:t>
      </w:r>
    </w:p>
    <w:p w14:paraId="3E0AC1CA" w14:textId="0E36D51C" w:rsidR="005C0022" w:rsidRDefault="00756D60" w:rsidP="000520BB">
      <w:pPr>
        <w:pStyle w:val="Normalnumber"/>
        <w:numPr>
          <w:ilvl w:val="0"/>
          <w:numId w:val="1"/>
        </w:numPr>
        <w:tabs>
          <w:tab w:val="clear" w:pos="1134"/>
        </w:tabs>
      </w:pPr>
      <w:r>
        <w:t xml:space="preserve">The Conference of the Parties may wish to consider the outstanding paragraph </w:t>
      </w:r>
      <w:r w:rsidR="00072949">
        <w:t xml:space="preserve">concerning non-parties’ eligibility for funding </w:t>
      </w:r>
      <w:r>
        <w:t xml:space="preserve">in </w:t>
      </w:r>
      <w:r w:rsidR="00874CDF">
        <w:t>annex I to decision MC-1/6 on the h</w:t>
      </w:r>
      <w:r>
        <w:t>osting arrangements, guidance on the ope</w:t>
      </w:r>
      <w:r w:rsidR="005D5A7B">
        <w:t>rations of and duration of the Specific International P</w:t>
      </w:r>
      <w:r>
        <w:t>rogramme. The Conference may further wish to consider the outstanding matter</w:t>
      </w:r>
      <w:r w:rsidR="00874CDF">
        <w:t xml:space="preserve"> in annex II to decision MC-1/6 on</w:t>
      </w:r>
      <w:r>
        <w:t xml:space="preserve"> the terms of reference of the Specific </w:t>
      </w:r>
      <w:r w:rsidR="00612F58">
        <w:t>International</w:t>
      </w:r>
      <w:r w:rsidR="005D5A7B">
        <w:t xml:space="preserve"> P</w:t>
      </w:r>
      <w:r>
        <w:t xml:space="preserve">rogramme, where paragraph 1 refers to the Governing Board </w:t>
      </w:r>
      <w:r w:rsidR="00874CDF">
        <w:t xml:space="preserve">consisting of 10 members </w:t>
      </w:r>
      <w:r w:rsidR="00072949">
        <w:t>“</w:t>
      </w:r>
      <w:r w:rsidR="00874CDF">
        <w:t>from</w:t>
      </w:r>
      <w:r w:rsidR="00072949">
        <w:t>”</w:t>
      </w:r>
      <w:r w:rsidR="00874CDF">
        <w:t xml:space="preserve"> or </w:t>
      </w:r>
      <w:r w:rsidR="00072949">
        <w:t>“</w:t>
      </w:r>
      <w:r w:rsidR="00874CDF">
        <w:t>nominated by</w:t>
      </w:r>
      <w:r w:rsidR="00072949">
        <w:t>”</w:t>
      </w:r>
      <w:r w:rsidR="00874CDF">
        <w:t xml:space="preserve"> </w:t>
      </w:r>
      <w:r w:rsidR="008D676F">
        <w:t>p</w:t>
      </w:r>
      <w:r w:rsidR="00874CDF">
        <w:t>arties.</w:t>
      </w:r>
    </w:p>
    <w:p w14:paraId="1280C748" w14:textId="0F93DB8D" w:rsidR="0083774B" w:rsidRDefault="00756D60" w:rsidP="00C1570C">
      <w:pPr>
        <w:pStyle w:val="Normalnumber"/>
        <w:numPr>
          <w:ilvl w:val="0"/>
          <w:numId w:val="1"/>
        </w:numPr>
        <w:tabs>
          <w:tab w:val="clear" w:pos="1134"/>
        </w:tabs>
        <w:sectPr w:rsidR="0083774B" w:rsidSect="00400C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r>
        <w:t xml:space="preserve">In </w:t>
      </w:r>
      <w:r w:rsidR="00DF5255">
        <w:t xml:space="preserve">the </w:t>
      </w:r>
      <w:r w:rsidRPr="00711B94">
        <w:rPr>
          <w:bCs/>
        </w:rPr>
        <w:t xml:space="preserve">light of the requirement </w:t>
      </w:r>
      <w:r w:rsidR="00DD28EB" w:rsidRPr="00711B94">
        <w:rPr>
          <w:bCs/>
        </w:rPr>
        <w:t xml:space="preserve">in the Convention </w:t>
      </w:r>
      <w:r w:rsidRPr="00711B94">
        <w:rPr>
          <w:bCs/>
        </w:rPr>
        <w:t>that the Conference of the Parties review</w:t>
      </w:r>
      <w:r w:rsidR="005D5A7B" w:rsidRPr="009C529F">
        <w:rPr>
          <w:bCs/>
        </w:rPr>
        <w:t xml:space="preserve"> the financial mechanism established under article 13</w:t>
      </w:r>
      <w:r w:rsidR="0053235C" w:rsidRPr="009C529F">
        <w:rPr>
          <w:bCs/>
        </w:rPr>
        <w:t xml:space="preserve"> no later than at its third meeting</w:t>
      </w:r>
      <w:r w:rsidR="005D5A7B" w:rsidRPr="009C529F">
        <w:rPr>
          <w:bCs/>
        </w:rPr>
        <w:t xml:space="preserve">, the </w:t>
      </w:r>
      <w:r w:rsidRPr="009C529F">
        <w:rPr>
          <w:bCs/>
        </w:rPr>
        <w:t xml:space="preserve">Conference </w:t>
      </w:r>
      <w:r w:rsidR="0053235C" w:rsidRPr="009C529F">
        <w:rPr>
          <w:bCs/>
        </w:rPr>
        <w:t xml:space="preserve">of the Parties </w:t>
      </w:r>
      <w:r w:rsidRPr="009C529F">
        <w:rPr>
          <w:bCs/>
        </w:rPr>
        <w:t xml:space="preserve">may wish to </w:t>
      </w:r>
      <w:r w:rsidR="005D5A7B" w:rsidRPr="009C529F">
        <w:rPr>
          <w:bCs/>
        </w:rPr>
        <w:t xml:space="preserve">identify at its second meeting how the </w:t>
      </w:r>
      <w:r w:rsidR="005E4DC7" w:rsidRPr="009C529F">
        <w:rPr>
          <w:bCs/>
        </w:rPr>
        <w:t xml:space="preserve">Specific International Programme </w:t>
      </w:r>
      <w:r w:rsidR="005D5A7B" w:rsidRPr="009C529F">
        <w:rPr>
          <w:bCs/>
        </w:rPr>
        <w:t xml:space="preserve">component of that review </w:t>
      </w:r>
      <w:r w:rsidR="00072BEF" w:rsidRPr="009C529F">
        <w:rPr>
          <w:bCs/>
        </w:rPr>
        <w:t>might</w:t>
      </w:r>
      <w:r w:rsidR="005D5A7B" w:rsidRPr="009C529F">
        <w:rPr>
          <w:bCs/>
        </w:rPr>
        <w:t xml:space="preserve"> be undertaken</w:t>
      </w:r>
      <w:r w:rsidR="0053235C" w:rsidRPr="009C529F">
        <w:rPr>
          <w:bCs/>
        </w:rPr>
        <w:t xml:space="preserve"> and</w:t>
      </w:r>
      <w:r w:rsidR="005D5A7B" w:rsidRPr="009C529F">
        <w:rPr>
          <w:bCs/>
        </w:rPr>
        <w:t xml:space="preserve"> </w:t>
      </w:r>
      <w:r w:rsidRPr="009C529F">
        <w:rPr>
          <w:bCs/>
        </w:rPr>
        <w:t>the information required for such a review</w:t>
      </w:r>
      <w:r w:rsidR="00DD28EB" w:rsidRPr="009C529F">
        <w:rPr>
          <w:bCs/>
        </w:rPr>
        <w:t>,</w:t>
      </w:r>
      <w:r w:rsidR="0053235C" w:rsidRPr="009C529F">
        <w:rPr>
          <w:bCs/>
        </w:rPr>
        <w:t xml:space="preserve"> and</w:t>
      </w:r>
      <w:r w:rsidRPr="009C529F">
        <w:rPr>
          <w:bCs/>
        </w:rPr>
        <w:t xml:space="preserve"> </w:t>
      </w:r>
      <w:r w:rsidR="00DD28EB" w:rsidRPr="009C529F">
        <w:rPr>
          <w:bCs/>
        </w:rPr>
        <w:t xml:space="preserve">to </w:t>
      </w:r>
      <w:r w:rsidRPr="009C529F">
        <w:rPr>
          <w:bCs/>
        </w:rPr>
        <w:t xml:space="preserve">request the Governing Board, the secretariat of the Minamata Convention and others, as necessary, to provide the information </w:t>
      </w:r>
      <w:r w:rsidR="0053235C" w:rsidRPr="009C529F">
        <w:rPr>
          <w:bCs/>
        </w:rPr>
        <w:t xml:space="preserve">required </w:t>
      </w:r>
      <w:r w:rsidRPr="009C529F">
        <w:rPr>
          <w:bCs/>
        </w:rPr>
        <w:t>for consider</w:t>
      </w:r>
      <w:r w:rsidR="0053235C" w:rsidRPr="009C529F">
        <w:rPr>
          <w:bCs/>
        </w:rPr>
        <w:t>ation of the matter</w:t>
      </w:r>
      <w:r w:rsidRPr="009C529F">
        <w:rPr>
          <w:bCs/>
        </w:rPr>
        <w:t xml:space="preserve"> at its third meeting.</w:t>
      </w:r>
      <w:r w:rsidR="005F2AF3">
        <w:br w:type="page"/>
      </w:r>
    </w:p>
    <w:p w14:paraId="5438182F" w14:textId="38388A9D" w:rsidR="00950A8C" w:rsidRPr="007C0AC9" w:rsidRDefault="00950A8C" w:rsidP="0083774B">
      <w:pPr>
        <w:pStyle w:val="ZZAnxheader"/>
      </w:pPr>
      <w:r>
        <w:lastRenderedPageBreak/>
        <w:t>Annex I</w:t>
      </w:r>
    </w:p>
    <w:p w14:paraId="5815A264" w14:textId="7C21B9BA" w:rsidR="00950A8C" w:rsidRPr="007C0AC9" w:rsidRDefault="0083774B" w:rsidP="0083774B">
      <w:pPr>
        <w:pStyle w:val="CH1"/>
      </w:pPr>
      <w:r w:rsidRPr="0083774B">
        <w:tab/>
      </w:r>
      <w:r w:rsidRPr="0083774B">
        <w:tab/>
      </w:r>
      <w:r w:rsidR="00775DB2" w:rsidRPr="00400CDF">
        <w:t xml:space="preserve">Paragraph </w:t>
      </w:r>
      <w:r w:rsidR="0035477F" w:rsidRPr="00400CDF">
        <w:t>6 of annex I to MC-1/6 setting out the hosting arrangements, guidance on the operations and duration of the Specific International Programme</w:t>
      </w:r>
      <w:r w:rsidR="00950A8C" w:rsidRPr="007C0AC9">
        <w:t xml:space="preserve"> </w:t>
      </w:r>
    </w:p>
    <w:p w14:paraId="746200C1" w14:textId="0455D79B" w:rsidR="00CC6AAB" w:rsidRPr="00CC6AAB" w:rsidRDefault="00CC6AAB" w:rsidP="005D137A">
      <w:pPr>
        <w:pStyle w:val="Normalnumber"/>
        <w:numPr>
          <w:ilvl w:val="0"/>
          <w:numId w:val="29"/>
        </w:numPr>
        <w:pBdr>
          <w:top w:val="nil"/>
          <w:left w:val="nil"/>
          <w:bottom w:val="nil"/>
          <w:right w:val="nil"/>
          <w:between w:val="nil"/>
          <w:bar w:val="nil"/>
        </w:pBdr>
        <w:tabs>
          <w:tab w:val="left" w:pos="1276"/>
        </w:tabs>
      </w:pPr>
      <w:r w:rsidRPr="00CC6AAB">
        <w:t xml:space="preserve">[Non-parties are not eligible to apply for funding but can participate in some activities undertaken by the specific international programme upon invitation by a </w:t>
      </w:r>
      <w:r w:rsidR="00FD65A0">
        <w:t>p</w:t>
      </w:r>
      <w:r w:rsidRPr="00CC6AAB">
        <w:t>arty, on a case-by-case basis.]</w:t>
      </w:r>
    </w:p>
    <w:p w14:paraId="78CF671B" w14:textId="6C3CF740" w:rsidR="0035477F" w:rsidRPr="0007122C" w:rsidRDefault="00CC6AAB" w:rsidP="005D137A">
      <w:pPr>
        <w:pStyle w:val="Brdtext"/>
        <w:pBdr>
          <w:top w:val="nil"/>
          <w:left w:val="nil"/>
          <w:bottom w:val="nil"/>
          <w:right w:val="nil"/>
          <w:between w:val="nil"/>
          <w:bar w:val="nil"/>
        </w:pBdr>
        <w:tabs>
          <w:tab w:val="clear" w:pos="1247"/>
          <w:tab w:val="left" w:pos="624"/>
          <w:tab w:val="left" w:pos="1276"/>
          <w:tab w:val="left" w:pos="1418"/>
          <w:tab w:val="left" w:pos="1871"/>
          <w:tab w:val="left" w:pos="3119"/>
        </w:tabs>
        <w:spacing w:after="120"/>
        <w:ind w:left="1247"/>
        <w:rPr>
          <w:color w:val="auto"/>
          <w:sz w:val="20"/>
          <w:szCs w:val="20"/>
        </w:rPr>
      </w:pPr>
      <w:r w:rsidRPr="003E6972">
        <w:rPr>
          <w:rStyle w:val="Inget"/>
          <w:color w:val="auto"/>
          <w:sz w:val="20"/>
          <w:szCs w:val="20"/>
        </w:rPr>
        <w:t>[6. alt S</w:t>
      </w:r>
      <w:r w:rsidRPr="003E6972">
        <w:rPr>
          <w:rStyle w:val="Inget"/>
          <w:sz w:val="20"/>
          <w:szCs w:val="20"/>
        </w:rPr>
        <w:t>ignatories to the</w:t>
      </w:r>
      <w:r w:rsidRPr="003E6972">
        <w:rPr>
          <w:rStyle w:val="Inget"/>
          <w:color w:val="auto"/>
          <w:sz w:val="20"/>
          <w:szCs w:val="20"/>
        </w:rPr>
        <w:t xml:space="preserve"> Convention </w:t>
      </w:r>
      <w:r w:rsidRPr="003E6972">
        <w:rPr>
          <w:rStyle w:val="Inget"/>
          <w:sz w:val="20"/>
          <w:szCs w:val="20"/>
        </w:rPr>
        <w:t>are eligible for funding from</w:t>
      </w:r>
      <w:r w:rsidRPr="003E6972">
        <w:rPr>
          <w:rStyle w:val="Inget"/>
          <w:color w:val="auto"/>
          <w:sz w:val="20"/>
          <w:szCs w:val="20"/>
        </w:rPr>
        <w:t xml:space="preserve"> the specific international programme </w:t>
      </w:r>
      <w:r w:rsidRPr="003E6972">
        <w:rPr>
          <w:rStyle w:val="Inget"/>
          <w:sz w:val="20"/>
          <w:szCs w:val="20"/>
        </w:rPr>
        <w:t>for technical assistance and capacity-building activities, provided that any such signatory is taking meaningful steps</w:t>
      </w:r>
      <w:r w:rsidRPr="003E6972">
        <w:rPr>
          <w:rStyle w:val="Inget"/>
          <w:color w:val="auto"/>
          <w:sz w:val="20"/>
          <w:szCs w:val="20"/>
        </w:rPr>
        <w:t xml:space="preserve"> towards </w:t>
      </w:r>
      <w:r w:rsidRPr="003E6972">
        <w:rPr>
          <w:rStyle w:val="Inget"/>
          <w:sz w:val="20"/>
          <w:szCs w:val="20"/>
        </w:rPr>
        <w:t>becoming a</w:t>
      </w:r>
      <w:r w:rsidRPr="003E6972">
        <w:rPr>
          <w:rStyle w:val="Inget"/>
          <w:color w:val="auto"/>
          <w:sz w:val="20"/>
          <w:szCs w:val="20"/>
        </w:rPr>
        <w:t xml:space="preserve"> </w:t>
      </w:r>
      <w:r w:rsidR="00FD65A0">
        <w:rPr>
          <w:rStyle w:val="Inget"/>
          <w:color w:val="auto"/>
          <w:sz w:val="20"/>
          <w:szCs w:val="20"/>
        </w:rPr>
        <w:t>p</w:t>
      </w:r>
      <w:r w:rsidRPr="003E6972">
        <w:rPr>
          <w:rStyle w:val="Inget"/>
          <w:sz w:val="20"/>
          <w:szCs w:val="20"/>
        </w:rPr>
        <w:t>arty as evidenced by a letter from the relevant minister to the</w:t>
      </w:r>
      <w:r w:rsidRPr="003E6972">
        <w:rPr>
          <w:rStyle w:val="Inget"/>
          <w:color w:val="auto"/>
          <w:sz w:val="20"/>
          <w:szCs w:val="20"/>
        </w:rPr>
        <w:t xml:space="preserve"> Executive Director </w:t>
      </w:r>
      <w:r w:rsidRPr="003E6972">
        <w:rPr>
          <w:rStyle w:val="Inget"/>
          <w:sz w:val="20"/>
          <w:szCs w:val="20"/>
        </w:rPr>
        <w:t>of</w:t>
      </w:r>
      <w:r w:rsidRPr="003E6972">
        <w:rPr>
          <w:rStyle w:val="Inget"/>
          <w:color w:val="auto"/>
          <w:sz w:val="20"/>
          <w:szCs w:val="20"/>
        </w:rPr>
        <w:t xml:space="preserve"> the United Nations Environment Programme.]</w:t>
      </w:r>
    </w:p>
    <w:p w14:paraId="010A863B" w14:textId="34F8A41B" w:rsidR="0035477F" w:rsidRPr="0035477F" w:rsidRDefault="0083774B" w:rsidP="0083774B">
      <w:pPr>
        <w:pStyle w:val="CH1"/>
      </w:pPr>
      <w:r w:rsidRPr="0083774B">
        <w:tab/>
      </w:r>
      <w:r w:rsidRPr="0083774B">
        <w:tab/>
      </w:r>
      <w:r w:rsidR="0035477F" w:rsidRPr="00400CDF">
        <w:t>Paragraph 1 of the terms of reference of the Specific International Programme, as contained in annex II to MC-1/6 on the Specific International Programme</w:t>
      </w:r>
    </w:p>
    <w:p w14:paraId="0DA2284C" w14:textId="77777777" w:rsidR="0007122C" w:rsidRPr="003E6972" w:rsidRDefault="0007122C" w:rsidP="005D137A">
      <w:pPr>
        <w:pStyle w:val="Normalnumber"/>
        <w:numPr>
          <w:ilvl w:val="0"/>
          <w:numId w:val="0"/>
        </w:numPr>
        <w:ind w:left="1247"/>
        <w:jc w:val="both"/>
        <w:rPr>
          <w:u w:color="FF0000"/>
        </w:rPr>
      </w:pPr>
      <w:r w:rsidRPr="003E6972">
        <w:rPr>
          <w:u w:color="FF0000"/>
        </w:rPr>
        <w:t>1.</w:t>
      </w:r>
      <w:r w:rsidRPr="003E6972">
        <w:rPr>
          <w:u w:color="FF0000"/>
        </w:rPr>
        <w:tab/>
        <w:t>The Governing Board of the specific international programme (hereinafter “SIP Governing Board”) shall consist of 10 members [from] [nominated by] parties. Each of the five United Nations regions shall nominate two members through their respective Bureau representatives.</w:t>
      </w:r>
    </w:p>
    <w:p w14:paraId="1BCBCC99" w14:textId="77777777" w:rsidR="005F7DAB" w:rsidRDefault="005F7DAB" w:rsidP="00587F60">
      <w:pPr>
        <w:pStyle w:val="Normal-pool"/>
      </w:pPr>
      <w:r>
        <w:br w:type="page"/>
      </w:r>
    </w:p>
    <w:p w14:paraId="652272A1" w14:textId="3371475F" w:rsidR="00765151" w:rsidRPr="00F60645" w:rsidRDefault="00765151" w:rsidP="00F60645">
      <w:pPr>
        <w:pStyle w:val="ZZAnxheader"/>
      </w:pPr>
      <w:r>
        <w:lastRenderedPageBreak/>
        <w:t>Annex II</w:t>
      </w:r>
    </w:p>
    <w:p w14:paraId="4FD1A581" w14:textId="71C5475C" w:rsidR="005F7DAB" w:rsidRPr="007F649D" w:rsidRDefault="005F7DAB" w:rsidP="00F60645">
      <w:pPr>
        <w:pStyle w:val="ZZAnxtitle"/>
      </w:pPr>
      <w:r w:rsidRPr="007F649D">
        <w:t xml:space="preserve">Rules of procedure </w:t>
      </w:r>
      <w:r>
        <w:t xml:space="preserve">of the </w:t>
      </w:r>
      <w:r w:rsidRPr="007F649D">
        <w:t xml:space="preserve">Governing Board of the Specific International Programme of the Minamata Convention on Mercury </w:t>
      </w:r>
    </w:p>
    <w:p w14:paraId="4977154E" w14:textId="13AEE28D" w:rsidR="005F7DAB" w:rsidRDefault="00F60645" w:rsidP="00F60645">
      <w:pPr>
        <w:pStyle w:val="CH1"/>
      </w:pPr>
      <w:r>
        <w:tab/>
        <w:t>I.</w:t>
      </w:r>
      <w:r>
        <w:tab/>
      </w:r>
      <w:r w:rsidR="005F7DAB" w:rsidRPr="00BD7B01">
        <w:t>Objective</w:t>
      </w:r>
    </w:p>
    <w:p w14:paraId="78792B52" w14:textId="300139EC" w:rsidR="005F7DAB" w:rsidRDefault="00F60645" w:rsidP="00F60645">
      <w:pPr>
        <w:pStyle w:val="CH3"/>
      </w:pPr>
      <w:r>
        <w:tab/>
      </w:r>
      <w:r>
        <w:tab/>
      </w:r>
      <w:r w:rsidR="005F7DAB" w:rsidRPr="00BD7B01">
        <w:t>Rule 1</w:t>
      </w:r>
    </w:p>
    <w:p w14:paraId="5B7FEEC2" w14:textId="4EC49485"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pPr>
      <w:r w:rsidRPr="00BD7B01">
        <w:t xml:space="preserve">The present rules of </w:t>
      </w:r>
      <w:r w:rsidRPr="00C339BD">
        <w:t>procedure s</w:t>
      </w:r>
      <w:r w:rsidRPr="00BD7B01">
        <w:t>hall apply to the Governing Board of the Specific International Programme to support capacity-building and technical assistance of the Minamata Convention on Mercury.</w:t>
      </w:r>
    </w:p>
    <w:p w14:paraId="12F5DBE3" w14:textId="7A88087F" w:rsidR="005F7DAB" w:rsidRDefault="00F60645" w:rsidP="00F60645">
      <w:pPr>
        <w:pStyle w:val="CH1"/>
      </w:pPr>
      <w:r>
        <w:tab/>
      </w:r>
      <w:r w:rsidR="005F7DAB" w:rsidRPr="00BD7B01">
        <w:t>II.</w:t>
      </w:r>
      <w:r>
        <w:tab/>
      </w:r>
      <w:r w:rsidR="005F7DAB" w:rsidRPr="00BD7B01">
        <w:t>Definitions</w:t>
      </w:r>
    </w:p>
    <w:p w14:paraId="7D01582C" w14:textId="1F039B2A" w:rsidR="005F7DAB" w:rsidRDefault="00BA372C" w:rsidP="00BA372C">
      <w:pPr>
        <w:pStyle w:val="CH3"/>
      </w:pPr>
      <w:r>
        <w:tab/>
      </w:r>
      <w:r>
        <w:tab/>
      </w:r>
      <w:r w:rsidR="005F7DAB" w:rsidRPr="00BD7B01">
        <w:t>Rule 2</w:t>
      </w:r>
    </w:p>
    <w:p w14:paraId="5D29B19C" w14:textId="77777777" w:rsidR="00B23ECE" w:rsidRPr="00CD246F" w:rsidRDefault="00C80834" w:rsidP="00400CDF">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
          <w:bCs/>
          <w:color w:val="000000" w:themeColor="text1"/>
        </w:rPr>
      </w:pPr>
      <w:r w:rsidRPr="00CD246F">
        <w:rPr>
          <w:rFonts w:asciiTheme="majorBidi" w:hAnsiTheme="majorBidi" w:cstheme="majorBidi"/>
          <w:bCs/>
        </w:rPr>
        <w:t>For the purpose of the present rules:</w:t>
      </w:r>
    </w:p>
    <w:p w14:paraId="664C6AD6" w14:textId="13ADDFF0" w:rsidR="00C80834" w:rsidRPr="00CD246F" w:rsidRDefault="00C80834" w:rsidP="003712B9">
      <w:pPr>
        <w:pStyle w:val="Normalnumber"/>
        <w:numPr>
          <w:ilvl w:val="1"/>
          <w:numId w:val="35"/>
        </w:numPr>
        <w:tabs>
          <w:tab w:val="clear" w:pos="1134"/>
        </w:tabs>
        <w:ind w:firstLine="624"/>
      </w:pPr>
      <w:r w:rsidRPr="00CD246F">
        <w:rPr>
          <w:color w:val="000000" w:themeColor="text1"/>
        </w:rPr>
        <w:t xml:space="preserve">“Convention” means the Minamata </w:t>
      </w:r>
      <w:r w:rsidRPr="00CD246F">
        <w:t>Convention on Mercury, adopted at Kumamoto, Japan, on 10 October 2013</w:t>
      </w:r>
      <w:r w:rsidR="00B23ECE" w:rsidRPr="00CD246F">
        <w:t>.</w:t>
      </w:r>
    </w:p>
    <w:p w14:paraId="1CAB8902" w14:textId="1074B443" w:rsidR="00C80834" w:rsidRPr="00CD246F" w:rsidRDefault="00C80834" w:rsidP="003712B9">
      <w:pPr>
        <w:pStyle w:val="Normalnumber"/>
        <w:numPr>
          <w:ilvl w:val="1"/>
          <w:numId w:val="35"/>
        </w:numPr>
        <w:tabs>
          <w:tab w:val="clear" w:pos="1134"/>
        </w:tabs>
        <w:ind w:firstLine="624"/>
      </w:pPr>
      <w:r w:rsidRPr="00CD246F">
        <w:t>“Party” means a party as defined in article 2 (g) of the Convention</w:t>
      </w:r>
      <w:r w:rsidR="00B23ECE" w:rsidRPr="00CD246F">
        <w:t>.</w:t>
      </w:r>
    </w:p>
    <w:p w14:paraId="7BB3CF77" w14:textId="365A5B88" w:rsidR="00C80834" w:rsidRPr="00CD246F" w:rsidRDefault="00C80834" w:rsidP="003712B9">
      <w:pPr>
        <w:pStyle w:val="Normalnumber"/>
        <w:numPr>
          <w:ilvl w:val="1"/>
          <w:numId w:val="35"/>
        </w:numPr>
        <w:tabs>
          <w:tab w:val="clear" w:pos="1134"/>
        </w:tabs>
        <w:ind w:firstLine="624"/>
      </w:pPr>
      <w:r w:rsidRPr="00CD246F">
        <w:t>[“Signatory” means one of the States and regional economic integration organizations that signed the Minamata Convention on Mercury at Kumamoto, Japan, on 10 and 11</w:t>
      </w:r>
      <w:r w:rsidR="00E009C7" w:rsidRPr="00CD246F">
        <w:t> </w:t>
      </w:r>
      <w:r w:rsidRPr="00CD246F">
        <w:t>October 2013, and, thereafter, at United Nations Headquarters in New York until 9 October 2014</w:t>
      </w:r>
      <w:r w:rsidR="00B23ECE" w:rsidRPr="00CD246F">
        <w:t>.</w:t>
      </w:r>
      <w:r w:rsidRPr="00CD246F">
        <w:t xml:space="preserve">] </w:t>
      </w:r>
    </w:p>
    <w:p w14:paraId="3C2AFBD8" w14:textId="0D7B01C4" w:rsidR="00C80834" w:rsidRPr="00CD246F" w:rsidRDefault="00C80834" w:rsidP="003712B9">
      <w:pPr>
        <w:pStyle w:val="Normalnumber"/>
        <w:numPr>
          <w:ilvl w:val="1"/>
          <w:numId w:val="35"/>
        </w:numPr>
        <w:tabs>
          <w:tab w:val="clear" w:pos="1134"/>
        </w:tabs>
        <w:ind w:firstLine="624"/>
      </w:pPr>
      <w:r w:rsidRPr="00CD246F">
        <w:t>“Conference of the Parties” means the Conference of the Parties established by article 23 of the Convention</w:t>
      </w:r>
      <w:r w:rsidR="00B23ECE" w:rsidRPr="00CD246F">
        <w:t>.</w:t>
      </w:r>
      <w:r w:rsidRPr="00CD246F">
        <w:t xml:space="preserve"> </w:t>
      </w:r>
    </w:p>
    <w:p w14:paraId="580C71CC" w14:textId="42FF84F5" w:rsidR="00C80834" w:rsidRPr="00CD246F" w:rsidRDefault="00C80834" w:rsidP="003712B9">
      <w:pPr>
        <w:pStyle w:val="Normalnumber"/>
        <w:numPr>
          <w:ilvl w:val="1"/>
          <w:numId w:val="35"/>
        </w:numPr>
        <w:tabs>
          <w:tab w:val="clear" w:pos="1134"/>
        </w:tabs>
        <w:ind w:firstLine="624"/>
      </w:pPr>
      <w:r w:rsidRPr="00CD246F">
        <w:t>“Regional economic integration organization” means an organization as defined in paragraph (j) of article 2 of the Convention</w:t>
      </w:r>
      <w:r w:rsidR="00B23ECE" w:rsidRPr="00CD246F">
        <w:t>.</w:t>
      </w:r>
    </w:p>
    <w:p w14:paraId="70768143" w14:textId="393FEBF1" w:rsidR="00C80834" w:rsidRPr="00CD246F" w:rsidRDefault="00C80834" w:rsidP="003712B9">
      <w:pPr>
        <w:pStyle w:val="Normalnumber"/>
        <w:numPr>
          <w:ilvl w:val="1"/>
          <w:numId w:val="35"/>
        </w:numPr>
        <w:tabs>
          <w:tab w:val="clear" w:pos="1134"/>
        </w:tabs>
        <w:ind w:firstLine="624"/>
      </w:pPr>
      <w:r w:rsidRPr="00CD246F">
        <w:t xml:space="preserve">“Programme” means the Specific International Programme to Support </w:t>
      </w:r>
      <w:r w:rsidR="00F67C98" w:rsidRPr="00CD246F">
        <w:br/>
      </w:r>
      <w:r w:rsidRPr="00CD246F">
        <w:t>Capacity-building and Technical Assistance of the Minamata Convention on Mercury</w:t>
      </w:r>
      <w:r w:rsidR="00B23ECE" w:rsidRPr="00CD246F">
        <w:t>.</w:t>
      </w:r>
      <w:r w:rsidR="00C339BD" w:rsidRPr="00CD246F">
        <w:t xml:space="preserve"> </w:t>
      </w:r>
    </w:p>
    <w:p w14:paraId="0D49E599" w14:textId="79ED7C1A" w:rsidR="00C80834" w:rsidRPr="00CD246F" w:rsidRDefault="00C80834" w:rsidP="003712B9">
      <w:pPr>
        <w:pStyle w:val="Normalnumber"/>
        <w:numPr>
          <w:ilvl w:val="1"/>
          <w:numId w:val="35"/>
        </w:numPr>
        <w:tabs>
          <w:tab w:val="clear" w:pos="1134"/>
        </w:tabs>
        <w:ind w:firstLine="624"/>
      </w:pPr>
      <w:r w:rsidRPr="00CD246F">
        <w:t>“Board” means the Governing Board of the Specific International Programme</w:t>
      </w:r>
      <w:r w:rsidR="00B23ECE" w:rsidRPr="00CD246F">
        <w:t>.</w:t>
      </w:r>
      <w:r w:rsidRPr="00CD246F">
        <w:t xml:space="preserve"> </w:t>
      </w:r>
    </w:p>
    <w:p w14:paraId="66F9D49A" w14:textId="26BEDED8" w:rsidR="00C80834" w:rsidRPr="00CD246F" w:rsidRDefault="00C80834" w:rsidP="003712B9">
      <w:pPr>
        <w:pStyle w:val="Normalnumber"/>
        <w:numPr>
          <w:ilvl w:val="1"/>
          <w:numId w:val="35"/>
        </w:numPr>
        <w:tabs>
          <w:tab w:val="clear" w:pos="1134"/>
        </w:tabs>
        <w:ind w:firstLine="624"/>
      </w:pPr>
      <w:r w:rsidRPr="00CD246F">
        <w:t>“Members” of the Governing Board of the Specific International Programme means the 10 members nominated through the respective Bureau representatives where each region shall nominate two members</w:t>
      </w:r>
      <w:r w:rsidR="00B23ECE" w:rsidRPr="00CD246F">
        <w:t>.</w:t>
      </w:r>
    </w:p>
    <w:p w14:paraId="195E16BA" w14:textId="0377BF71" w:rsidR="00C80834" w:rsidRPr="00CD246F" w:rsidRDefault="00C80834" w:rsidP="003712B9">
      <w:pPr>
        <w:pStyle w:val="Normalnumber"/>
        <w:numPr>
          <w:ilvl w:val="1"/>
          <w:numId w:val="35"/>
        </w:numPr>
        <w:tabs>
          <w:tab w:val="clear" w:pos="1134"/>
        </w:tabs>
        <w:ind w:firstLine="624"/>
      </w:pPr>
      <w:r w:rsidRPr="00CD246F">
        <w:t>“Meeting” means meetings of the Governing Board of the Specific International Programme. Meetings can be face-to-face, and</w:t>
      </w:r>
      <w:r w:rsidR="00B23ECE" w:rsidRPr="00CD246F">
        <w:t>,</w:t>
      </w:r>
      <w:r w:rsidRPr="00CD246F">
        <w:t xml:space="preserve"> if so decided by the Board, can be held through electronic means</w:t>
      </w:r>
      <w:r w:rsidR="00B23ECE" w:rsidRPr="00CD246F">
        <w:t>.</w:t>
      </w:r>
      <w:r w:rsidRPr="00CD246F">
        <w:t xml:space="preserve"> </w:t>
      </w:r>
    </w:p>
    <w:p w14:paraId="499A9DEF" w14:textId="7CB100F2" w:rsidR="00C80834" w:rsidRPr="00CD246F" w:rsidRDefault="00C80834" w:rsidP="003712B9">
      <w:pPr>
        <w:pStyle w:val="Normalnumber"/>
        <w:numPr>
          <w:ilvl w:val="1"/>
          <w:numId w:val="35"/>
        </w:numPr>
        <w:tabs>
          <w:tab w:val="clear" w:pos="1134"/>
        </w:tabs>
        <w:ind w:firstLine="624"/>
      </w:pPr>
      <w:r w:rsidRPr="00CD246F">
        <w:t>“Secretariat” means the secretariat established by paragraph 1 of article 24 of the Convention</w:t>
      </w:r>
      <w:r w:rsidR="00B23ECE" w:rsidRPr="00CD246F">
        <w:t>.</w:t>
      </w:r>
      <w:r w:rsidRPr="00CD246F">
        <w:t xml:space="preserve"> </w:t>
      </w:r>
    </w:p>
    <w:p w14:paraId="4BA9B4C9" w14:textId="5E27FA2B" w:rsidR="00C80834" w:rsidRPr="00CD246F" w:rsidRDefault="00C80834" w:rsidP="003712B9">
      <w:pPr>
        <w:pStyle w:val="Normalnumber"/>
        <w:numPr>
          <w:ilvl w:val="1"/>
          <w:numId w:val="35"/>
        </w:numPr>
        <w:tabs>
          <w:tab w:val="clear" w:pos="1134"/>
        </w:tabs>
        <w:ind w:firstLine="624"/>
      </w:pPr>
      <w:r w:rsidRPr="00CD246F">
        <w:t xml:space="preserve">“Members present and voting” means members present at the meeting in which voting takes place. For face-to-face meetings, </w:t>
      </w:r>
      <w:r w:rsidR="00B23ECE" w:rsidRPr="00CD246F">
        <w:t>“</w:t>
      </w:r>
      <w:r w:rsidRPr="00CD246F">
        <w:t>present</w:t>
      </w:r>
      <w:r w:rsidR="00B23ECE" w:rsidRPr="00CD246F">
        <w:t>”</w:t>
      </w:r>
      <w:r w:rsidRPr="00CD246F">
        <w:t xml:space="preserve"> means physically present. For meetings through electronic means, </w:t>
      </w:r>
      <w:r w:rsidR="00B23ECE" w:rsidRPr="00CD246F">
        <w:t>“</w:t>
      </w:r>
      <w:r w:rsidRPr="00CD246F">
        <w:t>present</w:t>
      </w:r>
      <w:r w:rsidR="00B23ECE" w:rsidRPr="00CD246F">
        <w:t>”</w:t>
      </w:r>
      <w:r w:rsidRPr="00CD246F">
        <w:t xml:space="preserve"> means participation through teleconference, videoconference or other electronic means as decided. </w:t>
      </w:r>
      <w:r w:rsidR="00B23ECE" w:rsidRPr="00CD246F">
        <w:t>“</w:t>
      </w:r>
      <w:r w:rsidRPr="00CD246F">
        <w:t>Voting</w:t>
      </w:r>
      <w:r w:rsidR="00B23ECE" w:rsidRPr="00CD246F">
        <w:t>”</w:t>
      </w:r>
      <w:r w:rsidRPr="00CD246F">
        <w:t xml:space="preserve"> means casting an affirmative or negative vote. Members abstaining from voting shall be considered as not voting</w:t>
      </w:r>
      <w:r w:rsidR="00B23ECE" w:rsidRPr="00CD246F">
        <w:t>.</w:t>
      </w:r>
    </w:p>
    <w:p w14:paraId="4889707D" w14:textId="77777777" w:rsidR="00C80834" w:rsidRPr="00CD246F" w:rsidRDefault="00C80834" w:rsidP="003712B9">
      <w:pPr>
        <w:pStyle w:val="Normalnumber"/>
        <w:numPr>
          <w:ilvl w:val="1"/>
          <w:numId w:val="35"/>
        </w:numPr>
        <w:tabs>
          <w:tab w:val="clear" w:pos="1134"/>
        </w:tabs>
        <w:ind w:firstLine="624"/>
      </w:pPr>
      <w:r w:rsidRPr="00CD246F">
        <w:t>“Co-Chairs” means the Co-Chairs of the Governing Board as elected in accordance with Rule 9.</w:t>
      </w:r>
    </w:p>
    <w:p w14:paraId="2619DE98" w14:textId="0E09C782" w:rsidR="005F7DAB" w:rsidRDefault="00C80834" w:rsidP="00BA372C">
      <w:pPr>
        <w:pStyle w:val="CH1"/>
      </w:pPr>
      <w:r w:rsidRPr="00BD7B01" w:rsidDel="007A716D">
        <w:t xml:space="preserve"> </w:t>
      </w:r>
      <w:r w:rsidR="00BA372C">
        <w:tab/>
        <w:t>III.</w:t>
      </w:r>
      <w:r w:rsidR="00BA372C">
        <w:tab/>
      </w:r>
      <w:r w:rsidR="005F7DAB" w:rsidRPr="00BD7B01">
        <w:t>Membership</w:t>
      </w:r>
    </w:p>
    <w:p w14:paraId="497D35E6" w14:textId="04B80386" w:rsidR="005F7DAB" w:rsidRDefault="00BA372C" w:rsidP="00BA372C">
      <w:pPr>
        <w:pStyle w:val="CH3"/>
      </w:pPr>
      <w:r>
        <w:tab/>
      </w:r>
      <w:r>
        <w:tab/>
      </w:r>
      <w:r w:rsidR="005F7DAB" w:rsidRPr="00BD7B01">
        <w:t>Rule 3</w:t>
      </w:r>
    </w:p>
    <w:p w14:paraId="638999BC" w14:textId="5AE0E8F1" w:rsidR="005F7DAB" w:rsidRPr="00BD7B01" w:rsidRDefault="005F7DAB" w:rsidP="00662708">
      <w:pPr>
        <w:pStyle w:val="Normalnumber"/>
        <w:numPr>
          <w:ilvl w:val="0"/>
          <w:numId w:val="77"/>
        </w:numPr>
        <w:tabs>
          <w:tab w:val="clear" w:pos="1134"/>
        </w:tabs>
        <w:ind w:firstLine="624"/>
      </w:pPr>
      <w:r w:rsidRPr="00BD7B01">
        <w:t xml:space="preserve">The Board shall consist of 10 members [from] [nominated by] parties. Each of the five United Nations regions shall nominate two members through their respective Bureau representatives. </w:t>
      </w:r>
    </w:p>
    <w:p w14:paraId="773C9875" w14:textId="4639C270" w:rsidR="005F7DAB" w:rsidRPr="00BD7B01" w:rsidRDefault="005F7DAB" w:rsidP="00662708">
      <w:pPr>
        <w:pStyle w:val="Normalnumber"/>
        <w:numPr>
          <w:ilvl w:val="0"/>
          <w:numId w:val="77"/>
        </w:numPr>
        <w:tabs>
          <w:tab w:val="clear" w:pos="1134"/>
        </w:tabs>
        <w:ind w:firstLine="624"/>
      </w:pPr>
      <w:r w:rsidRPr="00BD7B01">
        <w:t xml:space="preserve">The first members of the Board shall be nominated no later than 31 December 2017 and will serve until the third meeting of the Conference of Parties to the Minamata Convention. Thereafter, the members shall be nominated every two years by regional groups and their membership </w:t>
      </w:r>
      <w:r w:rsidRPr="00BD7B01">
        <w:lastRenderedPageBreak/>
        <w:t>confirmed by the Conference of the Parties. To this end, the two nominations from each U</w:t>
      </w:r>
      <w:r w:rsidR="00B85B66">
        <w:t>nited</w:t>
      </w:r>
      <w:r w:rsidR="003F4DDD">
        <w:t> </w:t>
      </w:r>
      <w:r w:rsidRPr="00BD7B01">
        <w:t>N</w:t>
      </w:r>
      <w:r w:rsidR="00B85B66">
        <w:t>ations</w:t>
      </w:r>
      <w:r w:rsidRPr="00BD7B01">
        <w:t xml:space="preserve"> region should be submitted to the </w:t>
      </w:r>
      <w:r w:rsidR="00B85B66">
        <w:t>s</w:t>
      </w:r>
      <w:r w:rsidRPr="00BD7B01">
        <w:t>ecretariat no later than the second last day of the meeting of the Conference of the Parties.</w:t>
      </w:r>
    </w:p>
    <w:p w14:paraId="3E3DE877" w14:textId="4ADF689F" w:rsidR="005F7DAB" w:rsidRPr="00BD7B01" w:rsidRDefault="00B23ECE" w:rsidP="006A61B7">
      <w:pPr>
        <w:pStyle w:val="Normalnumber"/>
        <w:numPr>
          <w:ilvl w:val="0"/>
          <w:numId w:val="77"/>
        </w:numPr>
        <w:tabs>
          <w:tab w:val="clear" w:pos="1134"/>
        </w:tabs>
        <w:ind w:firstLine="624"/>
        <w:rPr>
          <w:rFonts w:asciiTheme="majorBidi" w:hAnsiTheme="majorBidi" w:cstheme="majorBidi"/>
          <w:bCs/>
        </w:rPr>
      </w:pPr>
      <w:r>
        <w:rPr>
          <w:rFonts w:asciiTheme="majorBidi" w:hAnsiTheme="majorBidi" w:cstheme="majorBidi"/>
          <w:bCs/>
        </w:rPr>
        <w:t>[</w:t>
      </w:r>
      <w:r w:rsidR="005F7DAB" w:rsidRPr="00BD7B01">
        <w:rPr>
          <w:rFonts w:asciiTheme="majorBidi" w:hAnsiTheme="majorBidi" w:cstheme="majorBidi"/>
          <w:bCs/>
        </w:rPr>
        <w:t xml:space="preserve">PLACEHOLDER FOR </w:t>
      </w:r>
      <w:r w:rsidR="00B85B66">
        <w:rPr>
          <w:rFonts w:asciiTheme="majorBidi" w:hAnsiTheme="majorBidi" w:cstheme="majorBidi"/>
          <w:bCs/>
        </w:rPr>
        <w:t xml:space="preserve">A </w:t>
      </w:r>
      <w:r w:rsidR="005F7DAB" w:rsidRPr="00BD7B01">
        <w:rPr>
          <w:rFonts w:asciiTheme="majorBidi" w:hAnsiTheme="majorBidi" w:cstheme="majorBidi"/>
          <w:bCs/>
        </w:rPr>
        <w:t>PROVISION O</w:t>
      </w:r>
      <w:r w:rsidR="00B85B66">
        <w:rPr>
          <w:rFonts w:asciiTheme="majorBidi" w:hAnsiTheme="majorBidi" w:cstheme="majorBidi"/>
          <w:bCs/>
        </w:rPr>
        <w:t>N</w:t>
      </w:r>
      <w:r w:rsidR="005F7DAB" w:rsidRPr="00BD7B01">
        <w:rPr>
          <w:rFonts w:asciiTheme="majorBidi" w:hAnsiTheme="majorBidi" w:cstheme="majorBidi"/>
          <w:bCs/>
        </w:rPr>
        <w:t xml:space="preserve"> TERM</w:t>
      </w:r>
      <w:r w:rsidR="003712B9">
        <w:rPr>
          <w:rFonts w:asciiTheme="majorBidi" w:hAnsiTheme="majorBidi" w:cstheme="majorBidi"/>
          <w:bCs/>
        </w:rPr>
        <w:t xml:space="preserve"> </w:t>
      </w:r>
      <w:r w:rsidR="00B85B66">
        <w:rPr>
          <w:rFonts w:asciiTheme="majorBidi" w:hAnsiTheme="majorBidi" w:cstheme="majorBidi"/>
          <w:bCs/>
        </w:rPr>
        <w:t>FOR</w:t>
      </w:r>
      <w:r w:rsidR="005F7DAB" w:rsidRPr="00BD7B01">
        <w:rPr>
          <w:rFonts w:asciiTheme="majorBidi" w:hAnsiTheme="majorBidi" w:cstheme="majorBidi"/>
          <w:bCs/>
        </w:rPr>
        <w:t xml:space="preserve"> MEMBERS – </w:t>
      </w:r>
      <w:r w:rsidR="00FB6B02">
        <w:rPr>
          <w:rFonts w:asciiTheme="majorBidi" w:hAnsiTheme="majorBidi" w:cstheme="majorBidi"/>
          <w:bCs/>
        </w:rPr>
        <w:t>LINK</w:t>
      </w:r>
      <w:r w:rsidR="005F7DAB" w:rsidRPr="00BD7B01">
        <w:rPr>
          <w:rFonts w:asciiTheme="majorBidi" w:hAnsiTheme="majorBidi" w:cstheme="majorBidi"/>
          <w:bCs/>
        </w:rPr>
        <w:t xml:space="preserve"> ALSO </w:t>
      </w:r>
      <w:r w:rsidR="00FB6B02">
        <w:rPr>
          <w:rFonts w:asciiTheme="majorBidi" w:hAnsiTheme="majorBidi" w:cstheme="majorBidi"/>
          <w:bCs/>
        </w:rPr>
        <w:t xml:space="preserve">TO </w:t>
      </w:r>
      <w:r w:rsidR="005F7DAB" w:rsidRPr="00BD7B01">
        <w:rPr>
          <w:rFonts w:asciiTheme="majorBidi" w:hAnsiTheme="majorBidi" w:cstheme="majorBidi"/>
          <w:bCs/>
        </w:rPr>
        <w:t>RULE 9.3</w:t>
      </w:r>
      <w:r>
        <w:rPr>
          <w:rFonts w:asciiTheme="majorBidi" w:hAnsiTheme="majorBidi" w:cstheme="majorBidi"/>
          <w:bCs/>
        </w:rPr>
        <w:t>]</w:t>
      </w:r>
    </w:p>
    <w:p w14:paraId="302BC707" w14:textId="0001D044" w:rsidR="005F7DAB" w:rsidRPr="00BD7B01" w:rsidRDefault="005F7DAB" w:rsidP="00662708">
      <w:pPr>
        <w:pStyle w:val="Normalnumber"/>
        <w:numPr>
          <w:ilvl w:val="0"/>
          <w:numId w:val="77"/>
        </w:numPr>
        <w:tabs>
          <w:tab w:val="clear" w:pos="1134"/>
        </w:tabs>
        <w:ind w:firstLine="624"/>
        <w:rPr>
          <w:rFonts w:asciiTheme="majorBidi" w:hAnsiTheme="majorBidi" w:cstheme="majorBidi"/>
          <w:bCs/>
        </w:rPr>
      </w:pPr>
      <w:r w:rsidRPr="00BD7B01">
        <w:rPr>
          <w:rFonts w:asciiTheme="majorBidi" w:hAnsiTheme="majorBidi" w:cstheme="majorBidi"/>
          <w:bCs/>
        </w:rPr>
        <w:t xml:space="preserve">If necessary, </w:t>
      </w:r>
      <w:r w:rsidR="00B85B66">
        <w:rPr>
          <w:rFonts w:asciiTheme="majorBidi" w:hAnsiTheme="majorBidi" w:cstheme="majorBidi"/>
          <w:bCs/>
        </w:rPr>
        <w:t xml:space="preserve">a member may designate </w:t>
      </w:r>
      <w:r w:rsidRPr="00BD7B01">
        <w:rPr>
          <w:rFonts w:asciiTheme="majorBidi" w:hAnsiTheme="majorBidi" w:cstheme="majorBidi"/>
          <w:bCs/>
        </w:rPr>
        <w:t>an alternative representative for a particular meeting</w:t>
      </w:r>
      <w:r w:rsidR="00714E9E">
        <w:rPr>
          <w:rFonts w:asciiTheme="majorBidi" w:hAnsiTheme="majorBidi" w:cstheme="majorBidi"/>
          <w:bCs/>
        </w:rPr>
        <w:t xml:space="preserve"> of the Board</w:t>
      </w:r>
      <w:r w:rsidRPr="00BD7B01">
        <w:rPr>
          <w:rFonts w:asciiTheme="majorBidi" w:hAnsiTheme="majorBidi" w:cstheme="majorBidi"/>
          <w:bCs/>
        </w:rPr>
        <w:t xml:space="preserve">. </w:t>
      </w:r>
      <w:r w:rsidR="00B85B66">
        <w:rPr>
          <w:rFonts w:asciiTheme="majorBidi" w:hAnsiTheme="majorBidi" w:cstheme="majorBidi"/>
          <w:bCs/>
        </w:rPr>
        <w:t>W</w:t>
      </w:r>
      <w:r w:rsidRPr="00BD7B01">
        <w:rPr>
          <w:rFonts w:asciiTheme="majorBidi" w:hAnsiTheme="majorBidi" w:cstheme="majorBidi"/>
          <w:bCs/>
        </w:rPr>
        <w:t xml:space="preserve">ritten notification of the designation of the alternative representative shall be submitted to the </w:t>
      </w:r>
      <w:r w:rsidR="00B85B66">
        <w:rPr>
          <w:rFonts w:asciiTheme="majorBidi" w:hAnsiTheme="majorBidi" w:cstheme="majorBidi"/>
          <w:bCs/>
        </w:rPr>
        <w:t>s</w:t>
      </w:r>
      <w:r w:rsidRPr="00BD7B01">
        <w:rPr>
          <w:rFonts w:asciiTheme="majorBidi" w:hAnsiTheme="majorBidi" w:cstheme="majorBidi"/>
          <w:bCs/>
        </w:rPr>
        <w:t xml:space="preserve">ecretariat before the </w:t>
      </w:r>
      <w:r w:rsidR="00B85B66">
        <w:rPr>
          <w:rFonts w:asciiTheme="majorBidi" w:hAnsiTheme="majorBidi" w:cstheme="majorBidi"/>
          <w:bCs/>
        </w:rPr>
        <w:t>start</w:t>
      </w:r>
      <w:r w:rsidR="00B85B66" w:rsidRPr="00BD7B01">
        <w:rPr>
          <w:rFonts w:asciiTheme="majorBidi" w:hAnsiTheme="majorBidi" w:cstheme="majorBidi"/>
          <w:bCs/>
        </w:rPr>
        <w:t xml:space="preserve"> </w:t>
      </w:r>
      <w:r w:rsidRPr="00BD7B01">
        <w:rPr>
          <w:rFonts w:asciiTheme="majorBidi" w:hAnsiTheme="majorBidi" w:cstheme="majorBidi"/>
          <w:bCs/>
        </w:rPr>
        <w:t xml:space="preserve">of </w:t>
      </w:r>
      <w:r w:rsidR="00B85B66">
        <w:rPr>
          <w:rFonts w:asciiTheme="majorBidi" w:hAnsiTheme="majorBidi" w:cstheme="majorBidi"/>
          <w:bCs/>
        </w:rPr>
        <w:t>the</w:t>
      </w:r>
      <w:r w:rsidRPr="00BD7B01">
        <w:rPr>
          <w:rFonts w:asciiTheme="majorBidi" w:hAnsiTheme="majorBidi" w:cstheme="majorBidi"/>
          <w:bCs/>
        </w:rPr>
        <w:t xml:space="preserve"> meeting </w:t>
      </w:r>
      <w:r w:rsidR="00B85B66">
        <w:rPr>
          <w:rFonts w:asciiTheme="majorBidi" w:hAnsiTheme="majorBidi" w:cstheme="majorBidi"/>
          <w:bCs/>
        </w:rPr>
        <w:t>in question</w:t>
      </w:r>
      <w:r w:rsidRPr="00BD7B01">
        <w:rPr>
          <w:rFonts w:asciiTheme="majorBidi" w:hAnsiTheme="majorBidi" w:cstheme="majorBidi"/>
          <w:bCs/>
        </w:rPr>
        <w:t xml:space="preserve">. </w:t>
      </w:r>
    </w:p>
    <w:p w14:paraId="1C03B4DF" w14:textId="01C6E455" w:rsidR="005F7DAB" w:rsidRPr="00BD7B01" w:rsidRDefault="005F7DAB" w:rsidP="00662708">
      <w:pPr>
        <w:pStyle w:val="Normalnumber"/>
        <w:numPr>
          <w:ilvl w:val="0"/>
          <w:numId w:val="77"/>
        </w:numPr>
        <w:tabs>
          <w:tab w:val="clear" w:pos="1134"/>
        </w:tabs>
        <w:ind w:firstLine="624"/>
        <w:rPr>
          <w:rFonts w:asciiTheme="majorBidi" w:hAnsiTheme="majorBidi" w:cstheme="majorBidi"/>
          <w:bCs/>
        </w:rPr>
      </w:pPr>
      <w:r w:rsidRPr="00BD7B01">
        <w:rPr>
          <w:rFonts w:asciiTheme="majorBidi" w:hAnsiTheme="majorBidi" w:cstheme="majorBidi"/>
          <w:bCs/>
        </w:rPr>
        <w:t xml:space="preserve">If a member resigns or is otherwise unavailable to complete his or her term or perform the </w:t>
      </w:r>
      <w:r w:rsidR="00B85B66">
        <w:rPr>
          <w:rFonts w:asciiTheme="majorBidi" w:hAnsiTheme="majorBidi" w:cstheme="majorBidi"/>
          <w:bCs/>
        </w:rPr>
        <w:t xml:space="preserve">required </w:t>
      </w:r>
      <w:r w:rsidRPr="00BD7B01">
        <w:rPr>
          <w:rFonts w:asciiTheme="majorBidi" w:hAnsiTheme="majorBidi" w:cstheme="majorBidi"/>
          <w:bCs/>
        </w:rPr>
        <w:t xml:space="preserve">functions, that member may be replaced for the remainder of the term. </w:t>
      </w:r>
      <w:r w:rsidR="00B85B66">
        <w:rPr>
          <w:rFonts w:asciiTheme="majorBidi" w:hAnsiTheme="majorBidi" w:cstheme="majorBidi"/>
          <w:bCs/>
        </w:rPr>
        <w:t>W</w:t>
      </w:r>
      <w:r w:rsidRPr="00BD7B01">
        <w:rPr>
          <w:rFonts w:asciiTheme="majorBidi" w:hAnsiTheme="majorBidi" w:cstheme="majorBidi"/>
          <w:bCs/>
        </w:rPr>
        <w:t xml:space="preserve">ritten notification of the designation of the replacement member shall be submitted </w:t>
      </w:r>
      <w:r w:rsidR="00B85B66">
        <w:rPr>
          <w:rFonts w:asciiTheme="majorBidi" w:hAnsiTheme="majorBidi" w:cstheme="majorBidi"/>
          <w:bCs/>
        </w:rPr>
        <w:t>by</w:t>
      </w:r>
      <w:r w:rsidR="00B85B66" w:rsidRPr="00BD7B01">
        <w:rPr>
          <w:rFonts w:asciiTheme="majorBidi" w:hAnsiTheme="majorBidi" w:cstheme="majorBidi"/>
          <w:bCs/>
        </w:rPr>
        <w:t xml:space="preserve"> the relevant Bureau members </w:t>
      </w:r>
      <w:r w:rsidRPr="00BD7B01">
        <w:rPr>
          <w:rFonts w:asciiTheme="majorBidi" w:hAnsiTheme="majorBidi" w:cstheme="majorBidi"/>
          <w:bCs/>
        </w:rPr>
        <w:t xml:space="preserve">to the </w:t>
      </w:r>
      <w:r w:rsidR="00B85B66">
        <w:rPr>
          <w:rFonts w:asciiTheme="majorBidi" w:hAnsiTheme="majorBidi" w:cstheme="majorBidi"/>
          <w:bCs/>
        </w:rPr>
        <w:t>s</w:t>
      </w:r>
      <w:r w:rsidRPr="00BD7B01">
        <w:rPr>
          <w:rFonts w:asciiTheme="majorBidi" w:hAnsiTheme="majorBidi" w:cstheme="majorBidi"/>
          <w:bCs/>
        </w:rPr>
        <w:t xml:space="preserve">ecretariat in due time to allow </w:t>
      </w:r>
      <w:r w:rsidR="00B85B66">
        <w:rPr>
          <w:rFonts w:asciiTheme="majorBidi" w:hAnsiTheme="majorBidi" w:cstheme="majorBidi"/>
          <w:bCs/>
        </w:rPr>
        <w:t>the replacement member to attend</w:t>
      </w:r>
      <w:r w:rsidR="00B85B66" w:rsidRPr="00BD7B01">
        <w:rPr>
          <w:rFonts w:asciiTheme="majorBidi" w:hAnsiTheme="majorBidi" w:cstheme="majorBidi"/>
          <w:bCs/>
        </w:rPr>
        <w:t xml:space="preserve"> </w:t>
      </w:r>
      <w:r w:rsidRPr="00BD7B01">
        <w:rPr>
          <w:rFonts w:asciiTheme="majorBidi" w:hAnsiTheme="majorBidi" w:cstheme="majorBidi"/>
          <w:bCs/>
        </w:rPr>
        <w:t xml:space="preserve">the </w:t>
      </w:r>
      <w:r w:rsidR="00B85B66">
        <w:rPr>
          <w:rFonts w:asciiTheme="majorBidi" w:hAnsiTheme="majorBidi" w:cstheme="majorBidi"/>
          <w:bCs/>
        </w:rPr>
        <w:t>next</w:t>
      </w:r>
      <w:r w:rsidR="00B85B66" w:rsidRPr="00BD7B01">
        <w:rPr>
          <w:rFonts w:asciiTheme="majorBidi" w:hAnsiTheme="majorBidi" w:cstheme="majorBidi"/>
          <w:bCs/>
        </w:rPr>
        <w:t xml:space="preserve"> </w:t>
      </w:r>
      <w:r w:rsidRPr="00BD7B01">
        <w:rPr>
          <w:rFonts w:asciiTheme="majorBidi" w:hAnsiTheme="majorBidi" w:cstheme="majorBidi"/>
          <w:bCs/>
        </w:rPr>
        <w:t xml:space="preserve">meeting of the Board. </w:t>
      </w:r>
    </w:p>
    <w:p w14:paraId="2A3F25E3" w14:textId="61FB530E" w:rsidR="005F7DAB" w:rsidRDefault="00BA372C" w:rsidP="00BA372C">
      <w:pPr>
        <w:pStyle w:val="CH1"/>
      </w:pPr>
      <w:r>
        <w:tab/>
        <w:t>IV.</w:t>
      </w:r>
      <w:r>
        <w:tab/>
      </w:r>
      <w:r w:rsidR="005F7DAB" w:rsidRPr="00BD7B01">
        <w:t>Observers</w:t>
      </w:r>
    </w:p>
    <w:p w14:paraId="539D5080" w14:textId="10626594" w:rsidR="005F7DAB" w:rsidRDefault="00BA372C" w:rsidP="00BA372C">
      <w:pPr>
        <w:pStyle w:val="CH3"/>
      </w:pPr>
      <w:r>
        <w:tab/>
      </w:r>
      <w:r>
        <w:tab/>
      </w:r>
      <w:r w:rsidR="005F7DAB" w:rsidRPr="00BD7B01">
        <w:t>Rule 4</w:t>
      </w:r>
    </w:p>
    <w:p w14:paraId="552632F0" w14:textId="38CAE131"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
        </w:rPr>
      </w:pPr>
      <w:r w:rsidRPr="00BD7B01">
        <w:rPr>
          <w:rFonts w:asciiTheme="majorBidi" w:hAnsiTheme="majorBidi" w:cstheme="majorBidi"/>
        </w:rPr>
        <w:t xml:space="preserve">The Board may invite observers to its meeting, or segments thereof, except when the Board decides on applications. </w:t>
      </w:r>
      <w:r w:rsidR="00714E9E">
        <w:rPr>
          <w:rFonts w:asciiTheme="majorBidi" w:hAnsiTheme="majorBidi" w:cstheme="majorBidi"/>
        </w:rPr>
        <w:t>The secretariat will extend i</w:t>
      </w:r>
      <w:r w:rsidRPr="00BD7B01">
        <w:rPr>
          <w:rFonts w:asciiTheme="majorBidi" w:hAnsiTheme="majorBidi" w:cstheme="majorBidi"/>
        </w:rPr>
        <w:t xml:space="preserve">nvitations to observers upon request and on behalf of the Board. Participation of observers will in principle be at their own expense. </w:t>
      </w:r>
    </w:p>
    <w:p w14:paraId="1843BB5F" w14:textId="411A9709" w:rsidR="005F7DAB" w:rsidRDefault="00BA372C" w:rsidP="00BA372C">
      <w:pPr>
        <w:pStyle w:val="CH1"/>
      </w:pPr>
      <w:r>
        <w:tab/>
        <w:t>V.</w:t>
      </w:r>
      <w:r>
        <w:tab/>
      </w:r>
      <w:r w:rsidR="005F7DAB" w:rsidRPr="00BD7B01">
        <w:t>Venue, dates and notice of meetings</w:t>
      </w:r>
    </w:p>
    <w:p w14:paraId="7977E547" w14:textId="31F6C195" w:rsidR="005F7DAB" w:rsidRDefault="00BA372C" w:rsidP="00BA372C">
      <w:pPr>
        <w:pStyle w:val="CH3"/>
      </w:pPr>
      <w:r>
        <w:tab/>
      </w:r>
      <w:r>
        <w:tab/>
      </w:r>
      <w:r w:rsidR="005F7DAB" w:rsidRPr="00BD7B01">
        <w:t>Rule 5</w:t>
      </w:r>
    </w:p>
    <w:p w14:paraId="07A3D6B9" w14:textId="7B9E4671" w:rsidR="005F7DAB" w:rsidRPr="00BA655A" w:rsidRDefault="005F7DAB" w:rsidP="00BA655A">
      <w:pPr>
        <w:pStyle w:val="Normalnumber"/>
        <w:numPr>
          <w:ilvl w:val="0"/>
          <w:numId w:val="81"/>
        </w:numPr>
        <w:tabs>
          <w:tab w:val="clear" w:pos="1134"/>
        </w:tabs>
        <w:ind w:firstLine="624"/>
        <w:rPr>
          <w:bCs/>
        </w:rPr>
      </w:pPr>
      <w:r w:rsidRPr="00BD7B01">
        <w:t xml:space="preserve">The Board will in </w:t>
      </w:r>
      <w:r w:rsidRPr="00B734CE">
        <w:t>principle m</w:t>
      </w:r>
      <w:r w:rsidRPr="00BD7B01">
        <w:t xml:space="preserve">eet once a year to approve project applications and review progress under the </w:t>
      </w:r>
      <w:r w:rsidR="00714E9E">
        <w:t>p</w:t>
      </w:r>
      <w:r w:rsidRPr="00BD7B01">
        <w:t xml:space="preserve">rogramme on the basis of reports from the Minamata Convention </w:t>
      </w:r>
      <w:r w:rsidR="00714E9E">
        <w:t>s</w:t>
      </w:r>
      <w:r w:rsidRPr="00BD7B01">
        <w:t xml:space="preserve">ecretariat, as well as other relevant information </w:t>
      </w:r>
      <w:r w:rsidRPr="00BA655A">
        <w:rPr>
          <w:bCs/>
        </w:rPr>
        <w:t xml:space="preserve">provided to them on implementation of the </w:t>
      </w:r>
      <w:r w:rsidR="00714E9E" w:rsidRPr="00BA655A">
        <w:rPr>
          <w:bCs/>
        </w:rPr>
        <w:t>p</w:t>
      </w:r>
      <w:r w:rsidRPr="00BA655A">
        <w:rPr>
          <w:bCs/>
        </w:rPr>
        <w:t xml:space="preserve">rogramme. </w:t>
      </w:r>
    </w:p>
    <w:p w14:paraId="17514F51" w14:textId="613A0BF1" w:rsidR="005F7DAB" w:rsidRPr="00BD7B01" w:rsidRDefault="005F7DAB" w:rsidP="00BA655A">
      <w:pPr>
        <w:pStyle w:val="Normalnumber"/>
        <w:numPr>
          <w:ilvl w:val="0"/>
          <w:numId w:val="81"/>
        </w:numPr>
        <w:tabs>
          <w:tab w:val="clear" w:pos="1134"/>
        </w:tabs>
        <w:ind w:firstLine="624"/>
      </w:pPr>
      <w:r w:rsidRPr="00BA655A">
        <w:rPr>
          <w:bCs/>
        </w:rPr>
        <w:t xml:space="preserve">The </w:t>
      </w:r>
      <w:r w:rsidR="00714E9E" w:rsidRPr="00BA655A">
        <w:rPr>
          <w:bCs/>
        </w:rPr>
        <w:t>s</w:t>
      </w:r>
      <w:r w:rsidRPr="00BA655A">
        <w:rPr>
          <w:bCs/>
        </w:rPr>
        <w:t>ecretariat</w:t>
      </w:r>
      <w:r w:rsidRPr="00BD7B01">
        <w:t xml:space="preserve"> shall make appropriate arrangements for meetings</w:t>
      </w:r>
      <w:r w:rsidR="00714E9E" w:rsidRPr="00BA655A">
        <w:rPr>
          <w:bCs/>
        </w:rPr>
        <w:t xml:space="preserve"> in consultation wi</w:t>
      </w:r>
      <w:r w:rsidR="00714E9E" w:rsidRPr="00BD7B01">
        <w:t>th the Co-Chairs</w:t>
      </w:r>
      <w:r w:rsidRPr="00BD7B01">
        <w:t xml:space="preserve">. </w:t>
      </w:r>
    </w:p>
    <w:p w14:paraId="6E33C5C5" w14:textId="374BE8D2" w:rsidR="005F7DAB" w:rsidRDefault="00BA372C" w:rsidP="00BA372C">
      <w:pPr>
        <w:pStyle w:val="CH3"/>
      </w:pPr>
      <w:r>
        <w:tab/>
      </w:r>
      <w:r>
        <w:tab/>
      </w:r>
      <w:r w:rsidR="005F7DAB" w:rsidRPr="00BD7B01">
        <w:t>Rule 6</w:t>
      </w:r>
    </w:p>
    <w:p w14:paraId="53371AAA" w14:textId="3E5FD9F7"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rPr>
      </w:pPr>
      <w:r w:rsidRPr="00BD7B01">
        <w:rPr>
          <w:rFonts w:asciiTheme="majorBidi" w:hAnsiTheme="majorBidi" w:cstheme="majorBidi"/>
        </w:rPr>
        <w:t xml:space="preserve">The </w:t>
      </w:r>
      <w:r w:rsidR="004C6306">
        <w:rPr>
          <w:rFonts w:asciiTheme="majorBidi" w:hAnsiTheme="majorBidi" w:cstheme="majorBidi"/>
        </w:rPr>
        <w:t>s</w:t>
      </w:r>
      <w:r w:rsidRPr="00BD7B01">
        <w:rPr>
          <w:rFonts w:asciiTheme="majorBidi" w:hAnsiTheme="majorBidi" w:cstheme="majorBidi"/>
        </w:rPr>
        <w:t xml:space="preserve">ecretariat shall notify all members of the venue and date of a meeting at least </w:t>
      </w:r>
      <w:r w:rsidR="00714E9E">
        <w:rPr>
          <w:rFonts w:asciiTheme="majorBidi" w:hAnsiTheme="majorBidi" w:cstheme="majorBidi"/>
        </w:rPr>
        <w:t>six</w:t>
      </w:r>
      <w:r w:rsidRPr="00BD7B01">
        <w:rPr>
          <w:rFonts w:asciiTheme="majorBidi" w:hAnsiTheme="majorBidi" w:cstheme="majorBidi"/>
        </w:rPr>
        <w:t xml:space="preserve"> weeks before it is due to commence. The </w:t>
      </w:r>
      <w:r w:rsidR="004C6306">
        <w:rPr>
          <w:rFonts w:asciiTheme="majorBidi" w:hAnsiTheme="majorBidi" w:cstheme="majorBidi"/>
        </w:rPr>
        <w:t>s</w:t>
      </w:r>
      <w:r w:rsidRPr="00BD7B01">
        <w:rPr>
          <w:rFonts w:asciiTheme="majorBidi" w:hAnsiTheme="majorBidi" w:cstheme="majorBidi"/>
        </w:rPr>
        <w:t xml:space="preserve">ecretariat shall also publish the meeting details on the website of the Minamata Convention. </w:t>
      </w:r>
    </w:p>
    <w:p w14:paraId="143040BD" w14:textId="355AB040" w:rsidR="005F7DAB" w:rsidRDefault="00BA372C" w:rsidP="00BA372C">
      <w:pPr>
        <w:pStyle w:val="CH1"/>
      </w:pPr>
      <w:r>
        <w:tab/>
      </w:r>
      <w:r w:rsidR="005F7DAB" w:rsidRPr="00BD7B01">
        <w:t>VI.</w:t>
      </w:r>
      <w:r>
        <w:tab/>
      </w:r>
      <w:r w:rsidR="005F7DAB" w:rsidRPr="00BD7B01">
        <w:t>Agenda</w:t>
      </w:r>
    </w:p>
    <w:p w14:paraId="1A3049E3" w14:textId="6EFD5A9C" w:rsidR="005F7DAB" w:rsidRDefault="00BA372C" w:rsidP="00BA372C">
      <w:pPr>
        <w:pStyle w:val="CH3"/>
      </w:pPr>
      <w:r>
        <w:tab/>
      </w:r>
      <w:r>
        <w:tab/>
      </w:r>
      <w:r w:rsidR="005F7DAB" w:rsidRPr="00BD7B01">
        <w:t>Rule 7</w:t>
      </w:r>
    </w:p>
    <w:p w14:paraId="498F37EC" w14:textId="7CFE69EC" w:rsidR="005F7DAB" w:rsidRPr="00BA655A" w:rsidRDefault="005F7DAB" w:rsidP="00BA655A">
      <w:pPr>
        <w:pStyle w:val="Normalnumber"/>
        <w:numPr>
          <w:ilvl w:val="0"/>
          <w:numId w:val="82"/>
        </w:numPr>
        <w:tabs>
          <w:tab w:val="clear" w:pos="1134"/>
        </w:tabs>
        <w:ind w:firstLine="624"/>
        <w:rPr>
          <w:bCs/>
        </w:rPr>
      </w:pPr>
      <w:r w:rsidRPr="00BD7B01">
        <w:t xml:space="preserve">The </w:t>
      </w:r>
      <w:r w:rsidR="004C6306">
        <w:t>s</w:t>
      </w:r>
      <w:r w:rsidRPr="00BD7B01">
        <w:t>ecretariat shall prepare a provisional agenda for each meeting</w:t>
      </w:r>
      <w:r w:rsidR="00714E9E" w:rsidRPr="00714E9E">
        <w:t xml:space="preserve"> </w:t>
      </w:r>
      <w:r w:rsidR="00714E9E" w:rsidRPr="00BD7B01">
        <w:t>in consultation with and under the guidance of the Co-Chairs</w:t>
      </w:r>
      <w:r w:rsidRPr="00BD7B01">
        <w:t xml:space="preserve">. Any member may request the </w:t>
      </w:r>
      <w:r w:rsidR="00714E9E">
        <w:t>s</w:t>
      </w:r>
      <w:r w:rsidRPr="00BD7B01">
        <w:t xml:space="preserve">ecretariat to include specific items in the </w:t>
      </w:r>
      <w:r w:rsidRPr="00BA655A">
        <w:rPr>
          <w:bCs/>
        </w:rPr>
        <w:t xml:space="preserve">provisional agenda. </w:t>
      </w:r>
    </w:p>
    <w:p w14:paraId="27AA9C6D" w14:textId="47328496" w:rsidR="005F7DAB" w:rsidRPr="00BA655A" w:rsidRDefault="005F7DAB" w:rsidP="00BA655A">
      <w:pPr>
        <w:pStyle w:val="Normalnumber"/>
        <w:numPr>
          <w:ilvl w:val="0"/>
          <w:numId w:val="82"/>
        </w:numPr>
        <w:tabs>
          <w:tab w:val="clear" w:pos="1134"/>
        </w:tabs>
        <w:ind w:firstLine="624"/>
        <w:rPr>
          <w:bCs/>
        </w:rPr>
      </w:pPr>
      <w:r w:rsidRPr="00BA655A">
        <w:rPr>
          <w:bCs/>
        </w:rPr>
        <w:t xml:space="preserve">The provisional agenda shall be communicated to members at least </w:t>
      </w:r>
      <w:r w:rsidR="00714E9E" w:rsidRPr="00BA655A">
        <w:rPr>
          <w:bCs/>
        </w:rPr>
        <w:t>four</w:t>
      </w:r>
      <w:r w:rsidRPr="00BA655A">
        <w:rPr>
          <w:bCs/>
        </w:rPr>
        <w:t xml:space="preserve"> weeks before the meeting is due to commence. </w:t>
      </w:r>
    </w:p>
    <w:p w14:paraId="4251A8BB" w14:textId="78154016" w:rsidR="005F7DAB" w:rsidRPr="00BD7B01" w:rsidRDefault="005F7DAB" w:rsidP="00BA655A">
      <w:pPr>
        <w:pStyle w:val="Normalnumber"/>
        <w:numPr>
          <w:ilvl w:val="0"/>
          <w:numId w:val="82"/>
        </w:numPr>
        <w:tabs>
          <w:tab w:val="clear" w:pos="1134"/>
        </w:tabs>
        <w:ind w:firstLine="624"/>
      </w:pPr>
      <w:r w:rsidRPr="00BA655A">
        <w:rPr>
          <w:bCs/>
        </w:rPr>
        <w:t>Between the date of communication of the provisional agenda and the date of adoption of the agenda by the Board</w:t>
      </w:r>
      <w:r w:rsidRPr="00BD7B01">
        <w:t xml:space="preserve">, members may propose supplementary items for inclusion in the agenda, provided the items are of an important and urgent nature. </w:t>
      </w:r>
    </w:p>
    <w:p w14:paraId="3B1A816F" w14:textId="74A2AA2B" w:rsidR="005F7DAB" w:rsidRDefault="00BA372C" w:rsidP="00BA372C">
      <w:pPr>
        <w:pStyle w:val="CH3"/>
      </w:pPr>
      <w:r>
        <w:tab/>
      </w:r>
      <w:r>
        <w:tab/>
      </w:r>
      <w:r w:rsidR="005F7DAB" w:rsidRPr="00BD7B01">
        <w:t>Rule 8</w:t>
      </w:r>
    </w:p>
    <w:p w14:paraId="02E44A55" w14:textId="131A98A4"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rPr>
        <w:t xml:space="preserve">At the beginning of each meeting, the Board shall adopt the agenda for the meeting on the basis of the provisional agenda and any supplementary items proposed in accordance with </w:t>
      </w:r>
      <w:r w:rsidR="00D555AF">
        <w:rPr>
          <w:rFonts w:asciiTheme="majorBidi" w:hAnsiTheme="majorBidi" w:cstheme="majorBidi"/>
        </w:rPr>
        <w:t xml:space="preserve">paragraph 3 of </w:t>
      </w:r>
      <w:r w:rsidRPr="00BD7B01">
        <w:rPr>
          <w:rFonts w:asciiTheme="majorBidi" w:hAnsiTheme="majorBidi" w:cstheme="majorBidi"/>
        </w:rPr>
        <w:t xml:space="preserve">Rule 7. </w:t>
      </w:r>
    </w:p>
    <w:p w14:paraId="3ED2AA80" w14:textId="0999DF53" w:rsidR="005F7DAB" w:rsidRDefault="00BA372C" w:rsidP="00BA372C">
      <w:pPr>
        <w:pStyle w:val="CH1"/>
      </w:pPr>
      <w:r>
        <w:lastRenderedPageBreak/>
        <w:tab/>
        <w:t>VII.</w:t>
      </w:r>
      <w:r>
        <w:tab/>
      </w:r>
      <w:r w:rsidR="005F7DAB" w:rsidRPr="00BD7B01">
        <w:t>Officers</w:t>
      </w:r>
    </w:p>
    <w:p w14:paraId="32E3D844" w14:textId="633B7257" w:rsidR="005F7DAB" w:rsidRDefault="00BA372C" w:rsidP="00BA372C">
      <w:pPr>
        <w:pStyle w:val="CH3"/>
      </w:pPr>
      <w:r>
        <w:tab/>
      </w:r>
      <w:r>
        <w:tab/>
      </w:r>
      <w:r w:rsidR="005F7DAB" w:rsidRPr="00BD7B01">
        <w:t>Rule 9</w:t>
      </w:r>
    </w:p>
    <w:p w14:paraId="69EC8935" w14:textId="0DD20482" w:rsidR="005F7DAB" w:rsidRPr="00E05240" w:rsidRDefault="005F7DAB" w:rsidP="00BA655A">
      <w:pPr>
        <w:pStyle w:val="Normalnumber"/>
        <w:numPr>
          <w:ilvl w:val="0"/>
          <w:numId w:val="83"/>
        </w:numPr>
        <w:tabs>
          <w:tab w:val="clear" w:pos="1134"/>
        </w:tabs>
        <w:ind w:firstLine="624"/>
      </w:pPr>
      <w:r w:rsidRPr="00E05240">
        <w:t xml:space="preserve">The Board will have two Co-Chairs, elected from among the members of the Board, reflecting the composition of the Board and the purpose of the </w:t>
      </w:r>
      <w:r w:rsidR="00D555AF" w:rsidRPr="00E05240">
        <w:t>p</w:t>
      </w:r>
      <w:r w:rsidRPr="00E05240">
        <w:t xml:space="preserve">rogramme. </w:t>
      </w:r>
    </w:p>
    <w:p w14:paraId="2E42CE25" w14:textId="3A0B73BA" w:rsidR="00BA655A" w:rsidRPr="00E05240" w:rsidRDefault="00D555AF" w:rsidP="00BA655A">
      <w:pPr>
        <w:pStyle w:val="Normalnumber"/>
        <w:numPr>
          <w:ilvl w:val="0"/>
          <w:numId w:val="83"/>
        </w:numPr>
        <w:tabs>
          <w:tab w:val="clear" w:pos="1134"/>
        </w:tabs>
        <w:ind w:firstLine="624"/>
      </w:pPr>
      <w:r w:rsidRPr="00E05240">
        <w:t>T</w:t>
      </w:r>
      <w:r w:rsidR="005F7DAB" w:rsidRPr="00E05240">
        <w:t>he Board shall elect two Co-Chairs</w:t>
      </w:r>
      <w:r w:rsidRPr="00E05240">
        <w:t xml:space="preserve"> at the commencement of its first meeting</w:t>
      </w:r>
      <w:r w:rsidR="005F7DAB" w:rsidRPr="00E05240">
        <w:t xml:space="preserve">. </w:t>
      </w:r>
    </w:p>
    <w:p w14:paraId="2FBBAF05" w14:textId="76D4A8ED" w:rsidR="005F7DAB" w:rsidRPr="00E05240" w:rsidRDefault="005F7DAB" w:rsidP="00BA655A">
      <w:pPr>
        <w:pStyle w:val="Normalnumber"/>
        <w:numPr>
          <w:ilvl w:val="0"/>
          <w:numId w:val="83"/>
        </w:numPr>
        <w:tabs>
          <w:tab w:val="clear" w:pos="1134"/>
        </w:tabs>
        <w:ind w:firstLine="624"/>
      </w:pPr>
      <w:r w:rsidRPr="00E05240">
        <w:t xml:space="preserve">The term of the Co-Chairs elected at the first meeting of the Board shall continue until the election of new Co-Chairs at [the commencement of a meeting to be held after the third meeting of the Conference of Parties to the Minamata Convention] [at the third Conference of </w:t>
      </w:r>
      <w:r w:rsidR="00676CA7" w:rsidRPr="00E05240">
        <w:t xml:space="preserve">the </w:t>
      </w:r>
      <w:r w:rsidRPr="00E05240">
        <w:t xml:space="preserve">Parties]. Thereafter, the election of Co-Chairs shall take place at the first meeting of </w:t>
      </w:r>
      <w:r w:rsidR="00D555AF" w:rsidRPr="00E05240">
        <w:t xml:space="preserve">each </w:t>
      </w:r>
      <w:r w:rsidRPr="00E05240">
        <w:t>new term of the Board</w:t>
      </w:r>
      <w:r w:rsidR="00D555AF" w:rsidRPr="00E05240">
        <w:t xml:space="preserve"> members</w:t>
      </w:r>
      <w:r w:rsidRPr="00E05240">
        <w:t xml:space="preserve">. </w:t>
      </w:r>
    </w:p>
    <w:p w14:paraId="0E6A8592" w14:textId="55977E6D" w:rsidR="005F7DAB" w:rsidRDefault="00BA372C" w:rsidP="00BA372C">
      <w:pPr>
        <w:pStyle w:val="CH3"/>
      </w:pPr>
      <w:r>
        <w:tab/>
      </w:r>
      <w:r>
        <w:tab/>
      </w:r>
      <w:r w:rsidR="005F7DAB" w:rsidRPr="00BD7B01">
        <w:t>Rule 10</w:t>
      </w:r>
    </w:p>
    <w:p w14:paraId="2792E5F7" w14:textId="0FD3FC27" w:rsidR="005F7DAB" w:rsidRPr="00BD7B01" w:rsidRDefault="005F7DAB" w:rsidP="00BA655A">
      <w:pPr>
        <w:pStyle w:val="Normalnumber"/>
        <w:numPr>
          <w:ilvl w:val="0"/>
          <w:numId w:val="84"/>
        </w:numPr>
        <w:tabs>
          <w:tab w:val="clear" w:pos="1134"/>
        </w:tabs>
        <w:ind w:firstLine="624"/>
      </w:pPr>
      <w:r w:rsidRPr="00BD7B01">
        <w:t xml:space="preserve">In the absence </w:t>
      </w:r>
      <w:r w:rsidRPr="00B734CE">
        <w:t>of consensus</w:t>
      </w:r>
      <w:r w:rsidRPr="00BD7B01">
        <w:t xml:space="preserve">, elections of the Co-Chairs shall be decided by secret ballot. </w:t>
      </w:r>
    </w:p>
    <w:p w14:paraId="42BFB0DC" w14:textId="08CBAFB0" w:rsidR="005F7DAB" w:rsidRPr="00BD7B01" w:rsidRDefault="005F7DAB" w:rsidP="001D412C">
      <w:pPr>
        <w:pStyle w:val="Normalnumber"/>
        <w:numPr>
          <w:ilvl w:val="0"/>
          <w:numId w:val="84"/>
        </w:numPr>
        <w:tabs>
          <w:tab w:val="clear" w:pos="1134"/>
        </w:tabs>
        <w:ind w:firstLine="624"/>
      </w:pPr>
      <w:r w:rsidRPr="00BD7B01">
        <w:t>If, when a Co-Chair is to be elected, no candidate obtains a two-thirds majority of the votes cast by the members present and voting</w:t>
      </w:r>
      <w:r w:rsidR="00D555AF" w:rsidRPr="00D555AF">
        <w:t xml:space="preserve"> </w:t>
      </w:r>
      <w:r w:rsidR="00D555AF" w:rsidRPr="00BD7B01">
        <w:t>in the first ballot</w:t>
      </w:r>
      <w:r w:rsidRPr="00BD7B01">
        <w:t>, a second ballot</w:t>
      </w:r>
      <w:r w:rsidR="00D555AF" w:rsidRPr="00D555AF">
        <w:t xml:space="preserve"> </w:t>
      </w:r>
      <w:r w:rsidR="00D555AF" w:rsidRPr="00BD7B01">
        <w:t xml:space="preserve">shall be </w:t>
      </w:r>
      <w:r w:rsidR="00D555AF">
        <w:t>held</w:t>
      </w:r>
      <w:r w:rsidRPr="00BD7B01">
        <w:t>, restricted to the two candidates obtaining the largest number of votes</w:t>
      </w:r>
      <w:r w:rsidR="00D555AF">
        <w:t>, with the decision taken</w:t>
      </w:r>
      <w:r w:rsidR="00D555AF" w:rsidRPr="00D555AF">
        <w:t xml:space="preserve"> </w:t>
      </w:r>
      <w:r w:rsidR="00D555AF" w:rsidRPr="00BD7B01">
        <w:t>by simple majority</w:t>
      </w:r>
      <w:r w:rsidRPr="00BD7B01">
        <w:t xml:space="preserve">. If in the second ballot the votes are equally divided, the </w:t>
      </w:r>
      <w:r w:rsidR="00D555AF">
        <w:t>C</w:t>
      </w:r>
      <w:r w:rsidRPr="00BD7B01">
        <w:t>o-</w:t>
      </w:r>
      <w:r w:rsidR="00D555AF">
        <w:t>C</w:t>
      </w:r>
      <w:r w:rsidRPr="00BD7B01">
        <w:t xml:space="preserve">hair shall be decided by drawing lots between the candidates. </w:t>
      </w:r>
    </w:p>
    <w:p w14:paraId="03DED7AE" w14:textId="33FB6091" w:rsidR="005F7DAB" w:rsidRPr="00BD7B01" w:rsidRDefault="005F7DAB" w:rsidP="00BA655A">
      <w:pPr>
        <w:pStyle w:val="Normalnumber"/>
        <w:numPr>
          <w:ilvl w:val="0"/>
          <w:numId w:val="84"/>
        </w:numPr>
        <w:tabs>
          <w:tab w:val="clear" w:pos="1134"/>
        </w:tabs>
        <w:ind w:firstLine="624"/>
        <w:rPr>
          <w:rFonts w:asciiTheme="majorBidi" w:hAnsiTheme="majorBidi" w:cstheme="majorBidi"/>
        </w:rPr>
      </w:pPr>
      <w:r w:rsidRPr="00BD7B01">
        <w:rPr>
          <w:rFonts w:asciiTheme="majorBidi" w:hAnsiTheme="majorBidi" w:cstheme="majorBidi"/>
          <w:bCs/>
        </w:rPr>
        <w:t>In the case of a tie in the first ballot between three or more candidates obtaining the largest number of votes, a second ballot shall be held. If a tie results betwee</w:t>
      </w:r>
      <w:r w:rsidRPr="00BD7B01">
        <w:rPr>
          <w:rFonts w:asciiTheme="majorBidi" w:hAnsiTheme="majorBidi" w:cstheme="majorBidi"/>
        </w:rPr>
        <w:t>n more than two candidates, the number shall be reduced to two by lot and the balloting, restricted to them, shall continue in accordance with the procedure set out in paragraph</w:t>
      </w:r>
      <w:r w:rsidR="00DF5255">
        <w:rPr>
          <w:rFonts w:asciiTheme="majorBidi" w:hAnsiTheme="majorBidi" w:cstheme="majorBidi"/>
        </w:rPr>
        <w:t>s</w:t>
      </w:r>
      <w:r w:rsidRPr="00BD7B01">
        <w:rPr>
          <w:rFonts w:asciiTheme="majorBidi" w:hAnsiTheme="majorBidi" w:cstheme="majorBidi"/>
        </w:rPr>
        <w:t xml:space="preserve"> 1</w:t>
      </w:r>
      <w:r w:rsidR="00C37E6F">
        <w:rPr>
          <w:rFonts w:asciiTheme="majorBidi" w:hAnsiTheme="majorBidi" w:cstheme="majorBidi"/>
        </w:rPr>
        <w:t xml:space="preserve"> </w:t>
      </w:r>
      <w:r w:rsidR="00C37E6F" w:rsidRPr="00C37E6F">
        <w:rPr>
          <w:rFonts w:asciiTheme="majorBidi" w:hAnsiTheme="majorBidi" w:cstheme="majorBidi"/>
        </w:rPr>
        <w:t>and 2</w:t>
      </w:r>
      <w:r w:rsidRPr="00C37E6F">
        <w:rPr>
          <w:rFonts w:asciiTheme="majorBidi" w:hAnsiTheme="majorBidi" w:cstheme="majorBidi"/>
        </w:rPr>
        <w:t>.</w:t>
      </w:r>
    </w:p>
    <w:p w14:paraId="33B73310" w14:textId="2D6D01C0" w:rsidR="005F7DAB" w:rsidRDefault="00BA372C" w:rsidP="00BA372C">
      <w:pPr>
        <w:pStyle w:val="CH3"/>
      </w:pPr>
      <w:r>
        <w:tab/>
      </w:r>
      <w:r>
        <w:tab/>
      </w:r>
      <w:r w:rsidR="005F7DAB" w:rsidRPr="00BD7B01">
        <w:t xml:space="preserve">Rule 11 </w:t>
      </w:r>
    </w:p>
    <w:p w14:paraId="162ECAC7" w14:textId="2420975F" w:rsidR="005F7DAB" w:rsidRPr="00BD7B01" w:rsidRDefault="005F7DAB" w:rsidP="00120AA5">
      <w:pPr>
        <w:pStyle w:val="Normalnumber"/>
        <w:numPr>
          <w:ilvl w:val="0"/>
          <w:numId w:val="86"/>
        </w:numPr>
        <w:tabs>
          <w:tab w:val="clear" w:pos="1134"/>
        </w:tabs>
        <w:ind w:firstLine="624"/>
      </w:pPr>
      <w:r w:rsidRPr="00BD7B01">
        <w:t>In addition to exercising the powers conferred upon them elsewhere in these rules, the Co-Chairs shall:</w:t>
      </w:r>
    </w:p>
    <w:p w14:paraId="1C25DF3B" w14:textId="7DC4F65A" w:rsidR="005F7DAB" w:rsidRPr="00D555AF" w:rsidRDefault="005F7DAB" w:rsidP="00937A3E">
      <w:pPr>
        <w:pStyle w:val="Normalnumber"/>
        <w:numPr>
          <w:ilvl w:val="1"/>
          <w:numId w:val="35"/>
        </w:numPr>
        <w:tabs>
          <w:tab w:val="clear" w:pos="1134"/>
        </w:tabs>
        <w:ind w:firstLine="624"/>
      </w:pPr>
      <w:r w:rsidRPr="00D555AF">
        <w:t>Declare the opening and closure of each meeting;</w:t>
      </w:r>
    </w:p>
    <w:p w14:paraId="73F190FB" w14:textId="4DB46A19" w:rsidR="005F7DAB" w:rsidRPr="00D555AF" w:rsidRDefault="005F7DAB" w:rsidP="00937A3E">
      <w:pPr>
        <w:pStyle w:val="Normalnumber"/>
        <w:numPr>
          <w:ilvl w:val="1"/>
          <w:numId w:val="35"/>
        </w:numPr>
        <w:tabs>
          <w:tab w:val="clear" w:pos="1134"/>
        </w:tabs>
        <w:ind w:firstLine="624"/>
      </w:pPr>
      <w:r w:rsidRPr="00D555AF">
        <w:t>Preside at meetings of the Board;</w:t>
      </w:r>
    </w:p>
    <w:p w14:paraId="1553D004" w14:textId="125B63A9" w:rsidR="005F7DAB" w:rsidRPr="00D555AF" w:rsidRDefault="005F7DAB" w:rsidP="00937A3E">
      <w:pPr>
        <w:pStyle w:val="Normalnumber"/>
        <w:numPr>
          <w:ilvl w:val="1"/>
          <w:numId w:val="35"/>
        </w:numPr>
        <w:tabs>
          <w:tab w:val="clear" w:pos="1134"/>
        </w:tabs>
        <w:ind w:firstLine="624"/>
      </w:pPr>
      <w:r w:rsidRPr="00D555AF">
        <w:t>Ensure the observance of these rules;</w:t>
      </w:r>
    </w:p>
    <w:p w14:paraId="4B5FF368" w14:textId="03711A26" w:rsidR="005F7DAB" w:rsidRPr="00D555AF" w:rsidRDefault="005F7DAB" w:rsidP="00937A3E">
      <w:pPr>
        <w:pStyle w:val="Normalnumber"/>
        <w:numPr>
          <w:ilvl w:val="1"/>
          <w:numId w:val="35"/>
        </w:numPr>
        <w:tabs>
          <w:tab w:val="clear" w:pos="1134"/>
        </w:tabs>
        <w:ind w:firstLine="624"/>
      </w:pPr>
      <w:r w:rsidRPr="00D555AF">
        <w:t>Request disclosure of any personal and/or financial conflict of interest;</w:t>
      </w:r>
    </w:p>
    <w:p w14:paraId="3B09C156" w14:textId="789D682E" w:rsidR="005F7DAB" w:rsidRPr="00D555AF" w:rsidRDefault="005F7DAB" w:rsidP="00937A3E">
      <w:pPr>
        <w:pStyle w:val="Normalnumber"/>
        <w:numPr>
          <w:ilvl w:val="1"/>
          <w:numId w:val="35"/>
        </w:numPr>
        <w:tabs>
          <w:tab w:val="clear" w:pos="1134"/>
        </w:tabs>
        <w:ind w:firstLine="624"/>
      </w:pPr>
      <w:r w:rsidRPr="00D555AF">
        <w:t>Accord the right to speak;</w:t>
      </w:r>
    </w:p>
    <w:p w14:paraId="004AD0F2" w14:textId="0020B97A" w:rsidR="005F7DAB" w:rsidRPr="00D555AF" w:rsidRDefault="005F7DAB" w:rsidP="00937A3E">
      <w:pPr>
        <w:pStyle w:val="Normalnumber"/>
        <w:numPr>
          <w:ilvl w:val="1"/>
          <w:numId w:val="35"/>
        </w:numPr>
        <w:tabs>
          <w:tab w:val="clear" w:pos="1134"/>
        </w:tabs>
        <w:ind w:firstLine="624"/>
      </w:pPr>
      <w:r w:rsidRPr="00D555AF">
        <w:t>Put questions to the vote and announce decisions;</w:t>
      </w:r>
    </w:p>
    <w:p w14:paraId="513E7914" w14:textId="1D572F9B" w:rsidR="005F7DAB" w:rsidRPr="00D555AF" w:rsidRDefault="005F7DAB" w:rsidP="00937A3E">
      <w:pPr>
        <w:pStyle w:val="Normalnumber"/>
        <w:numPr>
          <w:ilvl w:val="1"/>
          <w:numId w:val="35"/>
        </w:numPr>
        <w:tabs>
          <w:tab w:val="clear" w:pos="1134"/>
        </w:tabs>
        <w:ind w:firstLine="624"/>
      </w:pPr>
      <w:r w:rsidRPr="00D555AF">
        <w:t>Rule on any points of order;</w:t>
      </w:r>
    </w:p>
    <w:p w14:paraId="64B7D1B3" w14:textId="57F11326" w:rsidR="005F7DAB" w:rsidRPr="00D555AF" w:rsidRDefault="005F7DAB" w:rsidP="00937A3E">
      <w:pPr>
        <w:pStyle w:val="Normalnumber"/>
        <w:numPr>
          <w:ilvl w:val="1"/>
          <w:numId w:val="35"/>
        </w:numPr>
        <w:tabs>
          <w:tab w:val="clear" w:pos="1134"/>
        </w:tabs>
        <w:ind w:firstLine="624"/>
      </w:pPr>
      <w:r w:rsidRPr="00D555AF">
        <w:t>Subject to these rules, have complete control over the proceedings and maintain order.</w:t>
      </w:r>
    </w:p>
    <w:p w14:paraId="7AF4BBA8" w14:textId="2C25E924" w:rsidR="005F7DAB" w:rsidRPr="00BD7B01" w:rsidRDefault="005F7DAB" w:rsidP="00120AA5">
      <w:pPr>
        <w:pStyle w:val="Normalnumber"/>
        <w:numPr>
          <w:ilvl w:val="0"/>
          <w:numId w:val="86"/>
        </w:numPr>
        <w:tabs>
          <w:tab w:val="clear" w:pos="1134"/>
        </w:tabs>
        <w:ind w:firstLine="624"/>
        <w:rPr>
          <w:rFonts w:asciiTheme="majorBidi" w:hAnsiTheme="majorBidi" w:cstheme="majorBidi"/>
        </w:rPr>
      </w:pPr>
      <w:r w:rsidRPr="00BD7B01">
        <w:rPr>
          <w:rFonts w:asciiTheme="majorBidi" w:hAnsiTheme="majorBidi" w:cstheme="majorBidi"/>
        </w:rPr>
        <w:t>The Co-Chairs may also propose:</w:t>
      </w:r>
    </w:p>
    <w:p w14:paraId="19D010FF" w14:textId="4F8A52AA" w:rsidR="005F7DAB" w:rsidRPr="00BD7B01" w:rsidRDefault="005F7DAB" w:rsidP="00937A3E">
      <w:pPr>
        <w:pStyle w:val="Normalnumber"/>
        <w:numPr>
          <w:ilvl w:val="1"/>
          <w:numId w:val="35"/>
        </w:numPr>
        <w:tabs>
          <w:tab w:val="clear" w:pos="1134"/>
        </w:tabs>
        <w:ind w:firstLine="624"/>
      </w:pPr>
      <w:r w:rsidRPr="00BD7B01">
        <w:t>The closure of the list of speakers;</w:t>
      </w:r>
    </w:p>
    <w:p w14:paraId="5E28CEF1" w14:textId="2A88D043" w:rsidR="005F7DAB" w:rsidRPr="00BD7B01" w:rsidRDefault="005F7DAB" w:rsidP="00937A3E">
      <w:pPr>
        <w:pStyle w:val="Normalnumber"/>
        <w:numPr>
          <w:ilvl w:val="1"/>
          <w:numId w:val="35"/>
        </w:numPr>
        <w:tabs>
          <w:tab w:val="clear" w:pos="1134"/>
        </w:tabs>
        <w:ind w:firstLine="624"/>
      </w:pPr>
      <w:r w:rsidRPr="00BD7B01">
        <w:t>A limitation on the time to be allowed to speakers and on the number of times a participant may speak on an issue;</w:t>
      </w:r>
    </w:p>
    <w:p w14:paraId="5E97D841" w14:textId="34C9FDB7" w:rsidR="005F7DAB" w:rsidRPr="00BD7B01" w:rsidRDefault="005F7DAB" w:rsidP="00937A3E">
      <w:pPr>
        <w:pStyle w:val="Normalnumber"/>
        <w:numPr>
          <w:ilvl w:val="1"/>
          <w:numId w:val="35"/>
        </w:numPr>
        <w:tabs>
          <w:tab w:val="clear" w:pos="1134"/>
        </w:tabs>
        <w:ind w:firstLine="624"/>
      </w:pPr>
      <w:r w:rsidRPr="00BD7B01">
        <w:t>The adjournment or closure of debate on an issue;</w:t>
      </w:r>
    </w:p>
    <w:p w14:paraId="02501440" w14:textId="2740850C" w:rsidR="005F7DAB" w:rsidRPr="00BD7B01" w:rsidRDefault="005F7DAB" w:rsidP="00937A3E">
      <w:pPr>
        <w:pStyle w:val="Normalnumber"/>
        <w:numPr>
          <w:ilvl w:val="1"/>
          <w:numId w:val="35"/>
        </w:numPr>
        <w:tabs>
          <w:tab w:val="clear" w:pos="1134"/>
        </w:tabs>
        <w:ind w:firstLine="624"/>
      </w:pPr>
      <w:r w:rsidRPr="00BD7B01">
        <w:t>The suspension or adjournment of a meeting.</w:t>
      </w:r>
    </w:p>
    <w:p w14:paraId="55259E89" w14:textId="441715FE" w:rsidR="005F7DAB" w:rsidRPr="00BD7B01" w:rsidRDefault="005F7DAB" w:rsidP="00120AA5">
      <w:pPr>
        <w:pStyle w:val="Normalnumber"/>
        <w:numPr>
          <w:ilvl w:val="0"/>
          <w:numId w:val="86"/>
        </w:numPr>
        <w:tabs>
          <w:tab w:val="clear" w:pos="1134"/>
        </w:tabs>
        <w:ind w:firstLine="624"/>
        <w:rPr>
          <w:rFonts w:asciiTheme="majorBidi" w:hAnsiTheme="majorBidi" w:cstheme="majorBidi"/>
        </w:rPr>
      </w:pPr>
      <w:r w:rsidRPr="00BD7B01">
        <w:rPr>
          <w:rFonts w:asciiTheme="majorBidi" w:hAnsiTheme="majorBidi" w:cstheme="majorBidi"/>
        </w:rPr>
        <w:t xml:space="preserve">During the intersessional period, the Co-Chairs shall assume the responsibility, with support of the </w:t>
      </w:r>
      <w:r w:rsidR="004C6306">
        <w:rPr>
          <w:rFonts w:asciiTheme="majorBidi" w:hAnsiTheme="majorBidi" w:cstheme="majorBidi"/>
        </w:rPr>
        <w:t>s</w:t>
      </w:r>
      <w:r w:rsidRPr="00BD7B01">
        <w:rPr>
          <w:rFonts w:asciiTheme="majorBidi" w:hAnsiTheme="majorBidi" w:cstheme="majorBidi"/>
        </w:rPr>
        <w:t xml:space="preserve">ecretariat, for the approval of project amendments, when necessary, and inform the members of the decision on the amendments. </w:t>
      </w:r>
    </w:p>
    <w:p w14:paraId="1F3FCBF6" w14:textId="44B39A2C" w:rsidR="005F7DAB" w:rsidRPr="00BD7B01" w:rsidRDefault="005F7DAB" w:rsidP="00120AA5">
      <w:pPr>
        <w:pStyle w:val="Normalnumber"/>
        <w:numPr>
          <w:ilvl w:val="0"/>
          <w:numId w:val="86"/>
        </w:numPr>
        <w:tabs>
          <w:tab w:val="clear" w:pos="1134"/>
        </w:tabs>
        <w:ind w:firstLine="624"/>
        <w:rPr>
          <w:rFonts w:asciiTheme="majorBidi" w:hAnsiTheme="majorBidi" w:cstheme="majorBidi"/>
        </w:rPr>
      </w:pPr>
      <w:r w:rsidRPr="00BD7B01">
        <w:rPr>
          <w:rFonts w:asciiTheme="majorBidi" w:hAnsiTheme="majorBidi" w:cstheme="majorBidi"/>
        </w:rPr>
        <w:t>The Co-Chairs, in the exercise of their functions, remain at all times under the authority of the Board.</w:t>
      </w:r>
    </w:p>
    <w:p w14:paraId="6E10E850" w14:textId="394F01E2" w:rsidR="005F7DAB" w:rsidRDefault="00BA372C" w:rsidP="00BA372C">
      <w:pPr>
        <w:pStyle w:val="CH3"/>
      </w:pPr>
      <w:r>
        <w:tab/>
      </w:r>
      <w:r>
        <w:tab/>
      </w:r>
      <w:r w:rsidR="005F7DAB" w:rsidRPr="00BD7B01">
        <w:t>Rule 12</w:t>
      </w:r>
    </w:p>
    <w:p w14:paraId="19AD29FE" w14:textId="2BA1C640" w:rsidR="005F7DAB" w:rsidRPr="00BD7B01" w:rsidRDefault="005F7DAB" w:rsidP="00937A3E">
      <w:pPr>
        <w:pStyle w:val="Normalnumber"/>
        <w:numPr>
          <w:ilvl w:val="0"/>
          <w:numId w:val="90"/>
        </w:numPr>
        <w:tabs>
          <w:tab w:val="clear" w:pos="1134"/>
        </w:tabs>
        <w:ind w:firstLine="624"/>
      </w:pPr>
      <w:r w:rsidRPr="00BD7B01">
        <w:t xml:space="preserve">If a Co-Chair cannot preside at a segment of the meeting, the other Co-Chair shall fulfil his or her functions. </w:t>
      </w:r>
    </w:p>
    <w:p w14:paraId="2330C287" w14:textId="0CB9E1A8" w:rsidR="005F7DAB" w:rsidRPr="00400CDF" w:rsidRDefault="005F7DAB" w:rsidP="00400CDF">
      <w:pPr>
        <w:pStyle w:val="Normalnumber"/>
        <w:numPr>
          <w:ilvl w:val="0"/>
          <w:numId w:val="90"/>
        </w:numPr>
        <w:tabs>
          <w:tab w:val="clear" w:pos="1134"/>
        </w:tabs>
        <w:ind w:firstLine="624"/>
      </w:pPr>
      <w:r w:rsidRPr="00BD7B01">
        <w:lastRenderedPageBreak/>
        <w:t>If a Co-Chair cannot preside over a meeting, the Board shall agree on a member to be appointed to fulfil his or her functions.</w:t>
      </w:r>
    </w:p>
    <w:p w14:paraId="20A372F0" w14:textId="0E2F93ED" w:rsidR="005F7DAB" w:rsidRPr="00BD7B01" w:rsidRDefault="005F7DAB" w:rsidP="00400CDF">
      <w:pPr>
        <w:pStyle w:val="Normalnumber"/>
        <w:numPr>
          <w:ilvl w:val="0"/>
          <w:numId w:val="90"/>
        </w:numPr>
        <w:tabs>
          <w:tab w:val="clear" w:pos="1134"/>
        </w:tabs>
        <w:ind w:firstLine="624"/>
      </w:pPr>
      <w:r w:rsidRPr="00BD7B01">
        <w:t xml:space="preserve">If a Co-Chair resigns or is otherwise unable to complete his or her term, </w:t>
      </w:r>
      <w:r w:rsidR="004C6306">
        <w:t xml:space="preserve">the Board shall elect </w:t>
      </w:r>
      <w:r w:rsidRPr="00BD7B01">
        <w:t xml:space="preserve">a replacement from among </w:t>
      </w:r>
      <w:r w:rsidR="004C6306">
        <w:t>its</w:t>
      </w:r>
      <w:r w:rsidR="004C6306" w:rsidRPr="00BD7B01">
        <w:t xml:space="preserve"> </w:t>
      </w:r>
      <w:r w:rsidRPr="00BD7B01">
        <w:t xml:space="preserve">members to complete the original two-year term. </w:t>
      </w:r>
    </w:p>
    <w:p w14:paraId="0EC24D1B" w14:textId="52040DB2" w:rsidR="005F7DAB" w:rsidRDefault="00BA372C" w:rsidP="00BA372C">
      <w:pPr>
        <w:pStyle w:val="CH1"/>
      </w:pPr>
      <w:r>
        <w:tab/>
        <w:t>VIII.</w:t>
      </w:r>
      <w:r>
        <w:tab/>
      </w:r>
      <w:r w:rsidR="005F7DAB" w:rsidRPr="00BD7B01">
        <w:t>Secretariat</w:t>
      </w:r>
    </w:p>
    <w:p w14:paraId="4F14BA62" w14:textId="72E17F66" w:rsidR="005F7DAB" w:rsidRDefault="00BA372C" w:rsidP="00BA372C">
      <w:pPr>
        <w:pStyle w:val="CH3"/>
      </w:pPr>
      <w:r>
        <w:tab/>
      </w:r>
      <w:r>
        <w:tab/>
      </w:r>
      <w:r w:rsidR="005F7DAB" w:rsidRPr="00BD7B01">
        <w:t>Rule 13</w:t>
      </w:r>
    </w:p>
    <w:p w14:paraId="4CA02326" w14:textId="2CDFDFFF" w:rsidR="00937A3E" w:rsidRDefault="005F7DAB" w:rsidP="00937A3E">
      <w:pPr>
        <w:pStyle w:val="Normalnumber"/>
        <w:numPr>
          <w:ilvl w:val="0"/>
          <w:numId w:val="91"/>
        </w:numPr>
        <w:tabs>
          <w:tab w:val="clear" w:pos="1134"/>
        </w:tabs>
        <w:ind w:firstLine="624"/>
      </w:pPr>
      <w:r w:rsidRPr="00BD7B01">
        <w:t xml:space="preserve">The </w:t>
      </w:r>
      <w:r w:rsidR="004C6306">
        <w:t>s</w:t>
      </w:r>
      <w:r w:rsidRPr="00BD7B01">
        <w:t xml:space="preserve">ecretariat of the Minamata Convention shall provide secretariat services to the </w:t>
      </w:r>
      <w:r w:rsidR="00EB3177">
        <w:t>S</w:t>
      </w:r>
      <w:r w:rsidRPr="00BD7B01">
        <w:t xml:space="preserve">pecific </w:t>
      </w:r>
      <w:r w:rsidR="00EB3177">
        <w:t>I</w:t>
      </w:r>
      <w:r w:rsidRPr="00BD7B01">
        <w:t xml:space="preserve">nternational </w:t>
      </w:r>
      <w:r w:rsidR="00EB3177">
        <w:t>P</w:t>
      </w:r>
      <w:r w:rsidRPr="00BD7B01">
        <w:t xml:space="preserve">rogramme and for the functioning of its Governing Board. </w:t>
      </w:r>
    </w:p>
    <w:p w14:paraId="3451B821" w14:textId="73D163E3" w:rsidR="005F7DAB" w:rsidRPr="00937A3E" w:rsidRDefault="005F7DAB" w:rsidP="00937A3E">
      <w:pPr>
        <w:pStyle w:val="Normalnumber"/>
        <w:numPr>
          <w:ilvl w:val="0"/>
          <w:numId w:val="91"/>
        </w:numPr>
        <w:tabs>
          <w:tab w:val="clear" w:pos="1134"/>
        </w:tabs>
        <w:ind w:firstLine="624"/>
      </w:pPr>
      <w:r w:rsidRPr="00BD7B01">
        <w:t xml:space="preserve">The </w:t>
      </w:r>
      <w:r w:rsidR="004C6306">
        <w:t>s</w:t>
      </w:r>
      <w:r w:rsidRPr="00BD7B01">
        <w:t xml:space="preserve">ecretariat shall receive applications to the </w:t>
      </w:r>
      <w:r w:rsidR="00EB3177">
        <w:t>S</w:t>
      </w:r>
      <w:r w:rsidRPr="00BD7B01">
        <w:t xml:space="preserve">pecific </w:t>
      </w:r>
      <w:r w:rsidR="00EB3177">
        <w:t>I</w:t>
      </w:r>
      <w:r w:rsidRPr="00BD7B01">
        <w:t xml:space="preserve">nternational </w:t>
      </w:r>
      <w:r w:rsidR="00EB3177">
        <w:t>P</w:t>
      </w:r>
      <w:r w:rsidRPr="00BD7B01">
        <w:t xml:space="preserve">rogramme, screen project applications for completeness and eligibility and appraise applications for consideration and decision by the Board. </w:t>
      </w:r>
    </w:p>
    <w:p w14:paraId="3E11A2B4" w14:textId="2A80540F" w:rsidR="005F7DAB" w:rsidRPr="00BD7B01" w:rsidRDefault="005F7DAB" w:rsidP="00937A3E">
      <w:pPr>
        <w:pStyle w:val="Normalnumber"/>
        <w:numPr>
          <w:ilvl w:val="0"/>
          <w:numId w:val="91"/>
        </w:numPr>
        <w:tabs>
          <w:tab w:val="clear" w:pos="1134"/>
        </w:tabs>
        <w:ind w:firstLine="624"/>
      </w:pPr>
      <w:r w:rsidRPr="00BD7B01">
        <w:t>In the appraisal preparation process, the Secretariat shall consult with the Secretariat of the Global Environment Facility and the Secretariat of the Special Programme</w:t>
      </w:r>
      <w:r w:rsidRPr="00BD7B01">
        <w:rPr>
          <w:rStyle w:val="Appelnotedebasdep"/>
          <w:rFonts w:asciiTheme="majorBidi" w:hAnsiTheme="majorBidi" w:cstheme="majorBidi"/>
          <w:szCs w:val="20"/>
        </w:rPr>
        <w:footnoteReference w:id="5"/>
      </w:r>
      <w:r w:rsidRPr="00BD7B01">
        <w:t xml:space="preserve"> to ensure complementarity and avoid duplication. </w:t>
      </w:r>
    </w:p>
    <w:p w14:paraId="459BAFA1" w14:textId="35E22ECA" w:rsidR="005F7DAB" w:rsidRPr="00BD7B01" w:rsidRDefault="005F7DAB" w:rsidP="00937A3E">
      <w:pPr>
        <w:pStyle w:val="Normalnumber"/>
        <w:numPr>
          <w:ilvl w:val="0"/>
          <w:numId w:val="91"/>
        </w:numPr>
        <w:tabs>
          <w:tab w:val="clear" w:pos="1134"/>
        </w:tabs>
        <w:ind w:firstLine="624"/>
      </w:pPr>
      <w:r w:rsidRPr="00BD7B01">
        <w:t xml:space="preserve">The </w:t>
      </w:r>
      <w:r w:rsidR="004C6306">
        <w:t>s</w:t>
      </w:r>
      <w:r w:rsidRPr="00BD7B01">
        <w:t xml:space="preserve">ecretariat shall make all the necessary arrangements for meetings of the </w:t>
      </w:r>
      <w:r w:rsidRPr="00EF3F72">
        <w:t>Board</w:t>
      </w:r>
      <w:r w:rsidRPr="00BD7B01">
        <w:t xml:space="preserve">, including the preparation and distribution of documents at least </w:t>
      </w:r>
      <w:r w:rsidR="00E864C7">
        <w:t>four</w:t>
      </w:r>
      <w:r w:rsidRPr="00BD7B01">
        <w:t xml:space="preserve"> weeks in advance of the meetings. </w:t>
      </w:r>
    </w:p>
    <w:p w14:paraId="1AC65BB4" w14:textId="25838FE4" w:rsidR="005F7DAB" w:rsidRDefault="00BA372C" w:rsidP="00BA372C">
      <w:pPr>
        <w:pStyle w:val="CH3"/>
      </w:pPr>
      <w:r>
        <w:tab/>
      </w:r>
      <w:r>
        <w:tab/>
      </w:r>
      <w:r w:rsidR="005F7DAB" w:rsidRPr="00BD7B01">
        <w:t>Rule 14</w:t>
      </w:r>
    </w:p>
    <w:p w14:paraId="46B8BC3E" w14:textId="77777777"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rPr>
        <w:t>The Secretariat shall further:</w:t>
      </w:r>
    </w:p>
    <w:p w14:paraId="381A702D" w14:textId="4129D359" w:rsidR="005F7DAB" w:rsidRPr="00BD7B01" w:rsidRDefault="005F7DAB" w:rsidP="00937A3E">
      <w:pPr>
        <w:pStyle w:val="Normalnumber"/>
        <w:numPr>
          <w:ilvl w:val="1"/>
          <w:numId w:val="35"/>
        </w:numPr>
        <w:tabs>
          <w:tab w:val="clear" w:pos="1134"/>
        </w:tabs>
        <w:ind w:firstLine="624"/>
      </w:pPr>
      <w:r w:rsidRPr="00BD7B01">
        <w:t>Receive, reproduce and distribute other documents for the meetings of the Board;</w:t>
      </w:r>
    </w:p>
    <w:p w14:paraId="694E41D1" w14:textId="621A18A4" w:rsidR="005F7DAB" w:rsidRPr="00BD7B01" w:rsidRDefault="005F7DAB" w:rsidP="00937A3E">
      <w:pPr>
        <w:pStyle w:val="Normalnumber"/>
        <w:numPr>
          <w:ilvl w:val="1"/>
          <w:numId w:val="35"/>
        </w:numPr>
        <w:tabs>
          <w:tab w:val="clear" w:pos="1134"/>
        </w:tabs>
        <w:ind w:firstLine="624"/>
      </w:pPr>
      <w:r w:rsidRPr="00BD7B01">
        <w:t>Prepare a report of each meeting</w:t>
      </w:r>
      <w:r w:rsidR="0041621B" w:rsidRPr="0041621B">
        <w:t xml:space="preserve"> </w:t>
      </w:r>
      <w:r w:rsidR="0041621B" w:rsidRPr="00BD7B01">
        <w:t xml:space="preserve">and make </w:t>
      </w:r>
      <w:r w:rsidR="0041621B">
        <w:t xml:space="preserve">it </w:t>
      </w:r>
      <w:r w:rsidR="0041621B" w:rsidRPr="00BD7B01">
        <w:t>publicly available</w:t>
      </w:r>
      <w:r w:rsidRPr="00BD7B01">
        <w:t>;</w:t>
      </w:r>
    </w:p>
    <w:p w14:paraId="7A3FD619" w14:textId="3D6DAE1D" w:rsidR="005F7DAB" w:rsidRPr="00BD7B01" w:rsidRDefault="005F7DAB" w:rsidP="00937A3E">
      <w:pPr>
        <w:pStyle w:val="Normalnumber"/>
        <w:numPr>
          <w:ilvl w:val="1"/>
          <w:numId w:val="35"/>
        </w:numPr>
        <w:tabs>
          <w:tab w:val="clear" w:pos="1134"/>
        </w:tabs>
        <w:ind w:firstLine="624"/>
      </w:pPr>
      <w:r w:rsidRPr="00BD7B01">
        <w:t>Make information available on the Specific International Programme on the website of the Minamata Convention, with the exception of the applications received, the appraisals of the applications and other documents as decided by the Board;</w:t>
      </w:r>
    </w:p>
    <w:p w14:paraId="7E0581DA" w14:textId="04235F02" w:rsidR="005F7DAB" w:rsidRPr="00BD7B01" w:rsidRDefault="005F7DAB" w:rsidP="00937A3E">
      <w:pPr>
        <w:pStyle w:val="Normalnumber"/>
        <w:numPr>
          <w:ilvl w:val="1"/>
          <w:numId w:val="35"/>
        </w:numPr>
        <w:tabs>
          <w:tab w:val="clear" w:pos="1134"/>
        </w:tabs>
        <w:ind w:firstLine="624"/>
      </w:pPr>
      <w:r w:rsidRPr="00BD7B01">
        <w:t xml:space="preserve">Arrange for the custody and preservation of the documents of each meeting in the archives of the </w:t>
      </w:r>
      <w:r w:rsidR="004C6306">
        <w:t>s</w:t>
      </w:r>
      <w:r w:rsidRPr="00BD7B01">
        <w:t xml:space="preserve">ecretariat; </w:t>
      </w:r>
    </w:p>
    <w:p w14:paraId="3453834E" w14:textId="5C008453" w:rsidR="005F7DAB" w:rsidRPr="00BD7B01" w:rsidRDefault="005F7DAB" w:rsidP="00937A3E">
      <w:pPr>
        <w:pStyle w:val="Normalnumber"/>
        <w:numPr>
          <w:ilvl w:val="1"/>
          <w:numId w:val="35"/>
        </w:numPr>
        <w:tabs>
          <w:tab w:val="clear" w:pos="1134"/>
        </w:tabs>
        <w:ind w:firstLine="624"/>
      </w:pPr>
      <w:r w:rsidRPr="00BD7B01">
        <w:t>Perform such other tasks as the Board may require in relation to its functions.</w:t>
      </w:r>
    </w:p>
    <w:p w14:paraId="0E86B245" w14:textId="6F96D613" w:rsidR="005F7DAB" w:rsidRDefault="00BA372C" w:rsidP="00BA372C">
      <w:pPr>
        <w:pStyle w:val="CH3"/>
      </w:pPr>
      <w:r>
        <w:tab/>
      </w:r>
      <w:r>
        <w:tab/>
      </w:r>
      <w:r w:rsidR="005F7DAB" w:rsidRPr="00BD7B01">
        <w:t>Rule 15</w:t>
      </w:r>
    </w:p>
    <w:p w14:paraId="6071B1B2" w14:textId="7AEC868E"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rPr>
        <w:t xml:space="preserve">The </w:t>
      </w:r>
      <w:r w:rsidR="004C6306">
        <w:rPr>
          <w:rFonts w:asciiTheme="majorBidi" w:hAnsiTheme="majorBidi" w:cstheme="majorBidi"/>
        </w:rPr>
        <w:t>s</w:t>
      </w:r>
      <w:r w:rsidRPr="00BD7B01">
        <w:rPr>
          <w:rFonts w:asciiTheme="majorBidi" w:hAnsiTheme="majorBidi" w:cstheme="majorBidi"/>
        </w:rPr>
        <w:t>ecretariat shall report</w:t>
      </w:r>
      <w:r w:rsidR="0048284A">
        <w:rPr>
          <w:rFonts w:asciiTheme="majorBidi" w:hAnsiTheme="majorBidi" w:cstheme="majorBidi"/>
        </w:rPr>
        <w:t xml:space="preserve"> on</w:t>
      </w:r>
      <w:r w:rsidRPr="00BD7B01">
        <w:rPr>
          <w:rFonts w:asciiTheme="majorBidi" w:hAnsiTheme="majorBidi" w:cstheme="majorBidi"/>
        </w:rPr>
        <w:t xml:space="preserve"> its activities to the Board and through the Board to the Conference of the Parties. The </w:t>
      </w:r>
      <w:r w:rsidR="0048284A">
        <w:rPr>
          <w:rFonts w:asciiTheme="majorBidi" w:hAnsiTheme="majorBidi" w:cstheme="majorBidi"/>
        </w:rPr>
        <w:t>s</w:t>
      </w:r>
      <w:r w:rsidRPr="00BD7B01">
        <w:rPr>
          <w:rFonts w:asciiTheme="majorBidi" w:hAnsiTheme="majorBidi" w:cstheme="majorBidi"/>
        </w:rPr>
        <w:t>ecretariat will be accountable to the Executive Director of the United</w:t>
      </w:r>
      <w:r w:rsidR="00FE2907">
        <w:rPr>
          <w:rFonts w:asciiTheme="majorBidi" w:hAnsiTheme="majorBidi" w:cstheme="majorBidi"/>
        </w:rPr>
        <w:t> </w:t>
      </w:r>
      <w:r w:rsidRPr="00BD7B01">
        <w:rPr>
          <w:rFonts w:asciiTheme="majorBidi" w:hAnsiTheme="majorBidi" w:cstheme="majorBidi"/>
        </w:rPr>
        <w:t xml:space="preserve">Nations Environment Programme for administrative and financial matters. </w:t>
      </w:r>
    </w:p>
    <w:p w14:paraId="1119AD77" w14:textId="50DF8A64" w:rsidR="005F7DAB" w:rsidRDefault="00BA372C" w:rsidP="00BA372C">
      <w:pPr>
        <w:pStyle w:val="CH1"/>
      </w:pPr>
      <w:r>
        <w:tab/>
      </w:r>
      <w:r w:rsidR="005F7DAB" w:rsidRPr="00BD7B01">
        <w:t>IX.</w:t>
      </w:r>
      <w:r>
        <w:tab/>
      </w:r>
      <w:r w:rsidR="005F7DAB" w:rsidRPr="00BD7B01">
        <w:t>Conduct of business</w:t>
      </w:r>
    </w:p>
    <w:p w14:paraId="21206F0C" w14:textId="11C7D6FF" w:rsidR="005F7DAB" w:rsidRDefault="00BA372C" w:rsidP="00BA372C">
      <w:pPr>
        <w:pStyle w:val="CH3"/>
      </w:pPr>
      <w:r>
        <w:tab/>
      </w:r>
      <w:r>
        <w:tab/>
      </w:r>
      <w:r w:rsidR="005F7DAB" w:rsidRPr="00BD7B01">
        <w:t xml:space="preserve">Rule 16 </w:t>
      </w:r>
    </w:p>
    <w:p w14:paraId="7450D767" w14:textId="098587BF" w:rsidR="005F7DAB"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rPr>
        <w:t xml:space="preserve">The Co-Chairs shall declare a session of the meeting open and permit debate to proceed when at least </w:t>
      </w:r>
      <w:r w:rsidR="0048284A">
        <w:rPr>
          <w:rFonts w:asciiTheme="majorBidi" w:hAnsiTheme="majorBidi" w:cstheme="majorBidi"/>
        </w:rPr>
        <w:t>six</w:t>
      </w:r>
      <w:r w:rsidRPr="00BD7B01">
        <w:rPr>
          <w:rFonts w:asciiTheme="majorBidi" w:hAnsiTheme="majorBidi" w:cstheme="majorBidi"/>
        </w:rPr>
        <w:t xml:space="preserve"> members participating in the meeting are present, including members from each of the five United Nations regions. The same presence of members so participating shall be required for any decision to be taken. </w:t>
      </w:r>
    </w:p>
    <w:p w14:paraId="5C648586" w14:textId="09E82F37" w:rsidR="005F7DAB" w:rsidRDefault="00BA372C" w:rsidP="00BA372C">
      <w:pPr>
        <w:pStyle w:val="CH3"/>
      </w:pPr>
      <w:r>
        <w:tab/>
      </w:r>
      <w:r>
        <w:tab/>
      </w:r>
      <w:r w:rsidR="005F7DAB" w:rsidRPr="00BD7B01">
        <w:t>Rule 17</w:t>
      </w:r>
    </w:p>
    <w:p w14:paraId="1763504E" w14:textId="0F969F19" w:rsidR="005F7DAB" w:rsidRPr="00BD7B01" w:rsidRDefault="005F7DAB" w:rsidP="00937A3E">
      <w:pPr>
        <w:pStyle w:val="Normalnumber"/>
        <w:numPr>
          <w:ilvl w:val="0"/>
          <w:numId w:val="92"/>
        </w:numPr>
        <w:tabs>
          <w:tab w:val="clear" w:pos="1134"/>
        </w:tabs>
        <w:ind w:firstLine="624"/>
      </w:pPr>
      <w:r w:rsidRPr="00BD7B01">
        <w:t xml:space="preserve">The Co-Chairs will grant permission to the members and observers to speak at a session of the meeting in </w:t>
      </w:r>
      <w:r w:rsidR="0048284A">
        <w:t xml:space="preserve">the </w:t>
      </w:r>
      <w:r w:rsidRPr="00BD7B01">
        <w:t xml:space="preserve">order in which they signify their desire to speak, taking into account that observers should normally speak after members unless </w:t>
      </w:r>
      <w:r w:rsidR="0048284A" w:rsidRPr="00BD7B01">
        <w:t xml:space="preserve">otherwise </w:t>
      </w:r>
      <w:r w:rsidRPr="00BD7B01">
        <w:t xml:space="preserve">decided by the Co-Chairs. The </w:t>
      </w:r>
      <w:r w:rsidR="0048284A">
        <w:t>s</w:t>
      </w:r>
      <w:r w:rsidRPr="00BD7B01">
        <w:t>ecretariat shall maintain a list of speakers. The Co-Chairs may call a speaker to order if the speaker’s remarks are not relevant to the subject under discussion.</w:t>
      </w:r>
    </w:p>
    <w:p w14:paraId="580C8605" w14:textId="7445AE41" w:rsidR="005F7DAB" w:rsidRDefault="005F7DAB" w:rsidP="00400CDF">
      <w:pPr>
        <w:pStyle w:val="Normalnumber"/>
        <w:numPr>
          <w:ilvl w:val="0"/>
          <w:numId w:val="92"/>
        </w:numPr>
        <w:tabs>
          <w:tab w:val="clear" w:pos="1134"/>
        </w:tabs>
        <w:ind w:firstLine="624"/>
      </w:pPr>
      <w:r w:rsidRPr="00BD7B01">
        <w:lastRenderedPageBreak/>
        <w:t>The Board may</w:t>
      </w:r>
      <w:r w:rsidR="0048284A">
        <w:t>,</w:t>
      </w:r>
      <w:r w:rsidRPr="00BD7B01">
        <w:t xml:space="preserve"> on a proposal</w:t>
      </w:r>
      <w:r w:rsidRPr="00C1570C">
        <w:rPr>
          <w:vertAlign w:val="superscript"/>
        </w:rPr>
        <w:footnoteReference w:id="6"/>
      </w:r>
      <w:r w:rsidRPr="00BD7B01">
        <w:t xml:space="preserve"> from the Co-Chairs or from any member, limit the time allowed to each speaker and the number of times each participant may speak on a question. Before a decision is taken, two members may speak in favour of and two against a proposal to set such limits. When the debate is limited and a speaker exceeds the allotted time, the Co-Chairs shall call the speaker to order without delay. </w:t>
      </w:r>
    </w:p>
    <w:p w14:paraId="737E44CE" w14:textId="239E37AA" w:rsidR="005F7DAB" w:rsidRDefault="00BA372C" w:rsidP="00BA372C">
      <w:pPr>
        <w:pStyle w:val="CH3"/>
      </w:pPr>
      <w:r>
        <w:tab/>
      </w:r>
      <w:r>
        <w:tab/>
      </w:r>
      <w:r w:rsidR="005F7DAB" w:rsidRPr="00BD7B01">
        <w:t xml:space="preserve">Rule 18 </w:t>
      </w:r>
    </w:p>
    <w:p w14:paraId="4E228E9E" w14:textId="5F217C42"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rPr>
        <w:t xml:space="preserve">During the discussion of any matter, a member may at any time raise a point of order, which shall be decided immediately by the Co-Chairs in accordance with the present rules. A member may appeal the ruling of the Co-Chairs. The appeal shall be put to </w:t>
      </w:r>
      <w:r w:rsidR="0048284A">
        <w:rPr>
          <w:rFonts w:asciiTheme="majorBidi" w:hAnsiTheme="majorBidi" w:cstheme="majorBidi"/>
        </w:rPr>
        <w:t>a</w:t>
      </w:r>
      <w:r w:rsidR="0048284A" w:rsidRPr="00BD7B01">
        <w:rPr>
          <w:rFonts w:asciiTheme="majorBidi" w:hAnsiTheme="majorBidi" w:cstheme="majorBidi"/>
        </w:rPr>
        <w:t xml:space="preserve"> </w:t>
      </w:r>
      <w:r w:rsidRPr="00BD7B01">
        <w:rPr>
          <w:rFonts w:asciiTheme="majorBidi" w:hAnsiTheme="majorBidi" w:cstheme="majorBidi"/>
        </w:rPr>
        <w:t>vote immediately and the ruling shall stand unless overruled by a simple majority of the members present and voting. A member may not, in raising a point of order, speak on the substance of the matter under discussion.</w:t>
      </w:r>
    </w:p>
    <w:p w14:paraId="31C3FA2D" w14:textId="222039D9" w:rsidR="005F7DAB" w:rsidRDefault="00BA372C" w:rsidP="00BA372C">
      <w:pPr>
        <w:pStyle w:val="CH3"/>
      </w:pPr>
      <w:r>
        <w:tab/>
      </w:r>
      <w:r>
        <w:tab/>
      </w:r>
      <w:r w:rsidR="005F7DAB" w:rsidRPr="00BD7B01">
        <w:t>Rule 19</w:t>
      </w:r>
    </w:p>
    <w:p w14:paraId="46616ED5" w14:textId="22A8E7B7"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lang w:eastAsia="fr-FR"/>
        </w:rPr>
      </w:pPr>
      <w:r w:rsidRPr="00BD7B01">
        <w:rPr>
          <w:rFonts w:asciiTheme="majorBidi" w:hAnsiTheme="majorBidi" w:cstheme="majorBidi"/>
          <w:bCs/>
        </w:rPr>
        <w:t>Any motion against the competence of the Board to d</w:t>
      </w:r>
      <w:r w:rsidRPr="00BD7B01">
        <w:rPr>
          <w:rFonts w:asciiTheme="majorBidi" w:hAnsiTheme="majorBidi" w:cstheme="majorBidi"/>
          <w:bCs/>
          <w:lang w:eastAsia="fr-FR"/>
        </w:rPr>
        <w:t>iscuss any</w:t>
      </w:r>
      <w:r w:rsidRPr="00BD7B01">
        <w:rPr>
          <w:rFonts w:asciiTheme="majorBidi" w:hAnsiTheme="majorBidi" w:cstheme="majorBidi"/>
          <w:lang w:eastAsia="fr-FR"/>
        </w:rPr>
        <w:t xml:space="preserve"> matter or to adopt a proposal or an amendment to a proposal shall only be accepted if it is supported by a two-thirds majority before the matter is discussed or a vote is taken on the proposal or amendment in question.</w:t>
      </w:r>
    </w:p>
    <w:p w14:paraId="629401C8" w14:textId="0AB09A75" w:rsidR="005F7DAB" w:rsidRPr="00BD7B01" w:rsidRDefault="00BA372C" w:rsidP="00BA372C">
      <w:pPr>
        <w:pStyle w:val="CH3"/>
      </w:pPr>
      <w:r>
        <w:tab/>
      </w:r>
      <w:r>
        <w:tab/>
      </w:r>
      <w:r w:rsidR="005F7DAB" w:rsidRPr="00BD7B01">
        <w:t>Rule 20</w:t>
      </w:r>
    </w:p>
    <w:p w14:paraId="63153B1B" w14:textId="31085959" w:rsidR="005F7DAB" w:rsidRPr="00937A3E" w:rsidRDefault="005F7DAB" w:rsidP="00937A3E">
      <w:pPr>
        <w:pStyle w:val="Normalnumber"/>
        <w:numPr>
          <w:ilvl w:val="0"/>
          <w:numId w:val="93"/>
        </w:numPr>
        <w:tabs>
          <w:tab w:val="clear" w:pos="1134"/>
        </w:tabs>
        <w:ind w:firstLine="624"/>
      </w:pPr>
      <w:r w:rsidRPr="00937A3E">
        <w:t>Subject to Rule 18, the following motions shall have precedence over all other proposals or motions</w:t>
      </w:r>
      <w:r w:rsidR="00B23ECE">
        <w:t>,</w:t>
      </w:r>
      <w:r w:rsidR="0048284A" w:rsidRPr="00937A3E">
        <w:t xml:space="preserve"> in the </w:t>
      </w:r>
      <w:r w:rsidR="00B23ECE">
        <w:t xml:space="preserve">following </w:t>
      </w:r>
      <w:r w:rsidR="0048284A" w:rsidRPr="00937A3E">
        <w:t>order</w:t>
      </w:r>
      <w:r w:rsidRPr="00937A3E">
        <w:t>:</w:t>
      </w:r>
    </w:p>
    <w:p w14:paraId="408978C3" w14:textId="1B1C834D" w:rsidR="005F7DAB" w:rsidRPr="00BD7B01" w:rsidRDefault="005F7DAB" w:rsidP="009F44C0">
      <w:pPr>
        <w:pStyle w:val="Normalnumber"/>
        <w:numPr>
          <w:ilvl w:val="1"/>
          <w:numId w:val="35"/>
        </w:numPr>
        <w:tabs>
          <w:tab w:val="clear" w:pos="1134"/>
        </w:tabs>
        <w:ind w:firstLine="624"/>
      </w:pPr>
      <w:r w:rsidRPr="00BD7B01">
        <w:t>To suspend the session;</w:t>
      </w:r>
    </w:p>
    <w:p w14:paraId="74EAB7A3" w14:textId="04DC7053" w:rsidR="005F7DAB" w:rsidRPr="00BD7B01" w:rsidRDefault="005F7DAB" w:rsidP="009F44C0">
      <w:pPr>
        <w:pStyle w:val="Normalnumber"/>
        <w:numPr>
          <w:ilvl w:val="1"/>
          <w:numId w:val="35"/>
        </w:numPr>
        <w:tabs>
          <w:tab w:val="clear" w:pos="1134"/>
        </w:tabs>
        <w:ind w:firstLine="624"/>
      </w:pPr>
      <w:r w:rsidRPr="00BD7B01">
        <w:t>To adjourn the session;</w:t>
      </w:r>
    </w:p>
    <w:p w14:paraId="6B93F082" w14:textId="28587596" w:rsidR="005F7DAB" w:rsidRPr="00BD7B01" w:rsidRDefault="005F7DAB" w:rsidP="009F44C0">
      <w:pPr>
        <w:pStyle w:val="Normalnumber"/>
        <w:numPr>
          <w:ilvl w:val="1"/>
          <w:numId w:val="35"/>
        </w:numPr>
        <w:tabs>
          <w:tab w:val="clear" w:pos="1134"/>
        </w:tabs>
        <w:ind w:firstLine="624"/>
      </w:pPr>
      <w:r w:rsidRPr="00BD7B01">
        <w:t>To adjourn the debate on the question under discussion;</w:t>
      </w:r>
    </w:p>
    <w:p w14:paraId="257E94A7" w14:textId="7B07499E" w:rsidR="005F7DAB" w:rsidRPr="00BD7B01" w:rsidRDefault="005F7DAB" w:rsidP="009F44C0">
      <w:pPr>
        <w:pStyle w:val="Normalnumber"/>
        <w:numPr>
          <w:ilvl w:val="1"/>
          <w:numId w:val="35"/>
        </w:numPr>
        <w:tabs>
          <w:tab w:val="clear" w:pos="1134"/>
        </w:tabs>
        <w:ind w:firstLine="624"/>
      </w:pPr>
      <w:r w:rsidRPr="00BD7B01">
        <w:t>To close the debate on the question under discussion.</w:t>
      </w:r>
    </w:p>
    <w:p w14:paraId="04199407" w14:textId="09A21561" w:rsidR="005F7DAB" w:rsidRPr="00BD7B01" w:rsidRDefault="005F7DAB" w:rsidP="00937A3E">
      <w:pPr>
        <w:pStyle w:val="Normalnumber"/>
        <w:numPr>
          <w:ilvl w:val="0"/>
          <w:numId w:val="93"/>
        </w:numPr>
        <w:tabs>
          <w:tab w:val="clear" w:pos="1134"/>
        </w:tabs>
        <w:ind w:firstLine="624"/>
        <w:rPr>
          <w:rFonts w:asciiTheme="majorBidi" w:hAnsiTheme="majorBidi" w:cstheme="majorBidi"/>
        </w:rPr>
      </w:pPr>
      <w:r w:rsidRPr="00BD7B01">
        <w:rPr>
          <w:rFonts w:asciiTheme="majorBidi" w:hAnsiTheme="majorBidi" w:cstheme="majorBidi"/>
        </w:rPr>
        <w:t>Permission to speak on a motion falling within paragraph 1 (a) to (d) shall be granted to the proposer and, in addition, to one speaker in favour of and two against the motion, after which it shall be put immediately to a vote.</w:t>
      </w:r>
    </w:p>
    <w:p w14:paraId="64507D59" w14:textId="1F780F7A" w:rsidR="005F7DAB" w:rsidRDefault="00BA372C" w:rsidP="00BA372C">
      <w:pPr>
        <w:pStyle w:val="CH3"/>
      </w:pPr>
      <w:r>
        <w:tab/>
      </w:r>
      <w:r>
        <w:tab/>
      </w:r>
      <w:r w:rsidR="005F7DAB" w:rsidRPr="00BD7B01">
        <w:t xml:space="preserve">Rule 21 </w:t>
      </w:r>
    </w:p>
    <w:p w14:paraId="7EE5B0FF" w14:textId="4FAD8A34"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rPr>
        <w:t>A proposal or motion may be withdrawn by its proposer at any time before voting on it has begun, provided that the proposal or motion has not been amended. A proposal or motion thus withdrawn may be reintroduced by any other representative.</w:t>
      </w:r>
    </w:p>
    <w:p w14:paraId="197AD5A7" w14:textId="545A702F" w:rsidR="005F7DAB" w:rsidRDefault="00BA372C" w:rsidP="00BA372C">
      <w:pPr>
        <w:pStyle w:val="CH3"/>
      </w:pPr>
      <w:r>
        <w:tab/>
      </w:r>
      <w:r>
        <w:tab/>
      </w:r>
      <w:r w:rsidR="005F7DAB" w:rsidRPr="00BD7B01">
        <w:t>Rule 22</w:t>
      </w:r>
    </w:p>
    <w:p w14:paraId="186339F1" w14:textId="6D350B48"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rPr>
        <w:t>When a proposal has been adopted or rejected, it may not be reconsidered at the same meeting, unless the Board decides in favour of reconsideration</w:t>
      </w:r>
      <w:r w:rsidR="00ED14B3" w:rsidRPr="00ED14B3">
        <w:rPr>
          <w:rFonts w:asciiTheme="majorBidi" w:hAnsiTheme="majorBidi" w:cstheme="majorBidi"/>
        </w:rPr>
        <w:t xml:space="preserve"> </w:t>
      </w:r>
      <w:r w:rsidR="00ED14B3" w:rsidRPr="00BD7B01">
        <w:rPr>
          <w:rFonts w:asciiTheme="majorBidi" w:hAnsiTheme="majorBidi" w:cstheme="majorBidi"/>
        </w:rPr>
        <w:t>by a two-thirds majority of the members present and voting</w:t>
      </w:r>
      <w:r w:rsidRPr="00BD7B01">
        <w:rPr>
          <w:rFonts w:asciiTheme="majorBidi" w:hAnsiTheme="majorBidi" w:cstheme="majorBidi"/>
        </w:rPr>
        <w:t>. Permission to speak on a motion to reconsider shall be accorded only to the mover and one other supporter, after which it shall be put immediately to a vote.</w:t>
      </w:r>
    </w:p>
    <w:p w14:paraId="2B562EFD" w14:textId="48E68332" w:rsidR="005F7DAB" w:rsidRPr="00BD7B01" w:rsidRDefault="00BA372C" w:rsidP="00BA372C">
      <w:pPr>
        <w:pStyle w:val="CH3"/>
      </w:pPr>
      <w:r>
        <w:tab/>
      </w:r>
      <w:r>
        <w:tab/>
      </w:r>
      <w:r w:rsidR="005F7DAB" w:rsidRPr="00BD7B01">
        <w:t>Rule 23</w:t>
      </w:r>
    </w:p>
    <w:p w14:paraId="24556EA9" w14:textId="47AE8949" w:rsidR="005F7DAB" w:rsidRPr="00BD7B01" w:rsidRDefault="005F7DAB" w:rsidP="00BC4A85">
      <w:pPr>
        <w:pStyle w:val="Normalnumber"/>
        <w:numPr>
          <w:ilvl w:val="0"/>
          <w:numId w:val="95"/>
        </w:numPr>
        <w:tabs>
          <w:tab w:val="clear" w:pos="1134"/>
        </w:tabs>
        <w:ind w:firstLine="624"/>
      </w:pPr>
      <w:r w:rsidRPr="00BD7B01">
        <w:t xml:space="preserve">In cases where a member of the Board is from </w:t>
      </w:r>
      <w:r w:rsidR="00ED14B3">
        <w:t>a</w:t>
      </w:r>
      <w:r w:rsidRPr="00BD7B01">
        <w:t xml:space="preserve"> country that has submitted a project to the Board for its consideration, that member shall be excused from participating during the deliberations of and decision-making by the Board in relation to the project in question.</w:t>
      </w:r>
      <w:r w:rsidR="006F345D">
        <w:t xml:space="preserve"> </w:t>
      </w:r>
    </w:p>
    <w:p w14:paraId="7C831F8F" w14:textId="0B6B0884" w:rsidR="005F7DAB" w:rsidRPr="00D86C56" w:rsidRDefault="005F7DAB" w:rsidP="00BC4A85">
      <w:pPr>
        <w:pStyle w:val="Normalnumber"/>
        <w:numPr>
          <w:ilvl w:val="0"/>
          <w:numId w:val="95"/>
        </w:numPr>
        <w:tabs>
          <w:tab w:val="clear" w:pos="1134"/>
        </w:tabs>
        <w:ind w:firstLine="624"/>
        <w:rPr>
          <w:rFonts w:asciiTheme="majorBidi" w:hAnsiTheme="majorBidi" w:cstheme="majorBidi"/>
        </w:rPr>
      </w:pPr>
      <w:r w:rsidRPr="00BD7B01">
        <w:rPr>
          <w:rFonts w:asciiTheme="majorBidi" w:hAnsiTheme="majorBidi" w:cstheme="majorBidi"/>
        </w:rPr>
        <w:t xml:space="preserve">Members and possible observers at the meeting have an obligation to promptly disclose to the Board, at the commencement of the meeting, </w:t>
      </w:r>
      <w:r w:rsidR="00ED14B3">
        <w:rPr>
          <w:rFonts w:asciiTheme="majorBidi" w:hAnsiTheme="majorBidi" w:cstheme="majorBidi"/>
        </w:rPr>
        <w:t>any potential</w:t>
      </w:r>
      <w:r w:rsidRPr="00BD7B01">
        <w:rPr>
          <w:rFonts w:asciiTheme="majorBidi" w:hAnsiTheme="majorBidi" w:cstheme="majorBidi"/>
        </w:rPr>
        <w:t xml:space="preserve"> personal and/or financial interest in any aspect of </w:t>
      </w:r>
      <w:r w:rsidR="00ED14B3">
        <w:rPr>
          <w:rFonts w:asciiTheme="majorBidi" w:hAnsiTheme="majorBidi" w:cstheme="majorBidi"/>
        </w:rPr>
        <w:t>a</w:t>
      </w:r>
      <w:r w:rsidR="00ED14B3" w:rsidRPr="00BD7B01">
        <w:rPr>
          <w:rFonts w:asciiTheme="majorBidi" w:hAnsiTheme="majorBidi" w:cstheme="majorBidi"/>
        </w:rPr>
        <w:t xml:space="preserve"> </w:t>
      </w:r>
      <w:r w:rsidRPr="00BD7B01">
        <w:rPr>
          <w:rFonts w:asciiTheme="majorBidi" w:hAnsiTheme="majorBidi" w:cstheme="majorBidi"/>
        </w:rPr>
        <w:t xml:space="preserve">project presented </w:t>
      </w:r>
      <w:r w:rsidRPr="005C353A">
        <w:rPr>
          <w:rFonts w:asciiTheme="majorBidi" w:hAnsiTheme="majorBidi" w:cstheme="majorBidi"/>
        </w:rPr>
        <w:t xml:space="preserve">for </w:t>
      </w:r>
      <w:r w:rsidRPr="00400CDF">
        <w:rPr>
          <w:rFonts w:asciiTheme="majorBidi" w:hAnsiTheme="majorBidi" w:cstheme="majorBidi"/>
        </w:rPr>
        <w:t>d</w:t>
      </w:r>
      <w:r w:rsidR="005C353A" w:rsidRPr="00400CDF">
        <w:rPr>
          <w:rFonts w:asciiTheme="majorBidi" w:hAnsiTheme="majorBidi" w:cstheme="majorBidi"/>
        </w:rPr>
        <w:t>iscussion</w:t>
      </w:r>
      <w:r w:rsidRPr="005C353A">
        <w:rPr>
          <w:rFonts w:asciiTheme="majorBidi" w:hAnsiTheme="majorBidi" w:cstheme="majorBidi"/>
          <w:color w:val="FF0000"/>
        </w:rPr>
        <w:t xml:space="preserve"> </w:t>
      </w:r>
      <w:r w:rsidRPr="005C353A">
        <w:rPr>
          <w:rFonts w:asciiTheme="majorBidi" w:hAnsiTheme="majorBidi" w:cstheme="majorBidi"/>
        </w:rPr>
        <w:t xml:space="preserve">and approval by the Board. In such cases, the Board shall apply the same stipulation as in the paragraph above. </w:t>
      </w:r>
    </w:p>
    <w:p w14:paraId="44183E6A" w14:textId="082FA619" w:rsidR="005F7DAB" w:rsidRDefault="00BA372C" w:rsidP="00BA372C">
      <w:pPr>
        <w:pStyle w:val="CH1"/>
      </w:pPr>
      <w:r>
        <w:lastRenderedPageBreak/>
        <w:tab/>
        <w:t>X.</w:t>
      </w:r>
      <w:r>
        <w:tab/>
      </w:r>
      <w:r w:rsidR="005F7DAB" w:rsidRPr="00BD7B01">
        <w:t>Adoption of decisions</w:t>
      </w:r>
    </w:p>
    <w:p w14:paraId="711F51B4" w14:textId="3D33752F" w:rsidR="005F7DAB" w:rsidRDefault="00BA372C" w:rsidP="00BA372C">
      <w:pPr>
        <w:pStyle w:val="CH3"/>
      </w:pPr>
      <w:r>
        <w:tab/>
      </w:r>
      <w:r>
        <w:tab/>
      </w:r>
      <w:r w:rsidR="005F7DAB" w:rsidRPr="00BD7B01">
        <w:t>Rule 24</w:t>
      </w:r>
    </w:p>
    <w:p w14:paraId="598E677E" w14:textId="243259D7" w:rsidR="005F7DAB" w:rsidRPr="00B23ECE" w:rsidRDefault="005F7DAB" w:rsidP="00B12CDD">
      <w:pPr>
        <w:pStyle w:val="Normalnumber"/>
        <w:numPr>
          <w:ilvl w:val="0"/>
          <w:numId w:val="97"/>
        </w:numPr>
        <w:tabs>
          <w:tab w:val="clear" w:pos="1134"/>
        </w:tabs>
        <w:ind w:firstLine="624"/>
      </w:pPr>
      <w:r w:rsidRPr="00B12CDD">
        <w:t xml:space="preserve">The Board will take its decisions by consensus. If all efforts to reach consensus have been exhausted and no agreement has been reached, the decision shall be taken by a three-quarters </w:t>
      </w:r>
      <w:r w:rsidRPr="00B23ECE">
        <w:t>majority of its members present and voting</w:t>
      </w:r>
      <w:r w:rsidR="00ED14B3" w:rsidRPr="00B23ECE">
        <w:t>.</w:t>
      </w:r>
    </w:p>
    <w:p w14:paraId="4725256A" w14:textId="3AAD5530" w:rsidR="005F7DAB" w:rsidRPr="00B23ECE" w:rsidRDefault="005F7DAB" w:rsidP="00400CDF">
      <w:pPr>
        <w:pStyle w:val="Normalnumber"/>
        <w:numPr>
          <w:ilvl w:val="0"/>
          <w:numId w:val="97"/>
        </w:numPr>
        <w:tabs>
          <w:tab w:val="clear" w:pos="1134"/>
        </w:tabs>
        <w:ind w:firstLine="624"/>
      </w:pPr>
      <w:r w:rsidRPr="00B23ECE">
        <w:t xml:space="preserve">The Board may decide on a matter of procedure by a majority vote of the members present and voting. </w:t>
      </w:r>
    </w:p>
    <w:p w14:paraId="771928C6" w14:textId="685B28BA" w:rsidR="005F7DAB" w:rsidRPr="00B12CDD" w:rsidRDefault="005F7DAB" w:rsidP="00400CDF">
      <w:pPr>
        <w:pStyle w:val="Normalnumber"/>
        <w:numPr>
          <w:ilvl w:val="0"/>
          <w:numId w:val="97"/>
        </w:numPr>
        <w:tabs>
          <w:tab w:val="clear" w:pos="1134"/>
        </w:tabs>
        <w:ind w:firstLine="624"/>
      </w:pPr>
      <w:r w:rsidRPr="00B12CDD">
        <w:t xml:space="preserve">Where there is disagreement as to whether a matter to be voted on is a substantive or procedural matter, the matter shall be decided by a two-thirds majority of the members present and voting. </w:t>
      </w:r>
    </w:p>
    <w:p w14:paraId="3AB3A17F" w14:textId="5A03A64F" w:rsidR="005F7DAB" w:rsidRDefault="00BA372C" w:rsidP="00BA372C">
      <w:pPr>
        <w:pStyle w:val="CH3"/>
        <w:rPr>
          <w:bCs/>
        </w:rPr>
      </w:pPr>
      <w:r>
        <w:tab/>
      </w:r>
      <w:r>
        <w:tab/>
      </w:r>
      <w:r w:rsidR="005F7DAB" w:rsidRPr="00BD7B01">
        <w:t>Rule 25</w:t>
      </w:r>
      <w:r w:rsidR="005F7DAB" w:rsidRPr="00BD7B01">
        <w:rPr>
          <w:bCs/>
        </w:rPr>
        <w:t xml:space="preserve"> </w:t>
      </w:r>
    </w:p>
    <w:p w14:paraId="184769D8" w14:textId="5E5902CB"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rPr>
        <w:t xml:space="preserve">Voting shall normally be by show of hands, except for the election of the </w:t>
      </w:r>
      <w:r w:rsidR="00ED14B3">
        <w:rPr>
          <w:rFonts w:asciiTheme="majorBidi" w:hAnsiTheme="majorBidi" w:cstheme="majorBidi"/>
        </w:rPr>
        <w:t>C</w:t>
      </w:r>
      <w:r w:rsidRPr="00BD7B01">
        <w:rPr>
          <w:rFonts w:asciiTheme="majorBidi" w:hAnsiTheme="majorBidi" w:cstheme="majorBidi"/>
        </w:rPr>
        <w:t>o-</w:t>
      </w:r>
      <w:r w:rsidR="00ED14B3">
        <w:rPr>
          <w:rFonts w:asciiTheme="majorBidi" w:hAnsiTheme="majorBidi" w:cstheme="majorBidi"/>
        </w:rPr>
        <w:t>C</w:t>
      </w:r>
      <w:r w:rsidRPr="00BD7B01">
        <w:rPr>
          <w:rFonts w:asciiTheme="majorBidi" w:hAnsiTheme="majorBidi" w:cstheme="majorBidi"/>
        </w:rPr>
        <w:t>hairs</w:t>
      </w:r>
      <w:r w:rsidR="00ED14B3">
        <w:rPr>
          <w:rFonts w:asciiTheme="majorBidi" w:hAnsiTheme="majorBidi" w:cstheme="majorBidi"/>
        </w:rPr>
        <w:t>,</w:t>
      </w:r>
      <w:r w:rsidRPr="00BD7B01">
        <w:rPr>
          <w:rFonts w:asciiTheme="majorBidi" w:hAnsiTheme="majorBidi" w:cstheme="majorBidi"/>
        </w:rPr>
        <w:t xml:space="preserve"> which is governed by Rule</w:t>
      </w:r>
      <w:r w:rsidR="00ED14B3">
        <w:rPr>
          <w:rFonts w:asciiTheme="majorBidi" w:hAnsiTheme="majorBidi" w:cstheme="majorBidi"/>
        </w:rPr>
        <w:t> </w:t>
      </w:r>
      <w:r w:rsidRPr="00BD7B01">
        <w:rPr>
          <w:rFonts w:asciiTheme="majorBidi" w:hAnsiTheme="majorBidi" w:cstheme="majorBidi"/>
        </w:rPr>
        <w:t>10. A roll-call vote shall be taken if one is requested by any member. It shall be taken in order as determined by lot drawn by the Co-Chairs.</w:t>
      </w:r>
    </w:p>
    <w:p w14:paraId="700CD3E2" w14:textId="79C79BE5" w:rsidR="005F7DAB" w:rsidRDefault="00BA372C" w:rsidP="00BA372C">
      <w:pPr>
        <w:pStyle w:val="CH3"/>
      </w:pPr>
      <w:r>
        <w:tab/>
      </w:r>
      <w:r>
        <w:tab/>
      </w:r>
      <w:r w:rsidR="005F7DAB" w:rsidRPr="00BD7B01">
        <w:t>Rule 26</w:t>
      </w:r>
    </w:p>
    <w:p w14:paraId="37296B4E" w14:textId="77777777"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rPr>
      </w:pPr>
      <w:r w:rsidRPr="00BD7B01">
        <w:rPr>
          <w:rFonts w:asciiTheme="majorBidi" w:hAnsiTheme="majorBidi" w:cstheme="majorBidi"/>
          <w:bCs/>
        </w:rPr>
        <w:t>The vote of each member in a roll-call vote shall be recorded in the report of the meeting.</w:t>
      </w:r>
    </w:p>
    <w:p w14:paraId="4E99450E" w14:textId="414851F0" w:rsidR="005F7DAB" w:rsidRDefault="00BA372C" w:rsidP="00BA372C">
      <w:pPr>
        <w:pStyle w:val="CH3"/>
      </w:pPr>
      <w:r>
        <w:tab/>
      </w:r>
      <w:r>
        <w:tab/>
      </w:r>
      <w:r w:rsidR="005F7DAB" w:rsidRPr="00BD7B01">
        <w:t>Rule 27</w:t>
      </w:r>
    </w:p>
    <w:p w14:paraId="68FB0FC3" w14:textId="1AE32BDE"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rPr>
        <w:t>After the Co-Chairs have announced the beginning of voting, no member shall interrupt the voting except on a point of order in connection with the actual conduct of the voting. The Co-Chairs may permit members to explain their votes, either before or after the voting, and may limit the time allowed for such explanations.</w:t>
      </w:r>
    </w:p>
    <w:p w14:paraId="3318F5AF" w14:textId="54D1AF3E" w:rsidR="005F7DAB" w:rsidRPr="00BD7B01" w:rsidRDefault="00BA372C" w:rsidP="00BA372C">
      <w:pPr>
        <w:pStyle w:val="CH3"/>
      </w:pPr>
      <w:r>
        <w:tab/>
      </w:r>
      <w:r>
        <w:tab/>
      </w:r>
      <w:r w:rsidR="005F7DAB" w:rsidRPr="00BD7B01">
        <w:t xml:space="preserve">Rule 28 </w:t>
      </w:r>
    </w:p>
    <w:p w14:paraId="5F95F744" w14:textId="77777777"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rPr>
      </w:pPr>
      <w:r w:rsidRPr="00BD7B01">
        <w:rPr>
          <w:rFonts w:asciiTheme="majorBidi" w:hAnsiTheme="majorBidi" w:cstheme="majorBidi"/>
          <w:bCs/>
        </w:rPr>
        <w:t>Each member shall have one vote.</w:t>
      </w:r>
    </w:p>
    <w:p w14:paraId="6F4666ED" w14:textId="231C2B3D" w:rsidR="005F7DAB" w:rsidRDefault="00BA372C" w:rsidP="00BA372C">
      <w:pPr>
        <w:pStyle w:val="CH1"/>
      </w:pPr>
      <w:r>
        <w:tab/>
      </w:r>
      <w:r w:rsidR="005F7DAB" w:rsidRPr="00BD7B01">
        <w:t>XI.</w:t>
      </w:r>
      <w:r>
        <w:tab/>
      </w:r>
      <w:r w:rsidR="005F7DAB" w:rsidRPr="00BD7B01">
        <w:t xml:space="preserve">Language </w:t>
      </w:r>
    </w:p>
    <w:p w14:paraId="7AE78F3A" w14:textId="280DB39D" w:rsidR="005F7DAB" w:rsidRDefault="00BA372C" w:rsidP="00BA372C">
      <w:pPr>
        <w:pStyle w:val="CH3"/>
      </w:pPr>
      <w:r>
        <w:tab/>
      </w:r>
      <w:r>
        <w:tab/>
      </w:r>
      <w:r w:rsidR="005F7DAB" w:rsidRPr="00BD7B01">
        <w:t>Rule 29</w:t>
      </w:r>
    </w:p>
    <w:p w14:paraId="206E8B19" w14:textId="77777777"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bCs/>
        </w:rPr>
      </w:pPr>
      <w:r w:rsidRPr="00BD7B01">
        <w:rPr>
          <w:rFonts w:asciiTheme="majorBidi" w:hAnsiTheme="majorBidi" w:cstheme="majorBidi"/>
          <w:bCs/>
        </w:rPr>
        <w:t>Meetings shall be held in English. Meeting documents and meeting reports will be in English only.</w:t>
      </w:r>
    </w:p>
    <w:p w14:paraId="2DCD1A72" w14:textId="7839903E" w:rsidR="005F7DAB" w:rsidRDefault="00BA372C" w:rsidP="00BA372C">
      <w:pPr>
        <w:pStyle w:val="CH1"/>
      </w:pPr>
      <w:r>
        <w:tab/>
      </w:r>
      <w:r w:rsidR="005F7DAB" w:rsidRPr="00BD7B01">
        <w:t>XII.</w:t>
      </w:r>
      <w:r>
        <w:tab/>
      </w:r>
      <w:r w:rsidR="005F7DAB" w:rsidRPr="00BD7B01">
        <w:t xml:space="preserve">Amendments to rules of procedure </w:t>
      </w:r>
    </w:p>
    <w:p w14:paraId="307C46BB" w14:textId="4C278801" w:rsidR="005F7DAB" w:rsidRDefault="00BA372C" w:rsidP="00BA372C">
      <w:pPr>
        <w:pStyle w:val="CH3"/>
      </w:pPr>
      <w:r>
        <w:tab/>
      </w:r>
      <w:r>
        <w:tab/>
      </w:r>
      <w:r w:rsidR="005F7DAB" w:rsidRPr="00BD7B01">
        <w:t>Rule 30</w:t>
      </w:r>
    </w:p>
    <w:p w14:paraId="2AB23A11" w14:textId="77777777" w:rsidR="005F7DAB" w:rsidRPr="00BD7B01" w:rsidRDefault="005F7DAB" w:rsidP="00F60645">
      <w:pPr>
        <w:pStyle w:val="NormalNonumber"/>
        <w:tabs>
          <w:tab w:val="clear" w:pos="1247"/>
          <w:tab w:val="clear" w:pos="1814"/>
          <w:tab w:val="clear" w:pos="2381"/>
          <w:tab w:val="clear" w:pos="2948"/>
          <w:tab w:val="clear" w:pos="3515"/>
          <w:tab w:val="clear" w:pos="4082"/>
          <w:tab w:val="left" w:pos="624"/>
        </w:tabs>
        <w:ind w:firstLine="624"/>
        <w:rPr>
          <w:rFonts w:asciiTheme="majorBidi" w:hAnsiTheme="majorBidi" w:cstheme="majorBidi"/>
        </w:rPr>
      </w:pPr>
      <w:r w:rsidRPr="00BD7B01">
        <w:rPr>
          <w:rFonts w:asciiTheme="majorBidi" w:hAnsiTheme="majorBidi" w:cstheme="majorBidi"/>
          <w:bCs/>
        </w:rPr>
        <w:t>Amendments to these rules of procedure shall be adopted in</w:t>
      </w:r>
      <w:r w:rsidRPr="00BD7B01">
        <w:rPr>
          <w:rFonts w:asciiTheme="majorBidi" w:hAnsiTheme="majorBidi" w:cstheme="majorBidi"/>
        </w:rPr>
        <w:t xml:space="preserve"> accordance with Rule 24.</w:t>
      </w:r>
    </w:p>
    <w:p w14:paraId="7BC4AA0B" w14:textId="52D2D00E" w:rsidR="001D5DDB" w:rsidRPr="00917EE1" w:rsidRDefault="001D5DDB" w:rsidP="00917EE1">
      <w:pPr>
        <w:pStyle w:val="Normal-pool"/>
      </w:pPr>
      <w:r w:rsidRPr="00917EE1">
        <w:br w:type="page"/>
      </w:r>
    </w:p>
    <w:p w14:paraId="686B5EA3" w14:textId="518CDE23" w:rsidR="001D5DDB" w:rsidRPr="007C0AC9" w:rsidRDefault="001D5DDB" w:rsidP="001D5DDB">
      <w:pPr>
        <w:pStyle w:val="Normal-pool"/>
        <w:rPr>
          <w:b/>
          <w:bCs/>
          <w:sz w:val="28"/>
          <w:szCs w:val="28"/>
        </w:rPr>
      </w:pPr>
      <w:r>
        <w:rPr>
          <w:b/>
          <w:bCs/>
          <w:sz w:val="28"/>
          <w:szCs w:val="28"/>
        </w:rPr>
        <w:lastRenderedPageBreak/>
        <w:t>Annex III</w:t>
      </w:r>
    </w:p>
    <w:p w14:paraId="183E1B7E" w14:textId="07303123" w:rsidR="001D5DDB" w:rsidRPr="001D5DDB" w:rsidRDefault="009F44C0" w:rsidP="00F37B67">
      <w:pPr>
        <w:pStyle w:val="CH2"/>
        <w:spacing w:before="120" w:after="60"/>
      </w:pPr>
      <w:r>
        <w:tab/>
      </w:r>
      <w:r>
        <w:tab/>
      </w:r>
      <w:r w:rsidR="001D5DDB" w:rsidRPr="001D5DDB">
        <w:t>Applications received for the first round of applications, by region</w:t>
      </w:r>
    </w:p>
    <w:p w14:paraId="30E272AE" w14:textId="6E9FE22B" w:rsidR="0041621B" w:rsidRDefault="00076B69" w:rsidP="00F37B67">
      <w:pPr>
        <w:pStyle w:val="NormalNonumber"/>
        <w:spacing w:after="0"/>
      </w:pPr>
      <w:r>
        <w:rPr>
          <w:noProof/>
          <w:lang w:val="fr-FR" w:eastAsia="zh-CN"/>
        </w:rPr>
        <w:drawing>
          <wp:inline distT="0" distB="0" distL="0" distR="0" wp14:anchorId="33193FC5" wp14:editId="7355066A">
            <wp:extent cx="3133725" cy="3271838"/>
            <wp:effectExtent l="0" t="0" r="9525" b="5080"/>
            <wp:docPr id="1" name="Chart 1">
              <a:extLst xmlns:a="http://schemas.openxmlformats.org/drawingml/2006/main">
                <a:ext uri="{FF2B5EF4-FFF2-40B4-BE49-F238E27FC236}">
                  <a16:creationId xmlns:a16="http://schemas.microsoft.com/office/drawing/2014/main" id="{E76AB67A-FCD9-4720-89A7-E4CD70D8E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C18B7C" w14:textId="185D7D8A" w:rsidR="001D5DDB" w:rsidRPr="00B9020C" w:rsidRDefault="001F4DAE" w:rsidP="00F37B67">
      <w:pPr>
        <w:pStyle w:val="NormalNonumber"/>
        <w:rPr>
          <w:sz w:val="18"/>
          <w:szCs w:val="18"/>
        </w:rPr>
      </w:pPr>
      <w:r w:rsidRPr="00B9020C">
        <w:rPr>
          <w:i/>
          <w:sz w:val="18"/>
          <w:szCs w:val="18"/>
        </w:rPr>
        <w:t>Abbreviations</w:t>
      </w:r>
      <w:r w:rsidRPr="00B9020C">
        <w:rPr>
          <w:sz w:val="18"/>
          <w:szCs w:val="18"/>
        </w:rPr>
        <w:t xml:space="preserve">: </w:t>
      </w:r>
      <w:r w:rsidR="00AD618B">
        <w:rPr>
          <w:sz w:val="18"/>
          <w:szCs w:val="18"/>
        </w:rPr>
        <w:t xml:space="preserve">Asia – Asia-Pacific; </w:t>
      </w:r>
      <w:r w:rsidR="00E218CA" w:rsidRPr="00B9020C">
        <w:rPr>
          <w:sz w:val="18"/>
          <w:szCs w:val="18"/>
        </w:rPr>
        <w:t xml:space="preserve">CEE </w:t>
      </w:r>
      <w:r w:rsidR="005E4DC7">
        <w:rPr>
          <w:sz w:val="18"/>
          <w:szCs w:val="18"/>
        </w:rPr>
        <w:t>–</w:t>
      </w:r>
      <w:r w:rsidR="00E218CA" w:rsidRPr="00B9020C">
        <w:rPr>
          <w:sz w:val="18"/>
          <w:szCs w:val="18"/>
        </w:rPr>
        <w:t xml:space="preserve"> Central and Eastern Europe</w:t>
      </w:r>
      <w:r w:rsidR="00FE4004">
        <w:rPr>
          <w:sz w:val="18"/>
          <w:szCs w:val="18"/>
        </w:rPr>
        <w:t>;</w:t>
      </w:r>
      <w:r w:rsidR="00E218CA" w:rsidRPr="00B9020C">
        <w:rPr>
          <w:sz w:val="18"/>
          <w:szCs w:val="18"/>
        </w:rPr>
        <w:t xml:space="preserve"> LAC </w:t>
      </w:r>
      <w:r w:rsidR="005E4DC7">
        <w:rPr>
          <w:sz w:val="18"/>
          <w:szCs w:val="18"/>
        </w:rPr>
        <w:t>–</w:t>
      </w:r>
      <w:r w:rsidR="00E218CA" w:rsidRPr="00B9020C">
        <w:rPr>
          <w:sz w:val="18"/>
          <w:szCs w:val="18"/>
        </w:rPr>
        <w:t xml:space="preserve"> Latin America and the Caribbean. </w:t>
      </w:r>
    </w:p>
    <w:p w14:paraId="39077B05" w14:textId="0ADAB2C8" w:rsidR="001D5DDB" w:rsidRPr="00917EE1" w:rsidRDefault="009F44C0" w:rsidP="00F37B67">
      <w:pPr>
        <w:pStyle w:val="CH2"/>
        <w:spacing w:before="240" w:after="60"/>
      </w:pPr>
      <w:r>
        <w:tab/>
      </w:r>
      <w:r>
        <w:tab/>
      </w:r>
      <w:r w:rsidR="001D5DDB" w:rsidRPr="00917EE1">
        <w:t xml:space="preserve">Applications received for the first </w:t>
      </w:r>
      <w:r w:rsidR="001D5DDB" w:rsidRPr="00E31154">
        <w:t>round of applications, by countr</w:t>
      </w:r>
      <w:r w:rsidR="002F099A" w:rsidRPr="00E31154">
        <w:t>ies’ economic status</w:t>
      </w:r>
    </w:p>
    <w:p w14:paraId="5A54020D" w14:textId="09DE1FB9" w:rsidR="0041621B" w:rsidRDefault="00076B69" w:rsidP="00F37B67">
      <w:pPr>
        <w:pStyle w:val="NormalNonumber"/>
        <w:spacing w:after="0"/>
      </w:pPr>
      <w:r>
        <w:rPr>
          <w:noProof/>
          <w:lang w:val="fr-FR" w:eastAsia="zh-CN"/>
        </w:rPr>
        <w:drawing>
          <wp:inline distT="0" distB="0" distL="0" distR="0" wp14:anchorId="2973B202" wp14:editId="2F1C9CF2">
            <wp:extent cx="3128964" cy="3033712"/>
            <wp:effectExtent l="0" t="0" r="14605" b="14605"/>
            <wp:docPr id="4" name="Chart 4">
              <a:extLst xmlns:a="http://schemas.openxmlformats.org/drawingml/2006/main">
                <a:ext uri="{FF2B5EF4-FFF2-40B4-BE49-F238E27FC236}">
                  <a16:creationId xmlns:a16="http://schemas.microsoft.com/office/drawing/2014/main" id="{2FD997DC-DB29-4B1E-A07A-49E15520E2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635DC9" w14:textId="6F955067" w:rsidR="00E218CA" w:rsidRPr="00400CDF" w:rsidRDefault="00E218CA" w:rsidP="009F44C0">
      <w:pPr>
        <w:pStyle w:val="NormalNonumber"/>
        <w:rPr>
          <w:sz w:val="18"/>
          <w:szCs w:val="18"/>
        </w:rPr>
      </w:pPr>
      <w:r w:rsidRPr="00400CDF">
        <w:rPr>
          <w:i/>
          <w:sz w:val="18"/>
          <w:szCs w:val="18"/>
        </w:rPr>
        <w:t>Abbreviations</w:t>
      </w:r>
      <w:r w:rsidRPr="00400CDF">
        <w:rPr>
          <w:sz w:val="18"/>
          <w:szCs w:val="18"/>
        </w:rPr>
        <w:t xml:space="preserve">: CEITs </w:t>
      </w:r>
      <w:r w:rsidR="005E4DC7">
        <w:rPr>
          <w:sz w:val="18"/>
          <w:szCs w:val="18"/>
        </w:rPr>
        <w:t>–</w:t>
      </w:r>
      <w:r w:rsidRPr="00400CDF">
        <w:rPr>
          <w:sz w:val="18"/>
          <w:szCs w:val="18"/>
        </w:rPr>
        <w:t xml:space="preserve"> countries with economies in transition</w:t>
      </w:r>
      <w:r w:rsidR="00FE4004">
        <w:rPr>
          <w:sz w:val="18"/>
          <w:szCs w:val="18"/>
        </w:rPr>
        <w:t>;</w:t>
      </w:r>
      <w:r w:rsidRPr="00400CDF">
        <w:rPr>
          <w:sz w:val="18"/>
          <w:szCs w:val="18"/>
        </w:rPr>
        <w:t xml:space="preserve"> DCs </w:t>
      </w:r>
      <w:r w:rsidR="005E4DC7">
        <w:rPr>
          <w:sz w:val="18"/>
          <w:szCs w:val="18"/>
        </w:rPr>
        <w:t>–</w:t>
      </w:r>
      <w:r w:rsidRPr="00400CDF">
        <w:rPr>
          <w:sz w:val="18"/>
          <w:szCs w:val="18"/>
        </w:rPr>
        <w:t xml:space="preserve"> developing countries</w:t>
      </w:r>
      <w:r w:rsidR="00FE4004">
        <w:rPr>
          <w:sz w:val="18"/>
          <w:szCs w:val="18"/>
        </w:rPr>
        <w:t>;</w:t>
      </w:r>
      <w:r w:rsidRPr="00400CDF">
        <w:rPr>
          <w:sz w:val="18"/>
          <w:szCs w:val="18"/>
        </w:rPr>
        <w:t xml:space="preserve"> LDCs </w:t>
      </w:r>
      <w:r w:rsidR="005E4DC7">
        <w:rPr>
          <w:sz w:val="18"/>
          <w:szCs w:val="18"/>
        </w:rPr>
        <w:t>–</w:t>
      </w:r>
      <w:r w:rsidRPr="00400CDF">
        <w:rPr>
          <w:sz w:val="18"/>
          <w:szCs w:val="18"/>
        </w:rPr>
        <w:t xml:space="preserve"> least developed countries</w:t>
      </w:r>
      <w:r w:rsidR="00FE4004">
        <w:rPr>
          <w:sz w:val="18"/>
          <w:szCs w:val="18"/>
        </w:rPr>
        <w:t>;</w:t>
      </w:r>
      <w:r w:rsidRPr="00400CDF">
        <w:rPr>
          <w:sz w:val="18"/>
          <w:szCs w:val="18"/>
        </w:rPr>
        <w:t xml:space="preserve"> SIDS </w:t>
      </w:r>
      <w:r w:rsidR="005E4DC7">
        <w:rPr>
          <w:sz w:val="18"/>
          <w:szCs w:val="18"/>
        </w:rPr>
        <w:t>–</w:t>
      </w:r>
      <w:r w:rsidRPr="00400CDF">
        <w:rPr>
          <w:sz w:val="18"/>
          <w:szCs w:val="18"/>
        </w:rPr>
        <w:t xml:space="preserve"> </w:t>
      </w:r>
      <w:r w:rsidR="009125C3">
        <w:rPr>
          <w:sz w:val="18"/>
          <w:szCs w:val="18"/>
        </w:rPr>
        <w:t>small island developing States.</w:t>
      </w:r>
    </w:p>
    <w:p w14:paraId="10B824AB" w14:textId="5148A4BD" w:rsidR="00E218CA" w:rsidRDefault="00E218CA" w:rsidP="00917EE1">
      <w:pPr>
        <w:pStyle w:val="Normal-pool"/>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17EE1" w14:paraId="5F9DD75E" w14:textId="77777777" w:rsidTr="00917EE1">
        <w:tc>
          <w:tcPr>
            <w:tcW w:w="1897" w:type="dxa"/>
          </w:tcPr>
          <w:p w14:paraId="364BDC0B" w14:textId="77777777" w:rsidR="00917EE1" w:rsidRDefault="00917EE1" w:rsidP="00917EE1">
            <w:pPr>
              <w:pStyle w:val="Normal-pool"/>
              <w:spacing w:before="520"/>
            </w:pPr>
          </w:p>
        </w:tc>
        <w:tc>
          <w:tcPr>
            <w:tcW w:w="1897" w:type="dxa"/>
          </w:tcPr>
          <w:p w14:paraId="17455FD9" w14:textId="77777777" w:rsidR="00917EE1" w:rsidRDefault="00917EE1" w:rsidP="00917EE1">
            <w:pPr>
              <w:pStyle w:val="Normal-pool"/>
              <w:spacing w:before="520"/>
            </w:pPr>
          </w:p>
        </w:tc>
        <w:tc>
          <w:tcPr>
            <w:tcW w:w="1897" w:type="dxa"/>
            <w:tcBorders>
              <w:bottom w:val="single" w:sz="4" w:space="0" w:color="auto"/>
            </w:tcBorders>
          </w:tcPr>
          <w:p w14:paraId="5B7AD71B" w14:textId="77777777" w:rsidR="00917EE1" w:rsidRDefault="00917EE1" w:rsidP="00917EE1">
            <w:pPr>
              <w:pStyle w:val="Normal-pool"/>
              <w:spacing w:before="520"/>
            </w:pPr>
          </w:p>
        </w:tc>
        <w:tc>
          <w:tcPr>
            <w:tcW w:w="1897" w:type="dxa"/>
          </w:tcPr>
          <w:p w14:paraId="129B0765" w14:textId="77777777" w:rsidR="00917EE1" w:rsidRDefault="00917EE1" w:rsidP="00917EE1">
            <w:pPr>
              <w:pStyle w:val="Normal-pool"/>
              <w:spacing w:before="520"/>
            </w:pPr>
          </w:p>
        </w:tc>
        <w:tc>
          <w:tcPr>
            <w:tcW w:w="1898" w:type="dxa"/>
          </w:tcPr>
          <w:p w14:paraId="60776656" w14:textId="77777777" w:rsidR="00917EE1" w:rsidRDefault="00917EE1" w:rsidP="00917EE1">
            <w:pPr>
              <w:pStyle w:val="Normal-pool"/>
              <w:spacing w:before="520"/>
            </w:pPr>
          </w:p>
        </w:tc>
      </w:tr>
    </w:tbl>
    <w:p w14:paraId="4E646156" w14:textId="77777777" w:rsidR="00917EE1" w:rsidRPr="005F2AF3" w:rsidRDefault="00917EE1" w:rsidP="00917EE1">
      <w:pPr>
        <w:pStyle w:val="Normal-pool"/>
      </w:pPr>
    </w:p>
    <w:sectPr w:rsidR="00917EE1" w:rsidRPr="005F2AF3" w:rsidSect="0083774B">
      <w:headerReference w:type="even" r:id="rId19"/>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BE123" w14:textId="77777777" w:rsidR="00FE2907" w:rsidRDefault="00FE2907">
      <w:r>
        <w:separator/>
      </w:r>
    </w:p>
  </w:endnote>
  <w:endnote w:type="continuationSeparator" w:id="0">
    <w:p w14:paraId="7BFE0F77" w14:textId="77777777" w:rsidR="00FE2907" w:rsidRDefault="00FE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4A92ADA2" w:rsidR="00FE2907" w:rsidRDefault="00FE2907">
    <w:pPr>
      <w:pStyle w:val="Pieddepage"/>
    </w:pPr>
    <w:r>
      <w:rPr>
        <w:rStyle w:val="Numrodepage"/>
      </w:rPr>
      <w:fldChar w:fldCharType="begin"/>
    </w:r>
    <w:r>
      <w:rPr>
        <w:rStyle w:val="Numrodepage"/>
      </w:rPr>
      <w:instrText xml:space="preserve"> PAGE </w:instrText>
    </w:r>
    <w:r>
      <w:rPr>
        <w:rStyle w:val="Numrodepage"/>
      </w:rPr>
      <w:fldChar w:fldCharType="separate"/>
    </w:r>
    <w:r w:rsidR="006E6CF2">
      <w:rPr>
        <w:rStyle w:val="Numrodepage"/>
        <w:noProof/>
      </w:rPr>
      <w:t>14</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56210272"/>
      <w:docPartObj>
        <w:docPartGallery w:val="Page Numbers (Bottom of Page)"/>
        <w:docPartUnique/>
      </w:docPartObj>
    </w:sdtPr>
    <w:sdtEndPr>
      <w:rPr>
        <w:noProof/>
      </w:rPr>
    </w:sdtEndPr>
    <w:sdtContent>
      <w:p w14:paraId="183D48B7" w14:textId="62B73EF2" w:rsidR="00FE2907" w:rsidRPr="00400CDF" w:rsidRDefault="00FE2907" w:rsidP="00400CDF">
        <w:pPr>
          <w:pStyle w:val="Pieddepage"/>
          <w:jc w:val="right"/>
          <w:rPr>
            <w:b/>
          </w:rPr>
        </w:pPr>
        <w:r w:rsidRPr="00400CDF">
          <w:rPr>
            <w:b/>
          </w:rPr>
          <w:fldChar w:fldCharType="begin"/>
        </w:r>
        <w:r w:rsidRPr="00400CDF">
          <w:rPr>
            <w:b/>
          </w:rPr>
          <w:instrText xml:space="preserve"> PAGE   \* MERGEFORMAT </w:instrText>
        </w:r>
        <w:r w:rsidRPr="00400CDF">
          <w:rPr>
            <w:b/>
          </w:rPr>
          <w:fldChar w:fldCharType="separate"/>
        </w:r>
        <w:r w:rsidR="006E6CF2">
          <w:rPr>
            <w:b/>
            <w:noProof/>
          </w:rPr>
          <w:t>15</w:t>
        </w:r>
        <w:r w:rsidRPr="00400CD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02CE" w14:textId="27A66FAC" w:rsidR="00FE2907" w:rsidRPr="00FD387C" w:rsidRDefault="00FE2907" w:rsidP="00FD387C">
    <w:pPr>
      <w:pStyle w:val="Normal-pool"/>
    </w:pPr>
    <w:r>
      <w:t>K1802572</w:t>
    </w:r>
    <w:r>
      <w:tab/>
    </w:r>
    <w:r w:rsidR="00C21D12">
      <w:t>0211</w:t>
    </w:r>
    <w: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91029012"/>
      <w:docPartObj>
        <w:docPartGallery w:val="Page Numbers (Bottom of Page)"/>
        <w:docPartUnique/>
      </w:docPartObj>
    </w:sdtPr>
    <w:sdtEndPr>
      <w:rPr>
        <w:noProof/>
      </w:rPr>
    </w:sdtEndPr>
    <w:sdtContent>
      <w:p w14:paraId="772D0A17" w14:textId="16A3094C" w:rsidR="00FE2907" w:rsidRPr="0083774B" w:rsidRDefault="00FE2907" w:rsidP="0083774B">
        <w:pPr>
          <w:pStyle w:val="Normal-pool"/>
          <w:rPr>
            <w:b/>
            <w:sz w:val="18"/>
            <w:szCs w:val="18"/>
          </w:rPr>
        </w:pPr>
        <w:r w:rsidRPr="0083774B">
          <w:rPr>
            <w:b/>
            <w:sz w:val="18"/>
            <w:szCs w:val="18"/>
          </w:rPr>
          <w:fldChar w:fldCharType="begin"/>
        </w:r>
        <w:r w:rsidRPr="0083774B">
          <w:rPr>
            <w:b/>
            <w:sz w:val="18"/>
            <w:szCs w:val="18"/>
          </w:rPr>
          <w:instrText xml:space="preserve"> PAGE   \* MERGEFORMAT </w:instrText>
        </w:r>
        <w:r w:rsidRPr="0083774B">
          <w:rPr>
            <w:b/>
            <w:sz w:val="18"/>
            <w:szCs w:val="18"/>
          </w:rPr>
          <w:fldChar w:fldCharType="separate"/>
        </w:r>
        <w:r w:rsidR="006E6CF2">
          <w:rPr>
            <w:b/>
            <w:noProof/>
            <w:sz w:val="18"/>
            <w:szCs w:val="18"/>
          </w:rPr>
          <w:t>8</w:t>
        </w:r>
        <w:r w:rsidRPr="0083774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8CCF" w14:textId="77777777" w:rsidR="00FE2907" w:rsidRPr="00C50DC0" w:rsidRDefault="00FE2907" w:rsidP="00C50DC0">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C50DC0">
        <w:rPr>
          <w:sz w:val="18"/>
          <w:szCs w:val="18"/>
        </w:rPr>
        <w:separator/>
      </w:r>
    </w:p>
  </w:footnote>
  <w:footnote w:type="continuationSeparator" w:id="0">
    <w:p w14:paraId="14429E83" w14:textId="77777777" w:rsidR="00FE2907" w:rsidRDefault="00FE2907">
      <w:r>
        <w:continuationSeparator/>
      </w:r>
    </w:p>
  </w:footnote>
  <w:footnote w:id="1">
    <w:p w14:paraId="51864388" w14:textId="2C3F87F9" w:rsidR="00FE2907" w:rsidRPr="00C50DC0"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C50DC0">
        <w:rPr>
          <w:sz w:val="18"/>
          <w:szCs w:val="18"/>
        </w:rPr>
        <w:t>* UNEP/MC/COP.2/1.</w:t>
      </w:r>
    </w:p>
  </w:footnote>
  <w:footnote w:id="2">
    <w:p w14:paraId="0392E030" w14:textId="4056B451" w:rsidR="00FE2907" w:rsidRPr="00C50DC0"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C50DC0">
        <w:rPr>
          <w:rStyle w:val="Appelnotedebasdep"/>
          <w:sz w:val="18"/>
        </w:rPr>
        <w:footnoteRef/>
      </w:r>
      <w:r w:rsidRPr="00C50DC0">
        <w:rPr>
          <w:sz w:val="18"/>
          <w:szCs w:val="18"/>
        </w:rPr>
        <w:t xml:space="preserve"> </w:t>
      </w:r>
      <w:r w:rsidRPr="00C50DC0">
        <w:rPr>
          <w:bCs/>
          <w:sz w:val="18"/>
          <w:szCs w:val="18"/>
        </w:rPr>
        <w:t>UNEP/MC/COP.2/8 outlines matters relating to the first entity of the financial mechanism, namely the Global Environment Facility Trust Fund.</w:t>
      </w:r>
    </w:p>
  </w:footnote>
  <w:footnote w:id="3">
    <w:p w14:paraId="2386410A" w14:textId="59506DDA" w:rsidR="00FE2907" w:rsidRPr="00C50DC0"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C50DC0">
        <w:rPr>
          <w:rStyle w:val="Appelnotedebasdep"/>
          <w:sz w:val="18"/>
        </w:rPr>
        <w:footnoteRef/>
      </w:r>
      <w:r w:rsidRPr="00C50DC0">
        <w:rPr>
          <w:sz w:val="18"/>
          <w:szCs w:val="18"/>
          <w:lang w:val="en-US"/>
        </w:rPr>
        <w:t xml:space="preserve"> Article 13, paragraph 9 reads: “For the purposes of this Convention, the Programme referred to in paragraph 6 (b) will be operated under the guidance of and be accountable to the Conference of Parties. The Conference of Parties shall, at is first meeting, decide on the hosting institution for the Programme, which shall be an existing entity, and provide guidance to it, including on its duration. All Parties and other relevant stakeholders are invited to provide financial resources to the Programme, on a voluntary basis.”</w:t>
      </w:r>
    </w:p>
  </w:footnote>
  <w:footnote w:id="4">
    <w:p w14:paraId="5CF175B1" w14:textId="46B7C40E" w:rsidR="00FE2907" w:rsidRPr="00C50DC0"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C50DC0">
        <w:rPr>
          <w:rStyle w:val="Appelnotedebasdep"/>
          <w:sz w:val="18"/>
        </w:rPr>
        <w:footnoteRef/>
      </w:r>
      <w:r w:rsidRPr="00C50DC0">
        <w:rPr>
          <w:sz w:val="18"/>
          <w:szCs w:val="18"/>
          <w:lang w:val="en-US"/>
        </w:rPr>
        <w:t xml:space="preserve"> Without prejudging the decision on the hosting of the Minamata Convention secretariat.</w:t>
      </w:r>
    </w:p>
  </w:footnote>
  <w:footnote w:id="5">
    <w:p w14:paraId="126A789E" w14:textId="65CE4321" w:rsidR="00FE2907" w:rsidRPr="00C50DC0"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C50DC0">
        <w:rPr>
          <w:rStyle w:val="Appelnotedebasdep"/>
          <w:sz w:val="18"/>
        </w:rPr>
        <w:footnoteRef/>
      </w:r>
      <w:r w:rsidRPr="00C50DC0">
        <w:rPr>
          <w:sz w:val="18"/>
          <w:szCs w:val="18"/>
          <w:lang w:val="en-US"/>
        </w:rPr>
        <w:t xml:space="preserve"> “Special </w:t>
      </w:r>
      <w:r>
        <w:rPr>
          <w:sz w:val="18"/>
          <w:szCs w:val="18"/>
          <w:lang w:val="en-US"/>
        </w:rPr>
        <w:t>P</w:t>
      </w:r>
      <w:r w:rsidRPr="00C50DC0">
        <w:rPr>
          <w:sz w:val="18"/>
          <w:szCs w:val="18"/>
          <w:lang w:val="en-US"/>
        </w:rPr>
        <w:t xml:space="preserve">rogramme” refers to the Special </w:t>
      </w:r>
      <w:r>
        <w:rPr>
          <w:sz w:val="18"/>
          <w:szCs w:val="18"/>
          <w:lang w:val="en-US"/>
        </w:rPr>
        <w:t>P</w:t>
      </w:r>
      <w:r w:rsidRPr="00C50DC0">
        <w:rPr>
          <w:sz w:val="18"/>
          <w:szCs w:val="18"/>
          <w:lang w:val="en-US"/>
        </w:rPr>
        <w:t>rogramme to support institutional strengthening at the national level for implementation of the Basel, Rotterdam and Stockholm conventions, the Minamata Convention and the Strategic Approach to International Chemicals Management.</w:t>
      </w:r>
    </w:p>
  </w:footnote>
  <w:footnote w:id="6">
    <w:p w14:paraId="19A20218" w14:textId="77777777" w:rsidR="00FE2907" w:rsidRPr="00C50DC0" w:rsidRDefault="00FE2907" w:rsidP="00C50DC0">
      <w:pPr>
        <w:pStyle w:val="NormalNonumber"/>
        <w:tabs>
          <w:tab w:val="clear" w:pos="1247"/>
          <w:tab w:val="clear" w:pos="1814"/>
          <w:tab w:val="clear" w:pos="2381"/>
          <w:tab w:val="clear" w:pos="2948"/>
          <w:tab w:val="clear" w:pos="3515"/>
          <w:tab w:val="clear" w:pos="4082"/>
          <w:tab w:val="left" w:pos="624"/>
        </w:tabs>
        <w:spacing w:before="20" w:after="40"/>
        <w:rPr>
          <w:sz w:val="18"/>
          <w:szCs w:val="18"/>
          <w:highlight w:val="yellow"/>
          <w:lang w:val="en-US"/>
        </w:rPr>
      </w:pPr>
      <w:r w:rsidRPr="00C50DC0">
        <w:rPr>
          <w:rStyle w:val="Appelnotedebasdep"/>
          <w:sz w:val="18"/>
        </w:rPr>
        <w:footnoteRef/>
      </w:r>
      <w:r w:rsidRPr="00C50DC0">
        <w:rPr>
          <w:sz w:val="18"/>
          <w:szCs w:val="18"/>
          <w:lang w:val="en-US"/>
        </w:rPr>
        <w:t xml:space="preserve"> “Proposals”, under the Conduct of Business section of these rules, refer to points of consideration and deliberation. The term “proposals” in the context of reference to the conduct of business does not refer to “project proposals”.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563DA175" w:rsidR="00FE2907" w:rsidRPr="00CA5CA9" w:rsidRDefault="00FE2907"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1567E484" w:rsidR="00FE2907" w:rsidRPr="009F412C" w:rsidRDefault="00FE2907" w:rsidP="009F412C">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6109F660" w:rsidR="00FE2907" w:rsidRDefault="00FE2907" w:rsidP="00F76FE5">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30DA" w14:textId="583C846C" w:rsidR="00FE2907" w:rsidRDefault="00FE2907" w:rsidP="00F37B67">
    <w:pPr>
      <w:pStyle w:val="Header-pool"/>
    </w:pPr>
    <w:r w:rsidRPr="0083774B">
      <w:rPr>
        <w:bCs/>
      </w:rPr>
      <w:t>UNEP</w:t>
    </w:r>
    <w:r w:rsidRPr="0083774B">
      <w:t>/MC/COP.2/9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C902" w14:textId="15DFB2AE" w:rsidR="00FE2907" w:rsidRDefault="00FE2907" w:rsidP="00F37B67">
    <w:pPr>
      <w:pStyle w:val="Header-pool"/>
      <w:jc w:val="right"/>
    </w:pPr>
    <w:r w:rsidRPr="0083774B">
      <w:rPr>
        <w:bCs/>
      </w:rPr>
      <w:t>UNEP</w:t>
    </w:r>
    <w:r w:rsidRPr="0083774B">
      <w:t>/MC/COP.2/9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09AB" w14:textId="4DB65BB7" w:rsidR="00FE2907" w:rsidRDefault="00FE2907" w:rsidP="0083774B">
    <w:pPr>
      <w:pStyle w:val="Header-pool"/>
    </w:pPr>
    <w:r w:rsidRPr="0083774B">
      <w:rPr>
        <w:bCs/>
      </w:rPr>
      <w:t>UNEP</w:t>
    </w:r>
    <w:r w:rsidRPr="0083774B">
      <w:t>/MC/COP.2/9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167C5782"/>
    <w:multiLevelType w:val="multilevel"/>
    <w:tmpl w:val="6D18C3FA"/>
    <w:numStyleLink w:val="Normallist"/>
  </w:abstractNum>
  <w:abstractNum w:abstractNumId="3"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4" w15:restartNumberingAfterBreak="0">
    <w:nsid w:val="1B5C5B17"/>
    <w:multiLevelType w:val="hybridMultilevel"/>
    <w:tmpl w:val="8D4C1BB2"/>
    <w:lvl w:ilvl="0" w:tplc="A5543698">
      <w:start w:val="1"/>
      <w:numFmt w:val="lowerLetter"/>
      <w:pStyle w:val="Normal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7808369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2B54AE"/>
    <w:multiLevelType w:val="multilevel"/>
    <w:tmpl w:val="C79AEFA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8" w15:restartNumberingAfterBreak="0">
    <w:nsid w:val="52A66A9D"/>
    <w:multiLevelType w:val="multilevel"/>
    <w:tmpl w:val="6D18C3FA"/>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F18607A"/>
    <w:multiLevelType w:val="hybridMultilevel"/>
    <w:tmpl w:val="F21CE306"/>
    <w:lvl w:ilvl="0" w:tplc="3BCA1D7E">
      <w:start w:val="1"/>
      <w:numFmt w:val="upperRoman"/>
      <w:lvlText w:val="%1."/>
      <w:lvlJc w:val="left"/>
      <w:pPr>
        <w:ind w:left="4463" w:hanging="720"/>
      </w:pPr>
      <w:rPr>
        <w:rFonts w:hint="default"/>
      </w:rPr>
    </w:lvl>
    <w:lvl w:ilvl="1" w:tplc="08090019" w:tentative="1">
      <w:start w:val="1"/>
      <w:numFmt w:val="lowerLetter"/>
      <w:lvlText w:val="%2."/>
      <w:lvlJc w:val="left"/>
      <w:pPr>
        <w:ind w:left="4823" w:hanging="360"/>
      </w:pPr>
    </w:lvl>
    <w:lvl w:ilvl="2" w:tplc="0809001B" w:tentative="1">
      <w:start w:val="1"/>
      <w:numFmt w:val="lowerRoman"/>
      <w:lvlText w:val="%3."/>
      <w:lvlJc w:val="right"/>
      <w:pPr>
        <w:ind w:left="5543" w:hanging="180"/>
      </w:pPr>
    </w:lvl>
    <w:lvl w:ilvl="3" w:tplc="0809000F" w:tentative="1">
      <w:start w:val="1"/>
      <w:numFmt w:val="decimal"/>
      <w:lvlText w:val="%4."/>
      <w:lvlJc w:val="left"/>
      <w:pPr>
        <w:ind w:left="6263" w:hanging="360"/>
      </w:pPr>
    </w:lvl>
    <w:lvl w:ilvl="4" w:tplc="08090019" w:tentative="1">
      <w:start w:val="1"/>
      <w:numFmt w:val="lowerLetter"/>
      <w:lvlText w:val="%5."/>
      <w:lvlJc w:val="left"/>
      <w:pPr>
        <w:ind w:left="6983" w:hanging="360"/>
      </w:pPr>
    </w:lvl>
    <w:lvl w:ilvl="5" w:tplc="0809001B" w:tentative="1">
      <w:start w:val="1"/>
      <w:numFmt w:val="lowerRoman"/>
      <w:lvlText w:val="%6."/>
      <w:lvlJc w:val="right"/>
      <w:pPr>
        <w:ind w:left="7703" w:hanging="180"/>
      </w:pPr>
    </w:lvl>
    <w:lvl w:ilvl="6" w:tplc="0809000F" w:tentative="1">
      <w:start w:val="1"/>
      <w:numFmt w:val="decimal"/>
      <w:lvlText w:val="%7."/>
      <w:lvlJc w:val="left"/>
      <w:pPr>
        <w:ind w:left="8423" w:hanging="360"/>
      </w:pPr>
    </w:lvl>
    <w:lvl w:ilvl="7" w:tplc="08090019" w:tentative="1">
      <w:start w:val="1"/>
      <w:numFmt w:val="lowerLetter"/>
      <w:lvlText w:val="%8."/>
      <w:lvlJc w:val="left"/>
      <w:pPr>
        <w:ind w:left="9143" w:hanging="360"/>
      </w:pPr>
    </w:lvl>
    <w:lvl w:ilvl="8" w:tplc="0809001B" w:tentative="1">
      <w:start w:val="1"/>
      <w:numFmt w:val="lowerRoman"/>
      <w:lvlText w:val="%9."/>
      <w:lvlJc w:val="right"/>
      <w:pPr>
        <w:ind w:left="9863" w:hanging="180"/>
      </w:pPr>
    </w:lvl>
  </w:abstractNum>
  <w:abstractNum w:abstractNumId="10" w15:restartNumberingAfterBreak="0">
    <w:nsid w:val="60475133"/>
    <w:multiLevelType w:val="hybridMultilevel"/>
    <w:tmpl w:val="7FF67C94"/>
    <w:lvl w:ilvl="0" w:tplc="5B4A8BAA">
      <w:start w:val="1"/>
      <w:numFmt w:val="decimal"/>
      <w:lvlText w:val="%1."/>
      <w:lvlJc w:val="left"/>
      <w:pPr>
        <w:ind w:left="1872" w:hanging="680"/>
      </w:pPr>
      <w:rPr>
        <w:rFonts w:hint="default"/>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1" w15:restartNumberingAfterBreak="0">
    <w:nsid w:val="658E3431"/>
    <w:multiLevelType w:val="hybridMultilevel"/>
    <w:tmpl w:val="6D18C3FA"/>
    <w:numStyleLink w:val="Normallist"/>
  </w:abstractNum>
  <w:abstractNum w:abstractNumId="12" w15:restartNumberingAfterBreak="0">
    <w:nsid w:val="6C2D4C36"/>
    <w:multiLevelType w:val="hybridMultilevel"/>
    <w:tmpl w:val="723249D0"/>
    <w:lvl w:ilvl="0" w:tplc="88605A4C">
      <w:start w:val="1"/>
      <w:numFmt w:val="upp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75837C53"/>
    <w:multiLevelType w:val="hybridMultilevel"/>
    <w:tmpl w:val="4A8AF6D4"/>
    <w:lvl w:ilvl="0" w:tplc="99D06D86">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4" w15:restartNumberingAfterBreak="0">
    <w:nsid w:val="75DE165B"/>
    <w:multiLevelType w:val="multilevel"/>
    <w:tmpl w:val="6D18C3FA"/>
    <w:numStyleLink w:val="Normallist"/>
  </w:abstractNum>
  <w:num w:numId="1">
    <w:abstractNumId w:val="8"/>
    <w:lvlOverride w:ilvl="0">
      <w:lvl w:ilvl="0">
        <w:start w:val="1"/>
        <w:numFmt w:val="decimal"/>
        <w:lvlText w:val="%1."/>
        <w:lvlJc w:val="left"/>
        <w:pPr>
          <w:tabs>
            <w:tab w:val="num" w:pos="1134"/>
          </w:tabs>
          <w:ind w:left="1247" w:firstLine="0"/>
        </w:pPr>
        <w:rPr>
          <w:rFonts w:hint="default"/>
        </w:rPr>
      </w:lvl>
    </w:lvlOverride>
  </w:num>
  <w:num w:numId="2">
    <w:abstractNumId w:val="3"/>
  </w:num>
  <w:num w:numId="3">
    <w:abstractNumId w:val="7"/>
  </w:num>
  <w:num w:numId="4">
    <w:abstractNumId w:val="8"/>
  </w:num>
  <w:num w:numId="5">
    <w:abstractNumId w:val="8"/>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lvlOverride w:ilvl="0">
      <w:lvl w:ilvl="0">
        <w:start w:val="1"/>
        <w:numFmt w:val="decimal"/>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1"/>
  </w:num>
  <w:num w:numId="24">
    <w:abstractNumId w:val="9"/>
  </w:num>
  <w:num w:numId="25">
    <w:abstractNumId w:val="1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lvlOverride w:ilvl="0">
      <w:lvl w:ilvl="0" w:tplc="5F64EC3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E4C8246">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EA8460">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D3CB19A">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8E8F36C">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1E4A584">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1C844E">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B8FBB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E84114">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8"/>
    <w:lvlOverride w:ilvl="0">
      <w:startOverride w:val="6"/>
    </w:lvlOverride>
  </w:num>
  <w:num w:numId="30">
    <w:abstractNumId w:val="0"/>
  </w:num>
  <w:num w:numId="31">
    <w:abstractNumId w:val="13"/>
  </w:num>
  <w:num w:numId="32">
    <w:abstractNumId w:val="10"/>
  </w:num>
  <w:num w:numId="33">
    <w:abstractNumId w:val="2"/>
  </w:num>
  <w:num w:numId="34">
    <w:abstractNumId w:val="6"/>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num>
  <w:num w:numId="79">
    <w:abstractNumId w:val="14"/>
  </w:num>
  <w:num w:numId="80">
    <w:abstractNumId w:val="14"/>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 w:ilvl="0">
        <w:start w:val="1"/>
        <w:numFmt w:val="decimal"/>
        <w:lvlText w:val="%1."/>
        <w:lvlJc w:val="left"/>
        <w:pPr>
          <w:tabs>
            <w:tab w:val="num" w:pos="1134"/>
          </w:tabs>
          <w:ind w:left="1247" w:firstLine="0"/>
        </w:pPr>
        <w:rPr>
          <w:rFonts w:hint="default"/>
          <w:i w:val="0"/>
        </w:rPr>
      </w:lvl>
    </w:lvlOverride>
    <w:lvlOverride w:ilvl="1">
      <w:startOverride w:val="1"/>
      <w:lvl w:ilvl="1">
        <w:start w:val="1"/>
        <w:numFmt w:val="decimal"/>
        <w:lvlText w:val=""/>
        <w:lvlJc w:val="left"/>
      </w:lvl>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num>
  <w:num w:numId="88">
    <w:abstractNumId w:val="14"/>
  </w:num>
  <w:num w:numId="89">
    <w:abstractNumId w:val="14"/>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 w:ilvl="0">
        <w:start w:val="1"/>
        <w:numFmt w:val="decimal"/>
        <w:lvlText w:val="%1."/>
        <w:lvlJc w:val="left"/>
        <w:pPr>
          <w:tabs>
            <w:tab w:val="num" w:pos="1134"/>
          </w:tabs>
          <w:ind w:left="1247" w:firstLine="0"/>
        </w:pPr>
        <w:rPr>
          <w:rFonts w:hint="default"/>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36FF"/>
    <w:rsid w:val="000057BB"/>
    <w:rsid w:val="0000753A"/>
    <w:rsid w:val="000077AD"/>
    <w:rsid w:val="00011A16"/>
    <w:rsid w:val="000149E6"/>
    <w:rsid w:val="00021D8A"/>
    <w:rsid w:val="00023DA9"/>
    <w:rsid w:val="000247B0"/>
    <w:rsid w:val="00025EEA"/>
    <w:rsid w:val="00026997"/>
    <w:rsid w:val="00026A08"/>
    <w:rsid w:val="00032E4E"/>
    <w:rsid w:val="00033E0B"/>
    <w:rsid w:val="00035EDE"/>
    <w:rsid w:val="000509B4"/>
    <w:rsid w:val="000520BB"/>
    <w:rsid w:val="00053FAF"/>
    <w:rsid w:val="000552EC"/>
    <w:rsid w:val="0006035B"/>
    <w:rsid w:val="0006096F"/>
    <w:rsid w:val="000646D6"/>
    <w:rsid w:val="000649C5"/>
    <w:rsid w:val="00064D68"/>
    <w:rsid w:val="000661F5"/>
    <w:rsid w:val="0007122C"/>
    <w:rsid w:val="00071886"/>
    <w:rsid w:val="000719AF"/>
    <w:rsid w:val="00072949"/>
    <w:rsid w:val="00072BEF"/>
    <w:rsid w:val="000742BC"/>
    <w:rsid w:val="00076B69"/>
    <w:rsid w:val="00076CC6"/>
    <w:rsid w:val="00082A0C"/>
    <w:rsid w:val="00083504"/>
    <w:rsid w:val="00084E3C"/>
    <w:rsid w:val="00085A59"/>
    <w:rsid w:val="0009640C"/>
    <w:rsid w:val="000A7A6F"/>
    <w:rsid w:val="000B22A2"/>
    <w:rsid w:val="000B541B"/>
    <w:rsid w:val="000B73F9"/>
    <w:rsid w:val="000C2A52"/>
    <w:rsid w:val="000C2A88"/>
    <w:rsid w:val="000C34E1"/>
    <w:rsid w:val="000D31ED"/>
    <w:rsid w:val="000D33C0"/>
    <w:rsid w:val="000D4CF6"/>
    <w:rsid w:val="000D6941"/>
    <w:rsid w:val="000E18D1"/>
    <w:rsid w:val="000F38EF"/>
    <w:rsid w:val="000F3DCD"/>
    <w:rsid w:val="000F4740"/>
    <w:rsid w:val="000F4829"/>
    <w:rsid w:val="000F6B21"/>
    <w:rsid w:val="00102EFB"/>
    <w:rsid w:val="00104FEA"/>
    <w:rsid w:val="00107C89"/>
    <w:rsid w:val="00114F9D"/>
    <w:rsid w:val="001202E3"/>
    <w:rsid w:val="00120AA5"/>
    <w:rsid w:val="00123699"/>
    <w:rsid w:val="001241FB"/>
    <w:rsid w:val="0013059D"/>
    <w:rsid w:val="00131C08"/>
    <w:rsid w:val="00136187"/>
    <w:rsid w:val="00141A55"/>
    <w:rsid w:val="001422D6"/>
    <w:rsid w:val="0014293F"/>
    <w:rsid w:val="0014397D"/>
    <w:rsid w:val="001446A3"/>
    <w:rsid w:val="00152B6B"/>
    <w:rsid w:val="0015478A"/>
    <w:rsid w:val="00155395"/>
    <w:rsid w:val="00155A2F"/>
    <w:rsid w:val="00156B6B"/>
    <w:rsid w:val="00160D74"/>
    <w:rsid w:val="001646EA"/>
    <w:rsid w:val="001648BD"/>
    <w:rsid w:val="00167D02"/>
    <w:rsid w:val="0017173B"/>
    <w:rsid w:val="0017328E"/>
    <w:rsid w:val="001759D8"/>
    <w:rsid w:val="00177D7F"/>
    <w:rsid w:val="00180C3F"/>
    <w:rsid w:val="00181EC8"/>
    <w:rsid w:val="00184349"/>
    <w:rsid w:val="001902A7"/>
    <w:rsid w:val="00193398"/>
    <w:rsid w:val="001936B3"/>
    <w:rsid w:val="00195F33"/>
    <w:rsid w:val="001A0FDF"/>
    <w:rsid w:val="001A47E5"/>
    <w:rsid w:val="001B0016"/>
    <w:rsid w:val="001B1617"/>
    <w:rsid w:val="001B36F7"/>
    <w:rsid w:val="001B504B"/>
    <w:rsid w:val="001B6F98"/>
    <w:rsid w:val="001C191A"/>
    <w:rsid w:val="001D15F2"/>
    <w:rsid w:val="001D1E83"/>
    <w:rsid w:val="001D3874"/>
    <w:rsid w:val="001D412C"/>
    <w:rsid w:val="001D5DDB"/>
    <w:rsid w:val="001D7E75"/>
    <w:rsid w:val="001E0D73"/>
    <w:rsid w:val="001E45BD"/>
    <w:rsid w:val="001E5528"/>
    <w:rsid w:val="001E56D2"/>
    <w:rsid w:val="001E7D56"/>
    <w:rsid w:val="001F302D"/>
    <w:rsid w:val="001F4DAE"/>
    <w:rsid w:val="001F5186"/>
    <w:rsid w:val="001F63D6"/>
    <w:rsid w:val="001F7075"/>
    <w:rsid w:val="001F75DE"/>
    <w:rsid w:val="00200D58"/>
    <w:rsid w:val="002011C1"/>
    <w:rsid w:val="002013BE"/>
    <w:rsid w:val="00201EDC"/>
    <w:rsid w:val="00202017"/>
    <w:rsid w:val="00202952"/>
    <w:rsid w:val="00203B08"/>
    <w:rsid w:val="002063A4"/>
    <w:rsid w:val="00206438"/>
    <w:rsid w:val="0021145B"/>
    <w:rsid w:val="00220C23"/>
    <w:rsid w:val="002227C4"/>
    <w:rsid w:val="002247F6"/>
    <w:rsid w:val="00225E21"/>
    <w:rsid w:val="00225E44"/>
    <w:rsid w:val="00232FD3"/>
    <w:rsid w:val="00234050"/>
    <w:rsid w:val="00234E78"/>
    <w:rsid w:val="00240A85"/>
    <w:rsid w:val="00240DE9"/>
    <w:rsid w:val="00242422"/>
    <w:rsid w:val="00243D36"/>
    <w:rsid w:val="00246151"/>
    <w:rsid w:val="00246BA1"/>
    <w:rsid w:val="002471A7"/>
    <w:rsid w:val="00247707"/>
    <w:rsid w:val="00252456"/>
    <w:rsid w:val="0026018E"/>
    <w:rsid w:val="0027235D"/>
    <w:rsid w:val="0027268E"/>
    <w:rsid w:val="00272EB8"/>
    <w:rsid w:val="00284BB2"/>
    <w:rsid w:val="00285DA7"/>
    <w:rsid w:val="00286740"/>
    <w:rsid w:val="00291719"/>
    <w:rsid w:val="00291EAE"/>
    <w:rsid w:val="002929D8"/>
    <w:rsid w:val="002A0B1D"/>
    <w:rsid w:val="002A0B81"/>
    <w:rsid w:val="002A237D"/>
    <w:rsid w:val="002A4C53"/>
    <w:rsid w:val="002A760E"/>
    <w:rsid w:val="002A7CFE"/>
    <w:rsid w:val="002B0672"/>
    <w:rsid w:val="002B1DCB"/>
    <w:rsid w:val="002B247F"/>
    <w:rsid w:val="002B4663"/>
    <w:rsid w:val="002B50D4"/>
    <w:rsid w:val="002B53ED"/>
    <w:rsid w:val="002B58BF"/>
    <w:rsid w:val="002C145D"/>
    <w:rsid w:val="002C2C3E"/>
    <w:rsid w:val="002C533E"/>
    <w:rsid w:val="002C7AF1"/>
    <w:rsid w:val="002D027F"/>
    <w:rsid w:val="002D3E15"/>
    <w:rsid w:val="002D7A85"/>
    <w:rsid w:val="002D7B60"/>
    <w:rsid w:val="002E1211"/>
    <w:rsid w:val="002E363B"/>
    <w:rsid w:val="002E5627"/>
    <w:rsid w:val="002F099A"/>
    <w:rsid w:val="002F1B55"/>
    <w:rsid w:val="002F4761"/>
    <w:rsid w:val="002F58E7"/>
    <w:rsid w:val="002F5C79"/>
    <w:rsid w:val="002F68EE"/>
    <w:rsid w:val="003019E2"/>
    <w:rsid w:val="00301E5D"/>
    <w:rsid w:val="00304824"/>
    <w:rsid w:val="00310BEB"/>
    <w:rsid w:val="0031413F"/>
    <w:rsid w:val="00314854"/>
    <w:rsid w:val="003148BB"/>
    <w:rsid w:val="00317976"/>
    <w:rsid w:val="00320F2F"/>
    <w:rsid w:val="0032457E"/>
    <w:rsid w:val="00325D38"/>
    <w:rsid w:val="00340F36"/>
    <w:rsid w:val="0034334A"/>
    <w:rsid w:val="00352636"/>
    <w:rsid w:val="0035277E"/>
    <w:rsid w:val="0035477F"/>
    <w:rsid w:val="00355EA9"/>
    <w:rsid w:val="003578DE"/>
    <w:rsid w:val="00361688"/>
    <w:rsid w:val="003617F8"/>
    <w:rsid w:val="00366DBE"/>
    <w:rsid w:val="00367FD2"/>
    <w:rsid w:val="003712B9"/>
    <w:rsid w:val="00376334"/>
    <w:rsid w:val="00380921"/>
    <w:rsid w:val="00380FC1"/>
    <w:rsid w:val="003873AA"/>
    <w:rsid w:val="003877D5"/>
    <w:rsid w:val="003929B8"/>
    <w:rsid w:val="00392B9A"/>
    <w:rsid w:val="00393432"/>
    <w:rsid w:val="00394FAA"/>
    <w:rsid w:val="00396257"/>
    <w:rsid w:val="00397EB8"/>
    <w:rsid w:val="003A4FD0"/>
    <w:rsid w:val="003A69D1"/>
    <w:rsid w:val="003A75A0"/>
    <w:rsid w:val="003A7705"/>
    <w:rsid w:val="003A77F1"/>
    <w:rsid w:val="003B1545"/>
    <w:rsid w:val="003B16C1"/>
    <w:rsid w:val="003B3534"/>
    <w:rsid w:val="003C3219"/>
    <w:rsid w:val="003C409D"/>
    <w:rsid w:val="003C4544"/>
    <w:rsid w:val="003C4F5E"/>
    <w:rsid w:val="003C5583"/>
    <w:rsid w:val="003C5BA6"/>
    <w:rsid w:val="003C74CF"/>
    <w:rsid w:val="003D3752"/>
    <w:rsid w:val="003D7069"/>
    <w:rsid w:val="003E35DA"/>
    <w:rsid w:val="003E455D"/>
    <w:rsid w:val="003F0E85"/>
    <w:rsid w:val="003F424B"/>
    <w:rsid w:val="003F4DDD"/>
    <w:rsid w:val="00400CDF"/>
    <w:rsid w:val="00403F8A"/>
    <w:rsid w:val="00410C55"/>
    <w:rsid w:val="00415F8B"/>
    <w:rsid w:val="0041621B"/>
    <w:rsid w:val="00416854"/>
    <w:rsid w:val="00417725"/>
    <w:rsid w:val="00420504"/>
    <w:rsid w:val="00420EFF"/>
    <w:rsid w:val="0042266F"/>
    <w:rsid w:val="0042507A"/>
    <w:rsid w:val="004300C7"/>
    <w:rsid w:val="004305FE"/>
    <w:rsid w:val="00430FFF"/>
    <w:rsid w:val="004312D4"/>
    <w:rsid w:val="00434321"/>
    <w:rsid w:val="0043548F"/>
    <w:rsid w:val="00437D9C"/>
    <w:rsid w:val="00437F26"/>
    <w:rsid w:val="00444097"/>
    <w:rsid w:val="00445487"/>
    <w:rsid w:val="00447AC6"/>
    <w:rsid w:val="00447E0D"/>
    <w:rsid w:val="00453EA8"/>
    <w:rsid w:val="00454769"/>
    <w:rsid w:val="00462A0E"/>
    <w:rsid w:val="00466991"/>
    <w:rsid w:val="0047064C"/>
    <w:rsid w:val="00471735"/>
    <w:rsid w:val="0047594B"/>
    <w:rsid w:val="004822B7"/>
    <w:rsid w:val="0048284A"/>
    <w:rsid w:val="0048336A"/>
    <w:rsid w:val="00484BDA"/>
    <w:rsid w:val="00485239"/>
    <w:rsid w:val="0049469E"/>
    <w:rsid w:val="004A2217"/>
    <w:rsid w:val="004A24F9"/>
    <w:rsid w:val="004A42E1"/>
    <w:rsid w:val="004B162C"/>
    <w:rsid w:val="004B2ABE"/>
    <w:rsid w:val="004C35C1"/>
    <w:rsid w:val="004C3DBE"/>
    <w:rsid w:val="004C415B"/>
    <w:rsid w:val="004C4B12"/>
    <w:rsid w:val="004C5C96"/>
    <w:rsid w:val="004C6306"/>
    <w:rsid w:val="004D06A4"/>
    <w:rsid w:val="004D5EE4"/>
    <w:rsid w:val="004E2BAB"/>
    <w:rsid w:val="004E769D"/>
    <w:rsid w:val="004F1A81"/>
    <w:rsid w:val="004F32D5"/>
    <w:rsid w:val="004F5D88"/>
    <w:rsid w:val="00501354"/>
    <w:rsid w:val="005050D2"/>
    <w:rsid w:val="00511201"/>
    <w:rsid w:val="00512F75"/>
    <w:rsid w:val="00520902"/>
    <w:rsid w:val="005218D9"/>
    <w:rsid w:val="00525143"/>
    <w:rsid w:val="0053048D"/>
    <w:rsid w:val="0053235C"/>
    <w:rsid w:val="00536186"/>
    <w:rsid w:val="005372D9"/>
    <w:rsid w:val="00544CBB"/>
    <w:rsid w:val="00551B65"/>
    <w:rsid w:val="00556704"/>
    <w:rsid w:val="005656D7"/>
    <w:rsid w:val="0057315F"/>
    <w:rsid w:val="00576104"/>
    <w:rsid w:val="00581F92"/>
    <w:rsid w:val="00584204"/>
    <w:rsid w:val="00586418"/>
    <w:rsid w:val="00587F60"/>
    <w:rsid w:val="00592B21"/>
    <w:rsid w:val="00596AFF"/>
    <w:rsid w:val="005B2DF4"/>
    <w:rsid w:val="005B44BF"/>
    <w:rsid w:val="005C0022"/>
    <w:rsid w:val="005C353A"/>
    <w:rsid w:val="005C54DB"/>
    <w:rsid w:val="005C67C8"/>
    <w:rsid w:val="005D0249"/>
    <w:rsid w:val="005D1000"/>
    <w:rsid w:val="005D137A"/>
    <w:rsid w:val="005D18FA"/>
    <w:rsid w:val="005D1A76"/>
    <w:rsid w:val="005D1E4A"/>
    <w:rsid w:val="005D4FD4"/>
    <w:rsid w:val="005D5A7B"/>
    <w:rsid w:val="005D6E8C"/>
    <w:rsid w:val="005E3004"/>
    <w:rsid w:val="005E4DC7"/>
    <w:rsid w:val="005E702D"/>
    <w:rsid w:val="005F100C"/>
    <w:rsid w:val="005F2AF3"/>
    <w:rsid w:val="005F68DA"/>
    <w:rsid w:val="005F7419"/>
    <w:rsid w:val="005F7687"/>
    <w:rsid w:val="005F7DAB"/>
    <w:rsid w:val="00601BC9"/>
    <w:rsid w:val="00602CB8"/>
    <w:rsid w:val="0060773B"/>
    <w:rsid w:val="006111FE"/>
    <w:rsid w:val="00612F58"/>
    <w:rsid w:val="006138C1"/>
    <w:rsid w:val="00613A89"/>
    <w:rsid w:val="00613FD6"/>
    <w:rsid w:val="006157B5"/>
    <w:rsid w:val="00617224"/>
    <w:rsid w:val="006207A4"/>
    <w:rsid w:val="00622605"/>
    <w:rsid w:val="00624BB6"/>
    <w:rsid w:val="00626FC6"/>
    <w:rsid w:val="006303B4"/>
    <w:rsid w:val="00630ADC"/>
    <w:rsid w:val="0063248A"/>
    <w:rsid w:val="00632CEA"/>
    <w:rsid w:val="00633D3D"/>
    <w:rsid w:val="00634380"/>
    <w:rsid w:val="00641703"/>
    <w:rsid w:val="006431A6"/>
    <w:rsid w:val="00643E3A"/>
    <w:rsid w:val="006459F6"/>
    <w:rsid w:val="006501AD"/>
    <w:rsid w:val="0065125C"/>
    <w:rsid w:val="00651BFA"/>
    <w:rsid w:val="00654475"/>
    <w:rsid w:val="00656DF0"/>
    <w:rsid w:val="00662708"/>
    <w:rsid w:val="00665A4B"/>
    <w:rsid w:val="0066671A"/>
    <w:rsid w:val="00670FAE"/>
    <w:rsid w:val="00676CA7"/>
    <w:rsid w:val="006907E5"/>
    <w:rsid w:val="00692E2A"/>
    <w:rsid w:val="0069496A"/>
    <w:rsid w:val="00696C1C"/>
    <w:rsid w:val="006A61B7"/>
    <w:rsid w:val="006A76F2"/>
    <w:rsid w:val="006B02FE"/>
    <w:rsid w:val="006B7D29"/>
    <w:rsid w:val="006C75E5"/>
    <w:rsid w:val="006D19D4"/>
    <w:rsid w:val="006D5644"/>
    <w:rsid w:val="006D7EFB"/>
    <w:rsid w:val="006E6672"/>
    <w:rsid w:val="006E6722"/>
    <w:rsid w:val="006E6CF2"/>
    <w:rsid w:val="006F26FC"/>
    <w:rsid w:val="006F3218"/>
    <w:rsid w:val="006F345D"/>
    <w:rsid w:val="006F7558"/>
    <w:rsid w:val="006F7AFF"/>
    <w:rsid w:val="007027B9"/>
    <w:rsid w:val="007066B5"/>
    <w:rsid w:val="00706CD7"/>
    <w:rsid w:val="00710FCF"/>
    <w:rsid w:val="00711B94"/>
    <w:rsid w:val="00713DAC"/>
    <w:rsid w:val="007145DA"/>
    <w:rsid w:val="00714E9E"/>
    <w:rsid w:val="00715E88"/>
    <w:rsid w:val="00716D8B"/>
    <w:rsid w:val="00723F5D"/>
    <w:rsid w:val="00734CAA"/>
    <w:rsid w:val="007352DC"/>
    <w:rsid w:val="0073702E"/>
    <w:rsid w:val="00740EE2"/>
    <w:rsid w:val="00741D33"/>
    <w:rsid w:val="00742680"/>
    <w:rsid w:val="0075533C"/>
    <w:rsid w:val="00755A18"/>
    <w:rsid w:val="00756D60"/>
    <w:rsid w:val="00757581"/>
    <w:rsid w:val="007602F5"/>
    <w:rsid w:val="00760D36"/>
    <w:rsid w:val="007611A0"/>
    <w:rsid w:val="00765113"/>
    <w:rsid w:val="00765151"/>
    <w:rsid w:val="00772574"/>
    <w:rsid w:val="00773E54"/>
    <w:rsid w:val="00775DB2"/>
    <w:rsid w:val="00776223"/>
    <w:rsid w:val="00787688"/>
    <w:rsid w:val="007935E6"/>
    <w:rsid w:val="00794CF1"/>
    <w:rsid w:val="00796D3F"/>
    <w:rsid w:val="00796FAE"/>
    <w:rsid w:val="007A1683"/>
    <w:rsid w:val="007A5C12"/>
    <w:rsid w:val="007A716D"/>
    <w:rsid w:val="007A7CB0"/>
    <w:rsid w:val="007B68A3"/>
    <w:rsid w:val="007C2541"/>
    <w:rsid w:val="007D66A8"/>
    <w:rsid w:val="007E003F"/>
    <w:rsid w:val="007E0F90"/>
    <w:rsid w:val="007F0CF8"/>
    <w:rsid w:val="007F4CA3"/>
    <w:rsid w:val="007F5E1B"/>
    <w:rsid w:val="007F62CB"/>
    <w:rsid w:val="00803E10"/>
    <w:rsid w:val="00811159"/>
    <w:rsid w:val="00813D9C"/>
    <w:rsid w:val="008142EC"/>
    <w:rsid w:val="00814443"/>
    <w:rsid w:val="00815105"/>
    <w:rsid w:val="008164F2"/>
    <w:rsid w:val="00821395"/>
    <w:rsid w:val="00824FF8"/>
    <w:rsid w:val="00830E26"/>
    <w:rsid w:val="008340AE"/>
    <w:rsid w:val="00834368"/>
    <w:rsid w:val="0083441A"/>
    <w:rsid w:val="008345E4"/>
    <w:rsid w:val="0083774B"/>
    <w:rsid w:val="00843576"/>
    <w:rsid w:val="00843B64"/>
    <w:rsid w:val="00845261"/>
    <w:rsid w:val="008478FC"/>
    <w:rsid w:val="00851C51"/>
    <w:rsid w:val="008538F7"/>
    <w:rsid w:val="00860880"/>
    <w:rsid w:val="00861732"/>
    <w:rsid w:val="00867BFF"/>
    <w:rsid w:val="00871542"/>
    <w:rsid w:val="00872BF6"/>
    <w:rsid w:val="00873276"/>
    <w:rsid w:val="00874CDF"/>
    <w:rsid w:val="0088480A"/>
    <w:rsid w:val="0088757A"/>
    <w:rsid w:val="0089431B"/>
    <w:rsid w:val="00895668"/>
    <w:rsid w:val="008957DD"/>
    <w:rsid w:val="00895ADD"/>
    <w:rsid w:val="00897D98"/>
    <w:rsid w:val="008A4503"/>
    <w:rsid w:val="008A6DF2"/>
    <w:rsid w:val="008A7807"/>
    <w:rsid w:val="008B4CC9"/>
    <w:rsid w:val="008C0B15"/>
    <w:rsid w:val="008C7032"/>
    <w:rsid w:val="008D14DE"/>
    <w:rsid w:val="008D676F"/>
    <w:rsid w:val="008D75E4"/>
    <w:rsid w:val="008D7C99"/>
    <w:rsid w:val="008E0FCB"/>
    <w:rsid w:val="008E5CF7"/>
    <w:rsid w:val="008F47AB"/>
    <w:rsid w:val="008F6DFE"/>
    <w:rsid w:val="00903405"/>
    <w:rsid w:val="0090529F"/>
    <w:rsid w:val="00911622"/>
    <w:rsid w:val="009125C3"/>
    <w:rsid w:val="00917EE1"/>
    <w:rsid w:val="0092178C"/>
    <w:rsid w:val="00925051"/>
    <w:rsid w:val="00930B88"/>
    <w:rsid w:val="0093466D"/>
    <w:rsid w:val="00935376"/>
    <w:rsid w:val="009378CB"/>
    <w:rsid w:val="00937A3E"/>
    <w:rsid w:val="00940DCC"/>
    <w:rsid w:val="0094179A"/>
    <w:rsid w:val="00943BBF"/>
    <w:rsid w:val="0094459E"/>
    <w:rsid w:val="00944DBC"/>
    <w:rsid w:val="00950977"/>
    <w:rsid w:val="00950A8C"/>
    <w:rsid w:val="00951A7B"/>
    <w:rsid w:val="00955512"/>
    <w:rsid w:val="009564A6"/>
    <w:rsid w:val="009565E6"/>
    <w:rsid w:val="00957EF8"/>
    <w:rsid w:val="00962961"/>
    <w:rsid w:val="00966A53"/>
    <w:rsid w:val="00967621"/>
    <w:rsid w:val="00967E6A"/>
    <w:rsid w:val="00972652"/>
    <w:rsid w:val="009726D4"/>
    <w:rsid w:val="00976470"/>
    <w:rsid w:val="009907B9"/>
    <w:rsid w:val="00990918"/>
    <w:rsid w:val="009949B3"/>
    <w:rsid w:val="009A3A83"/>
    <w:rsid w:val="009A46E6"/>
    <w:rsid w:val="009B2230"/>
    <w:rsid w:val="009B4A0F"/>
    <w:rsid w:val="009C11D2"/>
    <w:rsid w:val="009C529F"/>
    <w:rsid w:val="009C6C70"/>
    <w:rsid w:val="009C7B0A"/>
    <w:rsid w:val="009D0B63"/>
    <w:rsid w:val="009D174B"/>
    <w:rsid w:val="009D5CB8"/>
    <w:rsid w:val="009E307E"/>
    <w:rsid w:val="009E42B3"/>
    <w:rsid w:val="009E62A8"/>
    <w:rsid w:val="009F412C"/>
    <w:rsid w:val="009F44C0"/>
    <w:rsid w:val="009F586E"/>
    <w:rsid w:val="00A06B25"/>
    <w:rsid w:val="00A07870"/>
    <w:rsid w:val="00A07C54"/>
    <w:rsid w:val="00A07F19"/>
    <w:rsid w:val="00A124BB"/>
    <w:rsid w:val="00A1348D"/>
    <w:rsid w:val="00A13C99"/>
    <w:rsid w:val="00A23213"/>
    <w:rsid w:val="00A232EE"/>
    <w:rsid w:val="00A33EA9"/>
    <w:rsid w:val="00A4053D"/>
    <w:rsid w:val="00A4175F"/>
    <w:rsid w:val="00A44411"/>
    <w:rsid w:val="00A44D26"/>
    <w:rsid w:val="00A469FA"/>
    <w:rsid w:val="00A47A6E"/>
    <w:rsid w:val="00A52429"/>
    <w:rsid w:val="00A52DB9"/>
    <w:rsid w:val="00A53662"/>
    <w:rsid w:val="00A54B1B"/>
    <w:rsid w:val="00A558FE"/>
    <w:rsid w:val="00A55B01"/>
    <w:rsid w:val="00A56B5B"/>
    <w:rsid w:val="00A603FF"/>
    <w:rsid w:val="00A619B6"/>
    <w:rsid w:val="00A61F00"/>
    <w:rsid w:val="00A648CA"/>
    <w:rsid w:val="00A657DD"/>
    <w:rsid w:val="00A660E2"/>
    <w:rsid w:val="00A666A6"/>
    <w:rsid w:val="00A675FD"/>
    <w:rsid w:val="00A72437"/>
    <w:rsid w:val="00A742A9"/>
    <w:rsid w:val="00A7564F"/>
    <w:rsid w:val="00A8048B"/>
    <w:rsid w:val="00A80611"/>
    <w:rsid w:val="00A83481"/>
    <w:rsid w:val="00A910A3"/>
    <w:rsid w:val="00AA0C03"/>
    <w:rsid w:val="00AA5BF4"/>
    <w:rsid w:val="00AB3FD0"/>
    <w:rsid w:val="00AB4810"/>
    <w:rsid w:val="00AB5340"/>
    <w:rsid w:val="00AC0A89"/>
    <w:rsid w:val="00AC6649"/>
    <w:rsid w:val="00AC7BC3"/>
    <w:rsid w:val="00AC7C96"/>
    <w:rsid w:val="00AD3593"/>
    <w:rsid w:val="00AD618B"/>
    <w:rsid w:val="00AD655B"/>
    <w:rsid w:val="00AD71A3"/>
    <w:rsid w:val="00AE0812"/>
    <w:rsid w:val="00AE237D"/>
    <w:rsid w:val="00AE502A"/>
    <w:rsid w:val="00AE7D3C"/>
    <w:rsid w:val="00AF0010"/>
    <w:rsid w:val="00AF1AA8"/>
    <w:rsid w:val="00AF2C1F"/>
    <w:rsid w:val="00AF629B"/>
    <w:rsid w:val="00AF7C07"/>
    <w:rsid w:val="00B04F67"/>
    <w:rsid w:val="00B06C64"/>
    <w:rsid w:val="00B07D8E"/>
    <w:rsid w:val="00B11CAC"/>
    <w:rsid w:val="00B12CDD"/>
    <w:rsid w:val="00B15A29"/>
    <w:rsid w:val="00B2136E"/>
    <w:rsid w:val="00B22C93"/>
    <w:rsid w:val="00B23ECE"/>
    <w:rsid w:val="00B258A8"/>
    <w:rsid w:val="00B27589"/>
    <w:rsid w:val="00B308B6"/>
    <w:rsid w:val="00B31039"/>
    <w:rsid w:val="00B31DCB"/>
    <w:rsid w:val="00B405B7"/>
    <w:rsid w:val="00B468C0"/>
    <w:rsid w:val="00B50FE9"/>
    <w:rsid w:val="00B52222"/>
    <w:rsid w:val="00B531DA"/>
    <w:rsid w:val="00B54895"/>
    <w:rsid w:val="00B54FE7"/>
    <w:rsid w:val="00B570F0"/>
    <w:rsid w:val="00B57AD0"/>
    <w:rsid w:val="00B647C6"/>
    <w:rsid w:val="00B655F9"/>
    <w:rsid w:val="00B66901"/>
    <w:rsid w:val="00B66F60"/>
    <w:rsid w:val="00B71E6D"/>
    <w:rsid w:val="00B72070"/>
    <w:rsid w:val="00B72357"/>
    <w:rsid w:val="00B734CE"/>
    <w:rsid w:val="00B779E1"/>
    <w:rsid w:val="00B81E3A"/>
    <w:rsid w:val="00B83A5D"/>
    <w:rsid w:val="00B85B66"/>
    <w:rsid w:val="00B85CFB"/>
    <w:rsid w:val="00B9020C"/>
    <w:rsid w:val="00B90220"/>
    <w:rsid w:val="00B914E9"/>
    <w:rsid w:val="00B91EE1"/>
    <w:rsid w:val="00B94602"/>
    <w:rsid w:val="00BA0090"/>
    <w:rsid w:val="00BA1A67"/>
    <w:rsid w:val="00BA372C"/>
    <w:rsid w:val="00BA655A"/>
    <w:rsid w:val="00BA6A80"/>
    <w:rsid w:val="00BB39E9"/>
    <w:rsid w:val="00BB477B"/>
    <w:rsid w:val="00BB4ABB"/>
    <w:rsid w:val="00BB72AE"/>
    <w:rsid w:val="00BC4A85"/>
    <w:rsid w:val="00BC62BA"/>
    <w:rsid w:val="00BD7B01"/>
    <w:rsid w:val="00BE5B5F"/>
    <w:rsid w:val="00BE7993"/>
    <w:rsid w:val="00BE7C7B"/>
    <w:rsid w:val="00C10AE3"/>
    <w:rsid w:val="00C11971"/>
    <w:rsid w:val="00C1570C"/>
    <w:rsid w:val="00C15FEB"/>
    <w:rsid w:val="00C179DE"/>
    <w:rsid w:val="00C17D59"/>
    <w:rsid w:val="00C213E8"/>
    <w:rsid w:val="00C21D12"/>
    <w:rsid w:val="00C26F55"/>
    <w:rsid w:val="00C30C63"/>
    <w:rsid w:val="00C30FF3"/>
    <w:rsid w:val="00C31BD6"/>
    <w:rsid w:val="00C339BD"/>
    <w:rsid w:val="00C34D5C"/>
    <w:rsid w:val="00C352DB"/>
    <w:rsid w:val="00C36B8B"/>
    <w:rsid w:val="00C37E6F"/>
    <w:rsid w:val="00C415C1"/>
    <w:rsid w:val="00C47DBF"/>
    <w:rsid w:val="00C50DC0"/>
    <w:rsid w:val="00C51DE0"/>
    <w:rsid w:val="00C552FF"/>
    <w:rsid w:val="00C558DA"/>
    <w:rsid w:val="00C55AF3"/>
    <w:rsid w:val="00C560EC"/>
    <w:rsid w:val="00C7463F"/>
    <w:rsid w:val="00C75229"/>
    <w:rsid w:val="00C756E9"/>
    <w:rsid w:val="00C771A9"/>
    <w:rsid w:val="00C80834"/>
    <w:rsid w:val="00C820D7"/>
    <w:rsid w:val="00C82943"/>
    <w:rsid w:val="00C84759"/>
    <w:rsid w:val="00C85594"/>
    <w:rsid w:val="00C862E3"/>
    <w:rsid w:val="00C917BC"/>
    <w:rsid w:val="00C93096"/>
    <w:rsid w:val="00CA5CA9"/>
    <w:rsid w:val="00CA6C7F"/>
    <w:rsid w:val="00CB007D"/>
    <w:rsid w:val="00CB60CA"/>
    <w:rsid w:val="00CC0FC7"/>
    <w:rsid w:val="00CC10A6"/>
    <w:rsid w:val="00CC2D24"/>
    <w:rsid w:val="00CC6AAB"/>
    <w:rsid w:val="00CD246F"/>
    <w:rsid w:val="00CD5EB8"/>
    <w:rsid w:val="00CD7044"/>
    <w:rsid w:val="00CE08B9"/>
    <w:rsid w:val="00CE2575"/>
    <w:rsid w:val="00CE3515"/>
    <w:rsid w:val="00CE3AE5"/>
    <w:rsid w:val="00CE524C"/>
    <w:rsid w:val="00CE5459"/>
    <w:rsid w:val="00CF141F"/>
    <w:rsid w:val="00CF1ED7"/>
    <w:rsid w:val="00CF4777"/>
    <w:rsid w:val="00CF65C8"/>
    <w:rsid w:val="00D013F5"/>
    <w:rsid w:val="00D03FA5"/>
    <w:rsid w:val="00D05E3F"/>
    <w:rsid w:val="00D067BB"/>
    <w:rsid w:val="00D12B1C"/>
    <w:rsid w:val="00D1352A"/>
    <w:rsid w:val="00D1638E"/>
    <w:rsid w:val="00D169AF"/>
    <w:rsid w:val="00D200EF"/>
    <w:rsid w:val="00D25175"/>
    <w:rsid w:val="00D25249"/>
    <w:rsid w:val="00D26854"/>
    <w:rsid w:val="00D303EA"/>
    <w:rsid w:val="00D35109"/>
    <w:rsid w:val="00D35B39"/>
    <w:rsid w:val="00D36C41"/>
    <w:rsid w:val="00D44172"/>
    <w:rsid w:val="00D45D67"/>
    <w:rsid w:val="00D47BE3"/>
    <w:rsid w:val="00D508BF"/>
    <w:rsid w:val="00D511E8"/>
    <w:rsid w:val="00D555AF"/>
    <w:rsid w:val="00D63B8C"/>
    <w:rsid w:val="00D739CC"/>
    <w:rsid w:val="00D74D28"/>
    <w:rsid w:val="00D7602C"/>
    <w:rsid w:val="00D806F9"/>
    <w:rsid w:val="00D8093D"/>
    <w:rsid w:val="00D8108C"/>
    <w:rsid w:val="00D842AE"/>
    <w:rsid w:val="00D86C56"/>
    <w:rsid w:val="00D9211C"/>
    <w:rsid w:val="00D92DE0"/>
    <w:rsid w:val="00D92FEF"/>
    <w:rsid w:val="00D931F9"/>
    <w:rsid w:val="00D93A0F"/>
    <w:rsid w:val="00D95C4F"/>
    <w:rsid w:val="00D97873"/>
    <w:rsid w:val="00DA1BCA"/>
    <w:rsid w:val="00DA3663"/>
    <w:rsid w:val="00DA5031"/>
    <w:rsid w:val="00DB791D"/>
    <w:rsid w:val="00DC1792"/>
    <w:rsid w:val="00DC274A"/>
    <w:rsid w:val="00DC3FE0"/>
    <w:rsid w:val="00DC46FF"/>
    <w:rsid w:val="00DC5254"/>
    <w:rsid w:val="00DC569D"/>
    <w:rsid w:val="00DC7129"/>
    <w:rsid w:val="00DD1A4F"/>
    <w:rsid w:val="00DD28EB"/>
    <w:rsid w:val="00DD3107"/>
    <w:rsid w:val="00DD4B0C"/>
    <w:rsid w:val="00DD7C2C"/>
    <w:rsid w:val="00DE5BDA"/>
    <w:rsid w:val="00DF31A8"/>
    <w:rsid w:val="00DF3C18"/>
    <w:rsid w:val="00DF433C"/>
    <w:rsid w:val="00DF519F"/>
    <w:rsid w:val="00DF5255"/>
    <w:rsid w:val="00E0035A"/>
    <w:rsid w:val="00E009C7"/>
    <w:rsid w:val="00E05240"/>
    <w:rsid w:val="00E06797"/>
    <w:rsid w:val="00E1265B"/>
    <w:rsid w:val="00E12E09"/>
    <w:rsid w:val="00E13B48"/>
    <w:rsid w:val="00E1404F"/>
    <w:rsid w:val="00E218CA"/>
    <w:rsid w:val="00E21C83"/>
    <w:rsid w:val="00E24ADA"/>
    <w:rsid w:val="00E31154"/>
    <w:rsid w:val="00E31307"/>
    <w:rsid w:val="00E3280C"/>
    <w:rsid w:val="00E32F59"/>
    <w:rsid w:val="00E375F8"/>
    <w:rsid w:val="00E41908"/>
    <w:rsid w:val="00E46D9A"/>
    <w:rsid w:val="00E53BE1"/>
    <w:rsid w:val="00E54866"/>
    <w:rsid w:val="00E55138"/>
    <w:rsid w:val="00E55A01"/>
    <w:rsid w:val="00E565FF"/>
    <w:rsid w:val="00E65388"/>
    <w:rsid w:val="00E67FA7"/>
    <w:rsid w:val="00E77380"/>
    <w:rsid w:val="00E7741D"/>
    <w:rsid w:val="00E808CD"/>
    <w:rsid w:val="00E8348F"/>
    <w:rsid w:val="00E85B7D"/>
    <w:rsid w:val="00E864C7"/>
    <w:rsid w:val="00E90DE3"/>
    <w:rsid w:val="00E9121B"/>
    <w:rsid w:val="00E9302E"/>
    <w:rsid w:val="00E976AB"/>
    <w:rsid w:val="00EA0AE2"/>
    <w:rsid w:val="00EA2CF8"/>
    <w:rsid w:val="00EA39E5"/>
    <w:rsid w:val="00EA57A3"/>
    <w:rsid w:val="00EA6923"/>
    <w:rsid w:val="00EB3177"/>
    <w:rsid w:val="00EB6036"/>
    <w:rsid w:val="00EC2813"/>
    <w:rsid w:val="00EC5A46"/>
    <w:rsid w:val="00EC63E2"/>
    <w:rsid w:val="00ED0225"/>
    <w:rsid w:val="00ED14B3"/>
    <w:rsid w:val="00ED2D63"/>
    <w:rsid w:val="00ED366A"/>
    <w:rsid w:val="00ED5D0E"/>
    <w:rsid w:val="00ED6BB7"/>
    <w:rsid w:val="00ED6C14"/>
    <w:rsid w:val="00ED6C5E"/>
    <w:rsid w:val="00ED7EA2"/>
    <w:rsid w:val="00EE6880"/>
    <w:rsid w:val="00EF22B3"/>
    <w:rsid w:val="00EF3F72"/>
    <w:rsid w:val="00F03B69"/>
    <w:rsid w:val="00F07A50"/>
    <w:rsid w:val="00F113DA"/>
    <w:rsid w:val="00F1255F"/>
    <w:rsid w:val="00F15578"/>
    <w:rsid w:val="00F17722"/>
    <w:rsid w:val="00F2571A"/>
    <w:rsid w:val="00F266FC"/>
    <w:rsid w:val="00F3037A"/>
    <w:rsid w:val="00F3465A"/>
    <w:rsid w:val="00F3771F"/>
    <w:rsid w:val="00F37B67"/>
    <w:rsid w:val="00F37DC8"/>
    <w:rsid w:val="00F439B3"/>
    <w:rsid w:val="00F47AD5"/>
    <w:rsid w:val="00F60645"/>
    <w:rsid w:val="00F650C3"/>
    <w:rsid w:val="00F65D85"/>
    <w:rsid w:val="00F66A46"/>
    <w:rsid w:val="00F6700B"/>
    <w:rsid w:val="00F67C98"/>
    <w:rsid w:val="00F7137B"/>
    <w:rsid w:val="00F7267C"/>
    <w:rsid w:val="00F76FE5"/>
    <w:rsid w:val="00F77A51"/>
    <w:rsid w:val="00F77E80"/>
    <w:rsid w:val="00F8091E"/>
    <w:rsid w:val="00F8156C"/>
    <w:rsid w:val="00F82C7E"/>
    <w:rsid w:val="00F8615C"/>
    <w:rsid w:val="00F969E5"/>
    <w:rsid w:val="00FA2022"/>
    <w:rsid w:val="00FA26DE"/>
    <w:rsid w:val="00FA4972"/>
    <w:rsid w:val="00FA6BB0"/>
    <w:rsid w:val="00FA73AE"/>
    <w:rsid w:val="00FB11DA"/>
    <w:rsid w:val="00FB2DBD"/>
    <w:rsid w:val="00FB6B02"/>
    <w:rsid w:val="00FD387C"/>
    <w:rsid w:val="00FD48DF"/>
    <w:rsid w:val="00FD5860"/>
    <w:rsid w:val="00FD65A0"/>
    <w:rsid w:val="00FE242F"/>
    <w:rsid w:val="00FE2907"/>
    <w:rsid w:val="00FE352D"/>
    <w:rsid w:val="00FE4004"/>
    <w:rsid w:val="00FE40EB"/>
    <w:rsid w:val="00FE4D02"/>
    <w:rsid w:val="00FE4D63"/>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4406B4B"/>
  <w15:docId w15:val="{C9BFE91E-B5B5-4B02-8F2B-7D410FAE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Superscript 6 Point + 11 pt,Appel note de bas de page,-E Fußnotenzeichen,(Diplomarbeit FZ),(Diplomarbeit FZ)1"/>
    <w:qFormat/>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qFormat/>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943BBF"/>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400CDF"/>
    <w:pPr>
      <w:numPr>
        <w:numId w:val="98"/>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rsid w:val="004E2BAB"/>
    <w:rPr>
      <w:b/>
      <w:sz w:val="24"/>
      <w:szCs w:val="24"/>
      <w:lang w:eastAsia="en-US"/>
    </w:rPr>
  </w:style>
  <w:style w:type="character" w:customStyle="1" w:styleId="NormalnumberChar">
    <w:name w:val="Normal_number Char"/>
    <w:link w:val="Normalnumber"/>
    <w:locked/>
    <w:rsid w:val="00400CDF"/>
    <w:rPr>
      <w:lang w:eastAsia="en-US"/>
    </w:rPr>
  </w:style>
  <w:style w:type="paragraph" w:customStyle="1" w:styleId="Brdtext">
    <w:name w:val="Brödtext"/>
    <w:rsid w:val="00CC6AA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CC6AAB"/>
  </w:style>
  <w:style w:type="paragraph" w:customStyle="1" w:styleId="mainpara">
    <w:name w:val="mainpara"/>
    <w:basedOn w:val="Normal"/>
    <w:rsid w:val="005F7DAB"/>
    <w:pPr>
      <w:numPr>
        <w:numId w:val="30"/>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5F7DAB"/>
    <w:pPr>
      <w:autoSpaceDE w:val="0"/>
      <w:autoSpaceDN w:val="0"/>
      <w:adjustRightInd w:val="0"/>
    </w:pPr>
    <w:rPr>
      <w:color w:val="000000"/>
      <w:sz w:val="24"/>
      <w:szCs w:val="24"/>
    </w:rPr>
  </w:style>
  <w:style w:type="character" w:customStyle="1" w:styleId="PieddepageCar">
    <w:name w:val="Pied de page Car"/>
    <w:basedOn w:val="Policepardfaut"/>
    <w:link w:val="Pieddepage"/>
    <w:uiPriority w:val="99"/>
    <w:rsid w:val="0083774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639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Keondc1ha011\UNON3\DCS\Common\docs\english\DRAFTS%202018\INSTRUMENTS\MINAMATA\1802572_excel%20files%20for%20UNEP-MC-COP-2-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Keondc1ha011\UNON3\DCS\Common\docs\english\DRAFTS%202018\INSTRUMENTS\MINAMATA\1802572_excel%20files%20for%20UNEP-MC-COP-2-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Sheet1!$C$22</c:f>
              <c:strCache>
                <c:ptCount val="1"/>
                <c:pt idx="0">
                  <c:v>Number of applications</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CC2-40C6-BF83-811F7B80AE5A}"/>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CC2-40C6-BF83-811F7B80AE5A}"/>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CC2-40C6-BF83-811F7B80AE5A}"/>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CC2-40C6-BF83-811F7B80AE5A}"/>
              </c:ext>
            </c:extLst>
          </c:dPt>
          <c:dLbls>
            <c:delete val="1"/>
          </c:dLbls>
          <c:cat>
            <c:strRef>
              <c:f>Sheet1!$B$23:$B$26</c:f>
              <c:strCache>
                <c:ptCount val="4"/>
                <c:pt idx="0">
                  <c:v>Africa (5)</c:v>
                </c:pt>
                <c:pt idx="1">
                  <c:v>LAC (7)</c:v>
                </c:pt>
                <c:pt idx="2">
                  <c:v>Asia (5)</c:v>
                </c:pt>
                <c:pt idx="3">
                  <c:v>CEE (2)</c:v>
                </c:pt>
              </c:strCache>
            </c:strRef>
          </c:cat>
          <c:val>
            <c:numRef>
              <c:f>Sheet1!$C$23:$C$26</c:f>
              <c:numCache>
                <c:formatCode>General</c:formatCode>
                <c:ptCount val="4"/>
                <c:pt idx="0">
                  <c:v>5</c:v>
                </c:pt>
                <c:pt idx="1">
                  <c:v>7</c:v>
                </c:pt>
                <c:pt idx="2">
                  <c:v>5</c:v>
                </c:pt>
                <c:pt idx="3">
                  <c:v>2</c:v>
                </c:pt>
              </c:numCache>
            </c:numRef>
          </c:val>
          <c:extLst>
            <c:ext xmlns:c16="http://schemas.microsoft.com/office/drawing/2014/chart" uri="{C3380CC4-5D6E-409C-BE32-E72D297353CC}">
              <c16:uniqueId val="{00000008-3CC2-40C6-BF83-811F7B80AE5A}"/>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Sheet1!$C$28</c:f>
              <c:strCache>
                <c:ptCount val="1"/>
                <c:pt idx="0">
                  <c:v>Number of applications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4EA-4C06-8F8E-EE55C5B9FF5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4EA-4C06-8F8E-EE55C5B9FF5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4EA-4C06-8F8E-EE55C5B9FF5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4EA-4C06-8F8E-EE55C5B9FF57}"/>
              </c:ext>
            </c:extLst>
          </c:dPt>
          <c:cat>
            <c:strRef>
              <c:f>Sheet1!$B$29:$B$32</c:f>
              <c:strCache>
                <c:ptCount val="4"/>
                <c:pt idx="0">
                  <c:v>DCs (11)</c:v>
                </c:pt>
                <c:pt idx="1">
                  <c:v>LDCs (4)</c:v>
                </c:pt>
                <c:pt idx="2">
                  <c:v>SIDS (2)</c:v>
                </c:pt>
                <c:pt idx="3">
                  <c:v>CEITs (2)</c:v>
                </c:pt>
              </c:strCache>
            </c:strRef>
          </c:cat>
          <c:val>
            <c:numRef>
              <c:f>Sheet1!$C$29:$C$32</c:f>
              <c:numCache>
                <c:formatCode>General</c:formatCode>
                <c:ptCount val="4"/>
                <c:pt idx="0">
                  <c:v>11</c:v>
                </c:pt>
                <c:pt idx="1">
                  <c:v>4</c:v>
                </c:pt>
                <c:pt idx="2">
                  <c:v>2</c:v>
                </c:pt>
                <c:pt idx="3">
                  <c:v>2</c:v>
                </c:pt>
              </c:numCache>
            </c:numRef>
          </c:val>
          <c:extLst>
            <c:ext xmlns:c16="http://schemas.microsoft.com/office/drawing/2014/chart" uri="{C3380CC4-5D6E-409C-BE32-E72D297353CC}">
              <c16:uniqueId val="{00000008-E4EA-4C06-8F8E-EE55C5B9FF5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409B-F6DB-4AA6-B9A4-C74061D4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6823</Words>
  <Characters>37527</Characters>
  <Application>Microsoft Office Word</Application>
  <DocSecurity>0</DocSecurity>
  <Lines>312</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2018-11-02T09:21:00Z</cp:lastPrinted>
  <dcterms:created xsi:type="dcterms:W3CDTF">2018-11-05T13:16:00Z</dcterms:created>
  <dcterms:modified xsi:type="dcterms:W3CDTF">2018-11-05T13:16:00Z</dcterms:modified>
</cp:coreProperties>
</file>