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E2652F" w14:paraId="4B9F0F9B" w14:textId="77777777" w:rsidTr="00CB007D">
        <w:trPr>
          <w:cantSplit/>
          <w:trHeight w:val="850"/>
          <w:jc w:val="right"/>
        </w:trPr>
        <w:tc>
          <w:tcPr>
            <w:tcW w:w="1550" w:type="dxa"/>
          </w:tcPr>
          <w:p w14:paraId="2A9B9F9D" w14:textId="3217D4A8" w:rsidR="00032E4E" w:rsidRPr="00E2652F" w:rsidRDefault="00032E4E" w:rsidP="00023DA9">
            <w:pPr>
              <w:rPr>
                <w:rFonts w:ascii="Univers" w:hAnsi="Univers"/>
                <w:b/>
                <w:sz w:val="27"/>
                <w:szCs w:val="27"/>
              </w:rPr>
            </w:pPr>
            <w:bookmarkStart w:id="0" w:name="_GoBack"/>
            <w:bookmarkEnd w:id="0"/>
            <w:r w:rsidRPr="00E2652F">
              <w:rPr>
                <w:rFonts w:ascii="Arial" w:hAnsi="Arial" w:cs="Arial"/>
                <w:b/>
                <w:sz w:val="27"/>
                <w:szCs w:val="27"/>
              </w:rPr>
              <w:t>UNITED</w:t>
            </w:r>
            <w:r w:rsidR="00582B27" w:rsidRPr="00E2652F">
              <w:rPr>
                <w:rFonts w:ascii="Arial" w:hAnsi="Arial" w:cs="Arial"/>
                <w:b/>
                <w:sz w:val="27"/>
                <w:szCs w:val="27"/>
              </w:rPr>
              <w:t xml:space="preserve"> </w:t>
            </w:r>
            <w:r w:rsidRPr="00E2652F">
              <w:rPr>
                <w:rFonts w:ascii="Arial" w:hAnsi="Arial" w:cs="Arial"/>
                <w:b/>
                <w:sz w:val="27"/>
                <w:szCs w:val="27"/>
              </w:rPr>
              <w:br/>
              <w:t>NATIONS</w:t>
            </w:r>
          </w:p>
        </w:tc>
        <w:tc>
          <w:tcPr>
            <w:tcW w:w="4751" w:type="dxa"/>
          </w:tcPr>
          <w:p w14:paraId="2F47229A" w14:textId="77777777" w:rsidR="00032E4E" w:rsidRPr="00E2652F" w:rsidRDefault="00032E4E" w:rsidP="00023DA9">
            <w:pPr>
              <w:rPr>
                <w:rFonts w:ascii="Univers" w:hAnsi="Univers"/>
                <w:b/>
                <w:sz w:val="27"/>
                <w:szCs w:val="27"/>
              </w:rPr>
            </w:pPr>
          </w:p>
        </w:tc>
        <w:tc>
          <w:tcPr>
            <w:tcW w:w="3411" w:type="dxa"/>
          </w:tcPr>
          <w:p w14:paraId="57073C3F" w14:textId="77777777" w:rsidR="00032E4E" w:rsidRPr="00E2652F" w:rsidRDefault="00787688" w:rsidP="00023DA9">
            <w:pPr>
              <w:jc w:val="right"/>
              <w:rPr>
                <w:rFonts w:ascii="Arial" w:hAnsi="Arial" w:cs="Arial"/>
                <w:b/>
                <w:sz w:val="64"/>
                <w:szCs w:val="64"/>
              </w:rPr>
            </w:pPr>
            <w:r w:rsidRPr="00E2652F">
              <w:rPr>
                <w:rFonts w:ascii="Arial" w:hAnsi="Arial" w:cs="Arial"/>
                <w:b/>
                <w:sz w:val="64"/>
                <w:szCs w:val="64"/>
              </w:rPr>
              <w:t>MC</w:t>
            </w:r>
          </w:p>
        </w:tc>
      </w:tr>
      <w:tr w:rsidR="00032E4E" w:rsidRPr="00E2652F" w14:paraId="0DEAC680" w14:textId="77777777" w:rsidTr="00CB007D">
        <w:trPr>
          <w:cantSplit/>
          <w:trHeight w:val="281"/>
          <w:jc w:val="right"/>
        </w:trPr>
        <w:tc>
          <w:tcPr>
            <w:tcW w:w="1550" w:type="dxa"/>
            <w:tcBorders>
              <w:bottom w:val="single" w:sz="4" w:space="0" w:color="auto"/>
            </w:tcBorders>
          </w:tcPr>
          <w:p w14:paraId="30269B88" w14:textId="77777777" w:rsidR="00032E4E" w:rsidRPr="00E2652F" w:rsidRDefault="00032E4E" w:rsidP="00023DA9">
            <w:pPr>
              <w:rPr>
                <w:sz w:val="18"/>
                <w:szCs w:val="18"/>
              </w:rPr>
            </w:pPr>
          </w:p>
        </w:tc>
        <w:tc>
          <w:tcPr>
            <w:tcW w:w="4751" w:type="dxa"/>
            <w:tcBorders>
              <w:bottom w:val="single" w:sz="4" w:space="0" w:color="auto"/>
            </w:tcBorders>
          </w:tcPr>
          <w:p w14:paraId="54296B4D" w14:textId="77777777" w:rsidR="00032E4E" w:rsidRPr="00E2652F" w:rsidRDefault="00032E4E" w:rsidP="00023DA9">
            <w:pPr>
              <w:rPr>
                <w:rFonts w:ascii="Univers" w:hAnsi="Univers"/>
                <w:b/>
                <w:sz w:val="18"/>
                <w:szCs w:val="18"/>
              </w:rPr>
            </w:pPr>
          </w:p>
        </w:tc>
        <w:tc>
          <w:tcPr>
            <w:tcW w:w="3411" w:type="dxa"/>
            <w:tcBorders>
              <w:bottom w:val="single" w:sz="4" w:space="0" w:color="auto"/>
            </w:tcBorders>
          </w:tcPr>
          <w:p w14:paraId="540639F8" w14:textId="25B0BA52" w:rsidR="00032E4E" w:rsidRPr="00E2652F" w:rsidRDefault="00032E4E" w:rsidP="00434321">
            <w:pPr>
              <w:rPr>
                <w:sz w:val="18"/>
                <w:szCs w:val="18"/>
              </w:rPr>
            </w:pPr>
            <w:r w:rsidRPr="00E2652F">
              <w:rPr>
                <w:b/>
                <w:bCs/>
                <w:sz w:val="28"/>
              </w:rPr>
              <w:t>UNEP</w:t>
            </w:r>
            <w:bookmarkStart w:id="1" w:name="OLE_LINK1"/>
            <w:bookmarkStart w:id="2" w:name="OLE_LINK2"/>
            <w:r w:rsidR="00787688" w:rsidRPr="00E2652F">
              <w:rPr>
                <w:b/>
                <w:bCs/>
                <w:sz w:val="28"/>
              </w:rPr>
              <w:t>/</w:t>
            </w:r>
            <w:r w:rsidR="00787688" w:rsidRPr="00E2652F">
              <w:t>MC</w:t>
            </w:r>
            <w:r w:rsidRPr="00E2652F">
              <w:t>/</w:t>
            </w:r>
            <w:bookmarkEnd w:id="1"/>
            <w:bookmarkEnd w:id="2"/>
            <w:r w:rsidR="00787688" w:rsidRPr="00E2652F">
              <w:t>COP.</w:t>
            </w:r>
            <w:r w:rsidR="00434321" w:rsidRPr="00E2652F">
              <w:t>2</w:t>
            </w:r>
            <w:r w:rsidRPr="00E2652F">
              <w:t>/</w:t>
            </w:r>
            <w:r w:rsidR="00F17673" w:rsidRPr="00E2652F">
              <w:t>7</w:t>
            </w:r>
          </w:p>
        </w:tc>
      </w:tr>
      <w:bookmarkStart w:id="3" w:name="_MON_1021710510"/>
      <w:bookmarkEnd w:id="3"/>
      <w:bookmarkStart w:id="4" w:name="_MON_1021710482"/>
      <w:bookmarkEnd w:id="4"/>
      <w:tr w:rsidR="00032E4E" w:rsidRPr="00E2652F"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E2652F" w:rsidRDefault="003E20F5" w:rsidP="00023DA9">
            <w:r w:rsidRPr="00E2652F">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0.75pt" o:ole="" fillcolor="window">
                  <v:imagedata r:id="rId8" o:title=""/>
                </v:shape>
                <o:OLEObject Type="Embed" ProgID="Word.Picture.8" ShapeID="_x0000_i1025" DrawAspect="Content" ObjectID="_1600842312" r:id="rId9"/>
              </w:object>
            </w:r>
            <w:r w:rsidR="00011A16" w:rsidRPr="00E2652F">
              <w:rPr>
                <w:noProof/>
                <w:lang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E2652F" w:rsidRDefault="00032E4E" w:rsidP="00023DA9">
            <w:pPr>
              <w:spacing w:before="1200"/>
              <w:rPr>
                <w:rFonts w:ascii="Arial" w:hAnsi="Arial" w:cs="Arial"/>
                <w:b/>
                <w:sz w:val="28"/>
              </w:rPr>
            </w:pPr>
            <w:r w:rsidRPr="00E2652F">
              <w:rPr>
                <w:rFonts w:ascii="Arial" w:hAnsi="Arial" w:cs="Arial"/>
                <w:b/>
                <w:sz w:val="32"/>
                <w:szCs w:val="32"/>
              </w:rPr>
              <w:t>United Nations</w:t>
            </w:r>
            <w:r w:rsidR="005B2DF4" w:rsidRPr="00E2652F">
              <w:rPr>
                <w:rFonts w:ascii="Arial" w:hAnsi="Arial" w:cs="Arial"/>
                <w:b/>
                <w:sz w:val="32"/>
                <w:szCs w:val="32"/>
              </w:rPr>
              <w:t xml:space="preserve"> </w:t>
            </w:r>
            <w:r w:rsidRPr="00E2652F">
              <w:rPr>
                <w:rFonts w:ascii="Arial" w:hAnsi="Arial" w:cs="Arial"/>
                <w:b/>
                <w:sz w:val="32"/>
                <w:szCs w:val="32"/>
              </w:rPr>
              <w:br w:type="textWrapping" w:clear="all"/>
              <w:t>Environment</w:t>
            </w:r>
            <w:r w:rsidR="005B2DF4" w:rsidRPr="00E2652F">
              <w:rPr>
                <w:rFonts w:ascii="Arial" w:hAnsi="Arial" w:cs="Arial"/>
                <w:b/>
                <w:sz w:val="32"/>
                <w:szCs w:val="32"/>
              </w:rPr>
              <w:t xml:space="preserve"> </w:t>
            </w:r>
            <w:r w:rsidRPr="00E2652F">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3CC526EC" w:rsidR="00032E4E" w:rsidRPr="00E2652F" w:rsidRDefault="00032E4E" w:rsidP="00582B27">
            <w:pPr>
              <w:spacing w:before="120"/>
            </w:pPr>
            <w:r w:rsidRPr="00E2652F">
              <w:t>Distr.: General</w:t>
            </w:r>
            <w:r w:rsidR="005B2DF4" w:rsidRPr="00E2652F">
              <w:t xml:space="preserve"> </w:t>
            </w:r>
            <w:r w:rsidRPr="00E2652F">
              <w:br w:type="textWrapping" w:clear="all"/>
            </w:r>
            <w:r w:rsidR="00A6343B" w:rsidRPr="00E2652F">
              <w:t>6</w:t>
            </w:r>
            <w:r w:rsidR="00DC1792" w:rsidRPr="00E2652F">
              <w:t xml:space="preserve"> </w:t>
            </w:r>
            <w:r w:rsidR="00F17673" w:rsidRPr="00E2652F">
              <w:t xml:space="preserve">August </w:t>
            </w:r>
            <w:r w:rsidR="0042266F" w:rsidRPr="00E2652F">
              <w:t>201</w:t>
            </w:r>
            <w:r w:rsidR="00434321" w:rsidRPr="00E2652F">
              <w:t>8</w:t>
            </w:r>
          </w:p>
          <w:p w14:paraId="1A75CF9D" w14:textId="77777777" w:rsidR="00032E4E" w:rsidRPr="00E2652F" w:rsidRDefault="00032E4E" w:rsidP="00582B27">
            <w:pPr>
              <w:spacing w:before="120"/>
            </w:pPr>
            <w:r w:rsidRPr="00E2652F">
              <w:t>Original: English</w:t>
            </w:r>
          </w:p>
        </w:tc>
      </w:tr>
    </w:tbl>
    <w:p w14:paraId="0A4BFFDA" w14:textId="30575E0E" w:rsidR="00E976AB" w:rsidRPr="00E2652F" w:rsidRDefault="00CB007D" w:rsidP="00F51980">
      <w:pPr>
        <w:pStyle w:val="AATitle"/>
        <w:keepNext w:val="0"/>
        <w:keepLines w:val="0"/>
        <w:ind w:left="-113"/>
      </w:pPr>
      <w:r w:rsidRPr="00E2652F">
        <w:t>Conference of the Parties to the</w:t>
      </w:r>
      <w:r w:rsidR="005B2DF4" w:rsidRPr="00E2652F">
        <w:t xml:space="preserve"> </w:t>
      </w:r>
      <w:r w:rsidR="005B2DF4" w:rsidRPr="00E2652F">
        <w:br/>
      </w:r>
      <w:r w:rsidR="00787688" w:rsidRPr="00E2652F">
        <w:t>Minamata Convention on Mercury</w:t>
      </w:r>
    </w:p>
    <w:p w14:paraId="26A6CAA0" w14:textId="77194A37" w:rsidR="00E976AB" w:rsidRPr="00E2652F" w:rsidRDefault="00434321" w:rsidP="00F51980">
      <w:pPr>
        <w:pStyle w:val="AATitle"/>
        <w:keepNext w:val="0"/>
        <w:keepLines w:val="0"/>
        <w:ind w:left="-113"/>
      </w:pPr>
      <w:r w:rsidRPr="00E2652F">
        <w:t>Second</w:t>
      </w:r>
      <w:r w:rsidR="00787688" w:rsidRPr="00E2652F">
        <w:t xml:space="preserve"> meeting</w:t>
      </w:r>
    </w:p>
    <w:p w14:paraId="67B82F12" w14:textId="5B325575" w:rsidR="00787688" w:rsidRPr="00E2652F" w:rsidRDefault="00787688" w:rsidP="00F51980">
      <w:pPr>
        <w:pStyle w:val="AATitle"/>
        <w:ind w:left="-113"/>
        <w:rPr>
          <w:b w:val="0"/>
        </w:rPr>
      </w:pPr>
      <w:r w:rsidRPr="00E2652F">
        <w:rPr>
          <w:b w:val="0"/>
        </w:rPr>
        <w:t>Geneva</w:t>
      </w:r>
      <w:r w:rsidR="00E976AB" w:rsidRPr="00E2652F">
        <w:rPr>
          <w:b w:val="0"/>
        </w:rPr>
        <w:t xml:space="preserve">, </w:t>
      </w:r>
      <w:r w:rsidR="00434321" w:rsidRPr="00E2652F">
        <w:rPr>
          <w:b w:val="0"/>
        </w:rPr>
        <w:t>19</w:t>
      </w:r>
      <w:r w:rsidR="00325D38" w:rsidRPr="00E2652F">
        <w:rPr>
          <w:b w:val="0"/>
        </w:rPr>
        <w:t>–2</w:t>
      </w:r>
      <w:r w:rsidR="00434321" w:rsidRPr="00E2652F">
        <w:rPr>
          <w:b w:val="0"/>
        </w:rPr>
        <w:t>3</w:t>
      </w:r>
      <w:r w:rsidR="00325D38" w:rsidRPr="00E2652F">
        <w:rPr>
          <w:b w:val="0"/>
        </w:rPr>
        <w:t xml:space="preserve"> </w:t>
      </w:r>
      <w:r w:rsidR="00434321" w:rsidRPr="00E2652F">
        <w:rPr>
          <w:b w:val="0"/>
        </w:rPr>
        <w:t>November 2018</w:t>
      </w:r>
    </w:p>
    <w:p w14:paraId="41CF4448" w14:textId="3C5EBFE0" w:rsidR="00F15578" w:rsidRPr="00E2652F" w:rsidRDefault="00E54866" w:rsidP="00F51980">
      <w:pPr>
        <w:pStyle w:val="AATitle"/>
        <w:keepNext w:val="0"/>
        <w:keepLines w:val="0"/>
        <w:ind w:left="-113"/>
        <w:rPr>
          <w:b w:val="0"/>
        </w:rPr>
      </w:pPr>
      <w:r w:rsidRPr="00E2652F">
        <w:rPr>
          <w:b w:val="0"/>
        </w:rPr>
        <w:t xml:space="preserve">Item </w:t>
      </w:r>
      <w:r w:rsidR="00035ED3" w:rsidRPr="00E2652F">
        <w:rPr>
          <w:b w:val="0"/>
        </w:rPr>
        <w:t>5</w:t>
      </w:r>
      <w:r w:rsidR="00D521DC" w:rsidRPr="00E2652F">
        <w:rPr>
          <w:b w:val="0"/>
        </w:rPr>
        <w:t xml:space="preserve"> </w:t>
      </w:r>
      <w:r w:rsidR="00035ED3" w:rsidRPr="00E2652F">
        <w:rPr>
          <w:b w:val="0"/>
        </w:rPr>
        <w:t>(</w:t>
      </w:r>
      <w:r w:rsidR="00F17673" w:rsidRPr="00E2652F">
        <w:rPr>
          <w:b w:val="0"/>
        </w:rPr>
        <w:t>d</w:t>
      </w:r>
      <w:r w:rsidR="00035ED3" w:rsidRPr="00E2652F">
        <w:rPr>
          <w:b w:val="0"/>
        </w:rPr>
        <w:t>)</w:t>
      </w:r>
      <w:r w:rsidRPr="00E2652F">
        <w:rPr>
          <w:b w:val="0"/>
        </w:rPr>
        <w:t xml:space="preserve"> of the provisional agenda</w:t>
      </w:r>
      <w:r w:rsidRPr="00E2652F">
        <w:rPr>
          <w:b w:val="0"/>
        </w:rPr>
        <w:footnoteReference w:customMarkFollows="1" w:id="1"/>
        <w:t>*</w:t>
      </w:r>
    </w:p>
    <w:p w14:paraId="78BE52BD" w14:textId="00FCF5F4" w:rsidR="001F683A" w:rsidRPr="00E2652F" w:rsidRDefault="00035ED3" w:rsidP="004865BC">
      <w:pPr>
        <w:pStyle w:val="AATitle2"/>
        <w:spacing w:before="60"/>
        <w:ind w:right="4109"/>
      </w:pPr>
      <w:r w:rsidRPr="00E2652F">
        <w:t xml:space="preserve">Matters for consideration or action by the Conference </w:t>
      </w:r>
      <w:r w:rsidR="004865BC">
        <w:br/>
      </w:r>
      <w:r w:rsidRPr="00E2652F">
        <w:t xml:space="preserve">of the Parties: </w:t>
      </w:r>
      <w:r w:rsidR="00D521DC" w:rsidRPr="00E2652F">
        <w:t>g</w:t>
      </w:r>
      <w:r w:rsidR="00F17673" w:rsidRPr="00E2652F">
        <w:t xml:space="preserve">uidance on the management of </w:t>
      </w:r>
      <w:r w:rsidR="004865BC">
        <w:br/>
      </w:r>
      <w:r w:rsidR="00F17673" w:rsidRPr="00E2652F">
        <w:t>contaminated sites</w:t>
      </w:r>
    </w:p>
    <w:p w14:paraId="7D489C3D" w14:textId="6DF33121" w:rsidR="00CD0518" w:rsidRPr="00E2652F" w:rsidRDefault="00F17673" w:rsidP="00F51980">
      <w:pPr>
        <w:pStyle w:val="BBTitle"/>
      </w:pPr>
      <w:r w:rsidRPr="00E2652F">
        <w:t>Guidance on the management of contaminated sites</w:t>
      </w:r>
    </w:p>
    <w:p w14:paraId="7C2F3AEF" w14:textId="2C827731" w:rsidR="001F683A" w:rsidRPr="00E2652F" w:rsidRDefault="00520198" w:rsidP="00F51980">
      <w:pPr>
        <w:pStyle w:val="CH2"/>
      </w:pPr>
      <w:r w:rsidRPr="00E2652F">
        <w:tab/>
      </w:r>
      <w:r w:rsidRPr="00E2652F">
        <w:tab/>
      </w:r>
      <w:bookmarkStart w:id="5" w:name="_Toc524355392"/>
      <w:r w:rsidR="00035ED3" w:rsidRPr="00E2652F">
        <w:t>Note by the secretariat</w:t>
      </w:r>
      <w:bookmarkEnd w:id="5"/>
    </w:p>
    <w:p w14:paraId="402856AB" w14:textId="3FC704F5" w:rsidR="00CD0518" w:rsidRPr="00E2652F" w:rsidRDefault="00480343" w:rsidP="00F51980">
      <w:pPr>
        <w:pStyle w:val="Normalnumber"/>
        <w:ind w:left="1247" w:firstLine="0"/>
        <w:rPr>
          <w:iCs/>
        </w:rPr>
      </w:pPr>
      <w:r w:rsidRPr="00E2652F">
        <w:t>At its first meeting, the Conference of the Parties to the Minamata Convention on Mercury</w:t>
      </w:r>
      <w:r w:rsidR="008B0A34" w:rsidRPr="00E2652F">
        <w:t xml:space="preserve"> considered the development of </w:t>
      </w:r>
      <w:r w:rsidR="00F17673" w:rsidRPr="00E2652F">
        <w:t xml:space="preserve">guidance </w:t>
      </w:r>
      <w:r w:rsidR="008B0A34" w:rsidRPr="00E2652F">
        <w:t xml:space="preserve">in relation to </w:t>
      </w:r>
      <w:r w:rsidR="00CD0518" w:rsidRPr="00E2652F">
        <w:t xml:space="preserve">the </w:t>
      </w:r>
      <w:r w:rsidR="00F17673" w:rsidRPr="00E2652F">
        <w:t xml:space="preserve">management of contaminated sites </w:t>
      </w:r>
      <w:r w:rsidR="008B0A34" w:rsidRPr="00E2652F">
        <w:t xml:space="preserve">as </w:t>
      </w:r>
      <w:r w:rsidR="00CD0518" w:rsidRPr="00E2652F">
        <w:t>required pursuant to paragraph 3</w:t>
      </w:r>
      <w:r w:rsidR="008B0A34" w:rsidRPr="00E2652F">
        <w:t xml:space="preserve"> of </w:t>
      </w:r>
      <w:r w:rsidR="00D51E56" w:rsidRPr="00E2652F">
        <w:t>a</w:t>
      </w:r>
      <w:r w:rsidR="008B0A34" w:rsidRPr="00E2652F">
        <w:t xml:space="preserve">rticle </w:t>
      </w:r>
      <w:r w:rsidR="00CD0518" w:rsidRPr="00E2652F">
        <w:t>1</w:t>
      </w:r>
      <w:r w:rsidR="00F17673" w:rsidRPr="00E2652F">
        <w:t>2</w:t>
      </w:r>
      <w:r w:rsidR="008B0A34" w:rsidRPr="00E2652F">
        <w:t>.</w:t>
      </w:r>
      <w:r w:rsidRPr="00E2652F">
        <w:t xml:space="preserve"> </w:t>
      </w:r>
      <w:r w:rsidR="00CD0518" w:rsidRPr="00E2652F">
        <w:t>I</w:t>
      </w:r>
      <w:r w:rsidR="00D27DAD" w:rsidRPr="00E2652F">
        <w:t>n its</w:t>
      </w:r>
      <w:r w:rsidRPr="00E2652F">
        <w:t xml:space="preserve"> </w:t>
      </w:r>
      <w:r w:rsidR="005557F5" w:rsidRPr="00E2652F">
        <w:t>d</w:t>
      </w:r>
      <w:r w:rsidRPr="00E2652F">
        <w:t>ecision MC-1/</w:t>
      </w:r>
      <w:r w:rsidR="00152C44" w:rsidRPr="00E2652F">
        <w:t>20</w:t>
      </w:r>
      <w:r w:rsidRPr="00E2652F">
        <w:t xml:space="preserve">, </w:t>
      </w:r>
      <w:r w:rsidR="00CD0518" w:rsidRPr="00E2652F">
        <w:t>the Conference of the Parties requested the secretariat</w:t>
      </w:r>
      <w:r w:rsidR="00152C44" w:rsidRPr="00E2652F">
        <w:t>,</w:t>
      </w:r>
      <w:r w:rsidR="00CD0518" w:rsidRPr="00E2652F">
        <w:t xml:space="preserve"> </w:t>
      </w:r>
      <w:r w:rsidR="00152C44" w:rsidRPr="00E2652F">
        <w:t>drawing on previously submitted information and work undertaken in other forums and using the outline of the structure and content of the guidance agreed by the Conference of the Parties as a basis, to prepare initial draft guidance on contaminated sites and circulate it electronically to nominated experts, who were to provide comments to the secretariat.</w:t>
      </w:r>
      <w:r w:rsidR="00CD0518" w:rsidRPr="00E2652F">
        <w:rPr>
          <w:iCs/>
        </w:rPr>
        <w:t xml:space="preserve"> </w:t>
      </w:r>
    </w:p>
    <w:p w14:paraId="32264C05" w14:textId="1846C23C" w:rsidR="00CD0518" w:rsidRPr="00E2652F" w:rsidRDefault="00152C44" w:rsidP="00F51980">
      <w:pPr>
        <w:pStyle w:val="Normalnumber"/>
        <w:ind w:left="1247" w:firstLine="0"/>
      </w:pPr>
      <w:r w:rsidRPr="00E2652F">
        <w:t xml:space="preserve">The decision </w:t>
      </w:r>
      <w:r w:rsidR="00AB2AB0" w:rsidRPr="00E2652F">
        <w:t>also</w:t>
      </w:r>
      <w:r w:rsidRPr="00E2652F">
        <w:t xml:space="preserve"> </w:t>
      </w:r>
      <w:r w:rsidR="005557F5" w:rsidRPr="00E2652F">
        <w:t xml:space="preserve">indicated that </w:t>
      </w:r>
      <w:r w:rsidRPr="00E2652F">
        <w:t xml:space="preserve">the secretariat </w:t>
      </w:r>
      <w:r w:rsidR="005557F5" w:rsidRPr="00E2652F">
        <w:t xml:space="preserve">should </w:t>
      </w:r>
      <w:r w:rsidRPr="00E2652F">
        <w:t xml:space="preserve">provide </w:t>
      </w:r>
      <w:r w:rsidR="009434CB" w:rsidRPr="00E2652F">
        <w:t>a revised version of the</w:t>
      </w:r>
      <w:r w:rsidRPr="00E2652F">
        <w:t xml:space="preserve"> guidance </w:t>
      </w:r>
      <w:r w:rsidR="009434CB" w:rsidRPr="00E2652F">
        <w:t xml:space="preserve">and circulate it to the </w:t>
      </w:r>
      <w:r w:rsidRPr="00E2652F">
        <w:t xml:space="preserve">experts for </w:t>
      </w:r>
      <w:r w:rsidR="009434CB" w:rsidRPr="00E2652F">
        <w:t>consideration and further electronic discussion</w:t>
      </w:r>
      <w:r w:rsidRPr="00E2652F">
        <w:t xml:space="preserve">. </w:t>
      </w:r>
      <w:r w:rsidR="009434CB" w:rsidRPr="00E2652F">
        <w:t>T</w:t>
      </w:r>
      <w:r w:rsidRPr="00E2652F">
        <w:t xml:space="preserve">he </w:t>
      </w:r>
      <w:r w:rsidR="00414A12" w:rsidRPr="00E2652F">
        <w:t xml:space="preserve">initial draft </w:t>
      </w:r>
      <w:r w:rsidRPr="00E2652F">
        <w:t>guidance</w:t>
      </w:r>
      <w:r w:rsidR="003E1381" w:rsidRPr="00E2652F">
        <w:t xml:space="preserve"> was made available </w:t>
      </w:r>
      <w:r w:rsidR="00AB2AB0" w:rsidRPr="00E2652F">
        <w:t>in late</w:t>
      </w:r>
      <w:r w:rsidR="003E1381" w:rsidRPr="00E2652F">
        <w:t xml:space="preserve"> March</w:t>
      </w:r>
      <w:r w:rsidR="00414A12" w:rsidRPr="00E2652F">
        <w:t xml:space="preserve"> 2018</w:t>
      </w:r>
      <w:r w:rsidR="006D4D70" w:rsidRPr="00E2652F">
        <w:t>,</w:t>
      </w:r>
      <w:r w:rsidR="00414A12" w:rsidRPr="00E2652F">
        <w:t xml:space="preserve"> as nominations of experts were still being received. T</w:t>
      </w:r>
      <w:r w:rsidR="003E1381" w:rsidRPr="00E2652F">
        <w:t xml:space="preserve">he comment phase was </w:t>
      </w:r>
      <w:r w:rsidR="00414A12" w:rsidRPr="00E2652F">
        <w:t xml:space="preserve">thus </w:t>
      </w:r>
      <w:r w:rsidR="003E1381" w:rsidRPr="00E2652F">
        <w:t xml:space="preserve">extended until the </w:t>
      </w:r>
      <w:r w:rsidR="00414A12" w:rsidRPr="00E2652F">
        <w:t>end</w:t>
      </w:r>
      <w:r w:rsidR="003E1381" w:rsidRPr="00E2652F">
        <w:t xml:space="preserve"> of May. </w:t>
      </w:r>
      <w:r w:rsidR="005557F5" w:rsidRPr="00E2652F">
        <w:t>A s</w:t>
      </w:r>
      <w:r w:rsidR="003E1381" w:rsidRPr="00E2652F">
        <w:t xml:space="preserve">ignificant </w:t>
      </w:r>
      <w:r w:rsidR="005557F5" w:rsidRPr="00E2652F">
        <w:t xml:space="preserve">number of </w:t>
      </w:r>
      <w:r w:rsidR="003E1381" w:rsidRPr="00E2652F">
        <w:t>comments were received in the early weeks of June</w:t>
      </w:r>
      <w:r w:rsidR="005557F5" w:rsidRPr="00E2652F">
        <w:t xml:space="preserve"> and</w:t>
      </w:r>
      <w:r w:rsidR="003E1381" w:rsidRPr="00E2652F">
        <w:t xml:space="preserve"> some </w:t>
      </w:r>
      <w:r w:rsidR="005557F5" w:rsidRPr="00E2652F">
        <w:t xml:space="preserve">were </w:t>
      </w:r>
      <w:r w:rsidR="003E1381" w:rsidRPr="00E2652F">
        <w:t xml:space="preserve">received in July. </w:t>
      </w:r>
      <w:r w:rsidR="005557F5" w:rsidRPr="00E2652F">
        <w:t>Comment submission</w:t>
      </w:r>
      <w:r w:rsidR="003E1381" w:rsidRPr="00E2652F">
        <w:t xml:space="preserve"> </w:t>
      </w:r>
      <w:r w:rsidRPr="00E2652F">
        <w:t xml:space="preserve">delays </w:t>
      </w:r>
      <w:r w:rsidR="005557F5" w:rsidRPr="00E2652F">
        <w:t>and the</w:t>
      </w:r>
      <w:r w:rsidR="003E1381" w:rsidRPr="00E2652F">
        <w:t xml:space="preserve"> </w:t>
      </w:r>
      <w:r w:rsidR="00B40708" w:rsidRPr="00E2652F">
        <w:t xml:space="preserve">extensive </w:t>
      </w:r>
      <w:r w:rsidR="003E1381" w:rsidRPr="00E2652F">
        <w:t xml:space="preserve">revisions resulting from the </w:t>
      </w:r>
      <w:r w:rsidR="005557F5" w:rsidRPr="00E2652F">
        <w:t>often</w:t>
      </w:r>
      <w:r w:rsidR="00414A12" w:rsidRPr="00E2652F">
        <w:t xml:space="preserve"> divergent </w:t>
      </w:r>
      <w:r w:rsidR="003E1381" w:rsidRPr="00E2652F">
        <w:t xml:space="preserve">comments meant that </w:t>
      </w:r>
      <w:r w:rsidR="005557F5" w:rsidRPr="00E2652F">
        <w:t xml:space="preserve">there was insufficient time for </w:t>
      </w:r>
      <w:r w:rsidR="00B40708" w:rsidRPr="00E2652F">
        <w:t>the</w:t>
      </w:r>
      <w:r w:rsidRPr="00E2652F">
        <w:t xml:space="preserve"> second comment</w:t>
      </w:r>
      <w:r w:rsidR="00B40708" w:rsidRPr="00E2652F">
        <w:t>ing</w:t>
      </w:r>
      <w:r w:rsidRPr="00E2652F">
        <w:t xml:space="preserve"> phase</w:t>
      </w:r>
      <w:r w:rsidR="00B40708" w:rsidRPr="00E2652F">
        <w:t xml:space="preserve"> provided for</w:t>
      </w:r>
      <w:r w:rsidRPr="00E2652F">
        <w:t xml:space="preserve"> in the </w:t>
      </w:r>
      <w:r w:rsidR="00414A12" w:rsidRPr="00E2652F">
        <w:t>road map for the preparation of the draft guidance</w:t>
      </w:r>
      <w:r w:rsidRPr="00E2652F">
        <w:t xml:space="preserve">. The revised </w:t>
      </w:r>
      <w:r w:rsidR="00CE3157" w:rsidRPr="00E2652F">
        <w:t xml:space="preserve">draft </w:t>
      </w:r>
      <w:r w:rsidRPr="00E2652F">
        <w:t>guidance</w:t>
      </w:r>
      <w:r w:rsidR="00CE3157" w:rsidRPr="00E2652F">
        <w:t xml:space="preserve"> prepared taking into account the </w:t>
      </w:r>
      <w:r w:rsidR="00B40708" w:rsidRPr="00E2652F">
        <w:t xml:space="preserve">experts’ </w:t>
      </w:r>
      <w:r w:rsidR="00CE3157" w:rsidRPr="00E2652F">
        <w:t xml:space="preserve">comments </w:t>
      </w:r>
      <w:r w:rsidRPr="00E2652F">
        <w:t xml:space="preserve">is </w:t>
      </w:r>
      <w:r w:rsidR="006D4D70" w:rsidRPr="00E2652F">
        <w:t>being</w:t>
      </w:r>
      <w:r w:rsidR="00B40708" w:rsidRPr="00E2652F">
        <w:t xml:space="preserve"> submitted to the Conference of the Parties for </w:t>
      </w:r>
      <w:r w:rsidRPr="00E2652F">
        <w:t xml:space="preserve">consideration </w:t>
      </w:r>
      <w:r w:rsidR="00B40708" w:rsidRPr="00E2652F">
        <w:t xml:space="preserve">at its second meeting </w:t>
      </w:r>
      <w:r w:rsidR="00414A12" w:rsidRPr="00E2652F">
        <w:t xml:space="preserve">and </w:t>
      </w:r>
      <w:r w:rsidR="00B40708" w:rsidRPr="00E2652F">
        <w:t xml:space="preserve">for </w:t>
      </w:r>
      <w:r w:rsidR="00414A12" w:rsidRPr="00E2652F">
        <w:t>further recommendations</w:t>
      </w:r>
      <w:r w:rsidRPr="00E2652F">
        <w:t xml:space="preserve">. </w:t>
      </w:r>
      <w:r w:rsidR="00CD0518" w:rsidRPr="00E2652F">
        <w:t xml:space="preserve">A decision </w:t>
      </w:r>
      <w:r w:rsidR="00CE3157" w:rsidRPr="00E2652F">
        <w:t>on possible further work</w:t>
      </w:r>
      <w:r w:rsidR="003E1381" w:rsidRPr="00E2652F">
        <w:t xml:space="preserve">, </w:t>
      </w:r>
      <w:r w:rsidR="00414A12" w:rsidRPr="00E2652F">
        <w:t xml:space="preserve">taking into account </w:t>
      </w:r>
      <w:r w:rsidR="00AB2AB0" w:rsidRPr="00E2652F">
        <w:t xml:space="preserve">the fact </w:t>
      </w:r>
      <w:r w:rsidR="003E1381" w:rsidRPr="00E2652F">
        <w:t xml:space="preserve">that only one comment phase </w:t>
      </w:r>
      <w:r w:rsidR="00414A12" w:rsidRPr="00E2652F">
        <w:t xml:space="preserve">took place </w:t>
      </w:r>
      <w:r w:rsidR="003E1381" w:rsidRPr="00E2652F">
        <w:t>in the period between the first and second meeting</w:t>
      </w:r>
      <w:r w:rsidR="00414A12" w:rsidRPr="00E2652F">
        <w:t>s</w:t>
      </w:r>
      <w:r w:rsidR="003E1381" w:rsidRPr="00E2652F">
        <w:t xml:space="preserve">, </w:t>
      </w:r>
      <w:r w:rsidR="00CD0518" w:rsidRPr="00E2652F">
        <w:t>is pr</w:t>
      </w:r>
      <w:r w:rsidR="00AB2AB0" w:rsidRPr="00E2652F">
        <w:t>esented in</w:t>
      </w:r>
      <w:r w:rsidR="00CD0518" w:rsidRPr="00E2652F">
        <w:t xml:space="preserve"> </w:t>
      </w:r>
      <w:r w:rsidR="00AB2AB0" w:rsidRPr="00E2652F">
        <w:t>a</w:t>
      </w:r>
      <w:r w:rsidR="00CD0518" w:rsidRPr="00E2652F">
        <w:t xml:space="preserve">nnex I to this note, while the </w:t>
      </w:r>
      <w:r w:rsidR="00CE3157" w:rsidRPr="00E2652F">
        <w:t>draft guidance</w:t>
      </w:r>
      <w:r w:rsidR="00CD0518" w:rsidRPr="00E2652F">
        <w:t xml:space="preserve"> </w:t>
      </w:r>
      <w:r w:rsidR="00CE3157" w:rsidRPr="00E2652F">
        <w:t xml:space="preserve">is </w:t>
      </w:r>
      <w:r w:rsidR="00CD0518" w:rsidRPr="00E2652F">
        <w:t>pr</w:t>
      </w:r>
      <w:r w:rsidR="00AB2AB0" w:rsidRPr="00E2652F">
        <w:t>esented in</w:t>
      </w:r>
      <w:r w:rsidR="00CD0518" w:rsidRPr="00E2652F">
        <w:t xml:space="preserve"> </w:t>
      </w:r>
      <w:r w:rsidR="00AB2AB0" w:rsidRPr="00E2652F">
        <w:t>a</w:t>
      </w:r>
      <w:r w:rsidR="00CD0518" w:rsidRPr="00E2652F">
        <w:t xml:space="preserve">nnex II. </w:t>
      </w:r>
    </w:p>
    <w:p w14:paraId="5531262D" w14:textId="31EAC288" w:rsidR="00480343" w:rsidRPr="00E2652F" w:rsidRDefault="00520198" w:rsidP="00F51980">
      <w:pPr>
        <w:pStyle w:val="CH2"/>
      </w:pPr>
      <w:r w:rsidRPr="00E2652F">
        <w:tab/>
      </w:r>
      <w:r w:rsidRPr="00E2652F">
        <w:tab/>
      </w:r>
      <w:bookmarkStart w:id="6" w:name="_Toc524355393"/>
      <w:r w:rsidR="00480343" w:rsidRPr="00E2652F">
        <w:t>Suggested action by the Conference of the Parties</w:t>
      </w:r>
      <w:bookmarkEnd w:id="6"/>
    </w:p>
    <w:p w14:paraId="59925D6B" w14:textId="218E2A0D" w:rsidR="00480343" w:rsidRPr="00E2652F" w:rsidRDefault="000B0923" w:rsidP="00F51980">
      <w:pPr>
        <w:pStyle w:val="Normalnumber"/>
        <w:ind w:left="1247" w:firstLine="0"/>
      </w:pPr>
      <w:r w:rsidRPr="00E2652F">
        <w:t xml:space="preserve">The Conference of the Parties may wish to consider the draft </w:t>
      </w:r>
      <w:r w:rsidR="00CE3157" w:rsidRPr="00E2652F">
        <w:t xml:space="preserve">guidance </w:t>
      </w:r>
      <w:r w:rsidRPr="00E2652F">
        <w:t xml:space="preserve">on the </w:t>
      </w:r>
      <w:r w:rsidR="00CE3157" w:rsidRPr="00E2652F">
        <w:t>management of contaminated sites</w:t>
      </w:r>
      <w:r w:rsidR="00BA6E1D" w:rsidRPr="00E2652F">
        <w:t xml:space="preserve"> </w:t>
      </w:r>
      <w:r w:rsidRPr="00E2652F">
        <w:t>and</w:t>
      </w:r>
      <w:r w:rsidR="007E05A9" w:rsidRPr="00E2652F">
        <w:t xml:space="preserve"> further recommendations</w:t>
      </w:r>
      <w:r w:rsidR="00E7506F" w:rsidRPr="00E2652F">
        <w:t>, a</w:t>
      </w:r>
      <w:r w:rsidR="00AB2AB0" w:rsidRPr="00E2652F">
        <w:t>nd to</w:t>
      </w:r>
      <w:r w:rsidR="007E05A9" w:rsidRPr="00E2652F" w:rsidDel="00147ABC">
        <w:t xml:space="preserve"> </w:t>
      </w:r>
      <w:r w:rsidR="00CE3157" w:rsidRPr="00E2652F">
        <w:t xml:space="preserve">consider </w:t>
      </w:r>
      <w:r w:rsidR="00AB2AB0" w:rsidRPr="00E2652F">
        <w:t>requesting</w:t>
      </w:r>
      <w:r w:rsidR="00245B8F" w:rsidRPr="00E2652F">
        <w:t xml:space="preserve"> </w:t>
      </w:r>
      <w:r w:rsidR="00CE3157" w:rsidRPr="00E2652F">
        <w:t>further work on th</w:t>
      </w:r>
      <w:r w:rsidR="00E7506F" w:rsidRPr="00E2652F">
        <w:t>e</w:t>
      </w:r>
      <w:r w:rsidR="00CE3157" w:rsidRPr="00E2652F">
        <w:t xml:space="preserve"> guidance</w:t>
      </w:r>
      <w:r w:rsidR="000C2F3D" w:rsidRPr="00E2652F">
        <w:t xml:space="preserve">. </w:t>
      </w:r>
    </w:p>
    <w:p w14:paraId="3725E63F" w14:textId="77777777" w:rsidR="00480343" w:rsidRPr="00E2652F" w:rsidRDefault="00480343">
      <w:pPr>
        <w:tabs>
          <w:tab w:val="clear" w:pos="1247"/>
          <w:tab w:val="clear" w:pos="1814"/>
          <w:tab w:val="clear" w:pos="2381"/>
          <w:tab w:val="clear" w:pos="2948"/>
          <w:tab w:val="clear" w:pos="3515"/>
        </w:tabs>
        <w:rPr>
          <w:b/>
          <w:sz w:val="28"/>
          <w:szCs w:val="28"/>
        </w:rPr>
      </w:pPr>
      <w:r w:rsidRPr="00E2652F">
        <w:br w:type="page"/>
      </w:r>
    </w:p>
    <w:p w14:paraId="0B416F60" w14:textId="422F99A3" w:rsidR="00480343" w:rsidRPr="00E2652F" w:rsidRDefault="00480343" w:rsidP="00F51980">
      <w:pPr>
        <w:pStyle w:val="ZZAnxheader"/>
      </w:pPr>
      <w:bookmarkStart w:id="7" w:name="_Toc524355394"/>
      <w:r w:rsidRPr="00E2652F">
        <w:lastRenderedPageBreak/>
        <w:t>Annex I</w:t>
      </w:r>
      <w:bookmarkEnd w:id="7"/>
    </w:p>
    <w:p w14:paraId="157805DB" w14:textId="537297D7" w:rsidR="00480343" w:rsidRPr="00E2652F" w:rsidRDefault="00480343" w:rsidP="00F51980">
      <w:pPr>
        <w:pStyle w:val="ZZAnxtitle"/>
      </w:pPr>
      <w:bookmarkStart w:id="8" w:name="_Toc524355395"/>
      <w:r w:rsidRPr="00E2652F">
        <w:t>Draft decision MC-2/[XX]:</w:t>
      </w:r>
      <w:r w:rsidR="00E429A9" w:rsidRPr="00E2652F">
        <w:t xml:space="preserve"> </w:t>
      </w:r>
      <w:r w:rsidR="005F1DE2" w:rsidRPr="00E2652F">
        <w:t>Guidance on the m</w:t>
      </w:r>
      <w:r w:rsidR="00CE3157" w:rsidRPr="00E2652F">
        <w:t>anagement of contaminated sites</w:t>
      </w:r>
      <w:bookmarkEnd w:id="8"/>
      <w:r w:rsidR="00B40708" w:rsidRPr="00E2652F">
        <w:t xml:space="preserve"> </w:t>
      </w:r>
      <w:r w:rsidRPr="00E2652F">
        <w:t xml:space="preserve"> </w:t>
      </w:r>
    </w:p>
    <w:p w14:paraId="4E309DC6" w14:textId="77777777" w:rsidR="000C2F3D" w:rsidRPr="00E2652F" w:rsidRDefault="000C2F3D" w:rsidP="00F51980">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E2652F">
        <w:rPr>
          <w:i/>
        </w:rPr>
        <w:t>The Conference of the Parties,</w:t>
      </w:r>
    </w:p>
    <w:p w14:paraId="4FC17A9C" w14:textId="6E37F961" w:rsidR="00BA6E1D" w:rsidRPr="00E2652F" w:rsidRDefault="000C2F3D" w:rsidP="00F51980">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E2652F">
        <w:rPr>
          <w:i/>
        </w:rPr>
        <w:t xml:space="preserve">Recognizing </w:t>
      </w:r>
      <w:r w:rsidRPr="00E2652F">
        <w:rPr>
          <w:iCs/>
        </w:rPr>
        <w:t xml:space="preserve">the need to assist </w:t>
      </w:r>
      <w:r w:rsidR="00AB2AB0" w:rsidRPr="00E2652F">
        <w:rPr>
          <w:iCs/>
        </w:rPr>
        <w:t>P</w:t>
      </w:r>
      <w:r w:rsidRPr="00E2652F">
        <w:rPr>
          <w:iCs/>
        </w:rPr>
        <w:t>arties in the environmentally sound</w:t>
      </w:r>
      <w:r w:rsidR="00DA6A8D" w:rsidRPr="00E2652F">
        <w:rPr>
          <w:iCs/>
        </w:rPr>
        <w:t xml:space="preserve"> </w:t>
      </w:r>
      <w:r w:rsidR="00D33492" w:rsidRPr="00E2652F">
        <w:rPr>
          <w:iCs/>
        </w:rPr>
        <w:t xml:space="preserve">management of contaminated sites </w:t>
      </w:r>
      <w:r w:rsidRPr="00E2652F">
        <w:rPr>
          <w:iCs/>
        </w:rPr>
        <w:t xml:space="preserve">through the provision of </w:t>
      </w:r>
      <w:r w:rsidR="00D33492" w:rsidRPr="00E2652F">
        <w:rPr>
          <w:iCs/>
        </w:rPr>
        <w:t>guidance</w:t>
      </w:r>
      <w:r w:rsidRPr="00E2652F">
        <w:rPr>
          <w:i/>
        </w:rPr>
        <w:t>,</w:t>
      </w:r>
    </w:p>
    <w:p w14:paraId="5970E1E9" w14:textId="04DA5903" w:rsidR="00D33492" w:rsidRPr="00E2652F" w:rsidRDefault="00BA6E1D" w:rsidP="00F51980">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E2652F">
        <w:rPr>
          <w:i/>
        </w:rPr>
        <w:t>Noting</w:t>
      </w:r>
      <w:r w:rsidRPr="00E2652F">
        <w:rPr>
          <w:iCs/>
        </w:rPr>
        <w:t xml:space="preserve"> the draft guidance prepared </w:t>
      </w:r>
      <w:r w:rsidR="00E7506F" w:rsidRPr="00E2652F">
        <w:rPr>
          <w:iCs/>
        </w:rPr>
        <w:t xml:space="preserve">by the secretariat </w:t>
      </w:r>
      <w:r w:rsidRPr="00E2652F">
        <w:rPr>
          <w:iCs/>
        </w:rPr>
        <w:t>in consultation with nominated experts</w:t>
      </w:r>
      <w:r w:rsidR="00E7506F" w:rsidRPr="00E2652F">
        <w:rPr>
          <w:iCs/>
        </w:rPr>
        <w:t>,</w:t>
      </w:r>
    </w:p>
    <w:p w14:paraId="3579C339" w14:textId="7466FC1D" w:rsidR="00BA6E1D" w:rsidRPr="00E2652F" w:rsidRDefault="00BA6E1D" w:rsidP="00F51980">
      <w:pPr>
        <w:pStyle w:val="Normal-pool"/>
        <w:tabs>
          <w:tab w:val="clear" w:pos="1247"/>
          <w:tab w:val="clear" w:pos="1814"/>
          <w:tab w:val="clear" w:pos="2381"/>
          <w:tab w:val="clear" w:pos="2948"/>
          <w:tab w:val="clear" w:pos="3515"/>
          <w:tab w:val="clear" w:pos="4082"/>
          <w:tab w:val="left" w:pos="624"/>
        </w:tabs>
        <w:spacing w:after="120"/>
        <w:ind w:left="1247" w:firstLine="624"/>
        <w:rPr>
          <w:iCs/>
        </w:rPr>
      </w:pPr>
      <w:r w:rsidRPr="00E2652F">
        <w:rPr>
          <w:i/>
        </w:rPr>
        <w:t xml:space="preserve">Requests </w:t>
      </w:r>
      <w:r w:rsidRPr="00E2652F">
        <w:t>the secretariat</w:t>
      </w:r>
      <w:r w:rsidRPr="00E2652F">
        <w:rPr>
          <w:iCs/>
        </w:rPr>
        <w:t xml:space="preserve">: </w:t>
      </w:r>
    </w:p>
    <w:p w14:paraId="79B4A4F7" w14:textId="3CED22FD" w:rsidR="00BA6E1D" w:rsidRPr="00E2652F" w:rsidRDefault="009B23A5" w:rsidP="00F51980">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sidRPr="00E2652F">
        <w:t xml:space="preserve">To </w:t>
      </w:r>
      <w:r w:rsidR="00BA6E1D" w:rsidRPr="00E2652F">
        <w:t xml:space="preserve">call for additional comments on the draft guidance presented to the </w:t>
      </w:r>
      <w:r w:rsidR="006D4D70" w:rsidRPr="00E2652F">
        <w:t>Conference of the P</w:t>
      </w:r>
      <w:r w:rsidR="00864BAB" w:rsidRPr="00E2652F">
        <w:t xml:space="preserve">arties at its </w:t>
      </w:r>
      <w:r w:rsidR="00BA6E1D" w:rsidRPr="00E2652F">
        <w:t xml:space="preserve">second meeting; </w:t>
      </w:r>
    </w:p>
    <w:p w14:paraId="771F259E" w14:textId="51EC5029" w:rsidR="00BA6E1D" w:rsidRPr="00E2652F" w:rsidRDefault="009B23A5" w:rsidP="00F51980">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sidRPr="00E2652F">
        <w:t xml:space="preserve">To </w:t>
      </w:r>
      <w:r w:rsidR="00BA6E1D" w:rsidRPr="00E2652F">
        <w:t xml:space="preserve">prepare a revised version of the </w:t>
      </w:r>
      <w:r w:rsidRPr="00E2652F">
        <w:t xml:space="preserve">draft </w:t>
      </w:r>
      <w:r w:rsidR="00BA6E1D" w:rsidRPr="00E2652F">
        <w:t xml:space="preserve">guidance; </w:t>
      </w:r>
    </w:p>
    <w:p w14:paraId="5066BBDE" w14:textId="2DE2EABC" w:rsidR="000C2F3D" w:rsidRPr="00E2652F" w:rsidRDefault="009B23A5" w:rsidP="00F51980">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sidRPr="00E2652F">
        <w:t xml:space="preserve">To </w:t>
      </w:r>
      <w:r w:rsidR="00BA6E1D" w:rsidRPr="00E2652F">
        <w:t xml:space="preserve">publish the revised </w:t>
      </w:r>
      <w:r w:rsidRPr="00E2652F">
        <w:t xml:space="preserve">draft </w:t>
      </w:r>
      <w:r w:rsidR="00BA6E1D" w:rsidRPr="00E2652F">
        <w:t>guidance for comments by all interested stakeholder</w:t>
      </w:r>
      <w:r w:rsidR="00E7506F" w:rsidRPr="00E2652F">
        <w:t>s</w:t>
      </w:r>
      <w:r w:rsidR="00BA6E1D" w:rsidRPr="00E2652F">
        <w:t>;</w:t>
      </w:r>
    </w:p>
    <w:p w14:paraId="42981A08" w14:textId="1ABA0C39" w:rsidR="00BA6E1D" w:rsidRPr="00E2652F" w:rsidRDefault="009B23A5" w:rsidP="00F51980">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sidRPr="00E2652F">
        <w:t xml:space="preserve">To </w:t>
      </w:r>
      <w:r w:rsidR="00BA6E1D" w:rsidRPr="00E2652F">
        <w:t xml:space="preserve">present the revised </w:t>
      </w:r>
      <w:r w:rsidR="00864BAB" w:rsidRPr="00E2652F">
        <w:t xml:space="preserve">draft </w:t>
      </w:r>
      <w:r w:rsidR="00BA6E1D" w:rsidRPr="00E2652F">
        <w:t xml:space="preserve">guidance to the </w:t>
      </w:r>
      <w:r w:rsidR="00864BAB" w:rsidRPr="00E2652F">
        <w:t xml:space="preserve">Conference of the Parties at its </w:t>
      </w:r>
      <w:r w:rsidR="00BA6E1D" w:rsidRPr="00E2652F">
        <w:t xml:space="preserve">third meeting for consideration and possible adoption. </w:t>
      </w:r>
    </w:p>
    <w:p w14:paraId="42BC1C81" w14:textId="4B4C25BD" w:rsidR="000C2F3D" w:rsidRPr="00E2652F" w:rsidRDefault="000C2F3D">
      <w:pPr>
        <w:tabs>
          <w:tab w:val="clear" w:pos="1247"/>
          <w:tab w:val="clear" w:pos="1814"/>
          <w:tab w:val="clear" w:pos="2381"/>
          <w:tab w:val="clear" w:pos="2948"/>
          <w:tab w:val="clear" w:pos="3515"/>
        </w:tabs>
      </w:pPr>
    </w:p>
    <w:p w14:paraId="4350A8BD" w14:textId="14ECFF40" w:rsidR="00DA6A8D" w:rsidRPr="00E2652F" w:rsidRDefault="00DA6A8D">
      <w:pPr>
        <w:tabs>
          <w:tab w:val="clear" w:pos="1247"/>
          <w:tab w:val="clear" w:pos="1814"/>
          <w:tab w:val="clear" w:pos="2381"/>
          <w:tab w:val="clear" w:pos="2948"/>
          <w:tab w:val="clear" w:pos="3515"/>
        </w:tabs>
        <w:sectPr w:rsidR="00DA6A8D" w:rsidRPr="00E2652F" w:rsidSect="00F51980">
          <w:headerReference w:type="even" r:id="rId11"/>
          <w:headerReference w:type="default" r:id="rId12"/>
          <w:footerReference w:type="even" r:id="rId13"/>
          <w:footerReference w:type="default" r:id="rId14"/>
          <w:headerReference w:type="first" r:id="rId15"/>
          <w:footerReference w:type="first" r:id="rId16"/>
          <w:pgSz w:w="11906" w:h="16838" w:code="9"/>
          <w:pgMar w:top="907" w:right="992" w:bottom="1418" w:left="1418" w:header="539" w:footer="975" w:gutter="0"/>
          <w:cols w:space="539"/>
          <w:titlePg/>
          <w:docGrid w:linePitch="360"/>
        </w:sectPr>
      </w:pPr>
    </w:p>
    <w:p w14:paraId="789CA3A5" w14:textId="7553EE0F" w:rsidR="00F252EE" w:rsidRPr="00E2652F" w:rsidRDefault="00F252EE" w:rsidP="00F51980">
      <w:pPr>
        <w:pStyle w:val="ZZAnxheader"/>
        <w:rPr>
          <w:sz w:val="24"/>
          <w:szCs w:val="24"/>
        </w:rPr>
      </w:pPr>
      <w:bookmarkStart w:id="9" w:name="_Toc524355396"/>
      <w:r w:rsidRPr="00E2652F">
        <w:lastRenderedPageBreak/>
        <w:t>Annex II</w:t>
      </w:r>
      <w:bookmarkEnd w:id="9"/>
    </w:p>
    <w:p w14:paraId="3776E6F8" w14:textId="244E7577" w:rsidR="00F252EE" w:rsidRPr="00E2652F" w:rsidRDefault="00F252EE" w:rsidP="00F51980">
      <w:pPr>
        <w:pStyle w:val="ZZAnxtitle"/>
      </w:pPr>
      <w:bookmarkStart w:id="10" w:name="_Toc524355397"/>
      <w:r w:rsidRPr="00E2652F">
        <w:t>Guidance on the management of contaminated sites</w:t>
      </w:r>
      <w:bookmarkEnd w:id="10"/>
      <w:r w:rsidR="00E429A9" w:rsidRPr="00E2652F">
        <w:t xml:space="preserve"> </w:t>
      </w:r>
    </w:p>
    <w:bookmarkStart w:id="11" w:name="_Toc524355398" w:displacedByCustomXml="next"/>
    <w:sdt>
      <w:sdtPr>
        <w:rPr>
          <w:b w:val="0"/>
          <w:sz w:val="20"/>
          <w:szCs w:val="20"/>
        </w:rPr>
        <w:id w:val="300966580"/>
        <w:docPartObj>
          <w:docPartGallery w:val="Table of Contents"/>
          <w:docPartUnique/>
        </w:docPartObj>
      </w:sdtPr>
      <w:sdtEndPr>
        <w:rPr>
          <w:bCs/>
          <w:noProof/>
        </w:rPr>
      </w:sdtEndPr>
      <w:sdtContent>
        <w:p w14:paraId="28E16B18" w14:textId="74F688D1" w:rsidR="00F51980" w:rsidRPr="00E2652F" w:rsidRDefault="006D4D70" w:rsidP="00F51980">
          <w:pPr>
            <w:pStyle w:val="CH1"/>
            <w:spacing w:before="0"/>
            <w:ind w:firstLine="0"/>
            <w:rPr>
              <w:b w:val="0"/>
              <w:noProof/>
              <w:sz w:val="20"/>
              <w:szCs w:val="20"/>
            </w:rPr>
          </w:pPr>
          <w:r w:rsidRPr="00E2652F">
            <w:t>Contents</w:t>
          </w:r>
          <w:bookmarkEnd w:id="11"/>
          <w:r w:rsidR="00F51980" w:rsidRPr="00E2652F">
            <w:rPr>
              <w:sz w:val="20"/>
              <w:szCs w:val="20"/>
            </w:rPr>
            <w:fldChar w:fldCharType="begin"/>
          </w:r>
          <w:r w:rsidR="00F51980" w:rsidRPr="00E2652F">
            <w:rPr>
              <w:sz w:val="20"/>
              <w:szCs w:val="20"/>
            </w:rPr>
            <w:instrText xml:space="preserve"> TOC \h \z \t "CH1,1,CH2,2,ZZ_Anx_header,1,ZZ_Anx_title,2" </w:instrText>
          </w:r>
          <w:r w:rsidR="00F51980" w:rsidRPr="00E2652F">
            <w:rPr>
              <w:sz w:val="20"/>
              <w:szCs w:val="20"/>
            </w:rPr>
            <w:fldChar w:fldCharType="separate"/>
          </w:r>
        </w:p>
        <w:p w14:paraId="6AD6456B" w14:textId="26CDCB5F" w:rsidR="00F51980" w:rsidRPr="00E2652F" w:rsidRDefault="002C317E" w:rsidP="00F51980">
          <w:pPr>
            <w:pStyle w:val="TOC1"/>
            <w:spacing w:before="0" w:after="120"/>
            <w:rPr>
              <w:rFonts w:eastAsiaTheme="minorEastAsia"/>
              <w:bCs w:val="0"/>
              <w:noProof/>
              <w:lang w:val="en-GB" w:eastAsia="en-GB"/>
            </w:rPr>
          </w:pPr>
          <w:hyperlink w:anchor="_Toc524355399" w:history="1">
            <w:r w:rsidR="00F51980" w:rsidRPr="00E2652F">
              <w:rPr>
                <w:rStyle w:val="Hyperlink"/>
                <w:noProof/>
                <w:lang w:val="en-GB"/>
              </w:rPr>
              <w:t>A.</w:t>
            </w:r>
            <w:r w:rsidR="00F51980" w:rsidRPr="00E2652F">
              <w:rPr>
                <w:rFonts w:eastAsiaTheme="minorEastAsia"/>
                <w:bCs w:val="0"/>
                <w:noProof/>
                <w:lang w:val="en-GB" w:eastAsia="en-GB"/>
              </w:rPr>
              <w:tab/>
            </w:r>
            <w:r w:rsidR="00F51980" w:rsidRPr="00E2652F">
              <w:rPr>
                <w:rStyle w:val="Hyperlink"/>
                <w:noProof/>
                <w:lang w:val="en-GB"/>
              </w:rPr>
              <w:t>Introduction</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_Toc524355399 \h </w:instrText>
            </w:r>
            <w:r w:rsidR="00F51980" w:rsidRPr="00E2652F">
              <w:rPr>
                <w:noProof/>
                <w:webHidden/>
                <w:lang w:val="en-GB"/>
              </w:rPr>
            </w:r>
            <w:r w:rsidR="00F51980" w:rsidRPr="00E2652F">
              <w:rPr>
                <w:noProof/>
                <w:webHidden/>
                <w:lang w:val="en-GB"/>
              </w:rPr>
              <w:fldChar w:fldCharType="separate"/>
            </w:r>
            <w:r w:rsidR="004865BC">
              <w:rPr>
                <w:noProof/>
                <w:webHidden/>
                <w:lang w:val="en-GB"/>
              </w:rPr>
              <w:t>4</w:t>
            </w:r>
            <w:r w:rsidR="00F51980" w:rsidRPr="00E2652F">
              <w:rPr>
                <w:noProof/>
                <w:webHidden/>
                <w:lang w:val="en-GB"/>
              </w:rPr>
              <w:fldChar w:fldCharType="end"/>
            </w:r>
          </w:hyperlink>
        </w:p>
        <w:p w14:paraId="39320193" w14:textId="6A6884E1" w:rsidR="00F51980" w:rsidRPr="00E2652F" w:rsidRDefault="002C317E" w:rsidP="00F51980">
          <w:pPr>
            <w:pStyle w:val="TOC2"/>
            <w:spacing w:after="120"/>
            <w:rPr>
              <w:rFonts w:eastAsiaTheme="minorEastAsia"/>
              <w:noProof/>
              <w:lang w:val="en-GB" w:eastAsia="en-GB"/>
            </w:rPr>
          </w:pPr>
          <w:hyperlink w:anchor="_Toc524355400" w:history="1">
            <w:r w:rsidR="00F51980" w:rsidRPr="00E2652F">
              <w:rPr>
                <w:rStyle w:val="Hyperlink"/>
                <w:noProof/>
                <w:lang w:val="en-GB"/>
              </w:rPr>
              <w:t>Risks to human health and the environment</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_Toc524355400 \h </w:instrText>
            </w:r>
            <w:r w:rsidR="00F51980" w:rsidRPr="00E2652F">
              <w:rPr>
                <w:noProof/>
                <w:webHidden/>
                <w:lang w:val="en-GB"/>
              </w:rPr>
            </w:r>
            <w:r w:rsidR="00F51980" w:rsidRPr="00E2652F">
              <w:rPr>
                <w:noProof/>
                <w:webHidden/>
                <w:lang w:val="en-GB"/>
              </w:rPr>
              <w:fldChar w:fldCharType="separate"/>
            </w:r>
            <w:r w:rsidR="004865BC">
              <w:rPr>
                <w:noProof/>
                <w:webHidden/>
                <w:lang w:val="en-GB"/>
              </w:rPr>
              <w:t>4</w:t>
            </w:r>
            <w:r w:rsidR="00F51980" w:rsidRPr="00E2652F">
              <w:rPr>
                <w:noProof/>
                <w:webHidden/>
                <w:lang w:val="en-GB"/>
              </w:rPr>
              <w:fldChar w:fldCharType="end"/>
            </w:r>
          </w:hyperlink>
        </w:p>
        <w:p w14:paraId="4E7326DD" w14:textId="73E368C0" w:rsidR="00F51980" w:rsidRPr="00E2652F" w:rsidRDefault="002C317E" w:rsidP="00F51980">
          <w:pPr>
            <w:pStyle w:val="TOC2"/>
            <w:spacing w:after="120"/>
            <w:rPr>
              <w:rFonts w:eastAsiaTheme="minorEastAsia"/>
              <w:noProof/>
              <w:lang w:val="en-GB" w:eastAsia="en-GB"/>
            </w:rPr>
          </w:pPr>
          <w:hyperlink w:anchor="_Toc524355401" w:history="1">
            <w:r w:rsidR="00F51980" w:rsidRPr="00E2652F">
              <w:rPr>
                <w:rStyle w:val="Hyperlink"/>
                <w:noProof/>
                <w:lang w:val="en-GB"/>
              </w:rPr>
              <w:t>Global use of mercury</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_Toc524355401 \h </w:instrText>
            </w:r>
            <w:r w:rsidR="00F51980" w:rsidRPr="00E2652F">
              <w:rPr>
                <w:noProof/>
                <w:webHidden/>
                <w:lang w:val="en-GB"/>
              </w:rPr>
            </w:r>
            <w:r w:rsidR="00F51980" w:rsidRPr="00E2652F">
              <w:rPr>
                <w:noProof/>
                <w:webHidden/>
                <w:lang w:val="en-GB"/>
              </w:rPr>
              <w:fldChar w:fldCharType="separate"/>
            </w:r>
            <w:r w:rsidR="004865BC">
              <w:rPr>
                <w:noProof/>
                <w:webHidden/>
                <w:lang w:val="en-GB"/>
              </w:rPr>
              <w:t>5</w:t>
            </w:r>
            <w:r w:rsidR="00F51980" w:rsidRPr="00E2652F">
              <w:rPr>
                <w:noProof/>
                <w:webHidden/>
                <w:lang w:val="en-GB"/>
              </w:rPr>
              <w:fldChar w:fldCharType="end"/>
            </w:r>
          </w:hyperlink>
        </w:p>
        <w:p w14:paraId="32A6CA8C" w14:textId="1734B1B3" w:rsidR="00F51980" w:rsidRPr="00E2652F" w:rsidRDefault="002C317E" w:rsidP="00F51980">
          <w:pPr>
            <w:pStyle w:val="TOC2"/>
            <w:spacing w:after="120"/>
            <w:rPr>
              <w:rFonts w:eastAsiaTheme="minorEastAsia"/>
              <w:noProof/>
              <w:lang w:val="en-GB" w:eastAsia="en-GB"/>
            </w:rPr>
          </w:pPr>
          <w:hyperlink w:anchor="_Toc524355402" w:history="1">
            <w:r w:rsidR="00F51980" w:rsidRPr="00E2652F">
              <w:rPr>
                <w:rStyle w:val="Hyperlink"/>
                <w:noProof/>
                <w:lang w:val="en-GB"/>
              </w:rPr>
              <w:t>Mercury emissions and releases</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_Toc524355402 \h </w:instrText>
            </w:r>
            <w:r w:rsidR="00F51980" w:rsidRPr="00E2652F">
              <w:rPr>
                <w:noProof/>
                <w:webHidden/>
                <w:lang w:val="en-GB"/>
              </w:rPr>
            </w:r>
            <w:r w:rsidR="00F51980" w:rsidRPr="00E2652F">
              <w:rPr>
                <w:noProof/>
                <w:webHidden/>
                <w:lang w:val="en-GB"/>
              </w:rPr>
              <w:fldChar w:fldCharType="separate"/>
            </w:r>
            <w:r w:rsidR="004865BC">
              <w:rPr>
                <w:noProof/>
                <w:webHidden/>
                <w:lang w:val="en-GB"/>
              </w:rPr>
              <w:t>6</w:t>
            </w:r>
            <w:r w:rsidR="00F51980" w:rsidRPr="00E2652F">
              <w:rPr>
                <w:noProof/>
                <w:webHidden/>
                <w:lang w:val="en-GB"/>
              </w:rPr>
              <w:fldChar w:fldCharType="end"/>
            </w:r>
          </w:hyperlink>
        </w:p>
        <w:p w14:paraId="43B523AB" w14:textId="7342F287" w:rsidR="00F51980" w:rsidRPr="00E2652F" w:rsidRDefault="002C317E" w:rsidP="00F51980">
          <w:pPr>
            <w:pStyle w:val="TOC2"/>
            <w:spacing w:after="120"/>
            <w:rPr>
              <w:rFonts w:eastAsiaTheme="minorEastAsia"/>
              <w:noProof/>
              <w:lang w:val="en-GB" w:eastAsia="en-GB"/>
            </w:rPr>
          </w:pPr>
          <w:hyperlink w:anchor="_Toc524355403" w:history="1">
            <w:r w:rsidR="00F51980" w:rsidRPr="00E2652F">
              <w:rPr>
                <w:rStyle w:val="Hyperlink"/>
                <w:noProof/>
                <w:lang w:val="en-GB"/>
              </w:rPr>
              <w:t>Obligations under the Minamata Convention on Mercury</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_Toc524355403 \h </w:instrText>
            </w:r>
            <w:r w:rsidR="00F51980" w:rsidRPr="00E2652F">
              <w:rPr>
                <w:noProof/>
                <w:webHidden/>
                <w:lang w:val="en-GB"/>
              </w:rPr>
            </w:r>
            <w:r w:rsidR="00F51980" w:rsidRPr="00E2652F">
              <w:rPr>
                <w:noProof/>
                <w:webHidden/>
                <w:lang w:val="en-GB"/>
              </w:rPr>
              <w:fldChar w:fldCharType="separate"/>
            </w:r>
            <w:r w:rsidR="004865BC">
              <w:rPr>
                <w:noProof/>
                <w:webHidden/>
                <w:lang w:val="en-GB"/>
              </w:rPr>
              <w:t>6</w:t>
            </w:r>
            <w:r w:rsidR="00F51980" w:rsidRPr="00E2652F">
              <w:rPr>
                <w:noProof/>
                <w:webHidden/>
                <w:lang w:val="en-GB"/>
              </w:rPr>
              <w:fldChar w:fldCharType="end"/>
            </w:r>
          </w:hyperlink>
        </w:p>
        <w:p w14:paraId="1726238D" w14:textId="61A132F2" w:rsidR="00F51980" w:rsidRPr="00E2652F" w:rsidRDefault="002C317E" w:rsidP="00F51980">
          <w:pPr>
            <w:pStyle w:val="TOC1"/>
            <w:spacing w:before="0" w:after="120"/>
            <w:rPr>
              <w:rFonts w:eastAsiaTheme="minorEastAsia"/>
              <w:bCs w:val="0"/>
              <w:noProof/>
              <w:lang w:val="en-GB" w:eastAsia="en-GB"/>
            </w:rPr>
          </w:pPr>
          <w:hyperlink w:anchor="_Toc524355404" w:history="1">
            <w:r w:rsidR="00F51980" w:rsidRPr="00E2652F">
              <w:rPr>
                <w:rStyle w:val="Hyperlink"/>
                <w:noProof/>
                <w:lang w:val="en-GB"/>
              </w:rPr>
              <w:t>B.</w:t>
            </w:r>
            <w:r w:rsidR="00F51980" w:rsidRPr="00E2652F">
              <w:rPr>
                <w:rFonts w:eastAsiaTheme="minorEastAsia"/>
                <w:bCs w:val="0"/>
                <w:noProof/>
                <w:lang w:val="en-GB" w:eastAsia="en-GB"/>
              </w:rPr>
              <w:tab/>
            </w:r>
            <w:r w:rsidR="00F51980" w:rsidRPr="00E2652F">
              <w:rPr>
                <w:rStyle w:val="Hyperlink"/>
                <w:noProof/>
                <w:lang w:val="en-GB"/>
              </w:rPr>
              <w:t>Site identification and characterization</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_Toc524355404 \h </w:instrText>
            </w:r>
            <w:r w:rsidR="00F51980" w:rsidRPr="00E2652F">
              <w:rPr>
                <w:noProof/>
                <w:webHidden/>
                <w:lang w:val="en-GB"/>
              </w:rPr>
            </w:r>
            <w:r w:rsidR="00F51980" w:rsidRPr="00E2652F">
              <w:rPr>
                <w:noProof/>
                <w:webHidden/>
                <w:lang w:val="en-GB"/>
              </w:rPr>
              <w:fldChar w:fldCharType="separate"/>
            </w:r>
            <w:r w:rsidR="004865BC">
              <w:rPr>
                <w:noProof/>
                <w:webHidden/>
                <w:lang w:val="en-GB"/>
              </w:rPr>
              <w:t>6</w:t>
            </w:r>
            <w:r w:rsidR="00F51980" w:rsidRPr="00E2652F">
              <w:rPr>
                <w:noProof/>
                <w:webHidden/>
                <w:lang w:val="en-GB"/>
              </w:rPr>
              <w:fldChar w:fldCharType="end"/>
            </w:r>
          </w:hyperlink>
        </w:p>
        <w:p w14:paraId="2D2E9631" w14:textId="0706BB24" w:rsidR="00F51980" w:rsidRPr="00E2652F" w:rsidRDefault="002C317E" w:rsidP="00F51980">
          <w:pPr>
            <w:pStyle w:val="TOC2"/>
            <w:spacing w:after="120"/>
            <w:rPr>
              <w:rFonts w:eastAsiaTheme="minorEastAsia"/>
              <w:noProof/>
              <w:lang w:val="en-GB" w:eastAsia="en-GB"/>
            </w:rPr>
          </w:pPr>
          <w:hyperlink w:anchor="_Toc524355405" w:history="1">
            <w:r w:rsidR="00F51980" w:rsidRPr="00E2652F">
              <w:rPr>
                <w:rStyle w:val="Hyperlink"/>
                <w:noProof/>
                <w:lang w:val="en-GB"/>
              </w:rPr>
              <w:t>Site identification</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_Toc524355405 \h </w:instrText>
            </w:r>
            <w:r w:rsidR="00F51980" w:rsidRPr="00E2652F">
              <w:rPr>
                <w:noProof/>
                <w:webHidden/>
                <w:lang w:val="en-GB"/>
              </w:rPr>
            </w:r>
            <w:r w:rsidR="00F51980" w:rsidRPr="00E2652F">
              <w:rPr>
                <w:noProof/>
                <w:webHidden/>
                <w:lang w:val="en-GB"/>
              </w:rPr>
              <w:fldChar w:fldCharType="separate"/>
            </w:r>
            <w:r w:rsidR="004865BC">
              <w:rPr>
                <w:noProof/>
                <w:webHidden/>
                <w:lang w:val="en-GB"/>
              </w:rPr>
              <w:t>6</w:t>
            </w:r>
            <w:r w:rsidR="00F51980" w:rsidRPr="00E2652F">
              <w:rPr>
                <w:noProof/>
                <w:webHidden/>
                <w:lang w:val="en-GB"/>
              </w:rPr>
              <w:fldChar w:fldCharType="end"/>
            </w:r>
          </w:hyperlink>
        </w:p>
        <w:p w14:paraId="6F449197" w14:textId="3526D4E8" w:rsidR="00F51980" w:rsidRPr="00E2652F" w:rsidRDefault="002C317E" w:rsidP="00F51980">
          <w:pPr>
            <w:pStyle w:val="TOC2"/>
            <w:spacing w:after="120"/>
            <w:rPr>
              <w:rFonts w:eastAsiaTheme="minorEastAsia"/>
              <w:noProof/>
              <w:lang w:val="en-GB" w:eastAsia="en-GB"/>
            </w:rPr>
          </w:pPr>
          <w:hyperlink w:anchor="_Toc524355406" w:history="1">
            <w:r w:rsidR="00F51980" w:rsidRPr="00E2652F">
              <w:rPr>
                <w:rStyle w:val="Hyperlink"/>
                <w:noProof/>
                <w:lang w:val="en-GB"/>
              </w:rPr>
              <w:t>Site characterization</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_Toc524355406 \h </w:instrText>
            </w:r>
            <w:r w:rsidR="00F51980" w:rsidRPr="00E2652F">
              <w:rPr>
                <w:noProof/>
                <w:webHidden/>
                <w:lang w:val="en-GB"/>
              </w:rPr>
            </w:r>
            <w:r w:rsidR="00F51980" w:rsidRPr="00E2652F">
              <w:rPr>
                <w:noProof/>
                <w:webHidden/>
                <w:lang w:val="en-GB"/>
              </w:rPr>
              <w:fldChar w:fldCharType="separate"/>
            </w:r>
            <w:r w:rsidR="004865BC">
              <w:rPr>
                <w:noProof/>
                <w:webHidden/>
                <w:lang w:val="en-GB"/>
              </w:rPr>
              <w:t>8</w:t>
            </w:r>
            <w:r w:rsidR="00F51980" w:rsidRPr="00E2652F">
              <w:rPr>
                <w:noProof/>
                <w:webHidden/>
                <w:lang w:val="en-GB"/>
              </w:rPr>
              <w:fldChar w:fldCharType="end"/>
            </w:r>
          </w:hyperlink>
        </w:p>
        <w:p w14:paraId="34924C1C" w14:textId="0D8FBEE6" w:rsidR="00F51980" w:rsidRPr="00E2652F" w:rsidRDefault="002C317E" w:rsidP="00F51980">
          <w:pPr>
            <w:pStyle w:val="TOC1"/>
            <w:spacing w:before="0" w:after="120"/>
            <w:rPr>
              <w:rFonts w:eastAsiaTheme="minorEastAsia"/>
              <w:bCs w:val="0"/>
              <w:noProof/>
              <w:lang w:val="en-GB" w:eastAsia="en-GB"/>
            </w:rPr>
          </w:pPr>
          <w:hyperlink w:anchor="_Toc524355407" w:history="1">
            <w:r w:rsidR="00F51980" w:rsidRPr="00E2652F">
              <w:rPr>
                <w:rStyle w:val="Hyperlink"/>
                <w:noProof/>
                <w:lang w:val="en-GB"/>
              </w:rPr>
              <w:t>C.</w:t>
            </w:r>
            <w:r w:rsidR="00F51980" w:rsidRPr="00E2652F">
              <w:rPr>
                <w:rFonts w:eastAsiaTheme="minorEastAsia"/>
                <w:bCs w:val="0"/>
                <w:noProof/>
                <w:lang w:val="en-GB" w:eastAsia="en-GB"/>
              </w:rPr>
              <w:tab/>
            </w:r>
            <w:r w:rsidR="00F51980" w:rsidRPr="00E2652F">
              <w:rPr>
                <w:rStyle w:val="Hyperlink"/>
                <w:noProof/>
                <w:lang w:val="en-GB"/>
              </w:rPr>
              <w:t>Engaging the public</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_Toc524355407 \h </w:instrText>
            </w:r>
            <w:r w:rsidR="00F51980" w:rsidRPr="00E2652F">
              <w:rPr>
                <w:noProof/>
                <w:webHidden/>
                <w:lang w:val="en-GB"/>
              </w:rPr>
            </w:r>
            <w:r w:rsidR="00F51980" w:rsidRPr="00E2652F">
              <w:rPr>
                <w:noProof/>
                <w:webHidden/>
                <w:lang w:val="en-GB"/>
              </w:rPr>
              <w:fldChar w:fldCharType="separate"/>
            </w:r>
            <w:r w:rsidR="004865BC">
              <w:rPr>
                <w:noProof/>
                <w:webHidden/>
                <w:lang w:val="en-GB"/>
              </w:rPr>
              <w:t>10</w:t>
            </w:r>
            <w:r w:rsidR="00F51980" w:rsidRPr="00E2652F">
              <w:rPr>
                <w:noProof/>
                <w:webHidden/>
                <w:lang w:val="en-GB"/>
              </w:rPr>
              <w:fldChar w:fldCharType="end"/>
            </w:r>
          </w:hyperlink>
        </w:p>
        <w:p w14:paraId="6B7EAA8E" w14:textId="6B567E8E" w:rsidR="00F51980" w:rsidRPr="00E2652F" w:rsidRDefault="002C317E" w:rsidP="00F51980">
          <w:pPr>
            <w:pStyle w:val="TOC1"/>
            <w:spacing w:before="0" w:after="120"/>
            <w:rPr>
              <w:rFonts w:eastAsiaTheme="minorEastAsia"/>
              <w:bCs w:val="0"/>
              <w:noProof/>
              <w:lang w:val="en-GB" w:eastAsia="en-GB"/>
            </w:rPr>
          </w:pPr>
          <w:hyperlink w:anchor="_Toc524355408" w:history="1">
            <w:r w:rsidR="00F51980" w:rsidRPr="00E2652F">
              <w:rPr>
                <w:rStyle w:val="Hyperlink"/>
                <w:noProof/>
                <w:lang w:val="en-GB"/>
              </w:rPr>
              <w:t>D.</w:t>
            </w:r>
            <w:r w:rsidR="00F51980" w:rsidRPr="00E2652F">
              <w:rPr>
                <w:rFonts w:eastAsiaTheme="minorEastAsia"/>
                <w:bCs w:val="0"/>
                <w:noProof/>
                <w:lang w:val="en-GB" w:eastAsia="en-GB"/>
              </w:rPr>
              <w:tab/>
            </w:r>
            <w:r w:rsidR="00F51980" w:rsidRPr="00E2652F">
              <w:rPr>
                <w:rStyle w:val="Hyperlink"/>
                <w:noProof/>
                <w:lang w:val="en-GB"/>
              </w:rPr>
              <w:t>Human health and environmental risk assessments</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_Toc524355408 \h </w:instrText>
            </w:r>
            <w:r w:rsidR="00F51980" w:rsidRPr="00E2652F">
              <w:rPr>
                <w:noProof/>
                <w:webHidden/>
                <w:lang w:val="en-GB"/>
              </w:rPr>
            </w:r>
            <w:r w:rsidR="00F51980" w:rsidRPr="00E2652F">
              <w:rPr>
                <w:noProof/>
                <w:webHidden/>
                <w:lang w:val="en-GB"/>
              </w:rPr>
              <w:fldChar w:fldCharType="separate"/>
            </w:r>
            <w:r w:rsidR="004865BC">
              <w:rPr>
                <w:noProof/>
                <w:webHidden/>
                <w:lang w:val="en-GB"/>
              </w:rPr>
              <w:t>11</w:t>
            </w:r>
            <w:r w:rsidR="00F51980" w:rsidRPr="00E2652F">
              <w:rPr>
                <w:noProof/>
                <w:webHidden/>
                <w:lang w:val="en-GB"/>
              </w:rPr>
              <w:fldChar w:fldCharType="end"/>
            </w:r>
          </w:hyperlink>
        </w:p>
        <w:p w14:paraId="7562085D" w14:textId="01EEA152" w:rsidR="00F51980" w:rsidRPr="00E2652F" w:rsidRDefault="002C317E" w:rsidP="00F51980">
          <w:pPr>
            <w:pStyle w:val="TOC1"/>
            <w:spacing w:before="0" w:after="120"/>
            <w:rPr>
              <w:rFonts w:eastAsiaTheme="minorEastAsia"/>
              <w:bCs w:val="0"/>
              <w:noProof/>
              <w:lang w:val="en-GB" w:eastAsia="en-GB"/>
            </w:rPr>
          </w:pPr>
          <w:hyperlink w:anchor="_Toc524355409" w:history="1">
            <w:r w:rsidR="00F51980" w:rsidRPr="00E2652F">
              <w:rPr>
                <w:rStyle w:val="Hyperlink"/>
                <w:noProof/>
                <w:lang w:val="en-GB"/>
              </w:rPr>
              <w:t>E.</w:t>
            </w:r>
            <w:r w:rsidR="00F51980" w:rsidRPr="00E2652F">
              <w:rPr>
                <w:rFonts w:eastAsiaTheme="minorEastAsia"/>
                <w:bCs w:val="0"/>
                <w:noProof/>
                <w:lang w:val="en-GB" w:eastAsia="en-GB"/>
              </w:rPr>
              <w:tab/>
            </w:r>
            <w:r w:rsidR="00F51980" w:rsidRPr="00E2652F">
              <w:rPr>
                <w:rStyle w:val="Hyperlink"/>
                <w:noProof/>
                <w:lang w:val="en-GB"/>
              </w:rPr>
              <w:t>Options for managing the risks posed by contaminated sites</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_Toc524355409 \h </w:instrText>
            </w:r>
            <w:r w:rsidR="00F51980" w:rsidRPr="00E2652F">
              <w:rPr>
                <w:noProof/>
                <w:webHidden/>
                <w:lang w:val="en-GB"/>
              </w:rPr>
            </w:r>
            <w:r w:rsidR="00F51980" w:rsidRPr="00E2652F">
              <w:rPr>
                <w:noProof/>
                <w:webHidden/>
                <w:lang w:val="en-GB"/>
              </w:rPr>
              <w:fldChar w:fldCharType="separate"/>
            </w:r>
            <w:r w:rsidR="004865BC">
              <w:rPr>
                <w:noProof/>
                <w:webHidden/>
                <w:lang w:val="en-GB"/>
              </w:rPr>
              <w:t>12</w:t>
            </w:r>
            <w:r w:rsidR="00F51980" w:rsidRPr="00E2652F">
              <w:rPr>
                <w:noProof/>
                <w:webHidden/>
                <w:lang w:val="en-GB"/>
              </w:rPr>
              <w:fldChar w:fldCharType="end"/>
            </w:r>
          </w:hyperlink>
        </w:p>
        <w:p w14:paraId="4CE7BE83" w14:textId="6D98049A" w:rsidR="00F51980" w:rsidRPr="00E2652F" w:rsidRDefault="002C317E" w:rsidP="00F51980">
          <w:pPr>
            <w:pStyle w:val="TOC2"/>
            <w:spacing w:after="120"/>
            <w:rPr>
              <w:rFonts w:eastAsiaTheme="minorEastAsia"/>
              <w:noProof/>
              <w:lang w:val="en-GB" w:eastAsia="en-GB"/>
            </w:rPr>
          </w:pPr>
          <w:hyperlink w:anchor="_Toc524355410" w:history="1">
            <w:r w:rsidR="00F51980" w:rsidRPr="00E2652F">
              <w:rPr>
                <w:rStyle w:val="Hyperlink"/>
                <w:noProof/>
                <w:lang w:val="en-GB"/>
              </w:rPr>
              <w:t>Soil treatment</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_Toc524355410 \h </w:instrText>
            </w:r>
            <w:r w:rsidR="00F51980" w:rsidRPr="00E2652F">
              <w:rPr>
                <w:noProof/>
                <w:webHidden/>
                <w:lang w:val="en-GB"/>
              </w:rPr>
            </w:r>
            <w:r w:rsidR="00F51980" w:rsidRPr="00E2652F">
              <w:rPr>
                <w:noProof/>
                <w:webHidden/>
                <w:lang w:val="en-GB"/>
              </w:rPr>
              <w:fldChar w:fldCharType="separate"/>
            </w:r>
            <w:r w:rsidR="004865BC">
              <w:rPr>
                <w:noProof/>
                <w:webHidden/>
                <w:lang w:val="en-GB"/>
              </w:rPr>
              <w:t>13</w:t>
            </w:r>
            <w:r w:rsidR="00F51980" w:rsidRPr="00E2652F">
              <w:rPr>
                <w:noProof/>
                <w:webHidden/>
                <w:lang w:val="en-GB"/>
              </w:rPr>
              <w:fldChar w:fldCharType="end"/>
            </w:r>
          </w:hyperlink>
        </w:p>
        <w:p w14:paraId="718482A0" w14:textId="441EF35C" w:rsidR="00F51980" w:rsidRPr="00E2652F" w:rsidRDefault="002C317E" w:rsidP="00F51980">
          <w:pPr>
            <w:pStyle w:val="TOC2"/>
            <w:spacing w:after="120"/>
            <w:rPr>
              <w:rFonts w:eastAsiaTheme="minorEastAsia"/>
              <w:noProof/>
              <w:lang w:val="en-GB" w:eastAsia="en-GB"/>
            </w:rPr>
          </w:pPr>
          <w:hyperlink w:anchor="_Toc524355411" w:history="1">
            <w:r w:rsidR="00F51980" w:rsidRPr="00E2652F">
              <w:rPr>
                <w:rStyle w:val="Hyperlink"/>
                <w:noProof/>
                <w:lang w:val="en-GB"/>
              </w:rPr>
              <w:t>Water treatment technologies</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_Toc524355411 \h </w:instrText>
            </w:r>
            <w:r w:rsidR="00F51980" w:rsidRPr="00E2652F">
              <w:rPr>
                <w:noProof/>
                <w:webHidden/>
                <w:lang w:val="en-GB"/>
              </w:rPr>
            </w:r>
            <w:r w:rsidR="00F51980" w:rsidRPr="00E2652F">
              <w:rPr>
                <w:noProof/>
                <w:webHidden/>
                <w:lang w:val="en-GB"/>
              </w:rPr>
              <w:fldChar w:fldCharType="separate"/>
            </w:r>
            <w:r w:rsidR="004865BC">
              <w:rPr>
                <w:noProof/>
                <w:webHidden/>
                <w:lang w:val="en-GB"/>
              </w:rPr>
              <w:t>14</w:t>
            </w:r>
            <w:r w:rsidR="00F51980" w:rsidRPr="00E2652F">
              <w:rPr>
                <w:noProof/>
                <w:webHidden/>
                <w:lang w:val="en-GB"/>
              </w:rPr>
              <w:fldChar w:fldCharType="end"/>
            </w:r>
          </w:hyperlink>
        </w:p>
        <w:p w14:paraId="03942891" w14:textId="0BFF8AF4" w:rsidR="00F51980" w:rsidRPr="00E2652F" w:rsidRDefault="002C317E" w:rsidP="00F51980">
          <w:pPr>
            <w:pStyle w:val="TOC1"/>
            <w:spacing w:before="0" w:after="120"/>
            <w:rPr>
              <w:rFonts w:eastAsiaTheme="minorEastAsia"/>
              <w:bCs w:val="0"/>
              <w:noProof/>
              <w:lang w:val="en-GB" w:eastAsia="en-GB"/>
            </w:rPr>
          </w:pPr>
          <w:hyperlink w:anchor="_Toc524355412" w:history="1">
            <w:r w:rsidR="00F51980" w:rsidRPr="00E2652F">
              <w:rPr>
                <w:rStyle w:val="Hyperlink"/>
                <w:noProof/>
                <w:lang w:val="en-GB"/>
              </w:rPr>
              <w:t>F.</w:t>
            </w:r>
            <w:r w:rsidR="00F51980" w:rsidRPr="00E2652F">
              <w:rPr>
                <w:rFonts w:eastAsiaTheme="minorEastAsia"/>
                <w:bCs w:val="0"/>
                <w:noProof/>
                <w:lang w:val="en-GB" w:eastAsia="en-GB"/>
              </w:rPr>
              <w:tab/>
            </w:r>
            <w:r w:rsidR="00F51980" w:rsidRPr="00E2652F">
              <w:rPr>
                <w:rStyle w:val="Hyperlink"/>
                <w:noProof/>
                <w:lang w:val="en-GB"/>
              </w:rPr>
              <w:t>Evaluation of benefits and costs</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_Toc524355412 \h </w:instrText>
            </w:r>
            <w:r w:rsidR="00F51980" w:rsidRPr="00E2652F">
              <w:rPr>
                <w:noProof/>
                <w:webHidden/>
                <w:lang w:val="en-GB"/>
              </w:rPr>
            </w:r>
            <w:r w:rsidR="00F51980" w:rsidRPr="00E2652F">
              <w:rPr>
                <w:noProof/>
                <w:webHidden/>
                <w:lang w:val="en-GB"/>
              </w:rPr>
              <w:fldChar w:fldCharType="separate"/>
            </w:r>
            <w:r w:rsidR="004865BC">
              <w:rPr>
                <w:noProof/>
                <w:webHidden/>
                <w:lang w:val="en-GB"/>
              </w:rPr>
              <w:t>15</w:t>
            </w:r>
            <w:r w:rsidR="00F51980" w:rsidRPr="00E2652F">
              <w:rPr>
                <w:noProof/>
                <w:webHidden/>
                <w:lang w:val="en-GB"/>
              </w:rPr>
              <w:fldChar w:fldCharType="end"/>
            </w:r>
          </w:hyperlink>
        </w:p>
        <w:p w14:paraId="65E500A4" w14:textId="16866D2D" w:rsidR="00F51980" w:rsidRPr="00E2652F" w:rsidRDefault="002C317E" w:rsidP="00F51980">
          <w:pPr>
            <w:pStyle w:val="TOC1"/>
            <w:spacing w:before="0" w:after="120"/>
            <w:rPr>
              <w:rFonts w:eastAsiaTheme="minorEastAsia"/>
              <w:bCs w:val="0"/>
              <w:noProof/>
              <w:lang w:val="en-GB" w:eastAsia="en-GB"/>
            </w:rPr>
          </w:pPr>
          <w:hyperlink w:anchor="_Toc524355413" w:history="1">
            <w:r w:rsidR="00F51980" w:rsidRPr="00E2652F">
              <w:rPr>
                <w:rStyle w:val="Hyperlink"/>
                <w:noProof/>
                <w:lang w:val="en-GB"/>
              </w:rPr>
              <w:t>G.</w:t>
            </w:r>
            <w:r w:rsidR="00F51980" w:rsidRPr="00E2652F">
              <w:rPr>
                <w:rFonts w:eastAsiaTheme="minorEastAsia"/>
                <w:bCs w:val="0"/>
                <w:noProof/>
                <w:lang w:val="en-GB" w:eastAsia="en-GB"/>
              </w:rPr>
              <w:tab/>
            </w:r>
            <w:r w:rsidR="00F51980" w:rsidRPr="00E2652F">
              <w:rPr>
                <w:rStyle w:val="Hyperlink"/>
                <w:noProof/>
                <w:lang w:val="en-GB"/>
              </w:rPr>
              <w:t>Validation of outcomes</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_Toc524355413 \h </w:instrText>
            </w:r>
            <w:r w:rsidR="00F51980" w:rsidRPr="00E2652F">
              <w:rPr>
                <w:noProof/>
                <w:webHidden/>
                <w:lang w:val="en-GB"/>
              </w:rPr>
            </w:r>
            <w:r w:rsidR="00F51980" w:rsidRPr="00E2652F">
              <w:rPr>
                <w:noProof/>
                <w:webHidden/>
                <w:lang w:val="en-GB"/>
              </w:rPr>
              <w:fldChar w:fldCharType="separate"/>
            </w:r>
            <w:r w:rsidR="004865BC">
              <w:rPr>
                <w:noProof/>
                <w:webHidden/>
                <w:lang w:val="en-GB"/>
              </w:rPr>
              <w:t>15</w:t>
            </w:r>
            <w:r w:rsidR="00F51980" w:rsidRPr="00E2652F">
              <w:rPr>
                <w:noProof/>
                <w:webHidden/>
                <w:lang w:val="en-GB"/>
              </w:rPr>
              <w:fldChar w:fldCharType="end"/>
            </w:r>
          </w:hyperlink>
        </w:p>
        <w:p w14:paraId="1D5675BD" w14:textId="74BCE62A" w:rsidR="00F51980" w:rsidRPr="00E2652F" w:rsidRDefault="002C317E" w:rsidP="00F51980">
          <w:pPr>
            <w:pStyle w:val="TOC1"/>
            <w:spacing w:before="0" w:after="120"/>
            <w:rPr>
              <w:rFonts w:eastAsiaTheme="minorEastAsia"/>
              <w:bCs w:val="0"/>
              <w:noProof/>
              <w:lang w:val="en-GB" w:eastAsia="en-GB"/>
            </w:rPr>
          </w:pPr>
          <w:hyperlink w:anchor="_Toc524355414" w:history="1">
            <w:r w:rsidR="00F51980" w:rsidRPr="00E2652F">
              <w:rPr>
                <w:rStyle w:val="Hyperlink"/>
                <w:noProof/>
                <w:lang w:val="en-GB"/>
              </w:rPr>
              <w:t>H.</w:t>
            </w:r>
            <w:r w:rsidR="00F51980" w:rsidRPr="00E2652F">
              <w:rPr>
                <w:rFonts w:eastAsiaTheme="minorEastAsia"/>
                <w:bCs w:val="0"/>
                <w:noProof/>
                <w:lang w:val="en-GB" w:eastAsia="en-GB"/>
              </w:rPr>
              <w:tab/>
            </w:r>
            <w:r w:rsidR="00F51980" w:rsidRPr="00E2652F">
              <w:rPr>
                <w:rStyle w:val="Hyperlink"/>
                <w:noProof/>
                <w:lang w:val="en-GB"/>
              </w:rPr>
              <w:t>Cooperation in developing strategies and implementing activities for identifying, assessing, prioritizing, managing and, as appropriate, remediating contaminated sites</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_Toc524355414 \h </w:instrText>
            </w:r>
            <w:r w:rsidR="00F51980" w:rsidRPr="00E2652F">
              <w:rPr>
                <w:noProof/>
                <w:webHidden/>
                <w:lang w:val="en-GB"/>
              </w:rPr>
            </w:r>
            <w:r w:rsidR="00F51980" w:rsidRPr="00E2652F">
              <w:rPr>
                <w:noProof/>
                <w:webHidden/>
                <w:lang w:val="en-GB"/>
              </w:rPr>
              <w:fldChar w:fldCharType="separate"/>
            </w:r>
            <w:r w:rsidR="004865BC">
              <w:rPr>
                <w:noProof/>
                <w:webHidden/>
                <w:lang w:val="en-GB"/>
              </w:rPr>
              <w:t>16</w:t>
            </w:r>
            <w:r w:rsidR="00F51980" w:rsidRPr="00E2652F">
              <w:rPr>
                <w:noProof/>
                <w:webHidden/>
                <w:lang w:val="en-GB"/>
              </w:rPr>
              <w:fldChar w:fldCharType="end"/>
            </w:r>
          </w:hyperlink>
        </w:p>
        <w:p w14:paraId="18EF8531" w14:textId="6977A896" w:rsidR="00F51980" w:rsidRPr="00E2652F" w:rsidRDefault="002C317E" w:rsidP="00F51980">
          <w:pPr>
            <w:pStyle w:val="TOC1"/>
            <w:spacing w:before="0" w:after="120"/>
            <w:rPr>
              <w:rFonts w:eastAsiaTheme="minorEastAsia"/>
              <w:bCs w:val="0"/>
              <w:noProof/>
              <w:lang w:val="en-GB" w:eastAsia="en-GB"/>
            </w:rPr>
          </w:pPr>
          <w:hyperlink w:anchor="_Toc524355415" w:history="1">
            <w:r w:rsidR="00F51980" w:rsidRPr="00E2652F">
              <w:rPr>
                <w:rStyle w:val="Hyperlink"/>
                <w:noProof/>
                <w:lang w:val="en-GB"/>
              </w:rPr>
              <w:t>References</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_Toc524355415 \h </w:instrText>
            </w:r>
            <w:r w:rsidR="00F51980" w:rsidRPr="00E2652F">
              <w:rPr>
                <w:noProof/>
                <w:webHidden/>
                <w:lang w:val="en-GB"/>
              </w:rPr>
            </w:r>
            <w:r w:rsidR="00F51980" w:rsidRPr="00E2652F">
              <w:rPr>
                <w:noProof/>
                <w:webHidden/>
                <w:lang w:val="en-GB"/>
              </w:rPr>
              <w:fldChar w:fldCharType="separate"/>
            </w:r>
            <w:r w:rsidR="004865BC">
              <w:rPr>
                <w:noProof/>
                <w:webHidden/>
                <w:lang w:val="en-GB"/>
              </w:rPr>
              <w:t>17</w:t>
            </w:r>
            <w:r w:rsidR="00F51980" w:rsidRPr="00E2652F">
              <w:rPr>
                <w:noProof/>
                <w:webHidden/>
                <w:lang w:val="en-GB"/>
              </w:rPr>
              <w:fldChar w:fldCharType="end"/>
            </w:r>
          </w:hyperlink>
        </w:p>
        <w:p w14:paraId="2EBDB228" w14:textId="3BE59F7B" w:rsidR="0067260F" w:rsidRPr="00E2652F" w:rsidRDefault="0067260F" w:rsidP="00F51980">
          <w:pPr>
            <w:pStyle w:val="TOC1"/>
            <w:spacing w:before="0" w:after="120"/>
            <w:rPr>
              <w:rStyle w:val="Hyperlink"/>
              <w:noProof/>
              <w:lang w:val="en-GB"/>
            </w:rPr>
          </w:pPr>
          <w:r w:rsidRPr="00E2652F">
            <w:rPr>
              <w:rStyle w:val="Hyperlink"/>
              <w:noProof/>
              <w:lang w:val="en-GB"/>
            </w:rPr>
            <w:t>Appendices</w:t>
          </w:r>
        </w:p>
        <w:p w14:paraId="0FA0BD33" w14:textId="1FF2B6BB" w:rsidR="00F51980" w:rsidRPr="00E2652F" w:rsidRDefault="002C317E" w:rsidP="0067260F">
          <w:pPr>
            <w:pStyle w:val="TOC1"/>
            <w:spacing w:before="0" w:after="120"/>
            <w:rPr>
              <w:rFonts w:eastAsiaTheme="minorEastAsia"/>
              <w:noProof/>
              <w:lang w:val="en-GB" w:eastAsia="en-GB"/>
            </w:rPr>
          </w:pPr>
          <w:hyperlink w:anchor="_Toc524355416" w:history="1">
            <w:r w:rsidR="00F51980" w:rsidRPr="00E2652F">
              <w:rPr>
                <w:rStyle w:val="Hyperlink"/>
                <w:noProof/>
                <w:lang w:val="en-GB"/>
              </w:rPr>
              <w:t>I</w:t>
            </w:r>
            <w:r w:rsidR="00F51980" w:rsidRPr="00E2652F">
              <w:rPr>
                <w:noProof/>
                <w:webHidden/>
                <w:lang w:val="en-GB"/>
              </w:rPr>
              <w:tab/>
            </w:r>
          </w:hyperlink>
          <w:hyperlink w:anchor="_Toc524355417" w:history="1">
            <w:r w:rsidR="00F51980" w:rsidRPr="00E2652F">
              <w:rPr>
                <w:rStyle w:val="Hyperlink"/>
                <w:noProof/>
                <w:lang w:val="en-GB"/>
              </w:rPr>
              <w:t>Further technical information</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_Toc524355417 \h </w:instrText>
            </w:r>
            <w:r w:rsidR="00F51980" w:rsidRPr="00E2652F">
              <w:rPr>
                <w:noProof/>
                <w:webHidden/>
                <w:lang w:val="en-GB"/>
              </w:rPr>
            </w:r>
            <w:r w:rsidR="00F51980" w:rsidRPr="00E2652F">
              <w:rPr>
                <w:noProof/>
                <w:webHidden/>
                <w:lang w:val="en-GB"/>
              </w:rPr>
              <w:fldChar w:fldCharType="separate"/>
            </w:r>
            <w:r w:rsidR="004865BC">
              <w:rPr>
                <w:noProof/>
                <w:webHidden/>
                <w:lang w:val="en-GB"/>
              </w:rPr>
              <w:t>18</w:t>
            </w:r>
            <w:r w:rsidR="00F51980" w:rsidRPr="00E2652F">
              <w:rPr>
                <w:noProof/>
                <w:webHidden/>
                <w:lang w:val="en-GB"/>
              </w:rPr>
              <w:fldChar w:fldCharType="end"/>
            </w:r>
          </w:hyperlink>
        </w:p>
        <w:p w14:paraId="3CC0F8D7" w14:textId="7343A12A" w:rsidR="00F51980" w:rsidRPr="00E2652F" w:rsidRDefault="002C317E" w:rsidP="0067260F">
          <w:pPr>
            <w:pStyle w:val="TOC1"/>
            <w:spacing w:before="0" w:after="120"/>
            <w:rPr>
              <w:rFonts w:eastAsiaTheme="minorEastAsia"/>
              <w:noProof/>
              <w:lang w:val="en-GB" w:eastAsia="en-GB"/>
            </w:rPr>
          </w:pPr>
          <w:hyperlink w:anchor="_Toc524355419" w:history="1">
            <w:r w:rsidR="00F51980" w:rsidRPr="00E2652F">
              <w:rPr>
                <w:rStyle w:val="Hyperlink"/>
                <w:noProof/>
                <w:lang w:val="en-GB"/>
              </w:rPr>
              <w:t>II</w:t>
            </w:r>
            <w:r w:rsidR="00F51980" w:rsidRPr="00E2652F">
              <w:rPr>
                <w:noProof/>
                <w:webHidden/>
                <w:lang w:val="en-GB"/>
              </w:rPr>
              <w:tab/>
            </w:r>
          </w:hyperlink>
          <w:hyperlink w:anchor="_Toc524355420" w:history="1">
            <w:r w:rsidR="00F51980" w:rsidRPr="00E2652F">
              <w:rPr>
                <w:rStyle w:val="Hyperlink"/>
                <w:noProof/>
                <w:lang w:val="en-GB"/>
              </w:rPr>
              <w:t>Framework and initial decision tree for management of contaminated sites</w:t>
            </w:r>
            <w:r w:rsidR="00F51980" w:rsidRPr="00E2652F">
              <w:rPr>
                <w:noProof/>
                <w:webHidden/>
                <w:lang w:val="en-GB"/>
              </w:rPr>
              <w:tab/>
            </w:r>
            <w:r w:rsidR="00F51980" w:rsidRPr="00E2652F">
              <w:rPr>
                <w:noProof/>
                <w:webHidden/>
                <w:lang w:val="en-GB"/>
              </w:rPr>
              <w:fldChar w:fldCharType="begin"/>
            </w:r>
            <w:r w:rsidR="00F51980" w:rsidRPr="00E2652F">
              <w:rPr>
                <w:noProof/>
                <w:webHidden/>
                <w:lang w:val="en-GB"/>
              </w:rPr>
              <w:instrText xml:space="preserve"> PAGEREF _Toc524355420 \h </w:instrText>
            </w:r>
            <w:r w:rsidR="00F51980" w:rsidRPr="00E2652F">
              <w:rPr>
                <w:noProof/>
                <w:webHidden/>
                <w:lang w:val="en-GB"/>
              </w:rPr>
            </w:r>
            <w:r w:rsidR="00F51980" w:rsidRPr="00E2652F">
              <w:rPr>
                <w:noProof/>
                <w:webHidden/>
                <w:lang w:val="en-GB"/>
              </w:rPr>
              <w:fldChar w:fldCharType="separate"/>
            </w:r>
            <w:r w:rsidR="004865BC">
              <w:rPr>
                <w:noProof/>
                <w:webHidden/>
                <w:lang w:val="en-GB"/>
              </w:rPr>
              <w:t>19</w:t>
            </w:r>
            <w:r w:rsidR="00F51980" w:rsidRPr="00E2652F">
              <w:rPr>
                <w:noProof/>
                <w:webHidden/>
                <w:lang w:val="en-GB"/>
              </w:rPr>
              <w:fldChar w:fldCharType="end"/>
            </w:r>
          </w:hyperlink>
        </w:p>
        <w:p w14:paraId="6F0910E5" w14:textId="1D5919A7" w:rsidR="006D4D70" w:rsidRPr="00E2652F" w:rsidRDefault="00F51980" w:rsidP="00F51980">
          <w:pPr>
            <w:spacing w:after="120"/>
          </w:pPr>
          <w:r w:rsidRPr="00E2652F">
            <w:fldChar w:fldCharType="end"/>
          </w:r>
        </w:p>
      </w:sdtContent>
    </w:sdt>
    <w:p w14:paraId="4A76696B" w14:textId="77777777" w:rsidR="00F252EE" w:rsidRPr="00E2652F" w:rsidRDefault="00F252EE" w:rsidP="00F252EE">
      <w:pPr>
        <w:pStyle w:val="CH2"/>
        <w:rPr>
          <w:sz w:val="20"/>
          <w:szCs w:val="20"/>
        </w:rPr>
      </w:pPr>
      <w:r w:rsidRPr="00E2652F">
        <w:rPr>
          <w:sz w:val="20"/>
          <w:szCs w:val="20"/>
        </w:rPr>
        <w:br w:type="page"/>
      </w:r>
    </w:p>
    <w:p w14:paraId="7ADFFE0F" w14:textId="77777777" w:rsidR="00F252EE" w:rsidRPr="00E2652F" w:rsidRDefault="00F252EE" w:rsidP="00F51980">
      <w:pPr>
        <w:pStyle w:val="CH1"/>
      </w:pPr>
      <w:r w:rsidRPr="00E2652F">
        <w:lastRenderedPageBreak/>
        <w:tab/>
      </w:r>
      <w:bookmarkStart w:id="12" w:name="_Toc524355399"/>
      <w:r w:rsidRPr="00E2652F">
        <w:t>A.</w:t>
      </w:r>
      <w:r w:rsidRPr="00E2652F">
        <w:tab/>
        <w:t>Introduction</w:t>
      </w:r>
      <w:bookmarkEnd w:id="12"/>
    </w:p>
    <w:p w14:paraId="7E2271B8" w14:textId="51B82824" w:rsidR="00F252EE" w:rsidRPr="00E2652F" w:rsidRDefault="00F252EE" w:rsidP="00F51980">
      <w:pPr>
        <w:pStyle w:val="Normalnumber"/>
        <w:numPr>
          <w:ilvl w:val="0"/>
          <w:numId w:val="12"/>
        </w:numPr>
        <w:ind w:left="1247" w:firstLine="0"/>
      </w:pPr>
      <w:r w:rsidRPr="00E2652F">
        <w:t xml:space="preserve">The Minamata Convention on Mercury </w:t>
      </w:r>
      <w:r w:rsidR="006D4D70" w:rsidRPr="00E2652F">
        <w:t xml:space="preserve">contains </w:t>
      </w:r>
      <w:r w:rsidRPr="00E2652F">
        <w:t xml:space="preserve">provisions on </w:t>
      </w:r>
      <w:r w:rsidR="00E211F3" w:rsidRPr="00E2652F">
        <w:t xml:space="preserve">the </w:t>
      </w:r>
      <w:r w:rsidRPr="00E2652F">
        <w:t>identification and management of mercury</w:t>
      </w:r>
      <w:r w:rsidR="00E211F3" w:rsidRPr="00E2652F">
        <w:t>-</w:t>
      </w:r>
      <w:r w:rsidRPr="00E2652F">
        <w:t>contaminated sites</w:t>
      </w:r>
      <w:r w:rsidR="00E429A9" w:rsidRPr="00E2652F">
        <w:t>, including the adoption of</w:t>
      </w:r>
      <w:r w:rsidRPr="00E2652F">
        <w:t xml:space="preserve"> </w:t>
      </w:r>
      <w:r w:rsidR="00E429A9" w:rsidRPr="00E2652F">
        <w:t>g</w:t>
      </w:r>
      <w:r w:rsidRPr="00E2652F">
        <w:t>uidance on the management of contaminated sites by the Conference of the Parties. Th</w:t>
      </w:r>
      <w:r w:rsidR="00DA08B7" w:rsidRPr="00E2652F">
        <w:t>e present</w:t>
      </w:r>
      <w:r w:rsidRPr="00E2652F">
        <w:t xml:space="preserve"> document </w:t>
      </w:r>
      <w:r w:rsidR="00E429A9" w:rsidRPr="00E2652F">
        <w:t>provides guidance on</w:t>
      </w:r>
      <w:r w:rsidRPr="00E2652F">
        <w:t xml:space="preserve"> the main elements of the identification and management of contaminated sites for </w:t>
      </w:r>
      <w:r w:rsidR="00E429A9" w:rsidRPr="00E2652F">
        <w:t xml:space="preserve">the </w:t>
      </w:r>
      <w:r w:rsidRPr="00E2652F">
        <w:t xml:space="preserve">reference </w:t>
      </w:r>
      <w:r w:rsidR="00E429A9" w:rsidRPr="00E2652F">
        <w:t>of p</w:t>
      </w:r>
      <w:r w:rsidRPr="00E2652F">
        <w:t xml:space="preserve">arties who take action to manage such sites. </w:t>
      </w:r>
      <w:r w:rsidR="00E429A9" w:rsidRPr="00E2652F">
        <w:t>It</w:t>
      </w:r>
      <w:r w:rsidRPr="00E2652F">
        <w:t xml:space="preserve"> </w:t>
      </w:r>
      <w:r w:rsidR="00E429A9" w:rsidRPr="00E2652F">
        <w:t>is intended for</w:t>
      </w:r>
      <w:r w:rsidRPr="00E2652F">
        <w:t xml:space="preserve"> a range of possible users.</w:t>
      </w:r>
      <w:r w:rsidR="00E429A9" w:rsidRPr="00E2652F">
        <w:t xml:space="preserve"> </w:t>
      </w:r>
      <w:r w:rsidRPr="00E2652F">
        <w:t xml:space="preserve">It provides basic information on the effects of mercury, as well as guidance on managing sites, </w:t>
      </w:r>
      <w:r w:rsidR="00E429A9" w:rsidRPr="00E2652F">
        <w:t xml:space="preserve">from site </w:t>
      </w:r>
      <w:r w:rsidRPr="00E2652F">
        <w:t xml:space="preserve">identification </w:t>
      </w:r>
      <w:r w:rsidR="00E429A9" w:rsidRPr="00E2652F">
        <w:t>and</w:t>
      </w:r>
      <w:r w:rsidRPr="00E2652F">
        <w:t xml:space="preserve"> detailed </w:t>
      </w:r>
      <w:r w:rsidR="00E429A9" w:rsidRPr="00E2652F">
        <w:t xml:space="preserve">site </w:t>
      </w:r>
      <w:r w:rsidRPr="00E2652F">
        <w:t xml:space="preserve">investigation to the decision process for </w:t>
      </w:r>
      <w:r w:rsidR="00E429A9" w:rsidRPr="00E2652F">
        <w:t xml:space="preserve">site </w:t>
      </w:r>
      <w:r w:rsidRPr="00E2652F">
        <w:t>management and, where appropriate, remediation.</w:t>
      </w:r>
      <w:r w:rsidR="00E429A9" w:rsidRPr="00E2652F">
        <w:t xml:space="preserve"> </w:t>
      </w:r>
      <w:r w:rsidR="00427FCB" w:rsidRPr="00E2652F">
        <w:t>F</w:t>
      </w:r>
      <w:r w:rsidRPr="00E2652F">
        <w:t xml:space="preserve">or those planning detailed management of a particular site, </w:t>
      </w:r>
      <w:r w:rsidR="00427FCB" w:rsidRPr="00E2652F">
        <w:t xml:space="preserve">additional technical information can </w:t>
      </w:r>
      <w:r w:rsidR="00E429A9" w:rsidRPr="00E2652F">
        <w:t xml:space="preserve">be found in the </w:t>
      </w:r>
      <w:r w:rsidRPr="00E2652F">
        <w:t xml:space="preserve">references </w:t>
      </w:r>
      <w:r w:rsidR="00DA08B7" w:rsidRPr="00E2652F">
        <w:t>listed</w:t>
      </w:r>
      <w:r w:rsidRPr="00E2652F">
        <w:t xml:space="preserve"> </w:t>
      </w:r>
      <w:r w:rsidR="00E429A9" w:rsidRPr="00E2652F">
        <w:t xml:space="preserve">at the end of the </w:t>
      </w:r>
      <w:r w:rsidR="00A6343B" w:rsidRPr="00E2652F">
        <w:t>guidance</w:t>
      </w:r>
      <w:r w:rsidRPr="00E2652F">
        <w:t xml:space="preserve">. </w:t>
      </w:r>
    </w:p>
    <w:p w14:paraId="0A718BD2" w14:textId="124C952E" w:rsidR="00F252EE" w:rsidRPr="00E2652F" w:rsidRDefault="00F252EE" w:rsidP="00F51980">
      <w:pPr>
        <w:pStyle w:val="Normalnumber"/>
        <w:numPr>
          <w:ilvl w:val="0"/>
          <w:numId w:val="12"/>
        </w:numPr>
        <w:ind w:left="1247" w:firstLine="0"/>
      </w:pPr>
      <w:r w:rsidRPr="00E2652F">
        <w:t xml:space="preserve">The guidance has been prepared </w:t>
      </w:r>
      <w:r w:rsidR="00E429A9" w:rsidRPr="00E2652F">
        <w:t>in accordance with</w:t>
      </w:r>
      <w:r w:rsidRPr="00E2652F">
        <w:t xml:space="preserve"> </w:t>
      </w:r>
      <w:r w:rsidR="00427FCB" w:rsidRPr="00E2652F">
        <w:t>a</w:t>
      </w:r>
      <w:r w:rsidRPr="00E2652F">
        <w:t>rticle 12</w:t>
      </w:r>
      <w:r w:rsidR="00E429A9" w:rsidRPr="00E2652F">
        <w:t xml:space="preserve"> of the Convention.</w:t>
      </w:r>
      <w:r w:rsidRPr="00E2652F">
        <w:t xml:space="preserve"> </w:t>
      </w:r>
      <w:r w:rsidR="00E429A9" w:rsidRPr="00E2652F">
        <w:t>I</w:t>
      </w:r>
      <w:r w:rsidRPr="00E2652F">
        <w:t xml:space="preserve">t does not establish mandatory requirements, nor does it attempt to add to or subtract from a party’s obligations under </w:t>
      </w:r>
      <w:r w:rsidR="00E429A9" w:rsidRPr="00E2652F">
        <w:t>a</w:t>
      </w:r>
      <w:r w:rsidRPr="00E2652F">
        <w:t>rticle 12. It is recognized that</w:t>
      </w:r>
      <w:r w:rsidR="00DA08B7" w:rsidRPr="00E2652F">
        <w:t>, for technical, economic or legal reasons,</w:t>
      </w:r>
      <w:r w:rsidRPr="00E2652F">
        <w:t xml:space="preserve"> some of the measures described in the present guidance may not be available to all parties.</w:t>
      </w:r>
    </w:p>
    <w:p w14:paraId="410DA106" w14:textId="1E0EB14B" w:rsidR="00F252EE" w:rsidRPr="00E2652F" w:rsidRDefault="00520198" w:rsidP="00F51980">
      <w:pPr>
        <w:pStyle w:val="CH2"/>
        <w:rPr>
          <w:bCs/>
        </w:rPr>
      </w:pPr>
      <w:r w:rsidRPr="00E2652F">
        <w:tab/>
      </w:r>
      <w:r w:rsidRPr="00E2652F">
        <w:tab/>
      </w:r>
      <w:bookmarkStart w:id="13" w:name="_Toc524355400"/>
      <w:r w:rsidR="00F252EE" w:rsidRPr="00E2652F">
        <w:t xml:space="preserve">Risks to </w:t>
      </w:r>
      <w:r w:rsidR="00864BAB" w:rsidRPr="00E2652F">
        <w:t>h</w:t>
      </w:r>
      <w:r w:rsidR="00F252EE" w:rsidRPr="00E2652F">
        <w:t xml:space="preserve">uman </w:t>
      </w:r>
      <w:r w:rsidR="00864BAB" w:rsidRPr="00E2652F">
        <w:t>h</w:t>
      </w:r>
      <w:r w:rsidR="00F252EE" w:rsidRPr="00E2652F">
        <w:t xml:space="preserve">ealth and the </w:t>
      </w:r>
      <w:r w:rsidR="00864BAB" w:rsidRPr="00E2652F">
        <w:t>e</w:t>
      </w:r>
      <w:r w:rsidR="00F252EE" w:rsidRPr="00E2652F">
        <w:t>nvironment</w:t>
      </w:r>
      <w:bookmarkEnd w:id="13"/>
    </w:p>
    <w:p w14:paraId="42E743B0" w14:textId="054B22EC" w:rsidR="00F252EE" w:rsidRPr="00E2652F" w:rsidRDefault="00F252EE" w:rsidP="00F51980">
      <w:pPr>
        <w:pStyle w:val="Normalnumber"/>
        <w:numPr>
          <w:ilvl w:val="0"/>
          <w:numId w:val="12"/>
        </w:numPr>
        <w:ind w:left="1247" w:firstLine="0"/>
      </w:pPr>
      <w:r w:rsidRPr="00E2652F">
        <w:t>Mercury is a global threat to human health and the environment.</w:t>
      </w:r>
      <w:r w:rsidR="00E429A9" w:rsidRPr="00E2652F">
        <w:t xml:space="preserve"> </w:t>
      </w:r>
      <w:r w:rsidRPr="00E2652F">
        <w:t>Once released into the environment, mercury can travel long distances and persist in the environment, circulating between air, water, sediments, soil and living organisms until it is eventually removed into deep ocean sediments or mineral soils.</w:t>
      </w:r>
      <w:r w:rsidR="00E429A9" w:rsidRPr="00E2652F">
        <w:t xml:space="preserve"> The e</w:t>
      </w:r>
      <w:r w:rsidRPr="00E2652F">
        <w:t>nvironmental behaviour</w:t>
      </w:r>
      <w:r w:rsidR="00E429A9" w:rsidRPr="00E2652F">
        <w:t xml:space="preserve"> and</w:t>
      </w:r>
      <w:r w:rsidRPr="00E2652F">
        <w:t xml:space="preserve"> toxicological properties</w:t>
      </w:r>
      <w:r w:rsidR="000C3080" w:rsidRPr="00E2652F">
        <w:t xml:space="preserve"> of</w:t>
      </w:r>
      <w:r w:rsidRPr="00E2652F">
        <w:t xml:space="preserve"> different mercury compounds</w:t>
      </w:r>
      <w:r w:rsidR="000C3080" w:rsidRPr="00E2652F">
        <w:t xml:space="preserve"> vary</w:t>
      </w:r>
      <w:r w:rsidRPr="00E2652F">
        <w:t xml:space="preserve">. Methylmercury presents the greatest risk to human health and wildlife. It is mostly produced in anaerobic aquatic ecosystems through natural bacterial process under certain conditions. </w:t>
      </w:r>
    </w:p>
    <w:p w14:paraId="3D1C8EFB" w14:textId="1E14522D" w:rsidR="00F252EE" w:rsidRPr="00E2652F" w:rsidRDefault="00F252EE" w:rsidP="00F51980">
      <w:pPr>
        <w:pStyle w:val="Normalnumber"/>
        <w:numPr>
          <w:ilvl w:val="0"/>
          <w:numId w:val="12"/>
        </w:numPr>
        <w:ind w:left="1247" w:firstLine="0"/>
      </w:pPr>
      <w:r w:rsidRPr="00E2652F">
        <w:t xml:space="preserve">Mercury bioaccumulates and biomagnifies, concentrating as it moves up the food chain, </w:t>
      </w:r>
      <w:r w:rsidR="00DA08B7" w:rsidRPr="00E2652F">
        <w:t>so that</w:t>
      </w:r>
      <w:r w:rsidRPr="00E2652F">
        <w:t xml:space="preserve"> the highest levels</w:t>
      </w:r>
      <w:r w:rsidR="00DA08B7" w:rsidRPr="00E2652F">
        <w:t xml:space="preserve"> are found</w:t>
      </w:r>
      <w:r w:rsidRPr="00E2652F">
        <w:t xml:space="preserve"> in predatory species such as tuna, marlin, swordfish, sharks, marine mammals and humans.</w:t>
      </w:r>
      <w:r w:rsidR="00E429A9" w:rsidRPr="00E2652F">
        <w:t xml:space="preserve"> </w:t>
      </w:r>
      <w:r w:rsidRPr="00E2652F">
        <w:t xml:space="preserve">There can be serious impacts on ecosystems, including reproductive effects on birds and predatory mammals. High acute or chronic exposure to mercury is a serious risk to human health and to the environment. </w:t>
      </w:r>
    </w:p>
    <w:p w14:paraId="0BA5F712" w14:textId="66DB0568" w:rsidR="00F252EE" w:rsidRPr="00E2652F" w:rsidRDefault="00F252EE" w:rsidP="00F51980">
      <w:pPr>
        <w:pStyle w:val="Normalnumber"/>
        <w:numPr>
          <w:ilvl w:val="0"/>
          <w:numId w:val="12"/>
        </w:numPr>
        <w:ind w:left="1247" w:firstLine="0"/>
      </w:pPr>
      <w:r w:rsidRPr="00E2652F">
        <w:t xml:space="preserve">Effects on human health include effects on the brain, heart, kidneys, lungs and immune system of individuals of all ages. Elevated levels of methylmercury in the bloodstream of unborn babies and young children </w:t>
      </w:r>
      <w:r w:rsidR="000C3080" w:rsidRPr="00E2652F">
        <w:t xml:space="preserve">can </w:t>
      </w:r>
      <w:r w:rsidRPr="00E2652F">
        <w:t>harm the developing nervous system.</w:t>
      </w:r>
      <w:r w:rsidR="00E429A9" w:rsidRPr="00E2652F">
        <w:t xml:space="preserve"> </w:t>
      </w:r>
      <w:r w:rsidRPr="00E2652F">
        <w:t>Neurological and behavioural disorders</w:t>
      </w:r>
      <w:r w:rsidR="00DA08B7" w:rsidRPr="00E2652F">
        <w:t xml:space="preserve"> in humans</w:t>
      </w:r>
      <w:r w:rsidRPr="00E2652F">
        <w:t xml:space="preserve"> may be signs of significant mercury exposure, with symptoms including tremors, insomnia, memory loss, neuromuscular effects, headaches, and cognitive and motor dysfunction. In workplaces where mercury is used, people may be at risk of inhaling mercury vapour or </w:t>
      </w:r>
      <w:r w:rsidR="00DA08B7" w:rsidRPr="00E2652F">
        <w:t xml:space="preserve">of </w:t>
      </w:r>
      <w:r w:rsidRPr="00E2652F">
        <w:t>dermal exposure from normal work practices (in industr</w:t>
      </w:r>
      <w:r w:rsidR="00DA08B7" w:rsidRPr="00E2652F">
        <w:t>ial</w:t>
      </w:r>
      <w:r w:rsidRPr="00E2652F">
        <w:t xml:space="preserve">, medical or dental settings or artisanal and small-scale gold mines) or from spills. For the general population, </w:t>
      </w:r>
      <w:r w:rsidR="00427FCB" w:rsidRPr="00E2652F">
        <w:t xml:space="preserve">however, </w:t>
      </w:r>
      <w:r w:rsidRPr="00E2652F">
        <w:t xml:space="preserve">the most usual form of direct exposure is through consuming fish and seafood contaminated with methylmercury. Once ingested, 95 per cent of the chemical is absorbed through the gastrointestinal tract. </w:t>
      </w:r>
    </w:p>
    <w:p w14:paraId="790436BE" w14:textId="77777777" w:rsidR="00F252EE" w:rsidRPr="00E2652F" w:rsidRDefault="00F252EE" w:rsidP="00245B8F">
      <w:pPr>
        <w:pStyle w:val="Normalnumber"/>
        <w:numPr>
          <w:ilvl w:val="0"/>
          <w:numId w:val="0"/>
        </w:numPr>
        <w:ind w:left="1418"/>
      </w:pPr>
      <w:r w:rsidRPr="00E2652F">
        <w:rPr>
          <w:noProof/>
          <w:lang w:eastAsia="zh-CN"/>
        </w:rPr>
        <w:drawing>
          <wp:inline distT="0" distB="0" distL="0" distR="0" wp14:anchorId="5704E1BE" wp14:editId="324AB5E0">
            <wp:extent cx="4909663" cy="3600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9239" cy="3629473"/>
                    </a:xfrm>
                    <a:prstGeom prst="rect">
                      <a:avLst/>
                    </a:prstGeom>
                    <a:noFill/>
                  </pic:spPr>
                </pic:pic>
              </a:graphicData>
            </a:graphic>
          </wp:inline>
        </w:drawing>
      </w:r>
    </w:p>
    <w:p w14:paraId="31B5029F" w14:textId="50107F30" w:rsidR="00F252EE" w:rsidRPr="00E2652F" w:rsidRDefault="00520198" w:rsidP="00F51980">
      <w:pPr>
        <w:pStyle w:val="CH2"/>
      </w:pPr>
      <w:r w:rsidRPr="00E2652F">
        <w:tab/>
      </w:r>
      <w:r w:rsidRPr="00E2652F">
        <w:tab/>
      </w:r>
      <w:bookmarkStart w:id="14" w:name="_Toc524355401"/>
      <w:r w:rsidR="00F252EE" w:rsidRPr="00E2652F">
        <w:t>Global use of mercury</w:t>
      </w:r>
      <w:bookmarkEnd w:id="14"/>
    </w:p>
    <w:p w14:paraId="0832614F" w14:textId="53650470" w:rsidR="00F252EE" w:rsidRPr="00E2652F" w:rsidRDefault="00F252EE" w:rsidP="00F51980">
      <w:pPr>
        <w:pStyle w:val="Normalnumber"/>
        <w:numPr>
          <w:ilvl w:val="0"/>
          <w:numId w:val="12"/>
        </w:numPr>
        <w:ind w:left="1247" w:firstLine="0"/>
      </w:pPr>
      <w:r w:rsidRPr="00E2652F">
        <w:t>Mercury is a metal whose unique properties have led to a range of uses.</w:t>
      </w:r>
      <w:r w:rsidR="00E429A9" w:rsidRPr="00E2652F">
        <w:t xml:space="preserve"> </w:t>
      </w:r>
      <w:r w:rsidRPr="00E2652F">
        <w:t>A liquid at room temperature, it has been used in switches and relays, as well as measuring devices</w:t>
      </w:r>
      <w:r w:rsidR="00FB3AC0" w:rsidRPr="00E2652F">
        <w:t>,</w:t>
      </w:r>
      <w:r w:rsidRPr="00E2652F">
        <w:t xml:space="preserve"> where it </w:t>
      </w:r>
      <w:r w:rsidR="00687F1D" w:rsidRPr="00E2652F">
        <w:t>enables</w:t>
      </w:r>
      <w:r w:rsidRPr="00E2652F">
        <w:t xml:space="preserve"> precise determination of changes in temperature.</w:t>
      </w:r>
      <w:r w:rsidR="00E429A9" w:rsidRPr="00E2652F">
        <w:t xml:space="preserve"> </w:t>
      </w:r>
      <w:r w:rsidRPr="00E2652F">
        <w:t>It has been used as a catalyst in a number of industrial processes.</w:t>
      </w:r>
      <w:r w:rsidR="00E429A9" w:rsidRPr="00E2652F">
        <w:t xml:space="preserve"> </w:t>
      </w:r>
      <w:r w:rsidR="00FB3AC0" w:rsidRPr="00E2652F">
        <w:t xml:space="preserve">Mercury’s </w:t>
      </w:r>
      <w:r w:rsidRPr="00E2652F">
        <w:t xml:space="preserve">ability to form amalgams with other metals has led to its use in </w:t>
      </w:r>
      <w:r w:rsidR="00A37F83" w:rsidRPr="00E2652F">
        <w:t>activities</w:t>
      </w:r>
      <w:r w:rsidR="00FB3AC0" w:rsidRPr="00E2652F">
        <w:t xml:space="preserve"> </w:t>
      </w:r>
      <w:r w:rsidRPr="00E2652F">
        <w:t>such as artisanal and small-scale gold mining</w:t>
      </w:r>
      <w:r w:rsidR="00F37202" w:rsidRPr="00E2652F">
        <w:t xml:space="preserve"> (ASGM)</w:t>
      </w:r>
      <w:r w:rsidR="00FB3AC0" w:rsidRPr="00E2652F">
        <w:t xml:space="preserve"> and</w:t>
      </w:r>
      <w:r w:rsidRPr="00E2652F">
        <w:t xml:space="preserve"> dentistry. </w:t>
      </w:r>
    </w:p>
    <w:p w14:paraId="0FCBDB7C" w14:textId="17FA6003" w:rsidR="00F252EE" w:rsidRPr="00E2652F" w:rsidRDefault="00F252EE" w:rsidP="00F51980">
      <w:pPr>
        <w:pStyle w:val="Normalnumber"/>
        <w:numPr>
          <w:ilvl w:val="0"/>
          <w:numId w:val="12"/>
        </w:numPr>
        <w:ind w:left="1247" w:firstLine="0"/>
      </w:pPr>
      <w:r w:rsidRPr="00E2652F">
        <w:t xml:space="preserve">The industrial and manufacturing processes </w:t>
      </w:r>
      <w:r w:rsidR="00FB3AC0" w:rsidRPr="00E2652F">
        <w:t xml:space="preserve">that use </w:t>
      </w:r>
      <w:r w:rsidRPr="00E2652F">
        <w:t xml:space="preserve">mercury have the potential to release mercury that </w:t>
      </w:r>
      <w:r w:rsidR="00FB3AC0" w:rsidRPr="00E2652F">
        <w:t>could contaminate the</w:t>
      </w:r>
      <w:r w:rsidRPr="00E2652F">
        <w:t xml:space="preserve"> environment.</w:t>
      </w:r>
      <w:r w:rsidR="00E429A9" w:rsidRPr="00E2652F">
        <w:t xml:space="preserve"> </w:t>
      </w:r>
      <w:r w:rsidRPr="00E2652F">
        <w:t xml:space="preserve">Contaminated sites pose </w:t>
      </w:r>
      <w:r w:rsidR="00FB3AC0" w:rsidRPr="00E2652F">
        <w:t xml:space="preserve">an </w:t>
      </w:r>
      <w:r w:rsidRPr="00E2652F">
        <w:t>environmental risk in two ways</w:t>
      </w:r>
      <w:r w:rsidR="00FB3AC0" w:rsidRPr="00E2652F">
        <w:t>:</w:t>
      </w:r>
      <w:r w:rsidR="00E429A9" w:rsidRPr="00E2652F">
        <w:t xml:space="preserve"> </w:t>
      </w:r>
      <w:r w:rsidR="00FB3AC0" w:rsidRPr="00E2652F">
        <w:t>t</w:t>
      </w:r>
      <w:r w:rsidRPr="00E2652F">
        <w:t xml:space="preserve">he contaminated site itself (e.g., a facility or spill site) can be a source of exposure for anyone who enters the site, and the site </w:t>
      </w:r>
      <w:r w:rsidR="00427FCB" w:rsidRPr="00E2652F">
        <w:t xml:space="preserve">can </w:t>
      </w:r>
      <w:r w:rsidRPr="00E2652F">
        <w:t>be a source of mercury release to the surrounding environment.</w:t>
      </w:r>
      <w:r w:rsidR="00E429A9" w:rsidRPr="00E2652F">
        <w:t xml:space="preserve"> </w:t>
      </w:r>
      <w:r w:rsidRPr="00E2652F">
        <w:t>When mercury moves off</w:t>
      </w:r>
      <w:r w:rsidR="00ED1435" w:rsidRPr="00E2652F">
        <w:t xml:space="preserve"> </w:t>
      </w:r>
      <w:r w:rsidRPr="00E2652F">
        <w:t>site, remediation include</w:t>
      </w:r>
      <w:r w:rsidR="00FB3AC0" w:rsidRPr="00E2652F">
        <w:t>s</w:t>
      </w:r>
      <w:r w:rsidRPr="00E2652F">
        <w:t xml:space="preserve"> </w:t>
      </w:r>
      <w:r w:rsidR="00FB3AC0" w:rsidRPr="00E2652F">
        <w:t xml:space="preserve">the </w:t>
      </w:r>
      <w:r w:rsidRPr="00E2652F">
        <w:t xml:space="preserve">removal of mercury from </w:t>
      </w:r>
      <w:r w:rsidR="00FB3AC0" w:rsidRPr="00E2652F">
        <w:t xml:space="preserve">both </w:t>
      </w:r>
      <w:r w:rsidRPr="00E2652F">
        <w:t>the site of initial contamination</w:t>
      </w:r>
      <w:r w:rsidR="00FB3AC0" w:rsidRPr="00E2652F">
        <w:t xml:space="preserve"> and the</w:t>
      </w:r>
      <w:r w:rsidRPr="00E2652F">
        <w:t xml:space="preserve"> environmental media to which it may have migrated (e.g.,</w:t>
      </w:r>
      <w:r w:rsidR="00AB4DCF" w:rsidRPr="00E2652F">
        <w:t> </w:t>
      </w:r>
      <w:r w:rsidRPr="00E2652F">
        <w:t>groundwater, surface water</w:t>
      </w:r>
      <w:r w:rsidR="00FB3AC0" w:rsidRPr="00E2652F">
        <w:t>,</w:t>
      </w:r>
      <w:r w:rsidRPr="00E2652F">
        <w:t xml:space="preserve"> sediments).</w:t>
      </w:r>
    </w:p>
    <w:p w14:paraId="1AAFD7FA" w14:textId="5CFB231C" w:rsidR="00F252EE" w:rsidRPr="00E2652F" w:rsidRDefault="00F252EE" w:rsidP="00F51980">
      <w:pPr>
        <w:pStyle w:val="Normalnumber"/>
        <w:numPr>
          <w:ilvl w:val="0"/>
          <w:numId w:val="12"/>
        </w:numPr>
        <w:ind w:left="1247" w:firstLine="0"/>
      </w:pPr>
      <w:r w:rsidRPr="00E2652F">
        <w:t>A wide range of mercury-added products are still produced globally, including batteries, lamps, measuring devices (such as thermometers), cosmetics and pesticides.</w:t>
      </w:r>
      <w:r w:rsidR="00E429A9" w:rsidRPr="00E2652F">
        <w:t xml:space="preserve"> </w:t>
      </w:r>
      <w:r w:rsidR="006F1A1B" w:rsidRPr="00E2652F">
        <w:t>The l</w:t>
      </w:r>
      <w:r w:rsidRPr="00E2652F">
        <w:t xml:space="preserve">evels or </w:t>
      </w:r>
      <w:r w:rsidR="006F1A1B" w:rsidRPr="00E2652F">
        <w:t xml:space="preserve">quantity </w:t>
      </w:r>
      <w:r w:rsidRPr="00E2652F">
        <w:t>of mercury in these products is generally very low</w:t>
      </w:r>
      <w:r w:rsidR="006F1A1B" w:rsidRPr="00E2652F">
        <w:t>;</w:t>
      </w:r>
      <w:r w:rsidRPr="00E2652F">
        <w:t xml:space="preserve"> however</w:t>
      </w:r>
      <w:r w:rsidR="006F1A1B" w:rsidRPr="00E2652F">
        <w:t>,</w:t>
      </w:r>
      <w:r w:rsidRPr="00E2652F">
        <w:t xml:space="preserve"> mishandling of large quantities of such materials as products or </w:t>
      </w:r>
      <w:r w:rsidR="006F1A1B" w:rsidRPr="00E2652F">
        <w:t>waste can</w:t>
      </w:r>
      <w:r w:rsidRPr="00E2652F">
        <w:t xml:space="preserve"> result in release</w:t>
      </w:r>
      <w:r w:rsidR="006F1A1B" w:rsidRPr="00E2652F">
        <w:t>s</w:t>
      </w:r>
      <w:r w:rsidRPr="00E2652F">
        <w:t xml:space="preserve"> to the environment. Mercury amalgam is still widely used in dentistry, which can result in mercury releases to waste water from dental offices and to air from crematoria. </w:t>
      </w:r>
    </w:p>
    <w:p w14:paraId="66FD4093" w14:textId="7A30A07F" w:rsidR="00F252EE" w:rsidRPr="00E2652F" w:rsidRDefault="00F252EE" w:rsidP="00F51980">
      <w:pPr>
        <w:pStyle w:val="Normalnumber"/>
        <w:numPr>
          <w:ilvl w:val="0"/>
          <w:numId w:val="12"/>
        </w:numPr>
        <w:ind w:left="1247" w:firstLine="0"/>
      </w:pPr>
      <w:r w:rsidRPr="00E2652F">
        <w:t xml:space="preserve">Industrial processes </w:t>
      </w:r>
      <w:r w:rsidR="006F1A1B" w:rsidRPr="00E2652F">
        <w:t xml:space="preserve">that use </w:t>
      </w:r>
      <w:r w:rsidRPr="00E2652F">
        <w:t xml:space="preserve">mercury either as a catalyst or as part of an electrical circuit are </w:t>
      </w:r>
      <w:r w:rsidR="006F1A1B" w:rsidRPr="00E2652F">
        <w:t xml:space="preserve">also </w:t>
      </w:r>
      <w:r w:rsidRPr="00E2652F">
        <w:t>still in use globally.</w:t>
      </w:r>
      <w:r w:rsidR="00E429A9" w:rsidRPr="00E2652F">
        <w:t xml:space="preserve"> </w:t>
      </w:r>
      <w:r w:rsidRPr="00E2652F">
        <w:t xml:space="preserve">These processes include chlor-alkali production, where very large volumes of mercury </w:t>
      </w:r>
      <w:r w:rsidR="006F1A1B" w:rsidRPr="00E2652F">
        <w:t>are sometimes</w:t>
      </w:r>
      <w:r w:rsidRPr="00E2652F">
        <w:t xml:space="preserve"> used on site, resulting in facilities </w:t>
      </w:r>
      <w:r w:rsidR="006F1A1B" w:rsidRPr="00E2652F">
        <w:t xml:space="preserve">that </w:t>
      </w:r>
      <w:r w:rsidRPr="00E2652F">
        <w:t>can be heavily contaminated with mercury. Mercury has also been used in acetaldehyde production.</w:t>
      </w:r>
      <w:r w:rsidR="00E429A9" w:rsidRPr="00E2652F">
        <w:t xml:space="preserve"> </w:t>
      </w:r>
      <w:r w:rsidRPr="00E2652F">
        <w:t xml:space="preserve">Other industrial processes </w:t>
      </w:r>
      <w:r w:rsidR="006F1A1B" w:rsidRPr="00E2652F">
        <w:t xml:space="preserve">that </w:t>
      </w:r>
      <w:r w:rsidRPr="00E2652F">
        <w:t xml:space="preserve">may </w:t>
      </w:r>
      <w:r w:rsidR="006F1A1B" w:rsidRPr="00E2652F">
        <w:t xml:space="preserve">use </w:t>
      </w:r>
      <w:r w:rsidRPr="00E2652F">
        <w:t xml:space="preserve">mercury include vinyl chloride monomer production (for use in </w:t>
      </w:r>
      <w:r w:rsidR="007A5598" w:rsidRPr="00E2652F">
        <w:t>polyvinyl chloride</w:t>
      </w:r>
      <w:r w:rsidRPr="00E2652F">
        <w:t xml:space="preserve">), sodium or potassium methylate or ethylate </w:t>
      </w:r>
      <w:r w:rsidR="006F1A1B" w:rsidRPr="00E2652F">
        <w:t xml:space="preserve">production </w:t>
      </w:r>
      <w:r w:rsidRPr="00E2652F">
        <w:t>and polyurethane</w:t>
      </w:r>
      <w:r w:rsidR="006F1A1B" w:rsidRPr="00E2652F">
        <w:t xml:space="preserve"> production</w:t>
      </w:r>
      <w:r w:rsidRPr="00E2652F">
        <w:t>.</w:t>
      </w:r>
      <w:r w:rsidR="00E429A9" w:rsidRPr="00E2652F">
        <w:t xml:space="preserve"> </w:t>
      </w:r>
      <w:r w:rsidRPr="00E2652F">
        <w:t xml:space="preserve">Any of these manufacturing processes </w:t>
      </w:r>
      <w:r w:rsidR="006F1A1B" w:rsidRPr="00E2652F">
        <w:t>has</w:t>
      </w:r>
      <w:r w:rsidRPr="00E2652F">
        <w:t xml:space="preserve"> the potential to contaminate the </w:t>
      </w:r>
      <w:r w:rsidR="006F1A1B" w:rsidRPr="00E2652F">
        <w:t xml:space="preserve">production </w:t>
      </w:r>
      <w:r w:rsidRPr="00E2652F">
        <w:t xml:space="preserve">site </w:t>
      </w:r>
      <w:r w:rsidR="006F1A1B" w:rsidRPr="00E2652F">
        <w:t xml:space="preserve">as a result of </w:t>
      </w:r>
      <w:r w:rsidRPr="00E2652F">
        <w:t>the process</w:t>
      </w:r>
      <w:r w:rsidR="006F1A1B" w:rsidRPr="00E2652F">
        <w:t xml:space="preserve"> itself</w:t>
      </w:r>
      <w:r w:rsidRPr="00E2652F">
        <w:t xml:space="preserve">, spills resulting from poor handling or accidents or mismanagement of </w:t>
      </w:r>
      <w:r w:rsidR="006F1A1B" w:rsidRPr="00E2652F">
        <w:t xml:space="preserve">the </w:t>
      </w:r>
      <w:r w:rsidRPr="00E2652F">
        <w:t xml:space="preserve">mercury waste generated by </w:t>
      </w:r>
      <w:r w:rsidR="006F1A1B" w:rsidRPr="00E2652F">
        <w:t xml:space="preserve">the </w:t>
      </w:r>
      <w:r w:rsidRPr="00E2652F">
        <w:t>process.</w:t>
      </w:r>
    </w:p>
    <w:p w14:paraId="1CA32E6E" w14:textId="6C24E707" w:rsidR="00F252EE" w:rsidRPr="00E2652F" w:rsidRDefault="00F252EE" w:rsidP="00F51980">
      <w:pPr>
        <w:pStyle w:val="Normalnumber"/>
        <w:numPr>
          <w:ilvl w:val="0"/>
          <w:numId w:val="12"/>
        </w:numPr>
        <w:ind w:left="1247" w:firstLine="0"/>
      </w:pPr>
      <w:r w:rsidRPr="00E2652F">
        <w:t xml:space="preserve">Mercury is used extensively in </w:t>
      </w:r>
      <w:r w:rsidR="00F37202" w:rsidRPr="00E2652F">
        <w:t>ASGM</w:t>
      </w:r>
      <w:r w:rsidRPr="00E2652F">
        <w:t>, where it is mixed with gold-bearing ore.</w:t>
      </w:r>
      <w:r w:rsidR="00E429A9" w:rsidRPr="00E2652F">
        <w:t xml:space="preserve"> </w:t>
      </w:r>
      <w:r w:rsidRPr="00E2652F">
        <w:t>The mercury binds to the gold, forming an amalgam</w:t>
      </w:r>
      <w:r w:rsidR="006F1A1B" w:rsidRPr="00E2652F">
        <w:t xml:space="preserve"> that</w:t>
      </w:r>
      <w:r w:rsidRPr="00E2652F">
        <w:t xml:space="preserve"> is then heated to release the mercury as </w:t>
      </w:r>
      <w:r w:rsidR="006F1A1B" w:rsidRPr="00E2652F">
        <w:t xml:space="preserve">a </w:t>
      </w:r>
      <w:r w:rsidRPr="00E2652F">
        <w:t xml:space="preserve">vapour, leaving the gold. The informal nature of many small-scale gold mining operations means </w:t>
      </w:r>
      <w:r w:rsidR="00785BA3" w:rsidRPr="00E2652F">
        <w:t xml:space="preserve">that </w:t>
      </w:r>
      <w:r w:rsidRPr="00E2652F">
        <w:t>there are few</w:t>
      </w:r>
      <w:r w:rsidR="006F1A1B" w:rsidRPr="00E2652F">
        <w:t>, if any,</w:t>
      </w:r>
      <w:r w:rsidRPr="00E2652F">
        <w:t xml:space="preserve"> controls on mercury use and release, often result</w:t>
      </w:r>
      <w:r w:rsidR="006F1A1B" w:rsidRPr="00E2652F">
        <w:t>ing</w:t>
      </w:r>
      <w:r w:rsidRPr="00E2652F">
        <w:t xml:space="preserve"> in high levels of worker exposure and site contamination.</w:t>
      </w:r>
      <w:r w:rsidR="00E429A9" w:rsidRPr="00E2652F">
        <w:t xml:space="preserve"> </w:t>
      </w:r>
      <w:r w:rsidRPr="00E2652F">
        <w:t xml:space="preserve">Additionally, entire families or groups of people </w:t>
      </w:r>
      <w:r w:rsidR="00785BA3" w:rsidRPr="00E2652F">
        <w:t xml:space="preserve">can be exposed to mercury vapour </w:t>
      </w:r>
      <w:r w:rsidRPr="00E2652F">
        <w:t xml:space="preserve">in the house or warehouse where processing </w:t>
      </w:r>
      <w:r w:rsidR="007A5598" w:rsidRPr="00E2652F">
        <w:t>takes place</w:t>
      </w:r>
      <w:r w:rsidRPr="00E2652F">
        <w:t xml:space="preserve">. </w:t>
      </w:r>
    </w:p>
    <w:p w14:paraId="3B39026F" w14:textId="29709FFC" w:rsidR="00F252EE" w:rsidRPr="00E2652F" w:rsidRDefault="00F252EE" w:rsidP="00F51980">
      <w:pPr>
        <w:pStyle w:val="Normalnumber"/>
        <w:numPr>
          <w:ilvl w:val="0"/>
          <w:numId w:val="12"/>
        </w:numPr>
        <w:ind w:left="1247" w:firstLine="0"/>
      </w:pPr>
      <w:r w:rsidRPr="00E2652F">
        <w:t xml:space="preserve">Mercury can also be emitted </w:t>
      </w:r>
      <w:r w:rsidR="00785BA3" w:rsidRPr="00E2652F">
        <w:t xml:space="preserve">by </w:t>
      </w:r>
      <w:r w:rsidRPr="00E2652F">
        <w:t xml:space="preserve">a number of other industrial-scale activities </w:t>
      </w:r>
      <w:r w:rsidR="00785BA3" w:rsidRPr="00E2652F">
        <w:t>where</w:t>
      </w:r>
      <w:r w:rsidRPr="00E2652F">
        <w:t xml:space="preserve"> it is a contaminant in feedstock materials or a by-product of production.</w:t>
      </w:r>
      <w:r w:rsidR="00E429A9" w:rsidRPr="00E2652F">
        <w:t xml:space="preserve"> </w:t>
      </w:r>
      <w:r w:rsidRPr="00E2652F">
        <w:t>Examples include coal burning (in</w:t>
      </w:r>
      <w:r w:rsidR="00AB4DCF" w:rsidRPr="00E2652F">
        <w:t> </w:t>
      </w:r>
      <w:r w:rsidRPr="00E2652F">
        <w:t>power plants and industrial boilers), non-ferrous metal smelting and roasting, cement clinker production and waste incineration.</w:t>
      </w:r>
      <w:r w:rsidR="00E429A9" w:rsidRPr="00E2652F">
        <w:t xml:space="preserve"> </w:t>
      </w:r>
      <w:r w:rsidRPr="00E2652F">
        <w:t xml:space="preserve">Most of this mercury can be captured </w:t>
      </w:r>
      <w:r w:rsidR="00785BA3" w:rsidRPr="00E2652F">
        <w:t>through</w:t>
      </w:r>
      <w:r w:rsidRPr="00E2652F">
        <w:t xml:space="preserve"> pollution control measures</w:t>
      </w:r>
      <w:r w:rsidR="00785BA3" w:rsidRPr="00E2652F">
        <w:t>; however, this</w:t>
      </w:r>
      <w:r w:rsidRPr="00E2652F">
        <w:t xml:space="preserve"> in turn produces mercury-contaminated solid and liquid wastes </w:t>
      </w:r>
      <w:r w:rsidR="00785BA3" w:rsidRPr="00E2652F">
        <w:t xml:space="preserve">that </w:t>
      </w:r>
      <w:r w:rsidRPr="00E2652F">
        <w:t xml:space="preserve">need to be managed safely. </w:t>
      </w:r>
      <w:r w:rsidR="00785BA3" w:rsidRPr="00E2652F">
        <w:t>M</w:t>
      </w:r>
      <w:r w:rsidRPr="00E2652F">
        <w:t>ismanagement of waste</w:t>
      </w:r>
      <w:r w:rsidR="00785BA3" w:rsidRPr="00E2652F">
        <w:t>,</w:t>
      </w:r>
      <w:r w:rsidRPr="00E2652F">
        <w:t xml:space="preserve"> particularly waste water</w:t>
      </w:r>
      <w:r w:rsidR="00785BA3" w:rsidRPr="00E2652F">
        <w:t>, can result in releases of mercury to water, land and soil</w:t>
      </w:r>
      <w:r w:rsidRPr="00E2652F">
        <w:t>.</w:t>
      </w:r>
      <w:r w:rsidR="00E429A9" w:rsidRPr="00E2652F">
        <w:t xml:space="preserve"> </w:t>
      </w:r>
      <w:r w:rsidRPr="00E2652F">
        <w:t>Industrial</w:t>
      </w:r>
      <w:r w:rsidR="00785BA3" w:rsidRPr="00E2652F">
        <w:t>-</w:t>
      </w:r>
      <w:r w:rsidRPr="00E2652F">
        <w:t xml:space="preserve">scale mining activities, particularly where </w:t>
      </w:r>
      <w:r w:rsidR="00785BA3" w:rsidRPr="00E2652F">
        <w:t xml:space="preserve">the </w:t>
      </w:r>
      <w:r w:rsidRPr="00E2652F">
        <w:t xml:space="preserve">ore has </w:t>
      </w:r>
      <w:r w:rsidR="00785BA3" w:rsidRPr="00E2652F">
        <w:t xml:space="preserve">a </w:t>
      </w:r>
      <w:r w:rsidRPr="00E2652F">
        <w:t xml:space="preserve">high mercury </w:t>
      </w:r>
      <w:r w:rsidR="00785BA3" w:rsidRPr="00E2652F">
        <w:t>content</w:t>
      </w:r>
      <w:r w:rsidRPr="00E2652F">
        <w:t>, can also result in releases of mercury to air, land and water systems, while the mine tailing</w:t>
      </w:r>
      <w:r w:rsidR="00785BA3" w:rsidRPr="00E2652F">
        <w:t>s</w:t>
      </w:r>
      <w:r w:rsidRPr="00E2652F">
        <w:t xml:space="preserve"> may be heavily contaminated with mercury. </w:t>
      </w:r>
    </w:p>
    <w:p w14:paraId="151F3950" w14:textId="6D8ADCEE" w:rsidR="00F252EE" w:rsidRPr="00E2652F" w:rsidRDefault="00520198" w:rsidP="00F51980">
      <w:pPr>
        <w:pStyle w:val="CH2"/>
      </w:pPr>
      <w:r w:rsidRPr="00E2652F">
        <w:tab/>
      </w:r>
      <w:r w:rsidRPr="00E2652F">
        <w:tab/>
      </w:r>
      <w:bookmarkStart w:id="15" w:name="_Toc524355402"/>
      <w:r w:rsidR="00F252EE" w:rsidRPr="00E2652F">
        <w:t>Mercury emissions and releases</w:t>
      </w:r>
      <w:bookmarkEnd w:id="15"/>
    </w:p>
    <w:p w14:paraId="69E6757F" w14:textId="2F41DE91" w:rsidR="00F252EE" w:rsidRPr="00E2652F" w:rsidRDefault="005E1491" w:rsidP="00F51980">
      <w:pPr>
        <w:pStyle w:val="Normalnumber"/>
        <w:numPr>
          <w:ilvl w:val="0"/>
          <w:numId w:val="12"/>
        </w:numPr>
        <w:ind w:left="1247" w:firstLine="0"/>
      </w:pPr>
      <w:r w:rsidRPr="00E2652F">
        <w:t xml:space="preserve">The 2013 Global Mercury Assessment indicated that </w:t>
      </w:r>
      <w:r w:rsidR="00F252EE" w:rsidRPr="00E2652F">
        <w:t xml:space="preserve">the largest sources of anthropogenic emissions of mercury to air are </w:t>
      </w:r>
      <w:r w:rsidR="00F37202" w:rsidRPr="00E2652F">
        <w:t>ASGM</w:t>
      </w:r>
      <w:r w:rsidR="00F252EE" w:rsidRPr="00E2652F">
        <w:t xml:space="preserve"> and coal combustion (UNEP, 2013)</w:t>
      </w:r>
      <w:r w:rsidR="0021302D" w:rsidRPr="00E2652F">
        <w:t xml:space="preserve">, </w:t>
      </w:r>
      <w:r w:rsidR="00F252EE" w:rsidRPr="00E2652F">
        <w:t>followed by the production of ferrous and non-ferrous metals and cement production.</w:t>
      </w:r>
      <w:r w:rsidR="00E429A9" w:rsidRPr="00E2652F">
        <w:t xml:space="preserve"> </w:t>
      </w:r>
      <w:r w:rsidRPr="00E2652F">
        <w:t>The 2013 assessment also evaluated mercury releases to water from</w:t>
      </w:r>
      <w:r w:rsidR="00F37202" w:rsidRPr="00E2652F">
        <w:t xml:space="preserve"> </w:t>
      </w:r>
      <w:r w:rsidR="00F252EE" w:rsidRPr="00E2652F">
        <w:t>point sources</w:t>
      </w:r>
      <w:r w:rsidR="004F3E7B" w:rsidRPr="00E2652F">
        <w:t xml:space="preserve"> of mercury emissions</w:t>
      </w:r>
      <w:r w:rsidR="00F252EE" w:rsidRPr="00E2652F">
        <w:t xml:space="preserve">, contaminated sites and </w:t>
      </w:r>
      <w:r w:rsidR="00F37202" w:rsidRPr="00E2652F">
        <w:t>ASGM</w:t>
      </w:r>
      <w:r w:rsidR="00F252EE" w:rsidRPr="00E2652F">
        <w:t xml:space="preserve"> sites.</w:t>
      </w:r>
      <w:r w:rsidR="00E429A9" w:rsidRPr="00E2652F">
        <w:t xml:space="preserve"> </w:t>
      </w:r>
      <w:r w:rsidRPr="00E2652F">
        <w:t>The assessment found that</w:t>
      </w:r>
      <w:r w:rsidR="00F252EE" w:rsidRPr="00E2652F">
        <w:t xml:space="preserve"> global anthropogenic emissions of mercury to air </w:t>
      </w:r>
      <w:r w:rsidRPr="00E2652F">
        <w:t xml:space="preserve">in 2010 </w:t>
      </w:r>
      <w:r w:rsidR="00F252EE" w:rsidRPr="00E2652F">
        <w:t>were estimated at 1</w:t>
      </w:r>
      <w:r w:rsidR="0021302D" w:rsidRPr="00E2652F">
        <w:t>,</w:t>
      </w:r>
      <w:r w:rsidR="00F252EE" w:rsidRPr="00E2652F">
        <w:t xml:space="preserve">960 </w:t>
      </w:r>
      <w:r w:rsidR="0021302D" w:rsidRPr="00E2652F">
        <w:t xml:space="preserve">metric </w:t>
      </w:r>
      <w:r w:rsidR="00F252EE" w:rsidRPr="00E2652F">
        <w:t xml:space="preserve">tons, while </w:t>
      </w:r>
      <w:r w:rsidRPr="00E2652F">
        <w:t xml:space="preserve">anthropogenic </w:t>
      </w:r>
      <w:r w:rsidR="00F252EE" w:rsidRPr="00E2652F">
        <w:t xml:space="preserve">releases to water </w:t>
      </w:r>
      <w:r w:rsidRPr="00E2652F">
        <w:t xml:space="preserve">were </w:t>
      </w:r>
      <w:r w:rsidR="00F252EE" w:rsidRPr="00E2652F">
        <w:t>at least 1</w:t>
      </w:r>
      <w:r w:rsidR="0021302D" w:rsidRPr="00E2652F">
        <w:t>,</w:t>
      </w:r>
      <w:r w:rsidR="00F252EE" w:rsidRPr="00E2652F">
        <w:t xml:space="preserve">000 </w:t>
      </w:r>
      <w:r w:rsidR="0021302D" w:rsidRPr="00E2652F">
        <w:t xml:space="preserve">metric </w:t>
      </w:r>
      <w:r w:rsidR="00F252EE" w:rsidRPr="00E2652F">
        <w:t>tons.</w:t>
      </w:r>
      <w:r w:rsidR="00E429A9" w:rsidRPr="00E2652F">
        <w:t xml:space="preserve"> </w:t>
      </w:r>
      <w:r w:rsidRPr="00E2652F">
        <w:t>C</w:t>
      </w:r>
      <w:r w:rsidR="00F252EE" w:rsidRPr="00E2652F">
        <w:t xml:space="preserve">ontaminated sites </w:t>
      </w:r>
      <w:r w:rsidRPr="00E2652F">
        <w:t xml:space="preserve">were estimated to </w:t>
      </w:r>
      <w:r w:rsidR="00F252EE" w:rsidRPr="00E2652F">
        <w:t>release 8</w:t>
      </w:r>
      <w:r w:rsidR="00B36853" w:rsidRPr="00E2652F">
        <w:t>–</w:t>
      </w:r>
      <w:r w:rsidR="00F252EE" w:rsidRPr="00E2652F">
        <w:t xml:space="preserve">33 </w:t>
      </w:r>
      <w:r w:rsidR="0021302D" w:rsidRPr="00E2652F">
        <w:t xml:space="preserve">metric </w:t>
      </w:r>
      <w:r w:rsidR="00F252EE" w:rsidRPr="00E2652F">
        <w:t>tons of mercury per year to water and 70</w:t>
      </w:r>
      <w:r w:rsidR="0021302D" w:rsidRPr="00E2652F">
        <w:t>–</w:t>
      </w:r>
      <w:r w:rsidR="00F252EE" w:rsidRPr="00E2652F">
        <w:t xml:space="preserve">95 </w:t>
      </w:r>
      <w:r w:rsidR="0021302D" w:rsidRPr="00E2652F">
        <w:t xml:space="preserve">metric </w:t>
      </w:r>
      <w:r w:rsidR="00F252EE" w:rsidRPr="00E2652F">
        <w:t xml:space="preserve">tons of mercury to air, therefore contributing a relatively small amount to the global total. Other studies (Kocman </w:t>
      </w:r>
      <w:r w:rsidR="00B36853" w:rsidRPr="00E2652F">
        <w:t>and others</w:t>
      </w:r>
      <w:r w:rsidR="00F252EE" w:rsidRPr="00E2652F">
        <w:t>, 2013) have found higher levels of releases</w:t>
      </w:r>
      <w:r w:rsidR="00E24347" w:rsidRPr="00E2652F">
        <w:t xml:space="preserve"> to water</w:t>
      </w:r>
      <w:r w:rsidR="00B36853" w:rsidRPr="00E2652F">
        <w:t>,</w:t>
      </w:r>
      <w:r w:rsidR="00F252EE" w:rsidRPr="00E2652F">
        <w:t xml:space="preserve"> estimated at 67</w:t>
      </w:r>
      <w:r w:rsidR="00E24347" w:rsidRPr="00E2652F">
        <w:t>–</w:t>
      </w:r>
      <w:r w:rsidR="00F252EE" w:rsidRPr="00E2652F">
        <w:t xml:space="preserve">165 </w:t>
      </w:r>
      <w:r w:rsidRPr="00E2652F">
        <w:t xml:space="preserve">metric </w:t>
      </w:r>
      <w:r w:rsidR="00F252EE" w:rsidRPr="00E2652F">
        <w:t xml:space="preserve">tons of mercury per year. </w:t>
      </w:r>
      <w:r w:rsidR="00E24347" w:rsidRPr="00E2652F">
        <w:t>These figures indicate that l</w:t>
      </w:r>
      <w:r w:rsidR="0021302D" w:rsidRPr="00E2652F">
        <w:t xml:space="preserve">ocal communities can have significant exposure to </w:t>
      </w:r>
      <w:r w:rsidR="00E24347" w:rsidRPr="00E2652F">
        <w:t xml:space="preserve">mercury from </w:t>
      </w:r>
      <w:r w:rsidR="0021302D" w:rsidRPr="00E2652F">
        <w:t>c</w:t>
      </w:r>
      <w:r w:rsidR="00F252EE" w:rsidRPr="00E2652F">
        <w:t xml:space="preserve">ontaminated sites. </w:t>
      </w:r>
    </w:p>
    <w:p w14:paraId="49367542" w14:textId="1E75BD24" w:rsidR="00F252EE" w:rsidRPr="00E2652F" w:rsidRDefault="00520198" w:rsidP="00F51980">
      <w:pPr>
        <w:pStyle w:val="CH2"/>
      </w:pPr>
      <w:r w:rsidRPr="00E2652F">
        <w:tab/>
      </w:r>
      <w:r w:rsidRPr="00E2652F">
        <w:tab/>
      </w:r>
      <w:bookmarkStart w:id="16" w:name="_Toc524355403"/>
      <w:r w:rsidR="00F252EE" w:rsidRPr="00E2652F">
        <w:t>Obligations under the Minamata Convention on Mercury</w:t>
      </w:r>
      <w:bookmarkEnd w:id="16"/>
    </w:p>
    <w:p w14:paraId="493D42F0" w14:textId="2AE029D2" w:rsidR="00F252EE" w:rsidRPr="00E2652F" w:rsidRDefault="00F252EE" w:rsidP="00F51980">
      <w:pPr>
        <w:pStyle w:val="Normalnumber"/>
        <w:numPr>
          <w:ilvl w:val="0"/>
          <w:numId w:val="12"/>
        </w:numPr>
        <w:ind w:left="1247" w:firstLine="0"/>
      </w:pPr>
      <w:r w:rsidRPr="00E2652F">
        <w:t>Article 12 of the Minamata Convention set</w:t>
      </w:r>
      <w:r w:rsidR="00E350C7" w:rsidRPr="00E2652F">
        <w:t>s</w:t>
      </w:r>
      <w:r w:rsidRPr="00E2652F">
        <w:t xml:space="preserve"> out the </w:t>
      </w:r>
      <w:r w:rsidR="007A4A1A" w:rsidRPr="00E2652F">
        <w:t xml:space="preserve">following </w:t>
      </w:r>
      <w:r w:rsidRPr="00E2652F">
        <w:t xml:space="preserve">obligations </w:t>
      </w:r>
      <w:r w:rsidR="007A4A1A" w:rsidRPr="00E2652F">
        <w:t>with regard to contaminated sites</w:t>
      </w:r>
      <w:r w:rsidRPr="00E2652F">
        <w:t xml:space="preserve">: </w:t>
      </w:r>
    </w:p>
    <w:p w14:paraId="4E3DC27C" w14:textId="77777777" w:rsidR="00F252EE" w:rsidRPr="00E2652F" w:rsidRDefault="00F252EE" w:rsidP="00F51980">
      <w:pPr>
        <w:pStyle w:val="Normalnumber"/>
        <w:numPr>
          <w:ilvl w:val="0"/>
          <w:numId w:val="11"/>
        </w:numPr>
        <w:ind w:left="2495" w:hanging="624"/>
      </w:pPr>
      <w:r w:rsidRPr="00E2652F">
        <w:t>Each Party shall endeavour to develop appropriate strategies for identifying and assessing sites contaminated by mercury or mercury compounds.</w:t>
      </w:r>
    </w:p>
    <w:p w14:paraId="325AEBF6" w14:textId="77777777" w:rsidR="00F252EE" w:rsidRPr="00E2652F" w:rsidRDefault="00F252EE" w:rsidP="00F51980">
      <w:pPr>
        <w:pStyle w:val="Normalnumber"/>
        <w:numPr>
          <w:ilvl w:val="0"/>
          <w:numId w:val="11"/>
        </w:numPr>
        <w:ind w:left="2495" w:hanging="624"/>
      </w:pPr>
      <w:r w:rsidRPr="00E2652F">
        <w:t xml:space="preserve">Any actions to reduce the risks posed by such sites shall be performed in an environmentally sound manner incorporating, where appropriate, an assessment of the risks to human health and the environment from the mercury or mercury compounds they contain. </w:t>
      </w:r>
    </w:p>
    <w:p w14:paraId="651AF8D5" w14:textId="77777777" w:rsidR="00F252EE" w:rsidRPr="00E2652F" w:rsidRDefault="00F252EE" w:rsidP="00F51980">
      <w:pPr>
        <w:pStyle w:val="Normalnumber"/>
        <w:numPr>
          <w:ilvl w:val="0"/>
          <w:numId w:val="11"/>
        </w:numPr>
        <w:ind w:left="2495" w:hanging="624"/>
      </w:pPr>
      <w:r w:rsidRPr="00E2652F">
        <w:t xml:space="preserve">The Conference of the Parties shall adopt guidance on managing contaminated sites that may include methods and approaches for: </w:t>
      </w:r>
    </w:p>
    <w:p w14:paraId="56C8F39F" w14:textId="74B11854" w:rsidR="00F252EE" w:rsidRPr="00E2652F" w:rsidRDefault="00F252EE" w:rsidP="00F51980">
      <w:pPr>
        <w:pStyle w:val="Normalnumber"/>
        <w:numPr>
          <w:ilvl w:val="1"/>
          <w:numId w:val="22"/>
        </w:numPr>
        <w:ind w:left="3119" w:hanging="624"/>
      </w:pPr>
      <w:r w:rsidRPr="00E2652F">
        <w:t>Site identification and characterization</w:t>
      </w:r>
    </w:p>
    <w:p w14:paraId="7636F858" w14:textId="48FF53D0" w:rsidR="00F252EE" w:rsidRPr="00E2652F" w:rsidRDefault="00F252EE" w:rsidP="00F51980">
      <w:pPr>
        <w:pStyle w:val="Normalnumber"/>
        <w:numPr>
          <w:ilvl w:val="1"/>
          <w:numId w:val="22"/>
        </w:numPr>
        <w:ind w:left="3119" w:hanging="624"/>
      </w:pPr>
      <w:r w:rsidRPr="00E2652F">
        <w:t>Engaging the public</w:t>
      </w:r>
    </w:p>
    <w:p w14:paraId="35E24327" w14:textId="063F31CD" w:rsidR="00F252EE" w:rsidRPr="00E2652F" w:rsidRDefault="00F252EE" w:rsidP="00F51980">
      <w:pPr>
        <w:pStyle w:val="Normalnumber"/>
        <w:numPr>
          <w:ilvl w:val="1"/>
          <w:numId w:val="22"/>
        </w:numPr>
        <w:ind w:left="3119" w:hanging="624"/>
      </w:pPr>
      <w:r w:rsidRPr="00E2652F">
        <w:t>Human health and environmental risk assessments</w:t>
      </w:r>
    </w:p>
    <w:p w14:paraId="4436FA52" w14:textId="416633C7" w:rsidR="00F252EE" w:rsidRPr="00E2652F" w:rsidRDefault="00F252EE" w:rsidP="00F51980">
      <w:pPr>
        <w:pStyle w:val="Normalnumber"/>
        <w:numPr>
          <w:ilvl w:val="1"/>
          <w:numId w:val="22"/>
        </w:numPr>
        <w:ind w:left="3119" w:hanging="624"/>
      </w:pPr>
      <w:r w:rsidRPr="00E2652F">
        <w:t>Options for managing the risks posed by contaminated sites</w:t>
      </w:r>
    </w:p>
    <w:p w14:paraId="0C2DFCC0" w14:textId="08DD3CE0" w:rsidR="00F252EE" w:rsidRPr="00E2652F" w:rsidRDefault="00F252EE" w:rsidP="00F51980">
      <w:pPr>
        <w:pStyle w:val="Normalnumber"/>
        <w:numPr>
          <w:ilvl w:val="1"/>
          <w:numId w:val="22"/>
        </w:numPr>
        <w:ind w:left="3119" w:hanging="624"/>
      </w:pPr>
      <w:r w:rsidRPr="00E2652F">
        <w:t>Evaluation of benefits and costs</w:t>
      </w:r>
      <w:r w:rsidR="00E350C7" w:rsidRPr="00E2652F">
        <w:t>,</w:t>
      </w:r>
      <w:r w:rsidRPr="00E2652F">
        <w:t xml:space="preserve"> and</w:t>
      </w:r>
    </w:p>
    <w:p w14:paraId="5B4606DF" w14:textId="46C67386" w:rsidR="00F252EE" w:rsidRPr="00E2652F" w:rsidRDefault="00F252EE" w:rsidP="00F51980">
      <w:pPr>
        <w:pStyle w:val="Normalnumber"/>
        <w:numPr>
          <w:ilvl w:val="1"/>
          <w:numId w:val="22"/>
        </w:numPr>
        <w:ind w:left="3119" w:hanging="624"/>
      </w:pPr>
      <w:r w:rsidRPr="00E2652F">
        <w:t>Validation of outcomes</w:t>
      </w:r>
      <w:r w:rsidR="00E350C7" w:rsidRPr="00E2652F">
        <w:t>.</w:t>
      </w:r>
    </w:p>
    <w:p w14:paraId="288290E6" w14:textId="2A752036" w:rsidR="00F252EE" w:rsidRPr="00E2652F" w:rsidRDefault="00F252EE" w:rsidP="00F51980">
      <w:pPr>
        <w:pStyle w:val="Normalnumber"/>
        <w:numPr>
          <w:ilvl w:val="0"/>
          <w:numId w:val="11"/>
        </w:numPr>
        <w:ind w:left="2495" w:hanging="624"/>
      </w:pPr>
      <w:r w:rsidRPr="00E2652F">
        <w:t xml:space="preserve">Parties are encouraged to cooperate in developing strategies and implementing activities for identifying, </w:t>
      </w:r>
      <w:r w:rsidR="00E350C7" w:rsidRPr="00E2652F">
        <w:t xml:space="preserve">assessing, </w:t>
      </w:r>
      <w:r w:rsidRPr="00E2652F">
        <w:t xml:space="preserve">prioritizing, managing and, as appropriate, remediating contaminated sites. </w:t>
      </w:r>
    </w:p>
    <w:p w14:paraId="21FD8A32" w14:textId="2C1611E6" w:rsidR="00F252EE" w:rsidRPr="00E2652F" w:rsidRDefault="00F252EE" w:rsidP="00F51980">
      <w:pPr>
        <w:pStyle w:val="Normalnumber"/>
        <w:numPr>
          <w:ilvl w:val="0"/>
          <w:numId w:val="12"/>
        </w:numPr>
        <w:ind w:left="1247" w:firstLine="0"/>
      </w:pPr>
      <w:r w:rsidRPr="00E2652F">
        <w:t xml:space="preserve">This guidance </w:t>
      </w:r>
      <w:r w:rsidR="00B7262D" w:rsidRPr="00E2652F">
        <w:t xml:space="preserve">has been </w:t>
      </w:r>
      <w:r w:rsidRPr="00E2652F">
        <w:t xml:space="preserve">developed </w:t>
      </w:r>
      <w:r w:rsidR="00B7262D" w:rsidRPr="00E2652F">
        <w:t xml:space="preserve">in accordance with </w:t>
      </w:r>
      <w:r w:rsidRPr="00E2652F">
        <w:t xml:space="preserve">paragraph 3 of </w:t>
      </w:r>
      <w:r w:rsidR="00D51E56" w:rsidRPr="00E2652F">
        <w:t>a</w:t>
      </w:r>
      <w:r w:rsidRPr="00E2652F">
        <w:t>rticle 12 of the Convention</w:t>
      </w:r>
      <w:r w:rsidR="00B7262D" w:rsidRPr="00E2652F">
        <w:t xml:space="preserve"> and is organized around</w:t>
      </w:r>
      <w:r w:rsidRPr="00E2652F">
        <w:t xml:space="preserve"> the main methods and approaches listed</w:t>
      </w:r>
      <w:r w:rsidR="00B7262D" w:rsidRPr="00E2652F">
        <w:t xml:space="preserve"> therein</w:t>
      </w:r>
      <w:r w:rsidRPr="00E2652F">
        <w:t>.</w:t>
      </w:r>
      <w:r w:rsidR="00E429A9" w:rsidRPr="00E2652F">
        <w:t xml:space="preserve"> </w:t>
      </w:r>
      <w:r w:rsidR="00B7262D" w:rsidRPr="00E2652F">
        <w:t>It also</w:t>
      </w:r>
      <w:r w:rsidRPr="00E2652F">
        <w:t xml:space="preserve"> references national policies in a number of countries.</w:t>
      </w:r>
      <w:r w:rsidR="00E429A9" w:rsidRPr="00E2652F">
        <w:t xml:space="preserve"> </w:t>
      </w:r>
    </w:p>
    <w:p w14:paraId="16AB6B2C" w14:textId="77777777" w:rsidR="00F252EE" w:rsidRPr="00E2652F" w:rsidRDefault="00F252EE" w:rsidP="00F51980">
      <w:pPr>
        <w:pStyle w:val="CH1"/>
      </w:pPr>
      <w:r w:rsidRPr="00E2652F">
        <w:tab/>
      </w:r>
      <w:bookmarkStart w:id="17" w:name="_Toc524355404"/>
      <w:r w:rsidRPr="00E2652F">
        <w:t>B.</w:t>
      </w:r>
      <w:r w:rsidRPr="00E2652F">
        <w:tab/>
        <w:t>Site identification and characterization</w:t>
      </w:r>
      <w:bookmarkEnd w:id="17"/>
    </w:p>
    <w:p w14:paraId="18325E70" w14:textId="5E8BB183" w:rsidR="0047033B" w:rsidRPr="00E2652F" w:rsidRDefault="00520198" w:rsidP="00F51980">
      <w:pPr>
        <w:pStyle w:val="CH2"/>
      </w:pPr>
      <w:r w:rsidRPr="00E2652F">
        <w:tab/>
      </w:r>
      <w:r w:rsidRPr="00E2652F">
        <w:tab/>
      </w:r>
      <w:bookmarkStart w:id="18" w:name="_Toc524355405"/>
      <w:r w:rsidR="0047033B" w:rsidRPr="00E2652F">
        <w:t>Site identification</w:t>
      </w:r>
      <w:bookmarkEnd w:id="18"/>
    </w:p>
    <w:p w14:paraId="7CD32E4E" w14:textId="39C2A871" w:rsidR="00F252EE" w:rsidRPr="00E2652F" w:rsidRDefault="00F252EE" w:rsidP="00F51980">
      <w:pPr>
        <w:pStyle w:val="Normalnumber"/>
        <w:numPr>
          <w:ilvl w:val="0"/>
          <w:numId w:val="12"/>
        </w:numPr>
        <w:ind w:left="1247" w:firstLine="0"/>
      </w:pPr>
      <w:r w:rsidRPr="00E2652F">
        <w:t xml:space="preserve">Paragraph 1 of </w:t>
      </w:r>
      <w:r w:rsidR="00D51E56" w:rsidRPr="00E2652F">
        <w:t>a</w:t>
      </w:r>
      <w:r w:rsidRPr="00E2652F">
        <w:t xml:space="preserve">rticle 12 obliges </w:t>
      </w:r>
      <w:r w:rsidR="001D2FB5" w:rsidRPr="00E2652F">
        <w:t>p</w:t>
      </w:r>
      <w:r w:rsidRPr="00E2652F">
        <w:t>arties to endeavour to develop appropriate strategies for identifying and assessing sites contaminated by mercury or mercury compounds.</w:t>
      </w:r>
      <w:r w:rsidR="00E429A9" w:rsidRPr="00E2652F">
        <w:t xml:space="preserve"> </w:t>
      </w:r>
      <w:r w:rsidRPr="00E2652F">
        <w:t xml:space="preserve">This language implies development of an approach that </w:t>
      </w:r>
      <w:r w:rsidR="0047033B" w:rsidRPr="00E2652F">
        <w:t>involves</w:t>
      </w:r>
      <w:r w:rsidRPr="00E2652F">
        <w:t xml:space="preserve"> a nation</w:t>
      </w:r>
      <w:r w:rsidR="0047033B" w:rsidRPr="00E2652F">
        <w:t>wide review</w:t>
      </w:r>
      <w:r w:rsidRPr="00E2652F">
        <w:t xml:space="preserve"> of the extent of each </w:t>
      </w:r>
      <w:r w:rsidR="001D2FB5" w:rsidRPr="00E2652F">
        <w:t>p</w:t>
      </w:r>
      <w:r w:rsidRPr="00E2652F">
        <w:t>arty’s contaminated site problem.</w:t>
      </w:r>
      <w:r w:rsidR="00E429A9" w:rsidRPr="00E2652F">
        <w:t xml:space="preserve"> </w:t>
      </w:r>
      <w:r w:rsidRPr="00E2652F">
        <w:t xml:space="preserve">This will in most cases </w:t>
      </w:r>
      <w:r w:rsidR="001A3DCD" w:rsidRPr="00E2652F">
        <w:t xml:space="preserve">mean </w:t>
      </w:r>
      <w:r w:rsidRPr="00E2652F">
        <w:t>start</w:t>
      </w:r>
      <w:r w:rsidR="001A3DCD" w:rsidRPr="00E2652F">
        <w:t>ing</w:t>
      </w:r>
      <w:r w:rsidRPr="00E2652F">
        <w:t xml:space="preserve"> by assembling information that identifies facilities that may have engaged in manufacturing likely to result in mercury releases.</w:t>
      </w:r>
      <w:r w:rsidR="00E429A9" w:rsidRPr="00E2652F">
        <w:t xml:space="preserve"> </w:t>
      </w:r>
      <w:r w:rsidRPr="00E2652F">
        <w:t>As noted above, th</w:t>
      </w:r>
      <w:r w:rsidR="001A3DCD" w:rsidRPr="00E2652F">
        <w:t>is</w:t>
      </w:r>
      <w:r w:rsidRPr="00E2652F">
        <w:t xml:space="preserve"> will include </w:t>
      </w:r>
      <w:r w:rsidR="001A3DCD" w:rsidRPr="00E2652F">
        <w:t xml:space="preserve">both actively used and abandoned sites of </w:t>
      </w:r>
      <w:r w:rsidRPr="00E2652F">
        <w:t xml:space="preserve">manufacturing that uses mercury or mercury compounds in its processes or products, ASGM operations, gold and other </w:t>
      </w:r>
      <w:r w:rsidR="00AB4DCF" w:rsidRPr="00E2652F">
        <w:br/>
      </w:r>
      <w:r w:rsidRPr="00E2652F">
        <w:t>non-ferrous metals mining</w:t>
      </w:r>
      <w:r w:rsidR="001A3DCD" w:rsidRPr="00E2652F">
        <w:t xml:space="preserve"> operations</w:t>
      </w:r>
      <w:r w:rsidRPr="00E2652F">
        <w:t xml:space="preserve"> and other</w:t>
      </w:r>
      <w:r w:rsidR="001A3DCD" w:rsidRPr="00E2652F">
        <w:t xml:space="preserve"> industrial operations</w:t>
      </w:r>
      <w:r w:rsidRPr="00E2652F">
        <w:t>.</w:t>
      </w:r>
      <w:r w:rsidR="00E429A9" w:rsidRPr="00E2652F">
        <w:t xml:space="preserve"> </w:t>
      </w:r>
      <w:r w:rsidR="001D2FB5" w:rsidRPr="00E2652F">
        <w:t>This</w:t>
      </w:r>
      <w:r w:rsidR="001A3DCD" w:rsidRPr="00E2652F">
        <w:t xml:space="preserve"> i</w:t>
      </w:r>
      <w:r w:rsidRPr="00E2652F">
        <w:t xml:space="preserve">nitial identification of sites and </w:t>
      </w:r>
      <w:r w:rsidR="001D2FB5" w:rsidRPr="00E2652F">
        <w:t xml:space="preserve">initial </w:t>
      </w:r>
      <w:r w:rsidRPr="00E2652F">
        <w:t xml:space="preserve">estimates of the magnitude of contamination and potential for mercury release and exposure </w:t>
      </w:r>
      <w:r w:rsidR="001D2FB5" w:rsidRPr="00E2652F">
        <w:t xml:space="preserve">of </w:t>
      </w:r>
      <w:r w:rsidRPr="00E2652F">
        <w:t>populations</w:t>
      </w:r>
      <w:r w:rsidR="001D2FB5" w:rsidRPr="00E2652F">
        <w:t xml:space="preserve"> will enable</w:t>
      </w:r>
      <w:r w:rsidRPr="00E2652F">
        <w:t xml:space="preserve"> nations to begin prioritizing their response to their contaminated sites</w:t>
      </w:r>
      <w:r w:rsidR="001A3DCD" w:rsidRPr="00E2652F">
        <w:t>.</w:t>
      </w:r>
    </w:p>
    <w:p w14:paraId="4CA45D79" w14:textId="1858731B" w:rsidR="00F252EE" w:rsidRPr="00E2652F" w:rsidRDefault="00F252EE" w:rsidP="00F51980">
      <w:pPr>
        <w:pStyle w:val="Normalnumber"/>
        <w:numPr>
          <w:ilvl w:val="0"/>
          <w:numId w:val="12"/>
        </w:numPr>
        <w:ind w:left="1247" w:firstLine="0"/>
      </w:pPr>
      <w:r w:rsidRPr="00E2652F">
        <w:t>A first step in developing a contaminated site evaluation and management programme is to clearly define what is meant by contaminated site. The term “contaminated sites” is not specifically defined in the Convention text.</w:t>
      </w:r>
      <w:r w:rsidR="00E429A9" w:rsidRPr="00E2652F">
        <w:t xml:space="preserve"> </w:t>
      </w:r>
      <w:r w:rsidRPr="00E2652F">
        <w:t>The Mediterranean Action Plan</w:t>
      </w:r>
      <w:r w:rsidR="005763B1" w:rsidRPr="00E2652F">
        <w:t xml:space="preserve"> guidelines on best environmental practices for environmentally sound management of mercury contaminated sites in the Mediterranean</w:t>
      </w:r>
      <w:r w:rsidRPr="00E2652F">
        <w:t xml:space="preserve"> (MAPUNEP, 2015) </w:t>
      </w:r>
      <w:r w:rsidR="005763B1" w:rsidRPr="00E2652F">
        <w:t xml:space="preserve">define a contaminated site as </w:t>
      </w:r>
      <w:r w:rsidRPr="00E2652F">
        <w:t>“a place where there is an accumulation of toxic substances or residues which may affect the soil, groundwater, sediments and, in the case of mercury, even air to levels that pose a risk to the environment or human health or be above the safe limits recommended for a specific use”</w:t>
      </w:r>
      <w:r w:rsidR="005763B1" w:rsidRPr="00E2652F">
        <w:t>.</w:t>
      </w:r>
      <w:r w:rsidR="00E429A9" w:rsidRPr="00E2652F">
        <w:t xml:space="preserve"> </w:t>
      </w:r>
      <w:r w:rsidRPr="00E2652F">
        <w:t xml:space="preserve">The </w:t>
      </w:r>
      <w:r w:rsidR="00EC2BA8" w:rsidRPr="00E2652F">
        <w:t xml:space="preserve">World Health Organization’s Regional Office for Europe </w:t>
      </w:r>
      <w:r w:rsidRPr="00E2652F">
        <w:t>define</w:t>
      </w:r>
      <w:r w:rsidR="00EC2BA8" w:rsidRPr="00E2652F">
        <w:t>s</w:t>
      </w:r>
      <w:r w:rsidRPr="00E2652F">
        <w:t xml:space="preserve"> contaminates sites as “</w:t>
      </w:r>
      <w:r w:rsidR="005763B1" w:rsidRPr="00E2652F">
        <w:t>a</w:t>
      </w:r>
      <w:r w:rsidRPr="00E2652F">
        <w:t xml:space="preserve">reas hosting or having hosted human activities which have produced or might produce environmental contamination of soil, surface or groundwater, air, food-chain, resulting or being able to result in human health impacts” </w:t>
      </w:r>
      <w:r w:rsidR="00EC2BA8" w:rsidRPr="00E2652F">
        <w:t xml:space="preserve">(WHO/EURO, 2013). </w:t>
      </w:r>
      <w:r w:rsidRPr="00E2652F">
        <w:t xml:space="preserve">Other definitions include the concept of sites where substances </w:t>
      </w:r>
      <w:r w:rsidR="00D82E64" w:rsidRPr="00E2652F">
        <w:t>occur at concentrations</w:t>
      </w:r>
      <w:r w:rsidRPr="00E2652F">
        <w:t xml:space="preserve"> above background levels and pose or are likely to pose an immediate or long</w:t>
      </w:r>
      <w:r w:rsidR="00EC2BA8" w:rsidRPr="00E2652F">
        <w:t>-</w:t>
      </w:r>
      <w:r w:rsidRPr="00E2652F">
        <w:t>term hazard to human health or the environment</w:t>
      </w:r>
      <w:r w:rsidR="00D82E64" w:rsidRPr="00E2652F">
        <w:t>,</w:t>
      </w:r>
      <w:r w:rsidRPr="00E2652F">
        <w:t xml:space="preserve"> or </w:t>
      </w:r>
      <w:r w:rsidR="00D82E64" w:rsidRPr="00E2652F">
        <w:t xml:space="preserve">where substances occur </w:t>
      </w:r>
      <w:r w:rsidRPr="00E2652F">
        <w:t xml:space="preserve">at </w:t>
      </w:r>
      <w:r w:rsidR="00D82E64" w:rsidRPr="00E2652F">
        <w:t xml:space="preserve">concentrations </w:t>
      </w:r>
      <w:r w:rsidRPr="00E2652F">
        <w:t>exceed</w:t>
      </w:r>
      <w:r w:rsidR="00D82E64" w:rsidRPr="00E2652F">
        <w:t>ing</w:t>
      </w:r>
      <w:r w:rsidRPr="00E2652F">
        <w:t xml:space="preserve"> levels specified in policies and regulations.</w:t>
      </w:r>
      <w:r w:rsidR="00E429A9" w:rsidRPr="00E2652F">
        <w:t xml:space="preserve"> </w:t>
      </w:r>
      <w:r w:rsidRPr="00E2652F">
        <w:t xml:space="preserve">As proposed land uses </w:t>
      </w:r>
      <w:r w:rsidR="00EC2BA8" w:rsidRPr="00E2652F">
        <w:t xml:space="preserve">can </w:t>
      </w:r>
      <w:r w:rsidRPr="00E2652F">
        <w:t>change rapidly, consideration may need to be given to a more generic definition. Some suggest the need to define what comprises a “site”</w:t>
      </w:r>
      <w:r w:rsidR="00EC2BA8" w:rsidRPr="00E2652F">
        <w:t>,</w:t>
      </w:r>
      <w:r w:rsidRPr="00E2652F">
        <w:t xml:space="preserve"> noting that a site may not necessarily be limited to a terrestrial form such as a field, </w:t>
      </w:r>
      <w:r w:rsidR="005E63BE" w:rsidRPr="00E2652F">
        <w:t xml:space="preserve">a </w:t>
      </w:r>
      <w:r w:rsidRPr="00E2652F">
        <w:t>forest or a hill, but can include aquatic environments such as streams, rivers, lakes, swamps, damp-lands, estuaries and bays in cases where mercury contamination flows into water areas</w:t>
      </w:r>
      <w:r w:rsidR="00EC2BA8" w:rsidRPr="00E2652F">
        <w:t xml:space="preserve"> from</w:t>
      </w:r>
      <w:r w:rsidRPr="00E2652F">
        <w:t>, for example</w:t>
      </w:r>
      <w:r w:rsidR="00EC2BA8" w:rsidRPr="00E2652F">
        <w:t>,</w:t>
      </w:r>
      <w:r w:rsidRPr="00E2652F">
        <w:t xml:space="preserve"> ASGM sites</w:t>
      </w:r>
      <w:r w:rsidR="00EC2BA8" w:rsidRPr="00E2652F">
        <w:t xml:space="preserve"> (IPEN, 2016)</w:t>
      </w:r>
      <w:r w:rsidRPr="00E2652F">
        <w:t>.</w:t>
      </w:r>
      <w:r w:rsidR="00E429A9" w:rsidRPr="00E2652F">
        <w:t xml:space="preserve"> </w:t>
      </w:r>
      <w:r w:rsidRPr="00E2652F">
        <w:t xml:space="preserve">As mercury is a naturally occurring element, </w:t>
      </w:r>
      <w:r w:rsidR="00056F50" w:rsidRPr="00E2652F">
        <w:t xml:space="preserve">there may be </w:t>
      </w:r>
      <w:r w:rsidRPr="00E2652F">
        <w:t xml:space="preserve">background levels of mercury </w:t>
      </w:r>
      <w:r w:rsidR="00056F50" w:rsidRPr="00E2652F">
        <w:t>that</w:t>
      </w:r>
      <w:r w:rsidRPr="00E2652F">
        <w:t xml:space="preserve"> need to be taken into consideration </w:t>
      </w:r>
      <w:r w:rsidR="00056F50" w:rsidRPr="00E2652F">
        <w:t>in site</w:t>
      </w:r>
      <w:r w:rsidRPr="00E2652F">
        <w:t xml:space="preserve"> characterization.</w:t>
      </w:r>
    </w:p>
    <w:p w14:paraId="58A2BD9A" w14:textId="7A8806C4" w:rsidR="00F252EE" w:rsidRPr="00E2652F" w:rsidRDefault="00FF1246" w:rsidP="00F51980">
      <w:pPr>
        <w:pStyle w:val="Normalnumber"/>
        <w:numPr>
          <w:ilvl w:val="0"/>
          <w:numId w:val="12"/>
        </w:numPr>
        <w:ind w:left="1247" w:firstLine="0"/>
      </w:pPr>
      <w:r w:rsidRPr="00E2652F">
        <w:t>There seem to be two approaches to identifying</w:t>
      </w:r>
      <w:r w:rsidR="00F252EE" w:rsidRPr="00E2652F">
        <w:t xml:space="preserve"> potential contaminated sites: an exhaustive approach and an individual approach. The exhaustive approach starts with the implementation of a nationwide review of historical land use and the creation of an initial list of potentially contaminated sites. </w:t>
      </w:r>
      <w:r w:rsidR="00056F50" w:rsidRPr="00E2652F">
        <w:t>T</w:t>
      </w:r>
      <w:r w:rsidR="00F252EE" w:rsidRPr="00E2652F">
        <w:t xml:space="preserve">he list is </w:t>
      </w:r>
      <w:r w:rsidR="00056F50" w:rsidRPr="00E2652F">
        <w:t xml:space="preserve">then </w:t>
      </w:r>
      <w:r w:rsidR="00F252EE" w:rsidRPr="00E2652F">
        <w:t xml:space="preserve">prioritized and the sites that require further investigation are identified. This approach </w:t>
      </w:r>
      <w:r w:rsidR="00056F50" w:rsidRPr="00E2652F">
        <w:t xml:space="preserve">can </w:t>
      </w:r>
      <w:r w:rsidR="00F252EE" w:rsidRPr="00E2652F">
        <w:t>be effective when developing a comprehensive national plan for countermeasures against mercury</w:t>
      </w:r>
      <w:r w:rsidR="00EC2BA8" w:rsidRPr="00E2652F">
        <w:t>-</w:t>
      </w:r>
      <w:r w:rsidR="00F252EE" w:rsidRPr="00E2652F">
        <w:t>contaminated sites. The individual approach is based on risk management</w:t>
      </w:r>
      <w:r w:rsidR="00AE6714" w:rsidRPr="00E2652F">
        <w:t>,</w:t>
      </w:r>
      <w:r w:rsidR="00F252EE" w:rsidRPr="00E2652F">
        <w:t xml:space="preserve"> and identifies sites that require further investigation through reviews of historical land use in cases where there is a risk of diffusing mercury contamination, such as when changing the character</w:t>
      </w:r>
      <w:r w:rsidR="00D82E64" w:rsidRPr="00E2652F">
        <w:t xml:space="preserve"> of the land</w:t>
      </w:r>
      <w:r w:rsidR="00F252EE" w:rsidRPr="00E2652F">
        <w:t xml:space="preserve">. This </w:t>
      </w:r>
      <w:r w:rsidR="00056F50" w:rsidRPr="00E2652F">
        <w:t xml:space="preserve">approach </w:t>
      </w:r>
      <w:r w:rsidR="00F252EE" w:rsidRPr="00E2652F">
        <w:t xml:space="preserve">is particularly effective and efficient </w:t>
      </w:r>
      <w:r w:rsidR="00056F50" w:rsidRPr="00E2652F">
        <w:t>when</w:t>
      </w:r>
      <w:r w:rsidR="00F252EE" w:rsidRPr="00E2652F">
        <w:t xml:space="preserve"> </w:t>
      </w:r>
      <w:r w:rsidR="00056F50" w:rsidRPr="00E2652F">
        <w:t xml:space="preserve">a country has performed some degree of </w:t>
      </w:r>
      <w:r w:rsidR="00F252EE" w:rsidRPr="00E2652F">
        <w:t>contaminated site</w:t>
      </w:r>
      <w:r w:rsidR="00056F50" w:rsidRPr="00E2652F">
        <w:t xml:space="preserve"> identification and applied </w:t>
      </w:r>
      <w:r w:rsidR="00F252EE" w:rsidRPr="00E2652F">
        <w:t xml:space="preserve">environmentally appropriate management measures. For example, </w:t>
      </w:r>
      <w:r w:rsidR="00056F50" w:rsidRPr="00E2652F">
        <w:t xml:space="preserve">as </w:t>
      </w:r>
      <w:r w:rsidR="00F252EE" w:rsidRPr="00E2652F">
        <w:t xml:space="preserve">contaminated sites such as </w:t>
      </w:r>
      <w:r w:rsidR="00056F50" w:rsidRPr="00E2652F">
        <w:t xml:space="preserve">properly managed </w:t>
      </w:r>
      <w:r w:rsidR="00F252EE" w:rsidRPr="00E2652F">
        <w:t xml:space="preserve">waste disposal sites </w:t>
      </w:r>
      <w:r w:rsidR="00AE6714" w:rsidRPr="00E2652F">
        <w:t>present</w:t>
      </w:r>
      <w:r w:rsidR="00F252EE" w:rsidRPr="00E2652F">
        <w:t xml:space="preserve"> no risk of contamination </w:t>
      </w:r>
      <w:r w:rsidR="00AE6714" w:rsidRPr="00E2652F">
        <w:t xml:space="preserve">being diffused </w:t>
      </w:r>
      <w:r w:rsidR="00F252EE" w:rsidRPr="00E2652F">
        <w:t xml:space="preserve">unless there is a need to change the land character, they do not </w:t>
      </w:r>
      <w:r w:rsidR="00AE6714" w:rsidRPr="00E2652F">
        <w:t xml:space="preserve">need </w:t>
      </w:r>
      <w:r w:rsidR="00F252EE" w:rsidRPr="00E2652F">
        <w:t>to be included in the targets for identification.</w:t>
      </w:r>
    </w:p>
    <w:p w14:paraId="7650A432" w14:textId="0F14144C" w:rsidR="00F252EE" w:rsidRPr="00E2652F" w:rsidRDefault="00AE6714" w:rsidP="00F51980">
      <w:pPr>
        <w:pStyle w:val="Normalnumber"/>
        <w:numPr>
          <w:ilvl w:val="0"/>
          <w:numId w:val="12"/>
        </w:numPr>
        <w:ind w:left="1247" w:firstLine="0"/>
      </w:pPr>
      <w:r w:rsidRPr="00E2652F">
        <w:t>A</w:t>
      </w:r>
      <w:r w:rsidR="00F252EE" w:rsidRPr="00E2652F">
        <w:t xml:space="preserve"> review of the historical land use is </w:t>
      </w:r>
      <w:r w:rsidRPr="00E2652F">
        <w:t xml:space="preserve">an </w:t>
      </w:r>
      <w:r w:rsidR="00F252EE" w:rsidRPr="00E2652F">
        <w:t xml:space="preserve">important </w:t>
      </w:r>
      <w:r w:rsidRPr="00E2652F">
        <w:t xml:space="preserve">aid in identifying potential contaminated sites </w:t>
      </w:r>
      <w:r w:rsidR="00F252EE" w:rsidRPr="00E2652F">
        <w:t>(</w:t>
      </w:r>
      <w:r w:rsidR="00843CAC" w:rsidRPr="00E2652F">
        <w:t>CCME</w:t>
      </w:r>
      <w:r w:rsidR="00F252EE" w:rsidRPr="00E2652F">
        <w:t>, 2016).</w:t>
      </w:r>
      <w:r w:rsidR="00E429A9" w:rsidRPr="00E2652F">
        <w:t xml:space="preserve"> </w:t>
      </w:r>
      <w:r w:rsidR="00F252EE" w:rsidRPr="00E2652F">
        <w:t xml:space="preserve">This can form the first </w:t>
      </w:r>
      <w:r w:rsidR="00843CAC" w:rsidRPr="00E2652F">
        <w:t xml:space="preserve">step in </w:t>
      </w:r>
      <w:r w:rsidR="00F252EE" w:rsidRPr="00E2652F">
        <w:t xml:space="preserve">identifying sites </w:t>
      </w:r>
      <w:r w:rsidR="00843CAC" w:rsidRPr="00E2652F">
        <w:t xml:space="preserve">that </w:t>
      </w:r>
      <w:r w:rsidR="00F252EE" w:rsidRPr="00E2652F">
        <w:t>may require further investigation.</w:t>
      </w:r>
      <w:r w:rsidR="00E429A9" w:rsidRPr="00E2652F">
        <w:t xml:space="preserve"> </w:t>
      </w:r>
      <w:r w:rsidR="00F252EE" w:rsidRPr="00E2652F">
        <w:t>Until contamination has been demonstrated through site investigations</w:t>
      </w:r>
      <w:r w:rsidR="00843CAC" w:rsidRPr="00E2652F">
        <w:t>,</w:t>
      </w:r>
      <w:r w:rsidR="00F252EE" w:rsidRPr="00E2652F">
        <w:t xml:space="preserve"> </w:t>
      </w:r>
      <w:r w:rsidR="00843CAC" w:rsidRPr="00E2652F">
        <w:t xml:space="preserve">such </w:t>
      </w:r>
      <w:r w:rsidR="00F252EE" w:rsidRPr="00E2652F">
        <w:t xml:space="preserve">sites </w:t>
      </w:r>
      <w:r w:rsidR="00843CAC" w:rsidRPr="00E2652F">
        <w:t xml:space="preserve">can </w:t>
      </w:r>
      <w:r w:rsidR="00F252EE" w:rsidRPr="00E2652F">
        <w:t xml:space="preserve">be referred to as </w:t>
      </w:r>
      <w:r w:rsidR="00843CAC" w:rsidRPr="00E2652F">
        <w:t>“</w:t>
      </w:r>
      <w:r w:rsidR="00F252EE" w:rsidRPr="00E2652F">
        <w:t>suspected</w:t>
      </w:r>
      <w:r w:rsidR="00843CAC" w:rsidRPr="00E2652F">
        <w:t>”</w:t>
      </w:r>
      <w:r w:rsidR="00F252EE" w:rsidRPr="00E2652F">
        <w:t xml:space="preserve"> contaminated sites.</w:t>
      </w:r>
      <w:r w:rsidR="00E429A9" w:rsidRPr="00E2652F">
        <w:t xml:space="preserve"> </w:t>
      </w:r>
      <w:r w:rsidR="00F252EE" w:rsidRPr="00E2652F">
        <w:t>In some jurisdictions</w:t>
      </w:r>
      <w:r w:rsidR="00843CAC" w:rsidRPr="00E2652F">
        <w:t>,</w:t>
      </w:r>
      <w:r w:rsidR="00F252EE" w:rsidRPr="00E2652F">
        <w:t xml:space="preserve"> all proven and suspected contaminated sites are incorporated into a</w:t>
      </w:r>
      <w:r w:rsidR="00771DA2" w:rsidRPr="00E2652F">
        <w:t>n online</w:t>
      </w:r>
      <w:r w:rsidR="00F252EE" w:rsidRPr="00E2652F">
        <w:t xml:space="preserve"> database. If the status of a site changes (</w:t>
      </w:r>
      <w:r w:rsidR="00562BF7" w:rsidRPr="00E2652F">
        <w:t>for example, it</w:t>
      </w:r>
      <w:r w:rsidR="00F252EE" w:rsidRPr="00E2652F">
        <w:t xml:space="preserve"> is demonstrated to be free of contamination</w:t>
      </w:r>
      <w:r w:rsidR="00843CAC" w:rsidRPr="00E2652F">
        <w:t>)</w:t>
      </w:r>
      <w:r w:rsidR="00F252EE" w:rsidRPr="00E2652F">
        <w:t xml:space="preserve">, this is </w:t>
      </w:r>
      <w:r w:rsidR="00843CAC" w:rsidRPr="00E2652F">
        <w:t>indicated i</w:t>
      </w:r>
      <w:r w:rsidR="00F252EE" w:rsidRPr="00E2652F">
        <w:t xml:space="preserve">n the </w:t>
      </w:r>
      <w:r w:rsidR="00843CAC" w:rsidRPr="00E2652F">
        <w:t>database</w:t>
      </w:r>
      <w:r w:rsidR="00F252EE" w:rsidRPr="00E2652F">
        <w:t xml:space="preserve">. </w:t>
      </w:r>
      <w:r w:rsidR="00D12084" w:rsidRPr="00E2652F">
        <w:t xml:space="preserve">There </w:t>
      </w:r>
      <w:r w:rsidR="00562BF7" w:rsidRPr="00E2652F">
        <w:t>are</w:t>
      </w:r>
      <w:r w:rsidR="00D12084" w:rsidRPr="00E2652F">
        <w:t xml:space="preserve"> a </w:t>
      </w:r>
      <w:r w:rsidR="00E44F6B" w:rsidRPr="00E2652F">
        <w:t xml:space="preserve">range of </w:t>
      </w:r>
      <w:r w:rsidR="00D12084" w:rsidRPr="00E2652F">
        <w:t xml:space="preserve">possible </w:t>
      </w:r>
      <w:r w:rsidR="00E44F6B" w:rsidRPr="00E2652F">
        <w:t>sources</w:t>
      </w:r>
      <w:r w:rsidR="00843CAC" w:rsidRPr="00E2652F">
        <w:t xml:space="preserve"> </w:t>
      </w:r>
      <w:r w:rsidR="00D12084" w:rsidRPr="00E2652F">
        <w:t>of</w:t>
      </w:r>
      <w:r w:rsidR="00F252EE" w:rsidRPr="00E2652F">
        <w:t xml:space="preserve"> site contaminat</w:t>
      </w:r>
      <w:r w:rsidR="00D12084" w:rsidRPr="00E2652F">
        <w:t>ion</w:t>
      </w:r>
      <w:r w:rsidR="00F252EE" w:rsidRPr="00E2652F">
        <w:t>, including mercury</w:t>
      </w:r>
      <w:r w:rsidR="00E44F6B" w:rsidRPr="00E2652F">
        <w:t xml:space="preserve"> storage</w:t>
      </w:r>
      <w:r w:rsidR="00F252EE" w:rsidRPr="00E2652F">
        <w:t>, manufactur</w:t>
      </w:r>
      <w:r w:rsidR="00E44F6B" w:rsidRPr="00E2652F">
        <w:t>ing</w:t>
      </w:r>
      <w:r w:rsidR="00F252EE" w:rsidRPr="00E2652F">
        <w:t xml:space="preserve"> of </w:t>
      </w:r>
      <w:r w:rsidR="00E2652F">
        <w:br/>
      </w:r>
      <w:r w:rsidR="00F252EE" w:rsidRPr="00E2652F">
        <w:t xml:space="preserve">mercury-added products, the use of mercury in manufacturing processes, mining activities (including </w:t>
      </w:r>
      <w:r w:rsidR="00843CAC" w:rsidRPr="00E2652F">
        <w:t>ASGM</w:t>
      </w:r>
      <w:r w:rsidR="00F252EE" w:rsidRPr="00E2652F">
        <w:t xml:space="preserve"> and industrial mining activities), point sources </w:t>
      </w:r>
      <w:r w:rsidR="004F3E7B" w:rsidRPr="00E2652F">
        <w:t xml:space="preserve">of </w:t>
      </w:r>
      <w:r w:rsidR="00F252EE" w:rsidRPr="00E2652F">
        <w:t>mercury</w:t>
      </w:r>
      <w:r w:rsidR="004F3E7B" w:rsidRPr="00E2652F">
        <w:t xml:space="preserve"> emissions</w:t>
      </w:r>
      <w:r w:rsidR="00F252EE" w:rsidRPr="00E2652F">
        <w:t xml:space="preserve">, and waste management. </w:t>
      </w:r>
      <w:r w:rsidR="00E44F6B" w:rsidRPr="00E2652F">
        <w:t>Sources such as</w:t>
      </w:r>
      <w:r w:rsidR="00F252EE" w:rsidRPr="00E2652F">
        <w:t xml:space="preserve"> the manufactur</w:t>
      </w:r>
      <w:r w:rsidR="00E44F6B" w:rsidRPr="00E2652F">
        <w:t>ing</w:t>
      </w:r>
      <w:r w:rsidR="00F252EE" w:rsidRPr="00E2652F">
        <w:t xml:space="preserve"> of mercury-added products, </w:t>
      </w:r>
      <w:r w:rsidR="00E44F6B" w:rsidRPr="00E2652F">
        <w:t xml:space="preserve">the use of </w:t>
      </w:r>
      <w:r w:rsidR="00D12084" w:rsidRPr="00E2652F">
        <w:t xml:space="preserve">mercury in </w:t>
      </w:r>
      <w:r w:rsidR="00F252EE" w:rsidRPr="00E2652F">
        <w:t xml:space="preserve">manufacturing processes and point sources </w:t>
      </w:r>
      <w:r w:rsidR="004F3E7B" w:rsidRPr="00E2652F">
        <w:t xml:space="preserve">of </w:t>
      </w:r>
      <w:r w:rsidR="00F252EE" w:rsidRPr="00E2652F">
        <w:t>mercury</w:t>
      </w:r>
      <w:r w:rsidR="004F3E7B" w:rsidRPr="00E2652F">
        <w:t xml:space="preserve"> emissions</w:t>
      </w:r>
      <w:r w:rsidR="00F252EE" w:rsidRPr="00E2652F">
        <w:t xml:space="preserve"> may include </w:t>
      </w:r>
      <w:r w:rsidR="00E44F6B" w:rsidRPr="00E2652F">
        <w:t xml:space="preserve">not only </w:t>
      </w:r>
      <w:r w:rsidR="00F252EE" w:rsidRPr="00E2652F">
        <w:t xml:space="preserve">activities cited in the annexes to the Minamata Convention but also additional activities not controlled under the Convention. It should be noted that </w:t>
      </w:r>
      <w:r w:rsidR="00E44F6B" w:rsidRPr="00E2652F">
        <w:t xml:space="preserve">while </w:t>
      </w:r>
      <w:r w:rsidR="00F252EE" w:rsidRPr="00E2652F">
        <w:t xml:space="preserve">there will be a primary contaminated site, there may also be associated </w:t>
      </w:r>
      <w:r w:rsidR="00E44F6B" w:rsidRPr="00E2652F">
        <w:t xml:space="preserve">secondary </w:t>
      </w:r>
      <w:r w:rsidR="00F252EE" w:rsidRPr="00E2652F">
        <w:t xml:space="preserve">sites </w:t>
      </w:r>
      <w:r w:rsidR="00E44F6B" w:rsidRPr="00E2652F">
        <w:t xml:space="preserve">with </w:t>
      </w:r>
      <w:r w:rsidR="00F252EE" w:rsidRPr="00E2652F">
        <w:t xml:space="preserve">contamination </w:t>
      </w:r>
      <w:r w:rsidR="00562BF7" w:rsidRPr="00E2652F">
        <w:t>because of</w:t>
      </w:r>
      <w:r w:rsidR="00F252EE" w:rsidRPr="00E2652F">
        <w:t xml:space="preserve"> run-off, leaching or migration from the primary site.</w:t>
      </w:r>
      <w:r w:rsidR="00E429A9" w:rsidRPr="00E2652F">
        <w:t xml:space="preserve"> </w:t>
      </w:r>
      <w:r w:rsidR="00F252EE" w:rsidRPr="00E2652F">
        <w:t>In some cases, particularly with run-off into wetlands or other sensitive ecosystems, contamination at the secondary site may consist mainly of methylmercury following bacterial transformation</w:t>
      </w:r>
      <w:r w:rsidR="00E44F6B" w:rsidRPr="00E2652F">
        <w:t>,</w:t>
      </w:r>
      <w:r w:rsidR="00F252EE" w:rsidRPr="00E2652F">
        <w:t xml:space="preserve"> or of other forms of mercury such as mercury sulphide</w:t>
      </w:r>
      <w:r w:rsidR="00E44F6B" w:rsidRPr="00E2652F">
        <w:t>,</w:t>
      </w:r>
      <w:r w:rsidR="00F252EE" w:rsidRPr="00E2652F">
        <w:t xml:space="preserve"> which may be generated through the sul</w:t>
      </w:r>
      <w:r w:rsidR="00E44F6B" w:rsidRPr="00E2652F">
        <w:t>ph</w:t>
      </w:r>
      <w:r w:rsidR="00F252EE" w:rsidRPr="00E2652F">
        <w:t xml:space="preserve">urization of mercury by sulphur content in the soil. In many countries, there may be limited knowledge of the historical uses of sites, particularly </w:t>
      </w:r>
      <w:r w:rsidR="00D12084" w:rsidRPr="00E2652F">
        <w:t>for</w:t>
      </w:r>
      <w:r w:rsidR="00F252EE" w:rsidRPr="00E2652F">
        <w:t xml:space="preserve"> sites where artisanal activities have been undertaken.</w:t>
      </w:r>
      <w:r w:rsidR="00E429A9" w:rsidRPr="00E2652F">
        <w:t xml:space="preserve"> </w:t>
      </w:r>
      <w:r w:rsidR="00F252EE" w:rsidRPr="00E2652F">
        <w:t xml:space="preserve">Where possible, information on potential contaminated sites should be maintained in a database. </w:t>
      </w:r>
    </w:p>
    <w:p w14:paraId="0EB7F78C" w14:textId="4653E97C" w:rsidR="00F252EE" w:rsidRPr="00E2652F" w:rsidRDefault="00F252EE" w:rsidP="00F51980">
      <w:pPr>
        <w:pStyle w:val="Normalnumber"/>
        <w:numPr>
          <w:ilvl w:val="0"/>
          <w:numId w:val="12"/>
        </w:numPr>
        <w:ind w:left="1247" w:firstLine="0"/>
      </w:pPr>
      <w:r w:rsidRPr="00E2652F">
        <w:t xml:space="preserve">In the case of </w:t>
      </w:r>
      <w:r w:rsidR="0075418E" w:rsidRPr="00E2652F">
        <w:t>ASGM</w:t>
      </w:r>
      <w:r w:rsidRPr="00E2652F">
        <w:t xml:space="preserve">, identification of sites </w:t>
      </w:r>
      <w:r w:rsidR="00D12084" w:rsidRPr="00E2652F">
        <w:t xml:space="preserve">can </w:t>
      </w:r>
      <w:r w:rsidRPr="00E2652F">
        <w:t xml:space="preserve">be particularly problematic </w:t>
      </w:r>
      <w:r w:rsidR="00562BF7" w:rsidRPr="00E2652F">
        <w:t>owing</w:t>
      </w:r>
      <w:r w:rsidRPr="00E2652F">
        <w:t xml:space="preserve"> to the number of potentially contaminated sites, the informal (</w:t>
      </w:r>
      <w:r w:rsidR="0075418E" w:rsidRPr="00E2652F">
        <w:t>and</w:t>
      </w:r>
      <w:r w:rsidRPr="00E2652F">
        <w:t xml:space="preserve"> sometimes illegal) nature of the activity and the lack of formal records.</w:t>
      </w:r>
      <w:r w:rsidR="00E429A9" w:rsidRPr="00E2652F">
        <w:t xml:space="preserve"> </w:t>
      </w:r>
      <w:r w:rsidRPr="00E2652F">
        <w:t xml:space="preserve">It may be necessary to identify a cluster or region of sites </w:t>
      </w:r>
      <w:r w:rsidR="0075418E" w:rsidRPr="00E2652F">
        <w:t>that cou</w:t>
      </w:r>
      <w:r w:rsidR="00D12084" w:rsidRPr="00E2652F">
        <w:t>l</w:t>
      </w:r>
      <w:r w:rsidR="0075418E" w:rsidRPr="00E2652F">
        <w:t xml:space="preserve">d </w:t>
      </w:r>
      <w:r w:rsidRPr="00E2652F">
        <w:t xml:space="preserve">be affected by artisanal mining and then work within that area to identify individual sites of concern. </w:t>
      </w:r>
    </w:p>
    <w:p w14:paraId="42A06032" w14:textId="03CEC050" w:rsidR="00F252EE" w:rsidRPr="00E2652F" w:rsidRDefault="00607EAD" w:rsidP="00F51980">
      <w:pPr>
        <w:pStyle w:val="Normalnumber"/>
        <w:numPr>
          <w:ilvl w:val="0"/>
          <w:numId w:val="12"/>
        </w:numPr>
        <w:ind w:left="1247" w:firstLine="0"/>
      </w:pPr>
      <w:r w:rsidRPr="00E2652F">
        <w:t>T</w:t>
      </w:r>
      <w:r w:rsidR="00F252EE" w:rsidRPr="00E2652F">
        <w:t>o develop a preliminary national inventory of suspected or potential contaminated sites, government agencies can pool records of current and historical activities or land</w:t>
      </w:r>
      <w:r w:rsidRPr="00E2652F">
        <w:t xml:space="preserve"> </w:t>
      </w:r>
      <w:r w:rsidR="00F252EE" w:rsidRPr="00E2652F">
        <w:t xml:space="preserve">uses such as those </w:t>
      </w:r>
      <w:r w:rsidRPr="00E2652F">
        <w:t xml:space="preserve">mentioned </w:t>
      </w:r>
      <w:r w:rsidR="00F252EE" w:rsidRPr="00E2652F">
        <w:t>above to form the basis for further investigation. In some jurisdictions</w:t>
      </w:r>
      <w:r w:rsidRPr="00E2652F">
        <w:t>,</w:t>
      </w:r>
      <w:r w:rsidR="00F252EE" w:rsidRPr="00E2652F">
        <w:t xml:space="preserve"> government agencies, businesses and private landowners are required by law</w:t>
      </w:r>
      <w:r w:rsidR="00F252EE" w:rsidRPr="00E2652F">
        <w:rPr>
          <w:rStyle w:val="FootnoteReference"/>
        </w:rPr>
        <w:footnoteReference w:id="2"/>
      </w:r>
      <w:r w:rsidR="00F252EE" w:rsidRPr="00E2652F">
        <w:t xml:space="preserve"> to notify </w:t>
      </w:r>
      <w:r w:rsidRPr="00E2652F">
        <w:t xml:space="preserve">the </w:t>
      </w:r>
      <w:r w:rsidR="00F252EE" w:rsidRPr="00E2652F">
        <w:t xml:space="preserve">competent environmental authorities if they hold land </w:t>
      </w:r>
      <w:r w:rsidRPr="00E2652F">
        <w:t xml:space="preserve">that </w:t>
      </w:r>
      <w:r w:rsidR="00F252EE" w:rsidRPr="00E2652F">
        <w:t>is suspected or known to be contaminated</w:t>
      </w:r>
      <w:r w:rsidRPr="00E2652F">
        <w:t xml:space="preserve">, failing which they </w:t>
      </w:r>
      <w:r w:rsidR="00F252EE" w:rsidRPr="00E2652F">
        <w:t>face financial penalties.</w:t>
      </w:r>
    </w:p>
    <w:p w14:paraId="4B2748BC" w14:textId="7BA2D951" w:rsidR="00F252EE" w:rsidRPr="00E2652F" w:rsidRDefault="00607EAD" w:rsidP="00F51980">
      <w:pPr>
        <w:pStyle w:val="Normalnumber"/>
        <w:numPr>
          <w:ilvl w:val="0"/>
          <w:numId w:val="12"/>
        </w:numPr>
        <w:ind w:left="1247" w:firstLine="0"/>
      </w:pPr>
      <w:r w:rsidRPr="00E2652F">
        <w:t>In many cases, s</w:t>
      </w:r>
      <w:r w:rsidR="00F252EE" w:rsidRPr="00E2652F">
        <w:t xml:space="preserve">uspected contaminated sites </w:t>
      </w:r>
      <w:r w:rsidRPr="00E2652F">
        <w:t>can</w:t>
      </w:r>
      <w:r w:rsidR="00F252EE" w:rsidRPr="00E2652F">
        <w:t xml:space="preserve"> be initially identified by the following means (</w:t>
      </w:r>
      <w:r w:rsidR="007260E0" w:rsidRPr="00E2652F">
        <w:t>UNEP</w:t>
      </w:r>
      <w:r w:rsidRPr="00E2652F">
        <w:t>,</w:t>
      </w:r>
      <w:r w:rsidR="00F252EE" w:rsidRPr="00E2652F">
        <w:t xml:space="preserve"> 2015):</w:t>
      </w:r>
      <w:r w:rsidR="00E143D1" w:rsidRPr="00E2652F">
        <w:t xml:space="preserve"> </w:t>
      </w:r>
    </w:p>
    <w:p w14:paraId="02DF2BFD" w14:textId="69C50808" w:rsidR="00E143D1" w:rsidRPr="00E2652F" w:rsidRDefault="00E143D1" w:rsidP="00F51980">
      <w:pPr>
        <w:pStyle w:val="Normalnumber"/>
        <w:numPr>
          <w:ilvl w:val="1"/>
          <w:numId w:val="12"/>
        </w:numPr>
        <w:ind w:left="2495" w:hanging="624"/>
      </w:pPr>
      <w:r w:rsidRPr="00E2652F">
        <w:t xml:space="preserve">Records identifying past industrial or other activities at the site </w:t>
      </w:r>
    </w:p>
    <w:p w14:paraId="3D1E418B" w14:textId="3177EC44" w:rsidR="00F252EE" w:rsidRPr="00E2652F" w:rsidRDefault="00F252EE" w:rsidP="00F51980">
      <w:pPr>
        <w:pStyle w:val="Normalnumber"/>
        <w:numPr>
          <w:ilvl w:val="1"/>
          <w:numId w:val="12"/>
        </w:numPr>
        <w:ind w:left="2495" w:hanging="624"/>
      </w:pPr>
      <w:r w:rsidRPr="00E2652F">
        <w:t>Visual observation of the site conditions or attendant contaminant sources</w:t>
      </w:r>
    </w:p>
    <w:p w14:paraId="4CC544E4" w14:textId="3CD30112" w:rsidR="00F252EE" w:rsidRPr="00E2652F" w:rsidRDefault="00F252EE" w:rsidP="00F51980">
      <w:pPr>
        <w:pStyle w:val="Normalnumber"/>
        <w:numPr>
          <w:ilvl w:val="1"/>
          <w:numId w:val="12"/>
        </w:numPr>
        <w:ind w:left="2495" w:hanging="624"/>
      </w:pPr>
      <w:r w:rsidRPr="00E2652F">
        <w:t>Visual observation of manufacturing or other operations known to have used or emitted a particularly hazardous contaminant</w:t>
      </w:r>
      <w:r w:rsidR="00E143D1" w:rsidRPr="00E2652F">
        <w:t xml:space="preserve"> </w:t>
      </w:r>
    </w:p>
    <w:p w14:paraId="46F0BF09" w14:textId="1D104D9D" w:rsidR="00F252EE" w:rsidRPr="00E2652F" w:rsidRDefault="00F252EE" w:rsidP="00F51980">
      <w:pPr>
        <w:pStyle w:val="Normalnumber"/>
        <w:numPr>
          <w:ilvl w:val="1"/>
          <w:numId w:val="12"/>
        </w:numPr>
        <w:ind w:left="2495" w:hanging="624"/>
      </w:pPr>
      <w:r w:rsidRPr="00E2652F">
        <w:t>Observed adverse effects in humans, flora or fauna possibly caused by the</w:t>
      </w:r>
      <w:r w:rsidR="00E143D1" w:rsidRPr="00E2652F">
        <w:t>ir</w:t>
      </w:r>
      <w:r w:rsidRPr="00E2652F">
        <w:t xml:space="preserve"> proximity to the site</w:t>
      </w:r>
    </w:p>
    <w:p w14:paraId="1CDD9ECD" w14:textId="157E36E3" w:rsidR="00F252EE" w:rsidRPr="00E2652F" w:rsidRDefault="00F252EE" w:rsidP="00F51980">
      <w:pPr>
        <w:pStyle w:val="Normalnumber"/>
        <w:numPr>
          <w:ilvl w:val="1"/>
          <w:numId w:val="12"/>
        </w:numPr>
        <w:ind w:left="2495" w:hanging="624"/>
      </w:pPr>
      <w:r w:rsidRPr="00E2652F">
        <w:t>Physical or analytical results showing contaminant levels</w:t>
      </w:r>
    </w:p>
    <w:p w14:paraId="1A6E102E" w14:textId="173BED41" w:rsidR="00F252EE" w:rsidRPr="00E2652F" w:rsidRDefault="00E143D1" w:rsidP="00F51980">
      <w:pPr>
        <w:pStyle w:val="Normalnumber"/>
        <w:numPr>
          <w:ilvl w:val="1"/>
          <w:numId w:val="12"/>
        </w:numPr>
        <w:ind w:left="2495" w:hanging="624"/>
      </w:pPr>
      <w:r w:rsidRPr="00E2652F">
        <w:t>Community r</w:t>
      </w:r>
      <w:r w:rsidR="00F252EE" w:rsidRPr="00E2652F">
        <w:t xml:space="preserve">eports to the authorities </w:t>
      </w:r>
      <w:r w:rsidRPr="00E2652F">
        <w:t xml:space="preserve">regarding </w:t>
      </w:r>
      <w:r w:rsidR="00F252EE" w:rsidRPr="00E2652F">
        <w:t>suspected releases</w:t>
      </w:r>
    </w:p>
    <w:p w14:paraId="73EDEBE0" w14:textId="003EED2E" w:rsidR="0047033B" w:rsidRPr="00E2652F" w:rsidRDefault="00520198" w:rsidP="00F51980">
      <w:pPr>
        <w:pStyle w:val="CH2"/>
      </w:pPr>
      <w:r w:rsidRPr="00E2652F">
        <w:tab/>
      </w:r>
      <w:r w:rsidRPr="00E2652F">
        <w:tab/>
      </w:r>
      <w:bookmarkStart w:id="19" w:name="_Toc524355406"/>
      <w:r w:rsidR="0047033B" w:rsidRPr="00E2652F">
        <w:t>Site characterization</w:t>
      </w:r>
      <w:bookmarkEnd w:id="19"/>
    </w:p>
    <w:p w14:paraId="74BDD316" w14:textId="70FE1E1D" w:rsidR="00A460F4" w:rsidRPr="00E2652F" w:rsidRDefault="00A460F4" w:rsidP="00F51980">
      <w:pPr>
        <w:pStyle w:val="Normalnumber"/>
        <w:numPr>
          <w:ilvl w:val="0"/>
          <w:numId w:val="12"/>
        </w:numPr>
        <w:ind w:left="1247" w:firstLine="0"/>
      </w:pPr>
      <w:r w:rsidRPr="00E2652F">
        <w:t xml:space="preserve">Once potential contaminated sites have been identified, steps should be taken to further investigate the sites </w:t>
      </w:r>
      <w:r w:rsidR="00562BF7" w:rsidRPr="00E2652F">
        <w:t xml:space="preserve">that pose the greatest risk (because </w:t>
      </w:r>
      <w:r w:rsidRPr="00E2652F">
        <w:t xml:space="preserve">of factors such as location and environmental issues) to determine the contamination </w:t>
      </w:r>
      <w:r w:rsidR="00562BF7" w:rsidRPr="00E2652F">
        <w:t xml:space="preserve">levels </w:t>
      </w:r>
      <w:r w:rsidRPr="00E2652F">
        <w:t xml:space="preserve">of and key risks posed by individual sites. </w:t>
      </w:r>
    </w:p>
    <w:p w14:paraId="0B6F61BF" w14:textId="6FBD5B98" w:rsidR="00F252EE" w:rsidRPr="00E2652F" w:rsidRDefault="00F252EE" w:rsidP="00F51980">
      <w:pPr>
        <w:pStyle w:val="Normalnumber"/>
        <w:numPr>
          <w:ilvl w:val="0"/>
          <w:numId w:val="12"/>
        </w:numPr>
        <w:ind w:left="1247" w:firstLine="0"/>
      </w:pPr>
      <w:r w:rsidRPr="00E2652F">
        <w:t>The development of a conceptual site model for the site can be a useful step.</w:t>
      </w:r>
      <w:r w:rsidR="00E429A9" w:rsidRPr="00E2652F">
        <w:t xml:space="preserve"> </w:t>
      </w:r>
      <w:r w:rsidRPr="00E2652F">
        <w:t xml:space="preserve">A conceptual site model is a visual representation and narrative description of the physical, chemical and biological processes occurring, or that have occurred, at a site. It should tell the story of how the site became contaminated, the extent of contamination, what media are contaminated, how the contamination was and is transported, where the contamination will ultimately end up and </w:t>
      </w:r>
      <w:r w:rsidR="00D12084" w:rsidRPr="00E2652F">
        <w:t xml:space="preserve">the </w:t>
      </w:r>
      <w:r w:rsidRPr="00E2652F">
        <w:t>population and ecosystems it may affect (</w:t>
      </w:r>
      <w:r w:rsidR="00D12084" w:rsidRPr="00E2652F">
        <w:t>CCME</w:t>
      </w:r>
      <w:r w:rsidRPr="00E2652F">
        <w:t>, 2016</w:t>
      </w:r>
      <w:r w:rsidR="00C352CD" w:rsidRPr="00E2652F">
        <w:t>).</w:t>
      </w:r>
      <w:r w:rsidRPr="00E2652F">
        <w:rPr>
          <w:rStyle w:val="FootnoteReference"/>
        </w:rPr>
        <w:footnoteReference w:id="3"/>
      </w:r>
      <w:r w:rsidRPr="00E2652F">
        <w:t xml:space="preserve"> Consideration should be given to the </w:t>
      </w:r>
      <w:r w:rsidR="002A38C5" w:rsidRPr="00E2652F">
        <w:t xml:space="preserve">chemical </w:t>
      </w:r>
      <w:r w:rsidRPr="00E2652F">
        <w:t xml:space="preserve">specificity of mercury in such a model, as well as other pollutants </w:t>
      </w:r>
      <w:r w:rsidR="00C352CD" w:rsidRPr="00E2652F">
        <w:t xml:space="preserve">that </w:t>
      </w:r>
      <w:r w:rsidRPr="00E2652F">
        <w:t>may be present.</w:t>
      </w:r>
      <w:r w:rsidR="00E429A9" w:rsidRPr="00E2652F">
        <w:t xml:space="preserve"> </w:t>
      </w:r>
      <w:r w:rsidRPr="00E2652F">
        <w:t xml:space="preserve">Other factors </w:t>
      </w:r>
      <w:r w:rsidR="00C352CD" w:rsidRPr="00E2652F">
        <w:t xml:space="preserve">that </w:t>
      </w:r>
      <w:r w:rsidRPr="00E2652F">
        <w:t xml:space="preserve">could be included are the </w:t>
      </w:r>
      <w:r w:rsidR="00482C5F" w:rsidRPr="00E2652F">
        <w:t xml:space="preserve">ways that </w:t>
      </w:r>
      <w:r w:rsidRPr="00E2652F">
        <w:t>human</w:t>
      </w:r>
      <w:r w:rsidR="00482C5F" w:rsidRPr="00E2652F">
        <w:t>s</w:t>
      </w:r>
      <w:r w:rsidRPr="00E2652F">
        <w:t xml:space="preserve"> interact with a contaminated site, </w:t>
      </w:r>
      <w:r w:rsidR="005034E9" w:rsidRPr="00E2652F">
        <w:t xml:space="preserve">ranging from </w:t>
      </w:r>
      <w:r w:rsidRPr="00E2652F">
        <w:t xml:space="preserve">high frequency use, such as </w:t>
      </w:r>
      <w:r w:rsidR="00482C5F" w:rsidRPr="00E2652F">
        <w:t xml:space="preserve">in </w:t>
      </w:r>
      <w:r w:rsidRPr="00E2652F">
        <w:t xml:space="preserve">residential </w:t>
      </w:r>
      <w:r w:rsidR="00482C5F" w:rsidRPr="00E2652F">
        <w:t>areas</w:t>
      </w:r>
      <w:r w:rsidRPr="00E2652F">
        <w:t xml:space="preserve">, to lower frequency </w:t>
      </w:r>
      <w:r w:rsidR="00482C5F" w:rsidRPr="00E2652F">
        <w:t xml:space="preserve">use, </w:t>
      </w:r>
      <w:r w:rsidRPr="00E2652F">
        <w:t xml:space="preserve">such as </w:t>
      </w:r>
      <w:r w:rsidR="00482C5F" w:rsidRPr="00E2652F">
        <w:t xml:space="preserve">in </w:t>
      </w:r>
      <w:r w:rsidRPr="00E2652F">
        <w:t>recreational areas.</w:t>
      </w:r>
      <w:r w:rsidR="00E429A9" w:rsidRPr="00E2652F">
        <w:t xml:space="preserve"> </w:t>
      </w:r>
      <w:r w:rsidRPr="00E2652F">
        <w:t>The use</w:t>
      </w:r>
      <w:r w:rsidR="005034E9" w:rsidRPr="00E2652F">
        <w:t>s</w:t>
      </w:r>
      <w:r w:rsidRPr="00E2652F">
        <w:t xml:space="preserve"> of groundwater from the area may also be important</w:t>
      </w:r>
      <w:r w:rsidR="005034E9" w:rsidRPr="00E2652F">
        <w:t xml:space="preserve">, and whether they are </w:t>
      </w:r>
      <w:r w:rsidRPr="00E2652F">
        <w:t xml:space="preserve">potable </w:t>
      </w:r>
      <w:r w:rsidR="005034E9" w:rsidRPr="00E2652F">
        <w:t xml:space="preserve">or </w:t>
      </w:r>
      <w:r w:rsidRPr="00E2652F">
        <w:t xml:space="preserve">non-potable uses. The conceptual </w:t>
      </w:r>
      <w:r w:rsidR="00482C5F" w:rsidRPr="00E2652F">
        <w:t xml:space="preserve">site </w:t>
      </w:r>
      <w:r w:rsidRPr="00E2652F">
        <w:t xml:space="preserve">model should be updated as </w:t>
      </w:r>
      <w:r w:rsidR="005034E9" w:rsidRPr="00E2652F">
        <w:t xml:space="preserve">new </w:t>
      </w:r>
      <w:r w:rsidRPr="00E2652F">
        <w:t xml:space="preserve">information becomes available. The steps </w:t>
      </w:r>
      <w:r w:rsidR="00482C5F" w:rsidRPr="00E2652F">
        <w:t xml:space="preserve">involved </w:t>
      </w:r>
      <w:r w:rsidRPr="00E2652F">
        <w:t xml:space="preserve">in developing a conceptual site model for each site </w:t>
      </w:r>
      <w:r w:rsidR="00482C5F" w:rsidRPr="00E2652F">
        <w:t xml:space="preserve">could </w:t>
      </w:r>
      <w:r w:rsidRPr="00E2652F">
        <w:t xml:space="preserve">be useful </w:t>
      </w:r>
      <w:r w:rsidR="00482C5F" w:rsidRPr="00E2652F">
        <w:t xml:space="preserve">for setting </w:t>
      </w:r>
      <w:r w:rsidRPr="00E2652F">
        <w:t>priorities for further investigation of particular sites</w:t>
      </w:r>
      <w:r w:rsidR="005034E9" w:rsidRPr="00E2652F">
        <w:t>. Prioritization</w:t>
      </w:r>
      <w:r w:rsidRPr="00E2652F">
        <w:t xml:space="preserve"> </w:t>
      </w:r>
      <w:r w:rsidR="00482C5F" w:rsidRPr="00E2652F">
        <w:t xml:space="preserve">could </w:t>
      </w:r>
      <w:r w:rsidRPr="00E2652F">
        <w:t xml:space="preserve">be based on </w:t>
      </w:r>
      <w:r w:rsidR="00482C5F" w:rsidRPr="00E2652F">
        <w:t xml:space="preserve">not only </w:t>
      </w:r>
      <w:r w:rsidRPr="00E2652F">
        <w:t xml:space="preserve">sites where mercury levels </w:t>
      </w:r>
      <w:r w:rsidR="00482C5F" w:rsidRPr="00E2652F">
        <w:t xml:space="preserve">are expected to </w:t>
      </w:r>
      <w:r w:rsidRPr="00E2652F">
        <w:t xml:space="preserve">be the highest but also sites </w:t>
      </w:r>
      <w:r w:rsidR="00482C5F" w:rsidRPr="00E2652F">
        <w:t xml:space="preserve">that </w:t>
      </w:r>
      <w:r w:rsidR="005034E9" w:rsidRPr="00E2652F">
        <w:t>might</w:t>
      </w:r>
      <w:r w:rsidRPr="00E2652F">
        <w:t xml:space="preserve"> have the greatest impact on ecosystems or populations. </w:t>
      </w:r>
    </w:p>
    <w:p w14:paraId="4B05963B" w14:textId="292534B9" w:rsidR="00F252EE" w:rsidRPr="00E2652F" w:rsidRDefault="00482C5F" w:rsidP="00F51980">
      <w:pPr>
        <w:pStyle w:val="Normalnumber"/>
        <w:numPr>
          <w:ilvl w:val="0"/>
          <w:numId w:val="12"/>
        </w:numPr>
        <w:ind w:left="1247" w:firstLine="0"/>
      </w:pPr>
      <w:r w:rsidRPr="00E2652F">
        <w:t>The p</w:t>
      </w:r>
      <w:r w:rsidR="00F252EE" w:rsidRPr="00E2652F">
        <w:t>otentially contaminated sites identified can be further characterized through assessment protocols for both screening level</w:t>
      </w:r>
      <w:r w:rsidR="00F776A0" w:rsidRPr="00E2652F">
        <w:t xml:space="preserve"> assessments</w:t>
      </w:r>
      <w:r w:rsidR="00F252EE" w:rsidRPr="00E2652F">
        <w:rPr>
          <w:rStyle w:val="FootnoteReference"/>
        </w:rPr>
        <w:footnoteReference w:id="4"/>
      </w:r>
      <w:r w:rsidR="00F252EE" w:rsidRPr="00E2652F">
        <w:t xml:space="preserve"> and detailed assessments.</w:t>
      </w:r>
      <w:r w:rsidR="00E429A9" w:rsidRPr="00E2652F">
        <w:t xml:space="preserve"> </w:t>
      </w:r>
      <w:r w:rsidR="00F252EE" w:rsidRPr="00E2652F">
        <w:t>Screening level assessment can be a useful tool for distinguishing between sites of greater and less</w:t>
      </w:r>
      <w:r w:rsidRPr="00E2652F">
        <w:t>er</w:t>
      </w:r>
      <w:r w:rsidR="00F252EE" w:rsidRPr="00E2652F">
        <w:t xml:space="preserve"> concern so that resources can be focused on the most significant problems.</w:t>
      </w:r>
      <w:r w:rsidR="00E429A9" w:rsidRPr="00E2652F">
        <w:t xml:space="preserve"> </w:t>
      </w:r>
    </w:p>
    <w:p w14:paraId="1CACD31A" w14:textId="7B7C68FC" w:rsidR="00F252EE" w:rsidRPr="00E2652F" w:rsidRDefault="009B41AE" w:rsidP="00F51980">
      <w:pPr>
        <w:pStyle w:val="Normalnumber"/>
        <w:numPr>
          <w:ilvl w:val="0"/>
          <w:numId w:val="12"/>
        </w:numPr>
        <w:ind w:left="1247" w:firstLine="0"/>
      </w:pPr>
      <w:r w:rsidRPr="00E2652F">
        <w:t>A</w:t>
      </w:r>
      <w:r w:rsidR="00F252EE" w:rsidRPr="00E2652F">
        <w:t xml:space="preserve">ssessment of </w:t>
      </w:r>
      <w:r w:rsidRPr="00E2652F">
        <w:t xml:space="preserve">a </w:t>
      </w:r>
      <w:r w:rsidR="00F252EE" w:rsidRPr="00E2652F">
        <w:t xml:space="preserve">site should be set within the context of </w:t>
      </w:r>
      <w:r w:rsidR="00773395" w:rsidRPr="00E2652F">
        <w:t>“</w:t>
      </w:r>
      <w:r w:rsidR="00F252EE" w:rsidRPr="00E2652F">
        <w:t>investigation objectives</w:t>
      </w:r>
      <w:r w:rsidR="00773395" w:rsidRPr="00E2652F">
        <w:t>”</w:t>
      </w:r>
      <w:r w:rsidRPr="00E2652F">
        <w:t>, such as</w:t>
      </w:r>
      <w:r w:rsidR="00F252EE" w:rsidRPr="00E2652F">
        <w:t xml:space="preserve">: </w:t>
      </w:r>
    </w:p>
    <w:p w14:paraId="2D2B5427" w14:textId="69D44426" w:rsidR="00F252EE" w:rsidRPr="00E2652F" w:rsidRDefault="00F252EE" w:rsidP="00F51980">
      <w:pPr>
        <w:pStyle w:val="Normalnumber"/>
        <w:numPr>
          <w:ilvl w:val="1"/>
          <w:numId w:val="12"/>
        </w:numPr>
        <w:ind w:left="2495" w:hanging="624"/>
      </w:pPr>
      <w:r w:rsidRPr="00E2652F">
        <w:t>Determining the site use history</w:t>
      </w:r>
    </w:p>
    <w:p w14:paraId="72482F7C" w14:textId="5D008CBF" w:rsidR="00F252EE" w:rsidRPr="00E2652F" w:rsidRDefault="00F252EE" w:rsidP="00F51980">
      <w:pPr>
        <w:pStyle w:val="Normalnumber"/>
        <w:numPr>
          <w:ilvl w:val="1"/>
          <w:numId w:val="12"/>
        </w:numPr>
        <w:ind w:left="2495" w:hanging="624"/>
      </w:pPr>
      <w:r w:rsidRPr="00E2652F">
        <w:t>Characterizing the types of contaminants present at the site</w:t>
      </w:r>
    </w:p>
    <w:p w14:paraId="5652A7A6" w14:textId="0F4757EC" w:rsidR="00F252EE" w:rsidRPr="00E2652F" w:rsidRDefault="00F252EE" w:rsidP="00F51980">
      <w:pPr>
        <w:pStyle w:val="Normalnumber"/>
        <w:numPr>
          <w:ilvl w:val="1"/>
          <w:numId w:val="12"/>
        </w:numPr>
        <w:ind w:left="2495" w:hanging="624"/>
      </w:pPr>
      <w:r w:rsidRPr="00E2652F">
        <w:t>Determin</w:t>
      </w:r>
      <w:r w:rsidR="00371146" w:rsidRPr="00E2652F">
        <w:t>ing</w:t>
      </w:r>
      <w:r w:rsidRPr="00E2652F">
        <w:t xml:space="preserve"> the extent and distribution of contamination</w:t>
      </w:r>
    </w:p>
    <w:p w14:paraId="3BF67208" w14:textId="3F04C4B6" w:rsidR="00F252EE" w:rsidRPr="00E2652F" w:rsidRDefault="00F252EE" w:rsidP="00F51980">
      <w:pPr>
        <w:pStyle w:val="Normalnumber"/>
        <w:numPr>
          <w:ilvl w:val="1"/>
          <w:numId w:val="12"/>
        </w:numPr>
        <w:ind w:left="2495" w:hanging="624"/>
      </w:pPr>
      <w:r w:rsidRPr="00E2652F">
        <w:t>Develop</w:t>
      </w:r>
      <w:r w:rsidR="00371146" w:rsidRPr="00E2652F">
        <w:t>ing</w:t>
      </w:r>
      <w:r w:rsidRPr="00E2652F">
        <w:t xml:space="preserve"> </w:t>
      </w:r>
      <w:r w:rsidR="009B41AE" w:rsidRPr="00E2652F">
        <w:t xml:space="preserve">a </w:t>
      </w:r>
      <w:r w:rsidR="00371146" w:rsidRPr="00E2652F">
        <w:t>deeper</w:t>
      </w:r>
      <w:r w:rsidRPr="00E2652F">
        <w:t xml:space="preserve"> understanding of the geology and hydrogeology of the site</w:t>
      </w:r>
    </w:p>
    <w:p w14:paraId="788177DE" w14:textId="607A8167" w:rsidR="00F252EE" w:rsidRPr="00E2652F" w:rsidRDefault="00F252EE" w:rsidP="00F51980">
      <w:pPr>
        <w:pStyle w:val="Normalnumber"/>
        <w:numPr>
          <w:ilvl w:val="1"/>
          <w:numId w:val="12"/>
        </w:numPr>
        <w:ind w:left="2495" w:hanging="624"/>
      </w:pPr>
      <w:r w:rsidRPr="00E2652F">
        <w:t>Characteri</w:t>
      </w:r>
      <w:r w:rsidR="009B41AE" w:rsidRPr="00E2652F">
        <w:t>z</w:t>
      </w:r>
      <w:r w:rsidR="00371146" w:rsidRPr="00E2652F">
        <w:t>ing</w:t>
      </w:r>
      <w:r w:rsidRPr="00E2652F">
        <w:t xml:space="preserve"> the actual migration of contaminants (fate and transport, receptors and relevant environmental and exposure pathways) </w:t>
      </w:r>
      <w:r w:rsidR="009B41AE" w:rsidRPr="00E2652F">
        <w:t>and</w:t>
      </w:r>
      <w:r w:rsidRPr="00E2652F">
        <w:t xml:space="preserve"> determin</w:t>
      </w:r>
      <w:r w:rsidR="00371146" w:rsidRPr="00E2652F">
        <w:t>ing</w:t>
      </w:r>
      <w:r w:rsidRPr="00E2652F">
        <w:t xml:space="preserve"> potential migration</w:t>
      </w:r>
    </w:p>
    <w:p w14:paraId="19E06D1F" w14:textId="56C32C07" w:rsidR="00F252EE" w:rsidRPr="00E2652F" w:rsidRDefault="00F252EE" w:rsidP="00F51980">
      <w:pPr>
        <w:pStyle w:val="Normalnumber"/>
        <w:numPr>
          <w:ilvl w:val="1"/>
          <w:numId w:val="12"/>
        </w:numPr>
        <w:ind w:left="2495" w:hanging="624"/>
      </w:pPr>
      <w:r w:rsidRPr="00E2652F">
        <w:t>Assess</w:t>
      </w:r>
      <w:r w:rsidR="00371146" w:rsidRPr="00E2652F">
        <w:t>ing</w:t>
      </w:r>
      <w:r w:rsidRPr="00E2652F">
        <w:t xml:space="preserve"> the actual </w:t>
      </w:r>
      <w:r w:rsidR="00F17B76" w:rsidRPr="00E2652F">
        <w:t xml:space="preserve">exposure </w:t>
      </w:r>
      <w:r w:rsidRPr="00E2652F">
        <w:t xml:space="preserve">and potential for exposure </w:t>
      </w:r>
      <w:r w:rsidR="00F17B76" w:rsidRPr="00E2652F">
        <w:t xml:space="preserve">of </w:t>
      </w:r>
      <w:r w:rsidRPr="00E2652F">
        <w:t xml:space="preserve">the local population and the environment. </w:t>
      </w:r>
    </w:p>
    <w:p w14:paraId="51C70046" w14:textId="3B91B382" w:rsidR="00F252EE" w:rsidRPr="00E2652F" w:rsidRDefault="00371146" w:rsidP="00F51980">
      <w:pPr>
        <w:pStyle w:val="Normalnumber"/>
        <w:numPr>
          <w:ilvl w:val="0"/>
          <w:numId w:val="12"/>
        </w:numPr>
        <w:ind w:left="1247" w:firstLine="0"/>
      </w:pPr>
      <w:r w:rsidRPr="00E2652F">
        <w:t>O</w:t>
      </w:r>
      <w:r w:rsidR="00F252EE" w:rsidRPr="00E2652F">
        <w:t xml:space="preserve">ther </w:t>
      </w:r>
      <w:r w:rsidR="0040318D" w:rsidRPr="00E2652F">
        <w:t xml:space="preserve">investigation </w:t>
      </w:r>
      <w:r w:rsidR="00F252EE" w:rsidRPr="00E2652F">
        <w:t xml:space="preserve">objectives </w:t>
      </w:r>
      <w:r w:rsidRPr="00E2652F">
        <w:t>may be set for</w:t>
      </w:r>
      <w:r w:rsidR="00F252EE" w:rsidRPr="00E2652F">
        <w:t xml:space="preserve"> </w:t>
      </w:r>
      <w:r w:rsidR="00F17B76" w:rsidRPr="00E2652F">
        <w:t xml:space="preserve">an </w:t>
      </w:r>
      <w:r w:rsidR="00F252EE" w:rsidRPr="00E2652F">
        <w:t>individual site</w:t>
      </w:r>
      <w:r w:rsidR="00F17B76" w:rsidRPr="00E2652F">
        <w:t xml:space="preserve"> t</w:t>
      </w:r>
      <w:r w:rsidRPr="00E2652F">
        <w:t>o address</w:t>
      </w:r>
      <w:r w:rsidR="00F252EE" w:rsidRPr="00E2652F">
        <w:t xml:space="preserve"> </w:t>
      </w:r>
      <w:r w:rsidR="0040318D" w:rsidRPr="00E2652F">
        <w:t xml:space="preserve">specific </w:t>
      </w:r>
      <w:r w:rsidR="00F252EE" w:rsidRPr="00E2652F">
        <w:t xml:space="preserve">local concerns. </w:t>
      </w:r>
    </w:p>
    <w:p w14:paraId="5A62583E" w14:textId="5FA06761" w:rsidR="00F252EE" w:rsidRPr="00E2652F" w:rsidRDefault="00F252EE" w:rsidP="00F51980">
      <w:pPr>
        <w:pStyle w:val="Normalnumber"/>
        <w:numPr>
          <w:ilvl w:val="0"/>
          <w:numId w:val="12"/>
        </w:numPr>
        <w:ind w:left="1247" w:firstLine="0"/>
      </w:pPr>
      <w:r w:rsidRPr="00E2652F">
        <w:t xml:space="preserve">Once </w:t>
      </w:r>
      <w:r w:rsidR="0040318D" w:rsidRPr="00E2652F">
        <w:t xml:space="preserve">the investigation </w:t>
      </w:r>
      <w:r w:rsidRPr="00E2652F">
        <w:t xml:space="preserve">objectives have been established, a sampling and analysis plan should be developed. This plan should flow from the available site information and investigation objectives. The sampling and analysis plan should include the following elements: </w:t>
      </w:r>
    </w:p>
    <w:p w14:paraId="09E02210" w14:textId="1C429E8D" w:rsidR="00F252EE" w:rsidRPr="00E2652F" w:rsidRDefault="00F252EE" w:rsidP="00F51980">
      <w:pPr>
        <w:pStyle w:val="Normalnumber"/>
        <w:numPr>
          <w:ilvl w:val="1"/>
          <w:numId w:val="12"/>
        </w:numPr>
        <w:ind w:left="2495" w:hanging="624"/>
      </w:pPr>
      <w:r w:rsidRPr="00E2652F">
        <w:t xml:space="preserve">Review of </w:t>
      </w:r>
      <w:r w:rsidR="00F17B76" w:rsidRPr="00E2652F">
        <w:t>e</w:t>
      </w:r>
      <w:r w:rsidRPr="00E2652F">
        <w:t xml:space="preserve">xisting </w:t>
      </w:r>
      <w:r w:rsidR="00F17B76" w:rsidRPr="00E2652F">
        <w:t>d</w:t>
      </w:r>
      <w:r w:rsidRPr="00E2652F">
        <w:t xml:space="preserve">ata, including identification of real and potential sources, both primary and secondary </w:t>
      </w:r>
    </w:p>
    <w:p w14:paraId="768763A0" w14:textId="433F0BB7" w:rsidR="00F252EE" w:rsidRPr="00E2652F" w:rsidRDefault="00F252EE" w:rsidP="00F51980">
      <w:pPr>
        <w:pStyle w:val="Normalnumber"/>
        <w:numPr>
          <w:ilvl w:val="1"/>
          <w:numId w:val="12"/>
        </w:numPr>
        <w:ind w:left="2495" w:hanging="624"/>
      </w:pPr>
      <w:r w:rsidRPr="00E2652F">
        <w:t xml:space="preserve">Pre-mobilization </w:t>
      </w:r>
      <w:r w:rsidR="00F17B76" w:rsidRPr="00E2652F">
        <w:t>t</w:t>
      </w:r>
      <w:r w:rsidRPr="00E2652F">
        <w:t>asks, including preparation of a health and safety plan and locati</w:t>
      </w:r>
      <w:r w:rsidR="0040318D" w:rsidRPr="00E2652F">
        <w:t>on of</w:t>
      </w:r>
      <w:r w:rsidRPr="00E2652F">
        <w:t xml:space="preserve"> utilities and structures that could affect or be affected by detailed investigations</w:t>
      </w:r>
      <w:r w:rsidR="00371146" w:rsidRPr="00E2652F">
        <w:t xml:space="preserve"> (t</w:t>
      </w:r>
      <w:r w:rsidRPr="00E2652F">
        <w:t xml:space="preserve">his step is intended to ensure that sampling or investigation activities do not affect </w:t>
      </w:r>
      <w:r w:rsidR="00F17B76" w:rsidRPr="00E2652F">
        <w:t xml:space="preserve">the </w:t>
      </w:r>
      <w:r w:rsidRPr="00E2652F">
        <w:t>health and safety of workers, bystanders or others</w:t>
      </w:r>
      <w:r w:rsidR="00371146" w:rsidRPr="00E2652F">
        <w:t>)</w:t>
      </w:r>
      <w:r w:rsidRPr="00E2652F">
        <w:t xml:space="preserve"> </w:t>
      </w:r>
    </w:p>
    <w:p w14:paraId="4305EA95" w14:textId="29990440" w:rsidR="00F252EE" w:rsidRPr="00E2652F" w:rsidRDefault="00F252EE" w:rsidP="00F51980">
      <w:pPr>
        <w:pStyle w:val="Normalnumber"/>
        <w:numPr>
          <w:ilvl w:val="1"/>
          <w:numId w:val="12"/>
        </w:numPr>
        <w:ind w:left="2495" w:hanging="624"/>
      </w:pPr>
      <w:r w:rsidRPr="00E2652F">
        <w:t xml:space="preserve">Sampling </w:t>
      </w:r>
      <w:r w:rsidR="00F17B76" w:rsidRPr="00E2652F">
        <w:t>m</w:t>
      </w:r>
      <w:r w:rsidRPr="00E2652F">
        <w:t xml:space="preserve">edia, </w:t>
      </w:r>
      <w:r w:rsidR="00F17B76" w:rsidRPr="00E2652F">
        <w:t>d</w:t>
      </w:r>
      <w:r w:rsidRPr="00E2652F">
        <w:t xml:space="preserve">ata </w:t>
      </w:r>
      <w:r w:rsidR="00F17B76" w:rsidRPr="00E2652F">
        <w:t>t</w:t>
      </w:r>
      <w:r w:rsidRPr="00E2652F">
        <w:t xml:space="preserve">ypes and </w:t>
      </w:r>
      <w:r w:rsidR="00F17B76" w:rsidRPr="00E2652F">
        <w:t>i</w:t>
      </w:r>
      <w:r w:rsidRPr="00E2652F">
        <w:t xml:space="preserve">nvestigation </w:t>
      </w:r>
      <w:r w:rsidR="00F17B76" w:rsidRPr="00E2652F">
        <w:t>t</w:t>
      </w:r>
      <w:r w:rsidRPr="00E2652F">
        <w:t xml:space="preserve">ools, including decisions </w:t>
      </w:r>
      <w:r w:rsidR="00371146" w:rsidRPr="00E2652F">
        <w:t>about</w:t>
      </w:r>
      <w:r w:rsidRPr="00E2652F">
        <w:t xml:space="preserve"> which media to sample (soil, sediment, groundwater, soil vapour, air, biota, surface water</w:t>
      </w:r>
      <w:r w:rsidR="00F17B76" w:rsidRPr="00E2652F">
        <w:t>,</w:t>
      </w:r>
      <w:r w:rsidRPr="00E2652F">
        <w:t xml:space="preserve"> etc</w:t>
      </w:r>
      <w:r w:rsidR="00F17B76" w:rsidRPr="00E2652F">
        <w:t>.</w:t>
      </w:r>
      <w:r w:rsidRPr="00E2652F">
        <w:t>)</w:t>
      </w:r>
      <w:r w:rsidR="00371146" w:rsidRPr="00E2652F">
        <w:t xml:space="preserve"> (s</w:t>
      </w:r>
      <w:r w:rsidRPr="00E2652F">
        <w:t xml:space="preserve">ampling </w:t>
      </w:r>
      <w:r w:rsidR="00F17B76" w:rsidRPr="00E2652F">
        <w:t xml:space="preserve">can </w:t>
      </w:r>
      <w:r w:rsidRPr="00E2652F">
        <w:t xml:space="preserve">be used to determine </w:t>
      </w:r>
      <w:r w:rsidR="009E603E" w:rsidRPr="00E2652F">
        <w:t xml:space="preserve">such things as </w:t>
      </w:r>
      <w:r w:rsidRPr="00E2652F">
        <w:t>chemical concentration, physical properties and leachability of contaminants</w:t>
      </w:r>
      <w:r w:rsidR="00371146" w:rsidRPr="00E2652F">
        <w:t>)</w:t>
      </w:r>
      <w:r w:rsidR="00E429A9" w:rsidRPr="00E2652F">
        <w:t xml:space="preserve"> </w:t>
      </w:r>
    </w:p>
    <w:p w14:paraId="550540E7" w14:textId="2C6887B4" w:rsidR="00F252EE" w:rsidRPr="00E2652F" w:rsidRDefault="00F252EE" w:rsidP="00F51980">
      <w:pPr>
        <w:pStyle w:val="Normalnumber"/>
        <w:numPr>
          <w:ilvl w:val="1"/>
          <w:numId w:val="12"/>
        </w:numPr>
        <w:ind w:left="2495" w:hanging="624"/>
      </w:pPr>
      <w:r w:rsidRPr="00E2652F">
        <w:t xml:space="preserve">Sampling </w:t>
      </w:r>
      <w:r w:rsidR="00F17B76" w:rsidRPr="00E2652F">
        <w:t>d</w:t>
      </w:r>
      <w:r w:rsidRPr="00E2652F">
        <w:t xml:space="preserve">esign </w:t>
      </w:r>
    </w:p>
    <w:p w14:paraId="4597B18A" w14:textId="55AA4EED" w:rsidR="00F252EE" w:rsidRPr="00E2652F" w:rsidRDefault="00F252EE" w:rsidP="00F51980">
      <w:pPr>
        <w:pStyle w:val="Normalnumber"/>
        <w:numPr>
          <w:ilvl w:val="1"/>
          <w:numId w:val="12"/>
        </w:numPr>
        <w:ind w:left="2495" w:hanging="624"/>
      </w:pPr>
      <w:r w:rsidRPr="00E2652F">
        <w:t xml:space="preserve">Sampling and </w:t>
      </w:r>
      <w:r w:rsidR="00F17B76" w:rsidRPr="00E2652F">
        <w:t>a</w:t>
      </w:r>
      <w:r w:rsidRPr="00E2652F">
        <w:t xml:space="preserve">nalysis </w:t>
      </w:r>
      <w:r w:rsidR="00F17B76" w:rsidRPr="00E2652F">
        <w:t>m</w:t>
      </w:r>
      <w:r w:rsidRPr="00E2652F">
        <w:t xml:space="preserve">ethods and </w:t>
      </w:r>
      <w:r w:rsidR="00F17B76" w:rsidRPr="00E2652F">
        <w:t>q</w:t>
      </w:r>
      <w:r w:rsidRPr="00E2652F">
        <w:t xml:space="preserve">uality </w:t>
      </w:r>
      <w:r w:rsidR="00F17B76" w:rsidRPr="00E2652F">
        <w:t>a</w:t>
      </w:r>
      <w:r w:rsidRPr="00E2652F">
        <w:t xml:space="preserve">ssurance </w:t>
      </w:r>
      <w:r w:rsidR="00F17B76" w:rsidRPr="00E2652F">
        <w:t>p</w:t>
      </w:r>
      <w:r w:rsidRPr="00E2652F">
        <w:t xml:space="preserve">roject </w:t>
      </w:r>
      <w:r w:rsidR="00F17B76" w:rsidRPr="00E2652F">
        <w:t>p</w:t>
      </w:r>
      <w:r w:rsidRPr="00E2652F">
        <w:t>lan</w:t>
      </w:r>
    </w:p>
    <w:p w14:paraId="6782C9E1" w14:textId="030F0144" w:rsidR="00F252EE" w:rsidRPr="00E2652F" w:rsidRDefault="00076243" w:rsidP="00F51980">
      <w:pPr>
        <w:pStyle w:val="Normalnumber"/>
        <w:numPr>
          <w:ilvl w:val="0"/>
          <w:numId w:val="12"/>
        </w:numPr>
        <w:ind w:left="1247" w:firstLine="0"/>
      </w:pPr>
      <w:r w:rsidRPr="00E2652F">
        <w:t xml:space="preserve">Any </w:t>
      </w:r>
      <w:r w:rsidR="00680013">
        <w:t xml:space="preserve">existing </w:t>
      </w:r>
      <w:r w:rsidRPr="00E2652F">
        <w:t>n</w:t>
      </w:r>
      <w:r w:rsidR="00F252EE" w:rsidRPr="00E2652F">
        <w:t xml:space="preserve">ational </w:t>
      </w:r>
      <w:r w:rsidR="009E603E" w:rsidRPr="00E2652F">
        <w:t xml:space="preserve">site sampling and analysis </w:t>
      </w:r>
      <w:r w:rsidR="00F252EE" w:rsidRPr="00E2652F">
        <w:t xml:space="preserve">protocols should be </w:t>
      </w:r>
      <w:r w:rsidRPr="00E2652F">
        <w:t>evaluated</w:t>
      </w:r>
      <w:r w:rsidR="00F252EE" w:rsidRPr="00E2652F">
        <w:t xml:space="preserve"> </w:t>
      </w:r>
      <w:r w:rsidR="00F17B76" w:rsidRPr="00E2652F">
        <w:t>in terms of</w:t>
      </w:r>
      <w:r w:rsidR="00F252EE" w:rsidRPr="00E2652F">
        <w:t xml:space="preserve"> whether they are appropriate </w:t>
      </w:r>
      <w:r w:rsidRPr="00E2652F">
        <w:t>for</w:t>
      </w:r>
      <w:r w:rsidR="00F252EE" w:rsidRPr="00E2652F">
        <w:t xml:space="preserve"> meet</w:t>
      </w:r>
      <w:r w:rsidRPr="00E2652F">
        <w:t>ing</w:t>
      </w:r>
      <w:r w:rsidR="00F252EE" w:rsidRPr="00E2652F">
        <w:t xml:space="preserve"> the objectives of the </w:t>
      </w:r>
      <w:r w:rsidR="00F17B76" w:rsidRPr="00E2652F">
        <w:t>C</w:t>
      </w:r>
      <w:r w:rsidR="00F252EE" w:rsidRPr="00E2652F">
        <w:t xml:space="preserve">onvention. </w:t>
      </w:r>
    </w:p>
    <w:p w14:paraId="1F87B945" w14:textId="66716403" w:rsidR="00F252EE" w:rsidRPr="00E2652F" w:rsidRDefault="00F17B76" w:rsidP="00F51980">
      <w:pPr>
        <w:pStyle w:val="Normalnumber"/>
        <w:numPr>
          <w:ilvl w:val="0"/>
          <w:numId w:val="12"/>
        </w:numPr>
        <w:ind w:left="1247" w:firstLine="0"/>
        <w:rPr>
          <w:i/>
        </w:rPr>
      </w:pPr>
      <w:r w:rsidRPr="00E2652F">
        <w:t>S</w:t>
      </w:r>
      <w:r w:rsidR="00F252EE" w:rsidRPr="00E2652F">
        <w:t xml:space="preserve">ampling </w:t>
      </w:r>
      <w:r w:rsidR="00182A25" w:rsidRPr="00E2652F">
        <w:t>should</w:t>
      </w:r>
      <w:r w:rsidRPr="00E2652F">
        <w:t xml:space="preserve"> be </w:t>
      </w:r>
      <w:r w:rsidR="00F252EE" w:rsidRPr="00E2652F">
        <w:t>design</w:t>
      </w:r>
      <w:r w:rsidRPr="00E2652F">
        <w:t>ed to</w:t>
      </w:r>
      <w:r w:rsidR="00F252EE" w:rsidRPr="00E2652F">
        <w:t xml:space="preserve"> work towards the objectives of the assessment, which are to determine the contaminants present at the site, establish their distribution within the site and locate hotspots that can lead to unacceptable risk to human health or the environment. A sampling strategy</w:t>
      </w:r>
      <w:r w:rsidR="00926234" w:rsidRPr="00E2652F">
        <w:t xml:space="preserve"> </w:t>
      </w:r>
      <w:r w:rsidR="009E603E" w:rsidRPr="00E2652F">
        <w:t>is</w:t>
      </w:r>
      <w:r w:rsidR="00926234" w:rsidRPr="00E2652F">
        <w:t xml:space="preserve"> developed </w:t>
      </w:r>
      <w:r w:rsidR="00182A25" w:rsidRPr="00E2652F">
        <w:t xml:space="preserve">on the </w:t>
      </w:r>
      <w:r w:rsidR="00934723" w:rsidRPr="00E2652F">
        <w:t>basis</w:t>
      </w:r>
      <w:r w:rsidR="00182A25" w:rsidRPr="00E2652F">
        <w:t xml:space="preserve"> of</w:t>
      </w:r>
      <w:r w:rsidR="00F252EE" w:rsidRPr="00E2652F">
        <w:t xml:space="preserve"> the information collected and tak</w:t>
      </w:r>
      <w:r w:rsidR="00926234" w:rsidRPr="00E2652F">
        <w:t>es</w:t>
      </w:r>
      <w:r w:rsidR="00F252EE" w:rsidRPr="00E2652F">
        <w:t xml:space="preserve"> into account the conceptual site model </w:t>
      </w:r>
      <w:r w:rsidR="00926234" w:rsidRPr="00E2652F">
        <w:t xml:space="preserve">to </w:t>
      </w:r>
      <w:r w:rsidR="00F252EE" w:rsidRPr="00E2652F">
        <w:t xml:space="preserve">define the sampling pattern; density, number and distribution of sampling points, type of sampling (one stage or multi-stage), type of samples (single or composite); sampling </w:t>
      </w:r>
      <w:r w:rsidR="00926234" w:rsidRPr="00E2652F">
        <w:t xml:space="preserve">depth </w:t>
      </w:r>
      <w:r w:rsidR="00F252EE" w:rsidRPr="00E2652F">
        <w:t xml:space="preserve">(one sample </w:t>
      </w:r>
      <w:r w:rsidR="00182A25" w:rsidRPr="00E2652F">
        <w:t>should</w:t>
      </w:r>
      <w:r w:rsidR="00F252EE" w:rsidRPr="00E2652F">
        <w:t xml:space="preserve"> be taken very near the surface </w:t>
      </w:r>
      <w:r w:rsidR="00562BF7" w:rsidRPr="00E2652F">
        <w:t>owing</w:t>
      </w:r>
      <w:r w:rsidR="00F252EE" w:rsidRPr="00E2652F">
        <w:t xml:space="preserve"> to the possibility of direct contact, ingestion or inhalation) and depth intervals; and the contaminants of interest (mercury, methylmercury and/or other mercury compounds). </w:t>
      </w:r>
      <w:r w:rsidR="00926234" w:rsidRPr="00E2652F">
        <w:t>G</w:t>
      </w:r>
      <w:r w:rsidR="00F252EE" w:rsidRPr="00E2652F">
        <w:t xml:space="preserve">roundwater </w:t>
      </w:r>
      <w:r w:rsidR="00182A25" w:rsidRPr="00E2652F">
        <w:t>should</w:t>
      </w:r>
      <w:r w:rsidR="00F252EE" w:rsidRPr="00E2652F">
        <w:t xml:space="preserve"> also be </w:t>
      </w:r>
      <w:r w:rsidR="00926234" w:rsidRPr="00E2652F">
        <w:t>sampled</w:t>
      </w:r>
      <w:r w:rsidR="00F252EE" w:rsidRPr="00E2652F">
        <w:t xml:space="preserve"> whenever there is a suspicion that the water table may have been reached by the contamination or intersected during </w:t>
      </w:r>
      <w:r w:rsidR="00926234" w:rsidRPr="00E2652F">
        <w:t xml:space="preserve">drilling </w:t>
      </w:r>
      <w:r w:rsidR="00F252EE" w:rsidRPr="00E2652F">
        <w:t>of the boreholes.</w:t>
      </w:r>
    </w:p>
    <w:p w14:paraId="3294B014" w14:textId="0D33C463" w:rsidR="00A9643E" w:rsidRPr="00A9643E" w:rsidRDefault="00F252EE" w:rsidP="00191418">
      <w:pPr>
        <w:pStyle w:val="Normalnumber"/>
        <w:numPr>
          <w:ilvl w:val="0"/>
          <w:numId w:val="12"/>
        </w:numPr>
        <w:ind w:left="1247" w:firstLine="0"/>
      </w:pPr>
      <w:r w:rsidRPr="00E2652F">
        <w:t>Sampling methodologies have been considered as part of</w:t>
      </w:r>
      <w:r w:rsidR="00B37305" w:rsidRPr="00E2652F">
        <w:t xml:space="preserve"> a project funded by the Global Environment Facility for the development of a plan for global monitoring of human exposure to and environmental concentrations of mercury.</w:t>
      </w:r>
      <w:r w:rsidR="00E429A9" w:rsidRPr="00E2652F">
        <w:t xml:space="preserve"> </w:t>
      </w:r>
      <w:r w:rsidRPr="00E2652F">
        <w:t>S</w:t>
      </w:r>
      <w:r w:rsidR="0047033B" w:rsidRPr="00E2652F">
        <w:t>tandardized</w:t>
      </w:r>
      <w:r w:rsidRPr="00E2652F">
        <w:t xml:space="preserve"> sampling methodologies are available, including for air (both active and passive sampling</w:t>
      </w:r>
      <w:r w:rsidR="00926234" w:rsidRPr="00E2652F">
        <w:t>,</w:t>
      </w:r>
      <w:r w:rsidRPr="00E2652F">
        <w:t xml:space="preserve"> as well as wet deposition), biota (sampling of muscle tissue for total mercury) and human biomonitoring (with the choice of matrix dependent on the type of mercury exposure experienced by the population in </w:t>
      </w:r>
      <w:r w:rsidRPr="00A9643E">
        <w:t>question).</w:t>
      </w:r>
      <w:r w:rsidR="00E429A9" w:rsidRPr="00A9643E">
        <w:t xml:space="preserve"> </w:t>
      </w:r>
      <w:r w:rsidRPr="00A9643E">
        <w:t xml:space="preserve">Moreover, some countries </w:t>
      </w:r>
      <w:r w:rsidR="00F113AF" w:rsidRPr="00A9643E">
        <w:t>have</w:t>
      </w:r>
      <w:r w:rsidRPr="00A9643E">
        <w:t xml:space="preserve"> s</w:t>
      </w:r>
      <w:r w:rsidR="00F113AF" w:rsidRPr="00A9643E">
        <w:t>tandard</w:t>
      </w:r>
      <w:r w:rsidRPr="00A9643E">
        <w:t xml:space="preserve"> sampling and </w:t>
      </w:r>
      <w:r w:rsidR="00F113AF" w:rsidRPr="00A9643E">
        <w:t xml:space="preserve">analysis </w:t>
      </w:r>
      <w:r w:rsidRPr="00A9643E">
        <w:t xml:space="preserve">methods for </w:t>
      </w:r>
      <w:r w:rsidR="00F113AF" w:rsidRPr="00A9643E">
        <w:t>other environmental media, such as soil</w:t>
      </w:r>
      <w:r w:rsidRPr="00A9643E">
        <w:t>.</w:t>
      </w:r>
      <w:r w:rsidR="00A9643E" w:rsidRPr="00A9643E">
        <w:t xml:space="preserve"> [</w:t>
      </w:r>
      <w:r w:rsidR="00A9643E" w:rsidRPr="00191418">
        <w:rPr>
          <w:i/>
        </w:rPr>
        <w:t>A reference to a soon-to-be-published report containing WHO protocols and other standardized sampling methodologies will be inserted here once it is available.</w:t>
      </w:r>
      <w:r w:rsidR="00A9643E" w:rsidRPr="00A9643E">
        <w:t>]</w:t>
      </w:r>
    </w:p>
    <w:p w14:paraId="5F3A8E74" w14:textId="242E13AD" w:rsidR="00F252EE" w:rsidRPr="00E2652F" w:rsidRDefault="005D61FE" w:rsidP="00F51980">
      <w:pPr>
        <w:pStyle w:val="Normalnumber"/>
        <w:numPr>
          <w:ilvl w:val="0"/>
          <w:numId w:val="12"/>
        </w:numPr>
        <w:ind w:left="1247" w:firstLine="0"/>
      </w:pPr>
      <w:r w:rsidRPr="00E2652F">
        <w:t>S</w:t>
      </w:r>
      <w:r w:rsidR="00F252EE" w:rsidRPr="00E2652F">
        <w:t xml:space="preserve">ampling methodologies include </w:t>
      </w:r>
      <w:r w:rsidR="00FF1246" w:rsidRPr="00E2652F">
        <w:t>one</w:t>
      </w:r>
      <w:r w:rsidR="00F252EE" w:rsidRPr="00E2652F">
        <w:t xml:space="preserve"> where land is divided into small sections and the soil in the centre of each section is sampled</w:t>
      </w:r>
      <w:r w:rsidR="00FF1246" w:rsidRPr="00E2652F">
        <w:t xml:space="preserve">, </w:t>
      </w:r>
      <w:r w:rsidRPr="00E2652F">
        <w:t>and</w:t>
      </w:r>
      <w:r w:rsidR="00F252EE" w:rsidRPr="00E2652F">
        <w:t xml:space="preserve"> </w:t>
      </w:r>
      <w:r w:rsidR="0060253A" w:rsidRPr="00E2652F">
        <w:t>another</w:t>
      </w:r>
      <w:r w:rsidR="00F252EE" w:rsidRPr="00E2652F">
        <w:t xml:space="preserve"> </w:t>
      </w:r>
      <w:r w:rsidRPr="00E2652F">
        <w:t>where</w:t>
      </w:r>
      <w:r w:rsidR="00F252EE" w:rsidRPr="00E2652F">
        <w:t xml:space="preserve"> sampling points </w:t>
      </w:r>
      <w:r w:rsidRPr="00E2652F">
        <w:t xml:space="preserve">are determined </w:t>
      </w:r>
      <w:r w:rsidR="00F252EE" w:rsidRPr="00E2652F">
        <w:t xml:space="preserve">using a </w:t>
      </w:r>
      <w:r w:rsidR="00FF1246" w:rsidRPr="00E2652F">
        <w:t>conceptual site model</w:t>
      </w:r>
      <w:r w:rsidR="00F252EE" w:rsidRPr="00E2652F">
        <w:t xml:space="preserve">. </w:t>
      </w:r>
      <w:r w:rsidR="00371146" w:rsidRPr="00E2652F">
        <w:t>D</w:t>
      </w:r>
      <w:r w:rsidR="00F252EE" w:rsidRPr="00E2652F">
        <w:t xml:space="preserve">epending on </w:t>
      </w:r>
      <w:r w:rsidRPr="00E2652F">
        <w:t xml:space="preserve">temperature and </w:t>
      </w:r>
      <w:r w:rsidR="00F252EE" w:rsidRPr="00E2652F">
        <w:t xml:space="preserve">the container </w:t>
      </w:r>
      <w:r w:rsidRPr="00E2652F">
        <w:t xml:space="preserve">used to transport the </w:t>
      </w:r>
      <w:r w:rsidR="00F252EE" w:rsidRPr="00E2652F">
        <w:t xml:space="preserve">soil samples </w:t>
      </w:r>
      <w:r w:rsidRPr="00E2652F">
        <w:t xml:space="preserve">from the sampling </w:t>
      </w:r>
      <w:r w:rsidR="00FF1246" w:rsidRPr="00E2652F">
        <w:t>site</w:t>
      </w:r>
      <w:r w:rsidRPr="00E2652F">
        <w:t xml:space="preserve"> to a place where they are analysed</w:t>
      </w:r>
      <w:r w:rsidR="00F252EE" w:rsidRPr="00E2652F">
        <w:t>, mercury could volati</w:t>
      </w:r>
      <w:r w:rsidR="004156DC" w:rsidRPr="00E2652F">
        <w:t>li</w:t>
      </w:r>
      <w:r w:rsidR="00F252EE" w:rsidRPr="00E2652F">
        <w:t>ze, leading to inaccurate assessments</w:t>
      </w:r>
      <w:r w:rsidR="00F252EE" w:rsidRPr="00E2652F">
        <w:rPr>
          <w:i/>
          <w:iCs/>
        </w:rPr>
        <w:t xml:space="preserve">. </w:t>
      </w:r>
      <w:r w:rsidRPr="00E2652F">
        <w:t>There is also a</w:t>
      </w:r>
      <w:r w:rsidR="00F252EE" w:rsidRPr="00E2652F">
        <w:t>n ISO standard for soil sampling (ISO 18400)</w:t>
      </w:r>
      <w:r w:rsidR="00F23D44" w:rsidRPr="00E2652F">
        <w:t>.</w:t>
      </w:r>
    </w:p>
    <w:p w14:paraId="6477DA5F" w14:textId="635663B4" w:rsidR="00F252EE" w:rsidRPr="00E2652F" w:rsidRDefault="000C210F" w:rsidP="00F51980">
      <w:pPr>
        <w:pStyle w:val="Normalnumber"/>
        <w:numPr>
          <w:ilvl w:val="0"/>
          <w:numId w:val="12"/>
        </w:numPr>
        <w:ind w:left="1247" w:firstLine="0"/>
      </w:pPr>
      <w:r w:rsidRPr="00E2652F">
        <w:t>Once the</w:t>
      </w:r>
      <w:r w:rsidR="00F252EE" w:rsidRPr="00E2652F">
        <w:t xml:space="preserve"> assessment</w:t>
      </w:r>
      <w:r w:rsidRPr="00E2652F">
        <w:t xml:space="preserve"> has established the risk</w:t>
      </w:r>
      <w:r w:rsidR="00F252EE" w:rsidRPr="00E2652F">
        <w:t xml:space="preserve">, such as the presence or absence of an exposure route, it is important to prioritize the work </w:t>
      </w:r>
      <w:r w:rsidR="008359E9" w:rsidRPr="00E2652F">
        <w:t xml:space="preserve">required </w:t>
      </w:r>
      <w:r w:rsidR="00FF1246" w:rsidRPr="00E2652F">
        <w:t xml:space="preserve">to manage the </w:t>
      </w:r>
      <w:r w:rsidR="00F252EE" w:rsidRPr="00E2652F">
        <w:t>risk</w:t>
      </w:r>
      <w:r w:rsidR="00E74A75" w:rsidRPr="00E2652F">
        <w:t>.</w:t>
      </w:r>
      <w:r w:rsidR="00F252EE" w:rsidRPr="00E2652F">
        <w:t xml:space="preserve"> </w:t>
      </w:r>
      <w:r w:rsidR="00E74A75" w:rsidRPr="00E2652F">
        <w:t>In other words, a determination needs to be made as to</w:t>
      </w:r>
      <w:r w:rsidR="00F252EE" w:rsidRPr="00E2652F">
        <w:t xml:space="preserve"> whether the land requires immediate remediation or whether </w:t>
      </w:r>
      <w:r w:rsidR="008359E9" w:rsidRPr="00E2652F">
        <w:t xml:space="preserve">it would be sufficient to pay </w:t>
      </w:r>
      <w:r w:rsidR="00F252EE" w:rsidRPr="00E2652F">
        <w:t xml:space="preserve">special attention to the risk of diffusing the contamination by disturbing the contaminated soil </w:t>
      </w:r>
      <w:r w:rsidR="00371146" w:rsidRPr="00E2652F">
        <w:t xml:space="preserve">– </w:t>
      </w:r>
      <w:r w:rsidR="008359E9" w:rsidRPr="00E2652F">
        <w:t>by</w:t>
      </w:r>
      <w:r w:rsidR="00F252EE" w:rsidRPr="00E2652F">
        <w:t xml:space="preserve"> construction work</w:t>
      </w:r>
      <w:r w:rsidR="008359E9" w:rsidRPr="00E2652F">
        <w:t>, for example.</w:t>
      </w:r>
    </w:p>
    <w:p w14:paraId="65014D5E" w14:textId="77777777" w:rsidR="00F252EE" w:rsidRPr="00E2652F" w:rsidRDefault="00F252EE" w:rsidP="00582B27">
      <w:pPr>
        <w:pStyle w:val="CH1"/>
      </w:pPr>
      <w:r w:rsidRPr="00E2652F">
        <w:tab/>
      </w:r>
      <w:bookmarkStart w:id="20" w:name="_Toc524355407"/>
      <w:r w:rsidRPr="00E2652F">
        <w:t>C.</w:t>
      </w:r>
      <w:r w:rsidRPr="00E2652F">
        <w:tab/>
        <w:t>Engaging the public</w:t>
      </w:r>
      <w:bookmarkEnd w:id="20"/>
    </w:p>
    <w:p w14:paraId="7E020DB3" w14:textId="30553052" w:rsidR="00F252EE" w:rsidRPr="00E2652F" w:rsidRDefault="00F252EE" w:rsidP="00582B27">
      <w:pPr>
        <w:pStyle w:val="Normalnumber"/>
        <w:keepNext/>
        <w:keepLines/>
        <w:numPr>
          <w:ilvl w:val="0"/>
          <w:numId w:val="12"/>
        </w:numPr>
        <w:ind w:left="1247" w:firstLine="0"/>
      </w:pPr>
      <w:r w:rsidRPr="00E2652F">
        <w:t xml:space="preserve">Engaging with the public, particularly on sensitive issues such as the presence of </w:t>
      </w:r>
      <w:r w:rsidR="004603A9" w:rsidRPr="00E2652F">
        <w:t xml:space="preserve">nearby </w:t>
      </w:r>
      <w:r w:rsidRPr="00E2652F">
        <w:t xml:space="preserve">contaminated sites, is important </w:t>
      </w:r>
      <w:r w:rsidR="00E74A75" w:rsidRPr="00E2652F">
        <w:t>for</w:t>
      </w:r>
      <w:r w:rsidRPr="00E2652F">
        <w:t xml:space="preserve"> the successful management of issues and sites.</w:t>
      </w:r>
      <w:r w:rsidR="00E429A9" w:rsidRPr="00E2652F">
        <w:t xml:space="preserve"> </w:t>
      </w:r>
      <w:r w:rsidRPr="00E2652F">
        <w:t xml:space="preserve">Public </w:t>
      </w:r>
      <w:r w:rsidR="004603A9" w:rsidRPr="00E2652F">
        <w:t xml:space="preserve">engagement </w:t>
      </w:r>
      <w:r w:rsidRPr="00E2652F">
        <w:t xml:space="preserve">is often coordinated through government agencies </w:t>
      </w:r>
      <w:r w:rsidR="005B5AAC" w:rsidRPr="00E2652F">
        <w:t>at the local, regional or national level</w:t>
      </w:r>
      <w:r w:rsidR="005B5AAC" w:rsidRPr="00E2652F" w:rsidDel="005B5AAC">
        <w:t xml:space="preserve"> </w:t>
      </w:r>
      <w:r w:rsidR="005B5AAC" w:rsidRPr="00E2652F">
        <w:t xml:space="preserve">that </w:t>
      </w:r>
      <w:r w:rsidRPr="00E2652F">
        <w:t xml:space="preserve">have been </w:t>
      </w:r>
      <w:r w:rsidR="005B5AAC" w:rsidRPr="00E2652F">
        <w:t xml:space="preserve">assigned </w:t>
      </w:r>
      <w:r w:rsidRPr="00E2652F">
        <w:t>the responsibility for manag</w:t>
      </w:r>
      <w:r w:rsidR="004603A9" w:rsidRPr="00E2652F">
        <w:t>ing</w:t>
      </w:r>
      <w:r w:rsidRPr="00E2652F">
        <w:t xml:space="preserve"> contaminated sites.</w:t>
      </w:r>
      <w:r w:rsidR="00E429A9" w:rsidRPr="00E2652F">
        <w:t xml:space="preserve"> </w:t>
      </w:r>
      <w:r w:rsidRPr="00E2652F">
        <w:t xml:space="preserve">There are many terms that describe the concept of </w:t>
      </w:r>
      <w:r w:rsidR="005B5AAC" w:rsidRPr="00E2652F">
        <w:t>“</w:t>
      </w:r>
      <w:r w:rsidRPr="00E2652F">
        <w:t xml:space="preserve">public </w:t>
      </w:r>
      <w:r w:rsidR="004603A9" w:rsidRPr="00E2652F">
        <w:t>engagement</w:t>
      </w:r>
      <w:r w:rsidR="005B5AAC" w:rsidRPr="00E2652F">
        <w:t>”, including</w:t>
      </w:r>
      <w:r w:rsidRPr="00E2652F">
        <w:t xml:space="preserve"> </w:t>
      </w:r>
      <w:r w:rsidR="004603A9" w:rsidRPr="00E2652F">
        <w:t>“public participation” “</w:t>
      </w:r>
      <w:r w:rsidRPr="00E2652F">
        <w:t>community participation</w:t>
      </w:r>
      <w:r w:rsidR="004603A9" w:rsidRPr="00E2652F">
        <w:t>”</w:t>
      </w:r>
      <w:r w:rsidRPr="00E2652F">
        <w:t xml:space="preserve">, </w:t>
      </w:r>
      <w:r w:rsidR="004603A9" w:rsidRPr="00E2652F">
        <w:t>“</w:t>
      </w:r>
      <w:r w:rsidRPr="00E2652F">
        <w:t>community involvement</w:t>
      </w:r>
      <w:r w:rsidR="004603A9" w:rsidRPr="00E2652F">
        <w:t>”</w:t>
      </w:r>
      <w:r w:rsidRPr="00E2652F">
        <w:t xml:space="preserve">, </w:t>
      </w:r>
      <w:r w:rsidR="004603A9" w:rsidRPr="00E2652F">
        <w:t>“</w:t>
      </w:r>
      <w:r w:rsidRPr="00E2652F">
        <w:t>community engagement</w:t>
      </w:r>
      <w:r w:rsidR="004603A9" w:rsidRPr="00E2652F">
        <w:t>”</w:t>
      </w:r>
      <w:r w:rsidRPr="00E2652F">
        <w:t xml:space="preserve">, </w:t>
      </w:r>
      <w:r w:rsidR="004603A9" w:rsidRPr="00E2652F">
        <w:t>“</w:t>
      </w:r>
      <w:r w:rsidRPr="00E2652F">
        <w:t>stakeholder involvement</w:t>
      </w:r>
      <w:r w:rsidR="004603A9" w:rsidRPr="00E2652F">
        <w:t>”</w:t>
      </w:r>
      <w:r w:rsidR="005B5AAC" w:rsidRPr="00E2652F">
        <w:t xml:space="preserve"> and</w:t>
      </w:r>
      <w:r w:rsidRPr="00E2652F">
        <w:t xml:space="preserve"> </w:t>
      </w:r>
      <w:r w:rsidR="004603A9" w:rsidRPr="00E2652F">
        <w:t>“</w:t>
      </w:r>
      <w:r w:rsidRPr="00E2652F">
        <w:t>stakeholder engagement</w:t>
      </w:r>
      <w:r w:rsidR="004603A9" w:rsidRPr="00E2652F">
        <w:t>”</w:t>
      </w:r>
      <w:r w:rsidRPr="00E2652F">
        <w:t xml:space="preserve"> (National Environmental Justice Advisory Council</w:t>
      </w:r>
      <w:r w:rsidR="005B5AAC" w:rsidRPr="00E2652F">
        <w:t>,</w:t>
      </w:r>
      <w:r w:rsidRPr="00E2652F">
        <w:t xml:space="preserve"> 2013).</w:t>
      </w:r>
      <w:r w:rsidR="00E429A9" w:rsidRPr="00E2652F">
        <w:t xml:space="preserve"> </w:t>
      </w:r>
      <w:r w:rsidRPr="00E2652F">
        <w:t xml:space="preserve">Public </w:t>
      </w:r>
      <w:r w:rsidR="004603A9" w:rsidRPr="00E2652F">
        <w:t xml:space="preserve">consultation </w:t>
      </w:r>
      <w:r w:rsidRPr="00E2652F">
        <w:t xml:space="preserve">is an important </w:t>
      </w:r>
      <w:r w:rsidR="005B5AAC" w:rsidRPr="00E2652F">
        <w:t>elemen</w:t>
      </w:r>
      <w:r w:rsidRPr="00E2652F">
        <w:t>t of sustainable remediation</w:t>
      </w:r>
      <w:r w:rsidR="004603A9" w:rsidRPr="00E2652F">
        <w:t xml:space="preserve"> and is even required by legislation</w:t>
      </w:r>
      <w:r w:rsidRPr="00E2652F">
        <w:t xml:space="preserve"> </w:t>
      </w:r>
      <w:r w:rsidR="004603A9" w:rsidRPr="00E2652F">
        <w:t>i</w:t>
      </w:r>
      <w:r w:rsidRPr="00E2652F">
        <w:t>n certain jurisdictions.</w:t>
      </w:r>
      <w:r w:rsidR="00E429A9" w:rsidRPr="00E2652F">
        <w:t xml:space="preserve"> </w:t>
      </w:r>
      <w:r w:rsidRPr="00E2652F">
        <w:t xml:space="preserve">The emphasis </w:t>
      </w:r>
      <w:r w:rsidR="003141E2" w:rsidRPr="00E2652F">
        <w:t xml:space="preserve">in public </w:t>
      </w:r>
      <w:r w:rsidRPr="00E2652F">
        <w:t>engag</w:t>
      </w:r>
      <w:r w:rsidR="004603A9" w:rsidRPr="00E2652F">
        <w:t>ement</w:t>
      </w:r>
      <w:r w:rsidRPr="00E2652F">
        <w:t xml:space="preserve"> </w:t>
      </w:r>
      <w:r w:rsidR="003141E2" w:rsidRPr="00E2652F">
        <w:t xml:space="preserve">is </w:t>
      </w:r>
      <w:r w:rsidRPr="00E2652F">
        <w:t xml:space="preserve">to ensure that people (or groups) who </w:t>
      </w:r>
      <w:r w:rsidR="003141E2" w:rsidRPr="00E2652F">
        <w:t xml:space="preserve">could </w:t>
      </w:r>
      <w:r w:rsidRPr="00E2652F">
        <w:t xml:space="preserve">be affected by </w:t>
      </w:r>
      <w:r w:rsidR="00A85E6B" w:rsidRPr="00E2652F">
        <w:t xml:space="preserve">or involved or interested in </w:t>
      </w:r>
      <w:r w:rsidRPr="00E2652F">
        <w:t xml:space="preserve">an action </w:t>
      </w:r>
      <w:r w:rsidR="00A85E6B" w:rsidRPr="00E2652F">
        <w:t>are</w:t>
      </w:r>
      <w:r w:rsidRPr="00E2652F">
        <w:t xml:space="preserve"> informed and </w:t>
      </w:r>
      <w:r w:rsidR="003141E2" w:rsidRPr="00E2652F">
        <w:t>included</w:t>
      </w:r>
      <w:r w:rsidRPr="00E2652F">
        <w:t xml:space="preserve"> in the decision-making process according to their roles and responsibilities. It is therefore important to begin </w:t>
      </w:r>
      <w:r w:rsidR="003141E2" w:rsidRPr="00E2652F">
        <w:t xml:space="preserve">engaging the </w:t>
      </w:r>
      <w:r w:rsidRPr="00E2652F">
        <w:t xml:space="preserve">public early in the process of </w:t>
      </w:r>
      <w:r w:rsidR="003141E2" w:rsidRPr="00E2652F">
        <w:t xml:space="preserve">identification or </w:t>
      </w:r>
      <w:r w:rsidRPr="00E2652F">
        <w:t xml:space="preserve">detailed </w:t>
      </w:r>
      <w:r w:rsidR="00A85E6B" w:rsidRPr="00E2652F">
        <w:t xml:space="preserve">assessment </w:t>
      </w:r>
      <w:r w:rsidRPr="00E2652F">
        <w:t xml:space="preserve">of a contaminated site. Local knowledge can be very important </w:t>
      </w:r>
      <w:r w:rsidR="003141E2" w:rsidRPr="00E2652F">
        <w:t xml:space="preserve">for </w:t>
      </w:r>
      <w:r w:rsidRPr="00E2652F">
        <w:t>identify</w:t>
      </w:r>
      <w:r w:rsidR="003141E2" w:rsidRPr="00E2652F">
        <w:t>ing</w:t>
      </w:r>
      <w:r w:rsidRPr="00E2652F">
        <w:t xml:space="preserve"> potentially contaminated sites</w:t>
      </w:r>
      <w:r w:rsidR="003141E2" w:rsidRPr="00E2652F">
        <w:t xml:space="preserve"> and</w:t>
      </w:r>
      <w:r w:rsidRPr="00E2652F">
        <w:t xml:space="preserve"> decid</w:t>
      </w:r>
      <w:r w:rsidR="003141E2" w:rsidRPr="00E2652F">
        <w:t>ing</w:t>
      </w:r>
      <w:r w:rsidRPr="00E2652F">
        <w:t xml:space="preserve"> on the soil sampling strategy. </w:t>
      </w:r>
    </w:p>
    <w:p w14:paraId="2FD48437" w14:textId="6A2BFECA" w:rsidR="00F252EE" w:rsidRPr="00E2652F" w:rsidRDefault="003141E2" w:rsidP="00F51980">
      <w:pPr>
        <w:pStyle w:val="Normalnumber"/>
        <w:numPr>
          <w:ilvl w:val="0"/>
          <w:numId w:val="12"/>
        </w:numPr>
        <w:ind w:left="1247" w:firstLine="0"/>
      </w:pPr>
      <w:r w:rsidRPr="00E2652F">
        <w:t>T</w:t>
      </w:r>
      <w:r w:rsidR="00F252EE" w:rsidRPr="00E2652F">
        <w:t xml:space="preserve">here are a number of elements </w:t>
      </w:r>
      <w:r w:rsidRPr="00E2652F">
        <w:t xml:space="preserve">that </w:t>
      </w:r>
      <w:r w:rsidR="00F252EE" w:rsidRPr="00E2652F">
        <w:t>should be considered</w:t>
      </w:r>
      <w:r w:rsidRPr="00E2652F">
        <w:t xml:space="preserve"> when setting up a public consultation process</w:t>
      </w:r>
      <w:r w:rsidR="00F252EE" w:rsidRPr="00E2652F">
        <w:t>.</w:t>
      </w:r>
      <w:r w:rsidR="00E429A9" w:rsidRPr="00E2652F">
        <w:t xml:space="preserve"> </w:t>
      </w:r>
      <w:r w:rsidR="00F252EE" w:rsidRPr="00E2652F">
        <w:t xml:space="preserve">First, effective communication, along with a two-way process of </w:t>
      </w:r>
      <w:r w:rsidRPr="00E2652F">
        <w:t xml:space="preserve">transmitting </w:t>
      </w:r>
      <w:r w:rsidR="00F252EE" w:rsidRPr="00E2652F">
        <w:t>and receiving information</w:t>
      </w:r>
      <w:r w:rsidRPr="00E2652F">
        <w:t>,</w:t>
      </w:r>
      <w:r w:rsidR="00F252EE" w:rsidRPr="00E2652F">
        <w:t xml:space="preserve"> is important </w:t>
      </w:r>
      <w:r w:rsidRPr="00E2652F">
        <w:t xml:space="preserve">for </w:t>
      </w:r>
      <w:r w:rsidR="00F252EE" w:rsidRPr="00E2652F">
        <w:t>increas</w:t>
      </w:r>
      <w:r w:rsidRPr="00E2652F">
        <w:t>ing</w:t>
      </w:r>
      <w:r w:rsidR="00F252EE" w:rsidRPr="00E2652F">
        <w:t xml:space="preserve"> understanding among stakeholders.</w:t>
      </w:r>
      <w:r w:rsidR="00E429A9" w:rsidRPr="00E2652F">
        <w:t xml:space="preserve"> </w:t>
      </w:r>
      <w:r w:rsidR="00F252EE" w:rsidRPr="00E2652F">
        <w:t>Scientific information should be disseminated through the most effective means for the community involved to narrow the gap between real and perceived risk.</w:t>
      </w:r>
      <w:r w:rsidR="00E429A9" w:rsidRPr="00E2652F">
        <w:t xml:space="preserve"> </w:t>
      </w:r>
      <w:r w:rsidR="00A85E6B" w:rsidRPr="00E2652F">
        <w:t>E</w:t>
      </w:r>
      <w:r w:rsidR="00F252EE" w:rsidRPr="00E2652F">
        <w:t xml:space="preserve">ngagement is </w:t>
      </w:r>
      <w:r w:rsidR="00A85E6B" w:rsidRPr="00E2652F">
        <w:t xml:space="preserve">just as </w:t>
      </w:r>
      <w:r w:rsidR="00F252EE" w:rsidRPr="00E2652F">
        <w:t xml:space="preserve">important </w:t>
      </w:r>
      <w:r w:rsidR="00A85E6B" w:rsidRPr="00E2652F">
        <w:t>when the risks are perceived,</w:t>
      </w:r>
      <w:r w:rsidR="00A85E6B" w:rsidRPr="00E2652F" w:rsidDel="003141E2">
        <w:t xml:space="preserve"> </w:t>
      </w:r>
      <w:r w:rsidR="00A85E6B" w:rsidRPr="00E2652F">
        <w:t>to ensure</w:t>
      </w:r>
      <w:r w:rsidR="00F252EE" w:rsidRPr="00E2652F">
        <w:t xml:space="preserve"> that concerns are addressed.</w:t>
      </w:r>
      <w:r w:rsidR="00E429A9" w:rsidRPr="00E2652F">
        <w:t xml:space="preserve"> </w:t>
      </w:r>
      <w:r w:rsidR="00F252EE" w:rsidRPr="00E2652F">
        <w:t>While there are common elements of engagement, the approach should be tailored to the specific, unique needs of the individual community.</w:t>
      </w:r>
      <w:r w:rsidR="00E429A9" w:rsidRPr="00E2652F">
        <w:t xml:space="preserve"> </w:t>
      </w:r>
      <w:r w:rsidR="00F252EE" w:rsidRPr="00E2652F">
        <w:t xml:space="preserve">There are a number of tools and methodologies available </w:t>
      </w:r>
      <w:r w:rsidR="0080441C" w:rsidRPr="00E2652F">
        <w:t>for</w:t>
      </w:r>
      <w:r w:rsidR="00F252EE" w:rsidRPr="00E2652F">
        <w:t xml:space="preserve"> setting up a public consultation process</w:t>
      </w:r>
      <w:r w:rsidR="0080441C" w:rsidRPr="00E2652F">
        <w:t>.</w:t>
      </w:r>
      <w:r w:rsidR="00F252EE" w:rsidRPr="00E2652F">
        <w:rPr>
          <w:rStyle w:val="FootnoteReference"/>
        </w:rPr>
        <w:footnoteReference w:id="5"/>
      </w:r>
    </w:p>
    <w:p w14:paraId="06E0F2F2" w14:textId="56263AB0" w:rsidR="00F252EE" w:rsidRPr="00E2652F" w:rsidRDefault="00F252EE" w:rsidP="00F51980">
      <w:pPr>
        <w:pStyle w:val="Normalnumber"/>
        <w:numPr>
          <w:ilvl w:val="0"/>
          <w:numId w:val="12"/>
        </w:numPr>
        <w:ind w:left="1247" w:firstLine="0"/>
        <w:rPr>
          <w:sz w:val="23"/>
          <w:szCs w:val="23"/>
        </w:rPr>
      </w:pPr>
      <w:r w:rsidRPr="00E2652F">
        <w:t>It is important that community members see themselves as stakeholders in the issue at hand</w:t>
      </w:r>
      <w:r w:rsidR="0080441C" w:rsidRPr="00E2652F">
        <w:t>.</w:t>
      </w:r>
      <w:r w:rsidRPr="00E2652F">
        <w:t xml:space="preserve"> </w:t>
      </w:r>
      <w:r w:rsidR="0080441C" w:rsidRPr="00E2652F">
        <w:t>C</w:t>
      </w:r>
      <w:r w:rsidRPr="00E2652F">
        <w:t>ommunity outreach should target different levels.</w:t>
      </w:r>
      <w:r w:rsidR="00E429A9" w:rsidRPr="00E2652F">
        <w:t xml:space="preserve"> </w:t>
      </w:r>
      <w:r w:rsidR="00896A25" w:rsidRPr="00E2652F">
        <w:t>L</w:t>
      </w:r>
      <w:r w:rsidRPr="00E2652F">
        <w:t>andowners or residents l</w:t>
      </w:r>
      <w:r w:rsidR="0080441C" w:rsidRPr="00E2652F">
        <w:t>i</w:t>
      </w:r>
      <w:r w:rsidRPr="00E2652F">
        <w:t>ving near or on the site, communities affected by pollution from the sites</w:t>
      </w:r>
      <w:r w:rsidR="0080441C" w:rsidRPr="00E2652F">
        <w:t xml:space="preserve"> and</w:t>
      </w:r>
      <w:r w:rsidRPr="00E2652F">
        <w:t xml:space="preserve"> other industries in the area who </w:t>
      </w:r>
      <w:r w:rsidR="0080441C" w:rsidRPr="00E2652F">
        <w:t xml:space="preserve">might </w:t>
      </w:r>
      <w:r w:rsidRPr="00E2652F">
        <w:t>be affected by the pollution</w:t>
      </w:r>
      <w:r w:rsidR="00896A25" w:rsidRPr="00E2652F">
        <w:t xml:space="preserve"> can all be considered stakeholders</w:t>
      </w:r>
      <w:r w:rsidRPr="00E2652F">
        <w:t>.</w:t>
      </w:r>
      <w:r w:rsidR="00E429A9" w:rsidRPr="00E2652F">
        <w:t xml:space="preserve"> </w:t>
      </w:r>
      <w:r w:rsidRPr="00E2652F">
        <w:t xml:space="preserve">Site managers </w:t>
      </w:r>
      <w:r w:rsidR="00896A25" w:rsidRPr="00E2652F">
        <w:t xml:space="preserve">and </w:t>
      </w:r>
      <w:r w:rsidRPr="00E2652F">
        <w:t xml:space="preserve">workers </w:t>
      </w:r>
      <w:r w:rsidR="0080441C" w:rsidRPr="00E2652F">
        <w:t>employed at</w:t>
      </w:r>
      <w:r w:rsidRPr="00E2652F">
        <w:t xml:space="preserve"> current</w:t>
      </w:r>
      <w:r w:rsidR="0080441C" w:rsidRPr="00E2652F">
        <w:t>ly</w:t>
      </w:r>
      <w:r w:rsidRPr="00E2652F">
        <w:t xml:space="preserve"> active sites are also stakeholders</w:t>
      </w:r>
      <w:r w:rsidR="0080441C" w:rsidRPr="00E2652F">
        <w:t>; note,</w:t>
      </w:r>
      <w:r w:rsidRPr="00E2652F">
        <w:t xml:space="preserve"> however</w:t>
      </w:r>
      <w:r w:rsidR="0080441C" w:rsidRPr="00E2652F">
        <w:t>,</w:t>
      </w:r>
      <w:r w:rsidRPr="00E2652F">
        <w:t xml:space="preserve"> that if </w:t>
      </w:r>
      <w:r w:rsidR="0080441C" w:rsidRPr="00E2652F">
        <w:t xml:space="preserve">the </w:t>
      </w:r>
      <w:r w:rsidRPr="00E2652F">
        <w:t xml:space="preserve">site </w:t>
      </w:r>
      <w:r w:rsidR="0080441C" w:rsidRPr="00E2652F">
        <w:t xml:space="preserve">contamination </w:t>
      </w:r>
      <w:r w:rsidRPr="00E2652F">
        <w:t xml:space="preserve">has resulted from mishandling of </w:t>
      </w:r>
      <w:r w:rsidR="0080441C" w:rsidRPr="00E2652F">
        <w:t xml:space="preserve">mercury </w:t>
      </w:r>
      <w:r w:rsidRPr="00E2652F">
        <w:t>waste or products, for example, th</w:t>
      </w:r>
      <w:r w:rsidR="0080441C" w:rsidRPr="00E2652F">
        <w:t>e source issue</w:t>
      </w:r>
      <w:r w:rsidRPr="00E2652F">
        <w:t xml:space="preserve"> </w:t>
      </w:r>
      <w:r w:rsidR="004E63A4" w:rsidRPr="00E2652F">
        <w:t>should</w:t>
      </w:r>
      <w:r w:rsidRPr="00E2652F">
        <w:t xml:space="preserve"> be addressed before any additional action is taken.</w:t>
      </w:r>
      <w:r w:rsidR="00E429A9" w:rsidRPr="00E2652F">
        <w:t xml:space="preserve"> </w:t>
      </w:r>
      <w:r w:rsidRPr="00E2652F">
        <w:t xml:space="preserve">In some cases, there may be local community groups who </w:t>
      </w:r>
      <w:r w:rsidR="00896A25" w:rsidRPr="00E2652F">
        <w:t>can</w:t>
      </w:r>
      <w:r w:rsidRPr="00E2652F">
        <w:t xml:space="preserve"> speak on behalf of the community as a whole or for </w:t>
      </w:r>
      <w:r w:rsidR="0080441C" w:rsidRPr="00E2652F">
        <w:t xml:space="preserve">segments </w:t>
      </w:r>
      <w:r w:rsidRPr="00E2652F">
        <w:t>of the community</w:t>
      </w:r>
      <w:r w:rsidR="00896A25" w:rsidRPr="00E2652F">
        <w:t xml:space="preserve">, such as </w:t>
      </w:r>
      <w:r w:rsidRPr="00E2652F">
        <w:t xml:space="preserve">non-governmental organizations </w:t>
      </w:r>
      <w:r w:rsidR="00896A25" w:rsidRPr="00E2652F">
        <w:t xml:space="preserve">and </w:t>
      </w:r>
      <w:r w:rsidRPr="00E2652F">
        <w:t>public health workers.</w:t>
      </w:r>
      <w:r w:rsidRPr="00E2652F">
        <w:rPr>
          <w:sz w:val="23"/>
          <w:szCs w:val="23"/>
        </w:rPr>
        <w:t xml:space="preserve"> </w:t>
      </w:r>
      <w:r w:rsidRPr="00E2652F">
        <w:t>In some cases, particularly where there are long-standing issues between stakeholders, it may be beneficial for consultations to be run through an independent third party (such as a consultant or an academic).</w:t>
      </w:r>
      <w:r w:rsidR="00E429A9" w:rsidRPr="00E2652F">
        <w:t xml:space="preserve"> </w:t>
      </w:r>
      <w:r w:rsidRPr="00E2652F">
        <w:t xml:space="preserve">Such a third party </w:t>
      </w:r>
      <w:r w:rsidR="0080441C" w:rsidRPr="00E2652F">
        <w:t xml:space="preserve">might </w:t>
      </w:r>
      <w:r w:rsidRPr="00E2652F">
        <w:t xml:space="preserve">be involved purely for the public outreach part of the process or be engaged in other activities associated with the identification or even the potential remediation of contaminated sites. </w:t>
      </w:r>
    </w:p>
    <w:p w14:paraId="7ED4F3E5" w14:textId="3EADD412" w:rsidR="00F252EE" w:rsidRPr="00E2652F" w:rsidRDefault="00896A25" w:rsidP="00F51980">
      <w:pPr>
        <w:pStyle w:val="Normalnumber"/>
        <w:numPr>
          <w:ilvl w:val="0"/>
          <w:numId w:val="12"/>
        </w:numPr>
        <w:ind w:left="1247" w:firstLine="0"/>
      </w:pPr>
      <w:r w:rsidRPr="00E2652F">
        <w:t>Q</w:t>
      </w:r>
      <w:r w:rsidR="00F252EE" w:rsidRPr="00E2652F">
        <w:t>uality of input should be emphasi</w:t>
      </w:r>
      <w:r w:rsidR="00DF5E7F" w:rsidRPr="00E2652F">
        <w:t>z</w:t>
      </w:r>
      <w:r w:rsidR="00F252EE" w:rsidRPr="00E2652F">
        <w:t>ed</w:t>
      </w:r>
      <w:r w:rsidR="00DF5E7F" w:rsidRPr="00E2652F">
        <w:t xml:space="preserve"> over</w:t>
      </w:r>
      <w:r w:rsidR="00F252EE" w:rsidRPr="00E2652F">
        <w:t xml:space="preserve"> quantity, and engagement should be focused </w:t>
      </w:r>
      <w:r w:rsidR="00EB5F59" w:rsidRPr="00E2652F">
        <w:t xml:space="preserve">at least </w:t>
      </w:r>
      <w:r w:rsidR="00F252EE" w:rsidRPr="00E2652F">
        <w:t>as much on gaining information from the community</w:t>
      </w:r>
      <w:r w:rsidR="00DF5E7F" w:rsidRPr="00E2652F">
        <w:t xml:space="preserve"> </w:t>
      </w:r>
      <w:r w:rsidR="00F252EE" w:rsidRPr="00E2652F">
        <w:t xml:space="preserve">as </w:t>
      </w:r>
      <w:r w:rsidR="00EB5F59" w:rsidRPr="00E2652F">
        <w:t xml:space="preserve">on </w:t>
      </w:r>
      <w:r w:rsidR="00F252EE" w:rsidRPr="00E2652F">
        <w:t>providing information to the community.</w:t>
      </w:r>
      <w:r w:rsidR="00E429A9" w:rsidRPr="00E2652F">
        <w:t xml:space="preserve"> </w:t>
      </w:r>
      <w:r w:rsidR="00F252EE" w:rsidRPr="00E2652F">
        <w:t xml:space="preserve">It is important that the community engagement process </w:t>
      </w:r>
      <w:r w:rsidR="00EB5F59" w:rsidRPr="00E2652F">
        <w:t xml:space="preserve">be </w:t>
      </w:r>
      <w:r w:rsidR="004E63A4" w:rsidRPr="00E2652F">
        <w:t>under way</w:t>
      </w:r>
      <w:r w:rsidR="00F252EE" w:rsidRPr="00E2652F">
        <w:t xml:space="preserve"> throughout the site investigation, management and/or remediation activities</w:t>
      </w:r>
      <w:r w:rsidR="00DF5E7F" w:rsidRPr="00E2652F">
        <w:t>,</w:t>
      </w:r>
      <w:r w:rsidR="00F252EE" w:rsidRPr="00E2652F">
        <w:t xml:space="preserve"> as the management phase can involve significantly increased risk to adjacent communities. Excavation of contaminated materials </w:t>
      </w:r>
      <w:r w:rsidR="00E73310" w:rsidRPr="00E2652F">
        <w:t>and</w:t>
      </w:r>
      <w:r w:rsidR="00F252EE" w:rsidRPr="00E2652F">
        <w:t xml:space="preserve"> in-situ treatment can release dust, vapours and odour</w:t>
      </w:r>
      <w:r w:rsidR="00E73310" w:rsidRPr="00E2652F">
        <w:t>s</w:t>
      </w:r>
      <w:r w:rsidR="00F252EE" w:rsidRPr="00E2652F">
        <w:t xml:space="preserve">. A useful engagement mechanism can be the establishment of a community consultation committee where technical, practical and anecdotal information can be exchanged between </w:t>
      </w:r>
      <w:r w:rsidR="00E73310" w:rsidRPr="00E2652F">
        <w:t xml:space="preserve">the </w:t>
      </w:r>
      <w:r w:rsidR="00F252EE" w:rsidRPr="00E2652F">
        <w:t xml:space="preserve">authorities, </w:t>
      </w:r>
      <w:r w:rsidR="00EB5F59" w:rsidRPr="00E2652F">
        <w:t xml:space="preserve">the </w:t>
      </w:r>
      <w:r w:rsidR="00F252EE" w:rsidRPr="00E2652F">
        <w:t xml:space="preserve">site contractors and the community to ensure a shared understanding of proposed activities at the contaminated site. </w:t>
      </w:r>
      <w:r w:rsidR="00E73310" w:rsidRPr="00E2652F">
        <w:t xml:space="preserve">Such a committee </w:t>
      </w:r>
      <w:r w:rsidR="00F252EE" w:rsidRPr="00E2652F">
        <w:t xml:space="preserve">can also be a useful forum </w:t>
      </w:r>
      <w:r w:rsidR="00E73310" w:rsidRPr="00E2652F">
        <w:t xml:space="preserve">for </w:t>
      </w:r>
      <w:r w:rsidR="00F252EE" w:rsidRPr="00E2652F">
        <w:t>consider</w:t>
      </w:r>
      <w:r w:rsidR="00E73310" w:rsidRPr="00E2652F">
        <w:t>ing</w:t>
      </w:r>
      <w:r w:rsidR="00F252EE" w:rsidRPr="00E2652F">
        <w:t xml:space="preserve"> monitoring programmes (</w:t>
      </w:r>
      <w:r w:rsidR="00EB5F59" w:rsidRPr="00E2652F">
        <w:t xml:space="preserve">for </w:t>
      </w:r>
      <w:r w:rsidR="00F252EE" w:rsidRPr="00E2652F">
        <w:t>vapour, dust</w:t>
      </w:r>
      <w:r w:rsidR="00E73310" w:rsidRPr="00E2652F">
        <w:t>,</w:t>
      </w:r>
      <w:r w:rsidR="00F252EE" w:rsidRPr="00E2652F">
        <w:t xml:space="preserve"> etc</w:t>
      </w:r>
      <w:r w:rsidR="00E73310" w:rsidRPr="00E2652F">
        <w:t>.</w:t>
      </w:r>
      <w:r w:rsidR="00F252EE" w:rsidRPr="00E2652F">
        <w:t xml:space="preserve">) </w:t>
      </w:r>
      <w:r w:rsidR="00E73310" w:rsidRPr="00E2652F">
        <w:t xml:space="preserve">that might </w:t>
      </w:r>
      <w:r w:rsidR="00F252EE" w:rsidRPr="00E2652F">
        <w:t xml:space="preserve">be </w:t>
      </w:r>
      <w:r w:rsidR="00E73310" w:rsidRPr="00E2652F">
        <w:t xml:space="preserve">introduced </w:t>
      </w:r>
      <w:r w:rsidR="00F252EE" w:rsidRPr="00E2652F">
        <w:t xml:space="preserve">at and around the site to address community concerns during </w:t>
      </w:r>
      <w:r w:rsidR="00E73310" w:rsidRPr="00E2652F">
        <w:t xml:space="preserve">the management </w:t>
      </w:r>
      <w:r w:rsidR="00F252EE" w:rsidRPr="00E2652F">
        <w:t>phase.</w:t>
      </w:r>
    </w:p>
    <w:p w14:paraId="18EC8376" w14:textId="00FDFCFB" w:rsidR="00F252EE" w:rsidRPr="00E2652F" w:rsidRDefault="00F252EE" w:rsidP="00F51980">
      <w:pPr>
        <w:pStyle w:val="Normalnumber"/>
        <w:numPr>
          <w:ilvl w:val="0"/>
          <w:numId w:val="12"/>
        </w:numPr>
        <w:ind w:left="1247" w:firstLine="0"/>
      </w:pPr>
      <w:r w:rsidRPr="00E2652F">
        <w:t>The expertise of the local community members should be recognized, as they may have the greatest knowledge and experience o</w:t>
      </w:r>
      <w:r w:rsidR="00E73310" w:rsidRPr="00E2652F">
        <w:t>f</w:t>
      </w:r>
      <w:r w:rsidRPr="00E2652F">
        <w:t xml:space="preserve"> the history, effects and impact of contaminated sites, as well as </w:t>
      </w:r>
      <w:r w:rsidR="00E73310" w:rsidRPr="00E2652F">
        <w:t xml:space="preserve">any </w:t>
      </w:r>
      <w:r w:rsidRPr="00E2652F">
        <w:t>changes in the effects</w:t>
      </w:r>
      <w:r w:rsidR="00E73310" w:rsidRPr="00E2652F">
        <w:t xml:space="preserve"> over time</w:t>
      </w:r>
      <w:r w:rsidRPr="00E2652F">
        <w:t>.</w:t>
      </w:r>
      <w:r w:rsidR="00E429A9" w:rsidRPr="00E2652F">
        <w:t xml:space="preserve"> </w:t>
      </w:r>
      <w:r w:rsidRPr="00E2652F">
        <w:t xml:space="preserve">This </w:t>
      </w:r>
      <w:r w:rsidR="00E73310" w:rsidRPr="00E2652F">
        <w:t xml:space="preserve">could </w:t>
      </w:r>
      <w:r w:rsidRPr="00E2652F">
        <w:t xml:space="preserve">contribute to </w:t>
      </w:r>
      <w:r w:rsidR="00E73310" w:rsidRPr="00E2652F">
        <w:t xml:space="preserve">an </w:t>
      </w:r>
      <w:r w:rsidRPr="00E2652F">
        <w:t xml:space="preserve">understanding </w:t>
      </w:r>
      <w:r w:rsidR="00E73310" w:rsidRPr="00E2652F">
        <w:t xml:space="preserve">of </w:t>
      </w:r>
      <w:r w:rsidRPr="00E2652F">
        <w:t>what issues need to be evaluated.</w:t>
      </w:r>
      <w:r w:rsidR="00E429A9" w:rsidRPr="00E2652F">
        <w:t xml:space="preserve"> </w:t>
      </w:r>
      <w:r w:rsidRPr="00E2652F">
        <w:t xml:space="preserve">A comprehensive approach to the management of contaminated site </w:t>
      </w:r>
      <w:r w:rsidR="00E73310" w:rsidRPr="00E2652F">
        <w:t xml:space="preserve">is one that </w:t>
      </w:r>
      <w:r w:rsidRPr="00E2652F">
        <w:t>closely involve</w:t>
      </w:r>
      <w:r w:rsidR="00E73310" w:rsidRPr="00E2652F">
        <w:t>s</w:t>
      </w:r>
      <w:r w:rsidRPr="00E2652F">
        <w:t xml:space="preserve"> local community members </w:t>
      </w:r>
      <w:r w:rsidR="00E73310" w:rsidRPr="00E2652F">
        <w:t xml:space="preserve">and considers them </w:t>
      </w:r>
      <w:r w:rsidRPr="00E2652F">
        <w:t xml:space="preserve">as </w:t>
      </w:r>
      <w:r w:rsidR="00E73310" w:rsidRPr="00E2652F">
        <w:t>the</w:t>
      </w:r>
      <w:r w:rsidRPr="00E2652F">
        <w:t xml:space="preserve"> </w:t>
      </w:r>
      <w:r w:rsidR="00E73310" w:rsidRPr="00E2652F">
        <w:t xml:space="preserve">focus </w:t>
      </w:r>
      <w:r w:rsidRPr="00E2652F">
        <w:t xml:space="preserve">of activities affecting the community. </w:t>
      </w:r>
    </w:p>
    <w:p w14:paraId="447C0482" w14:textId="45F069C6" w:rsidR="00F252EE" w:rsidRPr="00E2652F" w:rsidRDefault="00E74A75" w:rsidP="00582B27">
      <w:pPr>
        <w:pStyle w:val="Normalnumber"/>
        <w:numPr>
          <w:ilvl w:val="0"/>
          <w:numId w:val="12"/>
        </w:numPr>
        <w:spacing w:after="100"/>
        <w:ind w:left="1247" w:firstLine="0"/>
      </w:pPr>
      <w:r w:rsidRPr="00E2652F">
        <w:t>T</w:t>
      </w:r>
      <w:r w:rsidR="00F252EE" w:rsidRPr="00E2652F">
        <w:t xml:space="preserve">he process of engaging the public </w:t>
      </w:r>
      <w:r w:rsidR="009C617C" w:rsidRPr="00E2652F">
        <w:t xml:space="preserve">could </w:t>
      </w:r>
      <w:r w:rsidR="00F252EE" w:rsidRPr="00E2652F">
        <w:t xml:space="preserve">begin with </w:t>
      </w:r>
      <w:r w:rsidR="00656BB7" w:rsidRPr="00E2652F">
        <w:t>giving</w:t>
      </w:r>
      <w:r w:rsidR="00F252EE" w:rsidRPr="00E2652F">
        <w:t xml:space="preserve"> information to the community</w:t>
      </w:r>
      <w:r w:rsidR="009C617C" w:rsidRPr="00E2652F">
        <w:t xml:space="preserve"> involved</w:t>
      </w:r>
      <w:r w:rsidR="00F252EE" w:rsidRPr="00E2652F">
        <w:t>.</w:t>
      </w:r>
      <w:r w:rsidR="00E429A9" w:rsidRPr="00E2652F">
        <w:t xml:space="preserve"> </w:t>
      </w:r>
      <w:r w:rsidR="00F252EE" w:rsidRPr="00E2652F">
        <w:t xml:space="preserve">Information provided at this stage </w:t>
      </w:r>
      <w:r w:rsidR="009C617C" w:rsidRPr="00E2652F">
        <w:t xml:space="preserve">could </w:t>
      </w:r>
      <w:r w:rsidR="00F252EE" w:rsidRPr="00E2652F">
        <w:t>include background information about the site, including information on past uses and the suspected nature of the contamination.</w:t>
      </w:r>
      <w:r w:rsidR="00E429A9" w:rsidRPr="00E2652F">
        <w:t xml:space="preserve"> </w:t>
      </w:r>
      <w:r w:rsidR="00F252EE" w:rsidRPr="00E2652F">
        <w:t xml:space="preserve">This </w:t>
      </w:r>
      <w:r w:rsidR="009C617C" w:rsidRPr="00E2652F">
        <w:t xml:space="preserve">can </w:t>
      </w:r>
      <w:r w:rsidR="00F252EE" w:rsidRPr="00E2652F">
        <w:t>be key to get</w:t>
      </w:r>
      <w:r w:rsidR="009C617C" w:rsidRPr="00E2652F">
        <w:t>ting</w:t>
      </w:r>
      <w:r w:rsidR="00F252EE" w:rsidRPr="00E2652F">
        <w:t xml:space="preserve"> community cooperation and compliance, particularly with </w:t>
      </w:r>
      <w:r w:rsidR="009C617C" w:rsidRPr="00E2652F">
        <w:t xml:space="preserve">the </w:t>
      </w:r>
      <w:r w:rsidR="00F252EE" w:rsidRPr="00E2652F">
        <w:t xml:space="preserve">initial measures that may </w:t>
      </w:r>
      <w:r w:rsidR="009C617C" w:rsidRPr="00E2652F">
        <w:t xml:space="preserve">need to </w:t>
      </w:r>
      <w:r w:rsidR="00F252EE" w:rsidRPr="00E2652F">
        <w:t xml:space="preserve">be taken (for example, </w:t>
      </w:r>
      <w:r w:rsidR="009C617C" w:rsidRPr="00E2652F">
        <w:t xml:space="preserve">installing </w:t>
      </w:r>
      <w:r w:rsidR="00F252EE" w:rsidRPr="00E2652F">
        <w:t>fencing to prevent entry to contaminated areas), as well as with site remediation activities.</w:t>
      </w:r>
      <w:r w:rsidR="00E429A9" w:rsidRPr="00E2652F">
        <w:t xml:space="preserve"> </w:t>
      </w:r>
      <w:r w:rsidR="00F252EE" w:rsidRPr="00E2652F">
        <w:t xml:space="preserve">Ongoing activity at the site </w:t>
      </w:r>
      <w:r w:rsidR="009C617C" w:rsidRPr="00E2652F">
        <w:t xml:space="preserve">might </w:t>
      </w:r>
      <w:r w:rsidR="00F252EE" w:rsidRPr="00E2652F">
        <w:t xml:space="preserve">make such engagement more difficult. Other information </w:t>
      </w:r>
      <w:r w:rsidR="009C617C" w:rsidRPr="00E2652F">
        <w:t xml:space="preserve">that </w:t>
      </w:r>
      <w:r w:rsidR="00F252EE" w:rsidRPr="00E2652F">
        <w:t>should be provided include</w:t>
      </w:r>
      <w:r w:rsidR="009C617C" w:rsidRPr="00E2652F">
        <w:t>s</w:t>
      </w:r>
      <w:r w:rsidR="00F252EE" w:rsidRPr="00E2652F">
        <w:t xml:space="preserve"> a statement on how the community is being asked to engage, as this assists in setting common expectations for the work.</w:t>
      </w:r>
      <w:r w:rsidR="00E429A9" w:rsidRPr="00E2652F">
        <w:t xml:space="preserve"> </w:t>
      </w:r>
      <w:r w:rsidR="00F252EE" w:rsidRPr="00E2652F">
        <w:t>An initial timeline for activities, including any deadlines for submissions or production of reports</w:t>
      </w:r>
      <w:r w:rsidR="009C617C" w:rsidRPr="00E2652F">
        <w:t>,</w:t>
      </w:r>
      <w:r w:rsidR="00F252EE" w:rsidRPr="00E2652F">
        <w:t xml:space="preserve"> should </w:t>
      </w:r>
      <w:r w:rsidR="00656BB7" w:rsidRPr="00E2652F">
        <w:t xml:space="preserve">also </w:t>
      </w:r>
      <w:r w:rsidR="00F252EE" w:rsidRPr="00E2652F">
        <w:t>be provided.</w:t>
      </w:r>
      <w:r w:rsidR="00E429A9" w:rsidRPr="00E2652F">
        <w:t xml:space="preserve"> </w:t>
      </w:r>
      <w:r w:rsidR="00F252EE" w:rsidRPr="00E2652F">
        <w:t xml:space="preserve">The initial information </w:t>
      </w:r>
      <w:r w:rsidR="009C617C" w:rsidRPr="00E2652F">
        <w:t xml:space="preserve">can </w:t>
      </w:r>
      <w:r w:rsidR="00F252EE" w:rsidRPr="00E2652F">
        <w:t xml:space="preserve">be </w:t>
      </w:r>
      <w:r w:rsidR="009C617C" w:rsidRPr="00E2652F">
        <w:t xml:space="preserve">provided </w:t>
      </w:r>
      <w:r w:rsidR="00F252EE" w:rsidRPr="00E2652F">
        <w:t xml:space="preserve">through </w:t>
      </w:r>
      <w:r w:rsidR="009C617C" w:rsidRPr="00E2652F">
        <w:t xml:space="preserve">the </w:t>
      </w:r>
      <w:r w:rsidR="00F252EE" w:rsidRPr="00E2652F">
        <w:t xml:space="preserve">distribution of printed material </w:t>
      </w:r>
      <w:r w:rsidR="00165CAB" w:rsidRPr="00E2652F">
        <w:t xml:space="preserve">(such as flyers) </w:t>
      </w:r>
      <w:r w:rsidR="00F252EE" w:rsidRPr="00E2652F">
        <w:t>directly within the community</w:t>
      </w:r>
      <w:r w:rsidR="00165CAB" w:rsidRPr="00E2652F">
        <w:t xml:space="preserve"> or</w:t>
      </w:r>
      <w:r w:rsidR="00F252EE" w:rsidRPr="00E2652F">
        <w:t xml:space="preserve"> through publication in local or community newspapers or </w:t>
      </w:r>
      <w:r w:rsidR="00165CAB" w:rsidRPr="00E2652F">
        <w:t xml:space="preserve">on </w:t>
      </w:r>
      <w:r w:rsidR="00F252EE" w:rsidRPr="00E2652F">
        <w:t>relevant websites.</w:t>
      </w:r>
      <w:r w:rsidR="00E429A9" w:rsidRPr="00E2652F">
        <w:t xml:space="preserve"> </w:t>
      </w:r>
      <w:r w:rsidR="00F252EE" w:rsidRPr="00E2652F">
        <w:t xml:space="preserve">Local radio </w:t>
      </w:r>
      <w:r w:rsidR="00165CAB" w:rsidRPr="00E2652F">
        <w:t>and</w:t>
      </w:r>
      <w:r w:rsidR="00F252EE" w:rsidRPr="00E2652F">
        <w:t xml:space="preserve"> television stations </w:t>
      </w:r>
      <w:r w:rsidR="00165CAB" w:rsidRPr="00E2652F">
        <w:t xml:space="preserve">can </w:t>
      </w:r>
      <w:r w:rsidR="00F252EE" w:rsidRPr="00E2652F">
        <w:t>be used to disseminate information and publici</w:t>
      </w:r>
      <w:r w:rsidR="00165CAB" w:rsidRPr="00E2652F">
        <w:t>z</w:t>
      </w:r>
      <w:r w:rsidR="00F252EE" w:rsidRPr="00E2652F">
        <w:t xml:space="preserve">e key activities. Contact information should be provided so that those interested in obtaining further information </w:t>
      </w:r>
      <w:r w:rsidR="00165CAB" w:rsidRPr="00E2652F">
        <w:t>can</w:t>
      </w:r>
      <w:r w:rsidR="00F252EE" w:rsidRPr="00E2652F">
        <w:t xml:space="preserve"> do so. </w:t>
      </w:r>
    </w:p>
    <w:p w14:paraId="64C5C35E" w14:textId="441245DC" w:rsidR="00F252EE" w:rsidRPr="00E2652F" w:rsidRDefault="00F252EE" w:rsidP="00582B27">
      <w:pPr>
        <w:pStyle w:val="Normalnumber"/>
        <w:numPr>
          <w:ilvl w:val="0"/>
          <w:numId w:val="12"/>
        </w:numPr>
        <w:spacing w:after="100"/>
        <w:ind w:left="1247" w:firstLine="0"/>
      </w:pPr>
      <w:r w:rsidRPr="00E2652F">
        <w:t>An initial plan setting out the ways in which the public will be engaged</w:t>
      </w:r>
      <w:r w:rsidR="00656BB7" w:rsidRPr="00E2652F">
        <w:t xml:space="preserve"> should be provided</w:t>
      </w:r>
      <w:r w:rsidRPr="00E2652F">
        <w:t xml:space="preserve">, </w:t>
      </w:r>
      <w:r w:rsidR="006C54C8" w:rsidRPr="00E2652F">
        <w:t>including</w:t>
      </w:r>
      <w:r w:rsidRPr="00E2652F">
        <w:t xml:space="preserve"> a timeline for the </w:t>
      </w:r>
      <w:r w:rsidR="006C54C8" w:rsidRPr="00E2652F">
        <w:t xml:space="preserve">proposed engagement </w:t>
      </w:r>
      <w:r w:rsidRPr="00E2652F">
        <w:t xml:space="preserve">activities. </w:t>
      </w:r>
      <w:r w:rsidR="006C54C8" w:rsidRPr="00E2652F">
        <w:t xml:space="preserve">Where inputs are being solicited, information should be provided on how the information will be collected and how it will be used. </w:t>
      </w:r>
      <w:r w:rsidRPr="00E2652F">
        <w:t xml:space="preserve">Public engagement </w:t>
      </w:r>
      <w:r w:rsidR="006C54C8" w:rsidRPr="00E2652F">
        <w:t>activities can include</w:t>
      </w:r>
      <w:r w:rsidRPr="00E2652F">
        <w:t xml:space="preserve"> public meetings</w:t>
      </w:r>
      <w:r w:rsidR="006C54C8" w:rsidRPr="00E2652F">
        <w:t>,</w:t>
      </w:r>
      <w:r w:rsidRPr="00E2652F">
        <w:t xml:space="preserve"> which may be held at central community locations, or, in some cases, </w:t>
      </w:r>
      <w:r w:rsidR="006C54C8" w:rsidRPr="00E2652F">
        <w:t xml:space="preserve">at </w:t>
      </w:r>
      <w:r w:rsidRPr="00E2652F">
        <w:t>the affected site.</w:t>
      </w:r>
      <w:r w:rsidR="00E429A9" w:rsidRPr="00E2652F">
        <w:t xml:space="preserve"> </w:t>
      </w:r>
      <w:r w:rsidRPr="00E2652F">
        <w:t xml:space="preserve">Public meetings </w:t>
      </w:r>
      <w:r w:rsidR="006C54C8" w:rsidRPr="00E2652F">
        <w:t>can have</w:t>
      </w:r>
      <w:r w:rsidRPr="00E2652F">
        <w:t xml:space="preserve"> different formats, and different types of meetings may prove useful at different stages of the work.</w:t>
      </w:r>
      <w:r w:rsidR="00E429A9" w:rsidRPr="00E2652F">
        <w:t xml:space="preserve"> </w:t>
      </w:r>
      <w:r w:rsidR="006C54C8" w:rsidRPr="00E2652F">
        <w:t>“</w:t>
      </w:r>
      <w:r w:rsidRPr="00E2652F">
        <w:t>Town hall</w:t>
      </w:r>
      <w:r w:rsidR="006C54C8" w:rsidRPr="00E2652F">
        <w:t>”</w:t>
      </w:r>
      <w:r w:rsidRPr="00E2652F">
        <w:t xml:space="preserve"> meetings, where key individuals speak to major </w:t>
      </w:r>
      <w:r w:rsidR="006C54C8" w:rsidRPr="00E2652F">
        <w:t xml:space="preserve">discussion </w:t>
      </w:r>
      <w:r w:rsidRPr="00E2652F">
        <w:t xml:space="preserve">points followed by a question and answer session, </w:t>
      </w:r>
      <w:r w:rsidR="006C54C8" w:rsidRPr="00E2652F">
        <w:t xml:space="preserve">can </w:t>
      </w:r>
      <w:r w:rsidRPr="00E2652F">
        <w:t xml:space="preserve">be useful for initial engagement, while workshop or design meeting formats </w:t>
      </w:r>
      <w:r w:rsidR="006C54C8" w:rsidRPr="00E2652F">
        <w:t xml:space="preserve">can </w:t>
      </w:r>
      <w:r w:rsidRPr="00E2652F">
        <w:t xml:space="preserve">be useful </w:t>
      </w:r>
      <w:r w:rsidR="006C54C8" w:rsidRPr="00E2652F">
        <w:t xml:space="preserve">at later stages </w:t>
      </w:r>
      <w:r w:rsidRPr="00E2652F">
        <w:t xml:space="preserve">to increase interaction and </w:t>
      </w:r>
      <w:r w:rsidR="00656BB7" w:rsidRPr="00E2652F">
        <w:t xml:space="preserve">arrive at </w:t>
      </w:r>
      <w:r w:rsidRPr="00E2652F">
        <w:t>agree</w:t>
      </w:r>
      <w:r w:rsidR="00656BB7" w:rsidRPr="00E2652F">
        <w:t>d</w:t>
      </w:r>
      <w:r w:rsidR="006C54C8" w:rsidRPr="00E2652F">
        <w:t xml:space="preserve"> </w:t>
      </w:r>
      <w:r w:rsidRPr="00E2652F">
        <w:t xml:space="preserve">conclusions. Consideration should also be given to </w:t>
      </w:r>
      <w:r w:rsidR="006C54C8" w:rsidRPr="00E2652F">
        <w:t xml:space="preserve">creating </w:t>
      </w:r>
      <w:r w:rsidRPr="00E2652F">
        <w:t>opportunities for individuals to provide input in a confidential way, to avoid any possible pressure from facility owners or operators</w:t>
      </w:r>
      <w:r w:rsidR="006C54C8" w:rsidRPr="00E2652F">
        <w:t>,</w:t>
      </w:r>
      <w:r w:rsidRPr="00E2652F">
        <w:t xml:space="preserve"> particularly on workers. </w:t>
      </w:r>
    </w:p>
    <w:p w14:paraId="11E4ECAE" w14:textId="0EE31A05" w:rsidR="00F252EE" w:rsidRPr="00E2652F" w:rsidRDefault="00F252EE" w:rsidP="00582B27">
      <w:pPr>
        <w:pStyle w:val="Normalnumber"/>
        <w:numPr>
          <w:ilvl w:val="0"/>
          <w:numId w:val="12"/>
        </w:numPr>
        <w:spacing w:after="100"/>
        <w:ind w:left="1247" w:firstLine="0"/>
      </w:pPr>
      <w:r w:rsidRPr="00E2652F">
        <w:t>Different methodologies for engaging with the public may be appropriate</w:t>
      </w:r>
      <w:r w:rsidR="006C54C8" w:rsidRPr="00E2652F">
        <w:t>,</w:t>
      </w:r>
      <w:r w:rsidRPr="00E2652F">
        <w:t xml:space="preserve"> depending on the phase of the process (</w:t>
      </w:r>
      <w:r w:rsidR="00656BB7" w:rsidRPr="00E2652F">
        <w:t xml:space="preserve">site </w:t>
      </w:r>
      <w:r w:rsidRPr="00E2652F">
        <w:t>identification, investigation, remediation, aftercare</w:t>
      </w:r>
      <w:r w:rsidR="006C54C8" w:rsidRPr="00E2652F">
        <w:t>,</w:t>
      </w:r>
      <w:r w:rsidRPr="00E2652F">
        <w:t xml:space="preserve"> etc</w:t>
      </w:r>
      <w:r w:rsidR="006C54C8" w:rsidRPr="00E2652F">
        <w:t>.</w:t>
      </w:r>
      <w:r w:rsidRPr="00E2652F">
        <w:t xml:space="preserve">). The results of the public consultation process and the decisions on future activities should be disseminated in a similar manner </w:t>
      </w:r>
      <w:r w:rsidR="00001748" w:rsidRPr="00E2652F">
        <w:t xml:space="preserve">as </w:t>
      </w:r>
      <w:r w:rsidRPr="00E2652F">
        <w:t xml:space="preserve">the initial </w:t>
      </w:r>
      <w:r w:rsidR="00001748" w:rsidRPr="00E2652F">
        <w:t xml:space="preserve">information at the start of the </w:t>
      </w:r>
      <w:r w:rsidRPr="00E2652F">
        <w:t xml:space="preserve">engagement process. </w:t>
      </w:r>
    </w:p>
    <w:p w14:paraId="5D7AA185" w14:textId="2D288A1F" w:rsidR="00F252EE" w:rsidRPr="00E2652F" w:rsidRDefault="00F23D44" w:rsidP="00582B27">
      <w:pPr>
        <w:pStyle w:val="CH1"/>
        <w:spacing w:before="200"/>
      </w:pPr>
      <w:r w:rsidRPr="00E2652F">
        <w:rPr>
          <w:rFonts w:ascii="Arial" w:hAnsi="Arial" w:cs="Arial"/>
          <w:color w:val="000000"/>
          <w:sz w:val="24"/>
          <w:szCs w:val="24"/>
        </w:rPr>
        <w:tab/>
      </w:r>
      <w:bookmarkStart w:id="21" w:name="_Toc524355408"/>
      <w:r w:rsidR="00F252EE" w:rsidRPr="00E2652F">
        <w:t>D.</w:t>
      </w:r>
      <w:r w:rsidR="00F252EE" w:rsidRPr="00E2652F">
        <w:tab/>
        <w:t>Human health and environmental risk assessments</w:t>
      </w:r>
      <w:bookmarkEnd w:id="21"/>
    </w:p>
    <w:p w14:paraId="44935C88" w14:textId="4A6E5A40" w:rsidR="00F252EE" w:rsidRPr="00E2652F" w:rsidRDefault="00F252EE" w:rsidP="00582B27">
      <w:pPr>
        <w:pStyle w:val="Normalnumber"/>
        <w:numPr>
          <w:ilvl w:val="0"/>
          <w:numId w:val="12"/>
        </w:numPr>
        <w:spacing w:after="100"/>
        <w:ind w:left="1247" w:firstLine="0"/>
      </w:pPr>
      <w:r w:rsidRPr="00E2652F">
        <w:t>The hazards of mercury are well</w:t>
      </w:r>
      <w:r w:rsidR="00DE1385" w:rsidRPr="00E2652F">
        <w:t xml:space="preserve"> </w:t>
      </w:r>
      <w:r w:rsidRPr="00E2652F">
        <w:t xml:space="preserve">recognized, with extensive </w:t>
      </w:r>
      <w:r w:rsidR="00DE1385" w:rsidRPr="00E2652F">
        <w:t xml:space="preserve">scientific </w:t>
      </w:r>
      <w:r w:rsidRPr="00E2652F">
        <w:t>information available on the effects of exposure to mercury, including elemental mercury, inorganic mercury and methylmercury.</w:t>
      </w:r>
      <w:r w:rsidR="00E429A9" w:rsidRPr="00E2652F">
        <w:t xml:space="preserve"> </w:t>
      </w:r>
      <w:r w:rsidRPr="00E2652F">
        <w:t>There is, however</w:t>
      </w:r>
      <w:r w:rsidR="00DE1385" w:rsidRPr="00E2652F">
        <w:t>,</w:t>
      </w:r>
      <w:r w:rsidRPr="00E2652F">
        <w:t xml:space="preserve"> a need to ensure that information is available to the broader public. </w:t>
      </w:r>
    </w:p>
    <w:p w14:paraId="2E2D6F2B" w14:textId="55704201" w:rsidR="00F252EE" w:rsidRPr="00E2652F" w:rsidRDefault="00DE1385" w:rsidP="00582B27">
      <w:pPr>
        <w:pStyle w:val="Normalnumber"/>
        <w:numPr>
          <w:ilvl w:val="0"/>
          <w:numId w:val="12"/>
        </w:numPr>
        <w:spacing w:after="100"/>
        <w:ind w:left="1247" w:firstLine="0"/>
      </w:pPr>
      <w:r w:rsidRPr="00E2652F">
        <w:t xml:space="preserve">According to </w:t>
      </w:r>
      <w:r w:rsidR="00F252EE" w:rsidRPr="00E2652F">
        <w:t>the World Health Organization (WHO)</w:t>
      </w:r>
      <w:r w:rsidRPr="00E2652F">
        <w:t>,</w:t>
      </w:r>
      <w:r w:rsidR="00F252EE" w:rsidRPr="00E2652F">
        <w:t xml:space="preserve"> elemental </w:t>
      </w:r>
      <w:r w:rsidR="00907D51" w:rsidRPr="00E2652F">
        <w:t xml:space="preserve">mercury </w:t>
      </w:r>
      <w:r w:rsidR="00F252EE" w:rsidRPr="00E2652F">
        <w:t xml:space="preserve">and methylmercury are toxic to the central and peripheral nervous systems. The inhalation of mercury vapour can produce harmful effects on the nervous, digestive and immune systems, </w:t>
      </w:r>
      <w:r w:rsidRPr="00E2652F">
        <w:t xml:space="preserve">the </w:t>
      </w:r>
      <w:r w:rsidR="00F252EE" w:rsidRPr="00E2652F">
        <w:t xml:space="preserve">lungs and </w:t>
      </w:r>
      <w:r w:rsidRPr="00E2652F">
        <w:t xml:space="preserve">the </w:t>
      </w:r>
      <w:r w:rsidR="00F252EE" w:rsidRPr="00E2652F">
        <w:t xml:space="preserve">kidneys, and </w:t>
      </w:r>
      <w:r w:rsidRPr="00E2652F">
        <w:t xml:space="preserve">can </w:t>
      </w:r>
      <w:r w:rsidR="00F252EE" w:rsidRPr="00E2652F">
        <w:t xml:space="preserve">be fatal. The inorganic salts of mercury are corrosive to the skin, eyes and gastrointestinal tract and may induce kidney toxicity if ingested. Neurological and behavioural disorders may be observed after inhalation, ingestion or dermal exposure of different mercury compounds. Symptoms include tremors, insomnia, memory loss, neuromuscular effects, headaches and cognitive and motor dysfunction. Mild, subclinical signs of central nervous system toxicity </w:t>
      </w:r>
      <w:r w:rsidR="00907D51" w:rsidRPr="00E2652F">
        <w:t>have been</w:t>
      </w:r>
      <w:r w:rsidR="00F252EE" w:rsidRPr="00E2652F">
        <w:t xml:space="preserve"> seen in workers exposed to an elemental mercury level in the air of 20 μg/m</w:t>
      </w:r>
      <w:r w:rsidR="00F252EE" w:rsidRPr="00E2652F">
        <w:rPr>
          <w:vertAlign w:val="superscript"/>
        </w:rPr>
        <w:t>3</w:t>
      </w:r>
      <w:r w:rsidR="00F252EE" w:rsidRPr="00E2652F">
        <w:t xml:space="preserve"> or more for several years. </w:t>
      </w:r>
      <w:r w:rsidR="00E74A75" w:rsidRPr="00E2652F">
        <w:t>Reported effects on k</w:t>
      </w:r>
      <w:r w:rsidR="00F252EE" w:rsidRPr="00E2652F">
        <w:t>idney</w:t>
      </w:r>
      <w:r w:rsidR="00E74A75" w:rsidRPr="00E2652F">
        <w:t>s</w:t>
      </w:r>
      <w:r w:rsidR="00F252EE" w:rsidRPr="00E2652F">
        <w:t xml:space="preserve"> rang</w:t>
      </w:r>
      <w:r w:rsidR="00E74A75" w:rsidRPr="00E2652F">
        <w:t>e</w:t>
      </w:r>
      <w:r w:rsidR="00F252EE" w:rsidRPr="00E2652F">
        <w:t xml:space="preserve"> from increased protein in the urine to kidney failure. </w:t>
      </w:r>
      <w:r w:rsidRPr="00E2652F">
        <w:t xml:space="preserve">Permanent effects on the developing nervous system </w:t>
      </w:r>
      <w:r w:rsidR="00E74A75" w:rsidRPr="00E2652F">
        <w:t>have been observed after</w:t>
      </w:r>
      <w:r w:rsidRPr="00E2652F">
        <w:t xml:space="preserve"> exposure of foetus</w:t>
      </w:r>
      <w:r w:rsidR="00E74A75" w:rsidRPr="00E2652F">
        <w:t>es</w:t>
      </w:r>
      <w:r w:rsidRPr="00E2652F">
        <w:t xml:space="preserve"> and children, meaning </w:t>
      </w:r>
      <w:r w:rsidR="00E74A75" w:rsidRPr="00E2652F">
        <w:t xml:space="preserve">that </w:t>
      </w:r>
      <w:r w:rsidRPr="00E2652F">
        <w:t>these groups are defined as being particularly vulnerable</w:t>
      </w:r>
      <w:r w:rsidR="008B248A" w:rsidRPr="00E2652F">
        <w:t xml:space="preserve"> to mercury exposure (WHO, 2017)</w:t>
      </w:r>
      <w:r w:rsidRPr="00E2652F">
        <w:t>.</w:t>
      </w:r>
      <w:r w:rsidR="008B248A" w:rsidRPr="00E2652F">
        <w:t xml:space="preserve"> </w:t>
      </w:r>
    </w:p>
    <w:p w14:paraId="200E94A6" w14:textId="00408933" w:rsidR="00F252EE" w:rsidRPr="00E2652F" w:rsidRDefault="00F252EE" w:rsidP="00582B27">
      <w:pPr>
        <w:pStyle w:val="Normalnumber"/>
        <w:numPr>
          <w:ilvl w:val="0"/>
          <w:numId w:val="12"/>
        </w:numPr>
        <w:spacing w:after="100"/>
        <w:ind w:left="1247" w:firstLine="0"/>
      </w:pPr>
      <w:r w:rsidRPr="00E2652F">
        <w:t xml:space="preserve">The environmental effects of mercury exposure, particularly </w:t>
      </w:r>
      <w:r w:rsidR="00B575FB" w:rsidRPr="00E2652F">
        <w:t>on</w:t>
      </w:r>
      <w:r w:rsidRPr="00E2652F">
        <w:t xml:space="preserve"> high</w:t>
      </w:r>
      <w:r w:rsidR="00B575FB" w:rsidRPr="00E2652F">
        <w:t>-</w:t>
      </w:r>
      <w:r w:rsidRPr="00E2652F">
        <w:t xml:space="preserve">level predators </w:t>
      </w:r>
      <w:r w:rsidR="00907D51" w:rsidRPr="00E2652F">
        <w:t xml:space="preserve">with potentially high </w:t>
      </w:r>
      <w:r w:rsidRPr="00E2652F">
        <w:t xml:space="preserve">dietary exposure, can include decreased reproductive success and impaired hunting ability. </w:t>
      </w:r>
    </w:p>
    <w:p w14:paraId="6A69577A" w14:textId="300B96AB" w:rsidR="00F252EE" w:rsidRPr="00E2652F" w:rsidRDefault="00F252EE" w:rsidP="00582B27">
      <w:pPr>
        <w:pStyle w:val="Normalnumber"/>
        <w:numPr>
          <w:ilvl w:val="0"/>
          <w:numId w:val="12"/>
        </w:numPr>
        <w:spacing w:after="100"/>
        <w:ind w:left="1247" w:firstLine="0"/>
      </w:pPr>
      <w:r w:rsidRPr="00E2652F">
        <w:t>Contaminated sites can result in locally increased levels of mercury (as well as other pollutants)</w:t>
      </w:r>
      <w:r w:rsidR="00B575FB" w:rsidRPr="00E2652F">
        <w:t>,</w:t>
      </w:r>
      <w:r w:rsidRPr="00E2652F">
        <w:t xml:space="preserve"> which may pose risks to both humans and the environment. </w:t>
      </w:r>
      <w:r w:rsidR="00B575FB" w:rsidRPr="00E2652F">
        <w:t>Drinking c</w:t>
      </w:r>
      <w:r w:rsidRPr="00E2652F">
        <w:t xml:space="preserve">ontaminated groundwater or surface water </w:t>
      </w:r>
      <w:r w:rsidR="00B575FB" w:rsidRPr="00E2652F">
        <w:t>can</w:t>
      </w:r>
      <w:r w:rsidRPr="00E2652F">
        <w:t xml:space="preserve"> result in long-term exposures</w:t>
      </w:r>
      <w:r w:rsidR="00B575FB" w:rsidRPr="00E2652F">
        <w:t>,</w:t>
      </w:r>
      <w:r w:rsidRPr="00E2652F">
        <w:t xml:space="preserve"> as </w:t>
      </w:r>
      <w:r w:rsidR="00B575FB" w:rsidRPr="00E2652F">
        <w:t xml:space="preserve">can eating </w:t>
      </w:r>
      <w:r w:rsidRPr="00E2652F">
        <w:t>fish and seafood living in contaminated surface water.</w:t>
      </w:r>
      <w:r w:rsidR="00E429A9" w:rsidRPr="00E2652F">
        <w:t xml:space="preserve"> </w:t>
      </w:r>
      <w:r w:rsidRPr="00E2652F">
        <w:t>Contaminants may also be taken up by food crops grown on or near contaminated sites.</w:t>
      </w:r>
      <w:r w:rsidR="00E429A9" w:rsidRPr="00E2652F">
        <w:t xml:space="preserve"> </w:t>
      </w:r>
      <w:r w:rsidR="00907D51" w:rsidRPr="00E2652F">
        <w:t>S</w:t>
      </w:r>
      <w:r w:rsidR="00D15D8E" w:rsidRPr="00E2652F">
        <w:t xml:space="preserve">oils contaminated by </w:t>
      </w:r>
      <w:r w:rsidRPr="00E2652F">
        <w:t>mercury</w:t>
      </w:r>
      <w:r w:rsidR="00D15D8E" w:rsidRPr="00E2652F">
        <w:t>,</w:t>
      </w:r>
      <w:r w:rsidRPr="00E2652F">
        <w:t xml:space="preserve"> especially methylmercury</w:t>
      </w:r>
      <w:r w:rsidR="00D15D8E" w:rsidRPr="00E2652F">
        <w:t>,</w:t>
      </w:r>
      <w:r w:rsidRPr="00E2652F">
        <w:t xml:space="preserve"> can form subsurface vapour (also termed soil vapour) and subsequently migrate into overlying buildings</w:t>
      </w:r>
      <w:r w:rsidR="00D022D0" w:rsidRPr="00E2652F">
        <w:t>'</w:t>
      </w:r>
      <w:r w:rsidRPr="00E2652F">
        <w:t xml:space="preserve"> structures</w:t>
      </w:r>
      <w:r w:rsidR="00D15D8E" w:rsidRPr="00E2652F">
        <w:t>,</w:t>
      </w:r>
      <w:r w:rsidRPr="00E2652F">
        <w:t xml:space="preserve"> becom</w:t>
      </w:r>
      <w:r w:rsidR="00907D51" w:rsidRPr="00E2652F">
        <w:t>ing</w:t>
      </w:r>
      <w:r w:rsidRPr="00E2652F">
        <w:t xml:space="preserve"> a significant source of indoor air inhalation exposure</w:t>
      </w:r>
      <w:r w:rsidR="00907D51" w:rsidRPr="00E2652F">
        <w:t xml:space="preserve"> that</w:t>
      </w:r>
      <w:r w:rsidRPr="00E2652F">
        <w:t xml:space="preserve"> should be considered</w:t>
      </w:r>
      <w:r w:rsidR="00D022D0" w:rsidRPr="00E2652F">
        <w:t xml:space="preserve"> (</w:t>
      </w:r>
      <w:r w:rsidR="00D022D0" w:rsidRPr="00E2652F">
        <w:rPr>
          <w:rFonts w:asciiTheme="majorBidi" w:hAnsiTheme="majorBidi" w:cstheme="majorBidi"/>
        </w:rPr>
        <w:t>US DHHS), Agency for Toxic Substances and Disease Registry)</w:t>
      </w:r>
      <w:r w:rsidR="00E429A9" w:rsidRPr="00E2652F">
        <w:t xml:space="preserve"> </w:t>
      </w:r>
      <w:r w:rsidRPr="00E2652F">
        <w:t>Sites where exposure to mercury vapour is likely seem to be limited to those contaminated by metallic mercury, such as contaminated sites around ASGM</w:t>
      </w:r>
      <w:r w:rsidR="00D15D8E" w:rsidRPr="00E2652F">
        <w:t xml:space="preserve"> operations</w:t>
      </w:r>
      <w:r w:rsidRPr="00E2652F">
        <w:t xml:space="preserve">. </w:t>
      </w:r>
    </w:p>
    <w:p w14:paraId="664DE5D8" w14:textId="7584849D" w:rsidR="00F252EE" w:rsidRPr="00E2652F" w:rsidRDefault="00F252EE" w:rsidP="00582B27">
      <w:pPr>
        <w:pStyle w:val="Normalnumber"/>
        <w:numPr>
          <w:ilvl w:val="0"/>
          <w:numId w:val="12"/>
        </w:numPr>
        <w:spacing w:after="100"/>
        <w:ind w:left="1247" w:firstLine="0"/>
      </w:pPr>
      <w:r w:rsidRPr="00E2652F">
        <w:t>Contaminated sites may result in leaching or surface runoff of mercury</w:t>
      </w:r>
      <w:r w:rsidR="00D15D8E" w:rsidRPr="00E2652F">
        <w:t>,</w:t>
      </w:r>
      <w:r w:rsidRPr="00E2652F">
        <w:t xml:space="preserve"> which </w:t>
      </w:r>
      <w:r w:rsidR="00D15D8E" w:rsidRPr="00E2652F">
        <w:t xml:space="preserve">can </w:t>
      </w:r>
      <w:r w:rsidRPr="00E2652F">
        <w:t>contaminate ground</w:t>
      </w:r>
      <w:r w:rsidR="00B575FB" w:rsidRPr="00E2652F">
        <w:t>water</w:t>
      </w:r>
      <w:r w:rsidRPr="00E2652F">
        <w:t xml:space="preserve"> or surface water</w:t>
      </w:r>
      <w:r w:rsidR="00907D51" w:rsidRPr="00E2652F">
        <w:t>, resulting</w:t>
      </w:r>
      <w:r w:rsidRPr="00E2652F">
        <w:t xml:space="preserve"> in </w:t>
      </w:r>
      <w:r w:rsidR="00907D51" w:rsidRPr="00E2652F">
        <w:t xml:space="preserve">potential </w:t>
      </w:r>
      <w:r w:rsidRPr="00E2652F">
        <w:t xml:space="preserve">exposure to elemental or inorganic mercury through drinking water. </w:t>
      </w:r>
      <w:r w:rsidR="00D15D8E" w:rsidRPr="00E2652F">
        <w:t>A site’s</w:t>
      </w:r>
      <w:r w:rsidRPr="00E2652F">
        <w:t xml:space="preserve"> potential to contaminate either ground</w:t>
      </w:r>
      <w:r w:rsidR="00B575FB" w:rsidRPr="00E2652F">
        <w:t>water</w:t>
      </w:r>
      <w:r w:rsidRPr="00E2652F">
        <w:t xml:space="preserve"> or surface water should </w:t>
      </w:r>
      <w:r w:rsidR="00D15D8E" w:rsidRPr="00E2652F">
        <w:t xml:space="preserve">therefore </w:t>
      </w:r>
      <w:r w:rsidRPr="00E2652F">
        <w:t>also be considered.</w:t>
      </w:r>
      <w:r w:rsidR="00E429A9" w:rsidRPr="00E2652F">
        <w:t xml:space="preserve"> </w:t>
      </w:r>
      <w:r w:rsidRPr="00E2652F">
        <w:t>Under anaerobic conditions, mercury may be methylated in the environment by bacteria, particularly in sediments or other suitable environments.</w:t>
      </w:r>
      <w:r w:rsidR="00E429A9" w:rsidRPr="00E2652F">
        <w:t xml:space="preserve"> </w:t>
      </w:r>
      <w:r w:rsidRPr="00E2652F">
        <w:t xml:space="preserve">Methylated mercury can then enter the food chain, resulting in significant dietary exposure </w:t>
      </w:r>
      <w:r w:rsidR="00D15D8E" w:rsidRPr="00E2652F">
        <w:t>for</w:t>
      </w:r>
      <w:r w:rsidRPr="00E2652F">
        <w:t xml:space="preserve"> predatory species, including humans. This is of particularly concern </w:t>
      </w:r>
      <w:r w:rsidR="00D15D8E" w:rsidRPr="00E2652F">
        <w:t xml:space="preserve">in relation to </w:t>
      </w:r>
      <w:r w:rsidRPr="00E2652F">
        <w:t>fish consumption.</w:t>
      </w:r>
      <w:r w:rsidR="00E429A9" w:rsidRPr="00E2652F">
        <w:t xml:space="preserve"> </w:t>
      </w:r>
      <w:r w:rsidRPr="00E2652F">
        <w:t>Several jurisdictions have established fish monitoring program</w:t>
      </w:r>
      <w:r w:rsidR="00056F50" w:rsidRPr="00E2652F">
        <w:t>me</w:t>
      </w:r>
      <w:r w:rsidRPr="00E2652F">
        <w:t>s and fish consumption advisories, especially around known, suspected or historical point sources</w:t>
      </w:r>
      <w:r w:rsidR="004F3E7B" w:rsidRPr="00E2652F">
        <w:t xml:space="preserve"> of mercury emissions</w:t>
      </w:r>
      <w:r w:rsidRPr="00E2652F">
        <w:t>.</w:t>
      </w:r>
    </w:p>
    <w:p w14:paraId="55777957" w14:textId="4F5A29D9" w:rsidR="00F252EE" w:rsidRPr="00E2652F" w:rsidRDefault="00F252EE" w:rsidP="00F51980">
      <w:pPr>
        <w:pStyle w:val="Normalnumber"/>
        <w:numPr>
          <w:ilvl w:val="0"/>
          <w:numId w:val="12"/>
        </w:numPr>
        <w:ind w:left="1247" w:firstLine="0"/>
      </w:pPr>
      <w:r w:rsidRPr="00E2652F">
        <w:t>The risks associated with a particular site are related to both the level of contamination and the potential for exposure.</w:t>
      </w:r>
      <w:r w:rsidR="00E429A9" w:rsidRPr="00E2652F">
        <w:t xml:space="preserve"> </w:t>
      </w:r>
      <w:r w:rsidRPr="00E2652F">
        <w:t xml:space="preserve">A highly contaminated site </w:t>
      </w:r>
      <w:r w:rsidR="00983FFF" w:rsidRPr="00E2652F">
        <w:t xml:space="preserve">that </w:t>
      </w:r>
      <w:r w:rsidRPr="00E2652F">
        <w:t xml:space="preserve">is isolated from population centres or </w:t>
      </w:r>
      <w:r w:rsidR="00983FFF" w:rsidRPr="00E2652F">
        <w:t xml:space="preserve">that </w:t>
      </w:r>
      <w:r w:rsidRPr="00E2652F">
        <w:t>does not have significant leaching potential pose</w:t>
      </w:r>
      <w:r w:rsidR="00983FFF" w:rsidRPr="00E2652F">
        <w:t>s a</w:t>
      </w:r>
      <w:r w:rsidRPr="00E2652F">
        <w:t xml:space="preserve"> much lower risk than a less contaminated site in an urban area or </w:t>
      </w:r>
      <w:r w:rsidR="00866410" w:rsidRPr="00E2652F">
        <w:t xml:space="preserve">a site </w:t>
      </w:r>
      <w:r w:rsidR="00983FFF" w:rsidRPr="00E2652F">
        <w:t xml:space="preserve">that </w:t>
      </w:r>
      <w:r w:rsidRPr="00E2652F">
        <w:t xml:space="preserve">is more closely linked to wetlands or with significant </w:t>
      </w:r>
      <w:r w:rsidR="00866410" w:rsidRPr="00E2652F">
        <w:t xml:space="preserve">seepage </w:t>
      </w:r>
      <w:r w:rsidRPr="00E2652F">
        <w:t>into groundwater. Thus, site-specific clean</w:t>
      </w:r>
      <w:r w:rsidR="00866410" w:rsidRPr="00E2652F">
        <w:t>-</w:t>
      </w:r>
      <w:r w:rsidRPr="00E2652F">
        <w:t xml:space="preserve">up targets </w:t>
      </w:r>
      <w:r w:rsidR="00866410" w:rsidRPr="00E2652F">
        <w:t xml:space="preserve">will </w:t>
      </w:r>
      <w:r w:rsidRPr="00E2652F">
        <w:t xml:space="preserve">vary from site to site in accordance with </w:t>
      </w:r>
      <w:r w:rsidR="00866410" w:rsidRPr="00E2652F">
        <w:t xml:space="preserve">the </w:t>
      </w:r>
      <w:r w:rsidRPr="00E2652F">
        <w:t xml:space="preserve">actual or projected exposure levels. The assessment of exposure requires consideration of both the level of mercury or mercury compounds </w:t>
      </w:r>
      <w:r w:rsidR="00DD16E8" w:rsidRPr="00E2652F">
        <w:t xml:space="preserve">on </w:t>
      </w:r>
      <w:r w:rsidR="00866410" w:rsidRPr="00E2652F">
        <w:t xml:space="preserve">site </w:t>
      </w:r>
      <w:r w:rsidRPr="00E2652F">
        <w:t xml:space="preserve">and the </w:t>
      </w:r>
      <w:r w:rsidR="00866410" w:rsidRPr="00E2652F">
        <w:t xml:space="preserve">migration </w:t>
      </w:r>
      <w:r w:rsidRPr="00E2652F">
        <w:t xml:space="preserve">of mercury </w:t>
      </w:r>
      <w:r w:rsidR="00DD16E8" w:rsidRPr="00E2652F">
        <w:t xml:space="preserve">off </w:t>
      </w:r>
      <w:r w:rsidRPr="00E2652F">
        <w:t>site, as well as proximity of the local population.</w:t>
      </w:r>
      <w:r w:rsidR="00E429A9" w:rsidRPr="00E2652F">
        <w:t xml:space="preserve"> </w:t>
      </w:r>
      <w:r w:rsidRPr="00E2652F">
        <w:t>This information may have been gathered during the process of site identification or may require additional sampling.</w:t>
      </w:r>
      <w:r w:rsidR="00E429A9" w:rsidRPr="00E2652F">
        <w:t xml:space="preserve"> </w:t>
      </w:r>
      <w:r w:rsidR="00866410" w:rsidRPr="00E2652F">
        <w:t>Transfer and exposure models are available to assess the risk, and o</w:t>
      </w:r>
      <w:r w:rsidRPr="00E2652F">
        <w:t xml:space="preserve">ngoing sampling </w:t>
      </w:r>
      <w:r w:rsidR="00866410" w:rsidRPr="00E2652F">
        <w:t xml:space="preserve">should be undertaken </w:t>
      </w:r>
      <w:r w:rsidRPr="00E2652F">
        <w:t xml:space="preserve">over time to confirm that the situation is not </w:t>
      </w:r>
      <w:r w:rsidR="00866410" w:rsidRPr="00E2652F">
        <w:t>deteriorating</w:t>
      </w:r>
      <w:r w:rsidRPr="00E2652F">
        <w:t xml:space="preserve">. </w:t>
      </w:r>
    </w:p>
    <w:p w14:paraId="0D5A9AAE" w14:textId="6FE8A5DF" w:rsidR="004760AE" w:rsidRPr="00E2652F" w:rsidRDefault="002C0BE8" w:rsidP="00F51980">
      <w:pPr>
        <w:pStyle w:val="Normalnumber"/>
        <w:numPr>
          <w:ilvl w:val="0"/>
          <w:numId w:val="12"/>
        </w:numPr>
        <w:ind w:left="1247" w:firstLine="0"/>
      </w:pPr>
      <w:r w:rsidRPr="00E2652F">
        <w:t xml:space="preserve">Depending on a site’s history, many contaminants other than mercury </w:t>
      </w:r>
      <w:r w:rsidR="000A7C87" w:rsidRPr="00E2652F">
        <w:t>might</w:t>
      </w:r>
      <w:r w:rsidRPr="00E2652F">
        <w:t xml:space="preserve"> be present at levels </w:t>
      </w:r>
      <w:r w:rsidR="000A7C87" w:rsidRPr="00E2652F">
        <w:t>justifying</w:t>
      </w:r>
      <w:r w:rsidRPr="00E2652F">
        <w:t xml:space="preserve"> national</w:t>
      </w:r>
      <w:r w:rsidR="000A7C87" w:rsidRPr="00E2652F">
        <w:t>-level</w:t>
      </w:r>
      <w:r w:rsidRPr="00E2652F">
        <w:t xml:space="preserve"> concern. </w:t>
      </w:r>
      <w:r w:rsidR="00DA2784" w:rsidRPr="00E2652F">
        <w:t>I</w:t>
      </w:r>
      <w:r w:rsidR="00F252EE" w:rsidRPr="00E2652F">
        <w:t xml:space="preserve">nformation </w:t>
      </w:r>
      <w:r w:rsidR="00DA2784" w:rsidRPr="00E2652F">
        <w:t xml:space="preserve">on </w:t>
      </w:r>
      <w:r w:rsidRPr="00E2652F">
        <w:t>such</w:t>
      </w:r>
      <w:r w:rsidR="00DA2784" w:rsidRPr="00E2652F">
        <w:t xml:space="preserve"> contaminants can </w:t>
      </w:r>
      <w:r w:rsidR="004760AE" w:rsidRPr="00E2652F">
        <w:t xml:space="preserve">also </w:t>
      </w:r>
      <w:r w:rsidR="00F252EE" w:rsidRPr="00E2652F">
        <w:t xml:space="preserve">be gathered during the site </w:t>
      </w:r>
      <w:r w:rsidR="004E63A4" w:rsidRPr="00E2652F">
        <w:t>assessment</w:t>
      </w:r>
      <w:r w:rsidR="00F252EE" w:rsidRPr="00E2652F">
        <w:t xml:space="preserve"> process.</w:t>
      </w:r>
      <w:r w:rsidR="00E429A9" w:rsidRPr="00E2652F">
        <w:t xml:space="preserve"> </w:t>
      </w:r>
      <w:r w:rsidR="00F252EE" w:rsidRPr="00E2652F">
        <w:t>The presence of other substances (includ</w:t>
      </w:r>
      <w:r w:rsidR="00DD16E8" w:rsidRPr="00E2652F">
        <w:t>ing</w:t>
      </w:r>
      <w:r w:rsidR="00F252EE" w:rsidRPr="00E2652F">
        <w:t xml:space="preserve"> other heavy metals</w:t>
      </w:r>
      <w:r w:rsidR="00DD16E8" w:rsidRPr="00E2652F">
        <w:t>,</w:t>
      </w:r>
      <w:r w:rsidR="00F252EE" w:rsidRPr="00E2652F">
        <w:t xml:space="preserve"> persistent organic pollutants or other hazardous substances) </w:t>
      </w:r>
      <w:r w:rsidR="00BA00BA" w:rsidRPr="00E2652F">
        <w:t>can</w:t>
      </w:r>
      <w:r w:rsidR="00DA2784" w:rsidRPr="00E2652F">
        <w:t xml:space="preserve"> </w:t>
      </w:r>
      <w:r w:rsidR="00F252EE" w:rsidRPr="00E2652F">
        <w:t xml:space="preserve">affect management decisions, including choices in relation to possible remediation and remediation methods </w:t>
      </w:r>
      <w:r w:rsidR="00BA00BA" w:rsidRPr="00E2652F">
        <w:t xml:space="preserve">and </w:t>
      </w:r>
      <w:r w:rsidR="00F252EE" w:rsidRPr="00E2652F">
        <w:t>the need to adopt risk management measures</w:t>
      </w:r>
      <w:r w:rsidRPr="00E2652F">
        <w:t xml:space="preserve"> such as</w:t>
      </w:r>
      <w:r w:rsidR="00F252EE" w:rsidRPr="00E2652F">
        <w:t xml:space="preserve"> restricting access to the site and the surrounding area. </w:t>
      </w:r>
    </w:p>
    <w:p w14:paraId="6376F1B2" w14:textId="36601322" w:rsidR="00F252EE" w:rsidRPr="00E2652F" w:rsidRDefault="00DA2784" w:rsidP="00F51980">
      <w:pPr>
        <w:pStyle w:val="Normalnumber"/>
        <w:numPr>
          <w:ilvl w:val="0"/>
          <w:numId w:val="12"/>
        </w:numPr>
        <w:ind w:left="1247" w:firstLine="0"/>
      </w:pPr>
      <w:r w:rsidRPr="00E2652F">
        <w:t>L</w:t>
      </w:r>
      <w:r w:rsidR="00F252EE" w:rsidRPr="00E2652F">
        <w:t>ifestyle (tobacco</w:t>
      </w:r>
      <w:r w:rsidR="004760AE" w:rsidRPr="00E2652F">
        <w:t xml:space="preserve"> use</w:t>
      </w:r>
      <w:r w:rsidR="00F252EE" w:rsidRPr="00E2652F">
        <w:t>, diet</w:t>
      </w:r>
      <w:r w:rsidRPr="00E2652F">
        <w:t>,</w:t>
      </w:r>
      <w:r w:rsidR="00F252EE" w:rsidRPr="00E2652F">
        <w:t xml:space="preserve"> etc</w:t>
      </w:r>
      <w:r w:rsidRPr="00E2652F">
        <w:t>.</w:t>
      </w:r>
      <w:r w:rsidR="00F252EE" w:rsidRPr="00E2652F">
        <w:t>)</w:t>
      </w:r>
      <w:r w:rsidR="004760AE" w:rsidRPr="00E2652F">
        <w:t xml:space="preserve"> can also have an impact on how contaminants affect human health;</w:t>
      </w:r>
      <w:r w:rsidR="00F252EE" w:rsidRPr="00E2652F">
        <w:t xml:space="preserve"> it should be noted that the</w:t>
      </w:r>
      <w:r w:rsidR="00DD16E8" w:rsidRPr="00E2652F">
        <w:t>y</w:t>
      </w:r>
      <w:r w:rsidR="004760AE" w:rsidRPr="00E2652F">
        <w:t xml:space="preserve"> </w:t>
      </w:r>
      <w:r w:rsidR="00F252EE" w:rsidRPr="00E2652F">
        <w:t xml:space="preserve">tend to affect </w:t>
      </w:r>
      <w:r w:rsidR="002C0BE8" w:rsidRPr="00E2652F">
        <w:t xml:space="preserve">economically </w:t>
      </w:r>
      <w:r w:rsidR="00F252EE" w:rsidRPr="00E2652F">
        <w:t xml:space="preserve">disadvantaged people disproportionally. </w:t>
      </w:r>
    </w:p>
    <w:p w14:paraId="65231380" w14:textId="77777777" w:rsidR="00F252EE" w:rsidRPr="00E2652F" w:rsidRDefault="00F252EE" w:rsidP="00582B27">
      <w:pPr>
        <w:pStyle w:val="CH1"/>
        <w:spacing w:before="200"/>
      </w:pPr>
      <w:r w:rsidRPr="00E2652F">
        <w:tab/>
      </w:r>
      <w:bookmarkStart w:id="22" w:name="_Toc524355409"/>
      <w:r w:rsidRPr="00E2652F">
        <w:t>E.</w:t>
      </w:r>
      <w:r w:rsidRPr="00E2652F">
        <w:tab/>
        <w:t>Options for managing the risks posed by contaminated sites</w:t>
      </w:r>
      <w:bookmarkEnd w:id="22"/>
    </w:p>
    <w:p w14:paraId="4681263C" w14:textId="3B7F49C5" w:rsidR="00380A7F" w:rsidRPr="00E2652F" w:rsidRDefault="00F252EE" w:rsidP="00582B27">
      <w:pPr>
        <w:pStyle w:val="Normalnumber"/>
        <w:numPr>
          <w:ilvl w:val="0"/>
          <w:numId w:val="12"/>
        </w:numPr>
        <w:spacing w:after="100"/>
        <w:ind w:left="1247" w:firstLine="0"/>
      </w:pPr>
      <w:r w:rsidRPr="00E2652F">
        <w:t xml:space="preserve">Following assessment of a contaminated site, decisions are needed on the most appropriate means of managing the </w:t>
      </w:r>
      <w:r w:rsidR="002C0BE8" w:rsidRPr="00E2652F">
        <w:t xml:space="preserve">risks presented by the </w:t>
      </w:r>
      <w:r w:rsidRPr="00E2652F">
        <w:t xml:space="preserve">site. Such decisions </w:t>
      </w:r>
      <w:r w:rsidR="0077064B" w:rsidRPr="00E2652F">
        <w:t xml:space="preserve">can </w:t>
      </w:r>
      <w:r w:rsidR="002C0BE8" w:rsidRPr="00E2652F">
        <w:t xml:space="preserve">be </w:t>
      </w:r>
      <w:r w:rsidRPr="00E2652F">
        <w:t>taken at the national</w:t>
      </w:r>
      <w:r w:rsidR="002C0BE8" w:rsidRPr="00E2652F">
        <w:t>, regional or local</w:t>
      </w:r>
      <w:r w:rsidRPr="00E2652F">
        <w:t xml:space="preserve"> level or, in certain circumstances, by landowners or other entities. The objective for managing the risks should be agreed in advance of action and should be consistent with the objective of the Minamata Convention in terms of protecting human health and the environment from the anthropogenic emissions and releases of mercury and mercury compounds.</w:t>
      </w:r>
      <w:r w:rsidR="00E429A9" w:rsidRPr="00E2652F">
        <w:t xml:space="preserve"> </w:t>
      </w:r>
      <w:r w:rsidR="002C0BE8" w:rsidRPr="00E2652F">
        <w:t xml:space="preserve">The </w:t>
      </w:r>
      <w:r w:rsidRPr="00E2652F">
        <w:t xml:space="preserve">requirements for </w:t>
      </w:r>
      <w:r w:rsidR="002C0BE8" w:rsidRPr="00E2652F">
        <w:t xml:space="preserve">contaminated site </w:t>
      </w:r>
      <w:r w:rsidRPr="00E2652F">
        <w:t xml:space="preserve">management </w:t>
      </w:r>
      <w:r w:rsidR="002C0BE8" w:rsidRPr="00E2652F">
        <w:t>may be set out in national legislation and policies</w:t>
      </w:r>
      <w:r w:rsidRPr="00E2652F">
        <w:t>.</w:t>
      </w:r>
      <w:r w:rsidR="00E429A9" w:rsidRPr="00E2652F">
        <w:t xml:space="preserve"> </w:t>
      </w:r>
    </w:p>
    <w:p w14:paraId="5C901616" w14:textId="6942EBBA" w:rsidR="00F23D44" w:rsidRPr="00E2652F" w:rsidRDefault="00380A7F" w:rsidP="00582B27">
      <w:pPr>
        <w:pStyle w:val="Normalnumber"/>
        <w:numPr>
          <w:ilvl w:val="0"/>
          <w:numId w:val="12"/>
        </w:numPr>
        <w:spacing w:after="100"/>
        <w:ind w:left="1247" w:firstLine="0"/>
      </w:pPr>
      <w:r w:rsidRPr="00E2652F">
        <w:t>There are two main ways of addressing s</w:t>
      </w:r>
      <w:r w:rsidR="00F252EE" w:rsidRPr="00E2652F">
        <w:t>ite</w:t>
      </w:r>
      <w:r w:rsidR="002C0BE8" w:rsidRPr="00E2652F">
        <w:t xml:space="preserve"> contamination</w:t>
      </w:r>
      <w:r w:rsidR="00F252EE" w:rsidRPr="00E2652F">
        <w:t xml:space="preserve"> resulting from previous industrial activities or other human activities</w:t>
      </w:r>
      <w:r w:rsidRPr="00E2652F">
        <w:t>:</w:t>
      </w:r>
      <w:r w:rsidR="00F252EE" w:rsidRPr="00E2652F">
        <w:t xml:space="preserve"> </w:t>
      </w:r>
      <w:r w:rsidRPr="00E2652F">
        <w:t xml:space="preserve">site </w:t>
      </w:r>
      <w:r w:rsidR="00F252EE" w:rsidRPr="00E2652F">
        <w:t xml:space="preserve">management and </w:t>
      </w:r>
      <w:r w:rsidRPr="00E2652F">
        <w:t xml:space="preserve">site </w:t>
      </w:r>
      <w:r w:rsidR="00F252EE" w:rsidRPr="00E2652F">
        <w:t>remediation.</w:t>
      </w:r>
      <w:r w:rsidRPr="00E2652F">
        <w:t xml:space="preserve"> Site management is likely to be needed as an initial step after identifying the site and possible release/exposure routes, whether or not remediation is undertaken.</w:t>
      </w:r>
    </w:p>
    <w:p w14:paraId="707A05B8" w14:textId="7E6012B7" w:rsidR="00301201" w:rsidRPr="00E2652F" w:rsidRDefault="00380A7F" w:rsidP="00582B27">
      <w:pPr>
        <w:pStyle w:val="Normalnumber"/>
        <w:numPr>
          <w:ilvl w:val="0"/>
          <w:numId w:val="12"/>
        </w:numPr>
        <w:spacing w:after="100"/>
        <w:ind w:left="1247" w:firstLine="0"/>
      </w:pPr>
      <w:r w:rsidRPr="00E2652F">
        <w:t>Site m</w:t>
      </w:r>
      <w:r w:rsidR="00F252EE" w:rsidRPr="00E2652F">
        <w:t xml:space="preserve">anagement includes actions taken to reduce exposure of humans and the environment to </w:t>
      </w:r>
      <w:r w:rsidRPr="00E2652F">
        <w:t xml:space="preserve">the </w:t>
      </w:r>
      <w:r w:rsidR="00F252EE" w:rsidRPr="00E2652F">
        <w:t xml:space="preserve">mercury or mercury compounds present. </w:t>
      </w:r>
      <w:r w:rsidRPr="00E2652F">
        <w:t>A</w:t>
      </w:r>
      <w:r w:rsidR="00F252EE" w:rsidRPr="00E2652F">
        <w:t xml:space="preserve">n ongoing or primary source of contamination to ground or surface may </w:t>
      </w:r>
      <w:r w:rsidRPr="00E2652F">
        <w:t xml:space="preserve">need to </w:t>
      </w:r>
      <w:r w:rsidR="00F252EE" w:rsidRPr="00E2652F">
        <w:t xml:space="preserve">be considered. </w:t>
      </w:r>
    </w:p>
    <w:p w14:paraId="36041A29" w14:textId="7C59D6D4" w:rsidR="00F252EE" w:rsidRPr="00E2652F" w:rsidRDefault="00380A7F" w:rsidP="00582B27">
      <w:pPr>
        <w:pStyle w:val="Normalnumber"/>
        <w:numPr>
          <w:ilvl w:val="0"/>
          <w:numId w:val="12"/>
        </w:numPr>
        <w:spacing w:after="100"/>
        <w:ind w:left="1247" w:firstLine="0"/>
      </w:pPr>
      <w:r w:rsidRPr="00E2652F">
        <w:t>The actions taken</w:t>
      </w:r>
      <w:r w:rsidR="00F252EE" w:rsidRPr="00E2652F">
        <w:t xml:space="preserve"> may include restricting access to the site to limit direct exposure (through fencing and warning sign</w:t>
      </w:r>
      <w:r w:rsidRPr="00E2652F">
        <w:t>s</w:t>
      </w:r>
      <w:r w:rsidR="00F252EE" w:rsidRPr="00E2652F">
        <w:t>) or defin</w:t>
      </w:r>
      <w:r w:rsidRPr="00E2652F">
        <w:t>ing</w:t>
      </w:r>
      <w:r w:rsidR="00F252EE" w:rsidRPr="00E2652F">
        <w:t xml:space="preserve"> restrictions on </w:t>
      </w:r>
      <w:r w:rsidR="0077064B" w:rsidRPr="00E2652F">
        <w:t xml:space="preserve">any </w:t>
      </w:r>
      <w:r w:rsidR="00F252EE" w:rsidRPr="00E2652F">
        <w:t xml:space="preserve">activities that </w:t>
      </w:r>
      <w:r w:rsidRPr="00E2652F">
        <w:t xml:space="preserve">might </w:t>
      </w:r>
      <w:r w:rsidR="00F252EE" w:rsidRPr="00E2652F">
        <w:t xml:space="preserve">mobilize </w:t>
      </w:r>
      <w:r w:rsidRPr="00E2652F">
        <w:t xml:space="preserve">the </w:t>
      </w:r>
      <w:r w:rsidR="00F252EE" w:rsidRPr="00E2652F">
        <w:t xml:space="preserve">contamination at the site. If there is no immediate danger to the environment or </w:t>
      </w:r>
      <w:r w:rsidRPr="00E2652F">
        <w:t xml:space="preserve">the </w:t>
      </w:r>
      <w:r w:rsidR="00F252EE" w:rsidRPr="00E2652F">
        <w:t xml:space="preserve">local community, it may be considered suitable to leave </w:t>
      </w:r>
      <w:r w:rsidRPr="00E2652F">
        <w:t xml:space="preserve">the </w:t>
      </w:r>
      <w:r w:rsidR="00F252EE" w:rsidRPr="00E2652F">
        <w:t xml:space="preserve">contaminated material </w:t>
      </w:r>
      <w:r w:rsidRPr="00E2652F">
        <w:t>un</w:t>
      </w:r>
      <w:r w:rsidR="00F252EE" w:rsidRPr="00E2652F">
        <w:t>treat</w:t>
      </w:r>
      <w:r w:rsidRPr="00E2652F">
        <w:t>ed</w:t>
      </w:r>
      <w:r w:rsidR="00F252EE" w:rsidRPr="00E2652F">
        <w:t xml:space="preserve"> until higher priority sites have been addressed.</w:t>
      </w:r>
      <w:r w:rsidR="00E429A9" w:rsidRPr="00E2652F">
        <w:t xml:space="preserve"> </w:t>
      </w:r>
      <w:r w:rsidR="00DA2038" w:rsidRPr="00E2652F">
        <w:t>It may be possible to isolate the contamination on</w:t>
      </w:r>
      <w:r w:rsidR="0077064B" w:rsidRPr="00E2652F">
        <w:t>-</w:t>
      </w:r>
      <w:r w:rsidR="00DA2038" w:rsidRPr="00E2652F">
        <w:t>site in a containment facility</w:t>
      </w:r>
      <w:r w:rsidR="005A111B" w:rsidRPr="00E2652F">
        <w:t xml:space="preserve"> pending</w:t>
      </w:r>
      <w:r w:rsidR="00DA2038" w:rsidRPr="00E2652F">
        <w:t xml:space="preserve"> later remediation. </w:t>
      </w:r>
      <w:r w:rsidR="00F252EE" w:rsidRPr="00E2652F">
        <w:t xml:space="preserve">In </w:t>
      </w:r>
      <w:r w:rsidRPr="00E2652F">
        <w:t xml:space="preserve">such </w:t>
      </w:r>
      <w:r w:rsidR="00F252EE" w:rsidRPr="00E2652F">
        <w:t>circumstances</w:t>
      </w:r>
      <w:r w:rsidRPr="00E2652F">
        <w:t>,</w:t>
      </w:r>
      <w:r w:rsidR="00F252EE" w:rsidRPr="00E2652F">
        <w:t xml:space="preserve"> the site contamination should be </w:t>
      </w:r>
      <w:r w:rsidRPr="00E2652F">
        <w:t xml:space="preserve">periodically reviewed </w:t>
      </w:r>
      <w:r w:rsidR="00F252EE" w:rsidRPr="00E2652F">
        <w:t xml:space="preserve">to ensure that mercury is not </w:t>
      </w:r>
      <w:r w:rsidRPr="00E2652F">
        <w:t>migrating off</w:t>
      </w:r>
      <w:r w:rsidR="00ED1435" w:rsidRPr="00E2652F">
        <w:t xml:space="preserve"> </w:t>
      </w:r>
      <w:r w:rsidR="00F252EE" w:rsidRPr="00E2652F">
        <w:t xml:space="preserve">site or developing </w:t>
      </w:r>
      <w:r w:rsidRPr="00E2652F">
        <w:t xml:space="preserve">the </w:t>
      </w:r>
      <w:r w:rsidR="00F252EE" w:rsidRPr="00E2652F">
        <w:t xml:space="preserve">potential to </w:t>
      </w:r>
      <w:r w:rsidRPr="00E2652F">
        <w:t>affect</w:t>
      </w:r>
      <w:r w:rsidR="00F252EE" w:rsidRPr="00E2652F">
        <w:t xml:space="preserve"> the environment beyond the site boundaries. </w:t>
      </w:r>
      <w:r w:rsidR="005A111B" w:rsidRPr="00E2652F">
        <w:t>C</w:t>
      </w:r>
      <w:r w:rsidR="00F252EE" w:rsidRPr="00E2652F">
        <w:t xml:space="preserve">are should </w:t>
      </w:r>
      <w:r w:rsidR="005A111B" w:rsidRPr="00E2652F">
        <w:t xml:space="preserve">also </w:t>
      </w:r>
      <w:r w:rsidR="00F252EE" w:rsidRPr="00E2652F">
        <w:t xml:space="preserve">be taken to </w:t>
      </w:r>
      <w:r w:rsidRPr="00E2652F">
        <w:t xml:space="preserve">keep </w:t>
      </w:r>
      <w:r w:rsidR="00F252EE" w:rsidRPr="00E2652F">
        <w:t xml:space="preserve">information on soil quality and other information on the </w:t>
      </w:r>
      <w:r w:rsidR="004544B4" w:rsidRPr="00E2652F">
        <w:t xml:space="preserve">site </w:t>
      </w:r>
      <w:r w:rsidR="00F252EE" w:rsidRPr="00E2652F">
        <w:t xml:space="preserve">status readily available for future users of the site. </w:t>
      </w:r>
    </w:p>
    <w:p w14:paraId="566C651E" w14:textId="36B02604" w:rsidR="00F252EE" w:rsidRPr="00E2652F" w:rsidRDefault="00F252EE" w:rsidP="00582B27">
      <w:pPr>
        <w:pStyle w:val="Normalnumber"/>
        <w:numPr>
          <w:ilvl w:val="0"/>
          <w:numId w:val="12"/>
        </w:numPr>
        <w:spacing w:after="100"/>
        <w:ind w:left="1247" w:firstLine="0"/>
      </w:pPr>
      <w:r w:rsidRPr="00E2652F">
        <w:t>Long</w:t>
      </w:r>
      <w:r w:rsidR="004544B4" w:rsidRPr="00E2652F">
        <w:t>-</w:t>
      </w:r>
      <w:r w:rsidRPr="00E2652F">
        <w:t xml:space="preserve">term monitoring </w:t>
      </w:r>
      <w:r w:rsidR="004544B4" w:rsidRPr="00E2652F">
        <w:t>could be undertaken</w:t>
      </w:r>
      <w:r w:rsidR="004544B4" w:rsidRPr="00E2652F" w:rsidDel="004544B4">
        <w:t xml:space="preserve"> </w:t>
      </w:r>
      <w:r w:rsidRPr="00E2652F">
        <w:t>to determine any ongoing emissions and releases related to the presence of the contaminants and their metabolites.</w:t>
      </w:r>
      <w:r w:rsidR="00E429A9" w:rsidRPr="00E2652F">
        <w:t xml:space="preserve"> </w:t>
      </w:r>
      <w:r w:rsidRPr="00E2652F">
        <w:t xml:space="preserve">Soil </w:t>
      </w:r>
      <w:r w:rsidR="004544B4" w:rsidRPr="00E2652F">
        <w:t>sampling is</w:t>
      </w:r>
      <w:r w:rsidRPr="00E2652F">
        <w:t xml:space="preserve"> likely to </w:t>
      </w:r>
      <w:r w:rsidR="004544B4" w:rsidRPr="00E2652F">
        <w:t>provide the best indication</w:t>
      </w:r>
      <w:r w:rsidRPr="00E2652F">
        <w:t xml:space="preserve"> of the level of contamination</w:t>
      </w:r>
      <w:r w:rsidR="004544B4" w:rsidRPr="00E2652F">
        <w:t>;</w:t>
      </w:r>
      <w:r w:rsidRPr="00E2652F">
        <w:t xml:space="preserve"> however</w:t>
      </w:r>
      <w:r w:rsidR="004544B4" w:rsidRPr="00E2652F">
        <w:t>,</w:t>
      </w:r>
      <w:r w:rsidRPr="00E2652F">
        <w:t xml:space="preserve"> monitoring could </w:t>
      </w:r>
      <w:r w:rsidR="004544B4" w:rsidRPr="00E2652F">
        <w:t xml:space="preserve">also </w:t>
      </w:r>
      <w:r w:rsidRPr="00E2652F">
        <w:t>include measuring the atmospheric levels of mercury around the site.</w:t>
      </w:r>
      <w:r w:rsidR="00E429A9" w:rsidRPr="00E2652F">
        <w:t xml:space="preserve"> </w:t>
      </w:r>
      <w:r w:rsidRPr="00E2652F">
        <w:t xml:space="preserve">If ground or surface water contamination is identified in the initial assessment of the site, regular water sampling may </w:t>
      </w:r>
      <w:r w:rsidR="004544B4" w:rsidRPr="00E2652F">
        <w:t xml:space="preserve">also </w:t>
      </w:r>
      <w:r w:rsidRPr="00E2652F">
        <w:t xml:space="preserve">be considered as part of the management plan. </w:t>
      </w:r>
    </w:p>
    <w:p w14:paraId="21D06B06" w14:textId="13AD4671" w:rsidR="00CE4245" w:rsidRPr="00E2652F" w:rsidRDefault="004544B4" w:rsidP="00582B27">
      <w:pPr>
        <w:pStyle w:val="Normalnumber"/>
        <w:numPr>
          <w:ilvl w:val="0"/>
          <w:numId w:val="12"/>
        </w:numPr>
        <w:spacing w:after="100"/>
        <w:ind w:left="1247" w:firstLine="0"/>
      </w:pPr>
      <w:r w:rsidRPr="00E2652F">
        <w:t>Site r</w:t>
      </w:r>
      <w:r w:rsidR="00F252EE" w:rsidRPr="00E2652F">
        <w:t xml:space="preserve">emediation is another </w:t>
      </w:r>
      <w:r w:rsidRPr="00E2652F">
        <w:t>way of reducing</w:t>
      </w:r>
      <w:r w:rsidR="00F252EE" w:rsidRPr="00E2652F">
        <w:t xml:space="preserve"> the risks associated with contaminated sites. Remediation include</w:t>
      </w:r>
      <w:r w:rsidRPr="00E2652F">
        <w:t>s</w:t>
      </w:r>
      <w:r w:rsidR="00F252EE" w:rsidRPr="00E2652F">
        <w:t xml:space="preserve"> actions </w:t>
      </w:r>
      <w:r w:rsidRPr="00E2652F">
        <w:t>taken to</w:t>
      </w:r>
      <w:r w:rsidR="00F252EE" w:rsidRPr="00E2652F">
        <w:t xml:space="preserve"> remov</w:t>
      </w:r>
      <w:r w:rsidRPr="00E2652F">
        <w:t>e</w:t>
      </w:r>
      <w:r w:rsidR="00F252EE" w:rsidRPr="00E2652F">
        <w:t>, control</w:t>
      </w:r>
      <w:r w:rsidRPr="00E2652F">
        <w:t>,</w:t>
      </w:r>
      <w:r w:rsidR="00F252EE" w:rsidRPr="00E2652F">
        <w:t xml:space="preserve"> contain or reduc</w:t>
      </w:r>
      <w:r w:rsidRPr="00E2652F">
        <w:t>e</w:t>
      </w:r>
      <w:r w:rsidR="00F252EE" w:rsidRPr="00E2652F">
        <w:t xml:space="preserve"> contaminants or exposure pathways.</w:t>
      </w:r>
      <w:r w:rsidR="00E429A9" w:rsidRPr="00E2652F">
        <w:t xml:space="preserve"> </w:t>
      </w:r>
      <w:r w:rsidR="00F252EE" w:rsidRPr="00E2652F">
        <w:t xml:space="preserve">The goal of remediation is to render a site acceptable and safe for </w:t>
      </w:r>
      <w:r w:rsidRPr="00E2652F">
        <w:t xml:space="preserve">its current </w:t>
      </w:r>
      <w:r w:rsidR="00F252EE" w:rsidRPr="00E2652F">
        <w:t>use and also to maximi</w:t>
      </w:r>
      <w:r w:rsidRPr="00E2652F">
        <w:t>z</w:t>
      </w:r>
      <w:r w:rsidR="00F252EE" w:rsidRPr="00E2652F">
        <w:t xml:space="preserve">e potential future uses. The decision to remediate requires consideration of a number of factors, including the desired outcome, the level of contamination, </w:t>
      </w:r>
      <w:r w:rsidRPr="00E2652F">
        <w:t xml:space="preserve">the </w:t>
      </w:r>
      <w:r w:rsidR="00F252EE" w:rsidRPr="00E2652F">
        <w:t xml:space="preserve">likely exposures resulting from the contamination, </w:t>
      </w:r>
      <w:r w:rsidRPr="00E2652F">
        <w:t xml:space="preserve">the </w:t>
      </w:r>
      <w:r w:rsidR="00F252EE" w:rsidRPr="00E2652F">
        <w:t>feasibility of remediation options, cost-benefit considerations</w:t>
      </w:r>
      <w:r w:rsidR="0077064B" w:rsidRPr="00E2652F">
        <w:t>,</w:t>
      </w:r>
      <w:r w:rsidR="00F252EE" w:rsidRPr="00E2652F">
        <w:t xml:space="preserve"> the potential adverse effects of any actions (such as environmental contamination associated with disturbing contaminated soils</w:t>
      </w:r>
      <w:r w:rsidRPr="00E2652F">
        <w:t>)</w:t>
      </w:r>
      <w:r w:rsidR="005632F9" w:rsidRPr="00E2652F">
        <w:t xml:space="preserve"> and the resources available for remediation</w:t>
      </w:r>
      <w:r w:rsidR="00F252EE" w:rsidRPr="00E2652F">
        <w:t xml:space="preserve">. </w:t>
      </w:r>
      <w:r w:rsidR="00113D37" w:rsidRPr="00E2652F">
        <w:t xml:space="preserve">Remediation measures should also be undertaken with due consideration </w:t>
      </w:r>
      <w:r w:rsidR="0077064B" w:rsidRPr="00E2652F">
        <w:t>for</w:t>
      </w:r>
      <w:r w:rsidR="00113D37" w:rsidRPr="00E2652F">
        <w:t xml:space="preserve"> the need </w:t>
      </w:r>
      <w:r w:rsidR="0077064B" w:rsidRPr="00E2652F">
        <w:t>to carry out</w:t>
      </w:r>
      <w:r w:rsidR="00113D37" w:rsidRPr="00E2652F">
        <w:t xml:space="preserve"> such activities in a sustainable manner.</w:t>
      </w:r>
    </w:p>
    <w:p w14:paraId="43D5BF6E" w14:textId="66D05646" w:rsidR="00F252EE" w:rsidRPr="00E2652F" w:rsidRDefault="00F252EE" w:rsidP="00F51980">
      <w:pPr>
        <w:pStyle w:val="Normalnumber"/>
        <w:numPr>
          <w:ilvl w:val="0"/>
          <w:numId w:val="12"/>
        </w:numPr>
        <w:ind w:left="1247" w:firstLine="0"/>
      </w:pPr>
      <w:r w:rsidRPr="00E2652F">
        <w:t>There are a number of remediation options available, with a range of effectiveness and cost. The choice of remediation method should take into account the declared use of the site and the risk</w:t>
      </w:r>
      <w:r w:rsidR="004544B4" w:rsidRPr="00E2652F">
        <w:t>s</w:t>
      </w:r>
      <w:r w:rsidRPr="00E2652F">
        <w:t xml:space="preserve"> associated with th</w:t>
      </w:r>
      <w:r w:rsidR="004544B4" w:rsidRPr="00E2652F">
        <w:t>at</w:t>
      </w:r>
      <w:r w:rsidRPr="00E2652F">
        <w:t xml:space="preserve"> use.</w:t>
      </w:r>
      <w:r w:rsidR="005632F9" w:rsidRPr="00E2652F">
        <w:t xml:space="preserve"> The presence of other contaminants may also influence the choice of remediation method.</w:t>
      </w:r>
      <w:r w:rsidR="00CE4245" w:rsidRPr="00E2652F">
        <w:t xml:space="preserve"> </w:t>
      </w:r>
      <w:r w:rsidRPr="00E2652F">
        <w:t xml:space="preserve">It should be noted that a remediation strategy </w:t>
      </w:r>
      <w:r w:rsidR="004544B4" w:rsidRPr="00E2652F">
        <w:t xml:space="preserve">often requires </w:t>
      </w:r>
      <w:r w:rsidRPr="00E2652F">
        <w:t>the combination of several remediation techniques to address the issue</w:t>
      </w:r>
      <w:r w:rsidR="0055545E" w:rsidRPr="00E2652F">
        <w:t xml:space="preserve"> properly</w:t>
      </w:r>
      <w:r w:rsidRPr="00E2652F">
        <w:t xml:space="preserve">. </w:t>
      </w:r>
      <w:r w:rsidR="007E4EF4" w:rsidRPr="00E2652F">
        <w:t>E</w:t>
      </w:r>
      <w:r w:rsidRPr="00E2652F">
        <w:t>valuating and compari</w:t>
      </w:r>
      <w:r w:rsidR="004544B4" w:rsidRPr="00E2652F">
        <w:t>ng</w:t>
      </w:r>
      <w:r w:rsidRPr="00E2652F">
        <w:t xml:space="preserve"> individual remedial options</w:t>
      </w:r>
      <w:r w:rsidRPr="00E2652F">
        <w:rPr>
          <w:b/>
        </w:rPr>
        <w:t xml:space="preserve"> </w:t>
      </w:r>
      <w:r w:rsidRPr="00E2652F">
        <w:t>to determine the most effective solution</w:t>
      </w:r>
      <w:r w:rsidR="007E4EF4" w:rsidRPr="00E2652F">
        <w:t xml:space="preserve"> is a crucial aspect of assessing the environmental and health risks associated with a contaminated site</w:t>
      </w:r>
      <w:r w:rsidRPr="00E2652F">
        <w:t xml:space="preserve">. </w:t>
      </w:r>
    </w:p>
    <w:p w14:paraId="625595FC" w14:textId="3A02A589" w:rsidR="00F252EE" w:rsidRPr="00E2652F" w:rsidRDefault="00520198" w:rsidP="00F51980">
      <w:pPr>
        <w:pStyle w:val="CH2"/>
      </w:pPr>
      <w:r w:rsidRPr="00E2652F">
        <w:tab/>
      </w:r>
      <w:bookmarkStart w:id="23" w:name="_Toc524355410"/>
      <w:r w:rsidRPr="00E2652F">
        <w:tab/>
      </w:r>
      <w:r w:rsidR="00F252EE" w:rsidRPr="00E2652F">
        <w:t>Soil treatment</w:t>
      </w:r>
      <w:bookmarkEnd w:id="23"/>
    </w:p>
    <w:p w14:paraId="2F0FDEC6" w14:textId="246F7B54" w:rsidR="00D716BE" w:rsidRPr="00E2652F" w:rsidRDefault="0055545E" w:rsidP="00F51980">
      <w:pPr>
        <w:pStyle w:val="Normalnumber"/>
        <w:numPr>
          <w:ilvl w:val="0"/>
          <w:numId w:val="12"/>
        </w:numPr>
        <w:ind w:left="1247" w:firstLine="0"/>
      </w:pPr>
      <w:r w:rsidRPr="00E2652F">
        <w:t>When</w:t>
      </w:r>
      <w:r w:rsidR="00F252EE" w:rsidRPr="00E2652F">
        <w:t xml:space="preserve"> feasible, on-site treatment </w:t>
      </w:r>
      <w:r w:rsidRPr="00E2652F">
        <w:t>to either</w:t>
      </w:r>
      <w:r w:rsidR="00F252EE" w:rsidRPr="00E2652F">
        <w:t xml:space="preserve"> </w:t>
      </w:r>
      <w:r w:rsidRPr="00E2652F">
        <w:t xml:space="preserve">remove </w:t>
      </w:r>
      <w:r w:rsidR="00F252EE" w:rsidRPr="00E2652F">
        <w:t xml:space="preserve">the contaminant or </w:t>
      </w:r>
      <w:r w:rsidRPr="00E2652F">
        <w:t xml:space="preserve">reduce </w:t>
      </w:r>
      <w:r w:rsidR="00F252EE" w:rsidRPr="00E2652F">
        <w:t>the associated hazard to an acceptable level may be preferable.</w:t>
      </w:r>
      <w:r w:rsidR="00E429A9" w:rsidRPr="00E2652F">
        <w:t xml:space="preserve"> </w:t>
      </w:r>
      <w:r w:rsidRPr="00E2652F">
        <w:t>As far as practicable, s</w:t>
      </w:r>
      <w:r w:rsidR="00F252EE" w:rsidRPr="00E2652F">
        <w:t xml:space="preserve">uch treatment should be carried out without adverse effects on the environment, workers, the community adjacent to the site or the broader public. </w:t>
      </w:r>
    </w:p>
    <w:p w14:paraId="6570A54E" w14:textId="38D620FE" w:rsidR="0077064B" w:rsidRPr="00E2652F" w:rsidRDefault="00F252EE" w:rsidP="00F51980">
      <w:pPr>
        <w:pStyle w:val="Normalnumber"/>
        <w:numPr>
          <w:ilvl w:val="0"/>
          <w:numId w:val="12"/>
        </w:numPr>
        <w:ind w:left="1247" w:firstLine="0"/>
      </w:pPr>
      <w:r w:rsidRPr="00E2652F">
        <w:t>On</w:t>
      </w:r>
      <w:r w:rsidR="0055545E" w:rsidRPr="00E2652F">
        <w:t>-</w:t>
      </w:r>
      <w:r w:rsidRPr="00E2652F">
        <w:t>site containment of the mercury</w:t>
      </w:r>
      <w:r w:rsidR="00EC2BA8" w:rsidRPr="00E2652F">
        <w:t>-</w:t>
      </w:r>
      <w:r w:rsidRPr="00E2652F">
        <w:t>contaminated area may be a viable option in certain circumstances.</w:t>
      </w:r>
      <w:r w:rsidR="00E429A9" w:rsidRPr="00E2652F">
        <w:t xml:space="preserve"> </w:t>
      </w:r>
      <w:r w:rsidRPr="00E2652F">
        <w:t>Physical barriers are used to prevent mobili</w:t>
      </w:r>
      <w:r w:rsidR="0055545E" w:rsidRPr="00E2652F">
        <w:t>z</w:t>
      </w:r>
      <w:r w:rsidRPr="00E2652F">
        <w:t xml:space="preserve">ation of </w:t>
      </w:r>
      <w:r w:rsidR="0055545E" w:rsidRPr="00E2652F">
        <w:t xml:space="preserve">the </w:t>
      </w:r>
      <w:r w:rsidRPr="00E2652F">
        <w:t>mercury either through the soil or to air, with covering being a cost</w:t>
      </w:r>
      <w:r w:rsidR="0055545E" w:rsidRPr="00E2652F">
        <w:t>-</w:t>
      </w:r>
      <w:r w:rsidRPr="00E2652F">
        <w:t>effective physical barrier.</w:t>
      </w:r>
      <w:r w:rsidR="00E429A9" w:rsidRPr="00E2652F">
        <w:t xml:space="preserve"> </w:t>
      </w:r>
      <w:r w:rsidRPr="00E2652F">
        <w:t xml:space="preserve">This may involve cutting deep trenches into the soil around the contamination and filling the trenches with slurries (such as bentonite/cement and soil mixtures). </w:t>
      </w:r>
      <w:r w:rsidR="0055545E" w:rsidRPr="00E2652F">
        <w:t>It</w:t>
      </w:r>
      <w:r w:rsidRPr="00E2652F">
        <w:t xml:space="preserve"> may </w:t>
      </w:r>
      <w:r w:rsidR="0055545E" w:rsidRPr="00E2652F">
        <w:t xml:space="preserve">also </w:t>
      </w:r>
      <w:r w:rsidRPr="00E2652F">
        <w:t xml:space="preserve">involve in situ injection of stabilization chemicals into the soil using specially designed augurs. </w:t>
      </w:r>
      <w:r w:rsidR="00E4407E" w:rsidRPr="00E2652F">
        <w:t>Note</w:t>
      </w:r>
      <w:r w:rsidRPr="00E2652F">
        <w:t xml:space="preserve"> that such actions do not reduce the mass of mercury present, and there is potential to release contaminated material during the process (Merly and Hube, 2014).</w:t>
      </w:r>
      <w:r w:rsidR="00E429A9" w:rsidRPr="00E2652F">
        <w:t xml:space="preserve"> </w:t>
      </w:r>
      <w:r w:rsidRPr="00E2652F">
        <w:t xml:space="preserve">Institutional controls such as deed restrictions or land record notices could be an effective complement </w:t>
      </w:r>
      <w:r w:rsidR="00E4407E" w:rsidRPr="00E2652F">
        <w:t xml:space="preserve">to measures preventing </w:t>
      </w:r>
      <w:r w:rsidRPr="00E2652F">
        <w:t xml:space="preserve">mercury </w:t>
      </w:r>
      <w:r w:rsidR="00E4407E" w:rsidRPr="00E2652F">
        <w:t>mobilization</w:t>
      </w:r>
      <w:r w:rsidRPr="00E2652F">
        <w:t xml:space="preserve">. </w:t>
      </w:r>
    </w:p>
    <w:p w14:paraId="6F21BDBE" w14:textId="33B799B4" w:rsidR="00F252EE" w:rsidRPr="00E2652F" w:rsidRDefault="00F252EE" w:rsidP="00F51980">
      <w:pPr>
        <w:pStyle w:val="Normalnumber"/>
        <w:numPr>
          <w:ilvl w:val="0"/>
          <w:numId w:val="12"/>
        </w:numPr>
        <w:ind w:left="1247" w:firstLine="0"/>
      </w:pPr>
      <w:r w:rsidRPr="00E2652F">
        <w:t>Excavation and other ground</w:t>
      </w:r>
      <w:r w:rsidR="00E4407E" w:rsidRPr="00E2652F">
        <w:t>-</w:t>
      </w:r>
      <w:r w:rsidRPr="00E2652F">
        <w:t xml:space="preserve">disturbing activities </w:t>
      </w:r>
      <w:r w:rsidR="00ED1435" w:rsidRPr="00E2652F">
        <w:t xml:space="preserve">at the site </w:t>
      </w:r>
      <w:r w:rsidRPr="00E2652F">
        <w:t>can be conducted within temporary air</w:t>
      </w:r>
      <w:r w:rsidR="00E4407E" w:rsidRPr="00E2652F">
        <w:t>-</w:t>
      </w:r>
      <w:r w:rsidRPr="00E2652F">
        <w:t>tight structures using carbon filters and negative air pressurisation. This arrangement mitigates the risk of vapour and particulate release</w:t>
      </w:r>
      <w:r w:rsidR="00E4407E" w:rsidRPr="00E2652F">
        <w:t>s</w:t>
      </w:r>
      <w:r w:rsidRPr="00E2652F">
        <w:t xml:space="preserve"> </w:t>
      </w:r>
      <w:r w:rsidR="00E4407E" w:rsidRPr="00E2652F">
        <w:t xml:space="preserve">that could harm </w:t>
      </w:r>
      <w:r w:rsidRPr="00E2652F">
        <w:t>local communities and the environment. Such structures can also be substituted for expensive ambient air monitoring programmes</w:t>
      </w:r>
      <w:r w:rsidR="00E4407E" w:rsidRPr="00E2652F">
        <w:t>, as they provide</w:t>
      </w:r>
      <w:r w:rsidRPr="00E2652F">
        <w:t xml:space="preserve"> greater confidence </w:t>
      </w:r>
      <w:r w:rsidR="00E4407E" w:rsidRPr="00E2652F">
        <w:t xml:space="preserve">regarding </w:t>
      </w:r>
      <w:r w:rsidRPr="00E2652F">
        <w:t>exposure levels for workers and local residents.</w:t>
      </w:r>
    </w:p>
    <w:p w14:paraId="0A9DCDCA" w14:textId="0CD965A6" w:rsidR="00D716BE" w:rsidRPr="00E2652F" w:rsidRDefault="005632F9" w:rsidP="00F51980">
      <w:pPr>
        <w:pStyle w:val="Normalnumber"/>
        <w:numPr>
          <w:ilvl w:val="0"/>
          <w:numId w:val="12"/>
        </w:numPr>
        <w:ind w:left="1247" w:firstLine="0"/>
      </w:pPr>
      <w:r w:rsidRPr="00E2652F">
        <w:t>If in situ treatment of the contaminated soil to remove the contamination is not feasible, another option is</w:t>
      </w:r>
      <w:r w:rsidR="00F252EE" w:rsidRPr="00E2652F">
        <w:t xml:space="preserve"> to excavate </w:t>
      </w:r>
      <w:r w:rsidRPr="00E2652F">
        <w:t xml:space="preserve">the </w:t>
      </w:r>
      <w:r w:rsidR="00F252EE" w:rsidRPr="00E2652F">
        <w:t>contaminated soil and remove it from the site</w:t>
      </w:r>
      <w:r w:rsidR="00ED1435" w:rsidRPr="00E2652F">
        <w:t xml:space="preserve"> for treatment off </w:t>
      </w:r>
      <w:r w:rsidR="00D716BE" w:rsidRPr="00E2652F">
        <w:t>site</w:t>
      </w:r>
      <w:r w:rsidR="00F252EE" w:rsidRPr="00E2652F">
        <w:t>.</w:t>
      </w:r>
      <w:r w:rsidR="00E429A9" w:rsidRPr="00E2652F">
        <w:t xml:space="preserve"> </w:t>
      </w:r>
      <w:r w:rsidR="00113D37" w:rsidRPr="00E2652F">
        <w:t>I</w:t>
      </w:r>
      <w:r w:rsidRPr="00E2652F">
        <w:t xml:space="preserve">t can be sent </w:t>
      </w:r>
      <w:r w:rsidR="005A111B" w:rsidRPr="00E2652F">
        <w:t>to an approved site or storage facility</w:t>
      </w:r>
      <w:r w:rsidR="00113D37" w:rsidRPr="00E2652F">
        <w:t xml:space="preserve"> for later treatment</w:t>
      </w:r>
      <w:r w:rsidR="005A111B" w:rsidRPr="00E2652F">
        <w:t xml:space="preserve">. If this option is chosen, the Party would need to ensure that any receiving facility would be able to manage the waste in accordance with the provisions of the environmentally sound management of mercury wastes, as set out in </w:t>
      </w:r>
      <w:r w:rsidR="00D51E56" w:rsidRPr="00E2652F">
        <w:t>a</w:t>
      </w:r>
      <w:r w:rsidR="005A111B" w:rsidRPr="00E2652F">
        <w:t>rticle 11 of the Convention.</w:t>
      </w:r>
      <w:r w:rsidRPr="00E2652F">
        <w:t xml:space="preserve"> </w:t>
      </w:r>
      <w:r w:rsidR="00F252EE" w:rsidRPr="00E2652F">
        <w:t>Off-site treatment of th</w:t>
      </w:r>
      <w:r w:rsidR="005A111B" w:rsidRPr="00E2652F">
        <w:t>e</w:t>
      </w:r>
      <w:r w:rsidR="00F252EE" w:rsidRPr="00E2652F">
        <w:t xml:space="preserve"> excavated soil </w:t>
      </w:r>
      <w:r w:rsidR="005A111B" w:rsidRPr="00E2652F">
        <w:t>aims to either remove</w:t>
      </w:r>
      <w:r w:rsidR="00F252EE" w:rsidRPr="00E2652F">
        <w:t xml:space="preserve"> the contaminant or </w:t>
      </w:r>
      <w:r w:rsidR="005A111B" w:rsidRPr="00E2652F">
        <w:t xml:space="preserve">reduce </w:t>
      </w:r>
      <w:r w:rsidR="00F252EE" w:rsidRPr="00E2652F">
        <w:t>the associated hazard to an acceptable level.</w:t>
      </w:r>
      <w:r w:rsidR="005A111B" w:rsidRPr="00E2652F">
        <w:rPr>
          <w:b/>
          <w:color w:val="FF0000"/>
        </w:rPr>
        <w:t xml:space="preserve"> </w:t>
      </w:r>
      <w:r w:rsidR="005A111B" w:rsidRPr="00E2652F">
        <w:t>If possible, t</w:t>
      </w:r>
      <w:r w:rsidR="00F252EE" w:rsidRPr="00E2652F">
        <w:t xml:space="preserve">he treated soil </w:t>
      </w:r>
      <w:r w:rsidR="005A111B" w:rsidRPr="00E2652F">
        <w:t xml:space="preserve">is </w:t>
      </w:r>
      <w:r w:rsidR="00F252EE" w:rsidRPr="00E2652F">
        <w:t xml:space="preserve">then </w:t>
      </w:r>
      <w:r w:rsidR="005A111B" w:rsidRPr="00E2652F">
        <w:t>sent back</w:t>
      </w:r>
      <w:r w:rsidR="00F252EE" w:rsidRPr="00E2652F">
        <w:t xml:space="preserve"> to the site or to another site. Soil treatment residues would presumably contain high mercury concentrations and would need to be managed as mercury waste.</w:t>
      </w:r>
      <w:r w:rsidR="00D716BE" w:rsidRPr="00E2652F">
        <w:t xml:space="preserve"> </w:t>
      </w:r>
      <w:r w:rsidR="005B4DC0" w:rsidRPr="00E2652F">
        <w:t>Note, too, that when contaminated soil is treated and disposed of off</w:t>
      </w:r>
      <w:r w:rsidR="00ED1435" w:rsidRPr="00E2652F">
        <w:t xml:space="preserve"> </w:t>
      </w:r>
      <w:r w:rsidR="005B4DC0" w:rsidRPr="00E2652F">
        <w:t>site, the conditions of the waste management unit can have an impact on treatment effectiveness.</w:t>
      </w:r>
    </w:p>
    <w:p w14:paraId="5938687C" w14:textId="0B1D5964" w:rsidR="00D716BE" w:rsidRPr="00E2652F" w:rsidRDefault="00D716BE" w:rsidP="00F51980">
      <w:pPr>
        <w:pStyle w:val="Normalnumber"/>
        <w:numPr>
          <w:ilvl w:val="0"/>
          <w:numId w:val="12"/>
        </w:numPr>
        <w:ind w:left="1247" w:firstLine="0"/>
      </w:pPr>
      <w:r w:rsidRPr="00E2652F">
        <w:t>Methods that have proved successful for treating mercury-contaminated soil include solidification and stabilization, soil washing and acid extraction, thermal treatment and vitrification (US EPA, 2007), as well as</w:t>
      </w:r>
      <w:r w:rsidR="00ED1435" w:rsidRPr="00E2652F">
        <w:t xml:space="preserve"> electrokinetics</w:t>
      </w:r>
      <w:r w:rsidRPr="00E2652F">
        <w:t xml:space="preserve"> and in situ thermal desorption. The most suitable option will depend on the level of mercury and other contaminants in the soil, their distribution and the area that is contaminated. The treatment method </w:t>
      </w:r>
      <w:r w:rsidR="004E63A4" w:rsidRPr="00E2652F">
        <w:t>should</w:t>
      </w:r>
      <w:r w:rsidRPr="00E2652F">
        <w:t xml:space="preserve"> therefore be selected based on the site characteristics, taking into account the technologies that are available locally and nationally.</w:t>
      </w:r>
    </w:p>
    <w:p w14:paraId="561DACB3" w14:textId="4941C884" w:rsidR="00F252EE" w:rsidRPr="00E2652F" w:rsidRDefault="00F252EE" w:rsidP="00F51980">
      <w:pPr>
        <w:pStyle w:val="Normalnumber"/>
        <w:numPr>
          <w:ilvl w:val="0"/>
          <w:numId w:val="12"/>
        </w:numPr>
        <w:ind w:left="1247" w:firstLine="0"/>
      </w:pPr>
      <w:r w:rsidRPr="00E2652F">
        <w:t xml:space="preserve">The solidification process involves mixing contaminated soil or waste with a binder to create a slurry, paste or </w:t>
      </w:r>
      <w:r w:rsidR="00113D37" w:rsidRPr="00E2652F">
        <w:t xml:space="preserve">other </w:t>
      </w:r>
      <w:r w:rsidRPr="00E2652F">
        <w:t>semi-liquid state</w:t>
      </w:r>
      <w:r w:rsidR="00113D37" w:rsidRPr="00E2652F">
        <w:t xml:space="preserve"> that</w:t>
      </w:r>
      <w:r w:rsidRPr="00E2652F">
        <w:t xml:space="preserve"> will cure into a solid form</w:t>
      </w:r>
      <w:r w:rsidR="00113D37" w:rsidRPr="00E2652F">
        <w:t xml:space="preserve"> over time</w:t>
      </w:r>
      <w:r w:rsidRPr="00E2652F">
        <w:t xml:space="preserve"> (US EPA</w:t>
      </w:r>
      <w:r w:rsidR="00113D37" w:rsidRPr="00E2652F">
        <w:t>,</w:t>
      </w:r>
      <w:r w:rsidRPr="00E2652F">
        <w:t xml:space="preserve"> 2007). Solidification/stabilization </w:t>
      </w:r>
      <w:r w:rsidR="00113D37" w:rsidRPr="00E2652F">
        <w:t xml:space="preserve">can </w:t>
      </w:r>
      <w:r w:rsidRPr="00E2652F">
        <w:t xml:space="preserve">be </w:t>
      </w:r>
      <w:r w:rsidR="00113D37" w:rsidRPr="00E2652F">
        <w:t xml:space="preserve">done </w:t>
      </w:r>
      <w:r w:rsidRPr="00E2652F">
        <w:t>either on</w:t>
      </w:r>
      <w:r w:rsidR="00113D37" w:rsidRPr="00E2652F">
        <w:t xml:space="preserve"> </w:t>
      </w:r>
      <w:r w:rsidRPr="00E2652F">
        <w:t>or off</w:t>
      </w:r>
      <w:r w:rsidR="00ED1435" w:rsidRPr="00E2652F">
        <w:t xml:space="preserve"> </w:t>
      </w:r>
      <w:r w:rsidRPr="00E2652F">
        <w:t>site.</w:t>
      </w:r>
      <w:r w:rsidR="00E429A9" w:rsidRPr="00E2652F">
        <w:t xml:space="preserve"> </w:t>
      </w:r>
      <w:r w:rsidRPr="00E2652F">
        <w:t xml:space="preserve">This technique has been used </w:t>
      </w:r>
      <w:r w:rsidR="005B4DC0" w:rsidRPr="00E2652F">
        <w:t xml:space="preserve">before </w:t>
      </w:r>
      <w:r w:rsidRPr="00E2652F">
        <w:t>for clean</w:t>
      </w:r>
      <w:r w:rsidR="00113D37" w:rsidRPr="00E2652F">
        <w:t>-</w:t>
      </w:r>
      <w:r w:rsidRPr="00E2652F">
        <w:t>up and is commercially available in some countries (US EPA,</w:t>
      </w:r>
      <w:r w:rsidR="00113D37" w:rsidRPr="00E2652F">
        <w:t xml:space="preserve"> </w:t>
      </w:r>
      <w:r w:rsidRPr="00E2652F">
        <w:t>2007).</w:t>
      </w:r>
      <w:r w:rsidR="00E429A9" w:rsidRPr="00E2652F">
        <w:t xml:space="preserve"> </w:t>
      </w:r>
      <w:r w:rsidRPr="00E2652F">
        <w:t>Several factors affect the performance or cost of this treatment technology, including the pH of the treated substance, the presence of organic compounds, particle size, moisture content and the oxidation state of the mercury present.</w:t>
      </w:r>
      <w:r w:rsidR="00E429A9" w:rsidRPr="00E2652F">
        <w:t xml:space="preserve"> </w:t>
      </w:r>
      <w:r w:rsidRPr="00E2652F">
        <w:t xml:space="preserve">Examples of binding compounds include Portland cement, sulphur polymer cement, sulphide, phosphate, cement kiln dust, polyester resins </w:t>
      </w:r>
      <w:r w:rsidR="00ED1435" w:rsidRPr="00E2652F">
        <w:t xml:space="preserve">and </w:t>
      </w:r>
      <w:r w:rsidRPr="00E2652F">
        <w:t>polysiloxane compounds. These compounds vary in their effectiveness in binding mercury.</w:t>
      </w:r>
      <w:r w:rsidR="00E429A9" w:rsidRPr="00E2652F">
        <w:t xml:space="preserve"> </w:t>
      </w:r>
      <w:r w:rsidRPr="00E2652F">
        <w:t>Mixing of mercury with sulphur can stabili</w:t>
      </w:r>
      <w:r w:rsidR="005B4DC0" w:rsidRPr="00E2652F">
        <w:t>z</w:t>
      </w:r>
      <w:r w:rsidRPr="00E2652F">
        <w:t>e the mercury as mercury sulphide, which reduces leachability and volatility</w:t>
      </w:r>
      <w:r w:rsidR="00ED1435" w:rsidRPr="00E2652F">
        <w:t>;</w:t>
      </w:r>
      <w:r w:rsidR="00E429A9" w:rsidRPr="00E2652F">
        <w:t xml:space="preserve"> </w:t>
      </w:r>
      <w:r w:rsidR="00ED1435" w:rsidRPr="00E2652F">
        <w:t>h</w:t>
      </w:r>
      <w:r w:rsidRPr="00E2652F">
        <w:t>owever, mercury sulphide can be converted back to elemental mercury under certain circumstances.</w:t>
      </w:r>
      <w:r w:rsidR="00E429A9" w:rsidRPr="00E2652F">
        <w:t xml:space="preserve"> </w:t>
      </w:r>
      <w:r w:rsidRPr="00E2652F">
        <w:t xml:space="preserve">A polymer stabilisation process can be undertaken, where the mercury sulphide is microencapsulated in a polymeric sulphur matrix </w:t>
      </w:r>
      <w:r w:rsidR="005B4DC0" w:rsidRPr="00E2652F">
        <w:t xml:space="preserve">that </w:t>
      </w:r>
      <w:r w:rsidRPr="00E2652F">
        <w:t>forms solid blocks (</w:t>
      </w:r>
      <w:r w:rsidR="000A7C87" w:rsidRPr="00E2652F">
        <w:t>UNEP</w:t>
      </w:r>
      <w:r w:rsidRPr="00E2652F">
        <w:t>, 2015).</w:t>
      </w:r>
      <w:r w:rsidR="00E429A9" w:rsidRPr="00E2652F">
        <w:t xml:space="preserve"> </w:t>
      </w:r>
      <w:r w:rsidRPr="00E2652F">
        <w:t>This two-stage process minimize</w:t>
      </w:r>
      <w:r w:rsidR="005B4DC0" w:rsidRPr="00E2652F">
        <w:t>s</w:t>
      </w:r>
      <w:r w:rsidRPr="00E2652F">
        <w:t xml:space="preserve"> the environmental risks from the mercury</w:t>
      </w:r>
      <w:r w:rsidR="005B4DC0" w:rsidRPr="00E2652F">
        <w:t xml:space="preserve"> but also</w:t>
      </w:r>
      <w:r w:rsidRPr="00E2652F">
        <w:t xml:space="preserve"> the possibilit</w:t>
      </w:r>
      <w:r w:rsidR="005B4DC0" w:rsidRPr="00E2652F">
        <w:t>ies</w:t>
      </w:r>
      <w:r w:rsidRPr="00E2652F">
        <w:t xml:space="preserve"> for extracting the mercury at a later stage. </w:t>
      </w:r>
    </w:p>
    <w:p w14:paraId="4B77232C" w14:textId="7F85CB54" w:rsidR="00F252EE" w:rsidRPr="00E2652F" w:rsidRDefault="00F252EE" w:rsidP="00F51980">
      <w:pPr>
        <w:pStyle w:val="Normalnumber"/>
        <w:numPr>
          <w:ilvl w:val="0"/>
          <w:numId w:val="12"/>
        </w:numPr>
        <w:ind w:left="1247" w:firstLine="0"/>
      </w:pPr>
      <w:r w:rsidRPr="00E2652F">
        <w:t xml:space="preserve">Soil washing </w:t>
      </w:r>
      <w:r w:rsidR="00475FC6" w:rsidRPr="00E2652F">
        <w:t xml:space="preserve">and </w:t>
      </w:r>
      <w:r w:rsidRPr="00E2652F">
        <w:t>acid extraction can be used on contaminated soils removed from the site an</w:t>
      </w:r>
      <w:r w:rsidR="007555FC" w:rsidRPr="00E2652F">
        <w:t>d</w:t>
      </w:r>
      <w:r w:rsidRPr="00E2652F">
        <w:t xml:space="preserve"> treated separately. As the name suggests, </w:t>
      </w:r>
      <w:r w:rsidR="00475FC6" w:rsidRPr="00E2652F">
        <w:t xml:space="preserve">soil washing </w:t>
      </w:r>
      <w:r w:rsidRPr="00E2652F">
        <w:t>is a process in which the soil is washed to remove contaminants.</w:t>
      </w:r>
      <w:r w:rsidR="00E429A9" w:rsidRPr="00E2652F">
        <w:t xml:space="preserve"> </w:t>
      </w:r>
      <w:r w:rsidR="00475FC6" w:rsidRPr="00E2652F">
        <w:t>Soil washing and acid extraction</w:t>
      </w:r>
      <w:r w:rsidRPr="00E2652F">
        <w:t xml:space="preserve"> is primarily used to treat soils with </w:t>
      </w:r>
      <w:r w:rsidR="00475FC6" w:rsidRPr="00E2652F">
        <w:t xml:space="preserve">a </w:t>
      </w:r>
      <w:r w:rsidRPr="00E2652F">
        <w:t>relatively low clay content</w:t>
      </w:r>
      <w:r w:rsidR="00475FC6" w:rsidRPr="00E2652F">
        <w:t xml:space="preserve"> that</w:t>
      </w:r>
      <w:r w:rsidRPr="00E2652F">
        <w:t xml:space="preserve"> can be separated into fractions.</w:t>
      </w:r>
      <w:r w:rsidR="00E429A9" w:rsidRPr="00E2652F">
        <w:t xml:space="preserve"> </w:t>
      </w:r>
      <w:r w:rsidRPr="00E2652F">
        <w:t xml:space="preserve">It is </w:t>
      </w:r>
      <w:r w:rsidR="00475FC6" w:rsidRPr="00E2652F">
        <w:t xml:space="preserve">also </w:t>
      </w:r>
      <w:r w:rsidRPr="00E2652F">
        <w:t>less effective for soils with high organic content.</w:t>
      </w:r>
      <w:r w:rsidR="00E429A9" w:rsidRPr="00E2652F">
        <w:t xml:space="preserve"> </w:t>
      </w:r>
      <w:r w:rsidRPr="00E2652F">
        <w:t xml:space="preserve">Performance </w:t>
      </w:r>
      <w:r w:rsidR="00475FC6" w:rsidRPr="00E2652F">
        <w:t xml:space="preserve">and </w:t>
      </w:r>
      <w:r w:rsidRPr="00E2652F">
        <w:t>cost</w:t>
      </w:r>
      <w:r w:rsidR="00475FC6" w:rsidRPr="00E2652F">
        <w:t>s</w:t>
      </w:r>
      <w:r w:rsidRPr="00E2652F">
        <w:t xml:space="preserve"> may further be affected by soil homogeneity, particle size, pH and moisture content. </w:t>
      </w:r>
    </w:p>
    <w:p w14:paraId="3CBF10D0" w14:textId="42ED47F0" w:rsidR="00A70FCB" w:rsidRPr="00E2652F" w:rsidRDefault="00F252EE" w:rsidP="00F51980">
      <w:pPr>
        <w:pStyle w:val="Normalnumber"/>
        <w:numPr>
          <w:ilvl w:val="0"/>
          <w:numId w:val="12"/>
        </w:numPr>
        <w:ind w:left="1247" w:firstLine="0"/>
      </w:pPr>
      <w:r w:rsidRPr="00E2652F">
        <w:t>Thermal treatment is used to treat industrial and medical waste that contain mercury, but</w:t>
      </w:r>
      <w:r w:rsidR="0047033B" w:rsidRPr="00E2652F">
        <w:t xml:space="preserve"> it is generally not suitable</w:t>
      </w:r>
      <w:r w:rsidRPr="00E2652F">
        <w:t xml:space="preserve"> for soils with high clay or organic content. </w:t>
      </w:r>
      <w:r w:rsidR="00290163" w:rsidRPr="00E2652F">
        <w:t xml:space="preserve">Treatment performance and costs are affected by particle size and moisture content, among other things. </w:t>
      </w:r>
      <w:r w:rsidRPr="00E2652F">
        <w:t>It is a process in which heat is used to volatili</w:t>
      </w:r>
      <w:r w:rsidR="00290163" w:rsidRPr="00E2652F">
        <w:t>z</w:t>
      </w:r>
      <w:r w:rsidRPr="00E2652F">
        <w:t>e the mercury, which can then be collected from the off</w:t>
      </w:r>
      <w:r w:rsidR="00290163" w:rsidRPr="00E2652F">
        <w:t>-</w:t>
      </w:r>
      <w:r w:rsidRPr="00E2652F">
        <w:t xml:space="preserve">gases. It is typically done off site. Any thermal treatment undertaken needs to </w:t>
      </w:r>
      <w:r w:rsidR="00BD6CE0" w:rsidRPr="00E2652F">
        <w:t xml:space="preserve">provide for </w:t>
      </w:r>
      <w:r w:rsidRPr="00E2652F">
        <w:t xml:space="preserve">control of </w:t>
      </w:r>
      <w:r w:rsidR="00ED1435" w:rsidRPr="00E2652F">
        <w:t>the</w:t>
      </w:r>
      <w:r w:rsidRPr="00E2652F">
        <w:t xml:space="preserve"> mercury vapouri</w:t>
      </w:r>
      <w:r w:rsidR="00BD6CE0" w:rsidRPr="00E2652F">
        <w:t>z</w:t>
      </w:r>
      <w:r w:rsidRPr="00E2652F">
        <w:t>ed by the treatment.</w:t>
      </w:r>
      <w:r w:rsidR="00E429A9" w:rsidRPr="00E2652F">
        <w:t xml:space="preserve"> </w:t>
      </w:r>
      <w:r w:rsidRPr="00E2652F">
        <w:t>Thermal desorption can be done either directly or indirectly.</w:t>
      </w:r>
      <w:r w:rsidR="00E429A9" w:rsidRPr="00E2652F">
        <w:t xml:space="preserve"> </w:t>
      </w:r>
      <w:r w:rsidRPr="00E2652F">
        <w:t>Direct desorption involves the application of heat directly to the material to be treated.</w:t>
      </w:r>
      <w:r w:rsidR="00E429A9" w:rsidRPr="00E2652F">
        <w:t xml:space="preserve"> </w:t>
      </w:r>
      <w:r w:rsidRPr="00E2652F">
        <w:t>Indirect thermal desorption involves heating of the exterior of a chamber, which is passed through the wall of the chamber to the material for treatment.</w:t>
      </w:r>
      <w:r w:rsidR="00E429A9" w:rsidRPr="00E2652F">
        <w:t xml:space="preserve"> </w:t>
      </w:r>
      <w:r w:rsidR="00BD6CE0" w:rsidRPr="00E2652F">
        <w:t>Indirect thermal desorption has the advantage of separating t</w:t>
      </w:r>
      <w:r w:rsidRPr="00E2652F">
        <w:t>he off-gases of the treated material from the combustion gases</w:t>
      </w:r>
      <w:r w:rsidR="00F755F1" w:rsidRPr="00E2652F">
        <w:t>,</w:t>
      </w:r>
      <w:r w:rsidRPr="00E2652F">
        <w:t xml:space="preserve"> significantly reducing the volume of contaminated gases to </w:t>
      </w:r>
      <w:r w:rsidR="00D90683" w:rsidRPr="00E2652F">
        <w:t xml:space="preserve">be </w:t>
      </w:r>
      <w:r w:rsidRPr="00E2652F">
        <w:t>filt</w:t>
      </w:r>
      <w:r w:rsidR="00D90683" w:rsidRPr="00E2652F">
        <w:t>ered</w:t>
      </w:r>
      <w:r w:rsidRPr="00E2652F">
        <w:t>.</w:t>
      </w:r>
      <w:r w:rsidR="00E429A9" w:rsidRPr="00E2652F">
        <w:t xml:space="preserve"> </w:t>
      </w:r>
      <w:r w:rsidR="00BD6CE0" w:rsidRPr="00E2652F">
        <w:t>The o</w:t>
      </w:r>
      <w:r w:rsidRPr="00E2652F">
        <w:t xml:space="preserve">ff-gases </w:t>
      </w:r>
      <w:r w:rsidR="00BD6CE0" w:rsidRPr="00E2652F">
        <w:t>from the</w:t>
      </w:r>
      <w:r w:rsidRPr="00E2652F">
        <w:t xml:space="preserve"> treated material can be treated to recover mercury through, for example, condensation processes (Environment Agency</w:t>
      </w:r>
      <w:r w:rsidR="00F755F1" w:rsidRPr="00E2652F">
        <w:t>,</w:t>
      </w:r>
      <w:r w:rsidRPr="00E2652F">
        <w:t xml:space="preserve"> 2012). High</w:t>
      </w:r>
      <w:r w:rsidR="00057430" w:rsidRPr="00E2652F">
        <w:t>-</w:t>
      </w:r>
      <w:r w:rsidRPr="00E2652F">
        <w:t xml:space="preserve">temperature thermal treatment in retort ovens </w:t>
      </w:r>
      <w:r w:rsidR="00F755F1" w:rsidRPr="00E2652F">
        <w:t xml:space="preserve">operating at temperatures of around 425 to 540 degrees centigrade </w:t>
      </w:r>
      <w:r w:rsidRPr="00E2652F">
        <w:t>can be used for contaminated soils</w:t>
      </w:r>
      <w:r w:rsidR="00F755F1" w:rsidRPr="00E2652F">
        <w:t xml:space="preserve"> with a high concentration of mercury</w:t>
      </w:r>
      <w:r w:rsidRPr="00E2652F">
        <w:t xml:space="preserve"> (US EPA, 2007).</w:t>
      </w:r>
      <w:r w:rsidR="00BD6CE0" w:rsidRPr="00E2652F">
        <w:rPr>
          <w:b/>
          <w:color w:val="FF0000"/>
        </w:rPr>
        <w:t xml:space="preserve"> </w:t>
      </w:r>
      <w:r w:rsidR="008E7545" w:rsidRPr="00E2652F">
        <w:t>Note that emissions from i</w:t>
      </w:r>
      <w:r w:rsidRPr="00E2652F">
        <w:t xml:space="preserve">ncineration of waste </w:t>
      </w:r>
      <w:r w:rsidR="008E7545" w:rsidRPr="00E2652F">
        <w:t xml:space="preserve">are </w:t>
      </w:r>
      <w:r w:rsidRPr="00E2652F">
        <w:t xml:space="preserve">controlled under </w:t>
      </w:r>
      <w:r w:rsidR="00D51E56" w:rsidRPr="00E2652F">
        <w:t>a</w:t>
      </w:r>
      <w:r w:rsidRPr="00E2652F">
        <w:t>rticle 8 of the Minamata Convention</w:t>
      </w:r>
      <w:r w:rsidR="008E7545" w:rsidRPr="00E2652F">
        <w:t>, and the Conference of the Parties to the Minamata Convention has adopted g</w:t>
      </w:r>
      <w:r w:rsidRPr="00E2652F">
        <w:t xml:space="preserve">uidance on best available techniques and best environmental practices for </w:t>
      </w:r>
      <w:r w:rsidR="008E7545" w:rsidRPr="00E2652F">
        <w:t xml:space="preserve">controlling and, where feasible, reducing emissions of mercury and mercury compounds to the atmosphere from various sources, including </w:t>
      </w:r>
      <w:r w:rsidRPr="00E2652F">
        <w:t>waste incineration.</w:t>
      </w:r>
      <w:r w:rsidR="008E7545" w:rsidRPr="00E2652F">
        <w:rPr>
          <w:rStyle w:val="FootnoteReference"/>
        </w:rPr>
        <w:footnoteReference w:id="6"/>
      </w:r>
    </w:p>
    <w:p w14:paraId="75949302" w14:textId="079E7B2B" w:rsidR="00A70FCB" w:rsidRPr="00E2652F" w:rsidRDefault="00F252EE" w:rsidP="00F51980">
      <w:pPr>
        <w:pStyle w:val="Normalnumber"/>
        <w:numPr>
          <w:ilvl w:val="0"/>
          <w:numId w:val="12"/>
        </w:numPr>
        <w:ind w:left="1247" w:firstLine="0"/>
      </w:pPr>
      <w:r w:rsidRPr="00E2652F">
        <w:t xml:space="preserve">Electrokinetic </w:t>
      </w:r>
      <w:r w:rsidR="00AC2F05" w:rsidRPr="00E2652F">
        <w:t xml:space="preserve">applications </w:t>
      </w:r>
      <w:r w:rsidRPr="00E2652F">
        <w:t>use a low-intensity current in the contaminated soil.</w:t>
      </w:r>
      <w:r w:rsidR="00E429A9" w:rsidRPr="00E2652F">
        <w:t xml:space="preserve"> </w:t>
      </w:r>
      <w:r w:rsidR="00AC2F05" w:rsidRPr="00E2652F">
        <w:t xml:space="preserve">Such technology </w:t>
      </w:r>
      <w:r w:rsidRPr="00E2652F">
        <w:t>generally involves four processes</w:t>
      </w:r>
      <w:r w:rsidR="00AC2F05" w:rsidRPr="00E2652F">
        <w:t>:</w:t>
      </w:r>
      <w:r w:rsidR="00E429A9" w:rsidRPr="00E2652F">
        <w:t xml:space="preserve"> </w:t>
      </w:r>
      <w:r w:rsidRPr="00E2652F">
        <w:t xml:space="preserve">electromigration </w:t>
      </w:r>
      <w:r w:rsidR="00AC2F05" w:rsidRPr="00E2652F">
        <w:t xml:space="preserve">(transport of </w:t>
      </w:r>
      <w:r w:rsidRPr="00E2652F">
        <w:t>charged chemical species in the pore fluid</w:t>
      </w:r>
      <w:r w:rsidR="00AC2F05" w:rsidRPr="00E2652F">
        <w:t>)</w:t>
      </w:r>
      <w:r w:rsidRPr="00E2652F">
        <w:t>, electro</w:t>
      </w:r>
      <w:r w:rsidR="00C3505F" w:rsidRPr="00E2652F">
        <w:t>-</w:t>
      </w:r>
      <w:r w:rsidRPr="00E2652F">
        <w:t>osmosis (transport of pore fluid), electrophoresis (movement of charged particles) and electrolysis (chemical reaction associated with electric current).</w:t>
      </w:r>
      <w:r w:rsidR="00E429A9" w:rsidRPr="00E2652F">
        <w:t xml:space="preserve"> </w:t>
      </w:r>
      <w:r w:rsidRPr="00E2652F">
        <w:t>While these processes can extract metals from contaminated soils, the</w:t>
      </w:r>
      <w:r w:rsidR="00D90683" w:rsidRPr="00E2652F">
        <w:t>ir</w:t>
      </w:r>
      <w:r w:rsidRPr="00E2652F">
        <w:t xml:space="preserve"> efficiency depends on many factors.</w:t>
      </w:r>
      <w:r w:rsidR="00E429A9" w:rsidRPr="00E2652F">
        <w:t xml:space="preserve"> </w:t>
      </w:r>
      <w:r w:rsidR="00C3505F" w:rsidRPr="00E2652F">
        <w:t>The electrokinetic process can be difficult because m</w:t>
      </w:r>
      <w:r w:rsidRPr="00E2652F">
        <w:t xml:space="preserve">ercury has a low solubility in most natural soils, and </w:t>
      </w:r>
      <w:r w:rsidR="00C3505F" w:rsidRPr="00E2652F">
        <w:t xml:space="preserve">the process may be inhibited by </w:t>
      </w:r>
      <w:r w:rsidRPr="00E2652F">
        <w:t xml:space="preserve">the presence of elemental mercury </w:t>
      </w:r>
      <w:r w:rsidR="00AC2F05" w:rsidRPr="00E2652F">
        <w:t>(Feng and others, 2015)</w:t>
      </w:r>
      <w:r w:rsidRPr="00E2652F">
        <w:t>.</w:t>
      </w:r>
    </w:p>
    <w:p w14:paraId="03C0A888" w14:textId="4359A6DE" w:rsidR="00F252EE" w:rsidRPr="00E2652F" w:rsidRDefault="00520198" w:rsidP="00F51980">
      <w:pPr>
        <w:pStyle w:val="CH2"/>
      </w:pPr>
      <w:r w:rsidRPr="00E2652F">
        <w:tab/>
      </w:r>
      <w:bookmarkStart w:id="24" w:name="_Toc524355411"/>
      <w:r w:rsidRPr="00E2652F">
        <w:tab/>
      </w:r>
      <w:r w:rsidR="00F252EE" w:rsidRPr="00E2652F">
        <w:t>Water treatment technologies</w:t>
      </w:r>
      <w:bookmarkEnd w:id="24"/>
    </w:p>
    <w:p w14:paraId="110E0DE6" w14:textId="5D1FF47D" w:rsidR="00F252EE" w:rsidRPr="00E2652F" w:rsidRDefault="00C3505F" w:rsidP="00F51980">
      <w:pPr>
        <w:pStyle w:val="Normalnumber"/>
        <w:numPr>
          <w:ilvl w:val="0"/>
          <w:numId w:val="12"/>
        </w:numPr>
        <w:ind w:left="1247" w:firstLine="0"/>
      </w:pPr>
      <w:r w:rsidRPr="00E2652F">
        <w:t>C</w:t>
      </w:r>
      <w:r w:rsidR="00F252EE" w:rsidRPr="00E2652F">
        <w:t xml:space="preserve">ontaminated sites </w:t>
      </w:r>
      <w:r w:rsidRPr="00E2652F">
        <w:t xml:space="preserve">should be assessed </w:t>
      </w:r>
      <w:r w:rsidR="00F252EE" w:rsidRPr="00E2652F">
        <w:t>to determine the likelihood of ground</w:t>
      </w:r>
      <w:r w:rsidR="00CF5BF0" w:rsidRPr="00E2652F">
        <w:t>water</w:t>
      </w:r>
      <w:r w:rsidR="00F252EE" w:rsidRPr="00E2652F">
        <w:t xml:space="preserve"> or surface water</w:t>
      </w:r>
      <w:r w:rsidR="00CF5BF0" w:rsidRPr="00E2652F">
        <w:t xml:space="preserve"> contamination</w:t>
      </w:r>
      <w:r w:rsidR="00F252EE" w:rsidRPr="00E2652F">
        <w:t>.</w:t>
      </w:r>
      <w:r w:rsidR="00E429A9" w:rsidRPr="00E2652F">
        <w:t xml:space="preserve"> </w:t>
      </w:r>
      <w:r w:rsidR="00F252EE" w:rsidRPr="00E2652F">
        <w:t>A</w:t>
      </w:r>
      <w:r w:rsidR="00D95233" w:rsidRPr="00E2652F">
        <w:t>n a</w:t>
      </w:r>
      <w:r w:rsidR="00F252EE" w:rsidRPr="00E2652F">
        <w:t xml:space="preserve">ssessment of hydrogeological conditions </w:t>
      </w:r>
      <w:r w:rsidR="00D95233" w:rsidRPr="00E2652F">
        <w:t xml:space="preserve">can </w:t>
      </w:r>
      <w:r w:rsidR="00F252EE" w:rsidRPr="00E2652F">
        <w:t>assist in this.</w:t>
      </w:r>
      <w:r w:rsidR="00E429A9" w:rsidRPr="00E2652F">
        <w:t xml:space="preserve"> </w:t>
      </w:r>
      <w:r w:rsidR="00F252EE" w:rsidRPr="00E2652F">
        <w:t>If mercury has been identified in water associated with a contaminated site, there are several possible treatment technologies.</w:t>
      </w:r>
      <w:r w:rsidR="00E429A9" w:rsidRPr="00E2652F">
        <w:t xml:space="preserve"> </w:t>
      </w:r>
      <w:r w:rsidR="00F252EE" w:rsidRPr="00E2652F">
        <w:t>These include precipitation/coprecipitation, adsorption and membrane filtration (US</w:t>
      </w:r>
      <w:r w:rsidR="00F51980" w:rsidRPr="00E2652F">
        <w:t> </w:t>
      </w:r>
      <w:r w:rsidR="00F252EE" w:rsidRPr="00E2652F">
        <w:t>EPA</w:t>
      </w:r>
      <w:r w:rsidR="00D95233" w:rsidRPr="00E2652F">
        <w:t>,</w:t>
      </w:r>
      <w:r w:rsidR="00F252EE" w:rsidRPr="00E2652F">
        <w:t xml:space="preserve"> 2007).</w:t>
      </w:r>
      <w:r w:rsidR="00E429A9" w:rsidRPr="00E2652F">
        <w:t xml:space="preserve"> </w:t>
      </w:r>
      <w:r w:rsidR="00F252EE" w:rsidRPr="00E2652F">
        <w:t>If bottom sediments are contaminated with mercury, excavation, removal and covering may be an appropriate treatment.</w:t>
      </w:r>
    </w:p>
    <w:p w14:paraId="246CB4C4" w14:textId="09E2A2F3" w:rsidR="00A70FCB" w:rsidRPr="00E2652F" w:rsidRDefault="00F252EE" w:rsidP="00F51980">
      <w:pPr>
        <w:pStyle w:val="Normalnumber"/>
        <w:numPr>
          <w:ilvl w:val="0"/>
          <w:numId w:val="12"/>
        </w:numPr>
        <w:ind w:left="1247" w:firstLine="0"/>
      </w:pPr>
      <w:r w:rsidRPr="00E2652F">
        <w:t xml:space="preserve">Precipitation/coprecipitation is </w:t>
      </w:r>
      <w:r w:rsidR="00CF5BF0" w:rsidRPr="00E2652F">
        <w:t xml:space="preserve">a </w:t>
      </w:r>
      <w:r w:rsidRPr="00E2652F">
        <w:t>commonly used</w:t>
      </w:r>
      <w:r w:rsidR="00CF5BF0" w:rsidRPr="00E2652F">
        <w:t xml:space="preserve"> treatment</w:t>
      </w:r>
      <w:r w:rsidRPr="00E2652F">
        <w:t xml:space="preserve">, </w:t>
      </w:r>
      <w:r w:rsidR="00D95233" w:rsidRPr="00E2652F">
        <w:t>but</w:t>
      </w:r>
      <w:r w:rsidRPr="00E2652F">
        <w:t xml:space="preserve"> requires a wastewater treatment facility and skilled operators.</w:t>
      </w:r>
      <w:r w:rsidR="00E429A9" w:rsidRPr="00E2652F">
        <w:t xml:space="preserve"> </w:t>
      </w:r>
      <w:r w:rsidRPr="00E2652F">
        <w:t>It</w:t>
      </w:r>
      <w:r w:rsidR="00D95233" w:rsidRPr="00E2652F">
        <w:t>s effectiveness</w:t>
      </w:r>
      <w:r w:rsidRPr="00E2652F">
        <w:t xml:space="preserve"> is affected by pH and the presence of other contaminants. The process uses chemical additives </w:t>
      </w:r>
      <w:r w:rsidR="00D95233" w:rsidRPr="00E2652F">
        <w:t xml:space="preserve">that </w:t>
      </w:r>
      <w:r w:rsidRPr="00E2652F">
        <w:t xml:space="preserve">either turn dissolved contaminants into an insoluble solid (which will then precipitate) or form insoluble solids </w:t>
      </w:r>
      <w:r w:rsidR="00D95233" w:rsidRPr="00E2652F">
        <w:t>on</w:t>
      </w:r>
      <w:r w:rsidRPr="00E2652F">
        <w:t>to which dissolved contaminants are adsorbed.</w:t>
      </w:r>
      <w:r w:rsidR="00E429A9" w:rsidRPr="00E2652F">
        <w:t xml:space="preserve"> </w:t>
      </w:r>
      <w:r w:rsidRPr="00E2652F">
        <w:t>The liquid is then filtered or clarified to remove the solids.</w:t>
      </w:r>
    </w:p>
    <w:p w14:paraId="74D75A2F" w14:textId="059F1D9B" w:rsidR="00F252EE" w:rsidRPr="00E2652F" w:rsidRDefault="00F252EE" w:rsidP="00F51980">
      <w:pPr>
        <w:pStyle w:val="Normalnumber"/>
        <w:numPr>
          <w:ilvl w:val="0"/>
          <w:numId w:val="12"/>
        </w:numPr>
        <w:ind w:left="1247" w:firstLine="0"/>
      </w:pPr>
      <w:r w:rsidRPr="00E2652F">
        <w:t>Adsorption (often using activated carbon) is more often used for smaller systems where mercury is the only contaminant present.</w:t>
      </w:r>
      <w:r w:rsidR="00E429A9" w:rsidRPr="00E2652F">
        <w:t xml:space="preserve"> </w:t>
      </w:r>
      <w:r w:rsidRPr="00E2652F">
        <w:t>This process concentrates the mercury on the surface of a sorbent, which reduces the concentration in the bulk liquid phase.</w:t>
      </w:r>
      <w:r w:rsidR="00E429A9" w:rsidRPr="00E2652F">
        <w:t xml:space="preserve"> </w:t>
      </w:r>
      <w:r w:rsidRPr="00E2652F">
        <w:t>Generally, the adsorption media is packed into a column through which the contaminated water is passed.</w:t>
      </w:r>
      <w:r w:rsidR="00E429A9" w:rsidRPr="00E2652F">
        <w:t xml:space="preserve"> </w:t>
      </w:r>
      <w:r w:rsidRPr="00E2652F">
        <w:t>The spend adsorption media will then need to be regenerated for additional use or appropriately disposed</w:t>
      </w:r>
      <w:r w:rsidR="001A4A73" w:rsidRPr="00E2652F">
        <w:t xml:space="preserve"> of</w:t>
      </w:r>
      <w:r w:rsidRPr="00E2652F">
        <w:t xml:space="preserve">. This process </w:t>
      </w:r>
      <w:r w:rsidR="001A4A73" w:rsidRPr="00E2652F">
        <w:t xml:space="preserve">is more likely to </w:t>
      </w:r>
      <w:r w:rsidRPr="00E2652F">
        <w:t>be affected by the presence of other contaminants</w:t>
      </w:r>
      <w:r w:rsidR="001A4A73" w:rsidRPr="00E2652F">
        <w:t xml:space="preserve"> than other methods</w:t>
      </w:r>
      <w:r w:rsidRPr="00E2652F">
        <w:t xml:space="preserve">. </w:t>
      </w:r>
    </w:p>
    <w:p w14:paraId="04ABB377" w14:textId="35752B4B" w:rsidR="00F252EE" w:rsidRPr="00E2652F" w:rsidRDefault="00F252EE" w:rsidP="00F51980">
      <w:pPr>
        <w:pStyle w:val="Normalnumber"/>
        <w:numPr>
          <w:ilvl w:val="0"/>
          <w:numId w:val="12"/>
        </w:numPr>
        <w:ind w:left="1247" w:firstLine="0"/>
      </w:pPr>
      <w:r w:rsidRPr="00E2652F">
        <w:t>Membrane filtration is a highly effective process where the contaminants are removed from the water by passing it through a semi-permeable membrane.</w:t>
      </w:r>
      <w:r w:rsidR="00E429A9" w:rsidRPr="00E2652F">
        <w:t xml:space="preserve"> </w:t>
      </w:r>
      <w:r w:rsidR="001A4A73" w:rsidRPr="00E2652F">
        <w:t>I</w:t>
      </w:r>
      <w:r w:rsidRPr="00E2652F">
        <w:t xml:space="preserve">t is affected by other contaminants in the water, </w:t>
      </w:r>
      <w:r w:rsidR="001A4A73" w:rsidRPr="00E2652F">
        <w:t xml:space="preserve">however, </w:t>
      </w:r>
      <w:r w:rsidRPr="00E2652F">
        <w:t xml:space="preserve">with suspended solids, organic compounds and other contaminants causing the membrane to work less efficiently or stop working altogether. </w:t>
      </w:r>
    </w:p>
    <w:p w14:paraId="4A108F68" w14:textId="05EB7B7C" w:rsidR="00F252EE" w:rsidRPr="00E2652F" w:rsidRDefault="00CF5BF0" w:rsidP="00F51980">
      <w:pPr>
        <w:pStyle w:val="Normalnumber"/>
        <w:numPr>
          <w:ilvl w:val="0"/>
          <w:numId w:val="12"/>
        </w:numPr>
        <w:ind w:left="1247" w:firstLine="0"/>
      </w:pPr>
      <w:r w:rsidRPr="00E2652F">
        <w:t>A</w:t>
      </w:r>
      <w:r w:rsidR="00F252EE" w:rsidRPr="00E2652F">
        <w:t xml:space="preserve"> decision </w:t>
      </w:r>
      <w:r w:rsidRPr="00E2652F">
        <w:t xml:space="preserve">to not </w:t>
      </w:r>
      <w:r w:rsidR="001A4A73" w:rsidRPr="00E2652F">
        <w:t>take any</w:t>
      </w:r>
      <w:r w:rsidR="00F252EE" w:rsidRPr="00E2652F">
        <w:t xml:space="preserve"> </w:t>
      </w:r>
      <w:r w:rsidR="001A4A73" w:rsidRPr="00E2652F">
        <w:t xml:space="preserve">immediate </w:t>
      </w:r>
      <w:r w:rsidR="00F252EE" w:rsidRPr="00E2652F">
        <w:t xml:space="preserve">remediation action </w:t>
      </w:r>
      <w:r w:rsidR="004E63A4" w:rsidRPr="00E2652F">
        <w:t xml:space="preserve">may </w:t>
      </w:r>
      <w:r w:rsidR="001A4A73" w:rsidRPr="00E2652F">
        <w:t>allow for</w:t>
      </w:r>
      <w:r w:rsidR="00F252EE" w:rsidRPr="00E2652F">
        <w:t xml:space="preserve"> the development of new technologies </w:t>
      </w:r>
      <w:r w:rsidR="001A4A73" w:rsidRPr="00E2652F">
        <w:t xml:space="preserve">that might </w:t>
      </w:r>
      <w:r w:rsidR="00F252EE" w:rsidRPr="00E2652F">
        <w:t>make remediation more feasible in the future.</w:t>
      </w:r>
      <w:r w:rsidR="00E429A9" w:rsidRPr="00E2652F">
        <w:t xml:space="preserve"> </w:t>
      </w:r>
      <w:r w:rsidR="00F252EE" w:rsidRPr="00E2652F">
        <w:t xml:space="preserve">In </w:t>
      </w:r>
      <w:r w:rsidR="001A4A73" w:rsidRPr="00E2652F">
        <w:t xml:space="preserve">such </w:t>
      </w:r>
      <w:r w:rsidR="00F252EE" w:rsidRPr="00E2652F">
        <w:t>case</w:t>
      </w:r>
      <w:r w:rsidR="001A4A73" w:rsidRPr="00E2652F">
        <w:t>s</w:t>
      </w:r>
      <w:r w:rsidR="00F252EE" w:rsidRPr="00E2652F">
        <w:t>, a long-term monitoring programme may be required</w:t>
      </w:r>
      <w:r w:rsidRPr="00E2652F">
        <w:t>, and a review process to consider possible future remediation could be put in place</w:t>
      </w:r>
      <w:r w:rsidR="00F252EE" w:rsidRPr="00E2652F">
        <w:t>.</w:t>
      </w:r>
    </w:p>
    <w:p w14:paraId="3EDF5B6D" w14:textId="77777777" w:rsidR="00F252EE" w:rsidRPr="00E2652F" w:rsidRDefault="00F252EE" w:rsidP="00F51980">
      <w:pPr>
        <w:pStyle w:val="CH1"/>
      </w:pPr>
      <w:r w:rsidRPr="00E2652F">
        <w:tab/>
      </w:r>
      <w:bookmarkStart w:id="25" w:name="_Toc524355412"/>
      <w:r w:rsidRPr="00E2652F">
        <w:t>F.</w:t>
      </w:r>
      <w:r w:rsidRPr="00E2652F">
        <w:tab/>
        <w:t>Evaluation of benefits and costs</w:t>
      </w:r>
      <w:bookmarkEnd w:id="25"/>
    </w:p>
    <w:p w14:paraId="19C33167" w14:textId="143D7872" w:rsidR="00F252EE" w:rsidRPr="00E2652F" w:rsidRDefault="00F252EE" w:rsidP="00F51980">
      <w:pPr>
        <w:pStyle w:val="Normalnumber"/>
        <w:numPr>
          <w:ilvl w:val="0"/>
          <w:numId w:val="12"/>
        </w:numPr>
        <w:ind w:left="1247" w:firstLine="0"/>
      </w:pPr>
      <w:r w:rsidRPr="00E2652F">
        <w:t xml:space="preserve">All activities associated with </w:t>
      </w:r>
      <w:r w:rsidR="000736D2" w:rsidRPr="00E2652F">
        <w:t xml:space="preserve">contaminated site </w:t>
      </w:r>
      <w:r w:rsidRPr="00E2652F">
        <w:t xml:space="preserve">identification and assessment </w:t>
      </w:r>
      <w:r w:rsidR="000736D2" w:rsidRPr="00E2652F">
        <w:t>entail</w:t>
      </w:r>
      <w:r w:rsidRPr="00E2652F">
        <w:t xml:space="preserve"> some level of cost.</w:t>
      </w:r>
      <w:r w:rsidR="00E429A9" w:rsidRPr="00E2652F">
        <w:t xml:space="preserve"> </w:t>
      </w:r>
      <w:r w:rsidRPr="00E2652F">
        <w:t>Such costs may include staff time</w:t>
      </w:r>
      <w:r w:rsidR="000736D2" w:rsidRPr="00E2652F">
        <w:t xml:space="preserve"> for things like</w:t>
      </w:r>
      <w:r w:rsidRPr="00E2652F">
        <w:t xml:space="preserve"> desk assessments for initial identification of possible contaminated sites</w:t>
      </w:r>
      <w:r w:rsidR="000736D2" w:rsidRPr="00E2652F">
        <w:t xml:space="preserve"> and</w:t>
      </w:r>
      <w:r w:rsidRPr="00E2652F">
        <w:t xml:space="preserve"> survey visits to inspect possible sites and </w:t>
      </w:r>
      <w:r w:rsidR="000736D2" w:rsidRPr="00E2652F">
        <w:t>collect</w:t>
      </w:r>
      <w:r w:rsidRPr="00E2652F">
        <w:t xml:space="preserve"> samples to assess </w:t>
      </w:r>
      <w:r w:rsidR="000736D2" w:rsidRPr="00E2652F">
        <w:t xml:space="preserve">contamination </w:t>
      </w:r>
      <w:r w:rsidRPr="00E2652F">
        <w:t>level</w:t>
      </w:r>
      <w:r w:rsidR="000736D2" w:rsidRPr="00E2652F">
        <w:t>s</w:t>
      </w:r>
      <w:r w:rsidRPr="00E2652F">
        <w:t>.</w:t>
      </w:r>
      <w:r w:rsidR="00E429A9" w:rsidRPr="00E2652F">
        <w:t xml:space="preserve"> </w:t>
      </w:r>
      <w:r w:rsidR="000736D2" w:rsidRPr="00E2652F">
        <w:t>S</w:t>
      </w:r>
      <w:r w:rsidRPr="00E2652F">
        <w:t>ample</w:t>
      </w:r>
      <w:r w:rsidR="000736D2" w:rsidRPr="00E2652F">
        <w:t xml:space="preserve"> analysis</w:t>
      </w:r>
      <w:r w:rsidRPr="00E2652F">
        <w:t>, whether through government or university laboratories or through private firms engaged to undertake the analysis</w:t>
      </w:r>
      <w:r w:rsidR="000736D2" w:rsidRPr="00E2652F">
        <w:t>, will also entail costs</w:t>
      </w:r>
      <w:r w:rsidRPr="00E2652F">
        <w:t xml:space="preserve">. </w:t>
      </w:r>
      <w:r w:rsidR="000736D2" w:rsidRPr="00E2652F">
        <w:t>There may also be p</w:t>
      </w:r>
      <w:r w:rsidRPr="00E2652F">
        <w:t>rivate costs relate</w:t>
      </w:r>
      <w:r w:rsidR="000736D2" w:rsidRPr="00E2652F">
        <w:t>d</w:t>
      </w:r>
      <w:r w:rsidRPr="00E2652F">
        <w:t xml:space="preserve"> to decreases in </w:t>
      </w:r>
      <w:r w:rsidR="000736D2" w:rsidRPr="00E2652F">
        <w:t xml:space="preserve">land </w:t>
      </w:r>
      <w:r w:rsidRPr="00E2652F">
        <w:t xml:space="preserve">value </w:t>
      </w:r>
      <w:r w:rsidR="00562BF7" w:rsidRPr="00E2652F">
        <w:t>owing</w:t>
      </w:r>
      <w:r w:rsidRPr="00E2652F">
        <w:t xml:space="preserve"> to the contamination, liability claims and reduced </w:t>
      </w:r>
      <w:r w:rsidR="000736D2" w:rsidRPr="00E2652F">
        <w:t xml:space="preserve">site </w:t>
      </w:r>
      <w:r w:rsidRPr="00E2652F">
        <w:t xml:space="preserve">functionality. </w:t>
      </w:r>
      <w:r w:rsidR="000736D2" w:rsidRPr="00E2652F">
        <w:t>T</w:t>
      </w:r>
      <w:r w:rsidRPr="00E2652F">
        <w:t>he polluter-pays principle is a commonly accepted practice</w:t>
      </w:r>
      <w:r w:rsidR="000736D2" w:rsidRPr="00E2652F">
        <w:t xml:space="preserve"> for covering costs</w:t>
      </w:r>
      <w:r w:rsidRPr="00E2652F">
        <w:t xml:space="preserve">. </w:t>
      </w:r>
      <w:r w:rsidR="000736D2" w:rsidRPr="00E2652F">
        <w:t>In</w:t>
      </w:r>
      <w:r w:rsidRPr="00E2652F">
        <w:t xml:space="preserve"> cases where </w:t>
      </w:r>
      <w:r w:rsidR="000736D2" w:rsidRPr="00E2652F">
        <w:t xml:space="preserve">the </w:t>
      </w:r>
      <w:r w:rsidRPr="00E2652F">
        <w:t xml:space="preserve">polluter </w:t>
      </w:r>
      <w:r w:rsidR="00760A95" w:rsidRPr="00E2652F">
        <w:t xml:space="preserve">is </w:t>
      </w:r>
      <w:r w:rsidRPr="00E2652F">
        <w:t>absent or unknown</w:t>
      </w:r>
      <w:r w:rsidR="000736D2" w:rsidRPr="00E2652F">
        <w:t>,</w:t>
      </w:r>
      <w:r w:rsidRPr="00E2652F">
        <w:t xml:space="preserve"> </w:t>
      </w:r>
      <w:r w:rsidR="000736D2" w:rsidRPr="00E2652F">
        <w:t>establishing</w:t>
      </w:r>
      <w:r w:rsidRPr="00E2652F">
        <w:t xml:space="preserve"> a foundation can be an effective </w:t>
      </w:r>
      <w:r w:rsidR="000736D2" w:rsidRPr="00E2652F">
        <w:t>approach</w:t>
      </w:r>
      <w:r w:rsidRPr="00E2652F">
        <w:t xml:space="preserve">. </w:t>
      </w:r>
    </w:p>
    <w:p w14:paraId="6FC8C045" w14:textId="43F4EA43" w:rsidR="00A70FCB" w:rsidRPr="00E2652F" w:rsidRDefault="00F252EE" w:rsidP="00F51980">
      <w:pPr>
        <w:pStyle w:val="Normalnumber"/>
        <w:numPr>
          <w:ilvl w:val="0"/>
          <w:numId w:val="12"/>
        </w:numPr>
        <w:ind w:left="1247" w:firstLine="0"/>
      </w:pPr>
      <w:r w:rsidRPr="00E2652F">
        <w:t>Public consultation</w:t>
      </w:r>
      <w:r w:rsidR="00301F71" w:rsidRPr="00E2652F">
        <w:t>s</w:t>
      </w:r>
      <w:r w:rsidRPr="00E2652F">
        <w:t xml:space="preserve"> may </w:t>
      </w:r>
      <w:r w:rsidR="00301F71" w:rsidRPr="00E2652F">
        <w:t xml:space="preserve">also entail costs associated with </w:t>
      </w:r>
      <w:r w:rsidRPr="00E2652F">
        <w:t xml:space="preserve">staff time or </w:t>
      </w:r>
      <w:r w:rsidR="00301F71" w:rsidRPr="00E2652F">
        <w:t>the</w:t>
      </w:r>
      <w:r w:rsidRPr="00E2652F">
        <w:t xml:space="preserve"> hiring </w:t>
      </w:r>
      <w:r w:rsidR="00301F71" w:rsidRPr="00E2652F">
        <w:t xml:space="preserve">of </w:t>
      </w:r>
      <w:r w:rsidRPr="00E2652F">
        <w:t>a consultant or speciali</w:t>
      </w:r>
      <w:r w:rsidR="00301F71" w:rsidRPr="00E2652F">
        <w:t>z</w:t>
      </w:r>
      <w:r w:rsidRPr="00E2652F">
        <w:t>ed firm.</w:t>
      </w:r>
    </w:p>
    <w:p w14:paraId="06ED49D7" w14:textId="7851F116" w:rsidR="00F252EE" w:rsidRPr="00E2652F" w:rsidRDefault="00F252EE" w:rsidP="00F51980">
      <w:pPr>
        <w:pStyle w:val="Normalnumber"/>
        <w:numPr>
          <w:ilvl w:val="0"/>
          <w:numId w:val="12"/>
        </w:numPr>
        <w:ind w:left="1247" w:firstLine="0"/>
      </w:pPr>
      <w:r w:rsidRPr="00E2652F">
        <w:t xml:space="preserve">Management or remediation of contaminated sites will </w:t>
      </w:r>
      <w:r w:rsidR="00301F71" w:rsidRPr="00E2652F">
        <w:t xml:space="preserve">entail </w:t>
      </w:r>
      <w:r w:rsidRPr="00E2652F">
        <w:t xml:space="preserve">costs, some of which will be </w:t>
      </w:r>
      <w:r w:rsidR="00E2652F">
        <w:br/>
      </w:r>
      <w:r w:rsidRPr="00E2652F">
        <w:t>one-off expenditure</w:t>
      </w:r>
      <w:r w:rsidR="00301F71" w:rsidRPr="00E2652F">
        <w:t>s</w:t>
      </w:r>
      <w:r w:rsidRPr="00E2652F">
        <w:t xml:space="preserve"> (capital costs) and </w:t>
      </w:r>
      <w:r w:rsidR="00301F71" w:rsidRPr="00E2652F">
        <w:t xml:space="preserve">some of </w:t>
      </w:r>
      <w:r w:rsidRPr="00E2652F">
        <w:t>which will be ongoing, such as operation</w:t>
      </w:r>
      <w:r w:rsidR="00301F71" w:rsidRPr="00E2652F">
        <w:t>,</w:t>
      </w:r>
      <w:r w:rsidRPr="00E2652F">
        <w:t xml:space="preserve"> maintenance and monitoring costs.</w:t>
      </w:r>
      <w:r w:rsidR="00E429A9" w:rsidRPr="00E2652F">
        <w:t xml:space="preserve"> </w:t>
      </w:r>
      <w:r w:rsidR="00301F71" w:rsidRPr="00E2652F">
        <w:t>A</w:t>
      </w:r>
      <w:r w:rsidRPr="00E2652F">
        <w:t xml:space="preserve">ctual costs </w:t>
      </w:r>
      <w:r w:rsidR="00301F71" w:rsidRPr="00E2652F">
        <w:t>will be</w:t>
      </w:r>
      <w:r w:rsidRPr="00E2652F">
        <w:t xml:space="preserve"> very site specific and </w:t>
      </w:r>
      <w:r w:rsidR="00301F71" w:rsidRPr="00E2652F">
        <w:t xml:space="preserve">will </w:t>
      </w:r>
      <w:r w:rsidR="00A143FB" w:rsidRPr="00E2652F">
        <w:t>depend on</w:t>
      </w:r>
      <w:r w:rsidRPr="00E2652F">
        <w:t xml:space="preserve"> the availability of suitable technology nationally</w:t>
      </w:r>
      <w:r w:rsidR="00301F71" w:rsidRPr="00E2652F">
        <w:t xml:space="preserve"> and local</w:t>
      </w:r>
      <w:r w:rsidRPr="00E2652F">
        <w:t xml:space="preserve"> costs </w:t>
      </w:r>
      <w:r w:rsidR="00301F71" w:rsidRPr="00E2652F">
        <w:t xml:space="preserve">for </w:t>
      </w:r>
      <w:r w:rsidRPr="00E2652F">
        <w:t xml:space="preserve">consumables and labour. </w:t>
      </w:r>
    </w:p>
    <w:p w14:paraId="58367094" w14:textId="41DA0E9E" w:rsidR="00F252EE" w:rsidRPr="00E2652F" w:rsidRDefault="00F252EE" w:rsidP="00F51980">
      <w:pPr>
        <w:pStyle w:val="Normalnumber"/>
        <w:numPr>
          <w:ilvl w:val="0"/>
          <w:numId w:val="12"/>
        </w:numPr>
        <w:ind w:left="1247" w:firstLine="0"/>
      </w:pPr>
      <w:r w:rsidRPr="00E2652F">
        <w:t>The impact of mercury on the local population</w:t>
      </w:r>
      <w:r w:rsidR="00A143FB" w:rsidRPr="00E2652F">
        <w:t xml:space="preserve"> and</w:t>
      </w:r>
      <w:r w:rsidRPr="00E2652F">
        <w:t xml:space="preserve"> the local environment also </w:t>
      </w:r>
      <w:r w:rsidR="00A143FB" w:rsidRPr="00E2652F">
        <w:t xml:space="preserve">entails </w:t>
      </w:r>
      <w:r w:rsidRPr="00E2652F">
        <w:t>costs.</w:t>
      </w:r>
      <w:r w:rsidR="00E429A9" w:rsidRPr="00E2652F">
        <w:t xml:space="preserve"> </w:t>
      </w:r>
      <w:r w:rsidRPr="00E2652F">
        <w:t>Some of the</w:t>
      </w:r>
      <w:r w:rsidR="00A143FB" w:rsidRPr="00E2652F">
        <w:t>se</w:t>
      </w:r>
      <w:r w:rsidRPr="00E2652F">
        <w:t xml:space="preserve"> costs </w:t>
      </w:r>
      <w:r w:rsidR="00A143FB" w:rsidRPr="00E2652F">
        <w:t>are</w:t>
      </w:r>
      <w:r w:rsidRPr="00E2652F">
        <w:t xml:space="preserve"> direct (such as medical care for </w:t>
      </w:r>
      <w:r w:rsidR="00A143FB" w:rsidRPr="00E2652F">
        <w:t xml:space="preserve">people </w:t>
      </w:r>
      <w:r w:rsidRPr="00E2652F">
        <w:t xml:space="preserve">with adverse health effects) while others </w:t>
      </w:r>
      <w:r w:rsidR="00A143FB" w:rsidRPr="00E2652F">
        <w:t>are</w:t>
      </w:r>
      <w:r w:rsidRPr="00E2652F">
        <w:t xml:space="preserve"> more indirect (such as loss of income associated with contaminated fish </w:t>
      </w:r>
      <w:r w:rsidR="00A143FB" w:rsidRPr="00E2652F">
        <w:t xml:space="preserve">that </w:t>
      </w:r>
      <w:r w:rsidRPr="00E2652F">
        <w:t>cannot be caught or sold</w:t>
      </w:r>
      <w:r w:rsidR="00D91A6C" w:rsidRPr="00E2652F">
        <w:t>,</w:t>
      </w:r>
      <w:r w:rsidRPr="00E2652F">
        <w:t xml:space="preserve"> or lost cropland</w:t>
      </w:r>
      <w:r w:rsidR="00A143FB" w:rsidRPr="00E2652F">
        <w:t>)</w:t>
      </w:r>
      <w:r w:rsidRPr="00E2652F">
        <w:t xml:space="preserve">. The costs associated with the impact of a contaminated site on the local environment may be seen in the short or long term, </w:t>
      </w:r>
      <w:r w:rsidR="003E7095" w:rsidRPr="00E2652F">
        <w:t xml:space="preserve">but </w:t>
      </w:r>
      <w:r w:rsidRPr="00E2652F">
        <w:t xml:space="preserve">the benefits resulting from successful management of a contaminated site </w:t>
      </w:r>
      <w:r w:rsidR="003E7095" w:rsidRPr="00E2652F">
        <w:t>are</w:t>
      </w:r>
      <w:r w:rsidRPr="00E2652F">
        <w:t xml:space="preserve"> seen for a very long period.</w:t>
      </w:r>
      <w:r w:rsidR="00A143FB" w:rsidRPr="00E2652F">
        <w:rPr>
          <w:b/>
          <w:color w:val="FF0000"/>
        </w:rPr>
        <w:t xml:space="preserve"> </w:t>
      </w:r>
      <w:r w:rsidR="003E7095" w:rsidRPr="00E2652F">
        <w:t xml:space="preserve">Short-term </w:t>
      </w:r>
      <w:r w:rsidRPr="00E2652F">
        <w:t>costs can include the nuisance associated with remediation work, while longer</w:t>
      </w:r>
      <w:r w:rsidR="003E7095" w:rsidRPr="00E2652F">
        <w:t>-</w:t>
      </w:r>
      <w:r w:rsidRPr="00E2652F">
        <w:t xml:space="preserve">term costs </w:t>
      </w:r>
      <w:r w:rsidR="003E7095" w:rsidRPr="00E2652F">
        <w:t xml:space="preserve">can </w:t>
      </w:r>
      <w:r w:rsidRPr="00E2652F">
        <w:t xml:space="preserve">include </w:t>
      </w:r>
      <w:r w:rsidR="003E7095" w:rsidRPr="00E2652F">
        <w:t xml:space="preserve">a </w:t>
      </w:r>
      <w:r w:rsidRPr="00E2652F">
        <w:t>decrease</w:t>
      </w:r>
      <w:r w:rsidR="003E7095" w:rsidRPr="00E2652F">
        <w:t xml:space="preserve"> in</w:t>
      </w:r>
      <w:r w:rsidRPr="00E2652F">
        <w:t xml:space="preserve"> land value around the site and limitations on agricultural production or </w:t>
      </w:r>
      <w:r w:rsidR="003E7095" w:rsidRPr="00E2652F">
        <w:t xml:space="preserve">other </w:t>
      </w:r>
      <w:r w:rsidRPr="00E2652F">
        <w:t xml:space="preserve">land use. The costs to affected communities from non-market outcomes such as morbidity, </w:t>
      </w:r>
      <w:r w:rsidR="003E7095" w:rsidRPr="00E2652F">
        <w:t xml:space="preserve">brain </w:t>
      </w:r>
      <w:r w:rsidRPr="00E2652F">
        <w:t>damage</w:t>
      </w:r>
      <w:r w:rsidR="003E7095" w:rsidRPr="00E2652F">
        <w:t xml:space="preserve"> and the</w:t>
      </w:r>
      <w:r w:rsidRPr="00E2652F">
        <w:t xml:space="preserve"> loss of natural resources or clean water may be significantly higher.</w:t>
      </w:r>
      <w:r w:rsidR="00E429A9" w:rsidRPr="00E2652F">
        <w:t xml:space="preserve"> </w:t>
      </w:r>
      <w:r w:rsidRPr="00E2652F">
        <w:t>Such costs should be included in any economic assessments.</w:t>
      </w:r>
    </w:p>
    <w:p w14:paraId="3B89D5CD" w14:textId="4A4E7EF9" w:rsidR="00F252EE" w:rsidRPr="00E2652F" w:rsidRDefault="003E7095" w:rsidP="00F51980">
      <w:pPr>
        <w:pStyle w:val="Normalnumber"/>
        <w:numPr>
          <w:ilvl w:val="0"/>
          <w:numId w:val="12"/>
        </w:numPr>
        <w:ind w:left="1247" w:firstLine="0"/>
      </w:pPr>
      <w:r w:rsidRPr="00E2652F">
        <w:t>T</w:t>
      </w:r>
      <w:r w:rsidR="00F252EE" w:rsidRPr="00E2652F">
        <w:t xml:space="preserve">he costs </w:t>
      </w:r>
      <w:r w:rsidRPr="00E2652F">
        <w:t xml:space="preserve">associated with </w:t>
      </w:r>
      <w:r w:rsidR="00F252EE" w:rsidRPr="00E2652F">
        <w:t>a number of possible remediation techniques</w:t>
      </w:r>
      <w:r w:rsidRPr="00E2652F">
        <w:t xml:space="preserve"> have been assessed.</w:t>
      </w:r>
      <w:r w:rsidR="00F252EE" w:rsidRPr="00E2652F">
        <w:t xml:space="preserve"> </w:t>
      </w:r>
      <w:r w:rsidRPr="00E2652F">
        <w:t>M</w:t>
      </w:r>
      <w:r w:rsidR="00F252EE" w:rsidRPr="00E2652F">
        <w:t>any of the available technologies hav</w:t>
      </w:r>
      <w:r w:rsidRPr="00E2652F">
        <w:t>e both</w:t>
      </w:r>
      <w:r w:rsidR="00F252EE" w:rsidRPr="00E2652F">
        <w:t xml:space="preserve"> initial capital costs </w:t>
      </w:r>
      <w:r w:rsidRPr="00E2652F">
        <w:t>and</w:t>
      </w:r>
      <w:r w:rsidR="00F252EE" w:rsidRPr="00E2652F">
        <w:t xml:space="preserve"> ongoing operation maintenance and monitoring costs. </w:t>
      </w:r>
      <w:r w:rsidRPr="00E2652F">
        <w:t xml:space="preserve">Parties </w:t>
      </w:r>
      <w:r w:rsidR="004E63A4" w:rsidRPr="00E2652F">
        <w:t>may</w:t>
      </w:r>
      <w:r w:rsidRPr="00E2652F">
        <w:t xml:space="preserve"> establish n</w:t>
      </w:r>
      <w:r w:rsidR="00F252EE" w:rsidRPr="00E2652F">
        <w:t xml:space="preserve">ational priorities to ensure </w:t>
      </w:r>
      <w:r w:rsidRPr="00E2652F">
        <w:t xml:space="preserve">that </w:t>
      </w:r>
      <w:r w:rsidR="00F252EE" w:rsidRPr="00E2652F">
        <w:t>the available funds are used effective</w:t>
      </w:r>
      <w:r w:rsidRPr="00E2652F">
        <w:t>ly</w:t>
      </w:r>
      <w:r w:rsidR="00F252EE" w:rsidRPr="00E2652F">
        <w:t>.</w:t>
      </w:r>
      <w:r w:rsidR="00E429A9" w:rsidRPr="00E2652F">
        <w:t xml:space="preserve"> </w:t>
      </w:r>
      <w:r w:rsidR="00F252EE" w:rsidRPr="00E2652F">
        <w:t>Such prioriti</w:t>
      </w:r>
      <w:r w:rsidRPr="00E2652F">
        <w:t>z</w:t>
      </w:r>
      <w:r w:rsidR="00F252EE" w:rsidRPr="00E2652F">
        <w:t xml:space="preserve">ation </w:t>
      </w:r>
      <w:r w:rsidRPr="00E2652F">
        <w:t>could</w:t>
      </w:r>
      <w:r w:rsidR="00F252EE" w:rsidRPr="00E2652F">
        <w:t xml:space="preserve"> be built on </w:t>
      </w:r>
      <w:r w:rsidRPr="00E2652F">
        <w:t xml:space="preserve">site </w:t>
      </w:r>
      <w:r w:rsidR="00F252EE" w:rsidRPr="00E2652F">
        <w:t xml:space="preserve">ranking </w:t>
      </w:r>
      <w:r w:rsidRPr="00E2652F">
        <w:t xml:space="preserve">that </w:t>
      </w:r>
      <w:r w:rsidR="00F252EE" w:rsidRPr="00E2652F">
        <w:t>use</w:t>
      </w:r>
      <w:r w:rsidRPr="00E2652F">
        <w:t>s</w:t>
      </w:r>
      <w:r w:rsidR="00F252EE" w:rsidRPr="00E2652F">
        <w:t xml:space="preserve"> a nationally agreed scoring system to identify </w:t>
      </w:r>
      <w:r w:rsidRPr="00E2652F">
        <w:t xml:space="preserve">the </w:t>
      </w:r>
      <w:r w:rsidR="00F252EE" w:rsidRPr="00E2652F">
        <w:t xml:space="preserve">highest priorities. </w:t>
      </w:r>
      <w:r w:rsidRPr="00E2652F">
        <w:t>E</w:t>
      </w:r>
      <w:r w:rsidR="00F252EE" w:rsidRPr="00E2652F">
        <w:t xml:space="preserve">xtensive information </w:t>
      </w:r>
      <w:r w:rsidRPr="00E2652F">
        <w:t xml:space="preserve">is </w:t>
      </w:r>
      <w:r w:rsidR="00F252EE" w:rsidRPr="00E2652F">
        <w:t>available on the applicability and possible risks</w:t>
      </w:r>
      <w:r w:rsidRPr="00E2652F">
        <w:t xml:space="preserve"> of some of the available technologies</w:t>
      </w:r>
      <w:r w:rsidR="00F252EE" w:rsidRPr="00E2652F">
        <w:t xml:space="preserve">, while more limited information </w:t>
      </w:r>
      <w:r w:rsidRPr="00E2652F">
        <w:t>is</w:t>
      </w:r>
      <w:r w:rsidR="00F252EE" w:rsidRPr="00E2652F">
        <w:t xml:space="preserve"> available</w:t>
      </w:r>
      <w:r w:rsidRPr="00E2652F">
        <w:t xml:space="preserve"> for other, less mature technologies</w:t>
      </w:r>
      <w:r w:rsidR="00F252EE" w:rsidRPr="00E2652F">
        <w:t xml:space="preserve">. </w:t>
      </w:r>
    </w:p>
    <w:p w14:paraId="31DBF2DD" w14:textId="43A99530" w:rsidR="00F252EE" w:rsidRPr="00E2652F" w:rsidRDefault="00F252EE" w:rsidP="00F51980">
      <w:pPr>
        <w:pStyle w:val="Normalnumber"/>
        <w:numPr>
          <w:ilvl w:val="0"/>
          <w:numId w:val="12"/>
        </w:numPr>
        <w:ind w:left="1247" w:firstLine="0"/>
      </w:pPr>
      <w:r w:rsidRPr="00E2652F">
        <w:t xml:space="preserve">Management of a site does not imply that the site no longer </w:t>
      </w:r>
      <w:r w:rsidR="003E7095" w:rsidRPr="00E2652F">
        <w:t xml:space="preserve">has an </w:t>
      </w:r>
      <w:r w:rsidRPr="00E2652F">
        <w:t>impact on the environment or human health. Restricting access to a mercury</w:t>
      </w:r>
      <w:r w:rsidR="00EC2BA8" w:rsidRPr="00E2652F">
        <w:t>-</w:t>
      </w:r>
      <w:r w:rsidRPr="00E2652F">
        <w:t xml:space="preserve">contaminated site may limit direct exposure to humans and animals but </w:t>
      </w:r>
      <w:r w:rsidR="003E7095" w:rsidRPr="00E2652F">
        <w:t xml:space="preserve">does </w:t>
      </w:r>
      <w:r w:rsidRPr="00E2652F">
        <w:t xml:space="preserve">not necessarily prevent groundwater contamination, the </w:t>
      </w:r>
      <w:r w:rsidR="001853EA" w:rsidRPr="00E2652F">
        <w:t xml:space="preserve">migration </w:t>
      </w:r>
      <w:r w:rsidRPr="00E2652F">
        <w:t>of contaminated dust off</w:t>
      </w:r>
      <w:r w:rsidR="00ED1435" w:rsidRPr="00E2652F">
        <w:t xml:space="preserve"> </w:t>
      </w:r>
      <w:r w:rsidRPr="00E2652F">
        <w:t xml:space="preserve">site or atmospheric contamination from mercury vapours. All of these impacts </w:t>
      </w:r>
      <w:r w:rsidR="001853EA" w:rsidRPr="00E2652F">
        <w:t xml:space="preserve">entail </w:t>
      </w:r>
      <w:r w:rsidRPr="00E2652F">
        <w:t xml:space="preserve">costs that should be considered in any </w:t>
      </w:r>
      <w:r w:rsidR="001853EA" w:rsidRPr="00E2652F">
        <w:t>assessment</w:t>
      </w:r>
      <w:r w:rsidRPr="00E2652F">
        <w:t>.</w:t>
      </w:r>
    </w:p>
    <w:p w14:paraId="61322B57" w14:textId="77777777" w:rsidR="00F252EE" w:rsidRPr="00E2652F" w:rsidRDefault="00F252EE" w:rsidP="00F51980">
      <w:pPr>
        <w:pStyle w:val="CH1"/>
      </w:pPr>
      <w:r w:rsidRPr="00E2652F">
        <w:tab/>
      </w:r>
      <w:bookmarkStart w:id="26" w:name="_Toc524355413"/>
      <w:r w:rsidRPr="00E2652F">
        <w:t>G.</w:t>
      </w:r>
      <w:r w:rsidRPr="00E2652F">
        <w:tab/>
        <w:t>Validation of outcomes</w:t>
      </w:r>
      <w:bookmarkEnd w:id="26"/>
    </w:p>
    <w:p w14:paraId="2E85C5B7" w14:textId="5AEEE5B0" w:rsidR="00A70FCB" w:rsidRPr="00E2652F" w:rsidRDefault="00F252EE" w:rsidP="00F51980">
      <w:pPr>
        <w:pStyle w:val="Normalnumber"/>
        <w:numPr>
          <w:ilvl w:val="0"/>
          <w:numId w:val="12"/>
        </w:numPr>
        <w:ind w:left="1247" w:firstLine="0"/>
      </w:pPr>
      <w:r w:rsidRPr="00E2652F">
        <w:t xml:space="preserve">In </w:t>
      </w:r>
      <w:r w:rsidR="00B83353" w:rsidRPr="00E2652F">
        <w:t xml:space="preserve">order to </w:t>
      </w:r>
      <w:r w:rsidRPr="00E2652F">
        <w:t xml:space="preserve">select the most appropriate options for managing the risks associated with a contaminated site, the objectives for managing the contaminated sites </w:t>
      </w:r>
      <w:r w:rsidR="00B83353" w:rsidRPr="00E2652F">
        <w:t>must be known</w:t>
      </w:r>
      <w:r w:rsidRPr="00E2652F">
        <w:t>.</w:t>
      </w:r>
      <w:r w:rsidR="00E429A9" w:rsidRPr="00E2652F">
        <w:t xml:space="preserve"> </w:t>
      </w:r>
      <w:r w:rsidRPr="00E2652F">
        <w:t xml:space="preserve">It is important to </w:t>
      </w:r>
      <w:r w:rsidR="00B83353" w:rsidRPr="00E2652F">
        <w:t>be able to verify whether the</w:t>
      </w:r>
      <w:r w:rsidRPr="00E2652F">
        <w:t xml:space="preserve"> actions taken have been effective in meeting th</w:t>
      </w:r>
      <w:r w:rsidR="00B83353" w:rsidRPr="00E2652F">
        <w:t>o</w:t>
      </w:r>
      <w:r w:rsidRPr="00E2652F">
        <w:t>se objectives.</w:t>
      </w:r>
      <w:r w:rsidR="00E429A9" w:rsidRPr="00E2652F">
        <w:t xml:space="preserve"> </w:t>
      </w:r>
      <w:r w:rsidRPr="00E2652F">
        <w:t>The means of verif</w:t>
      </w:r>
      <w:r w:rsidR="00B83353" w:rsidRPr="00E2652F">
        <w:t>ication</w:t>
      </w:r>
      <w:r w:rsidRPr="00E2652F">
        <w:t xml:space="preserve"> should be </w:t>
      </w:r>
      <w:r w:rsidR="00B83353" w:rsidRPr="00E2652F">
        <w:t>established during</w:t>
      </w:r>
      <w:r w:rsidRPr="00E2652F">
        <w:t xml:space="preserve"> the initial planning process, and </w:t>
      </w:r>
      <w:r w:rsidR="00B83353" w:rsidRPr="00E2652F">
        <w:t xml:space="preserve">the </w:t>
      </w:r>
      <w:r w:rsidRPr="00E2652F">
        <w:t xml:space="preserve">resources </w:t>
      </w:r>
      <w:r w:rsidR="00B83353" w:rsidRPr="00E2652F">
        <w:t>needed to</w:t>
      </w:r>
      <w:r w:rsidRPr="00E2652F">
        <w:t xml:space="preserve"> undertak</w:t>
      </w:r>
      <w:r w:rsidR="00B83353" w:rsidRPr="00E2652F">
        <w:t xml:space="preserve">e </w:t>
      </w:r>
      <w:r w:rsidRPr="00E2652F">
        <w:t>any necessary actions such as monitoring</w:t>
      </w:r>
      <w:r w:rsidR="00B83353" w:rsidRPr="00E2652F">
        <w:t xml:space="preserve"> should be included in the overall project</w:t>
      </w:r>
      <w:r w:rsidRPr="00E2652F">
        <w:t>.</w:t>
      </w:r>
    </w:p>
    <w:p w14:paraId="6B25F2E5" w14:textId="488B1631" w:rsidR="00760A95" w:rsidRPr="00E2652F" w:rsidRDefault="00F252EE" w:rsidP="00F51980">
      <w:pPr>
        <w:pStyle w:val="Normalnumber"/>
        <w:numPr>
          <w:ilvl w:val="0"/>
          <w:numId w:val="12"/>
        </w:numPr>
        <w:ind w:left="1247" w:firstLine="0"/>
      </w:pPr>
      <w:r w:rsidRPr="00E2652F">
        <w:t xml:space="preserve">The objectives </w:t>
      </w:r>
      <w:r w:rsidR="00B83353" w:rsidRPr="00E2652F">
        <w:t xml:space="preserve">of a monitoring programme </w:t>
      </w:r>
      <w:r w:rsidRPr="00E2652F">
        <w:t xml:space="preserve">will vary depending on the actions selected </w:t>
      </w:r>
      <w:r w:rsidR="00B83353" w:rsidRPr="00E2652F">
        <w:t>to</w:t>
      </w:r>
      <w:r w:rsidRPr="00E2652F">
        <w:t xml:space="preserve"> manag</w:t>
      </w:r>
      <w:r w:rsidR="00B83353" w:rsidRPr="00E2652F">
        <w:t>e</w:t>
      </w:r>
      <w:r w:rsidRPr="00E2652F">
        <w:t xml:space="preserve"> the site.</w:t>
      </w:r>
      <w:r w:rsidR="00E429A9" w:rsidRPr="00E2652F">
        <w:t xml:space="preserve"> </w:t>
      </w:r>
      <w:r w:rsidRPr="00E2652F">
        <w:t xml:space="preserve">Success may be measured by </w:t>
      </w:r>
      <w:r w:rsidR="00B83353" w:rsidRPr="00E2652F">
        <w:t xml:space="preserve">a </w:t>
      </w:r>
      <w:r w:rsidRPr="00E2652F">
        <w:t xml:space="preserve">reduction in </w:t>
      </w:r>
      <w:r w:rsidR="00B83353" w:rsidRPr="00E2652F">
        <w:t xml:space="preserve">on-site mercury </w:t>
      </w:r>
      <w:r w:rsidRPr="00E2652F">
        <w:t xml:space="preserve">levels, in mercury entering the environment from the site or in the exposure </w:t>
      </w:r>
      <w:r w:rsidR="00B83353" w:rsidRPr="00E2652F">
        <w:t xml:space="preserve">of </w:t>
      </w:r>
      <w:r w:rsidRPr="00E2652F">
        <w:t>populations around the site</w:t>
      </w:r>
      <w:r w:rsidR="00760A95" w:rsidRPr="00E2652F">
        <w:t>,</w:t>
      </w:r>
      <w:r w:rsidRPr="00E2652F">
        <w:t xml:space="preserve"> or </w:t>
      </w:r>
      <w:r w:rsidR="00B83353" w:rsidRPr="00E2652F">
        <w:t xml:space="preserve">the </w:t>
      </w:r>
      <w:r w:rsidRPr="00E2652F">
        <w:t>return of the site to some appropriate use.</w:t>
      </w:r>
      <w:r w:rsidR="00E429A9" w:rsidRPr="00E2652F">
        <w:t xml:space="preserve"> </w:t>
      </w:r>
      <w:r w:rsidR="00760A95" w:rsidRPr="00E2652F">
        <w:t xml:space="preserve">If </w:t>
      </w:r>
      <w:r w:rsidRPr="00E2652F">
        <w:t xml:space="preserve">there </w:t>
      </w:r>
      <w:r w:rsidR="00760A95" w:rsidRPr="00E2652F">
        <w:t xml:space="preserve">are </w:t>
      </w:r>
      <w:r w:rsidRPr="00E2652F">
        <w:t xml:space="preserve">indications that </w:t>
      </w:r>
      <w:r w:rsidR="00B83353" w:rsidRPr="00E2652F">
        <w:t xml:space="preserve">the </w:t>
      </w:r>
      <w:r w:rsidR="0046132F" w:rsidRPr="00E2652F">
        <w:t xml:space="preserve">site </w:t>
      </w:r>
      <w:r w:rsidRPr="00E2652F">
        <w:t xml:space="preserve">management </w:t>
      </w:r>
      <w:r w:rsidR="00B83353" w:rsidRPr="00E2652F">
        <w:t xml:space="preserve">actions </w:t>
      </w:r>
      <w:r w:rsidRPr="00E2652F">
        <w:t xml:space="preserve">are not meeting the overall </w:t>
      </w:r>
      <w:r w:rsidR="00B83353" w:rsidRPr="00E2652F">
        <w:t xml:space="preserve">project </w:t>
      </w:r>
      <w:r w:rsidRPr="00E2652F">
        <w:t xml:space="preserve">objectives, further </w:t>
      </w:r>
      <w:r w:rsidR="0046132F" w:rsidRPr="00E2652F">
        <w:t xml:space="preserve">action </w:t>
      </w:r>
      <w:r w:rsidRPr="00E2652F">
        <w:t>may be required.</w:t>
      </w:r>
      <w:r w:rsidR="00E429A9" w:rsidRPr="00E2652F">
        <w:t xml:space="preserve"> </w:t>
      </w:r>
      <w:r w:rsidRPr="00E2652F">
        <w:t xml:space="preserve">The management cycle of planning, implementing, evaluating, taking decisions and reorganizing may need to be followed in an iterative fashion, particular </w:t>
      </w:r>
      <w:r w:rsidR="0046132F" w:rsidRPr="00E2652F">
        <w:t xml:space="preserve">when </w:t>
      </w:r>
      <w:r w:rsidRPr="00E2652F">
        <w:t xml:space="preserve">considering any future action. </w:t>
      </w:r>
    </w:p>
    <w:p w14:paraId="3E0616CC" w14:textId="6A17AB48" w:rsidR="00F252EE" w:rsidRPr="00E2652F" w:rsidRDefault="00F252EE" w:rsidP="00F51980">
      <w:pPr>
        <w:pStyle w:val="Normalnumber"/>
        <w:numPr>
          <w:ilvl w:val="0"/>
          <w:numId w:val="12"/>
        </w:numPr>
        <w:ind w:left="1247" w:firstLine="0"/>
      </w:pPr>
      <w:r w:rsidRPr="00E2652F">
        <w:t>A common form of validation is site sampling validation</w:t>
      </w:r>
      <w:r w:rsidR="004E63A4" w:rsidRPr="00E2652F">
        <w:t>. F</w:t>
      </w:r>
      <w:r w:rsidR="0046132F" w:rsidRPr="00E2652F">
        <w:t>or instance,</w:t>
      </w:r>
      <w:r w:rsidRPr="00E2652F">
        <w:t xml:space="preserve"> </w:t>
      </w:r>
      <w:r w:rsidR="0046132F" w:rsidRPr="00E2652F">
        <w:t>i</w:t>
      </w:r>
      <w:r w:rsidRPr="00E2652F">
        <w:t xml:space="preserve">f a hotspot of mercury has been excavated, sampling of the walls and base of the excavated area should show levels of mercury below the remediation objectives in terms of mercury soil concentrations. </w:t>
      </w:r>
      <w:r w:rsidR="00E7268B" w:rsidRPr="00E2652F">
        <w:t>S</w:t>
      </w:r>
      <w:r w:rsidRPr="00E2652F">
        <w:t xml:space="preserve">urface water concentrations, atmospheric concentrations </w:t>
      </w:r>
      <w:r w:rsidR="00E7268B" w:rsidRPr="00E2652F">
        <w:t xml:space="preserve">and </w:t>
      </w:r>
      <w:r w:rsidRPr="00E2652F">
        <w:t xml:space="preserve">levels in biota </w:t>
      </w:r>
      <w:r w:rsidR="00E7268B" w:rsidRPr="00E2652F">
        <w:t>can also be measured</w:t>
      </w:r>
      <w:r w:rsidRPr="00E2652F">
        <w:t xml:space="preserve"> to </w:t>
      </w:r>
      <w:r w:rsidR="00E7268B" w:rsidRPr="00E2652F">
        <w:t>assess whether</w:t>
      </w:r>
      <w:r w:rsidRPr="00E2652F">
        <w:t xml:space="preserve"> management and/or remediation objectives have been met.</w:t>
      </w:r>
    </w:p>
    <w:p w14:paraId="0AA564A2" w14:textId="37F3FF5A" w:rsidR="00F252EE" w:rsidRPr="00E2652F" w:rsidRDefault="00F252EE" w:rsidP="00F51980">
      <w:pPr>
        <w:pStyle w:val="Normalnumber"/>
        <w:numPr>
          <w:ilvl w:val="0"/>
          <w:numId w:val="12"/>
        </w:numPr>
        <w:ind w:left="1247" w:firstLine="0"/>
      </w:pPr>
      <w:r w:rsidRPr="00E2652F">
        <w:t xml:space="preserve">As part of the overall assessment of the initial </w:t>
      </w:r>
      <w:r w:rsidR="00E7268B" w:rsidRPr="00E2652F">
        <w:t xml:space="preserve">actions taken to </w:t>
      </w:r>
      <w:r w:rsidRPr="00E2652F">
        <w:t>manage</w:t>
      </w:r>
      <w:r w:rsidR="00E7268B" w:rsidRPr="00E2652F">
        <w:t xml:space="preserve"> a contaminated site</w:t>
      </w:r>
      <w:r w:rsidRPr="00E2652F">
        <w:t>, further action such as remediation</w:t>
      </w:r>
      <w:r w:rsidR="00E7268B" w:rsidRPr="00E2652F">
        <w:t xml:space="preserve"> may be considered</w:t>
      </w:r>
      <w:r w:rsidRPr="00E2652F">
        <w:t xml:space="preserve">, particularly if </w:t>
      </w:r>
      <w:r w:rsidR="00E7268B" w:rsidRPr="00E2652F">
        <w:t xml:space="preserve">technology </w:t>
      </w:r>
      <w:r w:rsidRPr="00E2652F">
        <w:t xml:space="preserve">advancements make this more feasible than at the time of </w:t>
      </w:r>
      <w:r w:rsidR="00E7268B" w:rsidRPr="00E2652F">
        <w:t xml:space="preserve">the initial site </w:t>
      </w:r>
      <w:r w:rsidRPr="00E2652F">
        <w:t xml:space="preserve">assessment. </w:t>
      </w:r>
      <w:r w:rsidR="00E7268B" w:rsidRPr="00E2652F">
        <w:t>In any event, o</w:t>
      </w:r>
      <w:r w:rsidRPr="00E2652F">
        <w:t xml:space="preserve">ngoing monitoring of </w:t>
      </w:r>
      <w:r w:rsidR="00E7268B" w:rsidRPr="00E2652F">
        <w:t xml:space="preserve">soil </w:t>
      </w:r>
      <w:r w:rsidRPr="00E2652F">
        <w:t xml:space="preserve">mercury levels may be needed, </w:t>
      </w:r>
      <w:r w:rsidR="00E7268B" w:rsidRPr="00E2652F">
        <w:t xml:space="preserve">even </w:t>
      </w:r>
      <w:r w:rsidRPr="00E2652F">
        <w:t xml:space="preserve">after any remediation has been done. </w:t>
      </w:r>
    </w:p>
    <w:p w14:paraId="06124A23" w14:textId="5600960D" w:rsidR="00F252EE" w:rsidRPr="00E2652F" w:rsidRDefault="006E0E27" w:rsidP="00582B27">
      <w:pPr>
        <w:pStyle w:val="CH1"/>
        <w:spacing w:before="200"/>
      </w:pPr>
      <w:r w:rsidRPr="00E2652F">
        <w:tab/>
      </w:r>
      <w:bookmarkStart w:id="27" w:name="_Toc524355414"/>
      <w:r w:rsidR="00F252EE" w:rsidRPr="00E2652F">
        <w:t>H.</w:t>
      </w:r>
      <w:r w:rsidR="00F252EE" w:rsidRPr="00E2652F">
        <w:tab/>
        <w:t>Cooperation in developing strategies and implementing activities for identifying, assessing, prioritizing, managing and, as appropriate, remediating contaminated sites</w:t>
      </w:r>
      <w:bookmarkEnd w:id="27"/>
      <w:r w:rsidR="00F252EE" w:rsidRPr="00E2652F">
        <w:t xml:space="preserve"> </w:t>
      </w:r>
    </w:p>
    <w:p w14:paraId="1D2C5196" w14:textId="242D9401" w:rsidR="00A70FCB" w:rsidRPr="00E2652F" w:rsidRDefault="00F252EE" w:rsidP="00F51980">
      <w:pPr>
        <w:pStyle w:val="Normalnumber"/>
        <w:numPr>
          <w:ilvl w:val="0"/>
          <w:numId w:val="12"/>
        </w:numPr>
        <w:ind w:left="1247" w:firstLine="0"/>
      </w:pPr>
      <w:r w:rsidRPr="00E2652F">
        <w:t xml:space="preserve">Cooperation between and among </w:t>
      </w:r>
      <w:r w:rsidR="00812A94" w:rsidRPr="00E2652F">
        <w:t>p</w:t>
      </w:r>
      <w:r w:rsidRPr="00E2652F">
        <w:t>arties is encouraged in the Convention text, both specifically in the article on contaminated sites</w:t>
      </w:r>
      <w:r w:rsidR="00812A94" w:rsidRPr="00E2652F">
        <w:t xml:space="preserve"> and</w:t>
      </w:r>
      <w:r w:rsidRPr="00E2652F">
        <w:t xml:space="preserve"> within the provisions of </w:t>
      </w:r>
      <w:r w:rsidR="00D51E56" w:rsidRPr="00E2652F">
        <w:t>a</w:t>
      </w:r>
      <w:r w:rsidRPr="00E2652F">
        <w:t xml:space="preserve">rticle 14 on </w:t>
      </w:r>
      <w:r w:rsidR="00812A94" w:rsidRPr="00E2652F">
        <w:t>c</w:t>
      </w:r>
      <w:r w:rsidRPr="00E2652F">
        <w:t>apacity building, technical assistance and technology transfer.</w:t>
      </w:r>
    </w:p>
    <w:p w14:paraId="0844D7E4" w14:textId="493F98F6" w:rsidR="00F252EE" w:rsidRPr="00E2652F" w:rsidRDefault="00F252EE" w:rsidP="00F51980">
      <w:pPr>
        <w:pStyle w:val="Normalnumber"/>
        <w:numPr>
          <w:ilvl w:val="0"/>
          <w:numId w:val="12"/>
        </w:numPr>
        <w:ind w:left="1247" w:firstLine="0"/>
      </w:pPr>
      <w:r w:rsidRPr="00E2652F">
        <w:t xml:space="preserve">Cooperation </w:t>
      </w:r>
      <w:r w:rsidR="00812A94" w:rsidRPr="00E2652F">
        <w:t xml:space="preserve">could </w:t>
      </w:r>
      <w:r w:rsidRPr="00E2652F">
        <w:t>include information</w:t>
      </w:r>
      <w:r w:rsidR="00812A94" w:rsidRPr="00E2652F">
        <w:t>-</w:t>
      </w:r>
      <w:r w:rsidRPr="00E2652F">
        <w:t>sharing activities, explor</w:t>
      </w:r>
      <w:r w:rsidR="00812A94" w:rsidRPr="00E2652F">
        <w:t>ation of</w:t>
      </w:r>
      <w:r w:rsidRPr="00E2652F">
        <w:t xml:space="preserve"> opportunities for joint assessment of sites, coordination of communication plans in relation to sites, </w:t>
      </w:r>
      <w:r w:rsidR="00812A94" w:rsidRPr="00E2652F">
        <w:t>and</w:t>
      </w:r>
      <w:r w:rsidRPr="00E2652F">
        <w:t xml:space="preserve"> other activities as considered appropriate.</w:t>
      </w:r>
    </w:p>
    <w:p w14:paraId="0ECA342A" w14:textId="505034EE" w:rsidR="00A70FCB" w:rsidRPr="00E2652F" w:rsidRDefault="00F252EE" w:rsidP="00F51980">
      <w:pPr>
        <w:pStyle w:val="Normalnumber"/>
        <w:numPr>
          <w:ilvl w:val="0"/>
          <w:numId w:val="12"/>
        </w:numPr>
        <w:ind w:left="1247" w:firstLine="0"/>
      </w:pPr>
      <w:r w:rsidRPr="00E2652F">
        <w:t>Opportunities for information</w:t>
      </w:r>
      <w:r w:rsidR="00812A94" w:rsidRPr="00E2652F">
        <w:t>-</w:t>
      </w:r>
      <w:r w:rsidRPr="00E2652F">
        <w:t xml:space="preserve">sharing may </w:t>
      </w:r>
      <w:r w:rsidR="00812A94" w:rsidRPr="00E2652F">
        <w:t xml:space="preserve">arise </w:t>
      </w:r>
      <w:r w:rsidRPr="00E2652F">
        <w:t>during the process of identif</w:t>
      </w:r>
      <w:r w:rsidR="00812A94" w:rsidRPr="00E2652F">
        <w:t>ying</w:t>
      </w:r>
      <w:r w:rsidRPr="00E2652F">
        <w:t xml:space="preserve"> contaminated sites, which may also present opportunities for joint </w:t>
      </w:r>
      <w:r w:rsidR="00812A94" w:rsidRPr="00E2652F">
        <w:t xml:space="preserve">site </w:t>
      </w:r>
      <w:r w:rsidRPr="00E2652F">
        <w:t>assessment.</w:t>
      </w:r>
      <w:r w:rsidR="00E429A9" w:rsidRPr="00E2652F">
        <w:t xml:space="preserve"> </w:t>
      </w:r>
      <w:r w:rsidRPr="00E2652F">
        <w:t xml:space="preserve">This may be particularly appropriate where, for example, there are a number of sites within a subregion </w:t>
      </w:r>
      <w:r w:rsidR="00812A94" w:rsidRPr="00E2652F">
        <w:t xml:space="preserve">that </w:t>
      </w:r>
      <w:r w:rsidRPr="00E2652F">
        <w:t>have been previously owned or managed by the same company or</w:t>
      </w:r>
      <w:r w:rsidR="00812A94" w:rsidRPr="00E2652F">
        <w:t xml:space="preserve"> where</w:t>
      </w:r>
      <w:r w:rsidRPr="00E2652F">
        <w:t xml:space="preserve"> similar activities </w:t>
      </w:r>
      <w:r w:rsidR="00812A94" w:rsidRPr="00E2652F">
        <w:t xml:space="preserve">are undertaken </w:t>
      </w:r>
      <w:r w:rsidRPr="00E2652F">
        <w:t xml:space="preserve">(such as mining or chlor-alkali production). </w:t>
      </w:r>
    </w:p>
    <w:p w14:paraId="288D8603" w14:textId="4EABE08E" w:rsidR="00F252EE" w:rsidRPr="00E2652F" w:rsidRDefault="00F252EE" w:rsidP="00F51980">
      <w:pPr>
        <w:pStyle w:val="Normalnumber"/>
        <w:numPr>
          <w:ilvl w:val="0"/>
          <w:numId w:val="12"/>
        </w:numPr>
        <w:ind w:left="1247" w:firstLine="0"/>
      </w:pPr>
      <w:r w:rsidRPr="00E2652F">
        <w:t xml:space="preserve">Cooperative activities during the assessment of contaminated sites </w:t>
      </w:r>
      <w:r w:rsidR="00812A94" w:rsidRPr="00E2652F">
        <w:t>can generate</w:t>
      </w:r>
      <w:r w:rsidRPr="00E2652F">
        <w:t xml:space="preserve"> cost</w:t>
      </w:r>
      <w:r w:rsidR="00CC39BE" w:rsidRPr="00E2652F">
        <w:t xml:space="preserve"> </w:t>
      </w:r>
      <w:r w:rsidRPr="00E2652F">
        <w:t xml:space="preserve">savings and efficiencies, particularly if </w:t>
      </w:r>
      <w:r w:rsidR="00812A94" w:rsidRPr="00E2652F">
        <w:t>p</w:t>
      </w:r>
      <w:r w:rsidRPr="00E2652F">
        <w:t>arties are able to share the costs of sampling and analy</w:t>
      </w:r>
      <w:r w:rsidR="00CC39BE" w:rsidRPr="00E2652F">
        <w:t>sis</w:t>
      </w:r>
      <w:r w:rsidRPr="00E2652F">
        <w:t>.</w:t>
      </w:r>
      <w:r w:rsidR="00E429A9" w:rsidRPr="00E2652F">
        <w:t xml:space="preserve"> </w:t>
      </w:r>
      <w:r w:rsidRPr="00E2652F">
        <w:t xml:space="preserve">It may be feasible, for example, for one </w:t>
      </w:r>
      <w:r w:rsidR="00812A94" w:rsidRPr="00E2652F">
        <w:t>p</w:t>
      </w:r>
      <w:r w:rsidRPr="00E2652F">
        <w:t>arty to consider taking on the task of obtaining samples</w:t>
      </w:r>
      <w:r w:rsidR="00812A94" w:rsidRPr="00E2652F">
        <w:t xml:space="preserve"> that</w:t>
      </w:r>
      <w:r w:rsidRPr="00E2652F">
        <w:t xml:space="preserve"> are then assessed </w:t>
      </w:r>
      <w:r w:rsidR="00812A94" w:rsidRPr="00E2652F">
        <w:t xml:space="preserve">by </w:t>
      </w:r>
      <w:r w:rsidRPr="00E2652F">
        <w:t xml:space="preserve">another </w:t>
      </w:r>
      <w:r w:rsidR="00812A94" w:rsidRPr="00E2652F">
        <w:t>p</w:t>
      </w:r>
      <w:r w:rsidRPr="00E2652F">
        <w:t xml:space="preserve">arty </w:t>
      </w:r>
      <w:r w:rsidR="00812A94" w:rsidRPr="00E2652F">
        <w:t>with</w:t>
      </w:r>
      <w:r w:rsidRPr="00E2652F">
        <w:t xml:space="preserve"> greater laboratory capacity. </w:t>
      </w:r>
    </w:p>
    <w:p w14:paraId="7CC1415B" w14:textId="7A28ACE2" w:rsidR="00A70FCB" w:rsidRPr="00E2652F" w:rsidRDefault="00F252EE" w:rsidP="00F51980">
      <w:pPr>
        <w:pStyle w:val="Normalnumber"/>
        <w:numPr>
          <w:ilvl w:val="0"/>
          <w:numId w:val="12"/>
        </w:numPr>
        <w:ind w:left="1247" w:firstLine="0"/>
      </w:pPr>
      <w:r w:rsidRPr="00E2652F">
        <w:t>In terms of prioriti</w:t>
      </w:r>
      <w:r w:rsidR="00812A94" w:rsidRPr="00E2652F">
        <w:t>z</w:t>
      </w:r>
      <w:r w:rsidRPr="00E2652F">
        <w:t xml:space="preserve">ation of contaminated sites, </w:t>
      </w:r>
      <w:r w:rsidR="00812A94" w:rsidRPr="00E2652F">
        <w:t>p</w:t>
      </w:r>
      <w:r w:rsidRPr="00E2652F">
        <w:t>arties may take decisions based on national priorities</w:t>
      </w:r>
      <w:r w:rsidR="00812A94" w:rsidRPr="00E2652F">
        <w:t>;</w:t>
      </w:r>
      <w:r w:rsidRPr="00E2652F">
        <w:t xml:space="preserve"> however, a cooperative approach involving information sharing and joint consideration of priorities may </w:t>
      </w:r>
      <w:r w:rsidR="00812A94" w:rsidRPr="00E2652F">
        <w:t xml:space="preserve">prove </w:t>
      </w:r>
      <w:r w:rsidRPr="00E2652F">
        <w:t>useful</w:t>
      </w:r>
      <w:r w:rsidR="00812A94" w:rsidRPr="00E2652F">
        <w:t>, particularly in situations where contamination is likely to have spread across national borders</w:t>
      </w:r>
      <w:r w:rsidRPr="00E2652F">
        <w:t>.</w:t>
      </w:r>
      <w:r w:rsidR="00E429A9" w:rsidRPr="00E2652F">
        <w:t xml:space="preserve"> </w:t>
      </w:r>
      <w:r w:rsidRPr="00E2652F">
        <w:t xml:space="preserve">The </w:t>
      </w:r>
      <w:r w:rsidR="00812A94" w:rsidRPr="00E2652F">
        <w:t>p</w:t>
      </w:r>
      <w:r w:rsidRPr="00E2652F">
        <w:t xml:space="preserve">arty </w:t>
      </w:r>
      <w:r w:rsidR="00812A94" w:rsidRPr="00E2652F">
        <w:t>with</w:t>
      </w:r>
      <w:r w:rsidRPr="00E2652F">
        <w:t xml:space="preserve"> the greater impact </w:t>
      </w:r>
      <w:r w:rsidR="00812A94" w:rsidRPr="00E2652F">
        <w:t xml:space="preserve">from </w:t>
      </w:r>
      <w:r w:rsidRPr="00E2652F">
        <w:t xml:space="preserve">pollution </w:t>
      </w:r>
      <w:r w:rsidR="00812A94" w:rsidRPr="00E2652F">
        <w:t xml:space="preserve">can </w:t>
      </w:r>
      <w:r w:rsidRPr="00E2652F">
        <w:t xml:space="preserve">contribute </w:t>
      </w:r>
      <w:r w:rsidR="00812A94" w:rsidRPr="00E2652F">
        <w:t xml:space="preserve">useful </w:t>
      </w:r>
      <w:r w:rsidRPr="00E2652F">
        <w:t>information to the prioriti</w:t>
      </w:r>
      <w:r w:rsidR="00812A94" w:rsidRPr="00E2652F">
        <w:t>z</w:t>
      </w:r>
      <w:r w:rsidRPr="00E2652F">
        <w:t>ation process.</w:t>
      </w:r>
      <w:r w:rsidR="00E429A9" w:rsidRPr="00E2652F">
        <w:t xml:space="preserve"> </w:t>
      </w:r>
      <w:r w:rsidRPr="00E2652F">
        <w:t xml:space="preserve">Additionally, </w:t>
      </w:r>
      <w:r w:rsidR="00812A94" w:rsidRPr="00E2652F">
        <w:t>p</w:t>
      </w:r>
      <w:r w:rsidRPr="00E2652F">
        <w:t>arties may wish to cooperate where there are a number of contaminated sites in close proximity, such as is likely to be seen in areas where mining activities have been undertaken.</w:t>
      </w:r>
      <w:r w:rsidR="00E429A9" w:rsidRPr="00E2652F">
        <w:t xml:space="preserve"> </w:t>
      </w:r>
      <w:r w:rsidRPr="00E2652F">
        <w:t>Parties may need to cooperate to restrict access to certain sites. In cases where remediation activities are planned, it may be possible to develop joint plans with regard to the treatment of contaminated material, which may provide benefits of scale or allow treatment to be undertaken at speciali</w:t>
      </w:r>
      <w:r w:rsidR="00910727" w:rsidRPr="00E2652F">
        <w:t>z</w:t>
      </w:r>
      <w:r w:rsidRPr="00E2652F">
        <w:t>ed facilities.</w:t>
      </w:r>
    </w:p>
    <w:p w14:paraId="4486A293" w14:textId="1D0A3592" w:rsidR="00F252EE" w:rsidRPr="00E2652F" w:rsidRDefault="007E4EF4" w:rsidP="008E3568">
      <w:pPr>
        <w:pStyle w:val="Normalnumber"/>
        <w:numPr>
          <w:ilvl w:val="0"/>
          <w:numId w:val="12"/>
        </w:numPr>
        <w:ind w:left="1247" w:firstLine="0"/>
      </w:pPr>
      <w:r w:rsidRPr="00E2652F">
        <w:t>There are a</w:t>
      </w:r>
      <w:r w:rsidR="00F252EE" w:rsidRPr="00E2652F">
        <w:t xml:space="preserve"> number of long</w:t>
      </w:r>
      <w:r w:rsidRPr="00E2652F">
        <w:t>-</w:t>
      </w:r>
      <w:r w:rsidR="00F252EE" w:rsidRPr="00E2652F">
        <w:t xml:space="preserve">established regulator networks on contaminated land management. At </w:t>
      </w:r>
      <w:r w:rsidRPr="00E2652F">
        <w:t>the global</w:t>
      </w:r>
      <w:r w:rsidR="00F252EE" w:rsidRPr="00E2652F">
        <w:t xml:space="preserve"> level, the International Committee on Contaminated Land </w:t>
      </w:r>
      <w:r w:rsidRPr="00E2652F">
        <w:t>was formed</w:t>
      </w:r>
      <w:r w:rsidR="00F252EE" w:rsidRPr="00E2652F">
        <w:t xml:space="preserve"> in 1993. </w:t>
      </w:r>
      <w:r w:rsidRPr="00E2652F">
        <w:t xml:space="preserve">In the </w:t>
      </w:r>
      <w:r w:rsidR="00F252EE" w:rsidRPr="00E2652F">
        <w:t>E</w:t>
      </w:r>
      <w:r w:rsidRPr="00E2652F">
        <w:t xml:space="preserve">uropean </w:t>
      </w:r>
      <w:r w:rsidR="00F252EE" w:rsidRPr="00E2652F">
        <w:t>U</w:t>
      </w:r>
      <w:r w:rsidRPr="00E2652F">
        <w:t>nion</w:t>
      </w:r>
      <w:r w:rsidR="00F252EE" w:rsidRPr="00E2652F">
        <w:t xml:space="preserve">, </w:t>
      </w:r>
      <w:r w:rsidRPr="00E2652F">
        <w:t xml:space="preserve">member </w:t>
      </w:r>
      <w:r w:rsidR="00F252EE" w:rsidRPr="00E2652F">
        <w:t xml:space="preserve">States and </w:t>
      </w:r>
      <w:r w:rsidRPr="00E2652F">
        <w:t xml:space="preserve">the </w:t>
      </w:r>
      <w:r w:rsidR="00F252EE" w:rsidRPr="00E2652F">
        <w:t xml:space="preserve">European Commission </w:t>
      </w:r>
      <w:r w:rsidR="00840E5C" w:rsidRPr="00E2652F">
        <w:t xml:space="preserve">have </w:t>
      </w:r>
      <w:r w:rsidR="00F252EE" w:rsidRPr="00E2652F">
        <w:t>collaborate</w:t>
      </w:r>
      <w:r w:rsidR="00840E5C" w:rsidRPr="00E2652F">
        <w:t>d</w:t>
      </w:r>
      <w:r w:rsidR="00F252EE" w:rsidRPr="00E2652F">
        <w:t xml:space="preserve"> in the C</w:t>
      </w:r>
      <w:r w:rsidR="00840E5C" w:rsidRPr="00E2652F">
        <w:t>ommon</w:t>
      </w:r>
      <w:r w:rsidR="00F252EE" w:rsidRPr="00E2652F">
        <w:t xml:space="preserve"> F</w:t>
      </w:r>
      <w:r w:rsidR="00840E5C" w:rsidRPr="00E2652F">
        <w:t>orum</w:t>
      </w:r>
      <w:r w:rsidR="00F252EE" w:rsidRPr="00E2652F">
        <w:t xml:space="preserve"> on Contaminated Land since 1994</w:t>
      </w:r>
      <w:r w:rsidR="00840E5C" w:rsidRPr="00E2652F">
        <w:t xml:space="preserve">, initiating </w:t>
      </w:r>
      <w:r w:rsidR="00F252EE" w:rsidRPr="00E2652F">
        <w:t xml:space="preserve">two </w:t>
      </w:r>
      <w:r w:rsidR="00840E5C" w:rsidRPr="00E2652F">
        <w:t>c</w:t>
      </w:r>
      <w:r w:rsidR="00F252EE" w:rsidRPr="00E2652F">
        <w:t xml:space="preserve">oncerted </w:t>
      </w:r>
      <w:r w:rsidR="00840E5C" w:rsidRPr="00E2652F">
        <w:t>a</w:t>
      </w:r>
      <w:r w:rsidR="00F252EE" w:rsidRPr="00E2652F">
        <w:t>ctions on risk assessment and risk management.</w:t>
      </w:r>
      <w:r w:rsidR="00840E5C" w:rsidRPr="00E2652F">
        <w:rPr>
          <w:rStyle w:val="FootnoteReference"/>
        </w:rPr>
        <w:footnoteReference w:id="7"/>
      </w:r>
      <w:r w:rsidR="00F252EE" w:rsidRPr="00E2652F">
        <w:t xml:space="preserve"> These initiatives have </w:t>
      </w:r>
      <w:r w:rsidR="00F81514" w:rsidRPr="00E2652F">
        <w:t xml:space="preserve">produced </w:t>
      </w:r>
      <w:r w:rsidR="00F252EE" w:rsidRPr="00E2652F">
        <w:t xml:space="preserve">guidance documents on sustainable contaminated land management </w:t>
      </w:r>
      <w:r w:rsidR="00F81514" w:rsidRPr="00E2652F">
        <w:t xml:space="preserve">that </w:t>
      </w:r>
      <w:r w:rsidR="00F252EE" w:rsidRPr="00E2652F">
        <w:t xml:space="preserve">are freely available for download at http://www.iccl.ch/ and </w:t>
      </w:r>
      <w:hyperlink r:id="rId18" w:history="1">
        <w:r w:rsidR="00910727" w:rsidRPr="00E2652F">
          <w:rPr>
            <w:rStyle w:val="Hyperlink"/>
            <w:lang w:val="en-GB"/>
          </w:rPr>
          <w:t>https://www.commonforum.eu/</w:t>
        </w:r>
      </w:hyperlink>
      <w:r w:rsidR="00F81514" w:rsidRPr="00E2652F">
        <w:t>.</w:t>
      </w:r>
      <w:r w:rsidR="00910727" w:rsidRPr="00E2652F">
        <w:t xml:space="preserve"> </w:t>
      </w:r>
    </w:p>
    <w:p w14:paraId="7C17B911" w14:textId="77777777" w:rsidR="00F252EE" w:rsidRPr="00E2652F" w:rsidRDefault="00F252EE" w:rsidP="00F252EE">
      <w:r w:rsidRPr="00E2652F">
        <w:br w:type="page"/>
      </w:r>
    </w:p>
    <w:p w14:paraId="5E956A37" w14:textId="77E50665" w:rsidR="00F252EE" w:rsidRPr="00E2652F" w:rsidRDefault="00520198" w:rsidP="00F51980">
      <w:pPr>
        <w:pStyle w:val="CH1"/>
      </w:pPr>
      <w:r w:rsidRPr="00E2652F">
        <w:tab/>
      </w:r>
      <w:r w:rsidRPr="00E2652F">
        <w:tab/>
      </w:r>
      <w:bookmarkStart w:id="28" w:name="_Toc524355415"/>
      <w:r w:rsidR="00F252EE" w:rsidRPr="00E2652F">
        <w:t>References</w:t>
      </w:r>
      <w:bookmarkEnd w:id="28"/>
    </w:p>
    <w:p w14:paraId="463754A6" w14:textId="0B367A0E" w:rsidR="00843CAC" w:rsidRPr="00E2652F" w:rsidRDefault="00843CAC"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 xml:space="preserve">Canadian Council of Ministers of the Environment (CCME) (2016). </w:t>
      </w:r>
      <w:r w:rsidRPr="00E2652F">
        <w:rPr>
          <w:rFonts w:asciiTheme="majorBidi" w:hAnsiTheme="majorBidi" w:cstheme="majorBidi"/>
          <w:i/>
        </w:rPr>
        <w:t>Guidance Manual for Environmental Site Characterization in Support of Environmental and Human Health Risk Assessment</w:t>
      </w:r>
      <w:r w:rsidRPr="00E2652F">
        <w:rPr>
          <w:rFonts w:asciiTheme="majorBidi" w:hAnsiTheme="majorBidi" w:cstheme="majorBidi"/>
        </w:rPr>
        <w:t>. Available at https://www.ccme.ca/en/resources/contaminated_site_management/assessment.html.</w:t>
      </w:r>
    </w:p>
    <w:p w14:paraId="3FDCB067" w14:textId="6D180C56"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Common Forum (2011)</w:t>
      </w:r>
      <w:r w:rsidR="00E922B7"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 xml:space="preserve">Proposal </w:t>
      </w:r>
      <w:r w:rsidR="00E922B7" w:rsidRPr="00E2652F">
        <w:rPr>
          <w:rFonts w:asciiTheme="majorBidi" w:hAnsiTheme="majorBidi" w:cstheme="majorBidi"/>
          <w:i/>
        </w:rPr>
        <w:t>o</w:t>
      </w:r>
      <w:r w:rsidRPr="00E2652F">
        <w:rPr>
          <w:rFonts w:asciiTheme="majorBidi" w:hAnsiTheme="majorBidi" w:cstheme="majorBidi"/>
          <w:i/>
        </w:rPr>
        <w:t xml:space="preserve">f </w:t>
      </w:r>
      <w:r w:rsidR="00E922B7" w:rsidRPr="00E2652F">
        <w:rPr>
          <w:rFonts w:asciiTheme="majorBidi" w:hAnsiTheme="majorBidi" w:cstheme="majorBidi"/>
          <w:i/>
        </w:rPr>
        <w:t>a</w:t>
      </w:r>
      <w:r w:rsidRPr="00E2652F">
        <w:rPr>
          <w:rFonts w:asciiTheme="majorBidi" w:hAnsiTheme="majorBidi" w:cstheme="majorBidi"/>
          <w:i/>
        </w:rPr>
        <w:t xml:space="preserve">lternative </w:t>
      </w:r>
      <w:r w:rsidR="00E922B7" w:rsidRPr="00E2652F">
        <w:rPr>
          <w:rFonts w:asciiTheme="majorBidi" w:hAnsiTheme="majorBidi" w:cstheme="majorBidi"/>
          <w:i/>
        </w:rPr>
        <w:t>t</w:t>
      </w:r>
      <w:r w:rsidRPr="00E2652F">
        <w:rPr>
          <w:rFonts w:asciiTheme="majorBidi" w:hAnsiTheme="majorBidi" w:cstheme="majorBidi"/>
          <w:i/>
        </w:rPr>
        <w:t xml:space="preserve">ext </w:t>
      </w:r>
      <w:r w:rsidR="00E922B7" w:rsidRPr="00E2652F">
        <w:rPr>
          <w:rFonts w:asciiTheme="majorBidi" w:hAnsiTheme="majorBidi" w:cstheme="majorBidi"/>
          <w:i/>
        </w:rPr>
        <w:t>f</w:t>
      </w:r>
      <w:r w:rsidRPr="00E2652F">
        <w:rPr>
          <w:rFonts w:asciiTheme="majorBidi" w:hAnsiTheme="majorBidi" w:cstheme="majorBidi"/>
          <w:i/>
        </w:rPr>
        <w:t xml:space="preserve">or </w:t>
      </w:r>
      <w:r w:rsidR="00E922B7" w:rsidRPr="00E2652F">
        <w:rPr>
          <w:rFonts w:asciiTheme="majorBidi" w:hAnsiTheme="majorBidi" w:cstheme="majorBidi"/>
          <w:i/>
        </w:rPr>
        <w:t>a</w:t>
      </w:r>
      <w:r w:rsidRPr="00E2652F">
        <w:rPr>
          <w:rFonts w:asciiTheme="majorBidi" w:hAnsiTheme="majorBidi" w:cstheme="majorBidi"/>
          <w:i/>
        </w:rPr>
        <w:t xml:space="preserve"> </w:t>
      </w:r>
      <w:r w:rsidR="00E922B7" w:rsidRPr="00E2652F">
        <w:rPr>
          <w:rFonts w:asciiTheme="majorBidi" w:hAnsiTheme="majorBidi" w:cstheme="majorBidi"/>
          <w:i/>
        </w:rPr>
        <w:t>f</w:t>
      </w:r>
      <w:r w:rsidRPr="00E2652F">
        <w:rPr>
          <w:rFonts w:asciiTheme="majorBidi" w:hAnsiTheme="majorBidi" w:cstheme="majorBidi"/>
          <w:i/>
        </w:rPr>
        <w:t xml:space="preserve">ramework </w:t>
      </w:r>
      <w:r w:rsidR="00E922B7" w:rsidRPr="00E2652F">
        <w:rPr>
          <w:rFonts w:asciiTheme="majorBidi" w:hAnsiTheme="majorBidi" w:cstheme="majorBidi"/>
          <w:i/>
        </w:rPr>
        <w:t>d</w:t>
      </w:r>
      <w:r w:rsidRPr="00E2652F">
        <w:rPr>
          <w:rFonts w:asciiTheme="majorBidi" w:hAnsiTheme="majorBidi" w:cstheme="majorBidi"/>
          <w:i/>
        </w:rPr>
        <w:t xml:space="preserve">irective </w:t>
      </w:r>
      <w:r w:rsidR="00E922B7" w:rsidRPr="00E2652F">
        <w:rPr>
          <w:rFonts w:asciiTheme="majorBidi" w:hAnsiTheme="majorBidi" w:cstheme="majorBidi"/>
          <w:i/>
        </w:rPr>
        <w:t>o</w:t>
      </w:r>
      <w:r w:rsidRPr="00E2652F">
        <w:rPr>
          <w:rFonts w:asciiTheme="majorBidi" w:hAnsiTheme="majorBidi" w:cstheme="majorBidi"/>
          <w:i/>
        </w:rPr>
        <w:t xml:space="preserve">n </w:t>
      </w:r>
      <w:r w:rsidR="00E922B7" w:rsidRPr="00E2652F">
        <w:rPr>
          <w:rFonts w:asciiTheme="majorBidi" w:hAnsiTheme="majorBidi" w:cstheme="majorBidi"/>
          <w:i/>
        </w:rPr>
        <w:t>s</w:t>
      </w:r>
      <w:r w:rsidRPr="00E2652F">
        <w:rPr>
          <w:rFonts w:asciiTheme="majorBidi" w:hAnsiTheme="majorBidi" w:cstheme="majorBidi"/>
          <w:i/>
        </w:rPr>
        <w:t xml:space="preserve">oil </w:t>
      </w:r>
      <w:r w:rsidR="00E922B7" w:rsidRPr="00E2652F">
        <w:rPr>
          <w:rFonts w:asciiTheme="majorBidi" w:hAnsiTheme="majorBidi" w:cstheme="majorBidi"/>
          <w:i/>
        </w:rPr>
        <w:t>p</w:t>
      </w:r>
      <w:r w:rsidRPr="00E2652F">
        <w:rPr>
          <w:rFonts w:asciiTheme="majorBidi" w:hAnsiTheme="majorBidi" w:cstheme="majorBidi"/>
          <w:i/>
        </w:rPr>
        <w:t>rotection</w:t>
      </w:r>
      <w:r w:rsidRPr="00E2652F">
        <w:rPr>
          <w:rFonts w:asciiTheme="majorBidi" w:hAnsiTheme="majorBidi" w:cstheme="majorBidi"/>
        </w:rPr>
        <w:t xml:space="preserve">. </w:t>
      </w:r>
      <w:r w:rsidR="00E922B7" w:rsidRPr="00E2652F">
        <w:rPr>
          <w:rFonts w:asciiTheme="majorBidi" w:hAnsiTheme="majorBidi" w:cstheme="majorBidi"/>
        </w:rPr>
        <w:t xml:space="preserve">Available </w:t>
      </w:r>
      <w:r w:rsidR="00DD72FA" w:rsidRPr="00E2652F">
        <w:rPr>
          <w:rFonts w:asciiTheme="majorBidi" w:hAnsiTheme="majorBidi" w:cstheme="majorBidi"/>
        </w:rPr>
        <w:t>at</w:t>
      </w:r>
      <w:r w:rsidR="00E922B7" w:rsidRPr="00E2652F">
        <w:rPr>
          <w:rFonts w:asciiTheme="majorBidi" w:hAnsiTheme="majorBidi" w:cstheme="majorBidi"/>
        </w:rPr>
        <w:t xml:space="preserve"> </w:t>
      </w:r>
      <w:hyperlink r:id="rId19" w:history="1">
        <w:r w:rsidR="000B38FD" w:rsidRPr="00E2652F">
          <w:rPr>
            <w:rStyle w:val="Hyperlink"/>
            <w:rFonts w:asciiTheme="majorBidi" w:hAnsiTheme="majorBidi" w:cstheme="majorBidi"/>
            <w:lang w:val="en-GB"/>
          </w:rPr>
          <w:t>https://commonforum.eu/Documents/SoilDirectiveAlternative/</w:t>
        </w:r>
        <w:r w:rsidR="000B38FD" w:rsidRPr="00E2652F">
          <w:rPr>
            <w:rStyle w:val="Hyperlink"/>
            <w:rFonts w:asciiTheme="majorBidi" w:hAnsiTheme="majorBidi" w:cstheme="majorBidi"/>
            <w:lang w:val="en-GB"/>
          </w:rPr>
          <w:br/>
          <w:t>20111212_text_proposal_SFD_CF_final2.pdf</w:t>
        </w:r>
      </w:hyperlink>
      <w:r w:rsidR="00E922B7" w:rsidRPr="00E2652F">
        <w:rPr>
          <w:rFonts w:asciiTheme="majorBidi" w:hAnsiTheme="majorBidi" w:cstheme="majorBidi"/>
        </w:rPr>
        <w:t>.</w:t>
      </w:r>
    </w:p>
    <w:p w14:paraId="09605CD3" w14:textId="5519DA6A" w:rsidR="00887A6F" w:rsidRPr="00E2652F" w:rsidRDefault="00887A6F"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 xml:space="preserve">Environment Agency (2012). </w:t>
      </w:r>
      <w:r w:rsidRPr="00E2652F">
        <w:rPr>
          <w:rFonts w:asciiTheme="majorBidi" w:hAnsiTheme="majorBidi" w:cstheme="majorBidi"/>
          <w:i/>
        </w:rPr>
        <w:t>How to comply with your environmental permit</w:t>
      </w:r>
      <w:r w:rsidR="00E35AF7" w:rsidRPr="00E2652F">
        <w:rPr>
          <w:rFonts w:asciiTheme="majorBidi" w:hAnsiTheme="majorBidi" w:cstheme="majorBidi"/>
          <w:i/>
        </w:rPr>
        <w:t>: a</w:t>
      </w:r>
      <w:r w:rsidRPr="00E2652F">
        <w:rPr>
          <w:rFonts w:asciiTheme="majorBidi" w:hAnsiTheme="majorBidi" w:cstheme="majorBidi"/>
          <w:i/>
        </w:rPr>
        <w:t>d</w:t>
      </w:r>
      <w:r w:rsidR="00E35AF7" w:rsidRPr="00E2652F">
        <w:rPr>
          <w:rFonts w:asciiTheme="majorBidi" w:hAnsiTheme="majorBidi" w:cstheme="majorBidi"/>
          <w:i/>
        </w:rPr>
        <w:t>ditional guidance for t</w:t>
      </w:r>
      <w:r w:rsidRPr="00E2652F">
        <w:rPr>
          <w:rFonts w:asciiTheme="majorBidi" w:hAnsiTheme="majorBidi" w:cstheme="majorBidi"/>
          <w:i/>
        </w:rPr>
        <w:t>reating waste by thermal desorption.</w:t>
      </w:r>
      <w:r w:rsidRPr="00E2652F">
        <w:rPr>
          <w:rFonts w:asciiTheme="majorBidi" w:hAnsiTheme="majorBidi" w:cstheme="majorBidi"/>
        </w:rPr>
        <w:t xml:space="preserve"> Available at https://assets.publishing.service.gov.uk/government/uploads/system/uploads/attachment_data/file/300893/geho0512bwir-e-e.pdf. </w:t>
      </w:r>
    </w:p>
    <w:p w14:paraId="157D85C5" w14:textId="03CFBCBD"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Feng</w:t>
      </w:r>
      <w:r w:rsidR="00E50FBD" w:rsidRPr="00E2652F">
        <w:rPr>
          <w:rFonts w:asciiTheme="majorBidi" w:hAnsiTheme="majorBidi" w:cstheme="majorBidi"/>
        </w:rPr>
        <w:t>, H.,</w:t>
      </w:r>
      <w:r w:rsidR="005524DC" w:rsidRPr="00E2652F">
        <w:rPr>
          <w:rFonts w:asciiTheme="majorBidi" w:hAnsiTheme="majorBidi" w:cstheme="majorBidi"/>
        </w:rPr>
        <w:t xml:space="preserve"> and others</w:t>
      </w:r>
      <w:r w:rsidRPr="00E2652F">
        <w:rPr>
          <w:rFonts w:asciiTheme="majorBidi" w:hAnsiTheme="majorBidi" w:cstheme="majorBidi"/>
        </w:rPr>
        <w:t xml:space="preserve"> (2015)</w:t>
      </w:r>
      <w:r w:rsidR="005524DC" w:rsidRPr="00E2652F">
        <w:rPr>
          <w:rFonts w:asciiTheme="majorBidi" w:hAnsiTheme="majorBidi" w:cstheme="majorBidi"/>
        </w:rPr>
        <w:t>.</w:t>
      </w:r>
      <w:r w:rsidRPr="00E2652F">
        <w:rPr>
          <w:rFonts w:asciiTheme="majorBidi" w:hAnsiTheme="majorBidi" w:cstheme="majorBidi"/>
        </w:rPr>
        <w:t xml:space="preserve"> </w:t>
      </w:r>
      <w:r w:rsidR="005524DC" w:rsidRPr="00E2652F">
        <w:rPr>
          <w:rFonts w:asciiTheme="majorBidi" w:hAnsiTheme="majorBidi" w:cstheme="majorBidi"/>
        </w:rPr>
        <w:t>“</w:t>
      </w:r>
      <w:r w:rsidRPr="00E2652F">
        <w:rPr>
          <w:rFonts w:asciiTheme="majorBidi" w:hAnsiTheme="majorBidi" w:cstheme="majorBidi"/>
        </w:rPr>
        <w:t>In situ remediation technologies for mercury-contaminated soil</w:t>
      </w:r>
      <w:r w:rsidR="00DD72FA" w:rsidRPr="00E2652F">
        <w:rPr>
          <w:rFonts w:asciiTheme="majorBidi" w:hAnsiTheme="majorBidi" w:cstheme="majorBidi"/>
        </w:rPr>
        <w:t>.</w:t>
      </w:r>
      <w:r w:rsidR="005524DC" w:rsidRPr="00E2652F">
        <w:rPr>
          <w:rFonts w:asciiTheme="majorBidi" w:hAnsiTheme="majorBidi" w:cstheme="majorBidi"/>
        </w:rPr>
        <w:t>”</w:t>
      </w:r>
      <w:r w:rsidR="00E429A9" w:rsidRPr="00E2652F">
        <w:rPr>
          <w:rFonts w:asciiTheme="majorBidi" w:hAnsiTheme="majorBidi" w:cstheme="majorBidi"/>
        </w:rPr>
        <w:t xml:space="preserve"> </w:t>
      </w:r>
      <w:r w:rsidRPr="00E2652F">
        <w:rPr>
          <w:rFonts w:asciiTheme="majorBidi" w:hAnsiTheme="majorBidi" w:cstheme="majorBidi"/>
          <w:i/>
        </w:rPr>
        <w:t>Environ</w:t>
      </w:r>
      <w:r w:rsidR="005524DC" w:rsidRPr="00E2652F">
        <w:rPr>
          <w:rFonts w:asciiTheme="majorBidi" w:hAnsiTheme="majorBidi" w:cstheme="majorBidi"/>
          <w:i/>
        </w:rPr>
        <w:t>mental</w:t>
      </w:r>
      <w:r w:rsidRPr="00E2652F">
        <w:rPr>
          <w:rFonts w:asciiTheme="majorBidi" w:hAnsiTheme="majorBidi" w:cstheme="majorBidi"/>
          <w:i/>
        </w:rPr>
        <w:t xml:space="preserve"> Sci</w:t>
      </w:r>
      <w:r w:rsidR="005524DC" w:rsidRPr="00E2652F">
        <w:rPr>
          <w:rFonts w:asciiTheme="majorBidi" w:hAnsiTheme="majorBidi" w:cstheme="majorBidi"/>
          <w:i/>
        </w:rPr>
        <w:t>ence and</w:t>
      </w:r>
      <w:r w:rsidRPr="00E2652F">
        <w:rPr>
          <w:rFonts w:asciiTheme="majorBidi" w:hAnsiTheme="majorBidi" w:cstheme="majorBidi"/>
          <w:i/>
        </w:rPr>
        <w:t xml:space="preserve"> Pollut</w:t>
      </w:r>
      <w:r w:rsidR="005524DC" w:rsidRPr="00E2652F">
        <w:rPr>
          <w:rFonts w:asciiTheme="majorBidi" w:hAnsiTheme="majorBidi" w:cstheme="majorBidi"/>
          <w:i/>
        </w:rPr>
        <w:t>ion</w:t>
      </w:r>
      <w:r w:rsidRPr="00E2652F">
        <w:rPr>
          <w:rFonts w:asciiTheme="majorBidi" w:hAnsiTheme="majorBidi" w:cstheme="majorBidi"/>
          <w:i/>
        </w:rPr>
        <w:t xml:space="preserve"> Res</w:t>
      </w:r>
      <w:r w:rsidR="005524DC" w:rsidRPr="00E2652F">
        <w:rPr>
          <w:rFonts w:asciiTheme="majorBidi" w:hAnsiTheme="majorBidi" w:cstheme="majorBidi"/>
          <w:i/>
        </w:rPr>
        <w:t>earch</w:t>
      </w:r>
      <w:r w:rsidRPr="00E2652F">
        <w:rPr>
          <w:rFonts w:asciiTheme="majorBidi" w:hAnsiTheme="majorBidi" w:cstheme="majorBidi"/>
        </w:rPr>
        <w:t xml:space="preserve">, </w:t>
      </w:r>
      <w:r w:rsidR="005524DC" w:rsidRPr="00E2652F">
        <w:rPr>
          <w:rFonts w:asciiTheme="majorBidi" w:hAnsiTheme="majorBidi" w:cstheme="majorBidi"/>
        </w:rPr>
        <w:t>vol. 22, </w:t>
      </w:r>
      <w:hyperlink r:id="rId20" w:history="1">
        <w:r w:rsidR="00DD72FA" w:rsidRPr="00E2652F">
          <w:rPr>
            <w:rStyle w:val="Hyperlink"/>
            <w:rFonts w:asciiTheme="majorBidi" w:hAnsiTheme="majorBidi" w:cstheme="majorBidi"/>
            <w:lang w:val="en-GB"/>
          </w:rPr>
          <w:t>n</w:t>
        </w:r>
        <w:r w:rsidR="005524DC" w:rsidRPr="00E2652F">
          <w:rPr>
            <w:rStyle w:val="Hyperlink"/>
            <w:rFonts w:asciiTheme="majorBidi" w:hAnsiTheme="majorBidi" w:cstheme="majorBidi"/>
            <w:lang w:val="en-GB"/>
          </w:rPr>
          <w:t>o. 11</w:t>
        </w:r>
      </w:hyperlink>
      <w:r w:rsidR="005524DC" w:rsidRPr="00E2652F">
        <w:rPr>
          <w:rFonts w:asciiTheme="majorBidi" w:hAnsiTheme="majorBidi" w:cstheme="majorBidi"/>
        </w:rPr>
        <w:t xml:space="preserve">, pp. 8124–8147. </w:t>
      </w:r>
      <w:r w:rsidR="00DD72FA" w:rsidRPr="00E2652F">
        <w:rPr>
          <w:rFonts w:asciiTheme="majorBidi" w:hAnsiTheme="majorBidi" w:cstheme="majorBidi"/>
        </w:rPr>
        <w:t xml:space="preserve"> </w:t>
      </w:r>
      <w:r w:rsidR="005524DC" w:rsidRPr="00E2652F">
        <w:rPr>
          <w:rFonts w:asciiTheme="majorBidi" w:hAnsiTheme="majorBidi" w:cstheme="majorBidi"/>
        </w:rPr>
        <w:t>Available at https://www.researchgate.net/publication/274729292_In_situ_remediation_technologies_for_mercury-contaminated_soil.</w:t>
      </w:r>
      <w:r w:rsidR="005524DC" w:rsidRPr="00E2652F" w:rsidDel="005524DC">
        <w:rPr>
          <w:rFonts w:asciiTheme="majorBidi" w:hAnsiTheme="majorBidi" w:cstheme="majorBidi"/>
        </w:rPr>
        <w:t xml:space="preserve"> </w:t>
      </w:r>
    </w:p>
    <w:p w14:paraId="0B818C5E" w14:textId="318FC5B2"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IPEN (2016)</w:t>
      </w:r>
      <w:r w:rsidR="005524DC"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Guidance on the Identification, Management and Remediation of Mercury</w:t>
      </w:r>
      <w:r w:rsidR="00EC2BA8" w:rsidRPr="00E2652F">
        <w:rPr>
          <w:rFonts w:asciiTheme="majorBidi" w:hAnsiTheme="majorBidi" w:cstheme="majorBidi"/>
          <w:i/>
        </w:rPr>
        <w:t>-</w:t>
      </w:r>
      <w:r w:rsidRPr="00E2652F">
        <w:rPr>
          <w:rFonts w:asciiTheme="majorBidi" w:hAnsiTheme="majorBidi" w:cstheme="majorBidi"/>
          <w:i/>
        </w:rPr>
        <w:t>Contaminated Sites</w:t>
      </w:r>
      <w:r w:rsidRPr="00E2652F">
        <w:rPr>
          <w:rFonts w:asciiTheme="majorBidi" w:hAnsiTheme="majorBidi" w:cstheme="majorBidi"/>
        </w:rPr>
        <w:t xml:space="preserve">. </w:t>
      </w:r>
      <w:r w:rsidR="005524DC" w:rsidRPr="00E2652F">
        <w:rPr>
          <w:rFonts w:asciiTheme="majorBidi" w:hAnsiTheme="majorBidi" w:cstheme="majorBidi"/>
        </w:rPr>
        <w:t>Available at https://ipen.org/documents/guidance-identification-management-and-remediation-mercury-contaminated-sites.</w:t>
      </w:r>
      <w:r w:rsidRPr="00E2652F">
        <w:rPr>
          <w:rFonts w:asciiTheme="majorBidi" w:hAnsiTheme="majorBidi" w:cstheme="majorBidi"/>
        </w:rPr>
        <w:t xml:space="preserve"> </w:t>
      </w:r>
    </w:p>
    <w:p w14:paraId="03F2B5AA" w14:textId="5BC98AB7"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Kocman</w:t>
      </w:r>
      <w:r w:rsidR="00E50FBD" w:rsidRPr="00E2652F">
        <w:rPr>
          <w:rFonts w:asciiTheme="majorBidi" w:hAnsiTheme="majorBidi" w:cstheme="majorBidi"/>
        </w:rPr>
        <w:t>, D.,</w:t>
      </w:r>
      <w:r w:rsidRPr="00E2652F">
        <w:rPr>
          <w:rFonts w:asciiTheme="majorBidi" w:hAnsiTheme="majorBidi" w:cstheme="majorBidi"/>
        </w:rPr>
        <w:t xml:space="preserve"> </w:t>
      </w:r>
      <w:r w:rsidR="005524DC" w:rsidRPr="00E2652F">
        <w:rPr>
          <w:rFonts w:asciiTheme="majorBidi" w:hAnsiTheme="majorBidi" w:cstheme="majorBidi"/>
        </w:rPr>
        <w:t>and others</w:t>
      </w:r>
      <w:r w:rsidRPr="00E2652F">
        <w:rPr>
          <w:rFonts w:asciiTheme="majorBidi" w:hAnsiTheme="majorBidi" w:cstheme="majorBidi"/>
        </w:rPr>
        <w:t xml:space="preserve"> (2013)</w:t>
      </w:r>
      <w:r w:rsidR="005524DC" w:rsidRPr="00E2652F">
        <w:rPr>
          <w:rFonts w:asciiTheme="majorBidi" w:hAnsiTheme="majorBidi" w:cstheme="majorBidi"/>
        </w:rPr>
        <w:t>.</w:t>
      </w:r>
      <w:r w:rsidRPr="00E2652F">
        <w:rPr>
          <w:rFonts w:asciiTheme="majorBidi" w:hAnsiTheme="majorBidi" w:cstheme="majorBidi"/>
        </w:rPr>
        <w:t xml:space="preserve"> </w:t>
      </w:r>
      <w:r w:rsidR="005524DC" w:rsidRPr="00E2652F">
        <w:rPr>
          <w:rFonts w:asciiTheme="majorBidi" w:hAnsiTheme="majorBidi" w:cstheme="majorBidi"/>
        </w:rPr>
        <w:t>“</w:t>
      </w:r>
      <w:r w:rsidRPr="00E2652F">
        <w:rPr>
          <w:rFonts w:asciiTheme="majorBidi" w:hAnsiTheme="majorBidi" w:cstheme="majorBidi"/>
        </w:rPr>
        <w:t>Contribution of contaminated sites to the global mercury budget</w:t>
      </w:r>
      <w:r w:rsidR="00E50FBD" w:rsidRPr="00E2652F">
        <w:rPr>
          <w:rFonts w:asciiTheme="majorBidi" w:hAnsiTheme="majorBidi" w:cstheme="majorBidi"/>
        </w:rPr>
        <w:t>.</w:t>
      </w:r>
      <w:r w:rsidR="005524DC"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Environmental Research</w:t>
      </w:r>
      <w:r w:rsidR="00E50FBD" w:rsidRPr="00E2652F">
        <w:rPr>
          <w:rFonts w:asciiTheme="majorBidi" w:hAnsiTheme="majorBidi" w:cstheme="majorBidi"/>
          <w:i/>
        </w:rPr>
        <w:t>,</w:t>
      </w:r>
      <w:r w:rsidR="005524DC" w:rsidRPr="00E2652F">
        <w:rPr>
          <w:rFonts w:asciiTheme="majorBidi" w:hAnsiTheme="majorBidi" w:cstheme="majorBidi"/>
          <w:i/>
        </w:rPr>
        <w:t xml:space="preserve"> </w:t>
      </w:r>
      <w:r w:rsidR="005524DC" w:rsidRPr="00E2652F">
        <w:rPr>
          <w:rFonts w:asciiTheme="majorBidi" w:hAnsiTheme="majorBidi" w:cstheme="majorBidi"/>
        </w:rPr>
        <w:t>vol.</w:t>
      </w:r>
      <w:r w:rsidRPr="00E2652F">
        <w:rPr>
          <w:rFonts w:asciiTheme="majorBidi" w:hAnsiTheme="majorBidi" w:cstheme="majorBidi"/>
        </w:rPr>
        <w:t xml:space="preserve"> 125</w:t>
      </w:r>
      <w:r w:rsidR="005524DC" w:rsidRPr="00E2652F">
        <w:rPr>
          <w:rFonts w:asciiTheme="majorBidi" w:hAnsiTheme="majorBidi" w:cstheme="majorBidi"/>
        </w:rPr>
        <w:t>, pp.</w:t>
      </w:r>
      <w:r w:rsidRPr="00E2652F">
        <w:rPr>
          <w:rFonts w:asciiTheme="majorBidi" w:hAnsiTheme="majorBidi" w:cstheme="majorBidi"/>
        </w:rPr>
        <w:t>160–170</w:t>
      </w:r>
      <w:r w:rsidR="005524DC" w:rsidRPr="00E2652F">
        <w:rPr>
          <w:rFonts w:asciiTheme="majorBidi" w:hAnsiTheme="majorBidi" w:cstheme="majorBidi"/>
        </w:rPr>
        <w:t>. Available at http://citeseerx.ist.psu.edu/viewdoc/download?doi=10.1.1.362.1877&amp;rep=rep1&amp;type=pdf.</w:t>
      </w:r>
    </w:p>
    <w:p w14:paraId="112FE120" w14:textId="4AC2FC98"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M</w:t>
      </w:r>
      <w:r w:rsidR="00EE451F" w:rsidRPr="00E2652F">
        <w:rPr>
          <w:rFonts w:asciiTheme="majorBidi" w:hAnsiTheme="majorBidi" w:cstheme="majorBidi"/>
        </w:rPr>
        <w:t>editerranean Action Plan</w:t>
      </w:r>
      <w:r w:rsidR="00497AE4" w:rsidRPr="00E2652F">
        <w:t>/United Nations Environment Programme (M</w:t>
      </w:r>
      <w:r w:rsidRPr="00E2652F">
        <w:rPr>
          <w:rFonts w:asciiTheme="majorBidi" w:hAnsiTheme="majorBidi" w:cstheme="majorBidi"/>
        </w:rPr>
        <w:t>AP/UNEP</w:t>
      </w:r>
      <w:r w:rsidR="00497AE4" w:rsidRPr="00E2652F">
        <w:rPr>
          <w:rFonts w:asciiTheme="majorBidi" w:hAnsiTheme="majorBidi" w:cstheme="majorBidi"/>
        </w:rPr>
        <w:t>)</w:t>
      </w:r>
      <w:r w:rsidR="00EE451F" w:rsidRPr="00E2652F">
        <w:rPr>
          <w:rFonts w:asciiTheme="majorBidi" w:hAnsiTheme="majorBidi" w:cstheme="majorBidi"/>
        </w:rPr>
        <w:t xml:space="preserve"> </w:t>
      </w:r>
      <w:r w:rsidRPr="00E2652F">
        <w:rPr>
          <w:rFonts w:asciiTheme="majorBidi" w:hAnsiTheme="majorBidi" w:cstheme="majorBidi"/>
        </w:rPr>
        <w:t>(2015)</w:t>
      </w:r>
      <w:r w:rsidR="00EE451F"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Guidelines on Best Environmental Practices for Environmentally Sound Management of Mercury</w:t>
      </w:r>
      <w:r w:rsidR="00887A6F" w:rsidRPr="00E2652F">
        <w:rPr>
          <w:rFonts w:asciiTheme="majorBidi" w:hAnsiTheme="majorBidi" w:cstheme="majorBidi"/>
          <w:i/>
        </w:rPr>
        <w:t>-</w:t>
      </w:r>
      <w:r w:rsidRPr="00E2652F">
        <w:rPr>
          <w:rFonts w:asciiTheme="majorBidi" w:hAnsiTheme="majorBidi" w:cstheme="majorBidi"/>
          <w:i/>
        </w:rPr>
        <w:t>Contaminated Sites in the Mediterranean</w:t>
      </w:r>
      <w:r w:rsidRPr="00E2652F">
        <w:rPr>
          <w:rFonts w:asciiTheme="majorBidi" w:hAnsiTheme="majorBidi" w:cstheme="majorBidi"/>
        </w:rPr>
        <w:t>.</w:t>
      </w:r>
      <w:r w:rsidR="00EE451F" w:rsidRPr="00E2652F">
        <w:rPr>
          <w:rFonts w:asciiTheme="majorBidi" w:hAnsiTheme="majorBidi" w:cstheme="majorBidi"/>
        </w:rPr>
        <w:t xml:space="preserve"> Available at http://wedocs.unep.org/handle/20.500.11822/9917. </w:t>
      </w:r>
    </w:p>
    <w:p w14:paraId="3FFA831E" w14:textId="494FE64F"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Merly</w:t>
      </w:r>
      <w:r w:rsidR="00887A6F" w:rsidRPr="00E2652F">
        <w:rPr>
          <w:rFonts w:asciiTheme="majorBidi" w:hAnsiTheme="majorBidi" w:cstheme="majorBidi"/>
        </w:rPr>
        <w:t>,</w:t>
      </w:r>
      <w:r w:rsidRPr="00E2652F">
        <w:rPr>
          <w:rFonts w:asciiTheme="majorBidi" w:hAnsiTheme="majorBidi" w:cstheme="majorBidi"/>
        </w:rPr>
        <w:t xml:space="preserve"> C</w:t>
      </w:r>
      <w:r w:rsidR="00887A6F" w:rsidRPr="00E2652F">
        <w:rPr>
          <w:rFonts w:asciiTheme="majorBidi" w:hAnsiTheme="majorBidi" w:cstheme="majorBidi"/>
        </w:rPr>
        <w:t>.,</w:t>
      </w:r>
      <w:r w:rsidRPr="00E2652F">
        <w:rPr>
          <w:rFonts w:asciiTheme="majorBidi" w:hAnsiTheme="majorBidi" w:cstheme="majorBidi"/>
        </w:rPr>
        <w:t xml:space="preserve"> and Hube</w:t>
      </w:r>
      <w:r w:rsidR="00887A6F" w:rsidRPr="00E2652F">
        <w:rPr>
          <w:rFonts w:asciiTheme="majorBidi" w:hAnsiTheme="majorBidi" w:cstheme="majorBidi"/>
        </w:rPr>
        <w:t>, D.</w:t>
      </w:r>
      <w:r w:rsidRPr="00E2652F">
        <w:rPr>
          <w:rFonts w:asciiTheme="majorBidi" w:hAnsiTheme="majorBidi" w:cstheme="majorBidi"/>
        </w:rPr>
        <w:t xml:space="preserve"> (2014)</w:t>
      </w:r>
      <w:r w:rsidR="00FF35BF"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 xml:space="preserve">Remediation of </w:t>
      </w:r>
      <w:r w:rsidR="00887A6F" w:rsidRPr="00E2652F">
        <w:rPr>
          <w:rFonts w:asciiTheme="majorBidi" w:hAnsiTheme="majorBidi" w:cstheme="majorBidi"/>
          <w:i/>
        </w:rPr>
        <w:t>M</w:t>
      </w:r>
      <w:r w:rsidRPr="00E2652F">
        <w:rPr>
          <w:rFonts w:asciiTheme="majorBidi" w:hAnsiTheme="majorBidi" w:cstheme="majorBidi"/>
          <w:i/>
        </w:rPr>
        <w:t>ercury</w:t>
      </w:r>
      <w:r w:rsidR="00887A6F" w:rsidRPr="00E2652F">
        <w:rPr>
          <w:rFonts w:asciiTheme="majorBidi" w:hAnsiTheme="majorBidi" w:cstheme="majorBidi"/>
          <w:i/>
        </w:rPr>
        <w:t>-C</w:t>
      </w:r>
      <w:r w:rsidRPr="00E2652F">
        <w:rPr>
          <w:rFonts w:asciiTheme="majorBidi" w:hAnsiTheme="majorBidi" w:cstheme="majorBidi"/>
          <w:i/>
        </w:rPr>
        <w:t xml:space="preserve">ontaminated </w:t>
      </w:r>
      <w:r w:rsidR="00887A6F" w:rsidRPr="00E2652F">
        <w:rPr>
          <w:rFonts w:asciiTheme="majorBidi" w:hAnsiTheme="majorBidi" w:cstheme="majorBidi"/>
          <w:i/>
        </w:rPr>
        <w:t>S</w:t>
      </w:r>
      <w:r w:rsidRPr="00E2652F">
        <w:rPr>
          <w:rFonts w:asciiTheme="majorBidi" w:hAnsiTheme="majorBidi" w:cstheme="majorBidi"/>
          <w:i/>
        </w:rPr>
        <w:t>ites</w:t>
      </w:r>
      <w:r w:rsidRPr="00E2652F">
        <w:rPr>
          <w:rFonts w:asciiTheme="majorBidi" w:hAnsiTheme="majorBidi" w:cstheme="majorBidi"/>
        </w:rPr>
        <w:t>.</w:t>
      </w:r>
      <w:r w:rsidR="00E429A9" w:rsidRPr="00E2652F">
        <w:rPr>
          <w:rFonts w:asciiTheme="majorBidi" w:hAnsiTheme="majorBidi" w:cstheme="majorBidi"/>
        </w:rPr>
        <w:t xml:space="preserve"> </w:t>
      </w:r>
      <w:r w:rsidRPr="00E2652F">
        <w:rPr>
          <w:rFonts w:asciiTheme="majorBidi" w:hAnsiTheme="majorBidi" w:cstheme="majorBidi"/>
        </w:rPr>
        <w:t xml:space="preserve">Project No. SN-03/08. </w:t>
      </w:r>
      <w:r w:rsidR="00860510" w:rsidRPr="00E2652F">
        <w:rPr>
          <w:rFonts w:asciiTheme="majorBidi" w:hAnsiTheme="majorBidi" w:cstheme="majorBidi"/>
        </w:rPr>
        <w:t>Available at https://docplayer.net/18898131-Remediation-of-mercury-contaminated-sites.html.</w:t>
      </w:r>
    </w:p>
    <w:p w14:paraId="011CA9B6" w14:textId="09F1A8C1"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bookmarkStart w:id="29" w:name="_Hlk506896386"/>
      <w:r w:rsidRPr="00E2652F">
        <w:rPr>
          <w:rFonts w:asciiTheme="majorBidi" w:hAnsiTheme="majorBidi" w:cstheme="majorBidi"/>
        </w:rPr>
        <w:t>National Environmental Justice Advisory Council (2013</w:t>
      </w:r>
      <w:bookmarkEnd w:id="29"/>
      <w:r w:rsidRPr="00E2652F">
        <w:rPr>
          <w:rFonts w:asciiTheme="majorBidi" w:hAnsiTheme="majorBidi" w:cstheme="majorBidi"/>
        </w:rPr>
        <w:t>).</w:t>
      </w:r>
      <w:r w:rsidR="00E429A9" w:rsidRPr="00E2652F">
        <w:rPr>
          <w:rFonts w:asciiTheme="majorBidi" w:hAnsiTheme="majorBidi" w:cstheme="majorBidi"/>
        </w:rPr>
        <w:t xml:space="preserve"> </w:t>
      </w:r>
      <w:r w:rsidRPr="00E2652F">
        <w:rPr>
          <w:rFonts w:asciiTheme="majorBidi" w:hAnsiTheme="majorBidi" w:cstheme="majorBidi"/>
          <w:i/>
        </w:rPr>
        <w:t>Model Guidelines for Public Participation</w:t>
      </w:r>
      <w:r w:rsidRPr="00E2652F">
        <w:rPr>
          <w:rFonts w:asciiTheme="majorBidi" w:hAnsiTheme="majorBidi" w:cstheme="majorBidi"/>
        </w:rPr>
        <w:t xml:space="preserve">. </w:t>
      </w:r>
      <w:r w:rsidR="00FF35BF" w:rsidRPr="00E2652F">
        <w:rPr>
          <w:rFonts w:asciiTheme="majorBidi" w:hAnsiTheme="majorBidi" w:cstheme="majorBidi"/>
        </w:rPr>
        <w:t>Available at https://www.epa.gov/sites/production/files/2015-02/documents/recommendations-model-guide-pp-2013.pdf.</w:t>
      </w:r>
    </w:p>
    <w:p w14:paraId="6418C49D" w14:textId="480D185A" w:rsidR="00EE451F" w:rsidRPr="00E2652F" w:rsidRDefault="00EE451F"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National Environmental Protection Council (1999)</w:t>
      </w:r>
      <w:r w:rsidR="00CC39BE"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NEPM Schedule B (1) - Guideline on Investigation Levels for Soil and Groundwater</w:t>
      </w:r>
      <w:r w:rsidRPr="00E2652F">
        <w:rPr>
          <w:rFonts w:asciiTheme="majorBidi" w:hAnsiTheme="majorBidi" w:cstheme="majorBidi"/>
        </w:rPr>
        <w:t>. Available at http://www.nepc.gov.au/system/files/resources/93ae0e77-e697-e494-656f-afaaf9fb4277/files/schedule-b1-guideline-investigation-levels-soil-and-groundwater-sep10.pdf.</w:t>
      </w:r>
      <w:r w:rsidRPr="00E2652F" w:rsidDel="00860510">
        <w:t xml:space="preserve"> </w:t>
      </w:r>
    </w:p>
    <w:p w14:paraId="3A9E1FC6" w14:textId="2ABC5CC9" w:rsidR="0021302D" w:rsidRPr="00E2652F" w:rsidRDefault="0021302D" w:rsidP="00E2652F">
      <w:pPr>
        <w:pStyle w:val="Normal-pool"/>
        <w:tabs>
          <w:tab w:val="clear" w:pos="1247"/>
          <w:tab w:val="clear" w:pos="1814"/>
          <w:tab w:val="clear" w:pos="2381"/>
          <w:tab w:val="clear" w:pos="2948"/>
          <w:tab w:val="clear" w:pos="3515"/>
          <w:tab w:val="clear" w:pos="4082"/>
          <w:tab w:val="left" w:pos="624"/>
        </w:tabs>
        <w:spacing w:after="80"/>
        <w:ind w:left="1247"/>
      </w:pPr>
      <w:r w:rsidRPr="00E2652F">
        <w:t xml:space="preserve">United Nations Environment Programme (UNEP) (2013). </w:t>
      </w:r>
      <w:r w:rsidRPr="00E2652F">
        <w:rPr>
          <w:i/>
        </w:rPr>
        <w:t>Global Mercury Assessment 2013: Sources, Emissions, Releases and Environmental Transport</w:t>
      </w:r>
      <w:r w:rsidRPr="00E2652F">
        <w:t>. Geneva, UNEP Chemicals Branch. Available at http://wedocs.unep.org/handle/20.500.11822/7984.</w:t>
      </w:r>
    </w:p>
    <w:p w14:paraId="070CAC96" w14:textId="3513307F" w:rsidR="000A7C87" w:rsidRPr="00E2652F" w:rsidRDefault="000A7C87"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 xml:space="preserve">United Nations Environment Programme (UNEP) (2015). </w:t>
      </w:r>
      <w:r w:rsidRPr="00E2652F">
        <w:rPr>
          <w:rFonts w:asciiTheme="majorBidi" w:hAnsiTheme="majorBidi" w:cstheme="majorBidi"/>
          <w:i/>
        </w:rPr>
        <w:t>Technical guidelines on the environmentally sound management of wastes consisting of, containing or contaminated with mercury or mercury compounds</w:t>
      </w:r>
      <w:r w:rsidRPr="00E2652F">
        <w:rPr>
          <w:rFonts w:asciiTheme="majorBidi" w:hAnsiTheme="majorBidi" w:cstheme="majorBidi"/>
        </w:rPr>
        <w:t xml:space="preserve">. UNEP/CHW.12/5/Add.8/Rev.1. Available at </w:t>
      </w:r>
      <w:hyperlink r:id="rId21" w:history="1">
        <w:r w:rsidR="00D022D0" w:rsidRPr="00E2652F">
          <w:rPr>
            <w:rStyle w:val="Hyperlink"/>
            <w:rFonts w:asciiTheme="majorBidi" w:hAnsiTheme="majorBidi" w:cstheme="majorBidi"/>
            <w:lang w:val="en-GB"/>
          </w:rPr>
          <w:t>http://www.basel.int/TheConvention/ConferenceoftheParties/Meetings/COP12/tabid/4248/mctl/ViewDetails/EventModID/8051/EventID/542/xmid/13027/Default.aspx</w:t>
        </w:r>
      </w:hyperlink>
      <w:r w:rsidRPr="00E2652F">
        <w:rPr>
          <w:rFonts w:asciiTheme="majorBidi" w:hAnsiTheme="majorBidi" w:cstheme="majorBidi"/>
        </w:rPr>
        <w:t>.</w:t>
      </w:r>
    </w:p>
    <w:p w14:paraId="3C384E14" w14:textId="7793EEE2" w:rsidR="00D022D0" w:rsidRPr="00E2652F" w:rsidRDefault="00D022D0"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United States Department of Health and Human Services (US DHHS), Agency for Toxic Substances and Disease Registry. ToxFAQs™ for metallic mercury (website). Available at https://www.atsdr.cdc.gov/toxfaqs/tf.asp?id=1195&amp;tid=24.</w:t>
      </w:r>
    </w:p>
    <w:p w14:paraId="7E60CCD7" w14:textId="77777777" w:rsidR="008A3388" w:rsidRPr="00E2652F" w:rsidRDefault="008A3388" w:rsidP="00E2652F">
      <w:pPr>
        <w:pStyle w:val="Normal-pool"/>
        <w:tabs>
          <w:tab w:val="clear" w:pos="1247"/>
          <w:tab w:val="clear" w:pos="1814"/>
          <w:tab w:val="clear" w:pos="2381"/>
          <w:tab w:val="clear" w:pos="2948"/>
          <w:tab w:val="clear" w:pos="3515"/>
          <w:tab w:val="clear" w:pos="4082"/>
          <w:tab w:val="left" w:pos="624"/>
        </w:tabs>
        <w:spacing w:after="80"/>
        <w:ind w:left="1247"/>
        <w:rPr>
          <w:rStyle w:val="Hyperlink"/>
          <w:rFonts w:asciiTheme="majorBidi" w:hAnsiTheme="majorBidi" w:cstheme="majorBidi"/>
          <w:lang w:val="en-GB"/>
        </w:rPr>
      </w:pPr>
      <w:r w:rsidRPr="00E2652F">
        <w:rPr>
          <w:lang w:eastAsia="ja-JP"/>
        </w:rPr>
        <w:t>United States Environment Protection Agency (</w:t>
      </w:r>
      <w:r w:rsidR="00F252EE" w:rsidRPr="00E2652F">
        <w:rPr>
          <w:rFonts w:asciiTheme="majorBidi" w:hAnsiTheme="majorBidi" w:cstheme="majorBidi"/>
        </w:rPr>
        <w:t>US EPA</w:t>
      </w:r>
      <w:r w:rsidRPr="00E2652F">
        <w:rPr>
          <w:rFonts w:asciiTheme="majorBidi" w:hAnsiTheme="majorBidi" w:cstheme="majorBidi"/>
        </w:rPr>
        <w:t>)</w:t>
      </w:r>
      <w:r w:rsidR="00F252EE" w:rsidRPr="00E2652F">
        <w:rPr>
          <w:rFonts w:asciiTheme="majorBidi" w:hAnsiTheme="majorBidi" w:cstheme="majorBidi"/>
        </w:rPr>
        <w:t xml:space="preserve"> (2007)</w:t>
      </w:r>
      <w:r w:rsidRPr="00E2652F">
        <w:rPr>
          <w:rFonts w:asciiTheme="majorBidi" w:hAnsiTheme="majorBidi" w:cstheme="majorBidi"/>
        </w:rPr>
        <w:t>.</w:t>
      </w:r>
      <w:r w:rsidR="00F252EE" w:rsidRPr="00E2652F">
        <w:rPr>
          <w:rFonts w:asciiTheme="majorBidi" w:hAnsiTheme="majorBidi" w:cstheme="majorBidi"/>
        </w:rPr>
        <w:t xml:space="preserve"> </w:t>
      </w:r>
      <w:r w:rsidR="00F252EE" w:rsidRPr="00E2652F">
        <w:rPr>
          <w:rFonts w:asciiTheme="majorBidi" w:hAnsiTheme="majorBidi" w:cstheme="majorBidi"/>
          <w:i/>
        </w:rPr>
        <w:t>Treatment Technologies for Mercury in Soil, Waste, and Water</w:t>
      </w:r>
      <w:r w:rsidR="00F252EE" w:rsidRPr="00E2652F">
        <w:rPr>
          <w:rFonts w:asciiTheme="majorBidi" w:hAnsiTheme="majorBidi" w:cstheme="majorBidi"/>
        </w:rPr>
        <w:t xml:space="preserve">. </w:t>
      </w:r>
      <w:r w:rsidRPr="00E2652F">
        <w:rPr>
          <w:rFonts w:asciiTheme="majorBidi" w:hAnsiTheme="majorBidi" w:cstheme="majorBidi"/>
        </w:rPr>
        <w:t>Washington. Available at</w:t>
      </w:r>
      <w:r w:rsidR="00F252EE" w:rsidRPr="00E2652F">
        <w:rPr>
          <w:rFonts w:asciiTheme="majorBidi" w:hAnsiTheme="majorBidi" w:cstheme="majorBidi"/>
        </w:rPr>
        <w:t xml:space="preserve"> </w:t>
      </w:r>
      <w:hyperlink r:id="rId22" w:history="1">
        <w:r w:rsidRPr="00E2652F">
          <w:rPr>
            <w:rStyle w:val="Hyperlink"/>
            <w:rFonts w:asciiTheme="majorBidi" w:hAnsiTheme="majorBidi" w:cstheme="majorBidi"/>
            <w:lang w:val="en-GB"/>
          </w:rPr>
          <w:t>https://clu-in.org/download/remed/542r07003.pdf</w:t>
        </w:r>
      </w:hyperlink>
      <w:r w:rsidRPr="00E2652F">
        <w:rPr>
          <w:rStyle w:val="Hyperlink"/>
          <w:rFonts w:asciiTheme="majorBidi" w:hAnsiTheme="majorBidi" w:cstheme="majorBidi"/>
          <w:lang w:val="en-GB"/>
        </w:rPr>
        <w:t>.</w:t>
      </w:r>
    </w:p>
    <w:p w14:paraId="1CA01CB5" w14:textId="37843350" w:rsidR="00F252EE" w:rsidRPr="00E2652F" w:rsidRDefault="0043782B"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lang w:eastAsia="ja-JP"/>
        </w:rPr>
        <w:t>United States Environment Protection Agency (</w:t>
      </w:r>
      <w:r w:rsidR="00F252EE" w:rsidRPr="00E2652F">
        <w:rPr>
          <w:rFonts w:asciiTheme="majorBidi" w:hAnsiTheme="majorBidi" w:cstheme="majorBidi"/>
        </w:rPr>
        <w:t>US EPA</w:t>
      </w:r>
      <w:r w:rsidR="00B8643B" w:rsidRPr="00E2652F">
        <w:rPr>
          <w:rFonts w:asciiTheme="majorBidi" w:hAnsiTheme="majorBidi" w:cstheme="majorBidi"/>
        </w:rPr>
        <w:t>)</w:t>
      </w:r>
      <w:r w:rsidR="00F252EE" w:rsidRPr="00E2652F">
        <w:rPr>
          <w:rFonts w:asciiTheme="majorBidi" w:hAnsiTheme="majorBidi" w:cstheme="majorBidi"/>
        </w:rPr>
        <w:t xml:space="preserve"> (201</w:t>
      </w:r>
      <w:r w:rsidR="00FF35BF" w:rsidRPr="00E2652F">
        <w:rPr>
          <w:rFonts w:asciiTheme="majorBidi" w:hAnsiTheme="majorBidi" w:cstheme="majorBidi"/>
        </w:rPr>
        <w:t>0</w:t>
      </w:r>
      <w:r w:rsidR="00F252EE" w:rsidRPr="00E2652F">
        <w:rPr>
          <w:rFonts w:asciiTheme="majorBidi" w:hAnsiTheme="majorBidi" w:cstheme="majorBidi"/>
        </w:rPr>
        <w:t xml:space="preserve">) </w:t>
      </w:r>
      <w:r w:rsidR="00F252EE" w:rsidRPr="00E2652F">
        <w:rPr>
          <w:rFonts w:asciiTheme="majorBidi" w:hAnsiTheme="majorBidi" w:cstheme="majorBidi"/>
          <w:i/>
        </w:rPr>
        <w:t>Phytotechnologies for site cleanup</w:t>
      </w:r>
      <w:r w:rsidR="00F252EE" w:rsidRPr="00E2652F">
        <w:rPr>
          <w:rFonts w:asciiTheme="majorBidi" w:hAnsiTheme="majorBidi" w:cstheme="majorBidi"/>
        </w:rPr>
        <w:t>.</w:t>
      </w:r>
      <w:r w:rsidR="00E429A9" w:rsidRPr="00E2652F">
        <w:rPr>
          <w:rFonts w:asciiTheme="majorBidi" w:hAnsiTheme="majorBidi" w:cstheme="majorBidi"/>
        </w:rPr>
        <w:t xml:space="preserve"> </w:t>
      </w:r>
      <w:r w:rsidR="00FF35BF" w:rsidRPr="00E2652F">
        <w:t xml:space="preserve">EPA 542-F-10-009. Available at </w:t>
      </w:r>
      <w:hyperlink r:id="rId23" w:history="1">
        <w:r w:rsidR="00F252EE" w:rsidRPr="00E2652F">
          <w:rPr>
            <w:rStyle w:val="Hyperlink"/>
            <w:rFonts w:asciiTheme="majorBidi" w:hAnsiTheme="majorBidi" w:cstheme="majorBidi"/>
            <w:lang w:val="en-GB"/>
          </w:rPr>
          <w:t>https://clu-in.org/download/remed/phytotechnologies-factsheet.pdf</w:t>
        </w:r>
      </w:hyperlink>
      <w:r w:rsidR="00EE451F" w:rsidRPr="00E2652F">
        <w:rPr>
          <w:rStyle w:val="Hyperlink"/>
          <w:rFonts w:asciiTheme="majorBidi" w:hAnsiTheme="majorBidi" w:cstheme="majorBidi"/>
          <w:lang w:val="en-GB"/>
        </w:rPr>
        <w:t>.</w:t>
      </w:r>
    </w:p>
    <w:p w14:paraId="78CA97DB" w14:textId="32CDD4E9" w:rsidR="00F252EE" w:rsidRPr="00E2652F" w:rsidRDefault="00A923CB" w:rsidP="00E2652F">
      <w:pPr>
        <w:pStyle w:val="Normal-pool"/>
        <w:tabs>
          <w:tab w:val="clear" w:pos="1247"/>
          <w:tab w:val="clear" w:pos="1814"/>
          <w:tab w:val="clear" w:pos="2381"/>
          <w:tab w:val="clear" w:pos="2948"/>
          <w:tab w:val="clear" w:pos="3515"/>
          <w:tab w:val="clear" w:pos="4082"/>
          <w:tab w:val="left" w:pos="624"/>
        </w:tabs>
        <w:spacing w:after="80"/>
        <w:ind w:left="1247"/>
        <w:rPr>
          <w:rStyle w:val="Hyperlink"/>
          <w:rFonts w:asciiTheme="majorBidi" w:hAnsiTheme="majorBidi" w:cstheme="majorBidi"/>
          <w:lang w:val="en-GB"/>
        </w:rPr>
      </w:pPr>
      <w:r w:rsidRPr="00E2652F">
        <w:rPr>
          <w:rFonts w:asciiTheme="majorBidi" w:hAnsiTheme="majorBidi" w:cstheme="majorBidi"/>
        </w:rPr>
        <w:t>World Health Organization (</w:t>
      </w:r>
      <w:r w:rsidR="00F252EE" w:rsidRPr="00E2652F">
        <w:rPr>
          <w:rFonts w:asciiTheme="majorBidi" w:hAnsiTheme="majorBidi" w:cstheme="majorBidi"/>
        </w:rPr>
        <w:t>WHO</w:t>
      </w:r>
      <w:r w:rsidRPr="00E2652F">
        <w:rPr>
          <w:rFonts w:asciiTheme="majorBidi" w:hAnsiTheme="majorBidi" w:cstheme="majorBidi"/>
        </w:rPr>
        <w:t>)</w:t>
      </w:r>
      <w:r w:rsidR="00F252EE" w:rsidRPr="00E2652F">
        <w:rPr>
          <w:rFonts w:asciiTheme="majorBidi" w:hAnsiTheme="majorBidi" w:cstheme="majorBidi"/>
        </w:rPr>
        <w:t xml:space="preserve"> (2017)</w:t>
      </w:r>
      <w:r w:rsidRPr="00E2652F">
        <w:rPr>
          <w:rFonts w:asciiTheme="majorBidi" w:hAnsiTheme="majorBidi" w:cstheme="majorBidi"/>
        </w:rPr>
        <w:t>.</w:t>
      </w:r>
      <w:r w:rsidR="00F252EE" w:rsidRPr="00E2652F">
        <w:rPr>
          <w:rFonts w:asciiTheme="majorBidi" w:hAnsiTheme="majorBidi" w:cstheme="majorBidi"/>
        </w:rPr>
        <w:t xml:space="preserve"> </w:t>
      </w:r>
      <w:r w:rsidRPr="00E2652F">
        <w:rPr>
          <w:rFonts w:asciiTheme="majorBidi" w:hAnsiTheme="majorBidi" w:cstheme="majorBidi"/>
        </w:rPr>
        <w:t>“M</w:t>
      </w:r>
      <w:r w:rsidR="00F252EE" w:rsidRPr="00E2652F">
        <w:rPr>
          <w:rFonts w:asciiTheme="majorBidi" w:hAnsiTheme="majorBidi" w:cstheme="majorBidi"/>
        </w:rPr>
        <w:t>ercury and health</w:t>
      </w:r>
      <w:r w:rsidRPr="00E2652F">
        <w:rPr>
          <w:rFonts w:asciiTheme="majorBidi" w:hAnsiTheme="majorBidi" w:cstheme="majorBidi"/>
        </w:rPr>
        <w:t>”</w:t>
      </w:r>
      <w:r w:rsidR="0043782B" w:rsidRPr="00E2652F">
        <w:rPr>
          <w:rFonts w:asciiTheme="majorBidi" w:hAnsiTheme="majorBidi" w:cstheme="majorBidi"/>
        </w:rPr>
        <w:t xml:space="preserve"> (website)</w:t>
      </w:r>
      <w:r w:rsidR="00F252EE" w:rsidRPr="00E2652F">
        <w:rPr>
          <w:rFonts w:asciiTheme="majorBidi" w:hAnsiTheme="majorBidi" w:cstheme="majorBidi"/>
        </w:rPr>
        <w:t xml:space="preserve">. </w:t>
      </w:r>
      <w:r w:rsidRPr="00E2652F">
        <w:rPr>
          <w:rFonts w:asciiTheme="majorBidi" w:hAnsiTheme="majorBidi" w:cstheme="majorBidi"/>
        </w:rPr>
        <w:t xml:space="preserve">Available at </w:t>
      </w:r>
      <w:hyperlink r:id="rId24" w:history="1">
        <w:r w:rsidR="00F252EE" w:rsidRPr="00E2652F">
          <w:rPr>
            <w:rStyle w:val="Hyperlink"/>
            <w:rFonts w:asciiTheme="majorBidi" w:hAnsiTheme="majorBidi" w:cstheme="majorBidi"/>
            <w:lang w:val="en-GB"/>
          </w:rPr>
          <w:t>http://www.who.int/mediacentre/factsheets/fs361/en/</w:t>
        </w:r>
      </w:hyperlink>
      <w:r w:rsidR="00EE451F" w:rsidRPr="00E2652F">
        <w:rPr>
          <w:rStyle w:val="Hyperlink"/>
          <w:rFonts w:asciiTheme="majorBidi" w:hAnsiTheme="majorBidi" w:cstheme="majorBidi"/>
          <w:lang w:val="en-GB"/>
        </w:rPr>
        <w:t>.</w:t>
      </w:r>
    </w:p>
    <w:p w14:paraId="0F309D07" w14:textId="3E896122" w:rsidR="00F51980" w:rsidRPr="00E2652F" w:rsidRDefault="00EE451F" w:rsidP="00E2652F">
      <w:pPr>
        <w:pStyle w:val="Normal-pool"/>
        <w:tabs>
          <w:tab w:val="clear" w:pos="1247"/>
          <w:tab w:val="clear" w:pos="1814"/>
          <w:tab w:val="clear" w:pos="2381"/>
          <w:tab w:val="clear" w:pos="2948"/>
          <w:tab w:val="clear" w:pos="3515"/>
          <w:tab w:val="clear" w:pos="4082"/>
          <w:tab w:val="left" w:pos="624"/>
        </w:tabs>
        <w:spacing w:after="80"/>
        <w:ind w:left="1247"/>
      </w:pPr>
      <w:r w:rsidRPr="00E2652F">
        <w:rPr>
          <w:lang w:eastAsia="ja-JP"/>
        </w:rPr>
        <w:t xml:space="preserve">World Health </w:t>
      </w:r>
      <w:r w:rsidRPr="00E2652F">
        <w:t>Organization</w:t>
      </w:r>
      <w:r w:rsidR="00EC2BA8" w:rsidRPr="00E2652F">
        <w:t>.</w:t>
      </w:r>
      <w:r w:rsidRPr="00E2652F">
        <w:rPr>
          <w:lang w:eastAsia="ja-JP"/>
        </w:rPr>
        <w:t xml:space="preserve"> Regional Office for Europe</w:t>
      </w:r>
      <w:r w:rsidR="00EC2BA8" w:rsidRPr="00E2652F">
        <w:rPr>
          <w:lang w:eastAsia="ja-JP"/>
        </w:rPr>
        <w:t xml:space="preserve"> (WHO/EURO)</w:t>
      </w:r>
      <w:r w:rsidRPr="00E2652F">
        <w:rPr>
          <w:lang w:eastAsia="ja-JP"/>
        </w:rPr>
        <w:t xml:space="preserve"> </w:t>
      </w:r>
      <w:r w:rsidRPr="00E2652F">
        <w:rPr>
          <w:rFonts w:asciiTheme="majorBidi" w:hAnsiTheme="majorBidi" w:cstheme="majorBidi"/>
        </w:rPr>
        <w:t>(2013)</w:t>
      </w:r>
      <w:r w:rsidR="0043782B"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 xml:space="preserve">Contaminated </w:t>
      </w:r>
      <w:r w:rsidR="0043782B" w:rsidRPr="00E2652F">
        <w:rPr>
          <w:rFonts w:asciiTheme="majorBidi" w:hAnsiTheme="majorBidi" w:cstheme="majorBidi"/>
          <w:i/>
        </w:rPr>
        <w:t>S</w:t>
      </w:r>
      <w:r w:rsidRPr="00E2652F">
        <w:rPr>
          <w:rFonts w:asciiTheme="majorBidi" w:hAnsiTheme="majorBidi" w:cstheme="majorBidi"/>
          <w:i/>
        </w:rPr>
        <w:t xml:space="preserve">ites and </w:t>
      </w:r>
      <w:r w:rsidR="0043782B" w:rsidRPr="00E2652F">
        <w:rPr>
          <w:rFonts w:asciiTheme="majorBidi" w:hAnsiTheme="majorBidi" w:cstheme="majorBidi"/>
          <w:i/>
        </w:rPr>
        <w:t>H</w:t>
      </w:r>
      <w:r w:rsidRPr="00E2652F">
        <w:rPr>
          <w:rFonts w:asciiTheme="majorBidi" w:hAnsiTheme="majorBidi" w:cstheme="majorBidi"/>
          <w:i/>
        </w:rPr>
        <w:t>ealth</w:t>
      </w:r>
      <w:r w:rsidRPr="00E2652F">
        <w:rPr>
          <w:rFonts w:asciiTheme="majorBidi" w:hAnsiTheme="majorBidi" w:cstheme="majorBidi"/>
        </w:rPr>
        <w:t xml:space="preserve">. </w:t>
      </w:r>
      <w:r w:rsidRPr="00E2652F">
        <w:t>Available at http://www.euro.who.int/__data/assets/pdf_file/0003/186240/e96843e.pdf?ua=1.</w:t>
      </w:r>
      <w:r w:rsidR="00F51980" w:rsidRPr="00E2652F">
        <w:br w:type="page"/>
      </w:r>
    </w:p>
    <w:p w14:paraId="0CD9CDB3" w14:textId="77777777" w:rsidR="00F51980" w:rsidRPr="00E2652F" w:rsidRDefault="00F51980" w:rsidP="00F51980">
      <w:pPr>
        <w:pStyle w:val="ZZAnxheader"/>
      </w:pPr>
      <w:bookmarkStart w:id="30" w:name="_Toc524355416"/>
      <w:r w:rsidRPr="00E2652F">
        <w:t>Appendix I</w:t>
      </w:r>
      <w:bookmarkEnd w:id="30"/>
    </w:p>
    <w:p w14:paraId="1AB50C65" w14:textId="77777777" w:rsidR="00F51980" w:rsidRPr="00E2652F" w:rsidRDefault="00F51980" w:rsidP="00F51980">
      <w:pPr>
        <w:pStyle w:val="ZZAnxtitle"/>
      </w:pPr>
      <w:bookmarkStart w:id="31" w:name="_Toc524355417"/>
      <w:r w:rsidRPr="00E2652F">
        <w:t>Further technical information</w:t>
      </w:r>
      <w:bookmarkEnd w:id="31"/>
    </w:p>
    <w:p w14:paraId="2EA9334B" w14:textId="77777777" w:rsidR="00F51980" w:rsidRPr="00E2652F" w:rsidRDefault="00F51980" w:rsidP="00F51980">
      <w:pPr>
        <w:pStyle w:val="Normal-pool"/>
        <w:tabs>
          <w:tab w:val="clear" w:pos="1247"/>
          <w:tab w:val="clear" w:pos="1814"/>
          <w:tab w:val="clear" w:pos="2381"/>
          <w:tab w:val="clear" w:pos="2948"/>
          <w:tab w:val="clear" w:pos="3515"/>
          <w:tab w:val="clear" w:pos="4082"/>
          <w:tab w:val="left" w:pos="624"/>
        </w:tabs>
        <w:spacing w:after="120"/>
        <w:ind w:left="1247"/>
      </w:pPr>
      <w:r w:rsidRPr="00E2652F">
        <w:t xml:space="preserve">The guidance on the management of contaminated sites has been prepared as part of the process and possible options for the management of contaminated sites in line with article 12 of the Minamata Convention on Mercury. Additional technical information is available on many of the issues covered in the guidance and may be useful to those preparing action plans or undertaking management activities. </w:t>
      </w:r>
    </w:p>
    <w:p w14:paraId="2C218B5B" w14:textId="77777777" w:rsidR="00F51980" w:rsidRPr="00E2652F" w:rsidRDefault="00F51980" w:rsidP="00F51980">
      <w:pPr>
        <w:pStyle w:val="Normal-pool"/>
        <w:tabs>
          <w:tab w:val="clear" w:pos="1247"/>
          <w:tab w:val="clear" w:pos="1814"/>
          <w:tab w:val="clear" w:pos="2381"/>
          <w:tab w:val="clear" w:pos="2948"/>
          <w:tab w:val="clear" w:pos="3515"/>
          <w:tab w:val="clear" w:pos="4082"/>
          <w:tab w:val="left" w:pos="624"/>
        </w:tabs>
        <w:spacing w:after="120"/>
        <w:ind w:left="1247"/>
      </w:pPr>
      <w:r w:rsidRPr="00E2652F">
        <w:t xml:space="preserve">The links in the following list of resources appear as received from stakeholders and are provided for information purposes. The list may be updated without requiring a further decision by the Conference of the Parties. </w:t>
      </w:r>
    </w:p>
    <w:p w14:paraId="1DEBE3FF" w14:textId="77777777" w:rsidR="00F51980" w:rsidRPr="00E2652F" w:rsidRDefault="00F51980" w:rsidP="00F51980">
      <w:pPr>
        <w:pStyle w:val="CH2"/>
      </w:pPr>
      <w:r w:rsidRPr="00E2652F">
        <w:tab/>
      </w:r>
      <w:r w:rsidRPr="00E2652F">
        <w:tab/>
      </w:r>
      <w:bookmarkStart w:id="32" w:name="_Toc524355418"/>
      <w:r w:rsidRPr="00E2652F">
        <w:t>Canada</w:t>
      </w:r>
      <w:bookmarkEnd w:id="32"/>
    </w:p>
    <w:p w14:paraId="7D96817A" w14:textId="269901F6" w:rsidR="00F51980" w:rsidRPr="00E2652F" w:rsidRDefault="00F51980" w:rsidP="00F51980">
      <w:pPr>
        <w:pStyle w:val="Normal-pool"/>
        <w:tabs>
          <w:tab w:val="clear" w:pos="1247"/>
          <w:tab w:val="clear" w:pos="1814"/>
          <w:tab w:val="clear" w:pos="2381"/>
          <w:tab w:val="clear" w:pos="2948"/>
          <w:tab w:val="clear" w:pos="3515"/>
          <w:tab w:val="clear" w:pos="4082"/>
          <w:tab w:val="left" w:pos="624"/>
        </w:tabs>
        <w:spacing w:after="120"/>
        <w:ind w:left="1247"/>
      </w:pPr>
      <w:r w:rsidRPr="00E2652F">
        <w:t xml:space="preserve">Health Canada has developed guidance on environmental and workplace health, available at </w:t>
      </w:r>
      <w:hyperlink r:id="rId25" w:history="1">
        <w:r w:rsidR="00E82E5A" w:rsidRPr="00E2652F">
          <w:rPr>
            <w:rStyle w:val="Hyperlink"/>
            <w:lang w:val="en-GB"/>
          </w:rPr>
          <w:t>https://www.canada.ca/en/health-canada/services/environmental-workplace-health/</w:t>
        </w:r>
        <w:r w:rsidR="00E82E5A" w:rsidRPr="00E2652F">
          <w:rPr>
            <w:rStyle w:val="Hyperlink"/>
            <w:lang w:val="en-GB"/>
          </w:rPr>
          <w:br/>
          <w:t>contaminated-sites/guidance-documents.html</w:t>
        </w:r>
      </w:hyperlink>
      <w:r w:rsidRPr="00E2652F">
        <w:t>.</w:t>
      </w:r>
    </w:p>
    <w:p w14:paraId="11F22F57" w14:textId="44E4B433" w:rsidR="00F51980" w:rsidRPr="00E2652F" w:rsidRDefault="00F51980" w:rsidP="00F51980">
      <w:pPr>
        <w:pStyle w:val="Normal-pool"/>
        <w:tabs>
          <w:tab w:val="clear" w:pos="1247"/>
          <w:tab w:val="clear" w:pos="1814"/>
          <w:tab w:val="clear" w:pos="2381"/>
          <w:tab w:val="clear" w:pos="2948"/>
          <w:tab w:val="clear" w:pos="3515"/>
          <w:tab w:val="clear" w:pos="4082"/>
          <w:tab w:val="left" w:pos="624"/>
        </w:tabs>
        <w:spacing w:after="120"/>
        <w:ind w:left="1247"/>
      </w:pPr>
      <w:r w:rsidRPr="00E2652F">
        <w:t xml:space="preserve">Information on health effects of mercury is available from Health Canada at </w:t>
      </w:r>
      <w:hyperlink r:id="rId26" w:history="1">
        <w:r w:rsidR="000B38FD" w:rsidRPr="00E2652F">
          <w:rPr>
            <w:rStyle w:val="Hyperlink"/>
            <w:lang w:val="en-GB"/>
          </w:rPr>
          <w:t>https://www.canada.ca/en/health-canada/services/healthy-living/your-health/environment/</w:t>
        </w:r>
        <w:r w:rsidR="000B38FD" w:rsidRPr="00E2652F">
          <w:rPr>
            <w:rStyle w:val="Hyperlink"/>
            <w:lang w:val="en-GB"/>
          </w:rPr>
          <w:br/>
          <w:t>mercury-human-health.html</w:t>
        </w:r>
      </w:hyperlink>
      <w:r w:rsidRPr="00E2652F">
        <w:t>.</w:t>
      </w:r>
    </w:p>
    <w:p w14:paraId="130EE690" w14:textId="77777777" w:rsidR="00F51980" w:rsidRPr="00E2652F" w:rsidRDefault="00F51980" w:rsidP="00F51980">
      <w:pPr>
        <w:pStyle w:val="Normal-pool"/>
        <w:tabs>
          <w:tab w:val="clear" w:pos="1247"/>
          <w:tab w:val="clear" w:pos="1814"/>
          <w:tab w:val="clear" w:pos="2381"/>
          <w:tab w:val="clear" w:pos="2948"/>
          <w:tab w:val="clear" w:pos="3515"/>
          <w:tab w:val="clear" w:pos="4082"/>
          <w:tab w:val="left" w:pos="624"/>
        </w:tabs>
        <w:spacing w:after="120"/>
        <w:ind w:left="1247"/>
      </w:pPr>
      <w:r w:rsidRPr="00E2652F">
        <w:t>Technical information relating to drinking water guidelines is available at https://www.canada.ca/en/health-canada/services/publications/healthy-living/guidelines-canadian-drinking-water-quality-guideline-technical-document-mercury.html.</w:t>
      </w:r>
    </w:p>
    <w:p w14:paraId="3DAFE081" w14:textId="77777777" w:rsidR="00F51980" w:rsidRPr="00E2652F" w:rsidRDefault="00F51980" w:rsidP="00F51980">
      <w:r w:rsidRPr="00E2652F">
        <w:br w:type="page"/>
      </w:r>
    </w:p>
    <w:p w14:paraId="1F448590" w14:textId="77777777" w:rsidR="00F51980" w:rsidRPr="00E2652F" w:rsidRDefault="00F51980" w:rsidP="00F51980">
      <w:pPr>
        <w:pStyle w:val="CH1"/>
      </w:pPr>
      <w:bookmarkStart w:id="33" w:name="_Toc524355419"/>
      <w:r w:rsidRPr="00E2652F">
        <w:t>Appendix II</w:t>
      </w:r>
      <w:bookmarkEnd w:id="33"/>
    </w:p>
    <w:p w14:paraId="22C4B0D8" w14:textId="77777777" w:rsidR="00F51980" w:rsidRPr="00E2652F" w:rsidRDefault="00F51980" w:rsidP="00F51980">
      <w:pPr>
        <w:pStyle w:val="ZZAnxtitle"/>
      </w:pPr>
      <w:bookmarkStart w:id="34" w:name="_Toc524355420"/>
      <w:r w:rsidRPr="00E2652F">
        <w:t>Framework and initial decision tree for management of contaminated sites</w:t>
      </w:r>
      <w:bookmarkEnd w:id="34"/>
    </w:p>
    <w:p w14:paraId="6EC1058A" w14:textId="77777777" w:rsidR="00F51980" w:rsidRPr="00E2652F" w:rsidRDefault="00F51980" w:rsidP="00F51980">
      <w:pPr>
        <w:pStyle w:val="Normal-pool"/>
        <w:tabs>
          <w:tab w:val="clear" w:pos="1247"/>
          <w:tab w:val="clear" w:pos="1814"/>
          <w:tab w:val="clear" w:pos="2381"/>
          <w:tab w:val="clear" w:pos="2948"/>
          <w:tab w:val="clear" w:pos="3515"/>
          <w:tab w:val="clear" w:pos="4082"/>
          <w:tab w:val="left" w:pos="624"/>
        </w:tabs>
        <w:spacing w:after="120"/>
        <w:ind w:left="1247"/>
        <w:rPr>
          <w:i/>
        </w:rPr>
      </w:pPr>
      <w:r w:rsidRPr="00E2652F">
        <w:rPr>
          <w:i/>
        </w:rPr>
        <w:t xml:space="preserve">To be developed following the second meeting of the Conference of the Parties to the Minamata Convention on Mercury. </w:t>
      </w:r>
    </w:p>
    <w:p w14:paraId="3C275147" w14:textId="77777777" w:rsidR="00F252EE" w:rsidRPr="00E2652F" w:rsidRDefault="00F252EE" w:rsidP="00F51980">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520198" w:rsidRPr="00E2652F" w14:paraId="77A5CC99" w14:textId="77777777" w:rsidTr="00F51980">
        <w:tc>
          <w:tcPr>
            <w:tcW w:w="1942" w:type="dxa"/>
          </w:tcPr>
          <w:p w14:paraId="6672E6CB" w14:textId="77777777" w:rsidR="00520198" w:rsidRPr="00E2652F" w:rsidRDefault="00520198" w:rsidP="00F51980">
            <w:pPr>
              <w:pStyle w:val="Normal-pool"/>
              <w:spacing w:before="520"/>
            </w:pPr>
          </w:p>
        </w:tc>
        <w:tc>
          <w:tcPr>
            <w:tcW w:w="1942" w:type="dxa"/>
          </w:tcPr>
          <w:p w14:paraId="610CE3EB" w14:textId="77777777" w:rsidR="00520198" w:rsidRPr="00E2652F" w:rsidRDefault="00520198" w:rsidP="00F51980">
            <w:pPr>
              <w:pStyle w:val="Normal-pool"/>
              <w:spacing w:before="520"/>
            </w:pPr>
          </w:p>
        </w:tc>
        <w:tc>
          <w:tcPr>
            <w:tcW w:w="1942" w:type="dxa"/>
            <w:tcBorders>
              <w:bottom w:val="single" w:sz="4" w:space="0" w:color="auto"/>
            </w:tcBorders>
          </w:tcPr>
          <w:p w14:paraId="469096F9" w14:textId="77777777" w:rsidR="00520198" w:rsidRPr="00E2652F" w:rsidRDefault="00520198" w:rsidP="00F51980">
            <w:pPr>
              <w:pStyle w:val="Normal-pool"/>
              <w:spacing w:before="520"/>
            </w:pPr>
          </w:p>
        </w:tc>
        <w:tc>
          <w:tcPr>
            <w:tcW w:w="1943" w:type="dxa"/>
          </w:tcPr>
          <w:p w14:paraId="33FC97D0" w14:textId="77777777" w:rsidR="00520198" w:rsidRPr="00E2652F" w:rsidRDefault="00520198" w:rsidP="00F51980">
            <w:pPr>
              <w:pStyle w:val="Normal-pool"/>
              <w:spacing w:before="520"/>
            </w:pPr>
          </w:p>
        </w:tc>
        <w:tc>
          <w:tcPr>
            <w:tcW w:w="1943" w:type="dxa"/>
          </w:tcPr>
          <w:p w14:paraId="7C58D9BB" w14:textId="77777777" w:rsidR="00520198" w:rsidRPr="00E2652F" w:rsidRDefault="00520198" w:rsidP="00F51980">
            <w:pPr>
              <w:pStyle w:val="Normal-pool"/>
              <w:spacing w:before="520"/>
            </w:pPr>
          </w:p>
        </w:tc>
      </w:tr>
    </w:tbl>
    <w:p w14:paraId="050971F4" w14:textId="77777777" w:rsidR="00F252EE" w:rsidRPr="00E2652F" w:rsidRDefault="00F252EE" w:rsidP="00F51980">
      <w:pPr>
        <w:pStyle w:val="Normal-pool"/>
      </w:pPr>
    </w:p>
    <w:p w14:paraId="6FFBA8BE" w14:textId="77777777" w:rsidR="00E2652F" w:rsidRPr="00E2652F" w:rsidRDefault="00E2652F">
      <w:pPr>
        <w:pStyle w:val="Normal-pool"/>
      </w:pPr>
    </w:p>
    <w:sectPr w:rsidR="00E2652F" w:rsidRPr="00E2652F" w:rsidSect="00E429A9">
      <w:headerReference w:type="even" r:id="rId27"/>
      <w:headerReference w:type="default" r:id="rId28"/>
      <w:headerReference w:type="first" r:id="rId29"/>
      <w:footerReference w:type="first" r:id="rId30"/>
      <w:pgSz w:w="11906" w:h="16838" w:code="9"/>
      <w:pgMar w:top="907" w:right="992" w:bottom="1418" w:left="1418" w:header="539" w:footer="975" w:gutter="0"/>
      <w:cols w:space="539"/>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4F706" w16cid:durableId="1F37F514"/>
  <w16cid:commentId w16cid:paraId="5804C374" w16cid:durableId="1F3B0406"/>
  <w16cid:commentId w16cid:paraId="07CD1285" w16cid:durableId="1F3A956C"/>
  <w16cid:commentId w16cid:paraId="07AC2EF2" w16cid:durableId="1F37F37D"/>
  <w16cid:commentId w16cid:paraId="35C57708" w16cid:durableId="1F3A95B1"/>
  <w16cid:commentId w16cid:paraId="64A12E64" w16cid:durableId="1F37F37E"/>
  <w16cid:commentId w16cid:paraId="243DFF94" w16cid:durableId="1F3A95B7"/>
  <w16cid:commentId w16cid:paraId="75EE8AA2" w16cid:durableId="1F3A96F3"/>
  <w16cid:commentId w16cid:paraId="603505B5" w16cid:durableId="1F37F37F"/>
  <w16cid:commentId w16cid:paraId="33F10CFB" w16cid:durableId="1F3A9745"/>
  <w16cid:commentId w16cid:paraId="17CDD7CA" w16cid:durableId="1F3A98D6"/>
  <w16cid:commentId w16cid:paraId="6C997EC4" w16cid:durableId="1F3A99E2"/>
  <w16cid:commentId w16cid:paraId="5F4BA2DD" w16cid:durableId="1F3B043F"/>
  <w16cid:commentId w16cid:paraId="2E4036C8" w16cid:durableId="1F3B0594"/>
  <w16cid:commentId w16cid:paraId="6DC2CF95" w16cid:durableId="1F3B08AD"/>
  <w16cid:commentId w16cid:paraId="2A37C98F" w16cid:durableId="1F3B0967"/>
  <w16cid:commentId w16cid:paraId="48182360" w16cid:durableId="1F3B0DDE"/>
  <w16cid:commentId w16cid:paraId="3386C969" w16cid:durableId="1F3B0DF0"/>
  <w16cid:commentId w16cid:paraId="69ACDD93" w16cid:durableId="1F3B0E6E"/>
  <w16cid:commentId w16cid:paraId="4D289D99" w16cid:durableId="1F3B0EF1"/>
  <w16cid:commentId w16cid:paraId="4397AA1A" w16cid:durableId="1F3B1069"/>
  <w16cid:commentId w16cid:paraId="4977E75F" w16cid:durableId="1F3B13E1"/>
  <w16cid:commentId w16cid:paraId="67C8103E" w16cid:durableId="1F3B1420"/>
  <w16cid:commentId w16cid:paraId="686DF47A" w16cid:durableId="1F3B2043"/>
  <w16cid:commentId w16cid:paraId="68F53975" w16cid:durableId="1F3B14CB"/>
  <w16cid:commentId w16cid:paraId="65453CDE" w16cid:durableId="1F3B2057"/>
  <w16cid:commentId w16cid:paraId="786D493A" w16cid:durableId="1F3B2066"/>
  <w16cid:commentId w16cid:paraId="54532CFC" w16cid:durableId="1F3B17AE"/>
  <w16cid:commentId w16cid:paraId="5AE9DA84" w16cid:durableId="1F3B176E"/>
  <w16cid:commentId w16cid:paraId="72BDF9A5" w16cid:durableId="1F3B183C"/>
  <w16cid:commentId w16cid:paraId="05BB52B1" w16cid:durableId="1F3B1941"/>
  <w16cid:commentId w16cid:paraId="3FA88F6C" w16cid:durableId="1F3B1A3A"/>
  <w16cid:commentId w16cid:paraId="4101BF33" w16cid:durableId="1F3B1DD9"/>
  <w16cid:commentId w16cid:paraId="67D05493" w16cid:durableId="1F3B1E4C"/>
  <w16cid:commentId w16cid:paraId="75CBBEAC" w16cid:durableId="1F3B2075"/>
  <w16cid:commentId w16cid:paraId="4A245BD1" w16cid:durableId="1F3B1FD4"/>
  <w16cid:commentId w16cid:paraId="642609E1" w16cid:durableId="1F3B223F"/>
  <w16cid:commentId w16cid:paraId="119C44A3" w16cid:durableId="1F37F380"/>
  <w16cid:commentId w16cid:paraId="4269D3D1" w16cid:durableId="1F3B36DE"/>
  <w16cid:commentId w16cid:paraId="0566DCAF" w16cid:durableId="1F3B237F"/>
  <w16cid:commentId w16cid:paraId="541E0FAC" w16cid:durableId="1F3B26C2"/>
  <w16cid:commentId w16cid:paraId="263458BF" w16cid:durableId="1F3B208A"/>
  <w16cid:commentId w16cid:paraId="006574C7" w16cid:durableId="1F3B27C7"/>
  <w16cid:commentId w16cid:paraId="357C8B5B" w16cid:durableId="1F3B28EC"/>
  <w16cid:commentId w16cid:paraId="11792E7F" w16cid:durableId="1F3B290D"/>
  <w16cid:commentId w16cid:paraId="3D16143B" w16cid:durableId="1F3B29FF"/>
  <w16cid:commentId w16cid:paraId="7F823229" w16cid:durableId="1F3B2BEA"/>
  <w16cid:commentId w16cid:paraId="490BFA1B" w16cid:durableId="1F3B2B48"/>
  <w16cid:commentId w16cid:paraId="4DD86537" w16cid:durableId="1F3B2B5E"/>
  <w16cid:commentId w16cid:paraId="2E6243C9" w16cid:durableId="1F3B2CEC"/>
  <w16cid:commentId w16cid:paraId="50D599A2" w16cid:durableId="1F3B2DDE"/>
  <w16cid:commentId w16cid:paraId="77BA318D" w16cid:durableId="1F3B2ED8"/>
  <w16cid:commentId w16cid:paraId="562234ED" w16cid:durableId="1F3B2F8D"/>
  <w16cid:commentId w16cid:paraId="719B26C7" w16cid:durableId="1F3B3080"/>
  <w16cid:commentId w16cid:paraId="327E936C" w16cid:durableId="1F3B3202"/>
  <w16cid:commentId w16cid:paraId="1C475E60" w16cid:durableId="1F3B32A0"/>
  <w16cid:commentId w16cid:paraId="42D7CD59" w16cid:durableId="1F37F381"/>
  <w16cid:commentId w16cid:paraId="3F30BB96" w16cid:durableId="1F3B0CE1"/>
  <w16cid:commentId w16cid:paraId="39AA342D" w16cid:durableId="1F37F382"/>
  <w16cid:commentId w16cid:paraId="4E832AD2" w16cid:durableId="1F3B33CC"/>
  <w16cid:commentId w16cid:paraId="28394B36" w16cid:durableId="1F37F383"/>
  <w16cid:commentId w16cid:paraId="4911B5F8" w16cid:durableId="1F3B36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ED32A" w14:textId="77777777" w:rsidR="001763F6" w:rsidRDefault="001763F6">
      <w:r>
        <w:separator/>
      </w:r>
    </w:p>
  </w:endnote>
  <w:endnote w:type="continuationSeparator" w:id="0">
    <w:p w14:paraId="5F86464A" w14:textId="77777777" w:rsidR="001763F6" w:rsidRDefault="0017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552F6B7B" w:rsidR="00E82E5A" w:rsidRDefault="00E82E5A">
    <w:pPr>
      <w:pStyle w:val="Footer"/>
    </w:pPr>
    <w:r>
      <w:rPr>
        <w:rStyle w:val="PageNumber"/>
      </w:rPr>
      <w:fldChar w:fldCharType="begin"/>
    </w:r>
    <w:r>
      <w:rPr>
        <w:rStyle w:val="PageNumber"/>
      </w:rPr>
      <w:instrText xml:space="preserve"> PAGE </w:instrText>
    </w:r>
    <w:r>
      <w:rPr>
        <w:rStyle w:val="PageNumber"/>
      </w:rPr>
      <w:fldChar w:fldCharType="separate"/>
    </w:r>
    <w:r w:rsidR="002C317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6F3E7B21" w:rsidR="00E82E5A" w:rsidRDefault="00E82E5A"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2C317E">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C7E3F" w14:textId="5096350C" w:rsidR="00E82E5A" w:rsidRPr="00582B27" w:rsidRDefault="000D799F">
    <w:pPr>
      <w:pStyle w:val="Footer"/>
      <w:rPr>
        <w:sz w:val="20"/>
      </w:rPr>
    </w:pPr>
    <w:r>
      <w:rPr>
        <w:sz w:val="20"/>
      </w:rPr>
      <w:t>K1801934</w:t>
    </w:r>
    <w:r>
      <w:rPr>
        <w:sz w:val="20"/>
      </w:rPr>
      <w:tab/>
      <w:t>0410</w:t>
    </w:r>
    <w:r w:rsidR="00E82E5A" w:rsidRPr="00582B27">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685898"/>
      <w:docPartObj>
        <w:docPartGallery w:val="Page Numbers (Bottom of Page)"/>
        <w:docPartUnique/>
      </w:docPartObj>
    </w:sdtPr>
    <w:sdtEndPr>
      <w:rPr>
        <w:b/>
        <w:noProof/>
      </w:rPr>
    </w:sdtEndPr>
    <w:sdtContent>
      <w:p w14:paraId="695EF455" w14:textId="793C65F8" w:rsidR="00E82E5A" w:rsidRPr="00F51980" w:rsidRDefault="00E82E5A" w:rsidP="00F51980">
        <w:pPr>
          <w:pStyle w:val="Footer"/>
          <w:jc w:val="right"/>
          <w:rPr>
            <w:b/>
          </w:rPr>
        </w:pPr>
        <w:r w:rsidRPr="00F51980">
          <w:rPr>
            <w:b/>
          </w:rPr>
          <w:fldChar w:fldCharType="begin"/>
        </w:r>
        <w:r w:rsidRPr="00F51980">
          <w:rPr>
            <w:b/>
          </w:rPr>
          <w:instrText xml:space="preserve"> PAGE   \* MERGEFORMAT </w:instrText>
        </w:r>
        <w:r w:rsidRPr="00F51980">
          <w:rPr>
            <w:b/>
          </w:rPr>
          <w:fldChar w:fldCharType="separate"/>
        </w:r>
        <w:r w:rsidR="002C317E">
          <w:rPr>
            <w:b/>
            <w:noProof/>
          </w:rPr>
          <w:t>3</w:t>
        </w:r>
        <w:r w:rsidRPr="00F51980">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6A2DF" w14:textId="77777777" w:rsidR="001763F6" w:rsidRDefault="001763F6" w:rsidP="00E2652F">
      <w:pPr>
        <w:spacing w:before="60"/>
        <w:ind w:left="624"/>
      </w:pPr>
      <w:r>
        <w:separator/>
      </w:r>
    </w:p>
  </w:footnote>
  <w:footnote w:type="continuationSeparator" w:id="0">
    <w:p w14:paraId="2544C333" w14:textId="77777777" w:rsidR="001763F6" w:rsidRDefault="001763F6">
      <w:r>
        <w:continuationSeparator/>
      </w:r>
    </w:p>
  </w:footnote>
  <w:footnote w:id="1">
    <w:p w14:paraId="51864388" w14:textId="2C3F87F9" w:rsidR="00E82E5A" w:rsidRPr="001176CB" w:rsidRDefault="00E82E5A" w:rsidP="00E54866">
      <w:pPr>
        <w:tabs>
          <w:tab w:val="left" w:pos="624"/>
        </w:tabs>
        <w:spacing w:before="20" w:after="40"/>
        <w:ind w:left="1247"/>
        <w:rPr>
          <w:sz w:val="18"/>
          <w:szCs w:val="18"/>
        </w:rPr>
      </w:pPr>
      <w:r w:rsidRPr="001176CB">
        <w:rPr>
          <w:sz w:val="18"/>
          <w:szCs w:val="18"/>
        </w:rPr>
        <w:t>* UNEP/MC/COP.</w:t>
      </w:r>
      <w:r>
        <w:rPr>
          <w:sz w:val="18"/>
          <w:szCs w:val="18"/>
        </w:rPr>
        <w:t>2</w:t>
      </w:r>
      <w:r w:rsidRPr="001176CB">
        <w:rPr>
          <w:sz w:val="18"/>
          <w:szCs w:val="18"/>
        </w:rPr>
        <w:t>/1.</w:t>
      </w:r>
    </w:p>
  </w:footnote>
  <w:footnote w:id="2">
    <w:p w14:paraId="6B7E92B7" w14:textId="7140CA36" w:rsidR="00E82E5A" w:rsidRPr="00F51980" w:rsidRDefault="00E82E5A" w:rsidP="00520198">
      <w:pPr>
        <w:pStyle w:val="FootnoteText"/>
        <w:tabs>
          <w:tab w:val="clear" w:pos="1247"/>
        </w:tabs>
        <w:rPr>
          <w:szCs w:val="18"/>
          <w:lang w:val="en-AU"/>
        </w:rPr>
      </w:pPr>
      <w:r w:rsidRPr="00F51980">
        <w:rPr>
          <w:rStyle w:val="FootnoteReference"/>
          <w:sz w:val="18"/>
        </w:rPr>
        <w:footnoteRef/>
      </w:r>
      <w:r w:rsidRPr="00AB4DCF">
        <w:rPr>
          <w:szCs w:val="18"/>
          <w:lang w:val="en-US"/>
        </w:rPr>
        <w:t xml:space="preserve"> </w:t>
      </w:r>
      <w:r w:rsidRPr="00F51980">
        <w:rPr>
          <w:szCs w:val="18"/>
          <w:lang w:val="en-US"/>
        </w:rPr>
        <w:t xml:space="preserve">See, for example, </w:t>
      </w:r>
      <w:r w:rsidRPr="00F51980">
        <w:rPr>
          <w:szCs w:val="18"/>
          <w:lang w:val="en-AU"/>
        </w:rPr>
        <w:t>Government of Western Australia, Western Australian Contaminated Sites Act 2003, Part 2, Division 1, sect.11 (3), available at https://www.legislation.wa.gov.au.</w:t>
      </w:r>
    </w:p>
  </w:footnote>
  <w:footnote w:id="3">
    <w:p w14:paraId="71CF73AF" w14:textId="6CEB76E7" w:rsidR="00E82E5A" w:rsidRPr="00F51980" w:rsidRDefault="00E82E5A" w:rsidP="00F51980">
      <w:pPr>
        <w:pStyle w:val="CommentText"/>
        <w:spacing w:before="20" w:after="40"/>
        <w:ind w:left="1247"/>
        <w:rPr>
          <w:sz w:val="18"/>
          <w:szCs w:val="18"/>
        </w:rPr>
      </w:pPr>
      <w:r w:rsidRPr="00AB4DCF">
        <w:rPr>
          <w:rStyle w:val="FootnoteReference"/>
          <w:sz w:val="18"/>
        </w:rPr>
        <w:footnoteRef/>
      </w:r>
      <w:r w:rsidRPr="00AB4DCF">
        <w:rPr>
          <w:sz w:val="18"/>
          <w:szCs w:val="18"/>
        </w:rPr>
        <w:t xml:space="preserve"> </w:t>
      </w:r>
      <w:r w:rsidRPr="00F51980">
        <w:rPr>
          <w:sz w:val="18"/>
          <w:szCs w:val="18"/>
        </w:rPr>
        <w:t>Health Canada has also developed a tool for systematically developing a conceptual site model. The tool is available upon request from Health Canada’s Contaminated Sites Division, via https://www.canada.ca/en/health-canada/corporate/contact-us/contaminated-sites-division.html.</w:t>
      </w:r>
    </w:p>
  </w:footnote>
  <w:footnote w:id="4">
    <w:p w14:paraId="3E95EE7F" w14:textId="6F7F5DA6" w:rsidR="00E82E5A" w:rsidRPr="00F51980" w:rsidRDefault="00E82E5A" w:rsidP="00AB4DCF">
      <w:pPr>
        <w:pStyle w:val="FootnoteText"/>
        <w:tabs>
          <w:tab w:val="clear" w:pos="1247"/>
        </w:tabs>
        <w:rPr>
          <w:szCs w:val="18"/>
          <w:lang w:val="en-US"/>
        </w:rPr>
      </w:pPr>
      <w:r w:rsidRPr="00F51980">
        <w:rPr>
          <w:rStyle w:val="FootnoteReference"/>
          <w:sz w:val="18"/>
        </w:rPr>
        <w:footnoteRef/>
      </w:r>
      <w:r w:rsidRPr="00F51980">
        <w:rPr>
          <w:szCs w:val="18"/>
          <w:lang w:val="en-US"/>
        </w:rPr>
        <w:t xml:space="preserve"> See, for example, </w:t>
      </w:r>
      <w:hyperlink r:id="rId1" w:history="1">
        <w:r w:rsidRPr="00F51980">
          <w:rPr>
            <w:rStyle w:val="Hyperlink"/>
            <w:sz w:val="18"/>
            <w:szCs w:val="18"/>
            <w:lang w:val="en-US"/>
          </w:rPr>
          <w:t>https://www.epa.gov/risk/regional-screening-levels-rsls-generic-tables</w:t>
        </w:r>
      </w:hyperlink>
      <w:r w:rsidRPr="00F51980">
        <w:rPr>
          <w:rStyle w:val="Hyperlink"/>
          <w:sz w:val="18"/>
          <w:szCs w:val="18"/>
          <w:lang w:val="en-US"/>
        </w:rPr>
        <w:t>.</w:t>
      </w:r>
    </w:p>
  </w:footnote>
  <w:footnote w:id="5">
    <w:p w14:paraId="18EB4399" w14:textId="08C3C055" w:rsidR="00E82E5A" w:rsidRPr="00F51980" w:rsidRDefault="00E82E5A" w:rsidP="00975ED3">
      <w:pPr>
        <w:pStyle w:val="FootnoteText"/>
        <w:tabs>
          <w:tab w:val="clear" w:pos="1247"/>
        </w:tabs>
        <w:rPr>
          <w:szCs w:val="18"/>
          <w:lang w:val="en-US"/>
        </w:rPr>
      </w:pPr>
      <w:r w:rsidRPr="00F51980">
        <w:rPr>
          <w:rStyle w:val="FootnoteReference"/>
          <w:sz w:val="18"/>
        </w:rPr>
        <w:footnoteRef/>
      </w:r>
      <w:r w:rsidRPr="00AB4DCF">
        <w:rPr>
          <w:szCs w:val="18"/>
          <w:lang w:val="en-US"/>
        </w:rPr>
        <w:t xml:space="preserve"> </w:t>
      </w:r>
      <w:r w:rsidRPr="00F51980">
        <w:rPr>
          <w:szCs w:val="18"/>
          <w:lang w:val="en-US"/>
        </w:rPr>
        <w:t>See, for example, https://www.epa.gov/superfund/superfund-community-involvement-tools-and-resources.</w:t>
      </w:r>
    </w:p>
  </w:footnote>
  <w:footnote w:id="6">
    <w:p w14:paraId="2F99D617" w14:textId="4BFF60AD" w:rsidR="00E82E5A" w:rsidRPr="00C3505F" w:rsidRDefault="00E82E5A">
      <w:pPr>
        <w:pStyle w:val="FootnoteText"/>
        <w:rPr>
          <w:lang w:val="en-GB"/>
        </w:rPr>
      </w:pPr>
      <w:r>
        <w:rPr>
          <w:rStyle w:val="FootnoteReference"/>
        </w:rPr>
        <w:footnoteRef/>
      </w:r>
      <w:r w:rsidRPr="00C3505F">
        <w:rPr>
          <w:lang w:val="en-GB"/>
        </w:rPr>
        <w:t xml:space="preserve"> </w:t>
      </w:r>
      <w:r w:rsidRPr="00C3505F">
        <w:rPr>
          <w:sz w:val="16"/>
          <w:szCs w:val="16"/>
          <w:lang w:val="en-GB"/>
        </w:rPr>
        <w:t>http://www.mercuryconvention.org/Portals/11/documents/forms%20and%20guidance/English/BATBEP_introduction.pdf</w:t>
      </w:r>
      <w:r>
        <w:rPr>
          <w:sz w:val="16"/>
          <w:szCs w:val="16"/>
          <w:lang w:val="en-GB"/>
        </w:rPr>
        <w:t>.</w:t>
      </w:r>
    </w:p>
  </w:footnote>
  <w:footnote w:id="7">
    <w:p w14:paraId="709362C4" w14:textId="5DD7A258" w:rsidR="00E82E5A" w:rsidRPr="00C3505F" w:rsidRDefault="00E82E5A" w:rsidP="0055545E">
      <w:pPr>
        <w:pStyle w:val="FootnoteText"/>
        <w:rPr>
          <w:lang w:val="en-GB"/>
        </w:rPr>
      </w:pPr>
      <w:r>
        <w:rPr>
          <w:rStyle w:val="FootnoteReference"/>
        </w:rPr>
        <w:footnoteRef/>
      </w:r>
      <w:r w:rsidRPr="00C3505F">
        <w:rPr>
          <w:lang w:val="en-GB"/>
        </w:rPr>
        <w:t xml:space="preserve"> </w:t>
      </w:r>
      <w:r w:rsidRPr="00C3505F">
        <w:rPr>
          <w:sz w:val="16"/>
          <w:szCs w:val="16"/>
          <w:lang w:val="en-GB"/>
        </w:rPr>
        <w:t xml:space="preserve">CLARINET </w:t>
      </w:r>
      <w:r>
        <w:rPr>
          <w:sz w:val="16"/>
          <w:szCs w:val="16"/>
          <w:lang w:val="en-GB"/>
        </w:rPr>
        <w:t>–</w:t>
      </w:r>
      <w:r w:rsidRPr="00C3505F">
        <w:rPr>
          <w:sz w:val="16"/>
          <w:szCs w:val="16"/>
          <w:lang w:val="en-GB"/>
        </w:rPr>
        <w:t xml:space="preserve"> Contaminated Land Rehabilitation Network for Environmental Technologies (</w:t>
      </w:r>
      <w:hyperlink r:id="rId2" w:history="1">
        <w:r w:rsidRPr="00C3505F">
          <w:rPr>
            <w:rStyle w:val="Hyperlink"/>
            <w:sz w:val="16"/>
            <w:szCs w:val="16"/>
            <w:lang w:val="en-GB"/>
          </w:rPr>
          <w:t>https://www.commonforum.eu/references_clarinet.asp</w:t>
        </w:r>
      </w:hyperlink>
      <w:r w:rsidRPr="00C3505F">
        <w:rPr>
          <w:sz w:val="16"/>
          <w:szCs w:val="16"/>
          <w:lang w:val="en-GB"/>
        </w:rPr>
        <w:t>)</w:t>
      </w:r>
      <w:r>
        <w:rPr>
          <w:sz w:val="16"/>
          <w:szCs w:val="16"/>
          <w:lang w:val="en-GB"/>
        </w:rPr>
        <w:t>,</w:t>
      </w:r>
      <w:r w:rsidRPr="00C3505F">
        <w:rPr>
          <w:sz w:val="16"/>
          <w:szCs w:val="16"/>
          <w:lang w:val="en-GB"/>
        </w:rPr>
        <w:t xml:space="preserve"> and CARACAS </w:t>
      </w:r>
      <w:r>
        <w:rPr>
          <w:sz w:val="16"/>
          <w:szCs w:val="16"/>
          <w:lang w:val="en-GB"/>
        </w:rPr>
        <w:t>–</w:t>
      </w:r>
      <w:r w:rsidRPr="00C3505F">
        <w:rPr>
          <w:sz w:val="16"/>
          <w:szCs w:val="16"/>
          <w:lang w:val="en-GB"/>
        </w:rPr>
        <w:t xml:space="preserve"> Concerted Action for Risk Assessment for Contaminated Sites in Europe (https://www.commonforum.eu/references_caracas.asp)</w:t>
      </w:r>
      <w:r>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62FBD050" w:rsidR="00E82E5A" w:rsidRPr="00CA5CA9" w:rsidRDefault="00E82E5A"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71737A3B" w:rsidR="00E82E5A" w:rsidRPr="00CA5CA9" w:rsidRDefault="00E82E5A"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66F1BD66" w:rsidR="00E82E5A" w:rsidRPr="00AB4DCF" w:rsidRDefault="00E82E5A" w:rsidP="00F51980">
    <w:pPr>
      <w:pStyle w:val="Header"/>
      <w:pBdr>
        <w:bottom w:val="none" w:sz="0" w:space="0" w:color="auto"/>
      </w:pBdr>
      <w:jc w:val="right"/>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8611" w14:textId="08B89B0A" w:rsidR="00E82E5A" w:rsidRDefault="00E82E5A">
    <w:pPr>
      <w:pStyle w:val="Heade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88BF" w14:textId="2D208A81" w:rsidR="00E82E5A" w:rsidRDefault="00E82E5A" w:rsidP="0067260F">
    <w:pPr>
      <w:pStyle w:val="Header"/>
      <w:jc w:val="right"/>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DA1E" w14:textId="76251C39" w:rsidR="00E82E5A" w:rsidRDefault="00E82E5A" w:rsidP="0067260F">
    <w:pPr>
      <w:pStyle w:val="Header"/>
      <w:jc w:val="right"/>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AE4"/>
    <w:multiLevelType w:val="hybridMultilevel"/>
    <w:tmpl w:val="E54AC2BC"/>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04420B23"/>
    <w:multiLevelType w:val="hybridMultilevel"/>
    <w:tmpl w:val="1A103CF8"/>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 w15:restartNumberingAfterBreak="0">
    <w:nsid w:val="108C7D43"/>
    <w:multiLevelType w:val="hybridMultilevel"/>
    <w:tmpl w:val="52BC747A"/>
    <w:lvl w:ilvl="0" w:tplc="06C068FE">
      <w:start w:val="1"/>
      <w:numFmt w:val="decimal"/>
      <w:lvlText w:val="%1."/>
      <w:lvlJc w:val="left"/>
      <w:pPr>
        <w:ind w:left="1920" w:hanging="360"/>
      </w:pPr>
      <w:rPr>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15:restartNumberingAfterBreak="0">
    <w:nsid w:val="185B7F38"/>
    <w:multiLevelType w:val="hybridMultilevel"/>
    <w:tmpl w:val="EDC2B1B4"/>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 w15:restartNumberingAfterBreak="0">
    <w:nsid w:val="19CA0FB5"/>
    <w:multiLevelType w:val="hybridMultilevel"/>
    <w:tmpl w:val="8292853A"/>
    <w:lvl w:ilvl="0" w:tplc="7E1A289E">
      <w:start w:val="33"/>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1E085EE2"/>
    <w:multiLevelType w:val="hybridMultilevel"/>
    <w:tmpl w:val="872E735C"/>
    <w:lvl w:ilvl="0" w:tplc="FC62D3A0">
      <w:start w:val="1"/>
      <w:numFmt w:val="decimal"/>
      <w:lvlText w:val="%1."/>
      <w:lvlJc w:val="left"/>
      <w:pPr>
        <w:ind w:left="1817" w:hanging="570"/>
      </w:pPr>
      <w:rPr>
        <w:rFonts w:hint="default"/>
        <w:i/>
      </w:rPr>
    </w:lvl>
    <w:lvl w:ilvl="1" w:tplc="0F7674F2">
      <w:start w:val="1"/>
      <w:numFmt w:val="lowerLetter"/>
      <w:lvlText w:val="(%2)"/>
      <w:lvlJc w:val="left"/>
      <w:pPr>
        <w:ind w:left="2327" w:hanging="360"/>
      </w:pPr>
      <w:rPr>
        <w:rFonts w:ascii="Times New Roman" w:hAnsi="Times New Roman"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7" w15:restartNumberingAfterBreak="0">
    <w:nsid w:val="1F634655"/>
    <w:multiLevelType w:val="hybridMultilevel"/>
    <w:tmpl w:val="3076A02E"/>
    <w:lvl w:ilvl="0" w:tplc="FC62D3A0">
      <w:start w:val="1"/>
      <w:numFmt w:val="decimal"/>
      <w:lvlText w:val="%1."/>
      <w:lvlJc w:val="left"/>
      <w:pPr>
        <w:ind w:left="1817" w:hanging="570"/>
      </w:pPr>
      <w:rPr>
        <w:rFonts w:hint="default"/>
        <w:i/>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8" w15:restartNumberingAfterBreak="0">
    <w:nsid w:val="1FE4137B"/>
    <w:multiLevelType w:val="hybridMultilevel"/>
    <w:tmpl w:val="CE2E3100"/>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9" w15:restartNumberingAfterBreak="0">
    <w:nsid w:val="201C7F90"/>
    <w:multiLevelType w:val="hybridMultilevel"/>
    <w:tmpl w:val="A1BC2F74"/>
    <w:lvl w:ilvl="0" w:tplc="005ABD78">
      <w:start w:val="1"/>
      <w:numFmt w:val="decimal"/>
      <w:pStyle w:val="Normalnumber"/>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 w15:restartNumberingAfterBreak="0">
    <w:nsid w:val="21090D12"/>
    <w:multiLevelType w:val="hybridMultilevel"/>
    <w:tmpl w:val="65A87374"/>
    <w:lvl w:ilvl="0" w:tplc="EE68D482">
      <w:start w:val="1"/>
      <w:numFmt w:val="decimal"/>
      <w:lvlText w:val="%1."/>
      <w:lvlJc w:val="left"/>
      <w:pPr>
        <w:ind w:left="2162" w:hanging="720"/>
      </w:pPr>
      <w:rPr>
        <w:rFonts w:hint="default"/>
      </w:rPr>
    </w:lvl>
    <w:lvl w:ilvl="1" w:tplc="B1326CB2">
      <w:start w:val="1"/>
      <w:numFmt w:val="lowerLetter"/>
      <w:lvlText w:val="(%2)"/>
      <w:lvlJc w:val="left"/>
      <w:pPr>
        <w:ind w:left="2522" w:hanging="360"/>
      </w:pPr>
      <w:rPr>
        <w:rFonts w:ascii="Times New Roman" w:hAnsi="Times New Roman"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1" w15:restartNumberingAfterBreak="0">
    <w:nsid w:val="21EF0853"/>
    <w:multiLevelType w:val="hybridMultilevel"/>
    <w:tmpl w:val="715AE860"/>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2" w15:restartNumberingAfterBreak="0">
    <w:nsid w:val="251C5798"/>
    <w:multiLevelType w:val="hybridMultilevel"/>
    <w:tmpl w:val="097E68EE"/>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4AE617F2"/>
    <w:multiLevelType w:val="hybridMultilevel"/>
    <w:tmpl w:val="A71C56EC"/>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A4D89"/>
    <w:multiLevelType w:val="hybridMultilevel"/>
    <w:tmpl w:val="B2923E8A"/>
    <w:lvl w:ilvl="0" w:tplc="7E1A289E">
      <w:start w:val="33"/>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6" w15:restartNumberingAfterBreak="0">
    <w:nsid w:val="4E747F45"/>
    <w:multiLevelType w:val="hybridMultilevel"/>
    <w:tmpl w:val="7CA2B58A"/>
    <w:lvl w:ilvl="0" w:tplc="EE68D482">
      <w:start w:val="1"/>
      <w:numFmt w:val="decimal"/>
      <w:lvlText w:val="%1."/>
      <w:lvlJc w:val="left"/>
      <w:pPr>
        <w:ind w:left="2162" w:hanging="720"/>
      </w:pPr>
      <w:rPr>
        <w:rFonts w:hint="default"/>
      </w:rPr>
    </w:lvl>
    <w:lvl w:ilvl="1" w:tplc="04090019">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7" w15:restartNumberingAfterBreak="0">
    <w:nsid w:val="4FC04293"/>
    <w:multiLevelType w:val="hybridMultilevel"/>
    <w:tmpl w:val="9A52B35E"/>
    <w:lvl w:ilvl="0" w:tplc="01AA33D6">
      <w:start w:val="1"/>
      <w:numFmt w:val="decimal"/>
      <w:lvlText w:val="%1."/>
      <w:lvlJc w:val="left"/>
      <w:pPr>
        <w:ind w:left="1920" w:hanging="360"/>
      </w:pPr>
      <w:rPr>
        <w:i w:val="0"/>
        <w:iCs w:val="0"/>
      </w:rPr>
    </w:lvl>
    <w:lvl w:ilvl="1" w:tplc="10090001">
      <w:start w:val="1"/>
      <w:numFmt w:val="bullet"/>
      <w:lvlText w:val=""/>
      <w:lvlJc w:val="left"/>
      <w:pPr>
        <w:ind w:left="2687" w:hanging="360"/>
      </w:pPr>
      <w:rPr>
        <w:rFonts w:ascii="Symbol" w:hAnsi="Symbol"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8"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59281BC3"/>
    <w:multiLevelType w:val="hybridMultilevel"/>
    <w:tmpl w:val="48D20530"/>
    <w:lvl w:ilvl="0" w:tplc="B096E204">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0"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6BA20185"/>
    <w:multiLevelType w:val="hybridMultilevel"/>
    <w:tmpl w:val="B5EE0280"/>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2" w15:restartNumberingAfterBreak="0">
    <w:nsid w:val="76F44140"/>
    <w:multiLevelType w:val="hybridMultilevel"/>
    <w:tmpl w:val="659A4362"/>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num w:numId="1">
    <w:abstractNumId w:val="18"/>
  </w:num>
  <w:num w:numId="2">
    <w:abstractNumId w:val="5"/>
  </w:num>
  <w:num w:numId="3">
    <w:abstractNumId w:val="13"/>
  </w:num>
  <w:num w:numId="4">
    <w:abstractNumId w:val="18"/>
  </w:num>
  <w:num w:numId="5">
    <w:abstractNumId w:val="9"/>
  </w:num>
  <w:num w:numId="6">
    <w:abstractNumId w:val="7"/>
  </w:num>
  <w:num w:numId="7">
    <w:abstractNumId w:val="18"/>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20"/>
  </w:num>
  <w:num w:numId="9">
    <w:abstractNumId w:val="18"/>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19"/>
  </w:num>
  <w:num w:numId="11">
    <w:abstractNumId w:val="16"/>
  </w:num>
  <w:num w:numId="12">
    <w:abstractNumId w:val="2"/>
  </w:num>
  <w:num w:numId="13">
    <w:abstractNumId w:val="4"/>
  </w:num>
  <w:num w:numId="14">
    <w:abstractNumId w:val="6"/>
  </w:num>
  <w:num w:numId="15">
    <w:abstractNumId w:val="15"/>
  </w:num>
  <w:num w:numId="16">
    <w:abstractNumId w:val="11"/>
  </w:num>
  <w:num w:numId="17">
    <w:abstractNumId w:val="21"/>
  </w:num>
  <w:num w:numId="18">
    <w:abstractNumId w:val="0"/>
  </w:num>
  <w:num w:numId="19">
    <w:abstractNumId w:val="12"/>
  </w:num>
  <w:num w:numId="20">
    <w:abstractNumId w:val="22"/>
  </w:num>
  <w:num w:numId="21">
    <w:abstractNumId w:val="8"/>
  </w:num>
  <w:num w:numId="22">
    <w:abstractNumId w:val="10"/>
  </w:num>
  <w:num w:numId="23">
    <w:abstractNumId w:val="1"/>
  </w:num>
  <w:num w:numId="24">
    <w:abstractNumId w:val="3"/>
  </w:num>
  <w:num w:numId="25">
    <w:abstractNumId w:val="17"/>
  </w:num>
  <w:num w:numId="26">
    <w:abstractNumId w:val="14"/>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9"/>
  </w:num>
  <w:num w:numId="70">
    <w:abstractNumId w:val="9"/>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9"/>
  </w:num>
  <w:num w:numId="81">
    <w:abstractNumId w:val="9"/>
  </w:num>
  <w:num w:numId="82">
    <w:abstractNumId w:val="9"/>
  </w:num>
  <w:num w:numId="83">
    <w:abstractNumId w:val="9"/>
  </w:num>
  <w:num w:numId="84">
    <w:abstractNumId w:val="9"/>
  </w:num>
  <w:num w:numId="85">
    <w:abstractNumId w:val="9"/>
  </w:num>
  <w:num w:numId="86">
    <w:abstractNumId w:val="9"/>
  </w:num>
  <w:num w:numId="87">
    <w:abstractNumId w:val="9"/>
  </w:num>
  <w:num w:numId="88">
    <w:abstractNumId w:val="9"/>
  </w:num>
  <w:num w:numId="89">
    <w:abstractNumId w:val="9"/>
  </w:num>
  <w:num w:numId="90">
    <w:abstractNumId w:val="9"/>
  </w:num>
  <w:num w:numId="91">
    <w:abstractNumId w:val="9"/>
  </w:num>
  <w:num w:numId="92">
    <w:abstractNumId w:val="9"/>
  </w:num>
  <w:num w:numId="93">
    <w:abstractNumId w:val="9"/>
  </w:num>
  <w:num w:numId="94">
    <w:abstractNumId w:val="9"/>
  </w:num>
  <w:num w:numId="95">
    <w:abstractNumId w:val="9"/>
  </w:num>
  <w:num w:numId="96">
    <w:abstractNumId w:val="9"/>
  </w:num>
  <w:num w:numId="97">
    <w:abstractNumId w:val="9"/>
  </w:num>
  <w:num w:numId="98">
    <w:abstractNumId w:val="9"/>
  </w:num>
  <w:num w:numId="99">
    <w:abstractNumId w:val="9"/>
  </w:num>
  <w:num w:numId="100">
    <w:abstractNumId w:val="9"/>
  </w:num>
  <w:num w:numId="101">
    <w:abstractNumId w:val="9"/>
  </w:num>
  <w:num w:numId="102">
    <w:abstractNumId w:val="9"/>
  </w:num>
  <w:num w:numId="103">
    <w:abstractNumId w:val="9"/>
  </w:num>
  <w:num w:numId="104">
    <w:abstractNumId w:val="9"/>
  </w:num>
  <w:num w:numId="105">
    <w:abstractNumId w:val="9"/>
  </w:num>
  <w:num w:numId="106">
    <w:abstractNumId w:val="9"/>
  </w:num>
  <w:num w:numId="107">
    <w:abstractNumId w:val="9"/>
  </w:num>
  <w:num w:numId="108">
    <w:abstractNumId w:val="9"/>
  </w:num>
  <w:num w:numId="109">
    <w:abstractNumId w:val="9"/>
  </w:num>
  <w:num w:numId="110">
    <w:abstractNumId w:val="9"/>
  </w:num>
  <w:num w:numId="111">
    <w:abstractNumId w:val="9"/>
  </w:num>
  <w:num w:numId="112">
    <w:abstractNumId w:val="9"/>
  </w:num>
  <w:num w:numId="113">
    <w:abstractNumId w:val="9"/>
  </w:num>
  <w:num w:numId="114">
    <w:abstractNumId w:val="9"/>
  </w:num>
  <w:num w:numId="115">
    <w:abstractNumId w:val="9"/>
  </w:num>
  <w:num w:numId="116">
    <w:abstractNumId w:val="9"/>
  </w:num>
  <w:num w:numId="117">
    <w:abstractNumId w:val="9"/>
  </w:num>
  <w:num w:numId="118">
    <w:abstractNumId w:val="9"/>
  </w:num>
  <w:num w:numId="119">
    <w:abstractNumId w:val="9"/>
  </w:num>
  <w:num w:numId="120">
    <w:abstractNumId w:val="9"/>
  </w:num>
  <w:num w:numId="121">
    <w:abstractNumId w:val="9"/>
  </w:num>
  <w:num w:numId="122">
    <w:abstractNumId w:val="9"/>
  </w:num>
  <w:num w:numId="123">
    <w:abstractNumId w:val="9"/>
  </w:num>
  <w:num w:numId="124">
    <w:abstractNumId w:val="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AU"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1748"/>
    <w:rsid w:val="000024A3"/>
    <w:rsid w:val="000024AA"/>
    <w:rsid w:val="000057BB"/>
    <w:rsid w:val="000077AD"/>
    <w:rsid w:val="00011A16"/>
    <w:rsid w:val="000146A0"/>
    <w:rsid w:val="000149E6"/>
    <w:rsid w:val="00014CF3"/>
    <w:rsid w:val="00023DA9"/>
    <w:rsid w:val="000247B0"/>
    <w:rsid w:val="00026997"/>
    <w:rsid w:val="00026A08"/>
    <w:rsid w:val="00032E4E"/>
    <w:rsid w:val="00033E0B"/>
    <w:rsid w:val="00035ED3"/>
    <w:rsid w:val="00035EDE"/>
    <w:rsid w:val="000418A7"/>
    <w:rsid w:val="000509B4"/>
    <w:rsid w:val="00056F50"/>
    <w:rsid w:val="00057430"/>
    <w:rsid w:val="0006035B"/>
    <w:rsid w:val="0006096F"/>
    <w:rsid w:val="000649C5"/>
    <w:rsid w:val="00071886"/>
    <w:rsid w:val="000736D2"/>
    <w:rsid w:val="000742BC"/>
    <w:rsid w:val="00076243"/>
    <w:rsid w:val="00076CC6"/>
    <w:rsid w:val="00082A0C"/>
    <w:rsid w:val="00082C2F"/>
    <w:rsid w:val="00083504"/>
    <w:rsid w:val="0009640C"/>
    <w:rsid w:val="000A7C87"/>
    <w:rsid w:val="000B0923"/>
    <w:rsid w:val="000B22A2"/>
    <w:rsid w:val="000B38FD"/>
    <w:rsid w:val="000B541B"/>
    <w:rsid w:val="000B73F9"/>
    <w:rsid w:val="000C210F"/>
    <w:rsid w:val="000C2A52"/>
    <w:rsid w:val="000C2A88"/>
    <w:rsid w:val="000C2F3D"/>
    <w:rsid w:val="000C3080"/>
    <w:rsid w:val="000D33C0"/>
    <w:rsid w:val="000D4CF6"/>
    <w:rsid w:val="000D6941"/>
    <w:rsid w:val="000D799F"/>
    <w:rsid w:val="000F38EF"/>
    <w:rsid w:val="000F3DCD"/>
    <w:rsid w:val="000F4829"/>
    <w:rsid w:val="000F6B21"/>
    <w:rsid w:val="00102EFB"/>
    <w:rsid w:val="00113D37"/>
    <w:rsid w:val="001202E3"/>
    <w:rsid w:val="00123699"/>
    <w:rsid w:val="001241FB"/>
    <w:rsid w:val="001276F5"/>
    <w:rsid w:val="0013059D"/>
    <w:rsid w:val="00136187"/>
    <w:rsid w:val="001374A0"/>
    <w:rsid w:val="00141A55"/>
    <w:rsid w:val="0014293F"/>
    <w:rsid w:val="00143650"/>
    <w:rsid w:val="0014397D"/>
    <w:rsid w:val="001446A3"/>
    <w:rsid w:val="00146E90"/>
    <w:rsid w:val="00147ABC"/>
    <w:rsid w:val="00152B6B"/>
    <w:rsid w:val="00152C44"/>
    <w:rsid w:val="00155395"/>
    <w:rsid w:val="00155A2F"/>
    <w:rsid w:val="00156B6B"/>
    <w:rsid w:val="00160D74"/>
    <w:rsid w:val="001646EA"/>
    <w:rsid w:val="00165CAB"/>
    <w:rsid w:val="00167D02"/>
    <w:rsid w:val="001759D8"/>
    <w:rsid w:val="001763F6"/>
    <w:rsid w:val="00177D7F"/>
    <w:rsid w:val="00180A97"/>
    <w:rsid w:val="00180C3F"/>
    <w:rsid w:val="00181EC8"/>
    <w:rsid w:val="00182A25"/>
    <w:rsid w:val="00184349"/>
    <w:rsid w:val="001853EA"/>
    <w:rsid w:val="00191418"/>
    <w:rsid w:val="00195F33"/>
    <w:rsid w:val="00196BF6"/>
    <w:rsid w:val="001A3DCD"/>
    <w:rsid w:val="001A47E5"/>
    <w:rsid w:val="001A4A73"/>
    <w:rsid w:val="001B1617"/>
    <w:rsid w:val="001B504B"/>
    <w:rsid w:val="001B6F98"/>
    <w:rsid w:val="001C191A"/>
    <w:rsid w:val="001D2FB5"/>
    <w:rsid w:val="001D3874"/>
    <w:rsid w:val="001D7E75"/>
    <w:rsid w:val="001E0D73"/>
    <w:rsid w:val="001E45BD"/>
    <w:rsid w:val="001E5528"/>
    <w:rsid w:val="001E56D2"/>
    <w:rsid w:val="001E7899"/>
    <w:rsid w:val="001E7D56"/>
    <w:rsid w:val="001F46E1"/>
    <w:rsid w:val="001F5186"/>
    <w:rsid w:val="001F683A"/>
    <w:rsid w:val="001F75DE"/>
    <w:rsid w:val="00200D58"/>
    <w:rsid w:val="002011C1"/>
    <w:rsid w:val="002013BE"/>
    <w:rsid w:val="00201EDC"/>
    <w:rsid w:val="0020513E"/>
    <w:rsid w:val="002063A4"/>
    <w:rsid w:val="0021145B"/>
    <w:rsid w:val="0021302D"/>
    <w:rsid w:val="00220C23"/>
    <w:rsid w:val="002247F6"/>
    <w:rsid w:val="00225E21"/>
    <w:rsid w:val="00225E44"/>
    <w:rsid w:val="002329D2"/>
    <w:rsid w:val="00234E78"/>
    <w:rsid w:val="00243D36"/>
    <w:rsid w:val="00245B8F"/>
    <w:rsid w:val="00246151"/>
    <w:rsid w:val="00247707"/>
    <w:rsid w:val="00252456"/>
    <w:rsid w:val="00252DD4"/>
    <w:rsid w:val="0026018E"/>
    <w:rsid w:val="00286740"/>
    <w:rsid w:val="00290163"/>
    <w:rsid w:val="00291719"/>
    <w:rsid w:val="00291EAE"/>
    <w:rsid w:val="002929D8"/>
    <w:rsid w:val="002A237D"/>
    <w:rsid w:val="002A38C5"/>
    <w:rsid w:val="002A4C53"/>
    <w:rsid w:val="002B0672"/>
    <w:rsid w:val="002B247F"/>
    <w:rsid w:val="002B50D4"/>
    <w:rsid w:val="002B58BF"/>
    <w:rsid w:val="002C0BE8"/>
    <w:rsid w:val="002C145D"/>
    <w:rsid w:val="002C2C3E"/>
    <w:rsid w:val="002C317E"/>
    <w:rsid w:val="002C533E"/>
    <w:rsid w:val="002D027F"/>
    <w:rsid w:val="002D3E15"/>
    <w:rsid w:val="002D7A85"/>
    <w:rsid w:val="002D7B60"/>
    <w:rsid w:val="002F4761"/>
    <w:rsid w:val="002F5C79"/>
    <w:rsid w:val="002F673C"/>
    <w:rsid w:val="002F68EE"/>
    <w:rsid w:val="00301201"/>
    <w:rsid w:val="003019E2"/>
    <w:rsid w:val="00301F71"/>
    <w:rsid w:val="00310BEB"/>
    <w:rsid w:val="0031413F"/>
    <w:rsid w:val="003141E2"/>
    <w:rsid w:val="00314854"/>
    <w:rsid w:val="003148BB"/>
    <w:rsid w:val="00317976"/>
    <w:rsid w:val="00320F2F"/>
    <w:rsid w:val="0032457E"/>
    <w:rsid w:val="00325D38"/>
    <w:rsid w:val="0034126E"/>
    <w:rsid w:val="00350EF3"/>
    <w:rsid w:val="0035277E"/>
    <w:rsid w:val="00355EA9"/>
    <w:rsid w:val="003578DE"/>
    <w:rsid w:val="00361688"/>
    <w:rsid w:val="0036598C"/>
    <w:rsid w:val="00366A69"/>
    <w:rsid w:val="00367FD2"/>
    <w:rsid w:val="00371146"/>
    <w:rsid w:val="00371A19"/>
    <w:rsid w:val="00380921"/>
    <w:rsid w:val="00380A7F"/>
    <w:rsid w:val="003877D5"/>
    <w:rsid w:val="003922EC"/>
    <w:rsid w:val="003929B8"/>
    <w:rsid w:val="00393432"/>
    <w:rsid w:val="00396257"/>
    <w:rsid w:val="00397EB8"/>
    <w:rsid w:val="003A4FD0"/>
    <w:rsid w:val="003A69D1"/>
    <w:rsid w:val="003A6A4A"/>
    <w:rsid w:val="003A7705"/>
    <w:rsid w:val="003A77F1"/>
    <w:rsid w:val="003B1545"/>
    <w:rsid w:val="003C3219"/>
    <w:rsid w:val="003C409D"/>
    <w:rsid w:val="003C4544"/>
    <w:rsid w:val="003C5583"/>
    <w:rsid w:val="003C5BA6"/>
    <w:rsid w:val="003C74CF"/>
    <w:rsid w:val="003D3752"/>
    <w:rsid w:val="003D7F95"/>
    <w:rsid w:val="003E1381"/>
    <w:rsid w:val="003E20F5"/>
    <w:rsid w:val="003E35DA"/>
    <w:rsid w:val="003E455D"/>
    <w:rsid w:val="003E7095"/>
    <w:rsid w:val="003F0E85"/>
    <w:rsid w:val="003F5EA4"/>
    <w:rsid w:val="0040318D"/>
    <w:rsid w:val="00410C55"/>
    <w:rsid w:val="00414A12"/>
    <w:rsid w:val="004156DC"/>
    <w:rsid w:val="00415CB5"/>
    <w:rsid w:val="00416854"/>
    <w:rsid w:val="00417725"/>
    <w:rsid w:val="0042266F"/>
    <w:rsid w:val="00423C21"/>
    <w:rsid w:val="00427FCB"/>
    <w:rsid w:val="00434321"/>
    <w:rsid w:val="0043782B"/>
    <w:rsid w:val="00437F26"/>
    <w:rsid w:val="00444097"/>
    <w:rsid w:val="00445487"/>
    <w:rsid w:val="00447E0D"/>
    <w:rsid w:val="0045314A"/>
    <w:rsid w:val="00453EA8"/>
    <w:rsid w:val="004544B4"/>
    <w:rsid w:val="00454769"/>
    <w:rsid w:val="004603A9"/>
    <w:rsid w:val="0046132F"/>
    <w:rsid w:val="00466991"/>
    <w:rsid w:val="0047033B"/>
    <w:rsid w:val="0047064C"/>
    <w:rsid w:val="00475FC6"/>
    <w:rsid w:val="004760AE"/>
    <w:rsid w:val="00480343"/>
    <w:rsid w:val="004822B7"/>
    <w:rsid w:val="00482C5F"/>
    <w:rsid w:val="0048449A"/>
    <w:rsid w:val="004865BC"/>
    <w:rsid w:val="0049469E"/>
    <w:rsid w:val="00494D6C"/>
    <w:rsid w:val="00497AE4"/>
    <w:rsid w:val="004A1567"/>
    <w:rsid w:val="004A2217"/>
    <w:rsid w:val="004A24F9"/>
    <w:rsid w:val="004A37DD"/>
    <w:rsid w:val="004A42E1"/>
    <w:rsid w:val="004A72D0"/>
    <w:rsid w:val="004B162C"/>
    <w:rsid w:val="004B2ABE"/>
    <w:rsid w:val="004C3DBE"/>
    <w:rsid w:val="004C5C96"/>
    <w:rsid w:val="004D06A4"/>
    <w:rsid w:val="004E63A4"/>
    <w:rsid w:val="004F1A81"/>
    <w:rsid w:val="004F2261"/>
    <w:rsid w:val="004F3E7B"/>
    <w:rsid w:val="004F5D88"/>
    <w:rsid w:val="00501354"/>
    <w:rsid w:val="005034E9"/>
    <w:rsid w:val="005050D2"/>
    <w:rsid w:val="00520198"/>
    <w:rsid w:val="005218D9"/>
    <w:rsid w:val="00536186"/>
    <w:rsid w:val="00544CBB"/>
    <w:rsid w:val="00550634"/>
    <w:rsid w:val="00551B65"/>
    <w:rsid w:val="005524DC"/>
    <w:rsid w:val="0055540C"/>
    <w:rsid w:val="0055545E"/>
    <w:rsid w:val="005557F5"/>
    <w:rsid w:val="00556704"/>
    <w:rsid w:val="00560C66"/>
    <w:rsid w:val="00562BF7"/>
    <w:rsid w:val="005632F9"/>
    <w:rsid w:val="005656D7"/>
    <w:rsid w:val="0057315F"/>
    <w:rsid w:val="00576104"/>
    <w:rsid w:val="005763B1"/>
    <w:rsid w:val="00582B27"/>
    <w:rsid w:val="00586418"/>
    <w:rsid w:val="00587542"/>
    <w:rsid w:val="00590993"/>
    <w:rsid w:val="00592B21"/>
    <w:rsid w:val="005A111B"/>
    <w:rsid w:val="005B2DF4"/>
    <w:rsid w:val="005B44BF"/>
    <w:rsid w:val="005B4DC0"/>
    <w:rsid w:val="005B5AAC"/>
    <w:rsid w:val="005C67C8"/>
    <w:rsid w:val="005D0249"/>
    <w:rsid w:val="005D18FA"/>
    <w:rsid w:val="005D4FD4"/>
    <w:rsid w:val="005D61FE"/>
    <w:rsid w:val="005D6E8C"/>
    <w:rsid w:val="005E1491"/>
    <w:rsid w:val="005E3004"/>
    <w:rsid w:val="005E63BE"/>
    <w:rsid w:val="005F100C"/>
    <w:rsid w:val="005F1DE2"/>
    <w:rsid w:val="005F2AF3"/>
    <w:rsid w:val="005F68DA"/>
    <w:rsid w:val="005F7419"/>
    <w:rsid w:val="00601BC9"/>
    <w:rsid w:val="0060253A"/>
    <w:rsid w:val="0060773B"/>
    <w:rsid w:val="00607EAD"/>
    <w:rsid w:val="006111FE"/>
    <w:rsid w:val="00613C1D"/>
    <w:rsid w:val="00613FD6"/>
    <w:rsid w:val="006157B5"/>
    <w:rsid w:val="00617224"/>
    <w:rsid w:val="00626FC6"/>
    <w:rsid w:val="006303B4"/>
    <w:rsid w:val="00630ADC"/>
    <w:rsid w:val="00633D3D"/>
    <w:rsid w:val="00641703"/>
    <w:rsid w:val="006431A6"/>
    <w:rsid w:val="00643E3A"/>
    <w:rsid w:val="006459F6"/>
    <w:rsid w:val="006501AD"/>
    <w:rsid w:val="00651BFA"/>
    <w:rsid w:val="00651EC6"/>
    <w:rsid w:val="00654475"/>
    <w:rsid w:val="00656BB7"/>
    <w:rsid w:val="00656DF0"/>
    <w:rsid w:val="00661073"/>
    <w:rsid w:val="00665A4B"/>
    <w:rsid w:val="006663B8"/>
    <w:rsid w:val="00670FAE"/>
    <w:rsid w:val="0067260F"/>
    <w:rsid w:val="00680013"/>
    <w:rsid w:val="006803C8"/>
    <w:rsid w:val="00687F1D"/>
    <w:rsid w:val="00692277"/>
    <w:rsid w:val="00692E2A"/>
    <w:rsid w:val="0069496A"/>
    <w:rsid w:val="00696C1C"/>
    <w:rsid w:val="006A76F2"/>
    <w:rsid w:val="006B70F2"/>
    <w:rsid w:val="006B7D29"/>
    <w:rsid w:val="006C54C8"/>
    <w:rsid w:val="006D19D4"/>
    <w:rsid w:val="006D3300"/>
    <w:rsid w:val="006D4D70"/>
    <w:rsid w:val="006D51CD"/>
    <w:rsid w:val="006D5644"/>
    <w:rsid w:val="006D7EFB"/>
    <w:rsid w:val="006E0E27"/>
    <w:rsid w:val="006E6672"/>
    <w:rsid w:val="006E6722"/>
    <w:rsid w:val="006F0B6A"/>
    <w:rsid w:val="006F1A1B"/>
    <w:rsid w:val="006F26C2"/>
    <w:rsid w:val="006F7AFF"/>
    <w:rsid w:val="007027B9"/>
    <w:rsid w:val="00705848"/>
    <w:rsid w:val="007066B5"/>
    <w:rsid w:val="007145DA"/>
    <w:rsid w:val="00715E88"/>
    <w:rsid w:val="00716D8B"/>
    <w:rsid w:val="007260E0"/>
    <w:rsid w:val="00734CAA"/>
    <w:rsid w:val="00736373"/>
    <w:rsid w:val="00740EE2"/>
    <w:rsid w:val="00742680"/>
    <w:rsid w:val="0075418E"/>
    <w:rsid w:val="0075533C"/>
    <w:rsid w:val="007555FC"/>
    <w:rsid w:val="00755A18"/>
    <w:rsid w:val="00757581"/>
    <w:rsid w:val="007602F5"/>
    <w:rsid w:val="00760A95"/>
    <w:rsid w:val="00760D36"/>
    <w:rsid w:val="007611A0"/>
    <w:rsid w:val="0077064B"/>
    <w:rsid w:val="00771DA2"/>
    <w:rsid w:val="00772574"/>
    <w:rsid w:val="00773395"/>
    <w:rsid w:val="00773E54"/>
    <w:rsid w:val="00776D61"/>
    <w:rsid w:val="00780C36"/>
    <w:rsid w:val="00785BA3"/>
    <w:rsid w:val="00787688"/>
    <w:rsid w:val="007935E6"/>
    <w:rsid w:val="00794D55"/>
    <w:rsid w:val="007956AC"/>
    <w:rsid w:val="00796D3F"/>
    <w:rsid w:val="00796FAE"/>
    <w:rsid w:val="007A1683"/>
    <w:rsid w:val="007A4A1A"/>
    <w:rsid w:val="007A5598"/>
    <w:rsid w:val="007A5C12"/>
    <w:rsid w:val="007A7CB0"/>
    <w:rsid w:val="007B68A3"/>
    <w:rsid w:val="007C2541"/>
    <w:rsid w:val="007C7857"/>
    <w:rsid w:val="007C7A01"/>
    <w:rsid w:val="007D66A8"/>
    <w:rsid w:val="007E003F"/>
    <w:rsid w:val="007E05A9"/>
    <w:rsid w:val="007E4EF4"/>
    <w:rsid w:val="007E5208"/>
    <w:rsid w:val="007F0CF8"/>
    <w:rsid w:val="007F5E06"/>
    <w:rsid w:val="007F5E1B"/>
    <w:rsid w:val="007F62CB"/>
    <w:rsid w:val="0080441C"/>
    <w:rsid w:val="00812A94"/>
    <w:rsid w:val="008142EC"/>
    <w:rsid w:val="008164F2"/>
    <w:rsid w:val="00821395"/>
    <w:rsid w:val="00830E26"/>
    <w:rsid w:val="00834368"/>
    <w:rsid w:val="0083441A"/>
    <w:rsid w:val="008359E9"/>
    <w:rsid w:val="00837857"/>
    <w:rsid w:val="00840E5C"/>
    <w:rsid w:val="00843576"/>
    <w:rsid w:val="00843B64"/>
    <w:rsid w:val="00843CAC"/>
    <w:rsid w:val="00845261"/>
    <w:rsid w:val="008478FC"/>
    <w:rsid w:val="008508B8"/>
    <w:rsid w:val="00851C51"/>
    <w:rsid w:val="008538F7"/>
    <w:rsid w:val="00860510"/>
    <w:rsid w:val="00864BAB"/>
    <w:rsid w:val="00866410"/>
    <w:rsid w:val="00867BFF"/>
    <w:rsid w:val="00871542"/>
    <w:rsid w:val="00872BF6"/>
    <w:rsid w:val="0088480A"/>
    <w:rsid w:val="0088757A"/>
    <w:rsid w:val="00887A6F"/>
    <w:rsid w:val="00893AD0"/>
    <w:rsid w:val="0089431B"/>
    <w:rsid w:val="00895668"/>
    <w:rsid w:val="008957DD"/>
    <w:rsid w:val="00896A25"/>
    <w:rsid w:val="00897D98"/>
    <w:rsid w:val="008A3388"/>
    <w:rsid w:val="008A6DF2"/>
    <w:rsid w:val="008A7807"/>
    <w:rsid w:val="008B0A34"/>
    <w:rsid w:val="008B248A"/>
    <w:rsid w:val="008B4CC9"/>
    <w:rsid w:val="008C0B15"/>
    <w:rsid w:val="008D2BC4"/>
    <w:rsid w:val="008D75E4"/>
    <w:rsid w:val="008D7C99"/>
    <w:rsid w:val="008E0FCB"/>
    <w:rsid w:val="008E7545"/>
    <w:rsid w:val="008E7672"/>
    <w:rsid w:val="008F32EB"/>
    <w:rsid w:val="008F6DFE"/>
    <w:rsid w:val="00903ADA"/>
    <w:rsid w:val="0090529F"/>
    <w:rsid w:val="00907D51"/>
    <w:rsid w:val="00910727"/>
    <w:rsid w:val="00912822"/>
    <w:rsid w:val="00915947"/>
    <w:rsid w:val="00916FC8"/>
    <w:rsid w:val="0092178C"/>
    <w:rsid w:val="00926234"/>
    <w:rsid w:val="0092720C"/>
    <w:rsid w:val="00930B88"/>
    <w:rsid w:val="00934723"/>
    <w:rsid w:val="00935376"/>
    <w:rsid w:val="00940DCC"/>
    <w:rsid w:val="0094179A"/>
    <w:rsid w:val="009434CB"/>
    <w:rsid w:val="0094459E"/>
    <w:rsid w:val="00944DBC"/>
    <w:rsid w:val="00950977"/>
    <w:rsid w:val="00951A7B"/>
    <w:rsid w:val="00955512"/>
    <w:rsid w:val="00956093"/>
    <w:rsid w:val="009564A6"/>
    <w:rsid w:val="00957EF8"/>
    <w:rsid w:val="00966A53"/>
    <w:rsid w:val="00967621"/>
    <w:rsid w:val="00967E6A"/>
    <w:rsid w:val="00975ED3"/>
    <w:rsid w:val="00983FFF"/>
    <w:rsid w:val="009907B9"/>
    <w:rsid w:val="00990918"/>
    <w:rsid w:val="009A0D54"/>
    <w:rsid w:val="009A3A83"/>
    <w:rsid w:val="009B23A5"/>
    <w:rsid w:val="009B41AE"/>
    <w:rsid w:val="009B4A0F"/>
    <w:rsid w:val="009C11D2"/>
    <w:rsid w:val="009C617C"/>
    <w:rsid w:val="009C6C70"/>
    <w:rsid w:val="009C7B0A"/>
    <w:rsid w:val="009D0B63"/>
    <w:rsid w:val="009D5CB8"/>
    <w:rsid w:val="009E307E"/>
    <w:rsid w:val="009E603E"/>
    <w:rsid w:val="00A01889"/>
    <w:rsid w:val="00A030E7"/>
    <w:rsid w:val="00A07870"/>
    <w:rsid w:val="00A07C54"/>
    <w:rsid w:val="00A07F19"/>
    <w:rsid w:val="00A124BB"/>
    <w:rsid w:val="00A1348D"/>
    <w:rsid w:val="00A13C99"/>
    <w:rsid w:val="00A143FB"/>
    <w:rsid w:val="00A232EE"/>
    <w:rsid w:val="00A23EDB"/>
    <w:rsid w:val="00A25D07"/>
    <w:rsid w:val="00A37F83"/>
    <w:rsid w:val="00A4175F"/>
    <w:rsid w:val="00A44411"/>
    <w:rsid w:val="00A460F4"/>
    <w:rsid w:val="00A469FA"/>
    <w:rsid w:val="00A46A9A"/>
    <w:rsid w:val="00A47A6E"/>
    <w:rsid w:val="00A50F64"/>
    <w:rsid w:val="00A53662"/>
    <w:rsid w:val="00A55B01"/>
    <w:rsid w:val="00A56B5B"/>
    <w:rsid w:val="00A603FF"/>
    <w:rsid w:val="00A619B6"/>
    <w:rsid w:val="00A62F61"/>
    <w:rsid w:val="00A6343B"/>
    <w:rsid w:val="00A648CA"/>
    <w:rsid w:val="00A657DD"/>
    <w:rsid w:val="00A66313"/>
    <w:rsid w:val="00A666A6"/>
    <w:rsid w:val="00A675FD"/>
    <w:rsid w:val="00A70FCB"/>
    <w:rsid w:val="00A72437"/>
    <w:rsid w:val="00A8048B"/>
    <w:rsid w:val="00A80611"/>
    <w:rsid w:val="00A85810"/>
    <w:rsid w:val="00A85E6B"/>
    <w:rsid w:val="00A85F06"/>
    <w:rsid w:val="00A923CB"/>
    <w:rsid w:val="00A9643E"/>
    <w:rsid w:val="00AA5BF4"/>
    <w:rsid w:val="00AA71DC"/>
    <w:rsid w:val="00AB2AB0"/>
    <w:rsid w:val="00AB4DCF"/>
    <w:rsid w:val="00AB5340"/>
    <w:rsid w:val="00AB6CC5"/>
    <w:rsid w:val="00AB7DAA"/>
    <w:rsid w:val="00AC0A89"/>
    <w:rsid w:val="00AC2F05"/>
    <w:rsid w:val="00AC7C96"/>
    <w:rsid w:val="00AD3593"/>
    <w:rsid w:val="00AE0812"/>
    <w:rsid w:val="00AE237D"/>
    <w:rsid w:val="00AE502A"/>
    <w:rsid w:val="00AE6714"/>
    <w:rsid w:val="00AF0010"/>
    <w:rsid w:val="00AF1AA8"/>
    <w:rsid w:val="00AF2C1F"/>
    <w:rsid w:val="00AF7C07"/>
    <w:rsid w:val="00B06C64"/>
    <w:rsid w:val="00B07D8E"/>
    <w:rsid w:val="00B11CAC"/>
    <w:rsid w:val="00B15A29"/>
    <w:rsid w:val="00B17527"/>
    <w:rsid w:val="00B22C93"/>
    <w:rsid w:val="00B27589"/>
    <w:rsid w:val="00B27CD4"/>
    <w:rsid w:val="00B35595"/>
    <w:rsid w:val="00B36853"/>
    <w:rsid w:val="00B37305"/>
    <w:rsid w:val="00B373A3"/>
    <w:rsid w:val="00B405B7"/>
    <w:rsid w:val="00B40708"/>
    <w:rsid w:val="00B43AA7"/>
    <w:rsid w:val="00B468C0"/>
    <w:rsid w:val="00B50FE9"/>
    <w:rsid w:val="00B51C43"/>
    <w:rsid w:val="00B52222"/>
    <w:rsid w:val="00B531DA"/>
    <w:rsid w:val="00B54895"/>
    <w:rsid w:val="00B54FE7"/>
    <w:rsid w:val="00B575FB"/>
    <w:rsid w:val="00B647C6"/>
    <w:rsid w:val="00B655F9"/>
    <w:rsid w:val="00B66901"/>
    <w:rsid w:val="00B66F60"/>
    <w:rsid w:val="00B71E6D"/>
    <w:rsid w:val="00B72070"/>
    <w:rsid w:val="00B7262D"/>
    <w:rsid w:val="00B779E1"/>
    <w:rsid w:val="00B81E3A"/>
    <w:rsid w:val="00B83353"/>
    <w:rsid w:val="00B85CFB"/>
    <w:rsid w:val="00B8643B"/>
    <w:rsid w:val="00B914E9"/>
    <w:rsid w:val="00B91EE1"/>
    <w:rsid w:val="00B94602"/>
    <w:rsid w:val="00BA0090"/>
    <w:rsid w:val="00BA00BA"/>
    <w:rsid w:val="00BA1A67"/>
    <w:rsid w:val="00BA6A80"/>
    <w:rsid w:val="00BA6E1D"/>
    <w:rsid w:val="00BB2A2F"/>
    <w:rsid w:val="00BB4ABB"/>
    <w:rsid w:val="00BB53AF"/>
    <w:rsid w:val="00BC6111"/>
    <w:rsid w:val="00BC62BA"/>
    <w:rsid w:val="00BD6CE0"/>
    <w:rsid w:val="00BE12BB"/>
    <w:rsid w:val="00BE5B5F"/>
    <w:rsid w:val="00BE7993"/>
    <w:rsid w:val="00BF2288"/>
    <w:rsid w:val="00C11971"/>
    <w:rsid w:val="00C179DE"/>
    <w:rsid w:val="00C26F55"/>
    <w:rsid w:val="00C30C63"/>
    <w:rsid w:val="00C30FF3"/>
    <w:rsid w:val="00C34D5C"/>
    <w:rsid w:val="00C3505F"/>
    <w:rsid w:val="00C352CD"/>
    <w:rsid w:val="00C36B8B"/>
    <w:rsid w:val="00C415C1"/>
    <w:rsid w:val="00C476DE"/>
    <w:rsid w:val="00C47DBF"/>
    <w:rsid w:val="00C54FB6"/>
    <w:rsid w:val="00C552FF"/>
    <w:rsid w:val="00C558DA"/>
    <w:rsid w:val="00C55AF3"/>
    <w:rsid w:val="00C754E3"/>
    <w:rsid w:val="00C771A9"/>
    <w:rsid w:val="00C82943"/>
    <w:rsid w:val="00C84759"/>
    <w:rsid w:val="00C93096"/>
    <w:rsid w:val="00C949BB"/>
    <w:rsid w:val="00CA5CA9"/>
    <w:rsid w:val="00CA6C7F"/>
    <w:rsid w:val="00CB007D"/>
    <w:rsid w:val="00CB60CA"/>
    <w:rsid w:val="00CC0FC7"/>
    <w:rsid w:val="00CC10A6"/>
    <w:rsid w:val="00CC39BE"/>
    <w:rsid w:val="00CD0518"/>
    <w:rsid w:val="00CD5EB8"/>
    <w:rsid w:val="00CD7044"/>
    <w:rsid w:val="00CE08B9"/>
    <w:rsid w:val="00CE3157"/>
    <w:rsid w:val="00CE3515"/>
    <w:rsid w:val="00CE4245"/>
    <w:rsid w:val="00CE4844"/>
    <w:rsid w:val="00CE524C"/>
    <w:rsid w:val="00CF141F"/>
    <w:rsid w:val="00CF3B91"/>
    <w:rsid w:val="00CF4777"/>
    <w:rsid w:val="00CF5BF0"/>
    <w:rsid w:val="00CF65C8"/>
    <w:rsid w:val="00D013F5"/>
    <w:rsid w:val="00D01401"/>
    <w:rsid w:val="00D022D0"/>
    <w:rsid w:val="00D0382D"/>
    <w:rsid w:val="00D05E3F"/>
    <w:rsid w:val="00D067BB"/>
    <w:rsid w:val="00D12084"/>
    <w:rsid w:val="00D1352A"/>
    <w:rsid w:val="00D15D8E"/>
    <w:rsid w:val="00D1638E"/>
    <w:rsid w:val="00D169AF"/>
    <w:rsid w:val="00D200EF"/>
    <w:rsid w:val="00D25175"/>
    <w:rsid w:val="00D25249"/>
    <w:rsid w:val="00D26854"/>
    <w:rsid w:val="00D27DAD"/>
    <w:rsid w:val="00D33492"/>
    <w:rsid w:val="00D36C41"/>
    <w:rsid w:val="00D44172"/>
    <w:rsid w:val="00D47BE3"/>
    <w:rsid w:val="00D51E56"/>
    <w:rsid w:val="00D521DC"/>
    <w:rsid w:val="00D60331"/>
    <w:rsid w:val="00D63B8C"/>
    <w:rsid w:val="00D716BE"/>
    <w:rsid w:val="00D739CC"/>
    <w:rsid w:val="00D806F9"/>
    <w:rsid w:val="00D8093D"/>
    <w:rsid w:val="00D8108C"/>
    <w:rsid w:val="00D82E64"/>
    <w:rsid w:val="00D842AE"/>
    <w:rsid w:val="00D90683"/>
    <w:rsid w:val="00D91A6C"/>
    <w:rsid w:val="00D9211C"/>
    <w:rsid w:val="00D92DE0"/>
    <w:rsid w:val="00D92FEF"/>
    <w:rsid w:val="00D931F9"/>
    <w:rsid w:val="00D93A0F"/>
    <w:rsid w:val="00D95233"/>
    <w:rsid w:val="00DA08B7"/>
    <w:rsid w:val="00DA1BCA"/>
    <w:rsid w:val="00DA2038"/>
    <w:rsid w:val="00DA2784"/>
    <w:rsid w:val="00DA3663"/>
    <w:rsid w:val="00DA6A8D"/>
    <w:rsid w:val="00DC1792"/>
    <w:rsid w:val="00DC274A"/>
    <w:rsid w:val="00DC46FF"/>
    <w:rsid w:val="00DC5254"/>
    <w:rsid w:val="00DC569D"/>
    <w:rsid w:val="00DC5CBA"/>
    <w:rsid w:val="00DD16E8"/>
    <w:rsid w:val="00DD1A4F"/>
    <w:rsid w:val="00DD3107"/>
    <w:rsid w:val="00DD72FA"/>
    <w:rsid w:val="00DD7C2C"/>
    <w:rsid w:val="00DE1385"/>
    <w:rsid w:val="00DE5BDA"/>
    <w:rsid w:val="00DF433C"/>
    <w:rsid w:val="00DF519F"/>
    <w:rsid w:val="00DF5E7F"/>
    <w:rsid w:val="00DF76BF"/>
    <w:rsid w:val="00E0035A"/>
    <w:rsid w:val="00E06797"/>
    <w:rsid w:val="00E1265B"/>
    <w:rsid w:val="00E12E09"/>
    <w:rsid w:val="00E13B48"/>
    <w:rsid w:val="00E13C29"/>
    <w:rsid w:val="00E1404F"/>
    <w:rsid w:val="00E143D1"/>
    <w:rsid w:val="00E17E15"/>
    <w:rsid w:val="00E211F3"/>
    <w:rsid w:val="00E21C83"/>
    <w:rsid w:val="00E24347"/>
    <w:rsid w:val="00E24ADA"/>
    <w:rsid w:val="00E2652F"/>
    <w:rsid w:val="00E32F59"/>
    <w:rsid w:val="00E350C7"/>
    <w:rsid w:val="00E35AF7"/>
    <w:rsid w:val="00E41908"/>
    <w:rsid w:val="00E429A9"/>
    <w:rsid w:val="00E4407E"/>
    <w:rsid w:val="00E44F6B"/>
    <w:rsid w:val="00E46D9A"/>
    <w:rsid w:val="00E50FBD"/>
    <w:rsid w:val="00E529CB"/>
    <w:rsid w:val="00E54866"/>
    <w:rsid w:val="00E565FF"/>
    <w:rsid w:val="00E65388"/>
    <w:rsid w:val="00E7268B"/>
    <w:rsid w:val="00E73310"/>
    <w:rsid w:val="00E743AA"/>
    <w:rsid w:val="00E74A75"/>
    <w:rsid w:val="00E7506F"/>
    <w:rsid w:val="00E7741D"/>
    <w:rsid w:val="00E808CD"/>
    <w:rsid w:val="00E82E5A"/>
    <w:rsid w:val="00E8348F"/>
    <w:rsid w:val="00E85B7D"/>
    <w:rsid w:val="00E9121B"/>
    <w:rsid w:val="00E922B7"/>
    <w:rsid w:val="00E9302E"/>
    <w:rsid w:val="00E967CA"/>
    <w:rsid w:val="00E976AB"/>
    <w:rsid w:val="00EA0AE2"/>
    <w:rsid w:val="00EA39E5"/>
    <w:rsid w:val="00EA57A3"/>
    <w:rsid w:val="00EB5F59"/>
    <w:rsid w:val="00EC2813"/>
    <w:rsid w:val="00EC2BA8"/>
    <w:rsid w:val="00EC5A46"/>
    <w:rsid w:val="00EC63E2"/>
    <w:rsid w:val="00ED0225"/>
    <w:rsid w:val="00ED1435"/>
    <w:rsid w:val="00ED366A"/>
    <w:rsid w:val="00ED6BB7"/>
    <w:rsid w:val="00EE451F"/>
    <w:rsid w:val="00EE7388"/>
    <w:rsid w:val="00EF22B3"/>
    <w:rsid w:val="00F03B69"/>
    <w:rsid w:val="00F07A50"/>
    <w:rsid w:val="00F113AF"/>
    <w:rsid w:val="00F113DA"/>
    <w:rsid w:val="00F15578"/>
    <w:rsid w:val="00F17467"/>
    <w:rsid w:val="00F17673"/>
    <w:rsid w:val="00F17B76"/>
    <w:rsid w:val="00F23D44"/>
    <w:rsid w:val="00F252EE"/>
    <w:rsid w:val="00F266FC"/>
    <w:rsid w:val="00F3037A"/>
    <w:rsid w:val="00F3465A"/>
    <w:rsid w:val="00F37202"/>
    <w:rsid w:val="00F37DC8"/>
    <w:rsid w:val="00F439B3"/>
    <w:rsid w:val="00F51980"/>
    <w:rsid w:val="00F520F6"/>
    <w:rsid w:val="00F52624"/>
    <w:rsid w:val="00F650C3"/>
    <w:rsid w:val="00F65D85"/>
    <w:rsid w:val="00F6700B"/>
    <w:rsid w:val="00F71377"/>
    <w:rsid w:val="00F7137B"/>
    <w:rsid w:val="00F750CC"/>
    <w:rsid w:val="00F755F1"/>
    <w:rsid w:val="00F776A0"/>
    <w:rsid w:val="00F8091E"/>
    <w:rsid w:val="00F81514"/>
    <w:rsid w:val="00F8615C"/>
    <w:rsid w:val="00F969E5"/>
    <w:rsid w:val="00FA4972"/>
    <w:rsid w:val="00FA5418"/>
    <w:rsid w:val="00FA6BB0"/>
    <w:rsid w:val="00FB2DBD"/>
    <w:rsid w:val="00FB3AC0"/>
    <w:rsid w:val="00FB455F"/>
    <w:rsid w:val="00FB4AEA"/>
    <w:rsid w:val="00FC3401"/>
    <w:rsid w:val="00FC57B8"/>
    <w:rsid w:val="00FD48DF"/>
    <w:rsid w:val="00FD5860"/>
    <w:rsid w:val="00FD61C3"/>
    <w:rsid w:val="00FE352D"/>
    <w:rsid w:val="00FE40EB"/>
    <w:rsid w:val="00FE4C2A"/>
    <w:rsid w:val="00FE4D02"/>
    <w:rsid w:val="00FE7D62"/>
    <w:rsid w:val="00FF0DA0"/>
    <w:rsid w:val="00FF1246"/>
    <w:rsid w:val="00FF35BF"/>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E48BF1FB-B6E6-440D-BC80-BD6A6D8D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245B8F"/>
    <w:pPr>
      <w:numPr>
        <w:numId w:val="5"/>
      </w:numPr>
      <w:tabs>
        <w:tab w:val="clear" w:pos="1247"/>
        <w:tab w:val="clear" w:pos="1814"/>
        <w:tab w:val="clear" w:pos="2381"/>
        <w:tab w:val="clear" w:pos="2948"/>
        <w:tab w:val="clear" w:pos="3515"/>
        <w:tab w:val="clear" w:pos="4082"/>
        <w:tab w:val="left" w:pos="624"/>
      </w:tabs>
      <w:suppressAutoHyphens/>
      <w:autoSpaceDN w:val="0"/>
      <w:spacing w:after="120"/>
      <w:textAlignment w:val="baseline"/>
    </w:pPr>
    <w:rPr>
      <w:bCs/>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DefaultParagraphFont"/>
    <w:uiPriority w:val="99"/>
    <w:semiHidden/>
    <w:unhideWhenUsed/>
    <w:rsid w:val="00956093"/>
    <w:rPr>
      <w:color w:val="808080"/>
      <w:shd w:val="clear" w:color="auto" w:fill="E6E6E6"/>
    </w:rPr>
  </w:style>
  <w:style w:type="character" w:customStyle="1" w:styleId="NormalnumberChar">
    <w:name w:val="Normal_number Char"/>
    <w:link w:val="Normalnumber"/>
    <w:locked/>
    <w:rsid w:val="00245B8F"/>
    <w:rPr>
      <w:bCs/>
      <w:lang w:eastAsia="en-US"/>
    </w:rPr>
  </w:style>
  <w:style w:type="paragraph" w:styleId="TOCHeading">
    <w:name w:val="TOC Heading"/>
    <w:basedOn w:val="Heading1"/>
    <w:next w:val="Normal"/>
    <w:uiPriority w:val="39"/>
    <w:unhideWhenUsed/>
    <w:qFormat/>
    <w:rsid w:val="000C2F3D"/>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0C2F3D"/>
    <w:rPr>
      <w:b/>
      <w:lang w:eastAsia="en-US"/>
    </w:rPr>
  </w:style>
  <w:style w:type="paragraph" w:customStyle="1" w:styleId="Articleheading">
    <w:name w:val="Article heading"/>
    <w:basedOn w:val="Normal"/>
    <w:next w:val="Subtitle"/>
    <w:rsid w:val="000C2F3D"/>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0C2F3D"/>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0C2F3D"/>
    <w:rPr>
      <w:rFonts w:ascii="Cambria" w:eastAsia="SimSun" w:hAnsi="Cambria"/>
      <w:sz w:val="24"/>
      <w:szCs w:val="24"/>
      <w:lang w:eastAsia="en-US"/>
    </w:rPr>
  </w:style>
  <w:style w:type="character" w:customStyle="1" w:styleId="Inget">
    <w:name w:val="Inget"/>
    <w:rsid w:val="000C2F3D"/>
  </w:style>
  <w:style w:type="character" w:customStyle="1" w:styleId="Hyperlink0">
    <w:name w:val="Hyperlink.0"/>
    <w:rsid w:val="000C2F3D"/>
    <w:rPr>
      <w:rFonts w:cs="Times New Roman"/>
      <w:lang w:val="en-US" w:eastAsia="x-none"/>
    </w:rPr>
  </w:style>
  <w:style w:type="character" w:customStyle="1" w:styleId="apple-converted-space">
    <w:name w:val="apple-converted-space"/>
    <w:basedOn w:val="DefaultParagraphFont"/>
    <w:rsid w:val="000C2F3D"/>
  </w:style>
  <w:style w:type="character" w:customStyle="1" w:styleId="FooterChar">
    <w:name w:val="Footer Char"/>
    <w:basedOn w:val="DefaultParagraphFont"/>
    <w:link w:val="Footer"/>
    <w:uiPriority w:val="99"/>
    <w:rsid w:val="000C2F3D"/>
    <w:rPr>
      <w:sz w:val="18"/>
      <w:lang w:eastAsia="en-US"/>
    </w:rPr>
  </w:style>
  <w:style w:type="paragraph" w:customStyle="1" w:styleId="Default">
    <w:name w:val="Default"/>
    <w:rsid w:val="00F252EE"/>
    <w:pPr>
      <w:autoSpaceDE w:val="0"/>
      <w:autoSpaceDN w:val="0"/>
      <w:adjustRightInd w:val="0"/>
    </w:pPr>
    <w:rPr>
      <w:rFonts w:ascii="Arial" w:eastAsiaTheme="minorEastAsia" w:hAnsi="Arial" w:cs="Arial"/>
      <w:color w:val="000000"/>
      <w:sz w:val="24"/>
      <w:szCs w:val="24"/>
      <w:lang w:val="en-US"/>
    </w:rPr>
  </w:style>
  <w:style w:type="character" w:customStyle="1" w:styleId="UnresolvedMention">
    <w:name w:val="Unresolved Mention"/>
    <w:basedOn w:val="DefaultParagraphFont"/>
    <w:uiPriority w:val="99"/>
    <w:semiHidden/>
    <w:unhideWhenUsed/>
    <w:rsid w:val="00A46A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843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930965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96330111">
      <w:bodyDiv w:val="1"/>
      <w:marLeft w:val="0"/>
      <w:marRight w:val="0"/>
      <w:marTop w:val="0"/>
      <w:marBottom w:val="0"/>
      <w:divBdr>
        <w:top w:val="none" w:sz="0" w:space="0" w:color="auto"/>
        <w:left w:val="none" w:sz="0" w:space="0" w:color="auto"/>
        <w:bottom w:val="none" w:sz="0" w:space="0" w:color="auto"/>
        <w:right w:val="none" w:sz="0" w:space="0" w:color="auto"/>
      </w:divBdr>
    </w:div>
    <w:div w:id="19320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s://www.commonforum.eu/" TargetMode="External"/><Relationship Id="rId26" Type="http://schemas.openxmlformats.org/officeDocument/2006/relationships/hyperlink" Target="https://www.canada.ca/en/health-canada/services/healthy-living/your-health/environment/mercury-human-health.html" TargetMode="External"/><Relationship Id="rId3" Type="http://schemas.openxmlformats.org/officeDocument/2006/relationships/styles" Target="styles.xml"/><Relationship Id="rId21" Type="http://schemas.openxmlformats.org/officeDocument/2006/relationships/hyperlink" Target="http://www.basel.int/TheConvention/ConferenceoftheParties/Meetings/COP12/tabid/4248/mctl/ViewDetails/EventModID/8051/EventID/542/xmid/13027/Default.aspx"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www.canada.ca/en/health-canada/services/environmental-workplace-health/contaminated-sites/guidance-documents.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link.springer.com/journal/11356/22/11/page/1"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who.int/mediacentre/factsheets/fs361/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clu-in.org/download/remed/phytotechnologies-factsheet.pdf" TargetMode="Externa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yperlink" Target="https://commonforum.eu/Documents/SoilDirectiveAlternative/20111212_text_proposal_SFD_CF_final2.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s://clu-in.org/download/remed/542r07003.pdf" TargetMode="External"/><Relationship Id="rId27" Type="http://schemas.openxmlformats.org/officeDocument/2006/relationships/header" Target="header4.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commonforum.eu/references_clarinet.asp" TargetMode="External"/><Relationship Id="rId1" Type="http://schemas.openxmlformats.org/officeDocument/2006/relationships/hyperlink" Target="https://www.epa.gov/risk/regional-screening-levels-rsls-generic-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7B5C-47DA-4F6D-9F6D-9E286402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10653</Words>
  <Characters>60726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2018-09-05T15:45:00Z</cp:lastPrinted>
  <dcterms:created xsi:type="dcterms:W3CDTF">2018-10-12T07:39:00Z</dcterms:created>
  <dcterms:modified xsi:type="dcterms:W3CDTF">2018-10-12T07:39:00Z</dcterms:modified>
</cp:coreProperties>
</file>