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4C6E4BB2" w:rsidR="00032E4E" w:rsidRPr="00D25175" w:rsidRDefault="00032E4E" w:rsidP="004455F3">
            <w:pPr>
              <w:tabs>
                <w:tab w:val="left" w:pos="624"/>
                <w:tab w:val="left" w:pos="1871"/>
                <w:tab w:val="left" w:pos="2495"/>
              </w:tabs>
              <w:rPr>
                <w:rFonts w:ascii="Univers" w:hAnsi="Univers"/>
                <w:b/>
                <w:noProof/>
                <w:sz w:val="27"/>
                <w:szCs w:val="27"/>
              </w:rPr>
            </w:pPr>
            <w:r w:rsidRPr="00D25175">
              <w:rPr>
                <w:rFonts w:ascii="Arial" w:hAnsi="Arial" w:cs="Arial"/>
                <w:b/>
                <w:noProof/>
                <w:sz w:val="27"/>
                <w:szCs w:val="27"/>
              </w:rPr>
              <w:t>UNITED</w:t>
            </w:r>
            <w:r w:rsidR="00267570">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089F0A5B"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1D2D56">
              <w:t>4</w:t>
            </w:r>
            <w:r w:rsidR="00F84E4F">
              <w:t>/Rev.1</w:t>
            </w:r>
          </w:p>
        </w:tc>
      </w:tr>
      <w:bookmarkStart w:id="2" w:name="_MON_1021710510"/>
      <w:bookmarkEnd w:id="2"/>
      <w:bookmarkStart w:id="3" w:name="_MON_102171048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8" o:title=""/>
                </v:shape>
                <o:OLEObject Type="Embed" ProgID="Word.Picture.8" ShapeID="_x0000_i1025" DrawAspect="Content" ObjectID="_1600067395" r:id="rId9"/>
              </w:object>
            </w:r>
            <w:r w:rsidR="00011A16" w:rsidRPr="00D25175">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57E6BF1C" w:rsidR="00032E4E" w:rsidRPr="00D25175" w:rsidRDefault="00032E4E" w:rsidP="00B86BDF">
            <w:pPr>
              <w:tabs>
                <w:tab w:val="left" w:pos="624"/>
                <w:tab w:val="left" w:pos="1871"/>
                <w:tab w:val="left" w:pos="2495"/>
              </w:tabs>
              <w:spacing w:before="120"/>
            </w:pPr>
            <w:r w:rsidRPr="00D25175">
              <w:t>Distr.: General</w:t>
            </w:r>
            <w:r w:rsidR="005B2DF4">
              <w:t xml:space="preserve"> </w:t>
            </w:r>
            <w:r w:rsidRPr="00D25175">
              <w:br w:type="textWrapping" w:clear="all"/>
            </w:r>
            <w:r w:rsidR="009D5267">
              <w:t xml:space="preserve">10 September </w:t>
            </w:r>
            <w:r w:rsidR="0042266F" w:rsidRPr="00D25175">
              <w:t>201</w:t>
            </w:r>
            <w:r w:rsidR="00434321">
              <w:t>8</w:t>
            </w:r>
          </w:p>
          <w:p w14:paraId="1A75CF9D" w14:textId="77777777" w:rsidR="00032E4E" w:rsidRPr="00D25175" w:rsidRDefault="00032E4E" w:rsidP="00B86BDF">
            <w:pPr>
              <w:tabs>
                <w:tab w:val="left" w:pos="624"/>
                <w:tab w:val="left" w:pos="1871"/>
                <w:tab w:val="left" w:pos="2495"/>
              </w:tabs>
              <w:spacing w:before="120"/>
            </w:pPr>
            <w:r w:rsidRPr="00D25175">
              <w:t>Original: English</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w:t>
      </w:r>
      <w:bookmarkStart w:id="4" w:name="_GoBack"/>
      <w:bookmarkEnd w:id="4"/>
      <w:r w:rsidR="00787688" w:rsidRPr="00D25175">
        <w: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68A9C0C4" w14:textId="66D1E185" w:rsidR="001D2D56" w:rsidRDefault="001D2D56" w:rsidP="00976789">
      <w:pPr>
        <w:pStyle w:val="AATitle"/>
        <w:rPr>
          <w:b w:val="0"/>
        </w:rPr>
      </w:pPr>
      <w:bookmarkStart w:id="5" w:name="_Hlk517786179"/>
      <w:r>
        <w:rPr>
          <w:b w:val="0"/>
        </w:rPr>
        <w:t>Item 5</w:t>
      </w:r>
      <w:r w:rsidR="00471EFD">
        <w:rPr>
          <w:b w:val="0"/>
        </w:rPr>
        <w:t xml:space="preserve"> </w:t>
      </w:r>
      <w:r>
        <w:rPr>
          <w:b w:val="0"/>
        </w:rPr>
        <w:t>(a)</w:t>
      </w:r>
      <w:r w:rsidRPr="00A018C0">
        <w:rPr>
          <w:b w:val="0"/>
        </w:rPr>
        <w:t xml:space="preserve"> of the provisional agenda</w:t>
      </w:r>
      <w:r w:rsidRPr="00A018C0">
        <w:rPr>
          <w:b w:val="0"/>
        </w:rPr>
        <w:footnoteReference w:customMarkFollows="1" w:id="1"/>
        <w:t>*</w:t>
      </w:r>
    </w:p>
    <w:p w14:paraId="7EC60273" w14:textId="5F4A4DA1" w:rsidR="001D2D56" w:rsidRPr="00D25175" w:rsidRDefault="001D2D56" w:rsidP="00976789">
      <w:pPr>
        <w:pStyle w:val="AATitle2"/>
        <w:spacing w:before="60"/>
      </w:pPr>
      <w:r>
        <w:t xml:space="preserve">Matters for consideration or action by the </w:t>
      </w:r>
      <w:r>
        <w:br/>
        <w:t xml:space="preserve">Conference of the Parties: </w:t>
      </w:r>
      <w:r w:rsidR="00471EFD">
        <w:t>r</w:t>
      </w:r>
      <w:r>
        <w:t>eleases</w:t>
      </w:r>
    </w:p>
    <w:p w14:paraId="260470D6" w14:textId="409109A8" w:rsidR="001D2D56" w:rsidRPr="00976789" w:rsidRDefault="001D2D56" w:rsidP="001D2D56">
      <w:pPr>
        <w:pStyle w:val="BBTitle"/>
      </w:pPr>
      <w:r w:rsidRPr="00F27B96">
        <w:t xml:space="preserve">Guidance in relation to mercury </w:t>
      </w:r>
      <w:r>
        <w:t>releases</w:t>
      </w:r>
    </w:p>
    <w:p w14:paraId="136983D5" w14:textId="77777777" w:rsidR="001D2D56" w:rsidRPr="00035ED3" w:rsidRDefault="001D2D56" w:rsidP="00976789">
      <w:pPr>
        <w:pStyle w:val="CH2"/>
      </w:pPr>
      <w:r>
        <w:tab/>
      </w:r>
      <w:r>
        <w:tab/>
      </w:r>
      <w:r w:rsidRPr="00035ED3">
        <w:t>Note by the secretariat</w:t>
      </w:r>
    </w:p>
    <w:p w14:paraId="02449176" w14:textId="544C763C" w:rsidR="006C2CFD" w:rsidRPr="00976789"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 xml:space="preserve">At its first meeting, the Conference of the Parties to the Minamata Convention on Mercury considered the development of guidance in relation to mercury releases as required pursuant to paragraph 7 of </w:t>
      </w:r>
      <w:r w:rsidR="006C2CFD" w:rsidRPr="00976789">
        <w:t>a</w:t>
      </w:r>
      <w:r w:rsidRPr="00976789">
        <w:t xml:space="preserve">rticle 9. To provide clarity </w:t>
      </w:r>
      <w:r w:rsidR="00714266" w:rsidRPr="00976789">
        <w:t>regarding</w:t>
      </w:r>
      <w:r w:rsidRPr="00976789">
        <w:t xml:space="preserve"> the nature of such releases, the Conference of the Parties, in its </w:t>
      </w:r>
      <w:r w:rsidR="006C2CFD" w:rsidRPr="00976789">
        <w:t>d</w:t>
      </w:r>
      <w:r w:rsidRPr="00976789">
        <w:t xml:space="preserve">ecision MC-1/17, encouraged parties to identify relevant point sources at the national level pursuant to paragraphs 2 (b) and 3 of article 9 as soon as possible, and to submit information to the secretariat on the identified relevant sources. </w:t>
      </w:r>
    </w:p>
    <w:p w14:paraId="51F33DCC" w14:textId="5F2A5A61" w:rsidR="001D2D56" w:rsidRPr="00976789" w:rsidRDefault="0071426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By that</w:t>
      </w:r>
      <w:r w:rsidR="001D2D56" w:rsidRPr="00976789">
        <w:t xml:space="preserve"> decision</w:t>
      </w:r>
      <w:r w:rsidRPr="00976789">
        <w:t>,</w:t>
      </w:r>
      <w:r w:rsidR="001D2D56" w:rsidRPr="00976789">
        <w:t xml:space="preserve"> </w:t>
      </w:r>
      <w:r w:rsidRPr="00976789">
        <w:t>t</w:t>
      </w:r>
      <w:r w:rsidR="001D2D56" w:rsidRPr="00976789">
        <w:t xml:space="preserve">he secretariat </w:t>
      </w:r>
      <w:r w:rsidRPr="00976789">
        <w:t xml:space="preserve">was requested </w:t>
      </w:r>
      <w:r w:rsidR="001D2D56" w:rsidRPr="00976789">
        <w:t xml:space="preserve">to compile submissions from parties and provide such information to the Conference of the Parties at its second meeting. </w:t>
      </w:r>
    </w:p>
    <w:p w14:paraId="7B969685" w14:textId="0CD9A2EE" w:rsidR="001D2D56" w:rsidRPr="00976789"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The secretariat circulated a call for submissions in November 2017, including a request to parties to submit information on the identified relevant sources. The deadline for submissions was set a</w:t>
      </w:r>
      <w:r w:rsidR="004A5A14">
        <w:t>s</w:t>
      </w:r>
      <w:r w:rsidRPr="00976789">
        <w:t xml:space="preserve"> 30 June 2018. Th</w:t>
      </w:r>
      <w:r w:rsidR="004A5A14">
        <w:t>e</w:t>
      </w:r>
      <w:r w:rsidRPr="00976789">
        <w:t xml:space="preserve"> call was circulated to all parties and </w:t>
      </w:r>
      <w:r w:rsidR="006C2CFD" w:rsidRPr="00976789">
        <w:t xml:space="preserve">other </w:t>
      </w:r>
      <w:r w:rsidRPr="00976789">
        <w:t xml:space="preserve">stakeholders, particularly those who had attended the first meeting. Subsequently, a reminder was sent to the same distribution list. </w:t>
      </w:r>
    </w:p>
    <w:p w14:paraId="5B195D3B" w14:textId="2DE3EC45" w:rsidR="001D2D56" w:rsidRPr="00976789" w:rsidRDefault="001D2D56" w:rsidP="00DB6E00">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 xml:space="preserve">As </w:t>
      </w:r>
      <w:r w:rsidR="006C2CFD" w:rsidRPr="00976789">
        <w:t>at</w:t>
      </w:r>
      <w:r w:rsidRPr="00976789">
        <w:t xml:space="preserve"> 9 July 2018, submissions had been received from </w:t>
      </w:r>
      <w:r w:rsidR="00BE6CEA">
        <w:t>three</w:t>
      </w:r>
      <w:r w:rsidR="00BE6CEA" w:rsidRPr="00976789">
        <w:t xml:space="preserve"> </w:t>
      </w:r>
      <w:r w:rsidRPr="00976789">
        <w:t xml:space="preserve">parties to the Convention. </w:t>
      </w:r>
      <w:r w:rsidR="00BE6CEA">
        <w:t>Two of th</w:t>
      </w:r>
      <w:r w:rsidR="00902A66">
        <w:t>o</w:t>
      </w:r>
      <w:r w:rsidR="00BE6CEA">
        <w:t>se</w:t>
      </w:r>
      <w:r w:rsidR="00BE6CEA" w:rsidRPr="00976789">
        <w:t xml:space="preserve"> </w:t>
      </w:r>
      <w:r w:rsidRPr="00976789">
        <w:t xml:space="preserve">parties indicated in their submissions that they had considered sources of releases of mercury and mercury compounds within their territory and </w:t>
      </w:r>
      <w:r w:rsidR="006C2CFD" w:rsidRPr="00976789">
        <w:t>had</w:t>
      </w:r>
      <w:r w:rsidRPr="00976789">
        <w:t xml:space="preserve"> not identif</w:t>
      </w:r>
      <w:r w:rsidR="006C2CFD" w:rsidRPr="00976789">
        <w:t>ied</w:t>
      </w:r>
      <w:r w:rsidRPr="00976789">
        <w:t xml:space="preserve"> any sources </w:t>
      </w:r>
      <w:r w:rsidR="006C2CFD" w:rsidRPr="00976789">
        <w:t>that</w:t>
      </w:r>
      <w:r w:rsidRPr="00976789">
        <w:t xml:space="preserve"> f</w:t>
      </w:r>
      <w:r w:rsidR="00714266" w:rsidRPr="00976789">
        <w:t>e</w:t>
      </w:r>
      <w:r w:rsidRPr="00976789">
        <w:t>ll under the definition in paragraph 2</w:t>
      </w:r>
      <w:r w:rsidR="006C2CFD" w:rsidRPr="00976789">
        <w:t xml:space="preserve"> </w:t>
      </w:r>
      <w:r w:rsidRPr="00976789">
        <w:t xml:space="preserve">(b) of article 9 of the Convention, namely </w:t>
      </w:r>
      <w:r w:rsidR="006C2CFD" w:rsidRPr="00976789">
        <w:t>“</w:t>
      </w:r>
      <w:r w:rsidRPr="00976789">
        <w:t xml:space="preserve">any significant anthropogenic point source of release as identified by a </w:t>
      </w:r>
      <w:r w:rsidR="00401406" w:rsidRPr="00976789">
        <w:t>P</w:t>
      </w:r>
      <w:r w:rsidRPr="00976789">
        <w:t>arty that is not addressed in other provisions</w:t>
      </w:r>
      <w:r w:rsidR="00401406" w:rsidRPr="00976789">
        <w:t>”</w:t>
      </w:r>
      <w:r w:rsidRPr="00976789">
        <w:t xml:space="preserve"> of the Convention. </w:t>
      </w:r>
      <w:r w:rsidR="00BE6CEA">
        <w:t>One party provided a list of current national sources of mercury, all of which have reduced mercury releases significantly</w:t>
      </w:r>
      <w:r w:rsidR="004A5A14">
        <w:t>,</w:t>
      </w:r>
      <w:r w:rsidR="00BE6CEA">
        <w:t xml:space="preserve"> to no more than 2 kg per year per factory, as follows</w:t>
      </w:r>
      <w:r w:rsidR="00902A66">
        <w:t>:</w:t>
      </w:r>
      <w:r w:rsidR="00BE6CEA">
        <w:t xml:space="preserve"> production of </w:t>
      </w:r>
      <w:r w:rsidR="00BE6CEA" w:rsidRPr="00BE6CEA">
        <w:t xml:space="preserve">titanium dioxide; </w:t>
      </w:r>
      <w:r w:rsidR="004A5A14">
        <w:t xml:space="preserve">the </w:t>
      </w:r>
      <w:r w:rsidR="00BE6CEA" w:rsidRPr="00BE6CEA">
        <w:t>pulp and paper industry; oil refining and processing of natural g</w:t>
      </w:r>
      <w:r w:rsidR="00BE6CEA">
        <w:t>as; production of aluminium fluo</w:t>
      </w:r>
      <w:r w:rsidR="00BE6CEA" w:rsidRPr="00BE6CEA">
        <w:t>ride; production of titanium dioxide slag and pig iron; production of zinc and cadmium; production of ferromanganese/silicomanganese; waste incineration; municipal sewage; and landfills</w:t>
      </w:r>
      <w:r w:rsidR="00BE6CEA">
        <w:t>. The same party observed that</w:t>
      </w:r>
      <w:r w:rsidR="00902A66">
        <w:t>,</w:t>
      </w:r>
      <w:r w:rsidR="00BE6CEA">
        <w:t xml:space="preserve"> </w:t>
      </w:r>
      <w:r w:rsidR="00BE6CEA" w:rsidRPr="00BE6CEA">
        <w:t>in addition to the information collected on national sources of mercury release</w:t>
      </w:r>
      <w:r w:rsidR="00FC0C3F">
        <w:t>s</w:t>
      </w:r>
      <w:r w:rsidR="00BE6CEA" w:rsidRPr="00BE6CEA">
        <w:t xml:space="preserve"> to water, the fo</w:t>
      </w:r>
      <w:r w:rsidR="00DB6E00">
        <w:t>rthcoming Global Mercury Assess</w:t>
      </w:r>
      <w:r w:rsidR="00BE6CEA" w:rsidRPr="00BE6CEA">
        <w:t xml:space="preserve">ment 2018 </w:t>
      </w:r>
      <w:r w:rsidR="00902A66">
        <w:t>would</w:t>
      </w:r>
      <w:r w:rsidR="00BE6CEA" w:rsidRPr="00BE6CEA">
        <w:t xml:space="preserve"> be a good source of information on the main sources of releases to water, referring to the following potentially rele</w:t>
      </w:r>
      <w:r w:rsidR="00DB6E00">
        <w:t>vant sources: production of non-</w:t>
      </w:r>
      <w:r w:rsidR="00BE6CEA" w:rsidRPr="00BE6CEA">
        <w:t>ferrous metals; production of mercury metal; production of gold from large</w:t>
      </w:r>
      <w:r w:rsidR="004D1E58">
        <w:t>-</w:t>
      </w:r>
      <w:r w:rsidR="00BE6CEA" w:rsidRPr="00BE6CEA">
        <w:t>scale mining; oil refining; municipal wastewater; coal</w:t>
      </w:r>
      <w:r w:rsidR="004D1E58">
        <w:t>-</w:t>
      </w:r>
      <w:r w:rsidR="00BE6CEA" w:rsidRPr="00BE6CEA">
        <w:t>fired power plants; and coal washing</w:t>
      </w:r>
      <w:r w:rsidR="00DB6E00">
        <w:t xml:space="preserve">. </w:t>
      </w:r>
      <w:r w:rsidRPr="00976789">
        <w:t xml:space="preserve">The submissions are available on the Convention website at </w:t>
      </w:r>
      <w:hyperlink r:id="rId11" w:history="1">
        <w:r w:rsidR="0013415C" w:rsidRPr="00E122EB">
          <w:t>http://mercuryconvention.org/Meetings/Intersessionalnbsp;work/tabid/6325/language/</w:t>
        </w:r>
        <w:r w:rsidR="0013415C" w:rsidRPr="00E122EB">
          <w:br/>
        </w:r>
        <w:proofErr w:type="spellStart"/>
        <w:r w:rsidR="0013415C" w:rsidRPr="00E122EB">
          <w:t>en</w:t>
        </w:r>
        <w:proofErr w:type="spellEnd"/>
        <w:r w:rsidR="0013415C" w:rsidRPr="00E122EB">
          <w:t>-US/Default.aspx</w:t>
        </w:r>
      </w:hyperlink>
      <w:r w:rsidRPr="00976789">
        <w:t>.</w:t>
      </w:r>
    </w:p>
    <w:p w14:paraId="771A9671" w14:textId="68DF3AAF" w:rsidR="001D2D56" w:rsidRPr="00976789"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 xml:space="preserve">While the Conference of the Parties </w:t>
      </w:r>
      <w:r w:rsidR="00401406" w:rsidRPr="00976789">
        <w:t xml:space="preserve">in its decision </w:t>
      </w:r>
      <w:r w:rsidRPr="00976789">
        <w:t xml:space="preserve">encouraged parties to identify relevant point sources at the national level pursuant to paragraphs 2 (b) and 3 of article 9 as soon as possible, the obligation under article 9 is for parties to do this “no later than three years after the date of entry into force of the Convention for </w:t>
      </w:r>
      <w:r w:rsidR="00401406" w:rsidRPr="00976789">
        <w:t>[the party in question]</w:t>
      </w:r>
      <w:r w:rsidRPr="00976789">
        <w:t xml:space="preserve"> and on a regular basis thereafter”.</w:t>
      </w:r>
      <w:r w:rsidR="0085696F" w:rsidRPr="00976789">
        <w:t xml:space="preserve"> </w:t>
      </w:r>
      <w:r w:rsidRPr="00976789">
        <w:t xml:space="preserve">Furthermore, parties are required to include information on implementation of this </w:t>
      </w:r>
      <w:r w:rsidR="00FB67FD" w:rsidRPr="00976789">
        <w:t>a</w:t>
      </w:r>
      <w:r w:rsidRPr="00976789">
        <w:t xml:space="preserve">rticle in reports submitted pursuant to Article 21. The Conference of the Parties in its decision MC-1/8 decided that </w:t>
      </w:r>
      <w:r w:rsidR="00FB67FD" w:rsidRPr="00976789">
        <w:t xml:space="preserve">the </w:t>
      </w:r>
      <w:r w:rsidRPr="00976789">
        <w:t>first full report</w:t>
      </w:r>
      <w:r w:rsidR="00FB67FD" w:rsidRPr="00976789">
        <w:t>s should</w:t>
      </w:r>
      <w:r w:rsidRPr="00976789">
        <w:t xml:space="preserve"> be submitted by 31 December 2021. </w:t>
      </w:r>
      <w:r w:rsidR="003436EE" w:rsidRPr="00976789">
        <w:t>By</w:t>
      </w:r>
      <w:r w:rsidRPr="00976789">
        <w:t xml:space="preserve"> that time, the extent and nature of releases will be clearer, and the Conference of the Parties w</w:t>
      </w:r>
      <w:r w:rsidR="00FB67FD" w:rsidRPr="00976789">
        <w:t>ill</w:t>
      </w:r>
      <w:r w:rsidRPr="00976789">
        <w:t xml:space="preserve"> be better placed to develop relevant guidance on their management. </w:t>
      </w:r>
    </w:p>
    <w:p w14:paraId="520A7079" w14:textId="77777777" w:rsidR="001D2D56" w:rsidRPr="001B764C" w:rsidRDefault="001D2D56" w:rsidP="00976789">
      <w:pPr>
        <w:pStyle w:val="CH2"/>
      </w:pPr>
      <w:r w:rsidRPr="00976789">
        <w:rPr>
          <w:b w:val="0"/>
        </w:rPr>
        <w:tab/>
      </w:r>
      <w:r w:rsidRPr="00976789">
        <w:rPr>
          <w:b w:val="0"/>
        </w:rPr>
        <w:tab/>
      </w:r>
      <w:r w:rsidRPr="001B764C">
        <w:t>Suggested action by the Conference of the Parties</w:t>
      </w:r>
    </w:p>
    <w:p w14:paraId="7589C2DF" w14:textId="7D50E65D" w:rsidR="001D2D56" w:rsidRPr="00976789" w:rsidRDefault="001D2D56" w:rsidP="00976789">
      <w:pPr>
        <w:pStyle w:val="Normalnumber"/>
        <w:numPr>
          <w:ilvl w:val="0"/>
          <w:numId w:val="37"/>
        </w:numPr>
        <w:tabs>
          <w:tab w:val="clear" w:pos="1247"/>
          <w:tab w:val="clear" w:pos="1814"/>
          <w:tab w:val="clear" w:pos="2381"/>
          <w:tab w:val="clear" w:pos="2948"/>
          <w:tab w:val="clear" w:pos="3515"/>
          <w:tab w:val="clear" w:pos="4082"/>
          <w:tab w:val="left" w:pos="624"/>
        </w:tabs>
        <w:ind w:left="1247" w:firstLine="0"/>
      </w:pPr>
      <w:r w:rsidRPr="00976789">
        <w:t xml:space="preserve">As </w:t>
      </w:r>
      <w:r w:rsidR="00DB6E00">
        <w:t xml:space="preserve">only one party </w:t>
      </w:r>
      <w:r w:rsidR="004A5A14">
        <w:t>has</w:t>
      </w:r>
      <w:r w:rsidR="00DB6E00">
        <w:t xml:space="preserve"> </w:t>
      </w:r>
      <w:r w:rsidRPr="00976789">
        <w:t xml:space="preserve">identified </w:t>
      </w:r>
      <w:r w:rsidR="00DB6E00">
        <w:t xml:space="preserve">potentially </w:t>
      </w:r>
      <w:r w:rsidRPr="00976789">
        <w:t>relevant sources of releases under article 9 of the Convention, the Conference of the Parties may wish to defer any work on the development of guidance on best available techniques and best environmental practices until after the first full report</w:t>
      </w:r>
      <w:r w:rsidR="00FB67FD" w:rsidRPr="00976789">
        <w:t>s</w:t>
      </w:r>
      <w:r w:rsidRPr="00976789">
        <w:t xml:space="preserve"> from parties </w:t>
      </w:r>
      <w:r w:rsidR="004A5A14">
        <w:t xml:space="preserve">are received </w:t>
      </w:r>
      <w:r w:rsidRPr="00976789">
        <w:t xml:space="preserve">by 31 December 2021. Parties may wish to provide relevant information to the secretariat as it becomes available, and the Conference of the Parties may wish to reconsider the issue at its first meeting after the submission of the full reports. A draft decision is set out in </w:t>
      </w:r>
      <w:r w:rsidR="007E0C10" w:rsidRPr="00976789">
        <w:t>the a</w:t>
      </w:r>
      <w:r w:rsidRPr="00976789">
        <w:t>nnex to this note</w:t>
      </w:r>
      <w:r w:rsidR="00471EFD" w:rsidRPr="00976789">
        <w:t>.</w:t>
      </w:r>
    </w:p>
    <w:p w14:paraId="7AD6ED40" w14:textId="2DF607BB" w:rsidR="00E34F4B" w:rsidRPr="00E34F4B" w:rsidRDefault="00E34F4B" w:rsidP="00E34F4B">
      <w:pPr>
        <w:pStyle w:val="Normal-pool"/>
      </w:pPr>
      <w:r w:rsidRPr="00E34F4B">
        <w:br w:type="page"/>
      </w:r>
    </w:p>
    <w:p w14:paraId="1C5546C9" w14:textId="3BEF9892" w:rsidR="001D2D56" w:rsidRDefault="001D2D56" w:rsidP="00976789">
      <w:pPr>
        <w:pStyle w:val="ZZAnxheader"/>
      </w:pPr>
      <w:r>
        <w:lastRenderedPageBreak/>
        <w:t>Annex</w:t>
      </w:r>
    </w:p>
    <w:p w14:paraId="0E8958A0" w14:textId="77777777" w:rsidR="001D2D56" w:rsidRPr="00D210CE" w:rsidRDefault="001D2D56" w:rsidP="001D2D56">
      <w:pPr>
        <w:pStyle w:val="ZZAnxtitle"/>
      </w:pPr>
      <w:r>
        <w:t>Draft decision MC-2</w:t>
      </w:r>
      <w:r w:rsidRPr="00D210CE">
        <w:t>/</w:t>
      </w:r>
      <w:r>
        <w:t>[XX]</w:t>
      </w:r>
      <w:r w:rsidRPr="00D210CE">
        <w:t xml:space="preserve">: </w:t>
      </w:r>
      <w:r>
        <w:t>Releases</w:t>
      </w:r>
      <w:r w:rsidRPr="00D210CE">
        <w:t xml:space="preserve"> </w:t>
      </w:r>
    </w:p>
    <w:p w14:paraId="4619B02A" w14:textId="23A27752" w:rsidR="001D2D56" w:rsidRPr="00976789"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976789">
        <w:rPr>
          <w:i/>
        </w:rPr>
        <w:t>The Conference of the Parties,</w:t>
      </w:r>
    </w:p>
    <w:p w14:paraId="62882461" w14:textId="71BCEB28" w:rsidR="001D2D56" w:rsidRPr="004A5A14"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976789">
        <w:rPr>
          <w:i/>
        </w:rPr>
        <w:t xml:space="preserve">Recognizing </w:t>
      </w:r>
      <w:r w:rsidRPr="00976789">
        <w:rPr>
          <w:iCs/>
        </w:rPr>
        <w:t xml:space="preserve">the requirement for the Conference of the Parties to adopt, as soon as practicable, guidance on best available techniques and best environmental practices </w:t>
      </w:r>
      <w:r w:rsidR="0074592E" w:rsidRPr="00976789">
        <w:rPr>
          <w:iCs/>
        </w:rPr>
        <w:t>for</w:t>
      </w:r>
      <w:r w:rsidRPr="00976789">
        <w:rPr>
          <w:iCs/>
        </w:rPr>
        <w:t xml:space="preserve"> control</w:t>
      </w:r>
      <w:r w:rsidR="0074592E" w:rsidRPr="00976789">
        <w:rPr>
          <w:iCs/>
        </w:rPr>
        <w:t>ling</w:t>
      </w:r>
      <w:r w:rsidRPr="00976789">
        <w:rPr>
          <w:iCs/>
        </w:rPr>
        <w:t xml:space="preserve"> releases from relevant sources, and </w:t>
      </w:r>
      <w:r w:rsidR="0074592E" w:rsidRPr="00976789">
        <w:rPr>
          <w:iCs/>
        </w:rPr>
        <w:t xml:space="preserve">on </w:t>
      </w:r>
      <w:r w:rsidRPr="00976789">
        <w:rPr>
          <w:iCs/>
        </w:rPr>
        <w:t xml:space="preserve">the methodology for </w:t>
      </w:r>
      <w:r w:rsidRPr="004A5A14">
        <w:rPr>
          <w:iCs/>
        </w:rPr>
        <w:t>preparing inventories of releases from such sources,</w:t>
      </w:r>
    </w:p>
    <w:p w14:paraId="1BE89760" w14:textId="477BB5D0" w:rsidR="001D2D56" w:rsidRPr="004A5A14"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4A5A14">
        <w:rPr>
          <w:i/>
        </w:rPr>
        <w:t>Noting</w:t>
      </w:r>
      <w:r w:rsidRPr="004A5A14">
        <w:rPr>
          <w:iCs/>
        </w:rPr>
        <w:t xml:space="preserve"> that, to date, information</w:t>
      </w:r>
      <w:r w:rsidR="000476E5" w:rsidRPr="004A5A14">
        <w:rPr>
          <w:iCs/>
        </w:rPr>
        <w:t xml:space="preserve"> </w:t>
      </w:r>
      <w:r w:rsidRPr="004A5A14">
        <w:rPr>
          <w:iCs/>
        </w:rPr>
        <w:t xml:space="preserve">identifying </w:t>
      </w:r>
      <w:r w:rsidR="000476E5" w:rsidRPr="00E122EB">
        <w:rPr>
          <w:iCs/>
        </w:rPr>
        <w:t xml:space="preserve">potentially </w:t>
      </w:r>
      <w:r w:rsidRPr="004A5A14">
        <w:rPr>
          <w:iCs/>
        </w:rPr>
        <w:t>relevant point sources within the scope of article 9</w:t>
      </w:r>
      <w:r w:rsidR="00FF3F68" w:rsidRPr="00E122EB">
        <w:rPr>
          <w:iCs/>
        </w:rPr>
        <w:t xml:space="preserve"> has been submitted by only one party</w:t>
      </w:r>
      <w:r w:rsidR="0074592E" w:rsidRPr="004A5A14">
        <w:rPr>
          <w:iCs/>
        </w:rPr>
        <w:t>,</w:t>
      </w:r>
    </w:p>
    <w:p w14:paraId="43BC1674" w14:textId="11DD91F2" w:rsidR="001D2D56" w:rsidRPr="00976789" w:rsidRDefault="001D2D56" w:rsidP="00976789">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4A5A14">
        <w:rPr>
          <w:i/>
        </w:rPr>
        <w:t>Recogni</w:t>
      </w:r>
      <w:r w:rsidR="0074592E" w:rsidRPr="004A5A14">
        <w:rPr>
          <w:i/>
        </w:rPr>
        <w:t>z</w:t>
      </w:r>
      <w:r w:rsidRPr="004A5A14">
        <w:rPr>
          <w:i/>
        </w:rPr>
        <w:t xml:space="preserve">ing </w:t>
      </w:r>
      <w:r w:rsidRPr="004A5A14">
        <w:rPr>
          <w:iCs/>
        </w:rPr>
        <w:t xml:space="preserve">that </w:t>
      </w:r>
      <w:r w:rsidR="00400697" w:rsidRPr="004A5A14">
        <w:rPr>
          <w:iCs/>
        </w:rPr>
        <w:t>P</w:t>
      </w:r>
      <w:r w:rsidRPr="004A5A14">
        <w:rPr>
          <w:iCs/>
        </w:rPr>
        <w:t>arties will report on their relevant sources of release</w:t>
      </w:r>
      <w:r w:rsidR="0074592E" w:rsidRPr="004A5A14">
        <w:rPr>
          <w:iCs/>
        </w:rPr>
        <w:t>s</w:t>
      </w:r>
      <w:r w:rsidRPr="00976789">
        <w:rPr>
          <w:iCs/>
        </w:rPr>
        <w:t xml:space="preserve"> and </w:t>
      </w:r>
      <w:r w:rsidR="0074592E" w:rsidRPr="00976789">
        <w:rPr>
          <w:iCs/>
        </w:rPr>
        <w:t xml:space="preserve">on </w:t>
      </w:r>
      <w:r w:rsidRPr="00976789">
        <w:rPr>
          <w:iCs/>
        </w:rPr>
        <w:t xml:space="preserve">measures </w:t>
      </w:r>
      <w:r w:rsidR="0074592E" w:rsidRPr="00976789">
        <w:rPr>
          <w:iCs/>
        </w:rPr>
        <w:t>for</w:t>
      </w:r>
      <w:r w:rsidRPr="00976789">
        <w:rPr>
          <w:iCs/>
        </w:rPr>
        <w:t xml:space="preserve"> control</w:t>
      </w:r>
      <w:r w:rsidR="0074592E" w:rsidRPr="00976789">
        <w:rPr>
          <w:iCs/>
        </w:rPr>
        <w:t>ling</w:t>
      </w:r>
      <w:r w:rsidRPr="00976789">
        <w:rPr>
          <w:iCs/>
        </w:rPr>
        <w:t xml:space="preserve"> them in their reports pursuant to Article 21</w:t>
      </w:r>
      <w:r w:rsidR="0074592E" w:rsidRPr="00976789">
        <w:rPr>
          <w:iCs/>
        </w:rPr>
        <w:t>,</w:t>
      </w:r>
      <w:r w:rsidRPr="00976789">
        <w:rPr>
          <w:i/>
        </w:rPr>
        <w:t xml:space="preserve"> </w:t>
      </w:r>
    </w:p>
    <w:p w14:paraId="21B63663" w14:textId="7A07CA7B" w:rsidR="001D2D56" w:rsidRPr="00976789"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rPr>
          <w:i/>
        </w:rPr>
      </w:pPr>
      <w:r w:rsidRPr="00976789">
        <w:rPr>
          <w:i/>
        </w:rPr>
        <w:t>Decides</w:t>
      </w:r>
      <w:r w:rsidRPr="00976789">
        <w:t xml:space="preserve"> to take action on the development of guidance on best available techniques and best environmental practices to control releases </w:t>
      </w:r>
      <w:r w:rsidRPr="00CE6272">
        <w:t xml:space="preserve">from relevant sources, following consideration of the reports from </w:t>
      </w:r>
      <w:r w:rsidR="00400697" w:rsidRPr="00CE6272">
        <w:t>P</w:t>
      </w:r>
      <w:r w:rsidRPr="00CE6272">
        <w:t>arties pursuant to Article 21;</w:t>
      </w:r>
      <w:r w:rsidRPr="00CE6272">
        <w:rPr>
          <w:i/>
        </w:rPr>
        <w:t xml:space="preserve"> </w:t>
      </w:r>
    </w:p>
    <w:p w14:paraId="66512A10" w14:textId="129C1010" w:rsidR="001D2D56" w:rsidRPr="00976789"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pPr>
      <w:r w:rsidRPr="00976789">
        <w:rPr>
          <w:i/>
        </w:rPr>
        <w:t>Encourage</w:t>
      </w:r>
      <w:r w:rsidR="0074592E" w:rsidRPr="00976789">
        <w:rPr>
          <w:i/>
        </w:rPr>
        <w:t>s</w:t>
      </w:r>
      <w:r w:rsidRPr="00976789">
        <w:rPr>
          <w:i/>
        </w:rPr>
        <w:t xml:space="preserve"> </w:t>
      </w:r>
      <w:r w:rsidRPr="00976789">
        <w:rPr>
          <w:iCs/>
        </w:rPr>
        <w:t xml:space="preserve">the submission of available information on relevant point sources to the secretariat in the interim period pending submission of the full reports pursuant to Article 21; </w:t>
      </w:r>
    </w:p>
    <w:p w14:paraId="52C78732" w14:textId="3037FB7B" w:rsidR="001D2D56" w:rsidRPr="00976789" w:rsidRDefault="001D2D56" w:rsidP="001D2D56">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pPr>
      <w:r w:rsidRPr="00976789">
        <w:rPr>
          <w:i/>
        </w:rPr>
        <w:t xml:space="preserve">Requests </w:t>
      </w:r>
      <w:r w:rsidRPr="00976789">
        <w:rPr>
          <w:iCs/>
        </w:rPr>
        <w:t xml:space="preserve">the secretariat to compile information from the reports of </w:t>
      </w:r>
      <w:r w:rsidR="00AB4558">
        <w:rPr>
          <w:iCs/>
        </w:rPr>
        <w:t>Parties</w:t>
      </w:r>
      <w:r w:rsidR="00103F61" w:rsidRPr="00976789">
        <w:rPr>
          <w:iCs/>
        </w:rPr>
        <w:t xml:space="preserve"> </w:t>
      </w:r>
      <w:r w:rsidRPr="00976789">
        <w:rPr>
          <w:iCs/>
        </w:rPr>
        <w:t>and other sources</w:t>
      </w:r>
      <w:r w:rsidR="0074592E" w:rsidRPr="00976789">
        <w:rPr>
          <w:iCs/>
        </w:rPr>
        <w:t>,</w:t>
      </w:r>
      <w:r w:rsidRPr="00976789">
        <w:rPr>
          <w:iCs/>
        </w:rPr>
        <w:t xml:space="preserve"> and to provide such information to the Conference of the Parties at </w:t>
      </w:r>
      <w:r w:rsidR="0074592E" w:rsidRPr="00976789">
        <w:rPr>
          <w:iCs/>
        </w:rPr>
        <w:t>its</w:t>
      </w:r>
      <w:r w:rsidRPr="00976789">
        <w:rPr>
          <w:iCs/>
        </w:rPr>
        <w:t xml:space="preserve"> first meeting following the submission of full reports</w:t>
      </w:r>
      <w:r w:rsidRPr="00976789">
        <w:rPr>
          <w:i/>
        </w:rPr>
        <w:t>.</w:t>
      </w:r>
    </w:p>
    <w:p w14:paraId="1106A378" w14:textId="77777777" w:rsidR="001D2D56" w:rsidRPr="0013415C" w:rsidRDefault="001D2D56" w:rsidP="00E34F4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5"/>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34C1" w14:textId="77777777" w:rsidR="00067D06" w:rsidRDefault="00067D06">
      <w:r>
        <w:separator/>
      </w:r>
    </w:p>
  </w:endnote>
  <w:endnote w:type="continuationSeparator" w:id="0">
    <w:p w14:paraId="6FBED18C" w14:textId="77777777" w:rsidR="00067D06" w:rsidRDefault="0006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3D40891" w:rsidR="006111FE" w:rsidRDefault="006111FE" w:rsidP="005722E5">
    <w:pPr>
      <w:pStyle w:val="Footer"/>
      <w:tabs>
        <w:tab w:val="clear" w:pos="1247"/>
        <w:tab w:val="clear" w:pos="1814"/>
        <w:tab w:val="clear" w:pos="2381"/>
        <w:tab w:val="clear" w:pos="2948"/>
        <w:tab w:val="clear" w:pos="3515"/>
        <w:tab w:val="clear" w:pos="4320"/>
        <w:tab w:val="clear" w:pos="8640"/>
        <w:tab w:val="center" w:pos="4748"/>
      </w:tabs>
    </w:pPr>
    <w:r>
      <w:rPr>
        <w:rStyle w:val="PageNumber"/>
      </w:rPr>
      <w:fldChar w:fldCharType="begin"/>
    </w:r>
    <w:r>
      <w:rPr>
        <w:rStyle w:val="PageNumber"/>
      </w:rPr>
      <w:instrText xml:space="preserve"> PAGE </w:instrText>
    </w:r>
    <w:r>
      <w:rPr>
        <w:rStyle w:val="PageNumber"/>
      </w:rPr>
      <w:fldChar w:fldCharType="separate"/>
    </w:r>
    <w:r w:rsidR="005722E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57BF127"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722E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6AE47A15" w:rsidR="004455F3" w:rsidRDefault="00B30442" w:rsidP="00B848A1">
    <w:pPr>
      <w:pStyle w:val="Footer"/>
      <w:tabs>
        <w:tab w:val="clear" w:pos="1247"/>
        <w:tab w:val="clear" w:pos="1814"/>
        <w:tab w:val="clear" w:pos="2381"/>
        <w:tab w:val="clear" w:pos="2948"/>
        <w:tab w:val="clear" w:pos="3515"/>
        <w:tab w:val="clear" w:pos="4320"/>
        <w:tab w:val="clear" w:pos="8640"/>
        <w:tab w:val="left" w:pos="624"/>
      </w:tabs>
    </w:pPr>
    <w:r>
      <w:t>K1802314</w:t>
    </w:r>
    <w:r w:rsidR="004455F3">
      <w:tab/>
    </w:r>
    <w:r w:rsidR="005722E5">
      <w:t>0310</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5692" w14:textId="77777777" w:rsidR="00067D06" w:rsidRDefault="00067D06" w:rsidP="00B86BDF">
      <w:pPr>
        <w:spacing w:before="60"/>
        <w:ind w:left="624"/>
      </w:pPr>
      <w:r>
        <w:separator/>
      </w:r>
    </w:p>
  </w:footnote>
  <w:footnote w:type="continuationSeparator" w:id="0">
    <w:p w14:paraId="66D73CD3" w14:textId="77777777" w:rsidR="00067D06" w:rsidRDefault="00067D06">
      <w:r>
        <w:continuationSeparator/>
      </w:r>
    </w:p>
  </w:footnote>
  <w:footnote w:id="1">
    <w:p w14:paraId="4105DAF3" w14:textId="77777777" w:rsidR="001D2D56" w:rsidRPr="00B30442" w:rsidRDefault="001D2D56" w:rsidP="001D2D56">
      <w:pPr>
        <w:tabs>
          <w:tab w:val="left" w:pos="624"/>
        </w:tabs>
        <w:spacing w:before="20" w:after="40"/>
        <w:ind w:left="1247"/>
        <w:rPr>
          <w:sz w:val="18"/>
          <w:szCs w:val="18"/>
        </w:rPr>
      </w:pPr>
      <w:r w:rsidRPr="00B30442">
        <w:rPr>
          <w:sz w:val="18"/>
          <w:szCs w:val="18"/>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3B28D923"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1D2D56">
      <w:rPr>
        <w:szCs w:val="18"/>
      </w:rPr>
      <w:t>4</w:t>
    </w:r>
    <w:r w:rsidR="00F84E4F">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37ABFA8"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5E7EFC">
      <w:rPr>
        <w:szCs w:val="18"/>
      </w:rPr>
      <w:t>2</w:t>
    </w:r>
    <w:r w:rsidRPr="00CA5CA9">
      <w:rPr>
        <w:szCs w:val="18"/>
      </w:rPr>
      <w:t>/</w:t>
    </w:r>
    <w:r w:rsidR="001D2D56">
      <w:rPr>
        <w:szCs w:val="18"/>
      </w:rPr>
      <w:t>4</w:t>
    </w:r>
    <w:r w:rsidR="00F84E4F">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7AA676E"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 w:numId="38">
    <w:abstractNumId w:val="5"/>
  </w:num>
  <w:num w:numId="39">
    <w:abstractNumId w:val="4"/>
  </w:num>
  <w:num w:numId="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76E5"/>
    <w:rsid w:val="000509B4"/>
    <w:rsid w:val="0006035B"/>
    <w:rsid w:val="0006096F"/>
    <w:rsid w:val="000649C5"/>
    <w:rsid w:val="00065554"/>
    <w:rsid w:val="00067D06"/>
    <w:rsid w:val="00071886"/>
    <w:rsid w:val="000742BC"/>
    <w:rsid w:val="00076CC6"/>
    <w:rsid w:val="00082A0C"/>
    <w:rsid w:val="00083504"/>
    <w:rsid w:val="0009125A"/>
    <w:rsid w:val="0009640C"/>
    <w:rsid w:val="000A34F8"/>
    <w:rsid w:val="000B22A2"/>
    <w:rsid w:val="000B2815"/>
    <w:rsid w:val="000B541B"/>
    <w:rsid w:val="000B73F9"/>
    <w:rsid w:val="000C2A52"/>
    <w:rsid w:val="000C2A88"/>
    <w:rsid w:val="000D33C0"/>
    <w:rsid w:val="000D4CF6"/>
    <w:rsid w:val="000D6941"/>
    <w:rsid w:val="000F3DCD"/>
    <w:rsid w:val="000F4829"/>
    <w:rsid w:val="000F6B21"/>
    <w:rsid w:val="00102EFB"/>
    <w:rsid w:val="00103F61"/>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6D34"/>
    <w:rsid w:val="00177D7F"/>
    <w:rsid w:val="00180C3F"/>
    <w:rsid w:val="00181EC8"/>
    <w:rsid w:val="00184349"/>
    <w:rsid w:val="00195F33"/>
    <w:rsid w:val="001A47E5"/>
    <w:rsid w:val="001B1617"/>
    <w:rsid w:val="001B504B"/>
    <w:rsid w:val="001B6F98"/>
    <w:rsid w:val="001B764C"/>
    <w:rsid w:val="001C191A"/>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520"/>
    <w:rsid w:val="00225E21"/>
    <w:rsid w:val="00225E44"/>
    <w:rsid w:val="00234E78"/>
    <w:rsid w:val="00243D36"/>
    <w:rsid w:val="00246151"/>
    <w:rsid w:val="00247707"/>
    <w:rsid w:val="00252456"/>
    <w:rsid w:val="0026018E"/>
    <w:rsid w:val="00267570"/>
    <w:rsid w:val="00282AA4"/>
    <w:rsid w:val="00286740"/>
    <w:rsid w:val="00291EAE"/>
    <w:rsid w:val="002929D8"/>
    <w:rsid w:val="002A237D"/>
    <w:rsid w:val="002A4C53"/>
    <w:rsid w:val="002B0672"/>
    <w:rsid w:val="002B247F"/>
    <w:rsid w:val="002B3321"/>
    <w:rsid w:val="002B50D4"/>
    <w:rsid w:val="002B58BF"/>
    <w:rsid w:val="002C145D"/>
    <w:rsid w:val="002C2C3E"/>
    <w:rsid w:val="002C533E"/>
    <w:rsid w:val="002D027F"/>
    <w:rsid w:val="002D3E15"/>
    <w:rsid w:val="002D7A85"/>
    <w:rsid w:val="002D7B60"/>
    <w:rsid w:val="002F15A5"/>
    <w:rsid w:val="002F4761"/>
    <w:rsid w:val="002F5C79"/>
    <w:rsid w:val="002F68EE"/>
    <w:rsid w:val="003019E2"/>
    <w:rsid w:val="00310BEB"/>
    <w:rsid w:val="0031413F"/>
    <w:rsid w:val="00314854"/>
    <w:rsid w:val="003148BB"/>
    <w:rsid w:val="00317976"/>
    <w:rsid w:val="00320F2F"/>
    <w:rsid w:val="0032457E"/>
    <w:rsid w:val="00325D38"/>
    <w:rsid w:val="003436EE"/>
    <w:rsid w:val="0035277E"/>
    <w:rsid w:val="00355EA9"/>
    <w:rsid w:val="003578DE"/>
    <w:rsid w:val="00361688"/>
    <w:rsid w:val="00367FD2"/>
    <w:rsid w:val="00370AEC"/>
    <w:rsid w:val="00380921"/>
    <w:rsid w:val="003877D5"/>
    <w:rsid w:val="003929B8"/>
    <w:rsid w:val="00393432"/>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0697"/>
    <w:rsid w:val="00401406"/>
    <w:rsid w:val="00405DE0"/>
    <w:rsid w:val="00410C55"/>
    <w:rsid w:val="004156B9"/>
    <w:rsid w:val="00416854"/>
    <w:rsid w:val="00417725"/>
    <w:rsid w:val="0042266F"/>
    <w:rsid w:val="00434321"/>
    <w:rsid w:val="00437F26"/>
    <w:rsid w:val="00444097"/>
    <w:rsid w:val="00445487"/>
    <w:rsid w:val="004455F3"/>
    <w:rsid w:val="00447E0D"/>
    <w:rsid w:val="00453EA8"/>
    <w:rsid w:val="00454769"/>
    <w:rsid w:val="00466991"/>
    <w:rsid w:val="0047064C"/>
    <w:rsid w:val="00471EFD"/>
    <w:rsid w:val="004822B7"/>
    <w:rsid w:val="0048795D"/>
    <w:rsid w:val="0049469E"/>
    <w:rsid w:val="004A2217"/>
    <w:rsid w:val="004A24F9"/>
    <w:rsid w:val="004A42E1"/>
    <w:rsid w:val="004A5A14"/>
    <w:rsid w:val="004B162C"/>
    <w:rsid w:val="004B2ABE"/>
    <w:rsid w:val="004C3DBE"/>
    <w:rsid w:val="004C5C96"/>
    <w:rsid w:val="004D06A4"/>
    <w:rsid w:val="004D1E58"/>
    <w:rsid w:val="004E7605"/>
    <w:rsid w:val="004F1A81"/>
    <w:rsid w:val="004F5D88"/>
    <w:rsid w:val="00501354"/>
    <w:rsid w:val="005050D2"/>
    <w:rsid w:val="005143C3"/>
    <w:rsid w:val="005218D9"/>
    <w:rsid w:val="00536186"/>
    <w:rsid w:val="00544CBB"/>
    <w:rsid w:val="00545DED"/>
    <w:rsid w:val="00551B65"/>
    <w:rsid w:val="00556704"/>
    <w:rsid w:val="005656D7"/>
    <w:rsid w:val="005722E5"/>
    <w:rsid w:val="0057315F"/>
    <w:rsid w:val="0057433C"/>
    <w:rsid w:val="00576104"/>
    <w:rsid w:val="00586418"/>
    <w:rsid w:val="00592B21"/>
    <w:rsid w:val="005B2DF4"/>
    <w:rsid w:val="005B44BF"/>
    <w:rsid w:val="005B5A93"/>
    <w:rsid w:val="005C67C8"/>
    <w:rsid w:val="005D0249"/>
    <w:rsid w:val="005D18FA"/>
    <w:rsid w:val="005D4FD4"/>
    <w:rsid w:val="005D6E8C"/>
    <w:rsid w:val="005E3004"/>
    <w:rsid w:val="005E7EFC"/>
    <w:rsid w:val="005F100C"/>
    <w:rsid w:val="005F68DA"/>
    <w:rsid w:val="005F7419"/>
    <w:rsid w:val="00601BC9"/>
    <w:rsid w:val="0060773B"/>
    <w:rsid w:val="006111FE"/>
    <w:rsid w:val="00613FD6"/>
    <w:rsid w:val="006157B5"/>
    <w:rsid w:val="00617224"/>
    <w:rsid w:val="0062338D"/>
    <w:rsid w:val="00626FC6"/>
    <w:rsid w:val="006303B4"/>
    <w:rsid w:val="00630ADC"/>
    <w:rsid w:val="00633D3D"/>
    <w:rsid w:val="00641703"/>
    <w:rsid w:val="006431A6"/>
    <w:rsid w:val="00643E3A"/>
    <w:rsid w:val="006459F6"/>
    <w:rsid w:val="0064735D"/>
    <w:rsid w:val="006501AD"/>
    <w:rsid w:val="00651BFA"/>
    <w:rsid w:val="00654475"/>
    <w:rsid w:val="00656DF0"/>
    <w:rsid w:val="00665A4B"/>
    <w:rsid w:val="00670FAE"/>
    <w:rsid w:val="00677848"/>
    <w:rsid w:val="00692E2A"/>
    <w:rsid w:val="0069496A"/>
    <w:rsid w:val="00696C1C"/>
    <w:rsid w:val="006A76F2"/>
    <w:rsid w:val="006B7D29"/>
    <w:rsid w:val="006C2CFD"/>
    <w:rsid w:val="006D19D4"/>
    <w:rsid w:val="006D5644"/>
    <w:rsid w:val="006D7EFB"/>
    <w:rsid w:val="006E6672"/>
    <w:rsid w:val="006E6722"/>
    <w:rsid w:val="006E7F65"/>
    <w:rsid w:val="006F7AFF"/>
    <w:rsid w:val="007027B9"/>
    <w:rsid w:val="007066B5"/>
    <w:rsid w:val="00714266"/>
    <w:rsid w:val="007145DA"/>
    <w:rsid w:val="00715E88"/>
    <w:rsid w:val="00716D8B"/>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E0C10"/>
    <w:rsid w:val="007F0CF8"/>
    <w:rsid w:val="007F5E1B"/>
    <w:rsid w:val="007F62CB"/>
    <w:rsid w:val="008142EC"/>
    <w:rsid w:val="008164F2"/>
    <w:rsid w:val="00821395"/>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B594A"/>
    <w:rsid w:val="008C0B15"/>
    <w:rsid w:val="008D75E4"/>
    <w:rsid w:val="008D7C99"/>
    <w:rsid w:val="008E0FCB"/>
    <w:rsid w:val="008E46A9"/>
    <w:rsid w:val="008E673A"/>
    <w:rsid w:val="008F6DFE"/>
    <w:rsid w:val="00902A66"/>
    <w:rsid w:val="0090529F"/>
    <w:rsid w:val="0092178C"/>
    <w:rsid w:val="00930B88"/>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76789"/>
    <w:rsid w:val="009907B9"/>
    <w:rsid w:val="00990918"/>
    <w:rsid w:val="009A3A83"/>
    <w:rsid w:val="009B4A0F"/>
    <w:rsid w:val="009C11D2"/>
    <w:rsid w:val="009C6C70"/>
    <w:rsid w:val="009C7B0A"/>
    <w:rsid w:val="009D0B63"/>
    <w:rsid w:val="009D5267"/>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5BF4"/>
    <w:rsid w:val="00AB4558"/>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30442"/>
    <w:rsid w:val="00B405B7"/>
    <w:rsid w:val="00B446F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48A1"/>
    <w:rsid w:val="00B85CFB"/>
    <w:rsid w:val="00B86BDF"/>
    <w:rsid w:val="00B914E9"/>
    <w:rsid w:val="00B91EE1"/>
    <w:rsid w:val="00B94602"/>
    <w:rsid w:val="00BA0090"/>
    <w:rsid w:val="00BA1A67"/>
    <w:rsid w:val="00BA6A80"/>
    <w:rsid w:val="00BB4ABB"/>
    <w:rsid w:val="00BC2C5E"/>
    <w:rsid w:val="00BC62BA"/>
    <w:rsid w:val="00BE5B5F"/>
    <w:rsid w:val="00BE6CEA"/>
    <w:rsid w:val="00BE7993"/>
    <w:rsid w:val="00C11971"/>
    <w:rsid w:val="00C179DE"/>
    <w:rsid w:val="00C26F55"/>
    <w:rsid w:val="00C30C63"/>
    <w:rsid w:val="00C30FF3"/>
    <w:rsid w:val="00C34D5C"/>
    <w:rsid w:val="00C3554B"/>
    <w:rsid w:val="00C36B8B"/>
    <w:rsid w:val="00C415C1"/>
    <w:rsid w:val="00C47DBF"/>
    <w:rsid w:val="00C552FF"/>
    <w:rsid w:val="00C558DA"/>
    <w:rsid w:val="00C55AF3"/>
    <w:rsid w:val="00C70137"/>
    <w:rsid w:val="00C771A9"/>
    <w:rsid w:val="00C82943"/>
    <w:rsid w:val="00C84759"/>
    <w:rsid w:val="00C923BB"/>
    <w:rsid w:val="00C93096"/>
    <w:rsid w:val="00CA5CA9"/>
    <w:rsid w:val="00CA6C7F"/>
    <w:rsid w:val="00CB007D"/>
    <w:rsid w:val="00CB60CA"/>
    <w:rsid w:val="00CC0FC7"/>
    <w:rsid w:val="00CC10A6"/>
    <w:rsid w:val="00CD5EB8"/>
    <w:rsid w:val="00CD7044"/>
    <w:rsid w:val="00CE08B9"/>
    <w:rsid w:val="00CE3515"/>
    <w:rsid w:val="00CE524C"/>
    <w:rsid w:val="00CE6272"/>
    <w:rsid w:val="00CF141F"/>
    <w:rsid w:val="00CF4777"/>
    <w:rsid w:val="00CF65C8"/>
    <w:rsid w:val="00D013F5"/>
    <w:rsid w:val="00D05E3F"/>
    <w:rsid w:val="00D067BB"/>
    <w:rsid w:val="00D1352A"/>
    <w:rsid w:val="00D1638E"/>
    <w:rsid w:val="00D169AF"/>
    <w:rsid w:val="00D200EF"/>
    <w:rsid w:val="00D25175"/>
    <w:rsid w:val="00D25249"/>
    <w:rsid w:val="00D26854"/>
    <w:rsid w:val="00D35459"/>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6E00"/>
    <w:rsid w:val="00DC1792"/>
    <w:rsid w:val="00DC274A"/>
    <w:rsid w:val="00DC46FF"/>
    <w:rsid w:val="00DC5254"/>
    <w:rsid w:val="00DC569D"/>
    <w:rsid w:val="00DD1A4F"/>
    <w:rsid w:val="00DD3107"/>
    <w:rsid w:val="00DD7C2C"/>
    <w:rsid w:val="00DE5BDA"/>
    <w:rsid w:val="00DF433C"/>
    <w:rsid w:val="00DF519F"/>
    <w:rsid w:val="00E0035A"/>
    <w:rsid w:val="00E06797"/>
    <w:rsid w:val="00E122EB"/>
    <w:rsid w:val="00E1265B"/>
    <w:rsid w:val="00E12E09"/>
    <w:rsid w:val="00E13B48"/>
    <w:rsid w:val="00E1404F"/>
    <w:rsid w:val="00E21C83"/>
    <w:rsid w:val="00E24ADA"/>
    <w:rsid w:val="00E25DBA"/>
    <w:rsid w:val="00E32F59"/>
    <w:rsid w:val="00E34F4B"/>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71DBF"/>
    <w:rsid w:val="00F8091E"/>
    <w:rsid w:val="00F84E4F"/>
    <w:rsid w:val="00F8615C"/>
    <w:rsid w:val="00F969E5"/>
    <w:rsid w:val="00FA4972"/>
    <w:rsid w:val="00FA6BB0"/>
    <w:rsid w:val="00FB2DBD"/>
    <w:rsid w:val="00FB67FD"/>
    <w:rsid w:val="00FC0C3F"/>
    <w:rsid w:val="00FD48DF"/>
    <w:rsid w:val="00FD5860"/>
    <w:rsid w:val="00FE352D"/>
    <w:rsid w:val="00FE40EB"/>
    <w:rsid w:val="00FE4D02"/>
    <w:rsid w:val="00FE7D62"/>
    <w:rsid w:val="00FF0DA0"/>
    <w:rsid w:val="00FF3819"/>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9">
      <v:textbox inset="5.85pt,.7pt,5.85pt,.7pt"/>
    </o:shapedefaults>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1"/>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1765-FD0D-4874-8633-D5619D73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5259</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3</cp:revision>
  <cp:lastPrinted>2018-07-06T09:38:00Z</cp:lastPrinted>
  <dcterms:created xsi:type="dcterms:W3CDTF">2018-10-03T07:20:00Z</dcterms:created>
  <dcterms:modified xsi:type="dcterms:W3CDTF">2018-10-03T07:23:00Z</dcterms:modified>
</cp:coreProperties>
</file>