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04"/>
        <w:gridCol w:w="4839"/>
        <w:gridCol w:w="3153"/>
      </w:tblGrid>
      <w:tr w:rsidR="007F33C2" w:rsidRPr="001E317B" w14:paraId="6F394113" w14:textId="77777777" w:rsidTr="00946ADE">
        <w:trPr>
          <w:cantSplit/>
          <w:trHeight w:val="850"/>
          <w:jc w:val="right"/>
        </w:trPr>
        <w:tc>
          <w:tcPr>
            <w:tcW w:w="1504" w:type="dxa"/>
          </w:tcPr>
          <w:p w14:paraId="1638734E" w14:textId="77777777" w:rsidR="005D542B" w:rsidRPr="001E317B" w:rsidRDefault="005D542B" w:rsidP="00BA6586">
            <w:pPr>
              <w:rPr>
                <w:rFonts w:ascii="Univers" w:hAnsi="Univers"/>
                <w:b/>
                <w:noProof/>
                <w:color w:val="000000" w:themeColor="text1"/>
                <w:sz w:val="27"/>
                <w:lang w:val="en-GB"/>
              </w:rPr>
            </w:pPr>
            <w:r w:rsidRPr="001E317B">
              <w:rPr>
                <w:rFonts w:ascii="Arial" w:hAnsi="Arial" w:cs="Arial"/>
                <w:b/>
                <w:noProof/>
                <w:color w:val="000000" w:themeColor="text1"/>
                <w:sz w:val="27"/>
                <w:lang w:val="en-GB"/>
              </w:rPr>
              <w:t xml:space="preserve">UNITED </w:t>
            </w:r>
            <w:r w:rsidRPr="001E317B">
              <w:rPr>
                <w:rFonts w:ascii="Arial" w:hAnsi="Arial" w:cs="Arial"/>
                <w:b/>
                <w:noProof/>
                <w:color w:val="000000" w:themeColor="text1"/>
                <w:sz w:val="27"/>
                <w:lang w:val="en-GB"/>
              </w:rPr>
              <w:br/>
              <w:t>NATIONS</w:t>
            </w:r>
          </w:p>
        </w:tc>
        <w:tc>
          <w:tcPr>
            <w:tcW w:w="4839" w:type="dxa"/>
          </w:tcPr>
          <w:p w14:paraId="0EAC46FD" w14:textId="77777777" w:rsidR="005D542B" w:rsidRPr="001E317B" w:rsidRDefault="005D542B" w:rsidP="00BA6586">
            <w:pPr>
              <w:rPr>
                <w:rFonts w:ascii="Univers" w:hAnsi="Univers"/>
                <w:b/>
                <w:color w:val="000000" w:themeColor="text1"/>
                <w:sz w:val="27"/>
                <w:lang w:val="en-GB"/>
              </w:rPr>
            </w:pPr>
          </w:p>
        </w:tc>
        <w:tc>
          <w:tcPr>
            <w:tcW w:w="3153" w:type="dxa"/>
          </w:tcPr>
          <w:p w14:paraId="022C0E9D" w14:textId="77777777" w:rsidR="005D542B" w:rsidRPr="001E317B" w:rsidRDefault="0001627D" w:rsidP="00BA6586">
            <w:pPr>
              <w:jc w:val="right"/>
              <w:rPr>
                <w:rFonts w:ascii="Arial" w:hAnsi="Arial" w:cs="Arial"/>
                <w:b/>
                <w:color w:val="000000" w:themeColor="text1"/>
                <w:sz w:val="64"/>
                <w:szCs w:val="64"/>
                <w:lang w:val="en-GB"/>
              </w:rPr>
            </w:pPr>
            <w:r w:rsidRPr="001E317B">
              <w:rPr>
                <w:rFonts w:ascii="Arial" w:hAnsi="Arial" w:cs="Arial"/>
                <w:b/>
                <w:color w:val="000000" w:themeColor="text1"/>
                <w:sz w:val="64"/>
                <w:szCs w:val="64"/>
                <w:lang w:val="en-GB"/>
              </w:rPr>
              <w:t>MC</w:t>
            </w:r>
          </w:p>
        </w:tc>
      </w:tr>
      <w:tr w:rsidR="007F33C2" w:rsidRPr="001E317B" w14:paraId="6EADEDF5" w14:textId="77777777" w:rsidTr="00946ADE">
        <w:trPr>
          <w:cantSplit/>
          <w:trHeight w:val="281"/>
          <w:jc w:val="right"/>
        </w:trPr>
        <w:tc>
          <w:tcPr>
            <w:tcW w:w="1504" w:type="dxa"/>
            <w:tcBorders>
              <w:bottom w:val="single" w:sz="4" w:space="0" w:color="auto"/>
            </w:tcBorders>
          </w:tcPr>
          <w:p w14:paraId="02825DE9" w14:textId="77777777" w:rsidR="005D542B" w:rsidRPr="001E317B" w:rsidRDefault="005D542B" w:rsidP="00BA6586">
            <w:pPr>
              <w:rPr>
                <w:noProof/>
                <w:color w:val="000000" w:themeColor="text1"/>
                <w:sz w:val="18"/>
                <w:lang w:val="en-GB"/>
              </w:rPr>
            </w:pPr>
          </w:p>
        </w:tc>
        <w:tc>
          <w:tcPr>
            <w:tcW w:w="4839" w:type="dxa"/>
            <w:tcBorders>
              <w:bottom w:val="single" w:sz="4" w:space="0" w:color="auto"/>
            </w:tcBorders>
          </w:tcPr>
          <w:p w14:paraId="5E595C54" w14:textId="77777777" w:rsidR="005D542B" w:rsidRPr="001E317B" w:rsidRDefault="005D542B" w:rsidP="00BA6586">
            <w:pPr>
              <w:rPr>
                <w:rFonts w:ascii="Univers" w:hAnsi="Univers"/>
                <w:b/>
                <w:color w:val="000000" w:themeColor="text1"/>
                <w:sz w:val="18"/>
                <w:lang w:val="en-GB"/>
              </w:rPr>
            </w:pPr>
          </w:p>
        </w:tc>
        <w:tc>
          <w:tcPr>
            <w:tcW w:w="3153" w:type="dxa"/>
            <w:tcBorders>
              <w:bottom w:val="single" w:sz="4" w:space="0" w:color="auto"/>
            </w:tcBorders>
          </w:tcPr>
          <w:p w14:paraId="2537F490" w14:textId="534BA06B" w:rsidR="005D542B" w:rsidRPr="001E317B" w:rsidRDefault="0001627D" w:rsidP="00033BF5">
            <w:pPr>
              <w:pStyle w:val="Normalpool"/>
              <w:rPr>
                <w:noProof/>
                <w:sz w:val="18"/>
                <w:lang w:val="en-GB"/>
              </w:rPr>
            </w:pPr>
            <w:r w:rsidRPr="001E317B">
              <w:rPr>
                <w:b/>
                <w:bCs/>
                <w:sz w:val="28"/>
                <w:lang w:val="en-GB"/>
              </w:rPr>
              <w:t>UNEP</w:t>
            </w:r>
            <w:bookmarkStart w:id="0" w:name="OLE_LINK1"/>
            <w:bookmarkStart w:id="1" w:name="OLE_LINK2"/>
            <w:r w:rsidRPr="001E317B">
              <w:rPr>
                <w:b/>
                <w:bCs/>
                <w:sz w:val="28"/>
                <w:lang w:val="en-GB"/>
              </w:rPr>
              <w:t>/</w:t>
            </w:r>
            <w:r w:rsidRPr="001E317B">
              <w:rPr>
                <w:lang w:val="en-GB"/>
              </w:rPr>
              <w:t>MC/</w:t>
            </w:r>
            <w:bookmarkEnd w:id="0"/>
            <w:bookmarkEnd w:id="1"/>
            <w:r w:rsidRPr="001E317B">
              <w:rPr>
                <w:lang w:val="en-GB"/>
              </w:rPr>
              <w:t>COP.</w:t>
            </w:r>
            <w:r w:rsidR="00946ADE" w:rsidRPr="001E317B">
              <w:rPr>
                <w:lang w:val="en-GB"/>
              </w:rPr>
              <w:t>2</w:t>
            </w:r>
            <w:r w:rsidRPr="001E317B">
              <w:rPr>
                <w:lang w:val="en-GB"/>
              </w:rPr>
              <w:t>/1/Add.1</w:t>
            </w:r>
          </w:p>
        </w:tc>
      </w:tr>
      <w:tr w:rsidR="007F33C2" w:rsidRPr="008E2BEE" w14:paraId="51BB3B3E" w14:textId="77777777" w:rsidTr="00946ADE">
        <w:trPr>
          <w:cantSplit/>
          <w:trHeight w:val="2549"/>
          <w:jc w:val="right"/>
        </w:trPr>
        <w:tc>
          <w:tcPr>
            <w:tcW w:w="1504" w:type="dxa"/>
            <w:tcBorders>
              <w:top w:val="single" w:sz="4" w:space="0" w:color="auto"/>
              <w:bottom w:val="single" w:sz="24" w:space="0" w:color="auto"/>
            </w:tcBorders>
          </w:tcPr>
          <w:p w14:paraId="218ED24E" w14:textId="77777777" w:rsidR="005D542B" w:rsidRPr="001E317B" w:rsidRDefault="00C6426B" w:rsidP="00BA6586">
            <w:pPr>
              <w:rPr>
                <w:noProof/>
                <w:color w:val="000000" w:themeColor="text1"/>
                <w:lang w:val="en-GB"/>
              </w:rPr>
            </w:pPr>
            <w:r w:rsidRPr="001E317B">
              <w:rPr>
                <w:noProof/>
                <w:color w:val="000000" w:themeColor="text1"/>
                <w:lang w:val="en-GB"/>
              </w:rPr>
              <w:object w:dxaOrig="1831" w:dyaOrig="1726" w14:anchorId="1C02B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25pt;height:62.25pt;mso-width-percent:0;mso-height-percent:0;mso-width-percent:0;mso-height-percent:0" o:ole="" fillcolor="window">
                  <v:imagedata r:id="rId11" o:title=""/>
                </v:shape>
                <o:OLEObject Type="Embed" ProgID="Word.Picture.8" ShapeID="_x0000_i1025" DrawAspect="Content" ObjectID="_1603877656" r:id="rId12"/>
              </w:object>
            </w:r>
            <w:r w:rsidR="005D542B" w:rsidRPr="001E317B">
              <w:rPr>
                <w:noProof/>
                <w:color w:val="000000" w:themeColor="text1"/>
                <w:lang w:eastAsia="zh-CN"/>
              </w:rPr>
              <w:drawing>
                <wp:inline distT="0" distB="0" distL="0" distR="0" wp14:anchorId="32BDB4E2" wp14:editId="32D11473">
                  <wp:extent cx="723900" cy="760730"/>
                  <wp:effectExtent l="0" t="0" r="0" b="1270"/>
                  <wp:docPr id="2" name="Picture 2" descr="Description: 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E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760730"/>
                          </a:xfrm>
                          <a:prstGeom prst="rect">
                            <a:avLst/>
                          </a:prstGeom>
                          <a:noFill/>
                          <a:ln>
                            <a:noFill/>
                          </a:ln>
                        </pic:spPr>
                      </pic:pic>
                    </a:graphicData>
                  </a:graphic>
                </wp:inline>
              </w:drawing>
            </w:r>
          </w:p>
        </w:tc>
        <w:tc>
          <w:tcPr>
            <w:tcW w:w="4839" w:type="dxa"/>
            <w:tcBorders>
              <w:top w:val="single" w:sz="4" w:space="0" w:color="auto"/>
              <w:bottom w:val="single" w:sz="24" w:space="0" w:color="auto"/>
            </w:tcBorders>
          </w:tcPr>
          <w:p w14:paraId="7F26CF60" w14:textId="77777777" w:rsidR="005D542B" w:rsidRPr="001E317B" w:rsidRDefault="005D542B" w:rsidP="00BA6586">
            <w:pPr>
              <w:spacing w:before="1400"/>
              <w:rPr>
                <w:rFonts w:ascii="Univers" w:hAnsi="Univers"/>
                <w:b/>
                <w:color w:val="000000" w:themeColor="text1"/>
                <w:sz w:val="28"/>
                <w:lang w:val="en-GB"/>
              </w:rPr>
            </w:pPr>
            <w:r w:rsidRPr="001E317B">
              <w:rPr>
                <w:rFonts w:ascii="Arial" w:hAnsi="Arial" w:cs="Arial"/>
                <w:b/>
                <w:color w:val="000000" w:themeColor="text1"/>
                <w:sz w:val="28"/>
                <w:szCs w:val="28"/>
                <w:lang w:val="en-GB"/>
              </w:rPr>
              <w:t xml:space="preserve">United Nations </w:t>
            </w:r>
            <w:r w:rsidRPr="001E317B">
              <w:rPr>
                <w:rFonts w:ascii="Arial" w:hAnsi="Arial" w:cs="Arial"/>
                <w:b/>
                <w:color w:val="000000" w:themeColor="text1"/>
                <w:sz w:val="28"/>
                <w:szCs w:val="28"/>
                <w:lang w:val="en-GB"/>
              </w:rPr>
              <w:br/>
              <w:t xml:space="preserve">Environment </w:t>
            </w:r>
            <w:r w:rsidRPr="001E317B">
              <w:rPr>
                <w:rFonts w:ascii="Arial" w:hAnsi="Arial" w:cs="Arial"/>
                <w:b/>
                <w:color w:val="000000" w:themeColor="text1"/>
                <w:sz w:val="28"/>
                <w:szCs w:val="28"/>
                <w:lang w:val="en-GB"/>
              </w:rPr>
              <w:br/>
              <w:t>Programme</w:t>
            </w:r>
          </w:p>
        </w:tc>
        <w:tc>
          <w:tcPr>
            <w:tcW w:w="3153" w:type="dxa"/>
            <w:tcBorders>
              <w:top w:val="single" w:sz="4" w:space="0" w:color="auto"/>
              <w:bottom w:val="single" w:sz="24" w:space="0" w:color="auto"/>
            </w:tcBorders>
          </w:tcPr>
          <w:p w14:paraId="0EEE9C4D" w14:textId="248DEE0D" w:rsidR="005D542B" w:rsidRPr="001E317B" w:rsidRDefault="005D542B" w:rsidP="00946ADE">
            <w:pPr>
              <w:spacing w:before="120"/>
              <w:rPr>
                <w:color w:val="000000" w:themeColor="text1"/>
                <w:lang w:val="en-GB"/>
              </w:rPr>
            </w:pPr>
            <w:r w:rsidRPr="001E317B">
              <w:rPr>
                <w:color w:val="000000" w:themeColor="text1"/>
                <w:lang w:val="en-GB"/>
              </w:rPr>
              <w:t>Distr.: General</w:t>
            </w:r>
            <w:r w:rsidRPr="001E317B">
              <w:rPr>
                <w:color w:val="000000" w:themeColor="text1"/>
                <w:lang w:val="en-GB"/>
              </w:rPr>
              <w:br/>
            </w:r>
            <w:r w:rsidR="00892178">
              <w:rPr>
                <w:color w:val="000000" w:themeColor="text1"/>
                <w:lang w:val="en-GB"/>
              </w:rPr>
              <w:t>29</w:t>
            </w:r>
            <w:r w:rsidR="00033BF5" w:rsidRPr="001E317B">
              <w:rPr>
                <w:color w:val="000000" w:themeColor="text1"/>
                <w:lang w:val="en-GB"/>
              </w:rPr>
              <w:t xml:space="preserve"> October 2018</w:t>
            </w:r>
          </w:p>
          <w:p w14:paraId="72EEE45A" w14:textId="77777777" w:rsidR="005D542B" w:rsidRPr="001E317B" w:rsidRDefault="005D542B" w:rsidP="00C65F89">
            <w:pPr>
              <w:spacing w:before="120"/>
              <w:rPr>
                <w:color w:val="000000" w:themeColor="text1"/>
                <w:lang w:val="en-GB"/>
              </w:rPr>
            </w:pPr>
            <w:r w:rsidRPr="001E317B">
              <w:rPr>
                <w:color w:val="000000" w:themeColor="text1"/>
                <w:lang w:val="en-GB"/>
              </w:rPr>
              <w:t>Original: English</w:t>
            </w:r>
          </w:p>
        </w:tc>
      </w:tr>
    </w:tbl>
    <w:p w14:paraId="7395DB35" w14:textId="77777777" w:rsidR="00946ADE" w:rsidRPr="001E317B" w:rsidRDefault="00946ADE" w:rsidP="00946ADE">
      <w:pPr>
        <w:pStyle w:val="AATitle"/>
        <w:keepNext w:val="0"/>
        <w:keepLines w:val="0"/>
        <w:tabs>
          <w:tab w:val="left" w:pos="624"/>
          <w:tab w:val="left" w:pos="1871"/>
          <w:tab w:val="left" w:pos="2495"/>
        </w:tabs>
        <w:rPr>
          <w:lang w:val="en-GB"/>
        </w:rPr>
      </w:pPr>
      <w:r w:rsidRPr="001E317B">
        <w:rPr>
          <w:lang w:val="en-GB"/>
        </w:rPr>
        <w:t xml:space="preserve">Conference of the Parties to the </w:t>
      </w:r>
      <w:r w:rsidRPr="001E317B">
        <w:rPr>
          <w:lang w:val="en-GB"/>
        </w:rPr>
        <w:br/>
        <w:t>Minamata Convention on Mercury</w:t>
      </w:r>
    </w:p>
    <w:p w14:paraId="57078181" w14:textId="77777777" w:rsidR="00946ADE" w:rsidRPr="001E317B" w:rsidRDefault="00946ADE" w:rsidP="00946ADE">
      <w:pPr>
        <w:pStyle w:val="AATitle"/>
        <w:keepNext w:val="0"/>
        <w:keepLines w:val="0"/>
        <w:tabs>
          <w:tab w:val="left" w:pos="624"/>
          <w:tab w:val="left" w:pos="1871"/>
          <w:tab w:val="left" w:pos="2495"/>
        </w:tabs>
        <w:rPr>
          <w:lang w:val="en-GB"/>
        </w:rPr>
      </w:pPr>
      <w:r w:rsidRPr="001E317B">
        <w:rPr>
          <w:lang w:val="en-GB"/>
        </w:rPr>
        <w:t>Second meeting</w:t>
      </w:r>
    </w:p>
    <w:p w14:paraId="56001870" w14:textId="77777777" w:rsidR="00946ADE" w:rsidRPr="001E317B" w:rsidRDefault="00946ADE" w:rsidP="00946ADE">
      <w:pPr>
        <w:pStyle w:val="AATitle"/>
        <w:tabs>
          <w:tab w:val="left" w:pos="624"/>
          <w:tab w:val="left" w:pos="1871"/>
          <w:tab w:val="left" w:pos="2495"/>
        </w:tabs>
        <w:rPr>
          <w:lang w:val="en-GB"/>
        </w:rPr>
      </w:pPr>
      <w:r w:rsidRPr="001E317B">
        <w:rPr>
          <w:b w:val="0"/>
          <w:lang w:val="en-GB"/>
        </w:rPr>
        <w:t>Geneva, 19–23 November 2018</w:t>
      </w:r>
    </w:p>
    <w:p w14:paraId="4B52E8B6" w14:textId="26AAD92E" w:rsidR="0001627D" w:rsidRPr="001E317B" w:rsidRDefault="00946ADE" w:rsidP="0001627D">
      <w:pPr>
        <w:pStyle w:val="AATitle"/>
        <w:rPr>
          <w:b w:val="0"/>
          <w:color w:val="000000" w:themeColor="text1"/>
          <w:lang w:val="en-GB"/>
        </w:rPr>
      </w:pPr>
      <w:r w:rsidRPr="001E317B">
        <w:rPr>
          <w:b w:val="0"/>
          <w:color w:val="000000" w:themeColor="text1"/>
          <w:lang w:val="en-GB"/>
        </w:rPr>
        <w:t>Item 2 (c</w:t>
      </w:r>
      <w:r w:rsidR="0001627D" w:rsidRPr="001E317B">
        <w:rPr>
          <w:b w:val="0"/>
          <w:color w:val="000000" w:themeColor="text1"/>
          <w:lang w:val="en-GB"/>
        </w:rPr>
        <w:t>) of the provisional agenda</w:t>
      </w:r>
      <w:r w:rsidR="00EC51C8" w:rsidRPr="001E317B">
        <w:rPr>
          <w:b w:val="0"/>
          <w:lang w:val="en-GB"/>
        </w:rPr>
        <w:footnoteReference w:customMarkFollows="1" w:id="1"/>
        <w:t>*</w:t>
      </w:r>
    </w:p>
    <w:p w14:paraId="46B667E2" w14:textId="77777777" w:rsidR="0001627D" w:rsidRPr="001E317B" w:rsidRDefault="0001627D" w:rsidP="004E2C4A">
      <w:pPr>
        <w:pStyle w:val="AATitle2"/>
        <w:rPr>
          <w:lang w:val="en-GB"/>
        </w:rPr>
      </w:pPr>
      <w:r w:rsidRPr="001E317B">
        <w:rPr>
          <w:lang w:val="en-GB"/>
        </w:rPr>
        <w:t>Organizational matters: organization of work</w:t>
      </w:r>
    </w:p>
    <w:p w14:paraId="5EBC13CE" w14:textId="5C5A1908" w:rsidR="0001627D" w:rsidRPr="001E317B" w:rsidRDefault="0001627D" w:rsidP="00033BF5">
      <w:pPr>
        <w:pStyle w:val="BBTitle"/>
        <w:rPr>
          <w:lang w:val="en-GB"/>
        </w:rPr>
      </w:pPr>
      <w:r w:rsidRPr="001E317B">
        <w:rPr>
          <w:lang w:val="en-GB"/>
        </w:rPr>
        <w:t xml:space="preserve">Annotations to the </w:t>
      </w:r>
      <w:r w:rsidR="00887492" w:rsidRPr="001E317B">
        <w:rPr>
          <w:lang w:val="en-GB"/>
        </w:rPr>
        <w:t xml:space="preserve">provisional </w:t>
      </w:r>
      <w:r w:rsidRPr="001E317B">
        <w:rPr>
          <w:lang w:val="en-GB"/>
        </w:rPr>
        <w:t>agenda</w:t>
      </w:r>
    </w:p>
    <w:p w14:paraId="7050A358" w14:textId="77777777" w:rsidR="0001627D" w:rsidRPr="001E317B" w:rsidRDefault="0001627D" w:rsidP="00033BF5">
      <w:pPr>
        <w:pStyle w:val="CH2"/>
        <w:keepNext w:val="0"/>
        <w:keepLines w:val="0"/>
        <w:spacing w:after="100"/>
        <w:ind w:left="624" w:firstLine="0"/>
        <w:rPr>
          <w:color w:val="000000" w:themeColor="text1"/>
          <w:lang w:val="en-GB"/>
        </w:rPr>
      </w:pPr>
      <w:r w:rsidRPr="001E317B">
        <w:rPr>
          <w:color w:val="000000" w:themeColor="text1"/>
          <w:lang w:val="en-GB"/>
        </w:rPr>
        <w:t>Item 1</w:t>
      </w:r>
    </w:p>
    <w:p w14:paraId="60975B2E" w14:textId="077F40D8" w:rsidR="0001627D" w:rsidRPr="001E317B" w:rsidRDefault="0001627D" w:rsidP="00033BF5">
      <w:pPr>
        <w:pStyle w:val="CH2"/>
        <w:keepNext w:val="0"/>
        <w:keepLines w:val="0"/>
        <w:spacing w:after="100"/>
        <w:ind w:left="624" w:firstLine="0"/>
        <w:rPr>
          <w:color w:val="000000" w:themeColor="text1"/>
          <w:lang w:val="en-GB"/>
        </w:rPr>
      </w:pPr>
      <w:r w:rsidRPr="001E317B">
        <w:rPr>
          <w:color w:val="000000" w:themeColor="text1"/>
          <w:lang w:val="en-GB"/>
        </w:rPr>
        <w:t>Opening of the meeting</w:t>
      </w:r>
    </w:p>
    <w:p w14:paraId="42AD125B" w14:textId="583D503D" w:rsidR="0067410D" w:rsidRPr="001E317B" w:rsidRDefault="0001627D" w:rsidP="00033BF5">
      <w:pPr>
        <w:pStyle w:val="Normalnumber"/>
        <w:rPr>
          <w:lang w:val="en-GB"/>
        </w:rPr>
      </w:pPr>
      <w:r w:rsidRPr="001E317B">
        <w:rPr>
          <w:lang w:val="en-GB"/>
        </w:rPr>
        <w:t xml:space="preserve">The </w:t>
      </w:r>
      <w:r w:rsidR="00946ADE" w:rsidRPr="001E317B">
        <w:rPr>
          <w:lang w:val="en-GB"/>
        </w:rPr>
        <w:t>second</w:t>
      </w:r>
      <w:r w:rsidRPr="001E317B">
        <w:rPr>
          <w:lang w:val="en-GB"/>
        </w:rPr>
        <w:t xml:space="preserve"> meeting of the Conference of the Parties to the </w:t>
      </w:r>
      <w:r w:rsidR="00A677F8" w:rsidRPr="001E317B">
        <w:rPr>
          <w:lang w:val="en-GB"/>
        </w:rPr>
        <w:t>Minamata Convention on Mercury will be held at the Geneva International Conference Centre, 17 rue de Varembé, Geneva,</w:t>
      </w:r>
      <w:r w:rsidRPr="001E317B">
        <w:rPr>
          <w:lang w:val="en-GB"/>
        </w:rPr>
        <w:t xml:space="preserve"> from </w:t>
      </w:r>
      <w:r w:rsidR="00946ADE" w:rsidRPr="001E317B">
        <w:rPr>
          <w:lang w:val="en-GB"/>
        </w:rPr>
        <w:t>19 to 23 November 2018</w:t>
      </w:r>
      <w:r w:rsidR="00A677F8" w:rsidRPr="001E317B">
        <w:rPr>
          <w:lang w:val="en-GB"/>
        </w:rPr>
        <w:t xml:space="preserve">. The meeting will be </w:t>
      </w:r>
      <w:r w:rsidRPr="001E317B">
        <w:rPr>
          <w:lang w:val="en-GB"/>
        </w:rPr>
        <w:t xml:space="preserve">opened at </w:t>
      </w:r>
      <w:r w:rsidR="00946ADE" w:rsidRPr="001E317B">
        <w:rPr>
          <w:lang w:val="en-GB"/>
        </w:rPr>
        <w:t>10 a</w:t>
      </w:r>
      <w:r w:rsidRPr="001E317B">
        <w:rPr>
          <w:lang w:val="en-GB"/>
        </w:rPr>
        <w:t xml:space="preserve">.m. on </w:t>
      </w:r>
      <w:r w:rsidR="00946ADE" w:rsidRPr="001E317B">
        <w:rPr>
          <w:lang w:val="en-GB"/>
        </w:rPr>
        <w:t>Monday, 19 November</w:t>
      </w:r>
      <w:r w:rsidR="00015D8E" w:rsidRPr="001E317B">
        <w:rPr>
          <w:lang w:val="en-GB"/>
        </w:rPr>
        <w:t>.</w:t>
      </w:r>
    </w:p>
    <w:p w14:paraId="2991E96D" w14:textId="0E02B202" w:rsidR="0001627D" w:rsidRPr="001E317B" w:rsidRDefault="0067410D" w:rsidP="00033BF5">
      <w:pPr>
        <w:pStyle w:val="Normalnumber"/>
        <w:numPr>
          <w:ilvl w:val="0"/>
          <w:numId w:val="1"/>
        </w:numPr>
        <w:tabs>
          <w:tab w:val="clear" w:pos="567"/>
        </w:tabs>
        <w:spacing w:after="100"/>
        <w:rPr>
          <w:lang w:val="en-GB"/>
        </w:rPr>
      </w:pPr>
      <w:r w:rsidRPr="001E317B">
        <w:rPr>
          <w:color w:val="000000" w:themeColor="text1"/>
          <w:lang w:val="en-GB"/>
        </w:rPr>
        <w:t xml:space="preserve">The </w:t>
      </w:r>
      <w:r w:rsidR="00A677F8" w:rsidRPr="001E317B">
        <w:rPr>
          <w:color w:val="000000" w:themeColor="text1"/>
          <w:lang w:val="en-GB"/>
        </w:rPr>
        <w:t xml:space="preserve">President </w:t>
      </w:r>
      <w:r w:rsidRPr="001E317B">
        <w:rPr>
          <w:color w:val="000000" w:themeColor="text1"/>
          <w:lang w:val="en-GB"/>
        </w:rPr>
        <w:t xml:space="preserve">elected at the first meeting </w:t>
      </w:r>
      <w:r w:rsidR="00A677F8" w:rsidRPr="001E317B">
        <w:rPr>
          <w:color w:val="000000" w:themeColor="text1"/>
          <w:lang w:val="en-GB"/>
        </w:rPr>
        <w:t>of the Conference</w:t>
      </w:r>
      <w:r w:rsidR="00892178">
        <w:rPr>
          <w:color w:val="000000" w:themeColor="text1"/>
          <w:lang w:val="en-GB"/>
        </w:rPr>
        <w:t xml:space="preserve"> of the Parties</w:t>
      </w:r>
      <w:r w:rsidR="00A677F8" w:rsidRPr="001E317B">
        <w:rPr>
          <w:color w:val="000000" w:themeColor="text1"/>
          <w:lang w:val="en-GB"/>
        </w:rPr>
        <w:t xml:space="preserve">, </w:t>
      </w:r>
      <w:r w:rsidRPr="001E317B">
        <w:rPr>
          <w:color w:val="000000" w:themeColor="text1"/>
          <w:lang w:val="en-GB"/>
        </w:rPr>
        <w:t>Mr. Marc Chardonnens (Switzerland)</w:t>
      </w:r>
      <w:r w:rsidR="00015D8E" w:rsidRPr="001E317B">
        <w:rPr>
          <w:color w:val="000000" w:themeColor="text1"/>
          <w:lang w:val="en-GB"/>
        </w:rPr>
        <w:t>,</w:t>
      </w:r>
      <w:r w:rsidR="002F219D" w:rsidRPr="001E317B">
        <w:rPr>
          <w:color w:val="000000" w:themeColor="text1"/>
          <w:lang w:val="en-GB"/>
        </w:rPr>
        <w:t xml:space="preserve"> will preside </w:t>
      </w:r>
      <w:r w:rsidR="00892178">
        <w:rPr>
          <w:color w:val="000000" w:themeColor="text1"/>
          <w:lang w:val="en-GB"/>
        </w:rPr>
        <w:t xml:space="preserve">over </w:t>
      </w:r>
      <w:r w:rsidR="002F219D" w:rsidRPr="001E317B">
        <w:rPr>
          <w:color w:val="000000" w:themeColor="text1"/>
          <w:lang w:val="en-GB"/>
        </w:rPr>
        <w:t xml:space="preserve">the meeting in accordance with the rules of procedure adopted by the Conference </w:t>
      </w:r>
      <w:r w:rsidR="00892178">
        <w:rPr>
          <w:color w:val="000000" w:themeColor="text1"/>
          <w:lang w:val="en-GB"/>
        </w:rPr>
        <w:t xml:space="preserve">of the Parties </w:t>
      </w:r>
      <w:r w:rsidR="002F219D" w:rsidRPr="001E317B">
        <w:rPr>
          <w:color w:val="000000" w:themeColor="text1"/>
          <w:lang w:val="en-GB"/>
        </w:rPr>
        <w:t>at its first meeting</w:t>
      </w:r>
      <w:r w:rsidR="0001627D" w:rsidRPr="001E317B">
        <w:rPr>
          <w:lang w:val="en-GB"/>
        </w:rPr>
        <w:t xml:space="preserve">. </w:t>
      </w:r>
    </w:p>
    <w:p w14:paraId="5DB4BBC9" w14:textId="487820C8" w:rsidR="0001627D" w:rsidRPr="001E317B" w:rsidRDefault="0001627D" w:rsidP="00033BF5">
      <w:pPr>
        <w:pStyle w:val="Normalnumber"/>
        <w:numPr>
          <w:ilvl w:val="0"/>
          <w:numId w:val="1"/>
        </w:numPr>
        <w:tabs>
          <w:tab w:val="clear" w:pos="567"/>
        </w:tabs>
        <w:spacing w:after="100"/>
        <w:rPr>
          <w:color w:val="000000" w:themeColor="text1"/>
          <w:lang w:val="en-GB"/>
        </w:rPr>
      </w:pPr>
      <w:r w:rsidRPr="001E317B">
        <w:rPr>
          <w:color w:val="000000" w:themeColor="text1"/>
          <w:lang w:val="en-GB"/>
        </w:rPr>
        <w:t xml:space="preserve">Opening statements will be </w:t>
      </w:r>
      <w:r w:rsidR="00A677F8" w:rsidRPr="001E317B">
        <w:rPr>
          <w:color w:val="000000" w:themeColor="text1"/>
          <w:lang w:val="en-GB"/>
        </w:rPr>
        <w:t>delivered</w:t>
      </w:r>
      <w:r w:rsidRPr="001E317B">
        <w:rPr>
          <w:color w:val="000000" w:themeColor="text1"/>
          <w:lang w:val="en-GB"/>
        </w:rPr>
        <w:t>.</w:t>
      </w:r>
      <w:r w:rsidR="00DE0B1A" w:rsidRPr="001E317B">
        <w:rPr>
          <w:color w:val="000000" w:themeColor="text1"/>
          <w:lang w:val="en-GB"/>
        </w:rPr>
        <w:t xml:space="preserve"> </w:t>
      </w:r>
    </w:p>
    <w:p w14:paraId="7994E8E8" w14:textId="77777777" w:rsidR="0001627D" w:rsidRPr="001E317B" w:rsidRDefault="0001627D" w:rsidP="00033BF5">
      <w:pPr>
        <w:pStyle w:val="CH2"/>
        <w:keepNext w:val="0"/>
        <w:keepLines w:val="0"/>
        <w:spacing w:after="100"/>
        <w:ind w:left="624" w:firstLine="0"/>
        <w:rPr>
          <w:b w:val="0"/>
          <w:color w:val="000000" w:themeColor="text1"/>
          <w:lang w:val="en-GB"/>
        </w:rPr>
      </w:pPr>
      <w:r w:rsidRPr="001E317B">
        <w:rPr>
          <w:color w:val="000000" w:themeColor="text1"/>
          <w:lang w:val="en-GB"/>
        </w:rPr>
        <w:t>Item 2</w:t>
      </w:r>
    </w:p>
    <w:p w14:paraId="60B7F2C8" w14:textId="23CFD6C4" w:rsidR="0001627D" w:rsidRPr="001E317B" w:rsidRDefault="0001627D" w:rsidP="00033BF5">
      <w:pPr>
        <w:pStyle w:val="CH2"/>
        <w:keepNext w:val="0"/>
        <w:keepLines w:val="0"/>
        <w:spacing w:after="100"/>
        <w:ind w:left="624" w:firstLine="0"/>
        <w:rPr>
          <w:b w:val="0"/>
          <w:color w:val="000000" w:themeColor="text1"/>
          <w:lang w:val="en-GB"/>
        </w:rPr>
      </w:pPr>
      <w:r w:rsidRPr="001E317B">
        <w:rPr>
          <w:color w:val="000000" w:themeColor="text1"/>
          <w:lang w:val="en-GB"/>
        </w:rPr>
        <w:t>Organizational matters</w:t>
      </w:r>
    </w:p>
    <w:p w14:paraId="0BE9CF15" w14:textId="5953C804" w:rsidR="0001627D" w:rsidRPr="0000562F" w:rsidRDefault="00DE0B1A" w:rsidP="00033BF5">
      <w:pPr>
        <w:pStyle w:val="CH3"/>
        <w:spacing w:after="100"/>
        <w:rPr>
          <w:b w:val="0"/>
          <w:lang w:val="en-GB"/>
        </w:rPr>
      </w:pPr>
      <w:r w:rsidRPr="001E317B">
        <w:rPr>
          <w:lang w:val="en-GB"/>
        </w:rPr>
        <w:tab/>
        <w:t>(a)</w:t>
      </w:r>
      <w:r w:rsidRPr="001E317B">
        <w:rPr>
          <w:lang w:val="en-GB"/>
        </w:rPr>
        <w:tab/>
      </w:r>
      <w:r w:rsidR="00946ADE" w:rsidRPr="0000562F">
        <w:rPr>
          <w:lang w:val="en-GB"/>
        </w:rPr>
        <w:t xml:space="preserve">Election of officers for the intersessional period and the third meeting of the Conference of the Parties </w:t>
      </w:r>
    </w:p>
    <w:p w14:paraId="0B138D2A" w14:textId="433C1C63" w:rsidR="009A3C1B" w:rsidRPr="0000562F" w:rsidRDefault="009A3C1B" w:rsidP="00FA01F2">
      <w:pPr>
        <w:pStyle w:val="Normalnumber"/>
        <w:numPr>
          <w:ilvl w:val="0"/>
          <w:numId w:val="1"/>
        </w:numPr>
        <w:rPr>
          <w:lang w:val="en-GB"/>
        </w:rPr>
      </w:pPr>
      <w:r w:rsidRPr="0000562F">
        <w:rPr>
          <w:lang w:val="en-GB"/>
        </w:rPr>
        <w:t xml:space="preserve">At its first meeting, the Conference </w:t>
      </w:r>
      <w:r w:rsidR="00065667" w:rsidRPr="0000562F">
        <w:rPr>
          <w:lang w:val="en-GB"/>
        </w:rPr>
        <w:t xml:space="preserve">of the Parties </w:t>
      </w:r>
      <w:r w:rsidRPr="0000562F">
        <w:rPr>
          <w:lang w:val="en-GB"/>
        </w:rPr>
        <w:t xml:space="preserve">elected the following officers to serve at </w:t>
      </w:r>
      <w:r w:rsidR="00507A21" w:rsidRPr="0000562F">
        <w:rPr>
          <w:lang w:val="en-GB"/>
        </w:rPr>
        <w:t>its</w:t>
      </w:r>
      <w:r w:rsidRPr="0000562F">
        <w:rPr>
          <w:lang w:val="en-GB"/>
        </w:rPr>
        <w:t xml:space="preserve"> first </w:t>
      </w:r>
      <w:r w:rsidR="00507A21" w:rsidRPr="0000562F">
        <w:rPr>
          <w:lang w:val="en-GB"/>
        </w:rPr>
        <w:t xml:space="preserve">and second </w:t>
      </w:r>
      <w:r w:rsidRPr="0000562F">
        <w:rPr>
          <w:lang w:val="en-GB"/>
        </w:rPr>
        <w:t>meeting</w:t>
      </w:r>
      <w:r w:rsidR="00507A21" w:rsidRPr="0000562F">
        <w:rPr>
          <w:lang w:val="en-GB"/>
        </w:rPr>
        <w:t>s</w:t>
      </w:r>
      <w:r w:rsidRPr="0000562F">
        <w:rPr>
          <w:lang w:val="en-GB"/>
        </w:rPr>
        <w:t xml:space="preserve">, </w:t>
      </w:r>
      <w:r w:rsidR="00507A21" w:rsidRPr="0000562F">
        <w:rPr>
          <w:lang w:val="en-GB"/>
        </w:rPr>
        <w:t xml:space="preserve">as well as </w:t>
      </w:r>
      <w:r w:rsidRPr="0000562F">
        <w:rPr>
          <w:lang w:val="en-GB"/>
        </w:rPr>
        <w:t xml:space="preserve">during the intersessional period: </w:t>
      </w:r>
    </w:p>
    <w:p w14:paraId="081B3C15" w14:textId="77777777" w:rsidR="009A3C1B" w:rsidRPr="0000562F" w:rsidRDefault="009A3C1B" w:rsidP="00477B3F">
      <w:pPr>
        <w:pStyle w:val="Normalnumber"/>
        <w:numPr>
          <w:ilvl w:val="0"/>
          <w:numId w:val="0"/>
        </w:numPr>
        <w:spacing w:after="100"/>
        <w:ind w:left="1871"/>
        <w:rPr>
          <w:lang w:val="en-GB"/>
        </w:rPr>
      </w:pPr>
      <w:r w:rsidRPr="0000562F">
        <w:rPr>
          <w:lang w:val="en-GB"/>
        </w:rPr>
        <w:tab/>
        <w:t xml:space="preserve">President:  </w:t>
      </w:r>
      <w:r w:rsidRPr="0000562F">
        <w:rPr>
          <w:lang w:val="en-GB"/>
        </w:rPr>
        <w:tab/>
      </w:r>
      <w:r w:rsidRPr="0000562F">
        <w:rPr>
          <w:lang w:val="en-GB"/>
        </w:rPr>
        <w:tab/>
        <w:t>Mr. Marc Chardonnens (Switzerland)</w:t>
      </w:r>
    </w:p>
    <w:p w14:paraId="417E5E08" w14:textId="01AC239A" w:rsidR="009A3C1B" w:rsidRPr="0000562F" w:rsidRDefault="009A3C1B" w:rsidP="00477B3F">
      <w:pPr>
        <w:pStyle w:val="Normalnumber"/>
        <w:numPr>
          <w:ilvl w:val="0"/>
          <w:numId w:val="0"/>
        </w:numPr>
        <w:spacing w:after="100"/>
        <w:ind w:left="1871"/>
        <w:rPr>
          <w:lang w:val="en-GB"/>
        </w:rPr>
      </w:pPr>
      <w:r w:rsidRPr="0000562F">
        <w:rPr>
          <w:lang w:val="en-GB"/>
        </w:rPr>
        <w:t>Vice-Presidents:</w:t>
      </w:r>
      <w:r w:rsidRPr="0000562F">
        <w:rPr>
          <w:lang w:val="en-GB"/>
        </w:rPr>
        <w:tab/>
        <w:t>Mr. Gregory Bailey (Antigua and Barbuda)</w:t>
      </w:r>
    </w:p>
    <w:p w14:paraId="7E6D6601" w14:textId="0EDC262A" w:rsidR="003319DA" w:rsidRPr="0000562F" w:rsidRDefault="009A3C1B" w:rsidP="00477B3F">
      <w:pPr>
        <w:pStyle w:val="Normalnumber"/>
        <w:numPr>
          <w:ilvl w:val="0"/>
          <w:numId w:val="0"/>
        </w:numPr>
        <w:spacing w:after="80"/>
        <w:ind w:left="3742"/>
        <w:rPr>
          <w:lang w:val="en-GB"/>
        </w:rPr>
      </w:pPr>
      <w:r w:rsidRPr="0000562F">
        <w:rPr>
          <w:lang w:val="en-GB"/>
        </w:rPr>
        <w:tab/>
      </w:r>
      <w:r w:rsidR="003319DA" w:rsidRPr="0000562F">
        <w:rPr>
          <w:lang w:val="en-GB"/>
        </w:rPr>
        <w:t>Mr. Karel Bláha (Czechia)</w:t>
      </w:r>
    </w:p>
    <w:p w14:paraId="65EBF15E" w14:textId="2EB0C2FF" w:rsidR="009A3C1B" w:rsidRPr="0000562F" w:rsidRDefault="003319DA" w:rsidP="00477B3F">
      <w:pPr>
        <w:pStyle w:val="Normalnumber"/>
        <w:numPr>
          <w:ilvl w:val="0"/>
          <w:numId w:val="0"/>
        </w:numPr>
        <w:spacing w:after="80"/>
        <w:ind w:left="3742"/>
        <w:rPr>
          <w:lang w:val="en-GB"/>
        </w:rPr>
      </w:pPr>
      <w:r>
        <w:rPr>
          <w:lang w:val="en-GB"/>
        </w:rPr>
        <w:tab/>
      </w:r>
      <w:r w:rsidR="009A3C1B" w:rsidRPr="0000562F">
        <w:rPr>
          <w:lang w:val="en-GB"/>
        </w:rPr>
        <w:t>Mr. Serge Molly Allo’o Allo’o (Gabon)</w:t>
      </w:r>
    </w:p>
    <w:p w14:paraId="279781EF" w14:textId="4E356AC8" w:rsidR="009A3C1B" w:rsidRPr="0000562F" w:rsidRDefault="009A3C1B" w:rsidP="00477B3F">
      <w:pPr>
        <w:pStyle w:val="Normalnumber"/>
        <w:numPr>
          <w:ilvl w:val="0"/>
          <w:numId w:val="0"/>
        </w:numPr>
        <w:spacing w:after="80"/>
        <w:ind w:left="3742"/>
        <w:rPr>
          <w:lang w:val="en-GB"/>
        </w:rPr>
      </w:pPr>
      <w:r w:rsidRPr="0000562F">
        <w:rPr>
          <w:lang w:val="en-GB"/>
        </w:rPr>
        <w:tab/>
        <w:t>Mr. Mitsugu Saito (Japan)</w:t>
      </w:r>
    </w:p>
    <w:p w14:paraId="7A607F0B" w14:textId="724E52B2" w:rsidR="009A3C1B" w:rsidRDefault="009A3C1B" w:rsidP="00477B3F">
      <w:pPr>
        <w:pStyle w:val="Normalnumber"/>
        <w:numPr>
          <w:ilvl w:val="0"/>
          <w:numId w:val="0"/>
        </w:numPr>
        <w:spacing w:after="80"/>
        <w:ind w:left="3742"/>
        <w:rPr>
          <w:lang w:val="en-GB"/>
        </w:rPr>
      </w:pPr>
      <w:r w:rsidRPr="00555354">
        <w:rPr>
          <w:lang w:val="en-GB"/>
        </w:rPr>
        <w:tab/>
        <w:t xml:space="preserve">Mr. Mohammed Khashashneh (Jordan) </w:t>
      </w:r>
    </w:p>
    <w:p w14:paraId="12B59C28" w14:textId="41C760EA" w:rsidR="003319DA" w:rsidRPr="003F1DA7" w:rsidRDefault="003319DA" w:rsidP="00477B3F">
      <w:pPr>
        <w:pStyle w:val="Normalnumber"/>
        <w:numPr>
          <w:ilvl w:val="0"/>
          <w:numId w:val="0"/>
        </w:numPr>
        <w:spacing w:after="80"/>
        <w:ind w:left="3742"/>
        <w:rPr>
          <w:lang w:val="es-ES"/>
        </w:rPr>
      </w:pPr>
      <w:r w:rsidRPr="003F1DA7">
        <w:rPr>
          <w:lang w:val="es-ES"/>
        </w:rPr>
        <w:t>Mr. Cesar Juarez (Mexico)</w:t>
      </w:r>
    </w:p>
    <w:p w14:paraId="31DD05BC" w14:textId="18DDBA5E" w:rsidR="003319DA" w:rsidRPr="00FA01F2" w:rsidRDefault="003319DA" w:rsidP="00477B3F">
      <w:pPr>
        <w:pStyle w:val="Normalnumber"/>
        <w:numPr>
          <w:ilvl w:val="0"/>
          <w:numId w:val="0"/>
        </w:numPr>
        <w:spacing w:after="80"/>
        <w:ind w:left="3742"/>
        <w:rPr>
          <w:lang w:val="es-ES"/>
        </w:rPr>
      </w:pPr>
      <w:r w:rsidRPr="003F1DA7">
        <w:rPr>
          <w:lang w:val="es-ES"/>
        </w:rPr>
        <w:tab/>
      </w:r>
      <w:r w:rsidRPr="00FA01F2">
        <w:rPr>
          <w:lang w:val="es-ES"/>
        </w:rPr>
        <w:t>Ms. Svetlana Bolocan (Republic of Moldova)</w:t>
      </w:r>
    </w:p>
    <w:p w14:paraId="5C3474DC" w14:textId="0D4354F5" w:rsidR="003319DA" w:rsidRPr="00FA01F2" w:rsidRDefault="003319DA" w:rsidP="00477B3F">
      <w:pPr>
        <w:pStyle w:val="Normalnumber"/>
        <w:numPr>
          <w:ilvl w:val="0"/>
          <w:numId w:val="0"/>
        </w:numPr>
        <w:spacing w:after="80"/>
        <w:ind w:left="3742"/>
        <w:rPr>
          <w:lang w:val="en-US"/>
        </w:rPr>
      </w:pPr>
      <w:r>
        <w:rPr>
          <w:lang w:val="es-ES"/>
        </w:rPr>
        <w:tab/>
      </w:r>
      <w:r w:rsidRPr="00FA01F2">
        <w:rPr>
          <w:lang w:val="en-US"/>
        </w:rPr>
        <w:t>Ms. Nina Cromnier (Sweden)</w:t>
      </w:r>
    </w:p>
    <w:p w14:paraId="6373FCF4" w14:textId="6B1F064E" w:rsidR="003319DA" w:rsidRPr="0000562F" w:rsidRDefault="003319DA" w:rsidP="00477B3F">
      <w:pPr>
        <w:pStyle w:val="Normalnumber"/>
        <w:numPr>
          <w:ilvl w:val="0"/>
          <w:numId w:val="0"/>
        </w:numPr>
        <w:spacing w:after="100"/>
        <w:ind w:left="3742"/>
        <w:rPr>
          <w:lang w:val="en-GB"/>
        </w:rPr>
      </w:pPr>
      <w:r w:rsidRPr="00FA01F2">
        <w:rPr>
          <w:lang w:val="en-US"/>
        </w:rPr>
        <w:tab/>
      </w:r>
      <w:r w:rsidRPr="0000562F">
        <w:rPr>
          <w:lang w:val="en-GB"/>
        </w:rPr>
        <w:t xml:space="preserve">Mr. David Kapindula (Zambia) </w:t>
      </w:r>
    </w:p>
    <w:p w14:paraId="75FA96BC" w14:textId="563BBC16" w:rsidR="008B675C" w:rsidRPr="001E317B" w:rsidRDefault="009A3C1B" w:rsidP="00FA01F2">
      <w:pPr>
        <w:pStyle w:val="Normalnumber"/>
        <w:numPr>
          <w:ilvl w:val="0"/>
          <w:numId w:val="1"/>
        </w:numPr>
        <w:rPr>
          <w:lang w:val="en-GB"/>
        </w:rPr>
      </w:pPr>
      <w:r w:rsidRPr="001E317B">
        <w:rPr>
          <w:lang w:val="en-GB"/>
        </w:rPr>
        <w:lastRenderedPageBreak/>
        <w:t>Mr. David Kapindula (Zambia) was elected to serve as rapporteur.</w:t>
      </w:r>
    </w:p>
    <w:p w14:paraId="37971774" w14:textId="58203544" w:rsidR="009F2876" w:rsidRPr="001E317B" w:rsidRDefault="009F2876" w:rsidP="009F2876">
      <w:pPr>
        <w:pStyle w:val="Normalnumber"/>
        <w:numPr>
          <w:ilvl w:val="0"/>
          <w:numId w:val="1"/>
        </w:numPr>
        <w:rPr>
          <w:lang w:val="en-GB"/>
        </w:rPr>
      </w:pPr>
      <w:r w:rsidRPr="001E317B">
        <w:rPr>
          <w:lang w:val="en-GB"/>
        </w:rPr>
        <w:t xml:space="preserve">As Mr. Cesar Juarez was unable to complete his </w:t>
      </w:r>
      <w:r w:rsidRPr="00F12856">
        <w:rPr>
          <w:lang w:val="en-GB"/>
        </w:rPr>
        <w:t xml:space="preserve">assigned term, </w:t>
      </w:r>
      <w:r w:rsidR="00E24714" w:rsidRPr="00F12856">
        <w:rPr>
          <w:lang w:val="en-GB"/>
        </w:rPr>
        <w:t>the Government of Mexico</w:t>
      </w:r>
      <w:r w:rsidRPr="004A5CFC">
        <w:rPr>
          <w:lang w:val="en-GB"/>
        </w:rPr>
        <w:t xml:space="preserve"> </w:t>
      </w:r>
      <w:r w:rsidR="00892178" w:rsidRPr="009A231A">
        <w:rPr>
          <w:lang w:val="en-GB"/>
        </w:rPr>
        <w:t xml:space="preserve">nominated </w:t>
      </w:r>
      <w:r w:rsidR="00E24714" w:rsidRPr="009A231A">
        <w:rPr>
          <w:lang w:val="en-GB"/>
        </w:rPr>
        <w:t>Mr. Miguel Ángel Espinosa Luna</w:t>
      </w:r>
      <w:r w:rsidRPr="009A231A">
        <w:rPr>
          <w:lang w:val="en-GB"/>
        </w:rPr>
        <w:t xml:space="preserve"> to replace him for</w:t>
      </w:r>
      <w:r w:rsidRPr="001E317B">
        <w:rPr>
          <w:lang w:val="en-GB"/>
        </w:rPr>
        <w:t xml:space="preserve"> the remainder of </w:t>
      </w:r>
      <w:r w:rsidR="00976D91">
        <w:rPr>
          <w:lang w:val="en-GB"/>
        </w:rPr>
        <w:t>the</w:t>
      </w:r>
      <w:r w:rsidRPr="001E317B">
        <w:rPr>
          <w:lang w:val="en-GB"/>
        </w:rPr>
        <w:t xml:space="preserve"> term.</w:t>
      </w:r>
    </w:p>
    <w:p w14:paraId="023B48CB" w14:textId="70C17B49" w:rsidR="009A3C1B" w:rsidRPr="001E317B" w:rsidRDefault="009F2876" w:rsidP="009F2876">
      <w:pPr>
        <w:pStyle w:val="Normalnumber"/>
        <w:numPr>
          <w:ilvl w:val="0"/>
          <w:numId w:val="1"/>
        </w:numPr>
        <w:rPr>
          <w:lang w:val="en-GB"/>
        </w:rPr>
      </w:pPr>
      <w:r w:rsidRPr="001E317B">
        <w:rPr>
          <w:lang w:val="en-GB"/>
        </w:rPr>
        <w:t>At its second meeting, pursuant to t</w:t>
      </w:r>
      <w:r w:rsidR="008B675C" w:rsidRPr="001E317B">
        <w:rPr>
          <w:lang w:val="en-GB"/>
        </w:rPr>
        <w:t xml:space="preserve">he rules </w:t>
      </w:r>
      <w:r w:rsidR="00F02847" w:rsidRPr="001E317B">
        <w:rPr>
          <w:lang w:val="en-GB"/>
        </w:rPr>
        <w:t xml:space="preserve">of procedure, the Conference </w:t>
      </w:r>
      <w:r w:rsidR="00892178">
        <w:rPr>
          <w:lang w:val="en-GB"/>
        </w:rPr>
        <w:t xml:space="preserve">of the Parties </w:t>
      </w:r>
      <w:r w:rsidR="00F02847" w:rsidRPr="001E317B">
        <w:rPr>
          <w:lang w:val="en-GB"/>
        </w:rPr>
        <w:t xml:space="preserve">is </w:t>
      </w:r>
      <w:r w:rsidR="008B675C" w:rsidRPr="001E317B">
        <w:rPr>
          <w:lang w:val="en-GB"/>
        </w:rPr>
        <w:t xml:space="preserve">to elect a President and nine Vice-Presidents, one of whom </w:t>
      </w:r>
      <w:r w:rsidR="00CD1EBE" w:rsidRPr="001E317B">
        <w:rPr>
          <w:lang w:val="en-GB"/>
        </w:rPr>
        <w:t xml:space="preserve">will </w:t>
      </w:r>
      <w:r w:rsidR="00F02847" w:rsidRPr="001E317B">
        <w:rPr>
          <w:lang w:val="en-GB"/>
        </w:rPr>
        <w:t>act</w:t>
      </w:r>
      <w:r w:rsidR="008B675C" w:rsidRPr="001E317B">
        <w:rPr>
          <w:lang w:val="en-GB"/>
        </w:rPr>
        <w:t xml:space="preserve"> as Rapporteur, from among the representatives of the </w:t>
      </w:r>
      <w:r w:rsidR="00FB4C5A">
        <w:rPr>
          <w:lang w:val="en-GB"/>
        </w:rPr>
        <w:t>p</w:t>
      </w:r>
      <w:r w:rsidR="00FB4C5A" w:rsidRPr="001E317B">
        <w:rPr>
          <w:lang w:val="en-GB"/>
        </w:rPr>
        <w:t xml:space="preserve">arties </w:t>
      </w:r>
      <w:r w:rsidR="008B675C" w:rsidRPr="001E317B">
        <w:rPr>
          <w:lang w:val="en-GB"/>
        </w:rPr>
        <w:t>present at the meeting</w:t>
      </w:r>
      <w:r w:rsidR="00015D8E" w:rsidRPr="001E317B">
        <w:rPr>
          <w:lang w:val="en-GB"/>
        </w:rPr>
        <w:t>, to</w:t>
      </w:r>
      <w:r w:rsidR="00F02847" w:rsidRPr="001E317B">
        <w:rPr>
          <w:lang w:val="en-GB"/>
        </w:rPr>
        <w:t xml:space="preserve"> serve from </w:t>
      </w:r>
      <w:r w:rsidR="008B675C" w:rsidRPr="001E317B">
        <w:rPr>
          <w:lang w:val="en-GB"/>
        </w:rPr>
        <w:t>the closure of the second meeting</w:t>
      </w:r>
      <w:r w:rsidR="00F02847" w:rsidRPr="001E317B">
        <w:rPr>
          <w:lang w:val="en-GB"/>
        </w:rPr>
        <w:t xml:space="preserve"> </w:t>
      </w:r>
      <w:r w:rsidR="008B675C" w:rsidRPr="001E317B">
        <w:rPr>
          <w:lang w:val="en-GB"/>
        </w:rPr>
        <w:t>until the c</w:t>
      </w:r>
      <w:r w:rsidR="00976D91">
        <w:rPr>
          <w:lang w:val="en-GB"/>
        </w:rPr>
        <w:t>losure</w:t>
      </w:r>
      <w:r w:rsidR="008B675C" w:rsidRPr="001E317B">
        <w:rPr>
          <w:lang w:val="en-GB"/>
        </w:rPr>
        <w:t xml:space="preserve"> of the third meeting of the Conference</w:t>
      </w:r>
      <w:r w:rsidR="00892178">
        <w:rPr>
          <w:lang w:val="en-GB"/>
        </w:rPr>
        <w:t xml:space="preserve"> of the Parties, including the intersessional period</w:t>
      </w:r>
      <w:r w:rsidR="008B675C" w:rsidRPr="001E317B">
        <w:rPr>
          <w:lang w:val="en-GB"/>
        </w:rPr>
        <w:t xml:space="preserve">. </w:t>
      </w:r>
    </w:p>
    <w:p w14:paraId="42F759C1" w14:textId="734AF52C" w:rsidR="0001627D" w:rsidRPr="001E317B" w:rsidRDefault="00F02847" w:rsidP="004E2C4A">
      <w:pPr>
        <w:pStyle w:val="CH3"/>
        <w:rPr>
          <w:lang w:val="en-GB"/>
        </w:rPr>
      </w:pPr>
      <w:r w:rsidRPr="001E317B">
        <w:rPr>
          <w:lang w:val="en-GB"/>
        </w:rPr>
        <w:tab/>
        <w:t>(b</w:t>
      </w:r>
      <w:r w:rsidR="00DE0B1A" w:rsidRPr="001E317B">
        <w:rPr>
          <w:lang w:val="en-GB"/>
        </w:rPr>
        <w:t>)</w:t>
      </w:r>
      <w:r w:rsidR="00DE0B1A" w:rsidRPr="001E317B">
        <w:rPr>
          <w:lang w:val="en-GB"/>
        </w:rPr>
        <w:tab/>
      </w:r>
      <w:r w:rsidR="0001627D" w:rsidRPr="001E317B">
        <w:rPr>
          <w:lang w:val="en-GB"/>
        </w:rPr>
        <w:t>Adoption of the agenda</w:t>
      </w:r>
    </w:p>
    <w:p w14:paraId="263B1629" w14:textId="40D8F2C3" w:rsidR="0001627D" w:rsidRPr="001E317B" w:rsidRDefault="008C1E01" w:rsidP="00F02847">
      <w:pPr>
        <w:pStyle w:val="Normalnumber"/>
        <w:numPr>
          <w:ilvl w:val="0"/>
          <w:numId w:val="1"/>
        </w:numPr>
        <w:tabs>
          <w:tab w:val="clear" w:pos="567"/>
        </w:tabs>
        <w:rPr>
          <w:color w:val="000000" w:themeColor="text1"/>
          <w:lang w:val="en-GB"/>
        </w:rPr>
      </w:pPr>
      <w:r w:rsidRPr="001E317B">
        <w:rPr>
          <w:color w:val="000000" w:themeColor="text1"/>
          <w:lang w:val="en-GB"/>
        </w:rPr>
        <w:t>T</w:t>
      </w:r>
      <w:r w:rsidR="00F02847" w:rsidRPr="001E317B">
        <w:rPr>
          <w:color w:val="000000" w:themeColor="text1"/>
          <w:lang w:val="en-GB"/>
        </w:rPr>
        <w:t>he</w:t>
      </w:r>
      <w:r w:rsidR="0001627D" w:rsidRPr="001E317B">
        <w:rPr>
          <w:color w:val="000000" w:themeColor="text1"/>
          <w:lang w:val="en-GB"/>
        </w:rPr>
        <w:t xml:space="preserve"> Conference </w:t>
      </w:r>
      <w:r w:rsidR="009F41FC">
        <w:rPr>
          <w:color w:val="000000" w:themeColor="text1"/>
          <w:lang w:val="en-GB"/>
        </w:rPr>
        <w:t xml:space="preserve">of the Parties </w:t>
      </w:r>
      <w:r w:rsidR="0001627D" w:rsidRPr="001E317B">
        <w:rPr>
          <w:color w:val="000000" w:themeColor="text1"/>
          <w:lang w:val="en-GB"/>
        </w:rPr>
        <w:t xml:space="preserve">may wish to adopt its agenda on the basis of the provisional agenda </w:t>
      </w:r>
      <w:r w:rsidR="00F02847" w:rsidRPr="001E317B">
        <w:rPr>
          <w:color w:val="000000" w:themeColor="text1"/>
          <w:lang w:val="en-GB"/>
        </w:rPr>
        <w:t>set forth</w:t>
      </w:r>
      <w:r w:rsidR="008B675C" w:rsidRPr="001E317B">
        <w:rPr>
          <w:color w:val="000000" w:themeColor="text1"/>
          <w:lang w:val="en-GB"/>
        </w:rPr>
        <w:t xml:space="preserve"> in document UNEP/MC/COP.2</w:t>
      </w:r>
      <w:r w:rsidR="0001627D" w:rsidRPr="001E317B">
        <w:rPr>
          <w:color w:val="000000" w:themeColor="text1"/>
          <w:lang w:val="en-GB"/>
        </w:rPr>
        <w:t>/1.</w:t>
      </w:r>
    </w:p>
    <w:p w14:paraId="166B5564" w14:textId="45C50BC0" w:rsidR="0001627D" w:rsidRPr="001E317B" w:rsidRDefault="00F02847" w:rsidP="004E2C4A">
      <w:pPr>
        <w:pStyle w:val="CH3"/>
        <w:rPr>
          <w:b w:val="0"/>
          <w:lang w:val="en-GB"/>
        </w:rPr>
      </w:pPr>
      <w:r w:rsidRPr="001E317B">
        <w:rPr>
          <w:lang w:val="en-GB"/>
        </w:rPr>
        <w:tab/>
        <w:t>(c</w:t>
      </w:r>
      <w:r w:rsidR="00DE0B1A" w:rsidRPr="001E317B">
        <w:rPr>
          <w:lang w:val="en-GB"/>
        </w:rPr>
        <w:t>)</w:t>
      </w:r>
      <w:r w:rsidR="00DE0B1A" w:rsidRPr="001E317B">
        <w:rPr>
          <w:lang w:val="en-GB"/>
        </w:rPr>
        <w:tab/>
      </w:r>
      <w:r w:rsidR="0001627D" w:rsidRPr="001E317B">
        <w:rPr>
          <w:lang w:val="en-GB"/>
        </w:rPr>
        <w:t>Organization of work</w:t>
      </w:r>
    </w:p>
    <w:p w14:paraId="6049CBCE" w14:textId="6A5AC3E5" w:rsidR="001E06CD" w:rsidRPr="001E317B" w:rsidRDefault="001E06CD" w:rsidP="008C1E01">
      <w:pPr>
        <w:pStyle w:val="Normalnumber"/>
        <w:numPr>
          <w:ilvl w:val="0"/>
          <w:numId w:val="1"/>
        </w:numPr>
        <w:tabs>
          <w:tab w:val="clear" w:pos="567"/>
        </w:tabs>
        <w:rPr>
          <w:color w:val="000000" w:themeColor="text1"/>
          <w:lang w:val="en-GB"/>
        </w:rPr>
      </w:pPr>
      <w:r w:rsidRPr="001E317B">
        <w:rPr>
          <w:color w:val="000000" w:themeColor="text1"/>
          <w:lang w:val="en-GB"/>
        </w:rPr>
        <w:t xml:space="preserve">The Conference </w:t>
      </w:r>
      <w:r w:rsidR="009F41FC">
        <w:rPr>
          <w:color w:val="000000" w:themeColor="text1"/>
          <w:lang w:val="en-GB"/>
        </w:rPr>
        <w:t xml:space="preserve">of the Parties </w:t>
      </w:r>
      <w:r w:rsidRPr="001E317B">
        <w:rPr>
          <w:color w:val="000000" w:themeColor="text1"/>
          <w:lang w:val="en-GB"/>
        </w:rPr>
        <w:t xml:space="preserve">has before it a scenario note for the meeting </w:t>
      </w:r>
      <w:r w:rsidRPr="001E317B">
        <w:rPr>
          <w:bCs/>
          <w:lang w:val="en-GB"/>
        </w:rPr>
        <w:t xml:space="preserve">prepared by the President </w:t>
      </w:r>
      <w:r w:rsidR="00037AAB" w:rsidRPr="001E317B">
        <w:rPr>
          <w:color w:val="000000" w:themeColor="text1"/>
          <w:lang w:val="en-GB"/>
        </w:rPr>
        <w:t>(</w:t>
      </w:r>
      <w:r w:rsidRPr="001E317B">
        <w:rPr>
          <w:color w:val="000000" w:themeColor="text1"/>
          <w:lang w:val="en-GB"/>
        </w:rPr>
        <w:t>UNEP/MC/COP.2/2</w:t>
      </w:r>
      <w:r w:rsidR="00037AAB" w:rsidRPr="001E317B">
        <w:rPr>
          <w:color w:val="000000" w:themeColor="text1"/>
          <w:lang w:val="en-GB"/>
        </w:rPr>
        <w:t>)</w:t>
      </w:r>
      <w:r w:rsidRPr="001E317B">
        <w:rPr>
          <w:color w:val="000000" w:themeColor="text1"/>
          <w:lang w:val="en-GB"/>
        </w:rPr>
        <w:t>.</w:t>
      </w:r>
    </w:p>
    <w:p w14:paraId="4768213E" w14:textId="4C2811C9" w:rsidR="00015D8E" w:rsidRPr="001E317B" w:rsidRDefault="009F41FC" w:rsidP="008C1E01">
      <w:pPr>
        <w:pStyle w:val="Normalnumber"/>
        <w:numPr>
          <w:ilvl w:val="0"/>
          <w:numId w:val="1"/>
        </w:numPr>
        <w:tabs>
          <w:tab w:val="clear" w:pos="567"/>
        </w:tabs>
        <w:rPr>
          <w:lang w:val="en-GB"/>
        </w:rPr>
      </w:pPr>
      <w:r>
        <w:rPr>
          <w:color w:val="000000" w:themeColor="text1"/>
          <w:lang w:val="en-GB"/>
        </w:rPr>
        <w:t>T</w:t>
      </w:r>
      <w:r w:rsidR="00B16805" w:rsidRPr="001E317B">
        <w:rPr>
          <w:color w:val="000000" w:themeColor="text1"/>
          <w:lang w:val="en-GB"/>
        </w:rPr>
        <w:t>he Conference</w:t>
      </w:r>
      <w:r>
        <w:rPr>
          <w:color w:val="000000" w:themeColor="text1"/>
          <w:lang w:val="en-GB"/>
        </w:rPr>
        <w:t xml:space="preserve"> of the Parties is expected to</w:t>
      </w:r>
      <w:r w:rsidR="00B16805" w:rsidRPr="001E317B">
        <w:rPr>
          <w:color w:val="000000" w:themeColor="text1"/>
          <w:lang w:val="en-GB"/>
        </w:rPr>
        <w:t xml:space="preserve"> meet daily</w:t>
      </w:r>
      <w:r w:rsidR="001E06CD" w:rsidRPr="001E317B">
        <w:rPr>
          <w:color w:val="000000" w:themeColor="text1"/>
          <w:lang w:val="en-GB"/>
        </w:rPr>
        <w:t xml:space="preserve"> </w:t>
      </w:r>
      <w:r w:rsidR="00976D91">
        <w:rPr>
          <w:color w:val="000000" w:themeColor="text1"/>
          <w:lang w:val="en-GB"/>
        </w:rPr>
        <w:t>from</w:t>
      </w:r>
      <w:r w:rsidR="008C1E01" w:rsidRPr="001E317B">
        <w:rPr>
          <w:color w:val="000000" w:themeColor="text1"/>
          <w:lang w:val="en-GB"/>
        </w:rPr>
        <w:t xml:space="preserve"> Monday, 19 November until Friday, 23 November </w:t>
      </w:r>
      <w:r w:rsidR="00B16805" w:rsidRPr="001E317B">
        <w:rPr>
          <w:color w:val="000000" w:themeColor="text1"/>
          <w:lang w:val="en-GB"/>
        </w:rPr>
        <w:t>from 10 a.m. to 1 p.m. and from 3 p.m. to 6</w:t>
      </w:r>
      <w:r w:rsidR="00725411" w:rsidRPr="001E317B">
        <w:rPr>
          <w:color w:val="000000" w:themeColor="text1"/>
          <w:lang w:val="en-GB"/>
        </w:rPr>
        <w:t> </w:t>
      </w:r>
      <w:r w:rsidR="00B16805" w:rsidRPr="001E317B">
        <w:rPr>
          <w:color w:val="000000" w:themeColor="text1"/>
          <w:lang w:val="en-GB"/>
        </w:rPr>
        <w:t xml:space="preserve">p.m., subject to </w:t>
      </w:r>
      <w:r w:rsidR="00976D91">
        <w:rPr>
          <w:color w:val="000000" w:themeColor="text1"/>
          <w:lang w:val="en-GB"/>
        </w:rPr>
        <w:t xml:space="preserve">any necessary </w:t>
      </w:r>
      <w:r w:rsidR="00B16805" w:rsidRPr="001E317B">
        <w:rPr>
          <w:color w:val="000000" w:themeColor="text1"/>
          <w:lang w:val="en-GB"/>
        </w:rPr>
        <w:t>adjustment</w:t>
      </w:r>
      <w:r w:rsidR="00CD596A" w:rsidRPr="001E317B">
        <w:rPr>
          <w:color w:val="000000" w:themeColor="text1"/>
          <w:lang w:val="en-GB"/>
        </w:rPr>
        <w:t>s</w:t>
      </w:r>
      <w:r w:rsidR="00B16805" w:rsidRPr="001E317B">
        <w:rPr>
          <w:color w:val="000000" w:themeColor="text1"/>
          <w:lang w:val="en-GB"/>
        </w:rPr>
        <w:t>.</w:t>
      </w:r>
      <w:r w:rsidR="0001627D" w:rsidRPr="001E317B">
        <w:rPr>
          <w:color w:val="000000" w:themeColor="text1"/>
          <w:lang w:val="en-GB"/>
        </w:rPr>
        <w:t xml:space="preserve"> </w:t>
      </w:r>
    </w:p>
    <w:p w14:paraId="0CBE8573" w14:textId="3A13B7B3" w:rsidR="007D033B" w:rsidRPr="001E317B" w:rsidRDefault="009860AA" w:rsidP="008C1E01">
      <w:pPr>
        <w:pStyle w:val="Normalnumber"/>
        <w:numPr>
          <w:ilvl w:val="0"/>
          <w:numId w:val="1"/>
        </w:numPr>
        <w:tabs>
          <w:tab w:val="clear" w:pos="567"/>
        </w:tabs>
        <w:rPr>
          <w:lang w:val="en-GB"/>
        </w:rPr>
      </w:pPr>
      <w:r w:rsidRPr="001E317B">
        <w:rPr>
          <w:lang w:val="en-GB"/>
        </w:rPr>
        <w:t>T</w:t>
      </w:r>
      <w:r w:rsidR="007D033B" w:rsidRPr="001E317B">
        <w:rPr>
          <w:lang w:val="en-GB"/>
        </w:rPr>
        <w:t xml:space="preserve">he Conference </w:t>
      </w:r>
      <w:r w:rsidR="009F41FC">
        <w:rPr>
          <w:lang w:val="en-GB"/>
        </w:rPr>
        <w:t xml:space="preserve">of the Parties </w:t>
      </w:r>
      <w:r w:rsidR="007D033B" w:rsidRPr="001E317B">
        <w:rPr>
          <w:lang w:val="en-GB"/>
        </w:rPr>
        <w:t xml:space="preserve">may </w:t>
      </w:r>
      <w:r w:rsidR="008C1E01" w:rsidRPr="001E317B">
        <w:rPr>
          <w:lang w:val="en-GB"/>
        </w:rPr>
        <w:t xml:space="preserve">wish to </w:t>
      </w:r>
      <w:r w:rsidR="009F41FC">
        <w:rPr>
          <w:lang w:val="en-GB"/>
        </w:rPr>
        <w:t xml:space="preserve">establish </w:t>
      </w:r>
      <w:r w:rsidR="007D033B" w:rsidRPr="001E317B">
        <w:rPr>
          <w:lang w:val="en-GB"/>
        </w:rPr>
        <w:t xml:space="preserve">small groups and other in-session working groups </w:t>
      </w:r>
      <w:r w:rsidR="009F41FC">
        <w:rPr>
          <w:lang w:val="en-GB"/>
        </w:rPr>
        <w:t>as it may deem necessary</w:t>
      </w:r>
      <w:r w:rsidR="00976D91">
        <w:rPr>
          <w:lang w:val="en-GB"/>
        </w:rPr>
        <w:t>,</w:t>
      </w:r>
      <w:r w:rsidR="009F41FC">
        <w:rPr>
          <w:lang w:val="en-GB"/>
        </w:rPr>
        <w:t xml:space="preserve"> and to specify their mandates</w:t>
      </w:r>
      <w:r w:rsidR="00037AAB" w:rsidRPr="001E317B">
        <w:rPr>
          <w:lang w:val="en-GB"/>
        </w:rPr>
        <w:t>.</w:t>
      </w:r>
    </w:p>
    <w:p w14:paraId="72CCCC51" w14:textId="77777777" w:rsidR="00C16A39" w:rsidRPr="001E317B" w:rsidRDefault="00C16A39" w:rsidP="00C16A39">
      <w:pPr>
        <w:pStyle w:val="CH2"/>
        <w:tabs>
          <w:tab w:val="clear" w:pos="851"/>
          <w:tab w:val="clear" w:pos="1247"/>
          <w:tab w:val="left" w:pos="567"/>
        </w:tabs>
        <w:ind w:left="0" w:firstLine="0"/>
        <w:rPr>
          <w:color w:val="000000" w:themeColor="text1"/>
          <w:lang w:val="en-GB"/>
        </w:rPr>
      </w:pPr>
      <w:r w:rsidRPr="001E317B">
        <w:rPr>
          <w:b w:val="0"/>
          <w:color w:val="000000" w:themeColor="text1"/>
          <w:sz w:val="20"/>
          <w:szCs w:val="20"/>
          <w:lang w:val="en-GB"/>
        </w:rPr>
        <w:tab/>
      </w:r>
      <w:r w:rsidRPr="001E317B">
        <w:rPr>
          <w:color w:val="000000" w:themeColor="text1"/>
          <w:lang w:val="en-GB"/>
        </w:rPr>
        <w:t>Item 3</w:t>
      </w:r>
    </w:p>
    <w:p w14:paraId="35C7246E" w14:textId="77777777" w:rsidR="00C16A39" w:rsidRPr="001E317B" w:rsidRDefault="00C16A39" w:rsidP="00C16A39">
      <w:pPr>
        <w:pStyle w:val="CH2"/>
        <w:keepNext w:val="0"/>
        <w:keepLines w:val="0"/>
        <w:ind w:left="624" w:firstLine="0"/>
        <w:rPr>
          <w:color w:val="000000" w:themeColor="text1"/>
          <w:lang w:val="en-GB"/>
        </w:rPr>
      </w:pPr>
      <w:r w:rsidRPr="001E317B">
        <w:rPr>
          <w:color w:val="000000" w:themeColor="text1"/>
          <w:lang w:val="en-GB"/>
        </w:rPr>
        <w:tab/>
      </w:r>
      <w:r w:rsidRPr="001E317B">
        <w:rPr>
          <w:lang w:val="en-GB"/>
        </w:rPr>
        <w:t>Rules of procedure for the Conference of the Parties</w:t>
      </w:r>
    </w:p>
    <w:p w14:paraId="52AF75A4" w14:textId="0CF74602" w:rsidR="000538FC" w:rsidRPr="001E317B" w:rsidRDefault="001E32EF" w:rsidP="00F72EE8">
      <w:pPr>
        <w:pStyle w:val="Normalnumber"/>
        <w:numPr>
          <w:ilvl w:val="0"/>
          <w:numId w:val="7"/>
        </w:numPr>
        <w:tabs>
          <w:tab w:val="clear" w:pos="567"/>
        </w:tabs>
        <w:rPr>
          <w:color w:val="000000" w:themeColor="text1"/>
          <w:lang w:val="en-GB"/>
        </w:rPr>
      </w:pPr>
      <w:r w:rsidRPr="001E317B">
        <w:rPr>
          <w:lang w:val="en-GB"/>
        </w:rPr>
        <w:t xml:space="preserve">At its first meeting, the Conference </w:t>
      </w:r>
      <w:r w:rsidR="009F41FC">
        <w:rPr>
          <w:lang w:val="en-GB"/>
        </w:rPr>
        <w:t xml:space="preserve">of the </w:t>
      </w:r>
      <w:r w:rsidR="009F41FC" w:rsidRPr="00F12856">
        <w:rPr>
          <w:lang w:val="en-GB"/>
        </w:rPr>
        <w:t xml:space="preserve">Parties </w:t>
      </w:r>
      <w:r w:rsidRPr="00F12856">
        <w:rPr>
          <w:lang w:val="en-GB"/>
        </w:rPr>
        <w:t xml:space="preserve">adopted </w:t>
      </w:r>
      <w:r w:rsidR="00725C11" w:rsidRPr="00F12856">
        <w:rPr>
          <w:lang w:val="en-GB"/>
        </w:rPr>
        <w:t xml:space="preserve">its </w:t>
      </w:r>
      <w:r w:rsidRPr="004A5CFC">
        <w:rPr>
          <w:lang w:val="en-GB"/>
        </w:rPr>
        <w:t>rules of procedure</w:t>
      </w:r>
      <w:r w:rsidR="00725C11" w:rsidRPr="009A231A">
        <w:rPr>
          <w:lang w:val="en-GB"/>
        </w:rPr>
        <w:t>. T</w:t>
      </w:r>
      <w:r w:rsidRPr="009A231A">
        <w:rPr>
          <w:lang w:val="en-GB"/>
        </w:rPr>
        <w:t>he second sentence of paragraph 1 of rule 45 and paragraph 3 of rule 45</w:t>
      </w:r>
      <w:r w:rsidR="00976D91">
        <w:rPr>
          <w:lang w:val="en-GB"/>
        </w:rPr>
        <w:t>,</w:t>
      </w:r>
      <w:r w:rsidR="00725C11" w:rsidRPr="009A231A">
        <w:rPr>
          <w:lang w:val="en-GB"/>
        </w:rPr>
        <w:t xml:space="preserve"> </w:t>
      </w:r>
      <w:r w:rsidR="009A231A">
        <w:rPr>
          <w:lang w:val="en-GB"/>
        </w:rPr>
        <w:t>however</w:t>
      </w:r>
      <w:r w:rsidR="00976D91">
        <w:rPr>
          <w:lang w:val="en-GB"/>
        </w:rPr>
        <w:t>,</w:t>
      </w:r>
      <w:r w:rsidR="009A231A">
        <w:rPr>
          <w:lang w:val="en-GB"/>
        </w:rPr>
        <w:t xml:space="preserve"> </w:t>
      </w:r>
      <w:r w:rsidR="00725C11" w:rsidRPr="00F12856">
        <w:rPr>
          <w:lang w:val="en-GB"/>
        </w:rPr>
        <w:t>remained in brackets</w:t>
      </w:r>
      <w:r w:rsidRPr="00F12856">
        <w:rPr>
          <w:lang w:val="en-GB"/>
        </w:rPr>
        <w:t xml:space="preserve">. </w:t>
      </w:r>
      <w:r w:rsidR="000538FC" w:rsidRPr="004A5CFC">
        <w:rPr>
          <w:color w:val="000000" w:themeColor="text1"/>
          <w:lang w:val="en-GB"/>
        </w:rPr>
        <w:t xml:space="preserve">The Conference </w:t>
      </w:r>
      <w:r w:rsidR="009F41FC" w:rsidRPr="009A231A">
        <w:rPr>
          <w:color w:val="000000" w:themeColor="text1"/>
          <w:lang w:val="en-GB"/>
        </w:rPr>
        <w:t xml:space="preserve">of the Parties </w:t>
      </w:r>
      <w:r w:rsidR="000538FC" w:rsidRPr="009A231A">
        <w:rPr>
          <w:color w:val="000000" w:themeColor="text1"/>
          <w:lang w:val="en-GB"/>
        </w:rPr>
        <w:t xml:space="preserve">may wish </w:t>
      </w:r>
      <w:r w:rsidR="00C618FD" w:rsidRPr="009A231A">
        <w:rPr>
          <w:color w:val="000000" w:themeColor="text1"/>
          <w:lang w:val="en-GB"/>
        </w:rPr>
        <w:t>to consider and adopt th</w:t>
      </w:r>
      <w:r w:rsidR="00725C11" w:rsidRPr="009A231A">
        <w:rPr>
          <w:color w:val="000000" w:themeColor="text1"/>
          <w:lang w:val="en-GB"/>
        </w:rPr>
        <w:t>e</w:t>
      </w:r>
      <w:r w:rsidR="00C618FD" w:rsidRPr="009A231A">
        <w:rPr>
          <w:color w:val="000000" w:themeColor="text1"/>
          <w:lang w:val="en-GB"/>
        </w:rPr>
        <w:t xml:space="preserve"> outstanding </w:t>
      </w:r>
      <w:r w:rsidR="00725C11" w:rsidRPr="009A231A">
        <w:rPr>
          <w:color w:val="000000" w:themeColor="text1"/>
          <w:lang w:val="en-GB"/>
        </w:rPr>
        <w:t xml:space="preserve">paragraphs </w:t>
      </w:r>
      <w:r w:rsidR="00C618FD" w:rsidRPr="009A231A">
        <w:rPr>
          <w:color w:val="000000" w:themeColor="text1"/>
          <w:lang w:val="en-GB"/>
        </w:rPr>
        <w:t>as set out</w:t>
      </w:r>
      <w:r w:rsidR="00C618FD" w:rsidRPr="001E317B">
        <w:rPr>
          <w:color w:val="000000" w:themeColor="text1"/>
          <w:lang w:val="en-GB"/>
        </w:rPr>
        <w:t xml:space="preserve"> in the annex to document </w:t>
      </w:r>
      <w:r w:rsidR="000538FC" w:rsidRPr="001E317B">
        <w:rPr>
          <w:color w:val="000000" w:themeColor="text1"/>
          <w:lang w:val="en-GB"/>
        </w:rPr>
        <w:t>UNEP/MC/COP.</w:t>
      </w:r>
      <w:r w:rsidR="00C618FD" w:rsidRPr="001E317B">
        <w:rPr>
          <w:color w:val="000000" w:themeColor="text1"/>
          <w:lang w:val="en-GB"/>
        </w:rPr>
        <w:t>2</w:t>
      </w:r>
      <w:r w:rsidR="000538FC" w:rsidRPr="001E317B">
        <w:rPr>
          <w:color w:val="000000" w:themeColor="text1"/>
          <w:lang w:val="en-GB"/>
        </w:rPr>
        <w:t xml:space="preserve">/3. </w:t>
      </w:r>
    </w:p>
    <w:p w14:paraId="38E2A498" w14:textId="77777777" w:rsidR="000D00CF" w:rsidRPr="001E317B" w:rsidRDefault="000D00CF" w:rsidP="000D00CF">
      <w:pPr>
        <w:pStyle w:val="CH2"/>
        <w:keepNext w:val="0"/>
        <w:keepLines w:val="0"/>
        <w:ind w:left="624" w:firstLine="0"/>
        <w:rPr>
          <w:color w:val="000000" w:themeColor="text1"/>
          <w:lang w:val="en-GB"/>
        </w:rPr>
      </w:pPr>
      <w:r w:rsidRPr="001E317B">
        <w:rPr>
          <w:color w:val="000000" w:themeColor="text1"/>
          <w:lang w:val="en-GB"/>
        </w:rPr>
        <w:t>Item 4</w:t>
      </w:r>
    </w:p>
    <w:p w14:paraId="69D13FB2" w14:textId="55286261" w:rsidR="000D00CF" w:rsidRPr="001E317B" w:rsidRDefault="000D00CF" w:rsidP="00C13220">
      <w:pPr>
        <w:pStyle w:val="CH2"/>
        <w:keepNext w:val="0"/>
        <w:keepLines w:val="0"/>
        <w:ind w:left="624" w:firstLine="0"/>
        <w:rPr>
          <w:b w:val="0"/>
          <w:color w:val="000000" w:themeColor="text1"/>
          <w:lang w:val="en-GB"/>
        </w:rPr>
      </w:pPr>
      <w:r w:rsidRPr="001E317B">
        <w:rPr>
          <w:color w:val="000000" w:themeColor="text1"/>
          <w:lang w:val="en-GB"/>
        </w:rPr>
        <w:tab/>
        <w:t>Rep</w:t>
      </w:r>
      <w:r w:rsidR="00C13220" w:rsidRPr="001E317B">
        <w:rPr>
          <w:color w:val="000000" w:themeColor="text1"/>
          <w:lang w:val="en-GB"/>
        </w:rPr>
        <w:t>ort on the credentials of representatives to the second meeting o</w:t>
      </w:r>
      <w:r w:rsidR="00F960A5" w:rsidRPr="001E317B">
        <w:rPr>
          <w:color w:val="000000" w:themeColor="text1"/>
          <w:lang w:val="en-GB"/>
        </w:rPr>
        <w:t>f the Conference of the Parties</w:t>
      </w:r>
    </w:p>
    <w:p w14:paraId="5DB4F91F" w14:textId="6E1C130A" w:rsidR="006B3F36" w:rsidRPr="001E317B" w:rsidRDefault="006B3F36" w:rsidP="00646C5C">
      <w:pPr>
        <w:pStyle w:val="Normalnumber"/>
        <w:numPr>
          <w:ilvl w:val="0"/>
          <w:numId w:val="1"/>
        </w:numPr>
        <w:rPr>
          <w:color w:val="000000" w:themeColor="text1"/>
          <w:lang w:val="en-GB"/>
        </w:rPr>
      </w:pPr>
      <w:r w:rsidRPr="001E317B">
        <w:rPr>
          <w:color w:val="000000" w:themeColor="text1"/>
          <w:lang w:val="en-GB"/>
        </w:rPr>
        <w:t xml:space="preserve">The Conference </w:t>
      </w:r>
      <w:r w:rsidR="009F41FC">
        <w:rPr>
          <w:color w:val="000000" w:themeColor="text1"/>
          <w:lang w:val="en-GB"/>
        </w:rPr>
        <w:t xml:space="preserve">of the Parties </w:t>
      </w:r>
      <w:r w:rsidRPr="001E317B">
        <w:rPr>
          <w:color w:val="000000" w:themeColor="text1"/>
          <w:lang w:val="en-GB"/>
        </w:rPr>
        <w:t>has before it a note prepared by the secretariat on the status of ratification of the Minamata Convention as at</w:t>
      </w:r>
      <w:r w:rsidR="00646C5C" w:rsidRPr="001E317B">
        <w:rPr>
          <w:color w:val="000000" w:themeColor="text1"/>
          <w:lang w:val="en-GB"/>
        </w:rPr>
        <w:t xml:space="preserve"> 18 September</w:t>
      </w:r>
      <w:r w:rsidRPr="001E317B">
        <w:rPr>
          <w:color w:val="000000" w:themeColor="text1"/>
          <w:lang w:val="en-GB"/>
        </w:rPr>
        <w:t xml:space="preserve"> 2018</w:t>
      </w:r>
      <w:r w:rsidR="00646C5C" w:rsidRPr="001E317B">
        <w:rPr>
          <w:color w:val="000000" w:themeColor="text1"/>
          <w:lang w:val="en-GB"/>
        </w:rPr>
        <w:t xml:space="preserve"> (UNEP/MC/COP.2/INF/1</w:t>
      </w:r>
      <w:r w:rsidR="008F624E" w:rsidRPr="001E317B">
        <w:rPr>
          <w:color w:val="000000" w:themeColor="text1"/>
          <w:lang w:val="en-GB"/>
        </w:rPr>
        <w:t>8</w:t>
      </w:r>
      <w:r w:rsidR="004E360F" w:rsidRPr="001E317B">
        <w:rPr>
          <w:color w:val="000000" w:themeColor="text1"/>
          <w:lang w:val="en-GB"/>
        </w:rPr>
        <w:t>)</w:t>
      </w:r>
      <w:r w:rsidR="00B33BF6" w:rsidRPr="001E317B">
        <w:rPr>
          <w:color w:val="000000" w:themeColor="text1"/>
          <w:lang w:val="en-GB"/>
        </w:rPr>
        <w:t>.</w:t>
      </w:r>
    </w:p>
    <w:p w14:paraId="2B8F24D1" w14:textId="5F768E8A" w:rsidR="0001627D" w:rsidRPr="001E317B" w:rsidRDefault="00015D8E" w:rsidP="004508D3">
      <w:pPr>
        <w:pStyle w:val="Normalnumber"/>
        <w:numPr>
          <w:ilvl w:val="0"/>
          <w:numId w:val="1"/>
        </w:numPr>
        <w:rPr>
          <w:color w:val="000000" w:themeColor="text1"/>
          <w:lang w:val="en-GB"/>
        </w:rPr>
      </w:pPr>
      <w:r w:rsidRPr="001E317B">
        <w:rPr>
          <w:lang w:val="en-GB"/>
        </w:rPr>
        <w:t>In accordance with</w:t>
      </w:r>
      <w:r w:rsidR="00FE4717" w:rsidRPr="001E317B">
        <w:rPr>
          <w:lang w:val="en-GB"/>
        </w:rPr>
        <w:t xml:space="preserve"> rule</w:t>
      </w:r>
      <w:r w:rsidR="009F41FC">
        <w:rPr>
          <w:lang w:val="en-GB"/>
        </w:rPr>
        <w:t xml:space="preserve"> 20 of the rule</w:t>
      </w:r>
      <w:r w:rsidR="00FE4717" w:rsidRPr="001E317B">
        <w:rPr>
          <w:lang w:val="en-GB"/>
        </w:rPr>
        <w:t xml:space="preserve">s of procedure, the Bureau </w:t>
      </w:r>
      <w:r w:rsidRPr="001E317B">
        <w:rPr>
          <w:lang w:val="en-GB"/>
        </w:rPr>
        <w:t>will</w:t>
      </w:r>
      <w:r w:rsidR="00FE4717" w:rsidRPr="001E317B">
        <w:rPr>
          <w:lang w:val="en-GB"/>
        </w:rPr>
        <w:t xml:space="preserve"> examine the credentials </w:t>
      </w:r>
      <w:r w:rsidR="0001627D" w:rsidRPr="001E317B">
        <w:rPr>
          <w:color w:val="000000" w:themeColor="text1"/>
          <w:lang w:val="en-GB"/>
        </w:rPr>
        <w:t xml:space="preserve">of </w:t>
      </w:r>
      <w:r w:rsidR="00D30455" w:rsidRPr="001E317B">
        <w:rPr>
          <w:color w:val="000000" w:themeColor="text1"/>
          <w:lang w:val="en-GB"/>
        </w:rPr>
        <w:t xml:space="preserve">representatives </w:t>
      </w:r>
      <w:r w:rsidR="0001627D" w:rsidRPr="001E317B">
        <w:rPr>
          <w:color w:val="000000" w:themeColor="text1"/>
          <w:lang w:val="en-GB"/>
        </w:rPr>
        <w:t xml:space="preserve">and report </w:t>
      </w:r>
      <w:r w:rsidR="00037AAB" w:rsidRPr="001E317B">
        <w:rPr>
          <w:color w:val="000000" w:themeColor="text1"/>
          <w:lang w:val="en-GB"/>
        </w:rPr>
        <w:t xml:space="preserve">thereon </w:t>
      </w:r>
      <w:r w:rsidR="0001627D" w:rsidRPr="001E317B">
        <w:rPr>
          <w:color w:val="000000" w:themeColor="text1"/>
          <w:lang w:val="en-GB"/>
        </w:rPr>
        <w:t>to the Conference</w:t>
      </w:r>
      <w:r w:rsidR="0093730B">
        <w:rPr>
          <w:color w:val="000000" w:themeColor="text1"/>
          <w:lang w:val="en-GB"/>
        </w:rPr>
        <w:t xml:space="preserve"> of the Parties</w:t>
      </w:r>
      <w:r w:rsidR="0001627D" w:rsidRPr="001E317B">
        <w:rPr>
          <w:color w:val="000000" w:themeColor="text1"/>
          <w:lang w:val="en-GB"/>
        </w:rPr>
        <w:t>.</w:t>
      </w:r>
      <w:r w:rsidR="009860AA" w:rsidRPr="001E317B">
        <w:rPr>
          <w:lang w:val="en-GB"/>
        </w:rPr>
        <w:t xml:space="preserve"> </w:t>
      </w:r>
      <w:r w:rsidR="0093730B">
        <w:rPr>
          <w:lang w:val="en-GB"/>
        </w:rPr>
        <w:t>In accordance with rule 21, r</w:t>
      </w:r>
      <w:r w:rsidR="006B3F36" w:rsidRPr="001E317B">
        <w:rPr>
          <w:lang w:val="en-GB"/>
        </w:rPr>
        <w:t xml:space="preserve">epresentatives </w:t>
      </w:r>
      <w:r w:rsidR="0093730B">
        <w:rPr>
          <w:lang w:val="en-GB"/>
        </w:rPr>
        <w:t>are</w:t>
      </w:r>
      <w:r w:rsidR="006B3F36" w:rsidRPr="001E317B">
        <w:rPr>
          <w:lang w:val="en-GB"/>
        </w:rPr>
        <w:t xml:space="preserve"> entitled to participate provisionally in the meeting </w:t>
      </w:r>
      <w:r w:rsidR="009860AA" w:rsidRPr="001E317B">
        <w:rPr>
          <w:lang w:val="en-GB"/>
        </w:rPr>
        <w:t xml:space="preserve">pending a decision </w:t>
      </w:r>
      <w:r w:rsidR="00976D91">
        <w:rPr>
          <w:lang w:val="en-GB"/>
        </w:rPr>
        <w:t>regarding</w:t>
      </w:r>
      <w:r w:rsidR="009860AA" w:rsidRPr="001E317B">
        <w:rPr>
          <w:lang w:val="en-GB"/>
        </w:rPr>
        <w:t xml:space="preserve"> their credentials</w:t>
      </w:r>
      <w:r w:rsidR="006B3F36" w:rsidRPr="001E317B">
        <w:rPr>
          <w:lang w:val="en-GB"/>
        </w:rPr>
        <w:t>.</w:t>
      </w:r>
    </w:p>
    <w:p w14:paraId="4C6C1EDF" w14:textId="77777777" w:rsidR="003A1CBE" w:rsidRPr="001E317B" w:rsidRDefault="00CB6095" w:rsidP="003A1CBE">
      <w:pPr>
        <w:pStyle w:val="CH2"/>
        <w:keepNext w:val="0"/>
        <w:keepLines w:val="0"/>
        <w:ind w:left="624" w:firstLine="0"/>
        <w:rPr>
          <w:color w:val="000000" w:themeColor="text1"/>
          <w:lang w:val="en-GB"/>
        </w:rPr>
      </w:pPr>
      <w:r w:rsidRPr="001E317B">
        <w:rPr>
          <w:color w:val="000000" w:themeColor="text1"/>
          <w:lang w:val="en-GB"/>
        </w:rPr>
        <w:t>Item 5</w:t>
      </w:r>
    </w:p>
    <w:p w14:paraId="79B602F3" w14:textId="5681CB96" w:rsidR="003A1CBE" w:rsidRPr="001E317B" w:rsidRDefault="003A1CBE" w:rsidP="003A1CBE">
      <w:pPr>
        <w:pStyle w:val="CH2"/>
        <w:keepNext w:val="0"/>
        <w:keepLines w:val="0"/>
        <w:ind w:left="624" w:firstLine="0"/>
        <w:rPr>
          <w:b w:val="0"/>
          <w:color w:val="000000" w:themeColor="text1"/>
          <w:lang w:val="en-GB"/>
        </w:rPr>
      </w:pPr>
      <w:r w:rsidRPr="001E317B">
        <w:rPr>
          <w:color w:val="000000" w:themeColor="text1"/>
          <w:lang w:val="en-GB"/>
        </w:rPr>
        <w:t xml:space="preserve">Matters for consideration or action by the Conference of the Parties </w:t>
      </w:r>
    </w:p>
    <w:p w14:paraId="17F89913" w14:textId="6260510F" w:rsidR="0001627D" w:rsidRPr="001E317B" w:rsidRDefault="004E4976" w:rsidP="00BE5D37">
      <w:pPr>
        <w:pStyle w:val="Normalnumber"/>
        <w:numPr>
          <w:ilvl w:val="0"/>
          <w:numId w:val="1"/>
        </w:numPr>
        <w:rPr>
          <w:lang w:val="en-GB"/>
        </w:rPr>
      </w:pPr>
      <w:r w:rsidRPr="001E317B">
        <w:rPr>
          <w:color w:val="000000" w:themeColor="text1"/>
          <w:lang w:val="en-GB"/>
        </w:rPr>
        <w:t>T</w:t>
      </w:r>
      <w:r w:rsidR="00157B53" w:rsidRPr="001E317B">
        <w:rPr>
          <w:color w:val="000000" w:themeColor="text1"/>
          <w:lang w:val="en-GB"/>
        </w:rPr>
        <w:t xml:space="preserve">he Conference </w:t>
      </w:r>
      <w:r w:rsidR="0093730B">
        <w:rPr>
          <w:color w:val="000000" w:themeColor="text1"/>
          <w:lang w:val="en-GB"/>
        </w:rPr>
        <w:t>of the Parties has been given responsibility for considering a</w:t>
      </w:r>
      <w:r w:rsidRPr="001E317B">
        <w:rPr>
          <w:color w:val="000000" w:themeColor="text1"/>
          <w:lang w:val="en-GB"/>
        </w:rPr>
        <w:t xml:space="preserve"> number of matters </w:t>
      </w:r>
      <w:r w:rsidR="0001627D" w:rsidRPr="001E317B">
        <w:rPr>
          <w:color w:val="000000" w:themeColor="text1"/>
          <w:lang w:val="en-GB"/>
        </w:rPr>
        <w:t xml:space="preserve">at its </w:t>
      </w:r>
      <w:r w:rsidR="001F273D" w:rsidRPr="00F12856">
        <w:rPr>
          <w:color w:val="000000" w:themeColor="text1"/>
          <w:lang w:val="en-GB"/>
        </w:rPr>
        <w:t>second</w:t>
      </w:r>
      <w:r w:rsidR="0001627D" w:rsidRPr="00F12856">
        <w:rPr>
          <w:color w:val="000000" w:themeColor="text1"/>
          <w:lang w:val="en-GB"/>
        </w:rPr>
        <w:t xml:space="preserve"> meeting</w:t>
      </w:r>
      <w:r w:rsidR="0055295A" w:rsidRPr="004A5CFC">
        <w:rPr>
          <w:color w:val="000000" w:themeColor="text1"/>
          <w:lang w:val="en-GB"/>
        </w:rPr>
        <w:t xml:space="preserve">, on the basis of </w:t>
      </w:r>
      <w:r w:rsidR="00C10DA1" w:rsidRPr="009A231A">
        <w:rPr>
          <w:color w:val="000000" w:themeColor="text1"/>
          <w:lang w:val="en-GB"/>
        </w:rPr>
        <w:t>either t</w:t>
      </w:r>
      <w:r w:rsidR="0001627D" w:rsidRPr="009A231A">
        <w:rPr>
          <w:lang w:val="en-GB"/>
        </w:rPr>
        <w:t xml:space="preserve">he text of the </w:t>
      </w:r>
      <w:r w:rsidR="00C10DA1" w:rsidRPr="009A231A">
        <w:rPr>
          <w:lang w:val="en-GB"/>
        </w:rPr>
        <w:t>C</w:t>
      </w:r>
      <w:r w:rsidR="0001627D" w:rsidRPr="009A231A">
        <w:rPr>
          <w:lang w:val="en-GB"/>
        </w:rPr>
        <w:t>onvention</w:t>
      </w:r>
      <w:r w:rsidR="00157B53" w:rsidRPr="009A231A">
        <w:rPr>
          <w:lang w:val="en-GB"/>
        </w:rPr>
        <w:t xml:space="preserve"> or</w:t>
      </w:r>
      <w:r w:rsidR="00715C08" w:rsidRPr="009A231A">
        <w:rPr>
          <w:lang w:val="en-GB"/>
        </w:rPr>
        <w:t xml:space="preserve"> </w:t>
      </w:r>
      <w:r w:rsidR="0093730B" w:rsidRPr="009A231A">
        <w:rPr>
          <w:lang w:val="en-GB"/>
        </w:rPr>
        <w:t xml:space="preserve">the </w:t>
      </w:r>
      <w:r w:rsidR="00C10DA1" w:rsidRPr="009A231A">
        <w:rPr>
          <w:lang w:val="en-GB"/>
        </w:rPr>
        <w:t xml:space="preserve">decisions </w:t>
      </w:r>
      <w:r w:rsidR="0093730B" w:rsidRPr="009A231A">
        <w:rPr>
          <w:lang w:val="en-GB"/>
        </w:rPr>
        <w:t xml:space="preserve">adopted </w:t>
      </w:r>
      <w:r w:rsidR="00C10DA1" w:rsidRPr="009A231A">
        <w:rPr>
          <w:lang w:val="en-GB"/>
        </w:rPr>
        <w:t>at its first meeting</w:t>
      </w:r>
      <w:r w:rsidR="00F72EE8" w:rsidRPr="009A231A">
        <w:rPr>
          <w:lang w:val="en-GB"/>
        </w:rPr>
        <w:t xml:space="preserve"> </w:t>
      </w:r>
      <w:r w:rsidR="00F72EE8" w:rsidRPr="009A231A">
        <w:rPr>
          <w:color w:val="000000" w:themeColor="text1"/>
          <w:lang w:val="en-GB"/>
        </w:rPr>
        <w:t>(UNEP/MC/COP.1/29</w:t>
      </w:r>
      <w:r w:rsidR="0093730B" w:rsidRPr="009A231A">
        <w:rPr>
          <w:color w:val="000000" w:themeColor="text1"/>
          <w:lang w:val="en-GB"/>
        </w:rPr>
        <w:t>, annex</w:t>
      </w:r>
      <w:r w:rsidR="009A231A" w:rsidRPr="00FA01F2">
        <w:rPr>
          <w:color w:val="000000" w:themeColor="text1"/>
          <w:lang w:val="en-GB"/>
        </w:rPr>
        <w:t xml:space="preserve"> I</w:t>
      </w:r>
      <w:r w:rsidR="00F72EE8" w:rsidRPr="00F12856">
        <w:rPr>
          <w:color w:val="000000" w:themeColor="text1"/>
          <w:lang w:val="en-GB"/>
        </w:rPr>
        <w:t>)</w:t>
      </w:r>
      <w:r w:rsidR="0093730B" w:rsidRPr="00F12856">
        <w:rPr>
          <w:color w:val="000000" w:themeColor="text1"/>
          <w:lang w:val="en-GB"/>
        </w:rPr>
        <w:t>, as described below</w:t>
      </w:r>
      <w:r w:rsidR="00335248" w:rsidRPr="004A5CFC">
        <w:rPr>
          <w:lang w:val="en-GB"/>
        </w:rPr>
        <w:t>.</w:t>
      </w:r>
      <w:r w:rsidR="00C10DA1" w:rsidRPr="009A231A">
        <w:rPr>
          <w:lang w:val="en-GB"/>
        </w:rPr>
        <w:t xml:space="preserve"> Sub-items are listed in the order set out in the provisional agenda</w:t>
      </w:r>
      <w:r w:rsidR="00BE5D37" w:rsidRPr="009A231A">
        <w:rPr>
          <w:lang w:val="en-GB"/>
        </w:rPr>
        <w:t>, arranged in the order</w:t>
      </w:r>
      <w:r w:rsidR="00BE5D37" w:rsidRPr="001E317B">
        <w:rPr>
          <w:lang w:val="en-GB"/>
        </w:rPr>
        <w:t xml:space="preserve"> of the relevant articles of the Convention</w:t>
      </w:r>
      <w:r w:rsidR="00C10DA1" w:rsidRPr="001E317B">
        <w:rPr>
          <w:lang w:val="en-GB"/>
        </w:rPr>
        <w:t xml:space="preserve">, which is not necessarily the order of priority for their </w:t>
      </w:r>
      <w:r w:rsidR="00715C08" w:rsidRPr="001E317B">
        <w:rPr>
          <w:lang w:val="en-GB"/>
        </w:rPr>
        <w:t>consideration by the Conference</w:t>
      </w:r>
      <w:r w:rsidR="0093730B">
        <w:rPr>
          <w:lang w:val="en-GB"/>
        </w:rPr>
        <w:t xml:space="preserve"> of the Parties</w:t>
      </w:r>
      <w:r w:rsidR="00C10DA1" w:rsidRPr="001E317B">
        <w:rPr>
          <w:lang w:val="en-GB"/>
        </w:rPr>
        <w:t xml:space="preserve">. </w:t>
      </w:r>
    </w:p>
    <w:p w14:paraId="018D2AD7" w14:textId="69188369" w:rsidR="003A1CBE" w:rsidRPr="001E317B" w:rsidRDefault="003A1CBE" w:rsidP="003A1CBE">
      <w:pPr>
        <w:pStyle w:val="CH3"/>
        <w:rPr>
          <w:lang w:val="en-GB"/>
        </w:rPr>
      </w:pPr>
      <w:r w:rsidRPr="001E317B">
        <w:rPr>
          <w:lang w:val="en-GB"/>
        </w:rPr>
        <w:tab/>
        <w:t>(a)</w:t>
      </w:r>
      <w:r w:rsidRPr="001E317B">
        <w:rPr>
          <w:lang w:val="en-GB"/>
        </w:rPr>
        <w:tab/>
        <w:t>Releases</w:t>
      </w:r>
    </w:p>
    <w:p w14:paraId="249039B2" w14:textId="2D26E9D7" w:rsidR="00FC2B3D" w:rsidRPr="005458D9" w:rsidRDefault="00F72EE8" w:rsidP="00F72EE8">
      <w:pPr>
        <w:pStyle w:val="Normalnumber"/>
        <w:numPr>
          <w:ilvl w:val="0"/>
          <w:numId w:val="1"/>
        </w:numPr>
        <w:rPr>
          <w:lang w:val="en-GB"/>
        </w:rPr>
      </w:pPr>
      <w:r w:rsidRPr="00F12856">
        <w:rPr>
          <w:lang w:val="en-GB"/>
        </w:rPr>
        <w:t>A</w:t>
      </w:r>
      <w:r w:rsidR="00FC2B3D" w:rsidRPr="00F12856">
        <w:rPr>
          <w:lang w:val="en-GB"/>
        </w:rPr>
        <w:t>rticle</w:t>
      </w:r>
      <w:r w:rsidR="00FC2B3D" w:rsidRPr="004A5CFC">
        <w:rPr>
          <w:lang w:val="en-GB"/>
        </w:rPr>
        <w:t xml:space="preserve"> 9 of</w:t>
      </w:r>
      <w:r w:rsidR="00FC2B3D" w:rsidRPr="009A231A">
        <w:rPr>
          <w:lang w:val="en-GB"/>
        </w:rPr>
        <w:t xml:space="preserve"> the Convention provides that the </w:t>
      </w:r>
      <w:r w:rsidR="002A2AFD" w:rsidRPr="009A231A">
        <w:rPr>
          <w:lang w:val="en-GB"/>
        </w:rPr>
        <w:t>Conference</w:t>
      </w:r>
      <w:r w:rsidR="0093730B" w:rsidRPr="009A231A">
        <w:rPr>
          <w:lang w:val="en-GB"/>
        </w:rPr>
        <w:t xml:space="preserve"> of the Parties</w:t>
      </w:r>
      <w:r w:rsidR="002A2AFD" w:rsidRPr="009A231A">
        <w:rPr>
          <w:lang w:val="en-GB"/>
        </w:rPr>
        <w:t xml:space="preserve"> </w:t>
      </w:r>
      <w:r w:rsidR="00C61853" w:rsidRPr="009A231A">
        <w:rPr>
          <w:lang w:val="en-GB"/>
        </w:rPr>
        <w:t>is to</w:t>
      </w:r>
      <w:r w:rsidR="00FC2B3D" w:rsidRPr="009A231A">
        <w:rPr>
          <w:lang w:val="en-GB"/>
        </w:rPr>
        <w:t>, as soon as practicable, adopt guidance on best available techniques and best environmental practices, taking into account any differences between new and existing</w:t>
      </w:r>
      <w:r w:rsidR="00FC2B3D" w:rsidRPr="001E317B">
        <w:rPr>
          <w:lang w:val="en-GB"/>
        </w:rPr>
        <w:t xml:space="preserve"> sources and the need to minimize cross-media effects, and guidance on the methodology for preparing inventories of releases. At its first meeting, the Conference </w:t>
      </w:r>
      <w:r w:rsidR="00D73A97">
        <w:rPr>
          <w:lang w:val="en-GB"/>
        </w:rPr>
        <w:t xml:space="preserve">of the </w:t>
      </w:r>
      <w:r w:rsidR="00D73A97" w:rsidRPr="005458D9">
        <w:rPr>
          <w:lang w:val="en-GB"/>
        </w:rPr>
        <w:t xml:space="preserve">Parties </w:t>
      </w:r>
      <w:r w:rsidR="00FC2B3D" w:rsidRPr="005458D9">
        <w:rPr>
          <w:lang w:val="en-GB"/>
        </w:rPr>
        <w:t>considered the development of such guidance and</w:t>
      </w:r>
      <w:r w:rsidR="00D73A97" w:rsidRPr="005458D9">
        <w:rPr>
          <w:lang w:val="en-GB"/>
        </w:rPr>
        <w:t>, in its decision MC-1/17,</w:t>
      </w:r>
      <w:r w:rsidR="00FC2B3D" w:rsidRPr="00421201">
        <w:rPr>
          <w:lang w:val="en-GB"/>
        </w:rPr>
        <w:t xml:space="preserve"> encouraged parties to identify relevant point sources at the national level</w:t>
      </w:r>
      <w:r w:rsidR="00FC2B3D" w:rsidRPr="005458D9">
        <w:rPr>
          <w:lang w:val="en-GB"/>
        </w:rPr>
        <w:t xml:space="preserve"> pursuant to paragraphs 2 (b) and 3 of article 9 as soon as possible, and to submit </w:t>
      </w:r>
      <w:r w:rsidR="00D73A97" w:rsidRPr="005458D9">
        <w:rPr>
          <w:lang w:val="en-GB"/>
        </w:rPr>
        <w:t xml:space="preserve">information </w:t>
      </w:r>
      <w:r w:rsidRPr="005458D9">
        <w:rPr>
          <w:lang w:val="en-GB"/>
        </w:rPr>
        <w:t xml:space="preserve">to the secretariat </w:t>
      </w:r>
      <w:r w:rsidR="00FC2B3D" w:rsidRPr="005458D9">
        <w:rPr>
          <w:lang w:val="en-GB"/>
        </w:rPr>
        <w:t xml:space="preserve">on the identified relevant sources. </w:t>
      </w:r>
    </w:p>
    <w:p w14:paraId="228E83F6" w14:textId="48AE8252" w:rsidR="007F3BF5" w:rsidRPr="001E317B" w:rsidRDefault="00BD400C" w:rsidP="00A96698">
      <w:pPr>
        <w:pStyle w:val="Normalnumber"/>
        <w:numPr>
          <w:ilvl w:val="0"/>
          <w:numId w:val="1"/>
        </w:numPr>
        <w:rPr>
          <w:lang w:val="en-GB"/>
        </w:rPr>
      </w:pPr>
      <w:bookmarkStart w:id="2" w:name="_GoBack"/>
      <w:bookmarkEnd w:id="2"/>
      <w:r w:rsidRPr="005458D9">
        <w:rPr>
          <w:lang w:val="en-GB"/>
        </w:rPr>
        <w:lastRenderedPageBreak/>
        <w:t>The Conference</w:t>
      </w:r>
      <w:r w:rsidR="00D73A97" w:rsidRPr="00421201">
        <w:rPr>
          <w:lang w:val="en-GB"/>
        </w:rPr>
        <w:t xml:space="preserve"> of the Parties</w:t>
      </w:r>
      <w:r w:rsidRPr="00421201">
        <w:rPr>
          <w:lang w:val="en-GB"/>
        </w:rPr>
        <w:t xml:space="preserve"> has before it a note by the secretariat on</w:t>
      </w:r>
      <w:r w:rsidRPr="00421201">
        <w:rPr>
          <w:color w:val="000000" w:themeColor="text1"/>
          <w:lang w:val="en-GB"/>
        </w:rPr>
        <w:t xml:space="preserve"> guidance in relation to mercury releases </w:t>
      </w:r>
      <w:r w:rsidRPr="005458D9">
        <w:rPr>
          <w:lang w:val="en-GB"/>
        </w:rPr>
        <w:t>(</w:t>
      </w:r>
      <w:r w:rsidRPr="005458D9">
        <w:rPr>
          <w:color w:val="000000" w:themeColor="text1"/>
          <w:lang w:val="en-GB"/>
        </w:rPr>
        <w:t>UNEP/MC/COP.2/4</w:t>
      </w:r>
      <w:r w:rsidR="00613D68" w:rsidRPr="005458D9">
        <w:rPr>
          <w:color w:val="000000" w:themeColor="text1"/>
          <w:lang w:val="en-GB"/>
        </w:rPr>
        <w:t>/Rev.1</w:t>
      </w:r>
      <w:r w:rsidRPr="005458D9">
        <w:rPr>
          <w:color w:val="000000" w:themeColor="text1"/>
          <w:lang w:val="en-GB"/>
        </w:rPr>
        <w:t xml:space="preserve">). </w:t>
      </w:r>
      <w:r w:rsidR="004E360F" w:rsidRPr="005458D9">
        <w:rPr>
          <w:color w:val="000000" w:themeColor="text1"/>
          <w:lang w:val="en-GB"/>
        </w:rPr>
        <w:t xml:space="preserve">In response </w:t>
      </w:r>
      <w:r w:rsidR="00664E7F" w:rsidRPr="005458D9">
        <w:rPr>
          <w:color w:val="000000" w:themeColor="text1"/>
          <w:lang w:val="en-GB"/>
        </w:rPr>
        <w:t xml:space="preserve">to </w:t>
      </w:r>
      <w:r w:rsidR="00D73A97" w:rsidRPr="005458D9">
        <w:rPr>
          <w:color w:val="000000" w:themeColor="text1"/>
          <w:lang w:val="en-GB"/>
        </w:rPr>
        <w:t xml:space="preserve">a </w:t>
      </w:r>
      <w:r w:rsidR="00664E7F" w:rsidRPr="005458D9">
        <w:rPr>
          <w:color w:val="000000" w:themeColor="text1"/>
          <w:lang w:val="en-GB"/>
        </w:rPr>
        <w:t>call for contributions</w:t>
      </w:r>
      <w:r w:rsidR="00664E7F" w:rsidRPr="001E317B">
        <w:rPr>
          <w:color w:val="000000" w:themeColor="text1"/>
          <w:lang w:val="en-GB"/>
        </w:rPr>
        <w:t xml:space="preserve">, </w:t>
      </w:r>
      <w:r w:rsidR="004E360F" w:rsidRPr="001E317B">
        <w:rPr>
          <w:lang w:val="en-GB"/>
        </w:rPr>
        <w:t>submissions</w:t>
      </w:r>
      <w:r w:rsidR="007F3BF5" w:rsidRPr="001E317B">
        <w:rPr>
          <w:lang w:val="en-GB"/>
        </w:rPr>
        <w:t xml:space="preserve"> were received from three parties, </w:t>
      </w:r>
      <w:r w:rsidR="00D73A97">
        <w:rPr>
          <w:lang w:val="en-GB"/>
        </w:rPr>
        <w:t>one of which</w:t>
      </w:r>
      <w:r w:rsidR="007F3BF5" w:rsidRPr="001E317B">
        <w:rPr>
          <w:lang w:val="en-GB"/>
        </w:rPr>
        <w:t xml:space="preserve"> identified potentially relevant sources of releases. The Conference </w:t>
      </w:r>
      <w:r w:rsidR="00D73A97">
        <w:rPr>
          <w:lang w:val="en-GB"/>
        </w:rPr>
        <w:t xml:space="preserve">of the Parties </w:t>
      </w:r>
      <w:r w:rsidR="007F3BF5" w:rsidRPr="001E317B">
        <w:rPr>
          <w:lang w:val="en-GB"/>
        </w:rPr>
        <w:t xml:space="preserve">may </w:t>
      </w:r>
      <w:r w:rsidR="00D73A97">
        <w:rPr>
          <w:lang w:val="en-GB"/>
        </w:rPr>
        <w:t>therefore</w:t>
      </w:r>
      <w:r w:rsidR="00D73A97" w:rsidRPr="001E317B">
        <w:rPr>
          <w:lang w:val="en-GB"/>
        </w:rPr>
        <w:t xml:space="preserve"> </w:t>
      </w:r>
      <w:r w:rsidR="007F3BF5" w:rsidRPr="001E317B">
        <w:rPr>
          <w:lang w:val="en-GB"/>
        </w:rPr>
        <w:t xml:space="preserve">wish to defer any work on the development of guidance until after the first full reports </w:t>
      </w:r>
      <w:r w:rsidR="007F3BF5" w:rsidRPr="005458D9">
        <w:rPr>
          <w:lang w:val="en-GB"/>
        </w:rPr>
        <w:t xml:space="preserve">from parties </w:t>
      </w:r>
      <w:r w:rsidR="00725C11" w:rsidRPr="005458D9">
        <w:rPr>
          <w:lang w:val="en-GB"/>
        </w:rPr>
        <w:t xml:space="preserve">are </w:t>
      </w:r>
      <w:r w:rsidR="00613D68" w:rsidRPr="00421201">
        <w:rPr>
          <w:lang w:val="en-GB"/>
        </w:rPr>
        <w:t>submitted</w:t>
      </w:r>
      <w:r w:rsidR="00D73A97" w:rsidRPr="00421201">
        <w:rPr>
          <w:lang w:val="en-GB"/>
        </w:rPr>
        <w:t>,</w:t>
      </w:r>
      <w:r w:rsidR="00613D68" w:rsidRPr="00421201">
        <w:rPr>
          <w:lang w:val="en-GB"/>
        </w:rPr>
        <w:t xml:space="preserve"> pursuant to </w:t>
      </w:r>
      <w:r w:rsidR="00923601" w:rsidRPr="00421201">
        <w:rPr>
          <w:lang w:val="en-GB"/>
        </w:rPr>
        <w:t>a</w:t>
      </w:r>
      <w:r w:rsidR="00613D68" w:rsidRPr="005458D9">
        <w:rPr>
          <w:lang w:val="en-GB"/>
        </w:rPr>
        <w:t>rticle 21</w:t>
      </w:r>
      <w:r w:rsidR="00D73A97" w:rsidRPr="005458D9">
        <w:rPr>
          <w:lang w:val="en-GB"/>
        </w:rPr>
        <w:t>,</w:t>
      </w:r>
      <w:r w:rsidR="00613D68" w:rsidRPr="005458D9">
        <w:rPr>
          <w:lang w:val="en-GB"/>
        </w:rPr>
        <w:t xml:space="preserve"> </w:t>
      </w:r>
      <w:r w:rsidR="007F3BF5" w:rsidRPr="005458D9">
        <w:rPr>
          <w:lang w:val="en-GB"/>
        </w:rPr>
        <w:t>by 31 December 2021. Parties may wish to provide relevant</w:t>
      </w:r>
      <w:r w:rsidR="007F3BF5" w:rsidRPr="001E317B">
        <w:rPr>
          <w:lang w:val="en-GB"/>
        </w:rPr>
        <w:t xml:space="preserve"> information to the secretariat as it becomes available and the Conference </w:t>
      </w:r>
      <w:r w:rsidR="00D73A97">
        <w:rPr>
          <w:lang w:val="en-GB"/>
        </w:rPr>
        <w:t xml:space="preserve">of the Parties </w:t>
      </w:r>
      <w:r w:rsidR="007F3BF5" w:rsidRPr="001E317B">
        <w:rPr>
          <w:lang w:val="en-GB"/>
        </w:rPr>
        <w:t xml:space="preserve">may wish to reconsider the issue at </w:t>
      </w:r>
      <w:r w:rsidR="00D73A97">
        <w:rPr>
          <w:lang w:val="en-GB"/>
        </w:rPr>
        <w:t>the</w:t>
      </w:r>
      <w:r w:rsidR="00D73A97" w:rsidRPr="001E317B">
        <w:rPr>
          <w:lang w:val="en-GB"/>
        </w:rPr>
        <w:t xml:space="preserve"> </w:t>
      </w:r>
      <w:r w:rsidR="007F3BF5" w:rsidRPr="001E317B">
        <w:rPr>
          <w:lang w:val="en-GB"/>
        </w:rPr>
        <w:t xml:space="preserve">first meeting </w:t>
      </w:r>
      <w:r w:rsidR="00D73A97">
        <w:rPr>
          <w:lang w:val="en-GB"/>
        </w:rPr>
        <w:t xml:space="preserve">of the Conference of the Parties held </w:t>
      </w:r>
      <w:r w:rsidR="007F3BF5" w:rsidRPr="001E317B">
        <w:rPr>
          <w:lang w:val="en-GB"/>
        </w:rPr>
        <w:t>after the submission of the full reports.</w:t>
      </w:r>
      <w:r w:rsidR="004E360F" w:rsidRPr="001E317B">
        <w:rPr>
          <w:lang w:val="en-GB"/>
        </w:rPr>
        <w:t xml:space="preserve"> </w:t>
      </w:r>
    </w:p>
    <w:p w14:paraId="540B9ADA" w14:textId="77777777" w:rsidR="007F3BF5" w:rsidRPr="001E317B" w:rsidRDefault="007F3BF5" w:rsidP="007F3BF5">
      <w:pPr>
        <w:pStyle w:val="CH3"/>
        <w:rPr>
          <w:lang w:val="en-GB"/>
        </w:rPr>
      </w:pPr>
      <w:r w:rsidRPr="001E317B">
        <w:rPr>
          <w:lang w:val="en-GB"/>
        </w:rPr>
        <w:tab/>
        <w:t>(b)</w:t>
      </w:r>
      <w:r w:rsidRPr="001E317B">
        <w:rPr>
          <w:lang w:val="en-GB"/>
        </w:rPr>
        <w:tab/>
        <w:t>Environmentally sound interim storage of mercury other than waste mercury</w:t>
      </w:r>
    </w:p>
    <w:p w14:paraId="4AD34667" w14:textId="28E7E1CE" w:rsidR="00A96698" w:rsidRPr="001E317B" w:rsidRDefault="00FD02C9" w:rsidP="0055005F">
      <w:pPr>
        <w:pStyle w:val="Normalnumber"/>
        <w:numPr>
          <w:ilvl w:val="0"/>
          <w:numId w:val="1"/>
        </w:numPr>
        <w:suppressAutoHyphens/>
        <w:autoSpaceDN w:val="0"/>
        <w:textAlignment w:val="baseline"/>
        <w:rPr>
          <w:bCs/>
          <w:lang w:val="en-GB"/>
        </w:rPr>
      </w:pPr>
      <w:r w:rsidRPr="001E317B">
        <w:rPr>
          <w:lang w:val="en-GB"/>
        </w:rPr>
        <w:t xml:space="preserve">Article 10 of the Convention provides that the </w:t>
      </w:r>
      <w:r w:rsidR="002A2AFD" w:rsidRPr="001E317B">
        <w:rPr>
          <w:lang w:val="en-GB"/>
        </w:rPr>
        <w:t xml:space="preserve">Conference </w:t>
      </w:r>
      <w:r w:rsidR="00613D68" w:rsidRPr="001E317B">
        <w:rPr>
          <w:lang w:val="en-GB"/>
        </w:rPr>
        <w:t xml:space="preserve">of the Parties </w:t>
      </w:r>
      <w:r w:rsidRPr="001E317B">
        <w:rPr>
          <w:lang w:val="en-GB"/>
        </w:rPr>
        <w:t xml:space="preserve">shall adopt guidelines on the environmentally sound interim storage of mercury and mercury compounds, taking into account any relevant guidelines developed under the Basel Convention on the Control of Transboundary Movements of Hazardous Wastes and Their Disposal and other relevant guidance. </w:t>
      </w:r>
      <w:r w:rsidR="00A113E0" w:rsidRPr="001E317B">
        <w:rPr>
          <w:bCs/>
          <w:lang w:val="en-GB"/>
        </w:rPr>
        <w:t xml:space="preserve">At its first meeting, the Conference </w:t>
      </w:r>
      <w:r w:rsidR="0009304F">
        <w:rPr>
          <w:bCs/>
          <w:lang w:val="en-GB"/>
        </w:rPr>
        <w:t xml:space="preserve">of the Parties </w:t>
      </w:r>
      <w:r w:rsidR="00A113E0" w:rsidRPr="001E317B">
        <w:rPr>
          <w:bCs/>
          <w:lang w:val="en-GB"/>
        </w:rPr>
        <w:t>considered the development of</w:t>
      </w:r>
      <w:r w:rsidR="00664E7F" w:rsidRPr="001E317B">
        <w:rPr>
          <w:bCs/>
          <w:lang w:val="en-GB"/>
        </w:rPr>
        <w:t xml:space="preserve"> such</w:t>
      </w:r>
      <w:r w:rsidR="00A113E0" w:rsidRPr="001E317B">
        <w:rPr>
          <w:bCs/>
          <w:lang w:val="en-GB"/>
        </w:rPr>
        <w:t xml:space="preserve"> guidelines and requested the secretariat to undertake further</w:t>
      </w:r>
      <w:r w:rsidR="00A113E0" w:rsidRPr="001E317B">
        <w:rPr>
          <w:bCs/>
          <w:iCs/>
          <w:lang w:val="en-GB"/>
        </w:rPr>
        <w:t xml:space="preserve"> revision of the </w:t>
      </w:r>
      <w:r w:rsidR="00A113E0" w:rsidRPr="001E317B">
        <w:rPr>
          <w:bCs/>
          <w:lang w:val="en-GB"/>
        </w:rPr>
        <w:t xml:space="preserve">draft guidelines presented </w:t>
      </w:r>
      <w:r w:rsidR="0009304F">
        <w:rPr>
          <w:bCs/>
          <w:lang w:val="en-GB"/>
        </w:rPr>
        <w:t>at</w:t>
      </w:r>
      <w:r w:rsidR="0009304F" w:rsidRPr="001E317B">
        <w:rPr>
          <w:bCs/>
          <w:lang w:val="en-GB"/>
        </w:rPr>
        <w:t xml:space="preserve"> </w:t>
      </w:r>
      <w:r w:rsidR="00A113E0" w:rsidRPr="001E317B">
        <w:rPr>
          <w:bCs/>
          <w:lang w:val="en-GB"/>
        </w:rPr>
        <w:t>the meeting</w:t>
      </w:r>
      <w:r w:rsidR="00A113E0" w:rsidRPr="001E317B">
        <w:rPr>
          <w:bCs/>
          <w:iCs/>
          <w:lang w:val="en-GB"/>
        </w:rPr>
        <w:t xml:space="preserve">. </w:t>
      </w:r>
    </w:p>
    <w:p w14:paraId="5683489E" w14:textId="0227ED8D" w:rsidR="00A113E0" w:rsidRPr="001E317B" w:rsidRDefault="00A96698" w:rsidP="0092633D">
      <w:pPr>
        <w:pStyle w:val="Normalnumber"/>
        <w:numPr>
          <w:ilvl w:val="0"/>
          <w:numId w:val="1"/>
        </w:numPr>
        <w:suppressAutoHyphens/>
        <w:autoSpaceDN w:val="0"/>
        <w:textAlignment w:val="baseline"/>
        <w:rPr>
          <w:bCs/>
          <w:lang w:val="en-GB"/>
        </w:rPr>
      </w:pPr>
      <w:r w:rsidRPr="001E317B">
        <w:rPr>
          <w:bCs/>
          <w:iCs/>
          <w:lang w:val="en-GB"/>
        </w:rPr>
        <w:t>T</w:t>
      </w:r>
      <w:r w:rsidR="0081589D" w:rsidRPr="001E317B">
        <w:rPr>
          <w:bCs/>
          <w:iCs/>
          <w:lang w:val="en-GB"/>
        </w:rPr>
        <w:t>he</w:t>
      </w:r>
      <w:r w:rsidR="00A113E0" w:rsidRPr="001E317B">
        <w:rPr>
          <w:bCs/>
          <w:iCs/>
          <w:lang w:val="en-GB"/>
        </w:rPr>
        <w:t xml:space="preserve"> </w:t>
      </w:r>
      <w:r w:rsidRPr="001E317B">
        <w:rPr>
          <w:bCs/>
          <w:iCs/>
          <w:lang w:val="en-GB"/>
        </w:rPr>
        <w:t xml:space="preserve">secretariat has undertaken such revision, and the </w:t>
      </w:r>
      <w:r w:rsidR="0009304F">
        <w:rPr>
          <w:bCs/>
          <w:iCs/>
          <w:lang w:val="en-GB"/>
        </w:rPr>
        <w:t xml:space="preserve">revised </w:t>
      </w:r>
      <w:r w:rsidR="0092633D" w:rsidRPr="001E317B">
        <w:rPr>
          <w:bCs/>
          <w:iCs/>
          <w:lang w:val="en-GB"/>
        </w:rPr>
        <w:t xml:space="preserve">draft </w:t>
      </w:r>
      <w:r w:rsidR="00A113E0" w:rsidRPr="001E317B">
        <w:rPr>
          <w:bCs/>
          <w:iCs/>
          <w:lang w:val="en-GB"/>
        </w:rPr>
        <w:t xml:space="preserve">guidelines </w:t>
      </w:r>
      <w:r w:rsidR="0081589D" w:rsidRPr="001E317B">
        <w:rPr>
          <w:bCs/>
          <w:iCs/>
          <w:lang w:val="en-GB"/>
        </w:rPr>
        <w:t xml:space="preserve">are </w:t>
      </w:r>
      <w:r w:rsidR="00A113E0" w:rsidRPr="001E317B">
        <w:rPr>
          <w:bCs/>
          <w:iCs/>
          <w:lang w:val="en-GB"/>
        </w:rPr>
        <w:t xml:space="preserve">set </w:t>
      </w:r>
      <w:r w:rsidR="00976D91">
        <w:rPr>
          <w:bCs/>
          <w:iCs/>
          <w:lang w:val="en-GB"/>
        </w:rPr>
        <w:t>out</w:t>
      </w:r>
      <w:r w:rsidR="00A113E0" w:rsidRPr="001E317B">
        <w:rPr>
          <w:bCs/>
          <w:iCs/>
          <w:lang w:val="en-GB"/>
        </w:rPr>
        <w:t xml:space="preserve"> in document </w:t>
      </w:r>
      <w:r w:rsidR="00A113E0" w:rsidRPr="001E317B">
        <w:rPr>
          <w:color w:val="000000" w:themeColor="text1"/>
          <w:lang w:val="en-GB"/>
        </w:rPr>
        <w:t>UNEP/MC/COP.2/5</w:t>
      </w:r>
      <w:r w:rsidR="0081589D" w:rsidRPr="001E317B">
        <w:rPr>
          <w:color w:val="000000" w:themeColor="text1"/>
          <w:lang w:val="en-GB"/>
        </w:rPr>
        <w:t xml:space="preserve"> </w:t>
      </w:r>
      <w:r w:rsidR="00A113E0" w:rsidRPr="001E317B">
        <w:rPr>
          <w:bCs/>
          <w:iCs/>
          <w:lang w:val="en-GB"/>
        </w:rPr>
        <w:t xml:space="preserve">for consideration </w:t>
      </w:r>
      <w:r w:rsidR="008F5A5A">
        <w:rPr>
          <w:bCs/>
          <w:iCs/>
          <w:lang w:val="en-GB"/>
        </w:rPr>
        <w:t xml:space="preserve">and possible adoption </w:t>
      </w:r>
      <w:r w:rsidRPr="001E317B">
        <w:rPr>
          <w:bCs/>
          <w:iCs/>
          <w:lang w:val="en-GB"/>
        </w:rPr>
        <w:t xml:space="preserve">by the Conference </w:t>
      </w:r>
      <w:r w:rsidR="008F5A5A">
        <w:rPr>
          <w:bCs/>
          <w:iCs/>
          <w:lang w:val="en-GB"/>
        </w:rPr>
        <w:t>of the Parties</w:t>
      </w:r>
      <w:r w:rsidR="00A113E0" w:rsidRPr="001E317B">
        <w:rPr>
          <w:bCs/>
          <w:lang w:val="en-GB"/>
        </w:rPr>
        <w:t xml:space="preserve">. </w:t>
      </w:r>
    </w:p>
    <w:p w14:paraId="70EC62A6" w14:textId="4E99A614" w:rsidR="003A1CBE" w:rsidRPr="001E317B" w:rsidRDefault="003A1CBE" w:rsidP="001F273D">
      <w:pPr>
        <w:pStyle w:val="CH3"/>
        <w:rPr>
          <w:lang w:val="en-GB"/>
        </w:rPr>
      </w:pPr>
      <w:r w:rsidRPr="001E317B">
        <w:rPr>
          <w:lang w:val="en-GB"/>
        </w:rPr>
        <w:tab/>
        <w:t>(c)</w:t>
      </w:r>
      <w:r w:rsidRPr="001E317B">
        <w:rPr>
          <w:lang w:val="en-GB"/>
        </w:rPr>
        <w:tab/>
      </w:r>
      <w:r w:rsidR="001F273D" w:rsidRPr="001E317B">
        <w:rPr>
          <w:lang w:val="en-GB"/>
        </w:rPr>
        <w:t>Mercury waste, in particular consideration of relevant thresholds</w:t>
      </w:r>
    </w:p>
    <w:p w14:paraId="061CE2DD" w14:textId="50D0E382" w:rsidR="002B61AB" w:rsidRPr="001E317B" w:rsidRDefault="00355AD6" w:rsidP="00613D68">
      <w:pPr>
        <w:pStyle w:val="Normalnumber"/>
        <w:numPr>
          <w:ilvl w:val="0"/>
          <w:numId w:val="1"/>
        </w:numPr>
        <w:suppressAutoHyphens/>
        <w:autoSpaceDN w:val="0"/>
        <w:spacing w:after="139"/>
        <w:textAlignment w:val="baseline"/>
        <w:rPr>
          <w:lang w:val="en-GB"/>
        </w:rPr>
      </w:pPr>
      <w:r w:rsidRPr="001E317B">
        <w:rPr>
          <w:bCs/>
          <w:lang w:val="en-GB"/>
        </w:rPr>
        <w:t xml:space="preserve">Article 11 of the Convention provides that the </w:t>
      </w:r>
      <w:r w:rsidR="00613D68" w:rsidRPr="001E317B">
        <w:rPr>
          <w:lang w:val="en-GB"/>
        </w:rPr>
        <w:t>Conference of the Parties</w:t>
      </w:r>
      <w:r w:rsidR="002A2AFD" w:rsidRPr="001E317B">
        <w:rPr>
          <w:bCs/>
          <w:lang w:val="en-GB"/>
        </w:rPr>
        <w:t xml:space="preserve"> </w:t>
      </w:r>
      <w:r w:rsidRPr="001E317B">
        <w:rPr>
          <w:bCs/>
          <w:lang w:val="en-GB"/>
        </w:rPr>
        <w:t>will define relevant thresholds for mercury waste,</w:t>
      </w:r>
      <w:r w:rsidRPr="001E317B">
        <w:rPr>
          <w:lang w:val="en-GB"/>
        </w:rPr>
        <w:t xml:space="preserve"> </w:t>
      </w:r>
      <w:r w:rsidRPr="001E317B">
        <w:rPr>
          <w:bCs/>
          <w:lang w:val="en-GB"/>
        </w:rPr>
        <w:t xml:space="preserve">in collaboration with the relevant bodies of the Basel Convention. </w:t>
      </w:r>
      <w:r w:rsidR="00FD02C9" w:rsidRPr="001E317B">
        <w:rPr>
          <w:bCs/>
          <w:lang w:val="en-GB"/>
        </w:rPr>
        <w:t>At it</w:t>
      </w:r>
      <w:r w:rsidRPr="001E317B">
        <w:rPr>
          <w:bCs/>
          <w:lang w:val="en-GB"/>
        </w:rPr>
        <w:t xml:space="preserve">s first meeting, the Conference </w:t>
      </w:r>
      <w:r w:rsidR="00F330F6">
        <w:rPr>
          <w:bCs/>
          <w:lang w:val="en-GB"/>
        </w:rPr>
        <w:t xml:space="preserve">of the Parties </w:t>
      </w:r>
      <w:r w:rsidR="00FD02C9" w:rsidRPr="001E317B">
        <w:rPr>
          <w:bCs/>
          <w:lang w:val="en-GB"/>
        </w:rPr>
        <w:t xml:space="preserve">considered the </w:t>
      </w:r>
      <w:r w:rsidRPr="001E317B">
        <w:rPr>
          <w:bCs/>
          <w:lang w:val="en-GB"/>
        </w:rPr>
        <w:t>issue</w:t>
      </w:r>
      <w:r w:rsidR="00FD02C9" w:rsidRPr="001E317B">
        <w:rPr>
          <w:bCs/>
          <w:lang w:val="en-GB"/>
        </w:rPr>
        <w:t xml:space="preserve"> and established an open-ended process.</w:t>
      </w:r>
      <w:r w:rsidR="00F54E48" w:rsidRPr="001E317B">
        <w:rPr>
          <w:bCs/>
          <w:lang w:val="en-GB"/>
        </w:rPr>
        <w:t xml:space="preserve"> </w:t>
      </w:r>
    </w:p>
    <w:p w14:paraId="77852E68" w14:textId="4B812B4A" w:rsidR="00FD02C9" w:rsidRPr="001E317B" w:rsidRDefault="00F330F6" w:rsidP="00355AD6">
      <w:pPr>
        <w:pStyle w:val="Normalnumber"/>
        <w:numPr>
          <w:ilvl w:val="0"/>
          <w:numId w:val="1"/>
        </w:numPr>
        <w:suppressAutoHyphens/>
        <w:autoSpaceDN w:val="0"/>
        <w:spacing w:after="139"/>
        <w:textAlignment w:val="baseline"/>
        <w:rPr>
          <w:lang w:val="en-GB"/>
        </w:rPr>
      </w:pPr>
      <w:r>
        <w:rPr>
          <w:bCs/>
          <w:lang w:val="en-GB"/>
        </w:rPr>
        <w:t>A report on t</w:t>
      </w:r>
      <w:r w:rsidR="00F54E48" w:rsidRPr="001E317B">
        <w:rPr>
          <w:bCs/>
          <w:lang w:val="en-GB"/>
        </w:rPr>
        <w:t>he outcome of th</w:t>
      </w:r>
      <w:r>
        <w:rPr>
          <w:bCs/>
          <w:lang w:val="en-GB"/>
        </w:rPr>
        <w:t>at</w:t>
      </w:r>
      <w:r w:rsidR="00F54E48" w:rsidRPr="001E317B">
        <w:rPr>
          <w:bCs/>
          <w:lang w:val="en-GB"/>
        </w:rPr>
        <w:t xml:space="preserve"> process is set out in </w:t>
      </w:r>
      <w:r w:rsidR="00F54E48" w:rsidRPr="001E317B">
        <w:rPr>
          <w:lang w:val="en-GB"/>
        </w:rPr>
        <w:t xml:space="preserve">document UNEP/MC/COP.2/6, while information submitted by the nominated experts that may contribute to the development of mercury waste thresholds is compiled in </w:t>
      </w:r>
      <w:r w:rsidR="003725AE">
        <w:rPr>
          <w:lang w:val="en-GB"/>
        </w:rPr>
        <w:t xml:space="preserve">the annex to </w:t>
      </w:r>
      <w:r w:rsidR="00F54E48" w:rsidRPr="001E317B">
        <w:rPr>
          <w:lang w:val="en-GB"/>
        </w:rPr>
        <w:t>document UNEP/MC/COP.</w:t>
      </w:r>
      <w:r w:rsidR="003E162E" w:rsidRPr="001E317B">
        <w:rPr>
          <w:lang w:val="en-GB"/>
        </w:rPr>
        <w:t>2</w:t>
      </w:r>
      <w:r w:rsidR="00F54E48" w:rsidRPr="001E317B">
        <w:rPr>
          <w:lang w:val="en-GB"/>
        </w:rPr>
        <w:t>/INF/10.</w:t>
      </w:r>
      <w:r w:rsidR="00F72EE8" w:rsidRPr="001E317B">
        <w:rPr>
          <w:lang w:val="en-GB"/>
        </w:rPr>
        <w:t xml:space="preserve"> </w:t>
      </w:r>
      <w:r w:rsidR="00F54E48" w:rsidRPr="001E317B">
        <w:rPr>
          <w:lang w:val="en-GB"/>
        </w:rPr>
        <w:t xml:space="preserve">The Conference </w:t>
      </w:r>
      <w:r>
        <w:rPr>
          <w:lang w:val="en-GB"/>
        </w:rPr>
        <w:t xml:space="preserve">of the Parties </w:t>
      </w:r>
      <w:r w:rsidR="00F54E48" w:rsidRPr="001E317B">
        <w:rPr>
          <w:lang w:val="en-GB"/>
        </w:rPr>
        <w:t>may wish to review the progress achieved by the open-ended process and decide on further action</w:t>
      </w:r>
      <w:r w:rsidR="00355AD6" w:rsidRPr="001E317B">
        <w:rPr>
          <w:lang w:val="en-GB"/>
        </w:rPr>
        <w:t>,</w:t>
      </w:r>
      <w:r w:rsidR="00F54E48" w:rsidRPr="001E317B">
        <w:rPr>
          <w:lang w:val="en-GB"/>
        </w:rPr>
        <w:t xml:space="preserve"> taking into account the most effective modalities for determining relevant thresholds, including the further work needed to establish mercury waste thresholds, as identified by the experts and described in </w:t>
      </w:r>
      <w:r w:rsidR="00206849" w:rsidRPr="001E317B">
        <w:rPr>
          <w:lang w:val="en-GB"/>
        </w:rPr>
        <w:t xml:space="preserve">the annex to </w:t>
      </w:r>
      <w:r w:rsidR="00F54E48" w:rsidRPr="001E317B">
        <w:rPr>
          <w:lang w:val="en-GB"/>
        </w:rPr>
        <w:t>document</w:t>
      </w:r>
      <w:r w:rsidR="00206849" w:rsidRPr="001E317B">
        <w:rPr>
          <w:lang w:val="en-GB"/>
        </w:rPr>
        <w:t xml:space="preserve"> UNEP/MC/COP.2/6</w:t>
      </w:r>
      <w:r w:rsidR="00F54E48" w:rsidRPr="001E317B">
        <w:rPr>
          <w:lang w:val="en-GB"/>
        </w:rPr>
        <w:t xml:space="preserve">. </w:t>
      </w:r>
    </w:p>
    <w:p w14:paraId="515BC08D" w14:textId="7D790450" w:rsidR="003A1CBE" w:rsidRPr="001E317B" w:rsidRDefault="003A1CBE" w:rsidP="001F273D">
      <w:pPr>
        <w:pStyle w:val="CH3"/>
        <w:rPr>
          <w:lang w:val="en-GB"/>
        </w:rPr>
      </w:pPr>
      <w:r w:rsidRPr="001E317B">
        <w:rPr>
          <w:lang w:val="en-GB"/>
        </w:rPr>
        <w:tab/>
        <w:t>(d)</w:t>
      </w:r>
      <w:r w:rsidRPr="001E317B">
        <w:rPr>
          <w:lang w:val="en-GB"/>
        </w:rPr>
        <w:tab/>
      </w:r>
      <w:r w:rsidR="001F273D" w:rsidRPr="001E317B">
        <w:rPr>
          <w:lang w:val="en-GB"/>
        </w:rPr>
        <w:t>Guidance on the management of contaminated sites</w:t>
      </w:r>
    </w:p>
    <w:p w14:paraId="7BE0751F" w14:textId="3B67F516" w:rsidR="00087CBF" w:rsidRPr="001E317B" w:rsidRDefault="009032B3" w:rsidP="00613D68">
      <w:pPr>
        <w:pStyle w:val="Normalnumber"/>
        <w:suppressAutoHyphens/>
        <w:autoSpaceDN w:val="0"/>
        <w:textAlignment w:val="baseline"/>
        <w:rPr>
          <w:iCs/>
          <w:lang w:val="en-GB"/>
        </w:rPr>
      </w:pPr>
      <w:r w:rsidRPr="001E317B">
        <w:rPr>
          <w:lang w:val="en-GB"/>
        </w:rPr>
        <w:t xml:space="preserve">Article 12 of the Convention </w:t>
      </w:r>
      <w:r w:rsidRPr="002F6BD9">
        <w:rPr>
          <w:lang w:val="en-GB"/>
        </w:rPr>
        <w:t>provides that the</w:t>
      </w:r>
      <w:r w:rsidRPr="001E317B">
        <w:rPr>
          <w:lang w:val="en-GB"/>
        </w:rPr>
        <w:t xml:space="preserve"> </w:t>
      </w:r>
      <w:r w:rsidR="00613D68" w:rsidRPr="001E317B">
        <w:rPr>
          <w:lang w:val="en-GB"/>
        </w:rPr>
        <w:t xml:space="preserve">Conference of the Parties </w:t>
      </w:r>
      <w:r w:rsidRPr="001E317B">
        <w:rPr>
          <w:lang w:val="en-GB"/>
        </w:rPr>
        <w:t xml:space="preserve">shall adopt guidance on managing contaminated sites. </w:t>
      </w:r>
      <w:r w:rsidR="00087CBF" w:rsidRPr="001E317B">
        <w:rPr>
          <w:lang w:val="en-GB"/>
        </w:rPr>
        <w:t xml:space="preserve">At its first meeting, the Conference </w:t>
      </w:r>
      <w:r w:rsidR="00F330F6">
        <w:rPr>
          <w:lang w:val="en-GB"/>
        </w:rPr>
        <w:t xml:space="preserve">of the Parties </w:t>
      </w:r>
      <w:r w:rsidR="00087CBF" w:rsidRPr="001E317B">
        <w:rPr>
          <w:lang w:val="en-GB"/>
        </w:rPr>
        <w:t xml:space="preserve">considered the development of </w:t>
      </w:r>
      <w:r w:rsidRPr="001E317B">
        <w:rPr>
          <w:lang w:val="en-GB"/>
        </w:rPr>
        <w:t xml:space="preserve">such </w:t>
      </w:r>
      <w:r w:rsidR="00087CBF" w:rsidRPr="001E317B">
        <w:rPr>
          <w:lang w:val="en-GB"/>
        </w:rPr>
        <w:t>guidance and</w:t>
      </w:r>
      <w:r w:rsidRPr="001E317B">
        <w:rPr>
          <w:lang w:val="en-GB"/>
        </w:rPr>
        <w:t xml:space="preserve"> requested the secretariat</w:t>
      </w:r>
      <w:r w:rsidR="00087CBF" w:rsidRPr="001E317B">
        <w:rPr>
          <w:lang w:val="en-GB"/>
        </w:rPr>
        <w:t xml:space="preserve"> to prepare initial draft guidance on contaminated sites and circulate it electronically to nominated experts, who were to provide comments to the secretariat.</w:t>
      </w:r>
      <w:r w:rsidR="00087CBF" w:rsidRPr="001E317B">
        <w:rPr>
          <w:iCs/>
          <w:lang w:val="en-GB"/>
        </w:rPr>
        <w:t xml:space="preserve"> </w:t>
      </w:r>
      <w:r w:rsidR="00F330F6">
        <w:rPr>
          <w:iCs/>
          <w:lang w:val="en-GB"/>
        </w:rPr>
        <w:t>In preparing the initial draft guidance, t</w:t>
      </w:r>
      <w:r w:rsidRPr="001E317B">
        <w:rPr>
          <w:iCs/>
          <w:lang w:val="en-GB"/>
        </w:rPr>
        <w:t xml:space="preserve">he secretariat was to </w:t>
      </w:r>
      <w:r w:rsidRPr="001E317B">
        <w:rPr>
          <w:lang w:val="en-GB"/>
        </w:rPr>
        <w:t>draw on previously submitted information and work undertaken in other forums</w:t>
      </w:r>
      <w:r w:rsidR="00F330F6">
        <w:rPr>
          <w:lang w:val="en-GB"/>
        </w:rPr>
        <w:t>,</w:t>
      </w:r>
      <w:r w:rsidRPr="001E317B">
        <w:rPr>
          <w:lang w:val="en-GB"/>
        </w:rPr>
        <w:t xml:space="preserve"> using the outline of the structure and content of the guidance agreed </w:t>
      </w:r>
      <w:r w:rsidR="00976D91">
        <w:rPr>
          <w:lang w:val="en-GB"/>
        </w:rPr>
        <w:t xml:space="preserve">on </w:t>
      </w:r>
      <w:r w:rsidRPr="001E317B">
        <w:rPr>
          <w:lang w:val="en-GB"/>
        </w:rPr>
        <w:t>by the Conference</w:t>
      </w:r>
      <w:r w:rsidR="00F330F6">
        <w:rPr>
          <w:lang w:val="en-GB"/>
        </w:rPr>
        <w:t xml:space="preserve"> of the Parties</w:t>
      </w:r>
      <w:r w:rsidRPr="001E317B">
        <w:rPr>
          <w:lang w:val="en-GB"/>
        </w:rPr>
        <w:t xml:space="preserve"> as a basis.</w:t>
      </w:r>
    </w:p>
    <w:p w14:paraId="26A766B4" w14:textId="0336E001" w:rsidR="00087CBF" w:rsidRPr="001E317B" w:rsidRDefault="0008063A" w:rsidP="00A05DAA">
      <w:pPr>
        <w:pStyle w:val="Normalnumber"/>
        <w:suppressAutoHyphens/>
        <w:autoSpaceDN w:val="0"/>
        <w:textAlignment w:val="baseline"/>
        <w:rPr>
          <w:lang w:val="en-GB"/>
        </w:rPr>
      </w:pPr>
      <w:r w:rsidRPr="001E317B">
        <w:rPr>
          <w:lang w:val="en-GB"/>
        </w:rPr>
        <w:t xml:space="preserve">The </w:t>
      </w:r>
      <w:r w:rsidRPr="001E317B">
        <w:rPr>
          <w:iCs/>
          <w:lang w:val="en-GB"/>
        </w:rPr>
        <w:t>draft guidance prepared by the secretariat in consultation with nominated experts</w:t>
      </w:r>
      <w:r w:rsidR="009032B3" w:rsidRPr="001E317B">
        <w:rPr>
          <w:iCs/>
          <w:lang w:val="en-GB"/>
        </w:rPr>
        <w:t xml:space="preserve"> is set out in </w:t>
      </w:r>
      <w:r w:rsidR="00F330F6">
        <w:rPr>
          <w:iCs/>
          <w:lang w:val="en-GB"/>
        </w:rPr>
        <w:t xml:space="preserve">annex II to </w:t>
      </w:r>
      <w:r w:rsidR="009032B3" w:rsidRPr="001E317B">
        <w:rPr>
          <w:iCs/>
          <w:lang w:val="en-GB"/>
        </w:rPr>
        <w:t xml:space="preserve">document </w:t>
      </w:r>
      <w:r w:rsidRPr="001E317B">
        <w:rPr>
          <w:lang w:val="en-GB"/>
        </w:rPr>
        <w:t>U</w:t>
      </w:r>
      <w:r w:rsidR="00087CBF" w:rsidRPr="001E317B">
        <w:rPr>
          <w:lang w:val="en-GB"/>
        </w:rPr>
        <w:t>NEP/MC/COP.2/7</w:t>
      </w:r>
      <w:r w:rsidRPr="001E317B">
        <w:rPr>
          <w:lang w:val="en-GB"/>
        </w:rPr>
        <w:t xml:space="preserve">. </w:t>
      </w:r>
      <w:r w:rsidR="00F330F6">
        <w:rPr>
          <w:lang w:val="en-GB"/>
        </w:rPr>
        <w:t>Given</w:t>
      </w:r>
      <w:r w:rsidR="00F330F6" w:rsidRPr="001E317B">
        <w:rPr>
          <w:lang w:val="en-GB"/>
        </w:rPr>
        <w:t xml:space="preserve"> </w:t>
      </w:r>
      <w:r w:rsidRPr="001E317B">
        <w:rPr>
          <w:lang w:val="en-GB"/>
        </w:rPr>
        <w:t xml:space="preserve">that </w:t>
      </w:r>
      <w:r w:rsidR="00555C3A" w:rsidRPr="001E317B">
        <w:rPr>
          <w:lang w:val="en-GB"/>
        </w:rPr>
        <w:t>it was not possible to undertake</w:t>
      </w:r>
      <w:r w:rsidR="00087CBF" w:rsidRPr="001E317B">
        <w:rPr>
          <w:lang w:val="en-GB"/>
        </w:rPr>
        <w:t xml:space="preserve"> the second commenting phase provided for in the road map</w:t>
      </w:r>
      <w:r w:rsidR="003725AE">
        <w:rPr>
          <w:lang w:val="en-GB"/>
        </w:rPr>
        <w:t xml:space="preserve"> for the preparation of the draft guidance</w:t>
      </w:r>
      <w:r w:rsidRPr="001E317B">
        <w:rPr>
          <w:lang w:val="en-GB"/>
        </w:rPr>
        <w:t>, t</w:t>
      </w:r>
      <w:r w:rsidR="00087CBF" w:rsidRPr="001E317B">
        <w:rPr>
          <w:lang w:val="en-GB"/>
        </w:rPr>
        <w:t xml:space="preserve">he Conference </w:t>
      </w:r>
      <w:r w:rsidR="00F330F6">
        <w:rPr>
          <w:lang w:val="en-GB"/>
        </w:rPr>
        <w:t xml:space="preserve">of the Parties </w:t>
      </w:r>
      <w:r w:rsidR="00087CBF" w:rsidRPr="001E317B">
        <w:rPr>
          <w:lang w:val="en-GB"/>
        </w:rPr>
        <w:t xml:space="preserve">may wish to consider </w:t>
      </w:r>
      <w:r w:rsidR="00383A31" w:rsidRPr="001E317B">
        <w:rPr>
          <w:lang w:val="en-GB"/>
        </w:rPr>
        <w:t xml:space="preserve">the draft guidance and </w:t>
      </w:r>
      <w:r w:rsidR="003725AE">
        <w:rPr>
          <w:lang w:val="en-GB"/>
        </w:rPr>
        <w:t>the</w:t>
      </w:r>
      <w:r w:rsidR="003725AE" w:rsidRPr="001E317B">
        <w:rPr>
          <w:lang w:val="en-GB"/>
        </w:rPr>
        <w:t xml:space="preserve"> </w:t>
      </w:r>
      <w:r w:rsidR="00555C3A" w:rsidRPr="001E317B">
        <w:rPr>
          <w:lang w:val="en-GB"/>
        </w:rPr>
        <w:t xml:space="preserve">need for </w:t>
      </w:r>
      <w:r w:rsidR="00383A31" w:rsidRPr="001E317B">
        <w:rPr>
          <w:lang w:val="en-GB"/>
        </w:rPr>
        <w:t>further work</w:t>
      </w:r>
      <w:r w:rsidR="00555C3A" w:rsidRPr="001E317B">
        <w:rPr>
          <w:lang w:val="en-GB"/>
        </w:rPr>
        <w:t>.</w:t>
      </w:r>
    </w:p>
    <w:p w14:paraId="15B7996B" w14:textId="36B5504D" w:rsidR="003A1CBE" w:rsidRPr="001E317B" w:rsidRDefault="003A1CBE" w:rsidP="001F273D">
      <w:pPr>
        <w:pStyle w:val="CH3"/>
        <w:rPr>
          <w:lang w:val="en-GB"/>
        </w:rPr>
      </w:pPr>
      <w:r w:rsidRPr="001E317B">
        <w:rPr>
          <w:lang w:val="en-GB"/>
        </w:rPr>
        <w:tab/>
        <w:t>(e)</w:t>
      </w:r>
      <w:r w:rsidRPr="001E317B">
        <w:rPr>
          <w:lang w:val="en-GB"/>
        </w:rPr>
        <w:tab/>
      </w:r>
      <w:r w:rsidR="001F273D" w:rsidRPr="001E317B">
        <w:rPr>
          <w:lang w:val="en-GB"/>
        </w:rPr>
        <w:t>Opera</w:t>
      </w:r>
      <w:r w:rsidR="00F1741A" w:rsidRPr="001E317B">
        <w:rPr>
          <w:lang w:val="en-GB"/>
        </w:rPr>
        <w:t>tion of the financial mechanism</w:t>
      </w:r>
    </w:p>
    <w:p w14:paraId="4CD6B8BE" w14:textId="75715F90" w:rsidR="00542EFF" w:rsidRPr="001E317B" w:rsidRDefault="00B25349" w:rsidP="00542EFF">
      <w:pPr>
        <w:pStyle w:val="Normalnumber"/>
        <w:spacing w:after="136"/>
        <w:rPr>
          <w:lang w:val="en-GB"/>
        </w:rPr>
      </w:pPr>
      <w:r w:rsidRPr="001E317B">
        <w:rPr>
          <w:lang w:val="en-GB"/>
        </w:rPr>
        <w:t xml:space="preserve">Article 13 of the </w:t>
      </w:r>
      <w:r w:rsidRPr="0032085D">
        <w:rPr>
          <w:lang w:val="en-GB"/>
        </w:rPr>
        <w:t>Convention establishes</w:t>
      </w:r>
      <w:r w:rsidRPr="001E317B">
        <w:rPr>
          <w:lang w:val="en-GB"/>
        </w:rPr>
        <w:t xml:space="preserve"> a mechanism for the provision of adequate, predictable and timely financial resources, w</w:t>
      </w:r>
      <w:r w:rsidR="00927BEC" w:rsidRPr="001E317B">
        <w:rPr>
          <w:lang w:val="en-GB"/>
        </w:rPr>
        <w:t>hich comprises</w:t>
      </w:r>
      <w:r w:rsidRPr="001E317B">
        <w:rPr>
          <w:lang w:val="en-GB"/>
        </w:rPr>
        <w:t xml:space="preserve"> the Global Environment Facility </w:t>
      </w:r>
      <w:r w:rsidR="00A774D6" w:rsidRPr="001E317B">
        <w:rPr>
          <w:lang w:val="en-GB"/>
        </w:rPr>
        <w:t xml:space="preserve">(GEF) </w:t>
      </w:r>
      <w:r w:rsidRPr="001E317B">
        <w:rPr>
          <w:lang w:val="en-GB"/>
        </w:rPr>
        <w:t>Trust Fund and a specific international programme to support capacity-building and technical assistance</w:t>
      </w:r>
      <w:r w:rsidR="00542EFF" w:rsidRPr="001E317B">
        <w:rPr>
          <w:lang w:val="en-GB"/>
        </w:rPr>
        <w:t>, both</w:t>
      </w:r>
      <w:r w:rsidR="00542EFF" w:rsidRPr="001E317B">
        <w:rPr>
          <w:bCs/>
          <w:lang w:val="en-GB"/>
        </w:rPr>
        <w:t xml:space="preserve"> </w:t>
      </w:r>
      <w:r w:rsidR="00F72EE8" w:rsidRPr="001E317B">
        <w:rPr>
          <w:bCs/>
          <w:lang w:val="en-GB"/>
        </w:rPr>
        <w:t xml:space="preserve">of which, </w:t>
      </w:r>
      <w:r w:rsidR="00542EFF" w:rsidRPr="001E317B">
        <w:rPr>
          <w:bCs/>
          <w:lang w:val="en-GB"/>
        </w:rPr>
        <w:t>for the purposes of the Convention,</w:t>
      </w:r>
      <w:r w:rsidR="00542EFF" w:rsidRPr="001E317B">
        <w:rPr>
          <w:lang w:val="en-GB"/>
        </w:rPr>
        <w:t xml:space="preserve"> </w:t>
      </w:r>
      <w:r w:rsidRPr="001E317B">
        <w:rPr>
          <w:lang w:val="en-GB"/>
        </w:rPr>
        <w:t xml:space="preserve">operate under the guidance of and </w:t>
      </w:r>
      <w:r w:rsidR="00004EDD" w:rsidRPr="001E317B">
        <w:rPr>
          <w:lang w:val="en-GB"/>
        </w:rPr>
        <w:t xml:space="preserve">are </w:t>
      </w:r>
      <w:r w:rsidRPr="001E317B">
        <w:rPr>
          <w:lang w:val="en-GB"/>
        </w:rPr>
        <w:t>accountable to the Conference</w:t>
      </w:r>
      <w:r w:rsidR="00613D68" w:rsidRPr="001E317B">
        <w:rPr>
          <w:lang w:val="en-GB"/>
        </w:rPr>
        <w:t xml:space="preserve"> of the Parties</w:t>
      </w:r>
      <w:r w:rsidRPr="001E317B">
        <w:rPr>
          <w:lang w:val="en-GB"/>
        </w:rPr>
        <w:t xml:space="preserve">. </w:t>
      </w:r>
    </w:p>
    <w:p w14:paraId="08AF4C29" w14:textId="48896EAC" w:rsidR="001F004A" w:rsidRPr="001E317B" w:rsidRDefault="00864EDC" w:rsidP="00FA01F2">
      <w:pPr>
        <w:pStyle w:val="Normalnumber"/>
        <w:numPr>
          <w:ilvl w:val="0"/>
          <w:numId w:val="0"/>
        </w:numPr>
        <w:tabs>
          <w:tab w:val="left" w:pos="1247"/>
          <w:tab w:val="left" w:pos="1871"/>
          <w:tab w:val="left" w:pos="2495"/>
        </w:tabs>
        <w:ind w:left="624"/>
        <w:rPr>
          <w:b/>
          <w:bCs/>
          <w:lang w:val="en-GB"/>
        </w:rPr>
      </w:pPr>
      <w:r w:rsidRPr="0000562F">
        <w:rPr>
          <w:b/>
          <w:bCs/>
          <w:lang w:val="en-GB"/>
        </w:rPr>
        <w:t xml:space="preserve">(i) </w:t>
      </w:r>
      <w:r w:rsidR="003725AE" w:rsidRPr="0000562F">
        <w:rPr>
          <w:b/>
          <w:bCs/>
          <w:lang w:val="en-GB"/>
        </w:rPr>
        <w:tab/>
      </w:r>
      <w:r w:rsidRPr="0000562F">
        <w:rPr>
          <w:b/>
          <w:bCs/>
          <w:lang w:val="en-GB"/>
        </w:rPr>
        <w:t>Global Environment Facility</w:t>
      </w:r>
    </w:p>
    <w:p w14:paraId="70286034" w14:textId="3807048C" w:rsidR="0036216E" w:rsidRPr="005458D9" w:rsidRDefault="0036216E" w:rsidP="0036216E">
      <w:pPr>
        <w:pStyle w:val="Normalnumber"/>
        <w:tabs>
          <w:tab w:val="clear" w:pos="624"/>
          <w:tab w:val="left" w:pos="1247"/>
          <w:tab w:val="left" w:pos="1814"/>
          <w:tab w:val="left" w:pos="2381"/>
          <w:tab w:val="left" w:pos="2948"/>
          <w:tab w:val="left" w:pos="3515"/>
          <w:tab w:val="left" w:pos="4082"/>
        </w:tabs>
        <w:spacing w:after="136"/>
        <w:rPr>
          <w:lang w:val="en-GB"/>
        </w:rPr>
      </w:pPr>
      <w:r w:rsidRPr="001E317B">
        <w:rPr>
          <w:lang w:val="en-GB"/>
        </w:rPr>
        <w:t xml:space="preserve">At its first meeting, </w:t>
      </w:r>
      <w:r w:rsidR="00174BF3">
        <w:rPr>
          <w:lang w:val="en-GB"/>
        </w:rPr>
        <w:t xml:space="preserve">in its decision MC-1/5, </w:t>
      </w:r>
      <w:r w:rsidRPr="001E317B">
        <w:rPr>
          <w:lang w:val="en-GB"/>
        </w:rPr>
        <w:t xml:space="preserve">the Conference </w:t>
      </w:r>
      <w:r w:rsidR="003725AE">
        <w:rPr>
          <w:lang w:val="en-GB"/>
        </w:rPr>
        <w:t xml:space="preserve">of the Parties </w:t>
      </w:r>
      <w:r w:rsidRPr="001E317B">
        <w:rPr>
          <w:lang w:val="en-GB"/>
        </w:rPr>
        <w:t>adopted the guidance to GEF on the overall strategies, policies, programme priorities and eligibility for access to and utilization of financial resources and on an indicative list of categories of activities that could receive support from the GEF Trust Fund. The</w:t>
      </w:r>
      <w:r w:rsidR="00174BF3">
        <w:rPr>
          <w:lang w:val="en-GB"/>
        </w:rPr>
        <w:t xml:space="preserve"> Conference of the Parties</w:t>
      </w:r>
      <w:r w:rsidRPr="001E317B">
        <w:rPr>
          <w:lang w:val="en-GB"/>
        </w:rPr>
        <w:t xml:space="preserve"> also </w:t>
      </w:r>
      <w:r w:rsidR="00174BF3">
        <w:rPr>
          <w:lang w:val="en-GB"/>
        </w:rPr>
        <w:t>discussed</w:t>
      </w:r>
      <w:r w:rsidRPr="001E317B">
        <w:rPr>
          <w:lang w:val="en-GB"/>
        </w:rPr>
        <w:t xml:space="preserve"> the issue of a draft </w:t>
      </w:r>
      <w:r w:rsidRPr="001E317B">
        <w:rPr>
          <w:bCs/>
          <w:lang w:val="en-GB"/>
        </w:rPr>
        <w:t xml:space="preserve">memorandum of understanding between the Conference of the Parties </w:t>
      </w:r>
      <w:r w:rsidRPr="005458D9">
        <w:rPr>
          <w:bCs/>
          <w:lang w:val="en-GB"/>
        </w:rPr>
        <w:t>and the GEF Council</w:t>
      </w:r>
      <w:r w:rsidRPr="00421201">
        <w:rPr>
          <w:lang w:val="en-GB"/>
        </w:rPr>
        <w:t xml:space="preserve"> </w:t>
      </w:r>
      <w:r w:rsidRPr="00421201">
        <w:rPr>
          <w:bCs/>
          <w:lang w:val="en-GB"/>
        </w:rPr>
        <w:t xml:space="preserve">and agreed to defer further consideration of the matter to its </w:t>
      </w:r>
      <w:r w:rsidR="00174BF3" w:rsidRPr="00421201">
        <w:rPr>
          <w:bCs/>
          <w:lang w:val="en-GB"/>
        </w:rPr>
        <w:t xml:space="preserve">second </w:t>
      </w:r>
      <w:r w:rsidRPr="005458D9">
        <w:rPr>
          <w:bCs/>
          <w:lang w:val="en-GB"/>
        </w:rPr>
        <w:t>meeting.</w:t>
      </w:r>
      <w:r w:rsidR="00983875" w:rsidRPr="005458D9">
        <w:rPr>
          <w:bCs/>
          <w:lang w:val="en-GB"/>
        </w:rPr>
        <w:t xml:space="preserve"> </w:t>
      </w:r>
    </w:p>
    <w:p w14:paraId="2EA15AD5" w14:textId="28E56A2B" w:rsidR="00C6083A" w:rsidRPr="001E317B" w:rsidRDefault="00174BF3" w:rsidP="0036216E">
      <w:pPr>
        <w:pStyle w:val="Normalnumber"/>
        <w:rPr>
          <w:lang w:val="en-GB"/>
        </w:rPr>
      </w:pPr>
      <w:r w:rsidRPr="005458D9">
        <w:rPr>
          <w:lang w:val="en-GB"/>
        </w:rPr>
        <w:lastRenderedPageBreak/>
        <w:t>T</w:t>
      </w:r>
      <w:r w:rsidR="002C293C" w:rsidRPr="005458D9">
        <w:rPr>
          <w:lang w:val="en-GB"/>
        </w:rPr>
        <w:t xml:space="preserve">he Conference </w:t>
      </w:r>
      <w:r w:rsidRPr="005458D9">
        <w:rPr>
          <w:lang w:val="en-GB"/>
        </w:rPr>
        <w:t xml:space="preserve">of the Parties has </w:t>
      </w:r>
      <w:r w:rsidR="002C293C" w:rsidRPr="005458D9">
        <w:rPr>
          <w:lang w:val="en-GB"/>
        </w:rPr>
        <w:t>before it an update on matters related</w:t>
      </w:r>
      <w:r w:rsidR="002C293C" w:rsidRPr="001E317B">
        <w:rPr>
          <w:lang w:val="en-GB"/>
        </w:rPr>
        <w:t xml:space="preserve"> to </w:t>
      </w:r>
      <w:r w:rsidR="0036216E" w:rsidRPr="001E317B">
        <w:rPr>
          <w:lang w:val="en-GB"/>
        </w:rPr>
        <w:t>the GEF</w:t>
      </w:r>
      <w:r w:rsidR="002C293C" w:rsidRPr="001E317B">
        <w:rPr>
          <w:lang w:val="en-GB"/>
        </w:rPr>
        <w:t xml:space="preserve"> Trust Fund </w:t>
      </w:r>
      <w:r>
        <w:rPr>
          <w:lang w:val="en-GB"/>
        </w:rPr>
        <w:t>(</w:t>
      </w:r>
      <w:r w:rsidR="002C293C" w:rsidRPr="001E317B">
        <w:rPr>
          <w:lang w:val="en-GB"/>
        </w:rPr>
        <w:t>UNEP/MC/COP.2/8</w:t>
      </w:r>
      <w:r>
        <w:rPr>
          <w:lang w:val="en-GB"/>
        </w:rPr>
        <w:t>)</w:t>
      </w:r>
      <w:r w:rsidR="00A774D6" w:rsidRPr="001E317B">
        <w:rPr>
          <w:lang w:val="en-GB"/>
        </w:rPr>
        <w:t xml:space="preserve">, </w:t>
      </w:r>
      <w:r w:rsidR="002C293C" w:rsidRPr="001E317B">
        <w:rPr>
          <w:lang w:val="en-GB"/>
        </w:rPr>
        <w:t xml:space="preserve">to be considered </w:t>
      </w:r>
      <w:r>
        <w:rPr>
          <w:lang w:val="en-GB"/>
        </w:rPr>
        <w:t>alongside</w:t>
      </w:r>
      <w:r w:rsidRPr="001E317B">
        <w:rPr>
          <w:lang w:val="en-GB"/>
        </w:rPr>
        <w:t xml:space="preserve"> </w:t>
      </w:r>
      <w:r w:rsidR="002C293C" w:rsidRPr="001E317B">
        <w:rPr>
          <w:lang w:val="en-GB"/>
        </w:rPr>
        <w:t xml:space="preserve">the report of </w:t>
      </w:r>
      <w:r>
        <w:rPr>
          <w:lang w:val="en-GB"/>
        </w:rPr>
        <w:t xml:space="preserve">GEF </w:t>
      </w:r>
      <w:r w:rsidR="002C293C" w:rsidRPr="001E317B">
        <w:rPr>
          <w:lang w:val="en-GB"/>
        </w:rPr>
        <w:t xml:space="preserve">to the Conference </w:t>
      </w:r>
      <w:r>
        <w:rPr>
          <w:lang w:val="en-GB"/>
        </w:rPr>
        <w:t xml:space="preserve">of the Parties </w:t>
      </w:r>
      <w:r w:rsidR="009A231A">
        <w:rPr>
          <w:lang w:val="en-GB"/>
        </w:rPr>
        <w:t xml:space="preserve">to the Minamata Convention </w:t>
      </w:r>
      <w:r w:rsidR="002C293C" w:rsidRPr="001E317B">
        <w:rPr>
          <w:lang w:val="en-GB"/>
        </w:rPr>
        <w:t xml:space="preserve">at its second </w:t>
      </w:r>
      <w:r w:rsidR="002C293C" w:rsidRPr="00F12856">
        <w:rPr>
          <w:lang w:val="en-GB"/>
        </w:rPr>
        <w:t>meeting (UNEP/MC/COP.2/INF</w:t>
      </w:r>
      <w:r w:rsidR="009A231A" w:rsidRPr="00FA01F2">
        <w:rPr>
          <w:lang w:val="en-GB"/>
        </w:rPr>
        <w:t>/</w:t>
      </w:r>
      <w:r w:rsidR="002C293C" w:rsidRPr="00F12856">
        <w:rPr>
          <w:lang w:val="en-GB"/>
        </w:rPr>
        <w:t>3</w:t>
      </w:r>
      <w:r w:rsidRPr="00FA01F2">
        <w:rPr>
          <w:lang w:val="en-GB"/>
        </w:rPr>
        <w:t>, annex</w:t>
      </w:r>
      <w:r w:rsidR="00A774D6" w:rsidRPr="00F12856">
        <w:rPr>
          <w:lang w:val="en-GB"/>
        </w:rPr>
        <w:t>). In the light</w:t>
      </w:r>
      <w:r w:rsidR="00A774D6" w:rsidRPr="001E317B">
        <w:rPr>
          <w:lang w:val="en-GB"/>
        </w:rPr>
        <w:t xml:space="preserve"> of the requirement </w:t>
      </w:r>
      <w:r>
        <w:rPr>
          <w:lang w:val="en-GB"/>
        </w:rPr>
        <w:t>set out in article 13 of</w:t>
      </w:r>
      <w:r w:rsidRPr="001E317B">
        <w:rPr>
          <w:lang w:val="en-GB"/>
        </w:rPr>
        <w:t xml:space="preserve"> </w:t>
      </w:r>
      <w:r w:rsidR="00A774D6" w:rsidRPr="001E317B">
        <w:rPr>
          <w:lang w:val="en-GB"/>
        </w:rPr>
        <w:t xml:space="preserve">the Convention that the Conference </w:t>
      </w:r>
      <w:r>
        <w:rPr>
          <w:lang w:val="en-GB"/>
        </w:rPr>
        <w:t xml:space="preserve">of the Parties </w:t>
      </w:r>
      <w:r w:rsidR="00A774D6" w:rsidRPr="001E317B">
        <w:rPr>
          <w:lang w:val="en-GB"/>
        </w:rPr>
        <w:t xml:space="preserve">review the financial mechanism established under </w:t>
      </w:r>
      <w:r>
        <w:rPr>
          <w:lang w:val="en-GB"/>
        </w:rPr>
        <w:t xml:space="preserve">that </w:t>
      </w:r>
      <w:r w:rsidR="00A774D6" w:rsidRPr="001E317B">
        <w:rPr>
          <w:lang w:val="en-GB"/>
        </w:rPr>
        <w:t xml:space="preserve">article no later than at its third meeting, the Conference </w:t>
      </w:r>
      <w:r>
        <w:rPr>
          <w:lang w:val="en-GB"/>
        </w:rPr>
        <w:t xml:space="preserve">of the Parties </w:t>
      </w:r>
      <w:r w:rsidR="00A774D6" w:rsidRPr="001E317B">
        <w:rPr>
          <w:lang w:val="en-GB"/>
        </w:rPr>
        <w:t xml:space="preserve">may wish to identify at its second meeting how the GEF Trust Fund component of that review might be undertaken and the information required for such a review, </w:t>
      </w:r>
      <w:r w:rsidR="00983D31" w:rsidRPr="001E317B">
        <w:rPr>
          <w:lang w:val="en-GB"/>
        </w:rPr>
        <w:t xml:space="preserve">and to request GEF, the secretariat of the Minamata Convention and others, as necessary, to provide the information required for consideration of the matter at its third meeting. </w:t>
      </w:r>
    </w:p>
    <w:p w14:paraId="2D699813" w14:textId="0426C2F9" w:rsidR="001F273D" w:rsidRPr="001E317B" w:rsidRDefault="001F273D" w:rsidP="00FA01F2">
      <w:pPr>
        <w:pStyle w:val="Normalnumber"/>
        <w:numPr>
          <w:ilvl w:val="0"/>
          <w:numId w:val="0"/>
        </w:numPr>
        <w:tabs>
          <w:tab w:val="left" w:pos="1247"/>
          <w:tab w:val="left" w:pos="1871"/>
          <w:tab w:val="left" w:pos="2495"/>
        </w:tabs>
        <w:ind w:left="624"/>
        <w:rPr>
          <w:b/>
          <w:bCs/>
          <w:lang w:val="en-GB"/>
        </w:rPr>
      </w:pPr>
      <w:r w:rsidRPr="0000562F">
        <w:rPr>
          <w:b/>
          <w:bCs/>
          <w:lang w:val="en-GB"/>
        </w:rPr>
        <w:t xml:space="preserve">(ii) </w:t>
      </w:r>
      <w:r w:rsidR="0000562F">
        <w:rPr>
          <w:b/>
          <w:bCs/>
          <w:lang w:val="en-GB"/>
        </w:rPr>
        <w:tab/>
      </w:r>
      <w:r w:rsidRPr="0000562F">
        <w:rPr>
          <w:b/>
          <w:bCs/>
          <w:lang w:val="en-GB"/>
        </w:rPr>
        <w:t>Specific International Programme to Support</w:t>
      </w:r>
      <w:r w:rsidRPr="001E317B">
        <w:rPr>
          <w:b/>
          <w:bCs/>
          <w:lang w:val="en-GB"/>
        </w:rPr>
        <w:t xml:space="preserve"> Capacity-</w:t>
      </w:r>
      <w:r w:rsidR="00174BF3">
        <w:rPr>
          <w:b/>
          <w:bCs/>
          <w:lang w:val="en-GB"/>
        </w:rPr>
        <w:t>B</w:t>
      </w:r>
      <w:r w:rsidRPr="001E317B">
        <w:rPr>
          <w:b/>
          <w:bCs/>
          <w:lang w:val="en-GB"/>
        </w:rPr>
        <w:t>u</w:t>
      </w:r>
      <w:r w:rsidR="009B3AA9" w:rsidRPr="001E317B">
        <w:rPr>
          <w:b/>
          <w:bCs/>
          <w:lang w:val="en-GB"/>
        </w:rPr>
        <w:t>ilding and Technical Assistance</w:t>
      </w:r>
    </w:p>
    <w:p w14:paraId="2DB262DC" w14:textId="5E128BA5" w:rsidR="009B3AA9" w:rsidRPr="001E317B" w:rsidRDefault="009B3AA9" w:rsidP="00965925">
      <w:pPr>
        <w:pStyle w:val="Normalnumber"/>
        <w:numPr>
          <w:ilvl w:val="0"/>
          <w:numId w:val="14"/>
        </w:numPr>
        <w:rPr>
          <w:bCs/>
          <w:lang w:val="en-GB"/>
        </w:rPr>
      </w:pPr>
      <w:r w:rsidRPr="001E317B">
        <w:rPr>
          <w:lang w:val="en-GB"/>
        </w:rPr>
        <w:t xml:space="preserve">At its first meeting, the Conference </w:t>
      </w:r>
      <w:r w:rsidR="00174BF3">
        <w:rPr>
          <w:lang w:val="en-GB"/>
        </w:rPr>
        <w:t xml:space="preserve">of the Parties </w:t>
      </w:r>
      <w:r w:rsidRPr="001E317B">
        <w:rPr>
          <w:bCs/>
          <w:lang w:val="en-GB"/>
        </w:rPr>
        <w:t xml:space="preserve">decided that the United Nations Environment Programme </w:t>
      </w:r>
      <w:r w:rsidR="00976D91">
        <w:rPr>
          <w:bCs/>
          <w:lang w:val="en-GB"/>
        </w:rPr>
        <w:t xml:space="preserve">(UNEP) </w:t>
      </w:r>
      <w:r w:rsidRPr="001E317B">
        <w:rPr>
          <w:bCs/>
          <w:lang w:val="en-GB"/>
        </w:rPr>
        <w:t xml:space="preserve">would host the Specific International Programme and approved the necessary hosting arrangements, guidance on the operations of and duration </w:t>
      </w:r>
      <w:r w:rsidR="00965925" w:rsidRPr="001E317B">
        <w:rPr>
          <w:bCs/>
          <w:lang w:val="en-GB"/>
        </w:rPr>
        <w:t>as w</w:t>
      </w:r>
      <w:r w:rsidR="001F004A" w:rsidRPr="001E317B">
        <w:rPr>
          <w:bCs/>
          <w:lang w:val="en-GB"/>
        </w:rPr>
        <w:t>ell as</w:t>
      </w:r>
      <w:r w:rsidRPr="001E317B">
        <w:rPr>
          <w:bCs/>
          <w:lang w:val="en-GB"/>
        </w:rPr>
        <w:t xml:space="preserve"> the terms of reference of the Programme. The Conference</w:t>
      </w:r>
      <w:r w:rsidR="00174BF3">
        <w:rPr>
          <w:bCs/>
          <w:lang w:val="en-GB"/>
        </w:rPr>
        <w:t xml:space="preserve"> of the Parties</w:t>
      </w:r>
      <w:r w:rsidRPr="001E317B">
        <w:rPr>
          <w:bCs/>
          <w:lang w:val="en-GB"/>
        </w:rPr>
        <w:t xml:space="preserve"> also requested the Executive Director of </w:t>
      </w:r>
      <w:r w:rsidR="00976D91">
        <w:rPr>
          <w:bCs/>
          <w:lang w:val="en-GB"/>
        </w:rPr>
        <w:t>UNEP</w:t>
      </w:r>
      <w:r w:rsidRPr="001E317B">
        <w:rPr>
          <w:bCs/>
          <w:lang w:val="en-GB"/>
        </w:rPr>
        <w:t xml:space="preserve"> to establish a trust fund for the </w:t>
      </w:r>
      <w:r w:rsidR="00965925" w:rsidRPr="001E317B">
        <w:rPr>
          <w:bCs/>
          <w:lang w:val="en-GB"/>
        </w:rPr>
        <w:t>P</w:t>
      </w:r>
      <w:r w:rsidRPr="001E317B">
        <w:rPr>
          <w:bCs/>
          <w:lang w:val="en-GB"/>
        </w:rPr>
        <w:t>rogramme and to implement the governance arrangements.</w:t>
      </w:r>
    </w:p>
    <w:p w14:paraId="72DBD4B1" w14:textId="5AD1941D" w:rsidR="009B3AA9" w:rsidRPr="001E317B" w:rsidRDefault="009B3AA9" w:rsidP="00400A5A">
      <w:pPr>
        <w:pStyle w:val="Normalnumber"/>
        <w:numPr>
          <w:ilvl w:val="0"/>
          <w:numId w:val="14"/>
        </w:numPr>
        <w:rPr>
          <w:lang w:val="en-GB"/>
        </w:rPr>
      </w:pPr>
      <w:r w:rsidRPr="001E317B">
        <w:rPr>
          <w:lang w:val="en-GB"/>
        </w:rPr>
        <w:t xml:space="preserve">At its second meeting, the Conference </w:t>
      </w:r>
      <w:r w:rsidR="00174BF3">
        <w:rPr>
          <w:lang w:val="en-GB"/>
        </w:rPr>
        <w:t xml:space="preserve">of the Parties </w:t>
      </w:r>
      <w:r w:rsidRPr="001E317B">
        <w:rPr>
          <w:lang w:val="en-GB"/>
        </w:rPr>
        <w:t xml:space="preserve">will have before it an overall </w:t>
      </w:r>
      <w:r w:rsidR="00965925" w:rsidRPr="001E317B">
        <w:rPr>
          <w:lang w:val="en-GB"/>
        </w:rPr>
        <w:t>report on</w:t>
      </w:r>
      <w:r w:rsidR="001F5069" w:rsidRPr="001E317B">
        <w:rPr>
          <w:lang w:val="en-GB"/>
        </w:rPr>
        <w:t xml:space="preserve"> the</w:t>
      </w:r>
      <w:r w:rsidR="00965925" w:rsidRPr="001E317B">
        <w:rPr>
          <w:lang w:val="en-GB"/>
        </w:rPr>
        <w:t xml:space="preserve"> </w:t>
      </w:r>
      <w:r w:rsidRPr="001E317B">
        <w:rPr>
          <w:lang w:val="en-GB"/>
        </w:rPr>
        <w:t xml:space="preserve">Programme </w:t>
      </w:r>
      <w:r w:rsidR="00174BF3">
        <w:rPr>
          <w:iCs/>
          <w:lang w:val="en-GB"/>
        </w:rPr>
        <w:t>(</w:t>
      </w:r>
      <w:r w:rsidRPr="001E317B">
        <w:rPr>
          <w:lang w:val="en-GB"/>
        </w:rPr>
        <w:t>UNEP/MC/COP.2/9</w:t>
      </w:r>
      <w:r w:rsidR="00174BF3">
        <w:rPr>
          <w:lang w:val="en-GB"/>
        </w:rPr>
        <w:t>),</w:t>
      </w:r>
      <w:r w:rsidRPr="001E317B">
        <w:rPr>
          <w:lang w:val="en-GB"/>
        </w:rPr>
        <w:t xml:space="preserve"> as well as the </w:t>
      </w:r>
      <w:r w:rsidR="00174BF3">
        <w:rPr>
          <w:lang w:val="en-GB"/>
        </w:rPr>
        <w:t xml:space="preserve">application </w:t>
      </w:r>
      <w:r w:rsidRPr="001E317B">
        <w:rPr>
          <w:lang w:val="en-GB"/>
        </w:rPr>
        <w:t xml:space="preserve">guidelines for the first round of applications to the Programme </w:t>
      </w:r>
      <w:r w:rsidR="00965925" w:rsidRPr="001E317B">
        <w:rPr>
          <w:iCs/>
          <w:lang w:val="en-GB"/>
        </w:rPr>
        <w:t>(</w:t>
      </w:r>
      <w:r w:rsidRPr="001E317B">
        <w:rPr>
          <w:lang w:val="en-GB"/>
        </w:rPr>
        <w:t>UNEP/MC/COP.2/INF/16</w:t>
      </w:r>
      <w:r w:rsidR="00965925" w:rsidRPr="001E317B">
        <w:rPr>
          <w:lang w:val="en-GB"/>
        </w:rPr>
        <w:t>)</w:t>
      </w:r>
      <w:r w:rsidRPr="001E317B">
        <w:rPr>
          <w:lang w:val="en-GB"/>
        </w:rPr>
        <w:t xml:space="preserve">. In particular, </w:t>
      </w:r>
      <w:r w:rsidR="001F004A" w:rsidRPr="001E317B">
        <w:rPr>
          <w:lang w:val="en-GB"/>
        </w:rPr>
        <w:t>the Conference</w:t>
      </w:r>
      <w:r w:rsidRPr="001E317B">
        <w:rPr>
          <w:lang w:val="en-GB"/>
        </w:rPr>
        <w:t xml:space="preserve"> </w:t>
      </w:r>
      <w:r w:rsidR="00065667">
        <w:rPr>
          <w:lang w:val="en-GB"/>
        </w:rPr>
        <w:t xml:space="preserve">of the Parties </w:t>
      </w:r>
      <w:r w:rsidRPr="001E317B">
        <w:rPr>
          <w:lang w:val="en-GB"/>
        </w:rPr>
        <w:t xml:space="preserve">may wish to consider two matters </w:t>
      </w:r>
      <w:r w:rsidR="00C92C03">
        <w:rPr>
          <w:lang w:val="en-GB"/>
        </w:rPr>
        <w:t>that</w:t>
      </w:r>
      <w:r w:rsidRPr="001E317B">
        <w:rPr>
          <w:lang w:val="en-GB"/>
        </w:rPr>
        <w:t xml:space="preserve"> remained outstanding from its first meeting, namely the issue of non-parties’ eligibility for funding</w:t>
      </w:r>
      <w:r w:rsidR="00C92C03">
        <w:rPr>
          <w:lang w:val="en-GB"/>
        </w:rPr>
        <w:t xml:space="preserve"> and</w:t>
      </w:r>
      <w:r w:rsidRPr="001E317B">
        <w:rPr>
          <w:lang w:val="en-GB"/>
        </w:rPr>
        <w:t xml:space="preserve"> the terms of reference of the Specific International Programme, </w:t>
      </w:r>
      <w:r w:rsidR="00174BF3">
        <w:rPr>
          <w:lang w:val="en-GB"/>
        </w:rPr>
        <w:t xml:space="preserve">in which </w:t>
      </w:r>
      <w:r w:rsidRPr="001E317B">
        <w:rPr>
          <w:lang w:val="en-GB"/>
        </w:rPr>
        <w:t xml:space="preserve">paragraph 1 refers to the Governing Board consisting of 10 members “from” or “nominated by” parties. In the </w:t>
      </w:r>
      <w:r w:rsidRPr="001E317B">
        <w:rPr>
          <w:bCs/>
          <w:lang w:val="en-GB"/>
        </w:rPr>
        <w:t>light of the requirement that the Conference</w:t>
      </w:r>
      <w:r w:rsidR="00065667">
        <w:rPr>
          <w:bCs/>
          <w:lang w:val="en-GB"/>
        </w:rPr>
        <w:t xml:space="preserve"> of the Parties</w:t>
      </w:r>
      <w:r w:rsidRPr="001E317B">
        <w:rPr>
          <w:bCs/>
          <w:lang w:val="en-GB"/>
        </w:rPr>
        <w:t xml:space="preserve"> review the financial mechanism no later than at its third meeting, </w:t>
      </w:r>
      <w:r w:rsidR="00065667">
        <w:rPr>
          <w:bCs/>
          <w:lang w:val="en-GB"/>
        </w:rPr>
        <w:t>it</w:t>
      </w:r>
      <w:r w:rsidRPr="001E317B">
        <w:rPr>
          <w:bCs/>
          <w:lang w:val="en-GB"/>
        </w:rPr>
        <w:t xml:space="preserve"> may wish to identify at its second meeting how the </w:t>
      </w:r>
      <w:r w:rsidR="00174BF3">
        <w:rPr>
          <w:bCs/>
          <w:lang w:val="en-GB"/>
        </w:rPr>
        <w:t xml:space="preserve">Specific International </w:t>
      </w:r>
      <w:r w:rsidRPr="001E317B">
        <w:rPr>
          <w:bCs/>
          <w:lang w:val="en-GB"/>
        </w:rPr>
        <w:t>Programme component of that review might be undertaken and the information required for such a review, and to request the Governing Board, the secretariat of the Minamata Convention and others, as necessary, to provide the information required for consideration of the matter at its third meeting.</w:t>
      </w:r>
    </w:p>
    <w:p w14:paraId="5022CBD4" w14:textId="1E60E9A2" w:rsidR="003A1CBE" w:rsidRPr="001E317B" w:rsidRDefault="003A1CBE" w:rsidP="001F273D">
      <w:pPr>
        <w:pStyle w:val="CH3"/>
        <w:rPr>
          <w:lang w:val="en-GB"/>
        </w:rPr>
      </w:pPr>
      <w:r w:rsidRPr="001E317B">
        <w:rPr>
          <w:lang w:val="en-GB"/>
        </w:rPr>
        <w:tab/>
        <w:t>(f)</w:t>
      </w:r>
      <w:r w:rsidRPr="001E317B">
        <w:rPr>
          <w:lang w:val="en-GB"/>
        </w:rPr>
        <w:tab/>
      </w:r>
      <w:r w:rsidR="001F273D" w:rsidRPr="001E317B">
        <w:rPr>
          <w:lang w:val="en-GB"/>
        </w:rPr>
        <w:t>Capacity-building, technical assistance and technology transfer</w:t>
      </w:r>
    </w:p>
    <w:p w14:paraId="355700E9" w14:textId="118F762B" w:rsidR="009000CA" w:rsidRPr="001E317B" w:rsidRDefault="00961A61" w:rsidP="00A05DAA">
      <w:pPr>
        <w:pStyle w:val="Normalnumber"/>
        <w:tabs>
          <w:tab w:val="clear" w:pos="624"/>
          <w:tab w:val="left" w:pos="1843"/>
        </w:tabs>
        <w:suppressAutoHyphens/>
        <w:autoSpaceDN w:val="0"/>
        <w:textAlignment w:val="baseline"/>
        <w:outlineLvl w:val="0"/>
        <w:rPr>
          <w:color w:val="000000" w:themeColor="text1"/>
          <w:lang w:val="en-GB"/>
        </w:rPr>
      </w:pPr>
      <w:r w:rsidRPr="001E317B">
        <w:rPr>
          <w:color w:val="000000" w:themeColor="text1"/>
          <w:lang w:val="en-GB"/>
        </w:rPr>
        <w:t xml:space="preserve">Article 14 </w:t>
      </w:r>
      <w:r w:rsidRPr="00A602CD">
        <w:rPr>
          <w:color w:val="000000" w:themeColor="text1"/>
          <w:lang w:val="en-GB"/>
        </w:rPr>
        <w:t>of the Convention</w:t>
      </w:r>
      <w:r w:rsidRPr="001E317B">
        <w:rPr>
          <w:color w:val="000000" w:themeColor="text1"/>
          <w:lang w:val="en-GB"/>
        </w:rPr>
        <w:t xml:space="preserve"> </w:t>
      </w:r>
      <w:r w:rsidR="009C75B7">
        <w:rPr>
          <w:color w:val="000000" w:themeColor="text1"/>
          <w:lang w:val="en-GB"/>
        </w:rPr>
        <w:t>provides that</w:t>
      </w:r>
      <w:r w:rsidR="009C75B7" w:rsidRPr="001E317B">
        <w:rPr>
          <w:color w:val="000000" w:themeColor="text1"/>
          <w:lang w:val="en-GB"/>
        </w:rPr>
        <w:t xml:space="preserve"> </w:t>
      </w:r>
      <w:r w:rsidRPr="001E317B">
        <w:rPr>
          <w:color w:val="000000" w:themeColor="text1"/>
          <w:lang w:val="en-GB"/>
        </w:rPr>
        <w:t>the Conference of the Parties</w:t>
      </w:r>
      <w:r w:rsidR="009C75B7">
        <w:rPr>
          <w:color w:val="000000" w:themeColor="text1"/>
          <w:lang w:val="en-GB"/>
        </w:rPr>
        <w:t xml:space="preserve"> is to</w:t>
      </w:r>
      <w:r w:rsidRPr="001E317B">
        <w:rPr>
          <w:color w:val="000000" w:themeColor="text1"/>
          <w:lang w:val="en-GB"/>
        </w:rPr>
        <w:t xml:space="preserve">, by its second meeting and thereafter on a regular basis, consider information on existing initiatives and progress made in relation to alternative technologies; consider the needs of </w:t>
      </w:r>
      <w:r w:rsidR="0043267C">
        <w:rPr>
          <w:color w:val="000000" w:themeColor="text1"/>
          <w:lang w:val="en-GB"/>
        </w:rPr>
        <w:t>p</w:t>
      </w:r>
      <w:r w:rsidR="0043267C" w:rsidRPr="001E317B">
        <w:rPr>
          <w:color w:val="000000" w:themeColor="text1"/>
          <w:lang w:val="en-GB"/>
        </w:rPr>
        <w:t>arties</w:t>
      </w:r>
      <w:r w:rsidRPr="001E317B">
        <w:rPr>
          <w:color w:val="000000" w:themeColor="text1"/>
          <w:lang w:val="en-GB"/>
        </w:rPr>
        <w:t xml:space="preserve">, particularly </w:t>
      </w:r>
      <w:r w:rsidR="00094FCB">
        <w:rPr>
          <w:color w:val="000000" w:themeColor="text1"/>
          <w:lang w:val="en-GB"/>
        </w:rPr>
        <w:br/>
      </w:r>
      <w:r w:rsidRPr="001E317B">
        <w:rPr>
          <w:color w:val="000000" w:themeColor="text1"/>
          <w:lang w:val="en-GB"/>
        </w:rPr>
        <w:t>developing</w:t>
      </w:r>
      <w:r w:rsidR="00C92C03">
        <w:rPr>
          <w:color w:val="000000" w:themeColor="text1"/>
          <w:lang w:val="en-GB"/>
        </w:rPr>
        <w:t>-</w:t>
      </w:r>
      <w:r w:rsidRPr="001E317B">
        <w:rPr>
          <w:color w:val="000000" w:themeColor="text1"/>
          <w:lang w:val="en-GB"/>
        </w:rPr>
        <w:t xml:space="preserve">country </w:t>
      </w:r>
      <w:r w:rsidR="000F7B13">
        <w:rPr>
          <w:color w:val="000000" w:themeColor="text1"/>
          <w:lang w:val="en-GB"/>
        </w:rPr>
        <w:t>p</w:t>
      </w:r>
      <w:r w:rsidR="000F7B13" w:rsidRPr="001E317B">
        <w:rPr>
          <w:color w:val="000000" w:themeColor="text1"/>
          <w:lang w:val="en-GB"/>
        </w:rPr>
        <w:t>arties</w:t>
      </w:r>
      <w:r w:rsidRPr="001E317B">
        <w:rPr>
          <w:color w:val="000000" w:themeColor="text1"/>
          <w:lang w:val="en-GB"/>
        </w:rPr>
        <w:t xml:space="preserve">, for alternative technologies; and identify challenges experienced by </w:t>
      </w:r>
      <w:r w:rsidR="00364071">
        <w:rPr>
          <w:color w:val="000000" w:themeColor="text1"/>
          <w:lang w:val="en-GB"/>
        </w:rPr>
        <w:t>p</w:t>
      </w:r>
      <w:r w:rsidR="00364071" w:rsidRPr="001E317B">
        <w:rPr>
          <w:color w:val="000000" w:themeColor="text1"/>
          <w:lang w:val="en-GB"/>
        </w:rPr>
        <w:t>arties</w:t>
      </w:r>
      <w:r w:rsidRPr="001E317B">
        <w:rPr>
          <w:color w:val="000000" w:themeColor="text1"/>
          <w:lang w:val="en-GB"/>
        </w:rPr>
        <w:t>, particularly developing</w:t>
      </w:r>
      <w:r w:rsidR="00C92C03">
        <w:rPr>
          <w:color w:val="000000" w:themeColor="text1"/>
          <w:lang w:val="en-GB"/>
        </w:rPr>
        <w:t>-</w:t>
      </w:r>
      <w:r w:rsidRPr="001E317B">
        <w:rPr>
          <w:color w:val="000000" w:themeColor="text1"/>
          <w:lang w:val="en-GB"/>
        </w:rPr>
        <w:t xml:space="preserve">country </w:t>
      </w:r>
      <w:r w:rsidR="0043267C">
        <w:rPr>
          <w:color w:val="000000" w:themeColor="text1"/>
          <w:lang w:val="en-GB"/>
        </w:rPr>
        <w:t>p</w:t>
      </w:r>
      <w:r w:rsidR="0043267C" w:rsidRPr="001E317B">
        <w:rPr>
          <w:color w:val="000000" w:themeColor="text1"/>
          <w:lang w:val="en-GB"/>
        </w:rPr>
        <w:t>arties</w:t>
      </w:r>
      <w:r w:rsidRPr="001E317B">
        <w:rPr>
          <w:color w:val="000000" w:themeColor="text1"/>
          <w:lang w:val="en-GB"/>
        </w:rPr>
        <w:t xml:space="preserve">, in technology transfer. </w:t>
      </w:r>
    </w:p>
    <w:p w14:paraId="3242A229" w14:textId="2697F3C5" w:rsidR="00961A61" w:rsidRPr="00FA01F2" w:rsidRDefault="00961A61" w:rsidP="009000CA">
      <w:pPr>
        <w:pStyle w:val="Normalnumber"/>
        <w:numPr>
          <w:ilvl w:val="0"/>
          <w:numId w:val="1"/>
        </w:numPr>
        <w:tabs>
          <w:tab w:val="clear" w:pos="624"/>
          <w:tab w:val="left" w:pos="1843"/>
        </w:tabs>
        <w:suppressAutoHyphens/>
        <w:autoSpaceDN w:val="0"/>
        <w:textAlignment w:val="baseline"/>
        <w:outlineLvl w:val="0"/>
        <w:rPr>
          <w:b/>
          <w:color w:val="000000" w:themeColor="text1"/>
          <w:lang w:val="en-GB"/>
        </w:rPr>
      </w:pPr>
      <w:r w:rsidRPr="001E317B">
        <w:rPr>
          <w:color w:val="000000" w:themeColor="text1"/>
          <w:lang w:val="en-GB"/>
        </w:rPr>
        <w:t>In response to the consideration of the issue at the first meeting of the Conference</w:t>
      </w:r>
      <w:r w:rsidR="009C75B7">
        <w:rPr>
          <w:color w:val="000000" w:themeColor="text1"/>
          <w:lang w:val="en-GB"/>
        </w:rPr>
        <w:t xml:space="preserve"> of the Parties</w:t>
      </w:r>
      <w:r w:rsidRPr="001E317B">
        <w:rPr>
          <w:color w:val="000000" w:themeColor="text1"/>
          <w:lang w:val="en-GB"/>
        </w:rPr>
        <w:t>, the secretariat sought submissions and reports from parties and other stakeholders on th</w:t>
      </w:r>
      <w:r w:rsidR="009C75B7">
        <w:rPr>
          <w:color w:val="000000" w:themeColor="text1"/>
          <w:lang w:val="en-GB"/>
        </w:rPr>
        <w:t>o</w:t>
      </w:r>
      <w:r w:rsidR="00620BA4" w:rsidRPr="001E317B">
        <w:rPr>
          <w:color w:val="000000" w:themeColor="text1"/>
          <w:lang w:val="en-GB"/>
        </w:rPr>
        <w:t xml:space="preserve">se </w:t>
      </w:r>
      <w:r w:rsidRPr="001E317B">
        <w:rPr>
          <w:color w:val="000000" w:themeColor="text1"/>
          <w:lang w:val="en-GB"/>
        </w:rPr>
        <w:t xml:space="preserve">issues and prepared a note on the matter (UNEP/MC/COP.2/10) </w:t>
      </w:r>
      <w:r w:rsidR="00620BA4" w:rsidRPr="001E317B">
        <w:rPr>
          <w:color w:val="000000" w:themeColor="text1"/>
          <w:lang w:val="en-GB"/>
        </w:rPr>
        <w:t>and</w:t>
      </w:r>
      <w:r w:rsidRPr="001E317B">
        <w:rPr>
          <w:color w:val="000000" w:themeColor="text1"/>
          <w:lang w:val="en-GB"/>
        </w:rPr>
        <w:t xml:space="preserve"> a compilation of the contributions received (UNEP/MC/COP.2/INF/5). The Conference </w:t>
      </w:r>
      <w:r w:rsidR="009C75B7">
        <w:rPr>
          <w:color w:val="000000" w:themeColor="text1"/>
          <w:lang w:val="en-GB"/>
        </w:rPr>
        <w:t xml:space="preserve">of the Parties </w:t>
      </w:r>
      <w:r w:rsidRPr="001E317B">
        <w:rPr>
          <w:color w:val="000000" w:themeColor="text1"/>
          <w:lang w:val="en-GB"/>
        </w:rPr>
        <w:t xml:space="preserve">may wish to consider the information provided, and </w:t>
      </w:r>
      <w:r w:rsidR="002B55C1">
        <w:rPr>
          <w:color w:val="000000" w:themeColor="text1"/>
          <w:lang w:val="en-GB"/>
        </w:rPr>
        <w:t xml:space="preserve">to </w:t>
      </w:r>
      <w:r w:rsidRPr="001E317B">
        <w:rPr>
          <w:color w:val="000000" w:themeColor="text1"/>
          <w:lang w:val="en-GB"/>
        </w:rPr>
        <w:t>draw the attention of par</w:t>
      </w:r>
      <w:r w:rsidR="004F122C" w:rsidRPr="001E317B">
        <w:rPr>
          <w:color w:val="000000" w:themeColor="text1"/>
          <w:lang w:val="en-GB"/>
        </w:rPr>
        <w:t>ties and relevant stakeholders</w:t>
      </w:r>
      <w:r w:rsidRPr="001E317B">
        <w:rPr>
          <w:color w:val="000000" w:themeColor="text1"/>
          <w:lang w:val="en-GB"/>
        </w:rPr>
        <w:t xml:space="preserve"> to the alternative technologies, existing initiatives and activities mentioned in the submissions as well as to the needs and challenges </w:t>
      </w:r>
      <w:r w:rsidRPr="002B55C1">
        <w:rPr>
          <w:color w:val="000000" w:themeColor="text1"/>
          <w:lang w:val="en-GB"/>
        </w:rPr>
        <w:t>expre</w:t>
      </w:r>
      <w:r w:rsidR="004F122C" w:rsidRPr="002B55C1">
        <w:rPr>
          <w:color w:val="000000" w:themeColor="text1"/>
          <w:lang w:val="en-GB"/>
        </w:rPr>
        <w:t>s</w:t>
      </w:r>
      <w:r w:rsidRPr="002B55C1">
        <w:rPr>
          <w:color w:val="000000" w:themeColor="text1"/>
          <w:lang w:val="en-GB"/>
        </w:rPr>
        <w:t xml:space="preserve">sed therein. The Conference </w:t>
      </w:r>
      <w:r w:rsidR="00065667" w:rsidRPr="002B55C1">
        <w:rPr>
          <w:color w:val="000000" w:themeColor="text1"/>
          <w:lang w:val="en-GB"/>
        </w:rPr>
        <w:t xml:space="preserve">of the Parties </w:t>
      </w:r>
      <w:r w:rsidRPr="002B55C1">
        <w:rPr>
          <w:color w:val="000000" w:themeColor="text1"/>
          <w:lang w:val="en-GB"/>
        </w:rPr>
        <w:t xml:space="preserve">may also wish to consider the issue further at its fourth meeting, taking into account any further submissions and reports from parties and information provided by other stakeholders, compiled by the secretariat, </w:t>
      </w:r>
      <w:r w:rsidR="002B55C1" w:rsidRPr="00FA01F2">
        <w:rPr>
          <w:color w:val="000000" w:themeColor="text1"/>
          <w:lang w:val="en-GB"/>
        </w:rPr>
        <w:t xml:space="preserve">or </w:t>
      </w:r>
      <w:r w:rsidRPr="002B55C1">
        <w:rPr>
          <w:color w:val="000000" w:themeColor="text1"/>
          <w:lang w:val="en-GB"/>
        </w:rPr>
        <w:t>reported by parties pursuant to Article 21.</w:t>
      </w:r>
      <w:r w:rsidRPr="001E317B">
        <w:rPr>
          <w:color w:val="000000" w:themeColor="text1"/>
          <w:lang w:val="en-GB"/>
        </w:rPr>
        <w:t xml:space="preserve"> </w:t>
      </w:r>
    </w:p>
    <w:p w14:paraId="5229BF82" w14:textId="11B5D8B9" w:rsidR="003A1CBE" w:rsidRPr="001E317B" w:rsidRDefault="003A1CBE" w:rsidP="001F273D">
      <w:pPr>
        <w:pStyle w:val="CH3"/>
        <w:rPr>
          <w:lang w:val="en-GB"/>
        </w:rPr>
      </w:pPr>
      <w:r w:rsidRPr="001E317B">
        <w:rPr>
          <w:lang w:val="en-GB"/>
        </w:rPr>
        <w:tab/>
        <w:t>(g)</w:t>
      </w:r>
      <w:r w:rsidRPr="001E317B">
        <w:rPr>
          <w:lang w:val="en-GB"/>
        </w:rPr>
        <w:tab/>
      </w:r>
      <w:r w:rsidR="001F273D" w:rsidRPr="001E317B">
        <w:rPr>
          <w:lang w:val="en-GB"/>
        </w:rPr>
        <w:t>Implementation and Compliance Committee</w:t>
      </w:r>
    </w:p>
    <w:p w14:paraId="1F39112A" w14:textId="13D4758A" w:rsidR="00620BA4" w:rsidRPr="001E317B" w:rsidRDefault="00620BA4" w:rsidP="00C865D4">
      <w:pPr>
        <w:pStyle w:val="Normalnumber"/>
        <w:numPr>
          <w:ilvl w:val="0"/>
          <w:numId w:val="1"/>
        </w:numPr>
        <w:tabs>
          <w:tab w:val="clear" w:pos="624"/>
          <w:tab w:val="left" w:pos="1247"/>
          <w:tab w:val="left" w:pos="1814"/>
          <w:tab w:val="left" w:pos="2381"/>
          <w:tab w:val="left" w:pos="2948"/>
          <w:tab w:val="left" w:pos="3515"/>
          <w:tab w:val="left" w:pos="4082"/>
        </w:tabs>
        <w:rPr>
          <w:lang w:val="en-GB"/>
        </w:rPr>
      </w:pPr>
      <w:r w:rsidRPr="001E317B">
        <w:rPr>
          <w:lang w:val="en-GB"/>
        </w:rPr>
        <w:t xml:space="preserve">Article 15 of the Convention </w:t>
      </w:r>
      <w:r w:rsidRPr="00C574D5">
        <w:rPr>
          <w:lang w:val="en-GB"/>
        </w:rPr>
        <w:t>establishes a</w:t>
      </w:r>
      <w:r w:rsidRPr="001E317B">
        <w:rPr>
          <w:lang w:val="en-GB"/>
        </w:rPr>
        <w:t xml:space="preserve"> mechanism, including a Committee as a subsidiary body of </w:t>
      </w:r>
      <w:r w:rsidR="00C865D4" w:rsidRPr="001E317B">
        <w:rPr>
          <w:lang w:val="en-GB"/>
        </w:rPr>
        <w:t>the</w:t>
      </w:r>
      <w:r w:rsidRPr="001E317B">
        <w:rPr>
          <w:lang w:val="en-GB"/>
        </w:rPr>
        <w:t xml:space="preserve"> Conference of the Parties, to promote implementation of, and review compliance with, all its provisions. At its first meeting, the Conference</w:t>
      </w:r>
      <w:r w:rsidR="006B0BEA">
        <w:rPr>
          <w:lang w:val="en-GB"/>
        </w:rPr>
        <w:t xml:space="preserve"> of the Parties</w:t>
      </w:r>
      <w:r w:rsidRPr="001E317B">
        <w:rPr>
          <w:lang w:val="en-GB"/>
        </w:rPr>
        <w:t xml:space="preserve"> elected the first 15 members of the Committee, </w:t>
      </w:r>
      <w:r w:rsidR="006B0BEA">
        <w:rPr>
          <w:lang w:val="en-GB"/>
        </w:rPr>
        <w:t>which</w:t>
      </w:r>
      <w:r w:rsidR="006B0BEA" w:rsidRPr="001E317B">
        <w:rPr>
          <w:lang w:val="en-GB"/>
        </w:rPr>
        <w:t xml:space="preserve"> </w:t>
      </w:r>
      <w:r w:rsidRPr="001E317B">
        <w:rPr>
          <w:color w:val="000000"/>
          <w:lang w:val="en-GB" w:eastAsia="zh-CN"/>
        </w:rPr>
        <w:t xml:space="preserve">met once </w:t>
      </w:r>
      <w:r w:rsidR="002B55C1">
        <w:rPr>
          <w:color w:val="000000"/>
          <w:lang w:val="en-GB" w:eastAsia="zh-CN"/>
        </w:rPr>
        <w:t>during</w:t>
      </w:r>
      <w:r w:rsidRPr="001E317B">
        <w:rPr>
          <w:color w:val="000000"/>
          <w:lang w:val="en-GB" w:eastAsia="zh-CN"/>
        </w:rPr>
        <w:t xml:space="preserve"> the intersessional period, </w:t>
      </w:r>
      <w:r w:rsidR="006B0BEA">
        <w:rPr>
          <w:color w:val="000000"/>
          <w:lang w:val="en-GB" w:eastAsia="zh-CN"/>
        </w:rPr>
        <w:t xml:space="preserve">in Geneva on </w:t>
      </w:r>
      <w:r w:rsidRPr="001E317B">
        <w:rPr>
          <w:lang w:val="en-GB"/>
        </w:rPr>
        <w:t xml:space="preserve">29 </w:t>
      </w:r>
      <w:r w:rsidR="006B0BEA">
        <w:rPr>
          <w:lang w:val="en-GB"/>
        </w:rPr>
        <w:t>and</w:t>
      </w:r>
      <w:r w:rsidR="006B0BEA" w:rsidRPr="001E317B">
        <w:rPr>
          <w:lang w:val="en-GB"/>
        </w:rPr>
        <w:t xml:space="preserve"> </w:t>
      </w:r>
      <w:r w:rsidRPr="001E317B">
        <w:rPr>
          <w:lang w:val="en-GB"/>
        </w:rPr>
        <w:t xml:space="preserve">30 May 2018. </w:t>
      </w:r>
    </w:p>
    <w:p w14:paraId="0847F326" w14:textId="403BC51F" w:rsidR="005E1713" w:rsidRPr="001E317B" w:rsidRDefault="00620BA4" w:rsidP="00C865D4">
      <w:pPr>
        <w:pStyle w:val="Normalnumber"/>
        <w:numPr>
          <w:ilvl w:val="0"/>
          <w:numId w:val="1"/>
        </w:numPr>
        <w:tabs>
          <w:tab w:val="clear" w:pos="624"/>
          <w:tab w:val="left" w:pos="1247"/>
          <w:tab w:val="left" w:pos="1814"/>
          <w:tab w:val="left" w:pos="2381"/>
          <w:tab w:val="left" w:pos="2948"/>
          <w:tab w:val="left" w:pos="3515"/>
          <w:tab w:val="left" w:pos="4082"/>
        </w:tabs>
        <w:ind w:right="57"/>
        <w:rPr>
          <w:lang w:val="en-GB"/>
        </w:rPr>
      </w:pPr>
      <w:r w:rsidRPr="001E317B">
        <w:rPr>
          <w:lang w:val="en-GB"/>
        </w:rPr>
        <w:t xml:space="preserve">The Conference </w:t>
      </w:r>
      <w:r w:rsidR="006B0BEA">
        <w:rPr>
          <w:lang w:val="en-GB"/>
        </w:rPr>
        <w:t xml:space="preserve">of the Parties </w:t>
      </w:r>
      <w:r w:rsidRPr="001E317B">
        <w:rPr>
          <w:lang w:val="en-GB"/>
        </w:rPr>
        <w:t>has before it the report o</w:t>
      </w:r>
      <w:r w:rsidR="006B0BEA">
        <w:rPr>
          <w:lang w:val="en-GB"/>
        </w:rPr>
        <w:t>n</w:t>
      </w:r>
      <w:r w:rsidRPr="001E317B">
        <w:rPr>
          <w:lang w:val="en-GB"/>
        </w:rPr>
        <w:t xml:space="preserve"> th</w:t>
      </w:r>
      <w:r w:rsidR="006B0BEA">
        <w:rPr>
          <w:lang w:val="en-GB"/>
        </w:rPr>
        <w:t>e first</w:t>
      </w:r>
      <w:r w:rsidRPr="001E317B">
        <w:rPr>
          <w:lang w:val="en-GB"/>
        </w:rPr>
        <w:t xml:space="preserve"> meeting</w:t>
      </w:r>
      <w:r w:rsidR="006B0BEA">
        <w:rPr>
          <w:lang w:val="en-GB"/>
        </w:rPr>
        <w:t xml:space="preserve"> of the Implementation and Compliance Committee</w:t>
      </w:r>
      <w:r w:rsidRPr="001E317B">
        <w:rPr>
          <w:lang w:val="en-GB"/>
        </w:rPr>
        <w:t xml:space="preserve"> (</w:t>
      </w:r>
      <w:r w:rsidRPr="001E317B">
        <w:rPr>
          <w:color w:val="000000" w:themeColor="text1"/>
          <w:lang w:val="en-GB"/>
        </w:rPr>
        <w:t>UNEP/MC/COP.2/11</w:t>
      </w:r>
      <w:r w:rsidR="006B0BEA">
        <w:rPr>
          <w:color w:val="000000" w:themeColor="text1"/>
          <w:lang w:val="en-GB"/>
        </w:rPr>
        <w:t>, annex</w:t>
      </w:r>
      <w:r w:rsidRPr="001E317B">
        <w:rPr>
          <w:color w:val="000000" w:themeColor="text1"/>
          <w:lang w:val="en-GB"/>
        </w:rPr>
        <w:t>)</w:t>
      </w:r>
      <w:r w:rsidRPr="001E317B">
        <w:rPr>
          <w:lang w:val="en-GB"/>
        </w:rPr>
        <w:t>, including</w:t>
      </w:r>
      <w:r w:rsidR="006B0BEA">
        <w:rPr>
          <w:lang w:val="en-GB"/>
        </w:rPr>
        <w:t>,</w:t>
      </w:r>
      <w:r w:rsidRPr="001E317B">
        <w:rPr>
          <w:lang w:val="en-GB"/>
        </w:rPr>
        <w:t xml:space="preserve"> </w:t>
      </w:r>
      <w:r w:rsidR="006B0BEA">
        <w:rPr>
          <w:lang w:val="en-GB"/>
        </w:rPr>
        <w:t>in</w:t>
      </w:r>
      <w:r w:rsidRPr="001E317B">
        <w:rPr>
          <w:lang w:val="en-GB"/>
        </w:rPr>
        <w:t xml:space="preserve"> appendix</w:t>
      </w:r>
      <w:r w:rsidR="006B0BEA">
        <w:rPr>
          <w:lang w:val="en-GB"/>
        </w:rPr>
        <w:t xml:space="preserve"> I to the report,</w:t>
      </w:r>
      <w:r w:rsidRPr="001E317B">
        <w:rPr>
          <w:lang w:val="en-GB"/>
        </w:rPr>
        <w:t xml:space="preserve"> </w:t>
      </w:r>
      <w:r w:rsidRPr="001E317B">
        <w:rPr>
          <w:color w:val="000000" w:themeColor="text1"/>
          <w:lang w:val="en-GB"/>
        </w:rPr>
        <w:t xml:space="preserve">the rules of procedure </w:t>
      </w:r>
      <w:r w:rsidR="002B55C1">
        <w:rPr>
          <w:color w:val="000000" w:themeColor="text1"/>
          <w:lang w:val="en-GB"/>
        </w:rPr>
        <w:t>developed</w:t>
      </w:r>
      <w:r w:rsidRPr="001E317B">
        <w:rPr>
          <w:color w:val="000000" w:themeColor="text1"/>
          <w:lang w:val="en-GB"/>
        </w:rPr>
        <w:t xml:space="preserve"> by the Committee</w:t>
      </w:r>
      <w:r w:rsidR="002B55C1">
        <w:rPr>
          <w:color w:val="000000" w:themeColor="text1"/>
          <w:lang w:val="en-GB"/>
        </w:rPr>
        <w:t>,</w:t>
      </w:r>
      <w:r w:rsidRPr="001E317B">
        <w:rPr>
          <w:color w:val="000000" w:themeColor="text1"/>
          <w:lang w:val="en-GB"/>
        </w:rPr>
        <w:t xml:space="preserve"> </w:t>
      </w:r>
      <w:r w:rsidRPr="001E317B">
        <w:rPr>
          <w:lang w:val="en-GB"/>
        </w:rPr>
        <w:t>which,</w:t>
      </w:r>
      <w:r w:rsidRPr="001E317B">
        <w:rPr>
          <w:color w:val="000000" w:themeColor="text1"/>
          <w:lang w:val="en-GB"/>
        </w:rPr>
        <w:t xml:space="preserve"> pursuant to </w:t>
      </w:r>
      <w:r w:rsidRPr="001E317B">
        <w:rPr>
          <w:lang w:val="en-GB"/>
        </w:rPr>
        <w:t>paragraph 5 of article 15, are subject to approval by the Conference</w:t>
      </w:r>
      <w:r w:rsidR="006B0BEA">
        <w:rPr>
          <w:lang w:val="en-GB"/>
        </w:rPr>
        <w:t xml:space="preserve"> of the Parties at its second meeting</w:t>
      </w:r>
      <w:r w:rsidRPr="001E317B">
        <w:rPr>
          <w:lang w:val="en-GB"/>
        </w:rPr>
        <w:t>. The Conference</w:t>
      </w:r>
      <w:r w:rsidR="006B0BEA">
        <w:rPr>
          <w:lang w:val="en-GB"/>
        </w:rPr>
        <w:t xml:space="preserve"> of the Parties</w:t>
      </w:r>
      <w:r w:rsidRPr="001E317B">
        <w:rPr>
          <w:lang w:val="en-GB"/>
        </w:rPr>
        <w:t xml:space="preserve"> may wish to consider the report of the Committee and approve the rules of procedure </w:t>
      </w:r>
      <w:r w:rsidR="002B55C1">
        <w:rPr>
          <w:lang w:val="en-GB"/>
        </w:rPr>
        <w:t>of</w:t>
      </w:r>
      <w:r w:rsidRPr="001E317B">
        <w:rPr>
          <w:lang w:val="en-GB"/>
        </w:rPr>
        <w:t xml:space="preserve"> the Implementation and Compliance Committee.</w:t>
      </w:r>
    </w:p>
    <w:p w14:paraId="553499BE" w14:textId="631C0128" w:rsidR="0074380F" w:rsidRPr="001E317B" w:rsidRDefault="0074380F" w:rsidP="0074380F">
      <w:pPr>
        <w:pStyle w:val="CH3"/>
        <w:rPr>
          <w:lang w:val="en-GB"/>
        </w:rPr>
      </w:pPr>
      <w:r w:rsidRPr="001E317B">
        <w:rPr>
          <w:lang w:val="en-GB"/>
        </w:rPr>
        <w:lastRenderedPageBreak/>
        <w:tab/>
        <w:t>(h)</w:t>
      </w:r>
      <w:r w:rsidRPr="001E317B">
        <w:rPr>
          <w:lang w:val="en-GB"/>
        </w:rPr>
        <w:tab/>
        <w:t>Cooperation with the World Health Organization and the International Labour Organization</w:t>
      </w:r>
    </w:p>
    <w:p w14:paraId="60C3139D" w14:textId="0314BD04" w:rsidR="0074380F" w:rsidRPr="001E317B" w:rsidRDefault="006B0BEA" w:rsidP="00275356">
      <w:pPr>
        <w:pStyle w:val="Normalnumber"/>
        <w:numPr>
          <w:ilvl w:val="0"/>
          <w:numId w:val="1"/>
        </w:numPr>
        <w:tabs>
          <w:tab w:val="clear" w:pos="624"/>
          <w:tab w:val="left" w:pos="1247"/>
          <w:tab w:val="left" w:pos="1814"/>
          <w:tab w:val="left" w:pos="2381"/>
          <w:tab w:val="left" w:pos="2948"/>
          <w:tab w:val="left" w:pos="3515"/>
          <w:tab w:val="left" w:pos="4082"/>
        </w:tabs>
        <w:ind w:right="57"/>
        <w:rPr>
          <w:lang w:val="en-GB"/>
        </w:rPr>
      </w:pPr>
      <w:r>
        <w:rPr>
          <w:lang w:val="en-GB"/>
        </w:rPr>
        <w:t xml:space="preserve">Several provisions of </w:t>
      </w:r>
      <w:r w:rsidRPr="00C574D5">
        <w:rPr>
          <w:lang w:val="en-GB"/>
        </w:rPr>
        <w:t>t</w:t>
      </w:r>
      <w:r w:rsidR="0074380F" w:rsidRPr="00C574D5">
        <w:rPr>
          <w:lang w:val="en-GB"/>
        </w:rPr>
        <w:t>he Convention</w:t>
      </w:r>
      <w:r w:rsidR="0074380F" w:rsidRPr="001E317B">
        <w:rPr>
          <w:lang w:val="en-GB"/>
        </w:rPr>
        <w:t xml:space="preserve"> call for cooperation with relevant intergovernmental organizations</w:t>
      </w:r>
      <w:r>
        <w:rPr>
          <w:lang w:val="en-GB"/>
        </w:rPr>
        <w:t>.</w:t>
      </w:r>
      <w:r w:rsidR="0074380F" w:rsidRPr="001E317B">
        <w:rPr>
          <w:lang w:val="en-GB"/>
        </w:rPr>
        <w:t xml:space="preserve"> </w:t>
      </w:r>
      <w:r w:rsidR="00AC46BD">
        <w:rPr>
          <w:lang w:val="en-GB"/>
        </w:rPr>
        <w:t>I</w:t>
      </w:r>
      <w:r w:rsidR="0074380F" w:rsidRPr="001E317B">
        <w:rPr>
          <w:lang w:val="en-GB"/>
        </w:rPr>
        <w:t>n particular</w:t>
      </w:r>
      <w:r w:rsidR="00AC46BD">
        <w:rPr>
          <w:lang w:val="en-GB"/>
        </w:rPr>
        <w:t>,</w:t>
      </w:r>
      <w:r w:rsidR="0074380F" w:rsidRPr="001E317B">
        <w:rPr>
          <w:lang w:val="en-GB"/>
        </w:rPr>
        <w:t xml:space="preserve"> article 16 </w:t>
      </w:r>
      <w:r w:rsidR="0074380F" w:rsidRPr="001E317B">
        <w:rPr>
          <w:rFonts w:asciiTheme="majorBidi" w:hAnsiTheme="majorBidi" w:cstheme="majorBidi"/>
          <w:bCs/>
          <w:lang w:val="en-GB"/>
        </w:rPr>
        <w:t>specifies that the Conference of the Parties, in considering health-related issues or activities, should consult and collaborate with the World Health Organization (WHO), the International Labour Organization (ILO) and other relevant intergovernmental organizations, as appropriate</w:t>
      </w:r>
      <w:r w:rsidR="00AC46BD">
        <w:rPr>
          <w:rFonts w:asciiTheme="majorBidi" w:hAnsiTheme="majorBidi" w:cstheme="majorBidi"/>
          <w:bCs/>
          <w:lang w:val="en-GB"/>
        </w:rPr>
        <w:t>,</w:t>
      </w:r>
      <w:r w:rsidR="0074380F" w:rsidRPr="001E317B">
        <w:rPr>
          <w:rFonts w:asciiTheme="majorBidi" w:hAnsiTheme="majorBidi" w:cstheme="majorBidi"/>
          <w:bCs/>
          <w:lang w:val="en-GB"/>
        </w:rPr>
        <w:t xml:space="preserve"> and should promote cooperation and exchange of information with th</w:t>
      </w:r>
      <w:r w:rsidR="00AC46BD">
        <w:rPr>
          <w:rFonts w:asciiTheme="majorBidi" w:hAnsiTheme="majorBidi" w:cstheme="majorBidi"/>
          <w:bCs/>
          <w:lang w:val="en-GB"/>
        </w:rPr>
        <w:t>o</w:t>
      </w:r>
      <w:r w:rsidR="0074380F" w:rsidRPr="001E317B">
        <w:rPr>
          <w:rFonts w:asciiTheme="majorBidi" w:hAnsiTheme="majorBidi" w:cstheme="majorBidi"/>
          <w:bCs/>
          <w:lang w:val="en-GB"/>
        </w:rPr>
        <w:t>se organizations, as appropriate</w:t>
      </w:r>
      <w:r w:rsidR="00C865D4" w:rsidRPr="001E317B">
        <w:rPr>
          <w:rFonts w:asciiTheme="majorBidi" w:hAnsiTheme="majorBidi" w:cstheme="majorBidi"/>
          <w:bCs/>
          <w:lang w:val="en-GB"/>
        </w:rPr>
        <w:t>.</w:t>
      </w:r>
    </w:p>
    <w:p w14:paraId="6EC47DEA" w14:textId="027653E3" w:rsidR="00EE49EC" w:rsidRPr="001E317B" w:rsidRDefault="00AC46BD" w:rsidP="008F624E">
      <w:pPr>
        <w:pStyle w:val="Normalnumber"/>
        <w:numPr>
          <w:ilvl w:val="0"/>
          <w:numId w:val="1"/>
        </w:numPr>
        <w:tabs>
          <w:tab w:val="left" w:pos="1843"/>
        </w:tabs>
        <w:suppressAutoHyphens/>
        <w:autoSpaceDN w:val="0"/>
        <w:textAlignment w:val="baseline"/>
        <w:outlineLvl w:val="0"/>
        <w:rPr>
          <w:rFonts w:asciiTheme="majorBidi" w:hAnsiTheme="majorBidi" w:cstheme="majorBidi"/>
          <w:lang w:val="en-GB"/>
        </w:rPr>
      </w:pPr>
      <w:r>
        <w:rPr>
          <w:lang w:val="en-GB"/>
        </w:rPr>
        <w:t>Information on c</w:t>
      </w:r>
      <w:r w:rsidR="0074380F" w:rsidRPr="001E317B">
        <w:rPr>
          <w:lang w:val="en-GB"/>
        </w:rPr>
        <w:t>ooperation with WHO and ILO is set out in</w:t>
      </w:r>
      <w:r>
        <w:rPr>
          <w:lang w:val="en-GB"/>
        </w:rPr>
        <w:t xml:space="preserve"> a note by the secretariat on the matter (</w:t>
      </w:r>
      <w:r w:rsidR="0074380F" w:rsidRPr="001E317B">
        <w:rPr>
          <w:lang w:val="en-GB"/>
        </w:rPr>
        <w:t>UNEP/MC/COP.2/12</w:t>
      </w:r>
      <w:r>
        <w:rPr>
          <w:lang w:val="en-GB"/>
        </w:rPr>
        <w:t>)</w:t>
      </w:r>
      <w:r w:rsidR="0074380F" w:rsidRPr="001E317B">
        <w:rPr>
          <w:lang w:val="en-GB"/>
        </w:rPr>
        <w:t xml:space="preserve">, which includes in </w:t>
      </w:r>
      <w:r w:rsidR="002B55C1">
        <w:rPr>
          <w:lang w:val="en-GB"/>
        </w:rPr>
        <w:t>its</w:t>
      </w:r>
      <w:r w:rsidR="0074380F" w:rsidRPr="001E317B">
        <w:rPr>
          <w:lang w:val="en-GB"/>
        </w:rPr>
        <w:t xml:space="preserve"> annex </w:t>
      </w:r>
      <w:r w:rsidR="0074380F" w:rsidRPr="001E317B">
        <w:rPr>
          <w:rFonts w:asciiTheme="majorBidi" w:hAnsiTheme="majorBidi" w:cstheme="majorBidi"/>
          <w:lang w:val="en-GB"/>
        </w:rPr>
        <w:t>an update on the activities of WHO relevant to the Convention</w:t>
      </w:r>
      <w:r w:rsidR="0074380F" w:rsidRPr="001E317B">
        <w:rPr>
          <w:lang w:val="en-GB"/>
        </w:rPr>
        <w:t>. The Conference</w:t>
      </w:r>
      <w:r>
        <w:rPr>
          <w:lang w:val="en-GB"/>
        </w:rPr>
        <w:t xml:space="preserve"> of the Parties</w:t>
      </w:r>
      <w:r w:rsidR="0074380F" w:rsidRPr="001E317B">
        <w:rPr>
          <w:lang w:val="en-GB"/>
        </w:rPr>
        <w:t xml:space="preserve"> may wish to request the secretariat to </w:t>
      </w:r>
      <w:r w:rsidR="0074380F" w:rsidRPr="001E317B">
        <w:rPr>
          <w:rFonts w:asciiTheme="majorBidi" w:hAnsiTheme="majorBidi" w:cstheme="majorBidi"/>
          <w:lang w:val="en-GB"/>
        </w:rPr>
        <w:t xml:space="preserve">continue active </w:t>
      </w:r>
      <w:r w:rsidR="0074380F" w:rsidRPr="001E317B">
        <w:rPr>
          <w:lang w:val="en-GB"/>
        </w:rPr>
        <w:t xml:space="preserve">cooperation and collaboration on health-related issues with the relevant intergovernmental organizations, in particular WHO and ILO, and </w:t>
      </w:r>
      <w:r>
        <w:rPr>
          <w:lang w:val="en-GB"/>
        </w:rPr>
        <w:t xml:space="preserve">to </w:t>
      </w:r>
      <w:r w:rsidR="0074380F" w:rsidRPr="001E317B">
        <w:rPr>
          <w:lang w:val="en-GB"/>
        </w:rPr>
        <w:t xml:space="preserve">consider </w:t>
      </w:r>
      <w:r w:rsidR="002B55C1">
        <w:rPr>
          <w:lang w:val="en-GB"/>
        </w:rPr>
        <w:t>what forms such cooperation might take and how it might be implemented</w:t>
      </w:r>
      <w:r w:rsidR="001F5069" w:rsidRPr="001E317B">
        <w:rPr>
          <w:lang w:val="en-GB"/>
        </w:rPr>
        <w:t>.</w:t>
      </w:r>
      <w:r w:rsidR="0074380F" w:rsidRPr="001E317B">
        <w:rPr>
          <w:rFonts w:asciiTheme="majorBidi" w:hAnsiTheme="majorBidi" w:cstheme="majorBidi"/>
          <w:lang w:val="en-GB"/>
        </w:rPr>
        <w:t xml:space="preserve"> </w:t>
      </w:r>
    </w:p>
    <w:p w14:paraId="11845CEE" w14:textId="258237D1" w:rsidR="003B0EE9" w:rsidRPr="00DF7738" w:rsidRDefault="003B0EE9" w:rsidP="00DF7738">
      <w:pPr>
        <w:pStyle w:val="Normalnumber"/>
        <w:tabs>
          <w:tab w:val="clear" w:pos="567"/>
          <w:tab w:val="num" w:pos="624"/>
        </w:tabs>
        <w:suppressAutoHyphens/>
        <w:autoSpaceDN w:val="0"/>
        <w:textAlignment w:val="baseline"/>
        <w:rPr>
          <w:lang w:val="en-GB"/>
        </w:rPr>
      </w:pPr>
      <w:r w:rsidRPr="001E317B">
        <w:rPr>
          <w:lang w:val="en-GB"/>
        </w:rPr>
        <w:t>The Conference</w:t>
      </w:r>
      <w:r w:rsidR="00AC46BD">
        <w:rPr>
          <w:lang w:val="en-GB"/>
        </w:rPr>
        <w:t xml:space="preserve"> of the Parties</w:t>
      </w:r>
      <w:r w:rsidRPr="001E317B">
        <w:rPr>
          <w:lang w:val="en-GB"/>
        </w:rPr>
        <w:t xml:space="preserve"> may also</w:t>
      </w:r>
      <w:r w:rsidR="00AC46BD">
        <w:rPr>
          <w:lang w:val="en-GB"/>
        </w:rPr>
        <w:t xml:space="preserve"> wish to</w:t>
      </w:r>
      <w:r w:rsidRPr="001E317B">
        <w:rPr>
          <w:lang w:val="en-GB"/>
        </w:rPr>
        <w:t xml:space="preserve"> take note of the work of WHO, in particular </w:t>
      </w:r>
      <w:r w:rsidR="00AC46BD">
        <w:rPr>
          <w:lang w:val="en-GB"/>
        </w:rPr>
        <w:t xml:space="preserve">its work on </w:t>
      </w:r>
      <w:r w:rsidR="00CE692F">
        <w:rPr>
          <w:lang w:val="en-GB"/>
        </w:rPr>
        <w:t xml:space="preserve">guidance to </w:t>
      </w:r>
      <w:r w:rsidR="00CE692F" w:rsidRPr="00DF7738">
        <w:rPr>
          <w:lang w:val="en-GB"/>
        </w:rPr>
        <w:t xml:space="preserve">address health aspects in the context of developing </w:t>
      </w:r>
      <w:r w:rsidR="00AC46BD">
        <w:rPr>
          <w:lang w:val="en-GB"/>
        </w:rPr>
        <w:t xml:space="preserve">national action plans </w:t>
      </w:r>
      <w:r w:rsidR="00CE692F">
        <w:rPr>
          <w:lang w:val="en-GB"/>
        </w:rPr>
        <w:t>on</w:t>
      </w:r>
      <w:r w:rsidR="00CE692F" w:rsidRPr="001E317B">
        <w:rPr>
          <w:lang w:val="en-GB"/>
        </w:rPr>
        <w:t xml:space="preserve"> </w:t>
      </w:r>
      <w:r w:rsidRPr="001E317B">
        <w:rPr>
          <w:lang w:val="en-GB"/>
        </w:rPr>
        <w:t>artisanal and small-scale gold mining</w:t>
      </w:r>
      <w:r w:rsidR="00AC46BD">
        <w:rPr>
          <w:lang w:val="en-GB"/>
        </w:rPr>
        <w:t xml:space="preserve"> (</w:t>
      </w:r>
      <w:r w:rsidRPr="001E317B">
        <w:rPr>
          <w:lang w:val="en-GB"/>
        </w:rPr>
        <w:t>UNEP/MC/COP.</w:t>
      </w:r>
      <w:r w:rsidR="00CE692F">
        <w:rPr>
          <w:lang w:val="en-GB"/>
        </w:rPr>
        <w:t>2/INF/</w:t>
      </w:r>
      <w:r w:rsidR="00141414" w:rsidRPr="001E317B">
        <w:rPr>
          <w:lang w:val="en-GB"/>
        </w:rPr>
        <w:t>17</w:t>
      </w:r>
      <w:r w:rsidR="00AC46BD">
        <w:rPr>
          <w:lang w:val="en-GB"/>
        </w:rPr>
        <w:t>)</w:t>
      </w:r>
      <w:r w:rsidR="002B55C1">
        <w:rPr>
          <w:lang w:val="en-GB"/>
        </w:rPr>
        <w:t>,</w:t>
      </w:r>
      <w:r w:rsidR="00AC4122" w:rsidRPr="001E317B">
        <w:rPr>
          <w:lang w:val="en-GB"/>
        </w:rPr>
        <w:t xml:space="preserve"> and recommend</w:t>
      </w:r>
      <w:r w:rsidR="00CE692F">
        <w:rPr>
          <w:lang w:val="en-GB"/>
        </w:rPr>
        <w:t xml:space="preserve"> </w:t>
      </w:r>
      <w:r w:rsidR="00AC46BD">
        <w:rPr>
          <w:lang w:val="en-GB"/>
        </w:rPr>
        <w:t>the</w:t>
      </w:r>
      <w:r w:rsidR="00AC4122" w:rsidRPr="001E317B">
        <w:rPr>
          <w:lang w:val="en-GB"/>
        </w:rPr>
        <w:t xml:space="preserve"> use </w:t>
      </w:r>
      <w:r w:rsidR="00AC46BD">
        <w:rPr>
          <w:lang w:val="en-GB"/>
        </w:rPr>
        <w:t xml:space="preserve">of the guidance document </w:t>
      </w:r>
      <w:r w:rsidR="00AC4122" w:rsidRPr="001E317B">
        <w:rPr>
          <w:lang w:val="en-GB"/>
        </w:rPr>
        <w:t xml:space="preserve">in the development of </w:t>
      </w:r>
      <w:r w:rsidR="00AC46BD">
        <w:rPr>
          <w:lang w:val="en-GB"/>
        </w:rPr>
        <w:t xml:space="preserve">such </w:t>
      </w:r>
      <w:r w:rsidR="00AC4122" w:rsidRPr="001E317B">
        <w:rPr>
          <w:lang w:val="en-GB"/>
        </w:rPr>
        <w:t>national action plans</w:t>
      </w:r>
      <w:r w:rsidRPr="001E317B">
        <w:rPr>
          <w:lang w:val="en-GB"/>
        </w:rPr>
        <w:t>.</w:t>
      </w:r>
    </w:p>
    <w:p w14:paraId="633543ED" w14:textId="2A6AA5B7" w:rsidR="003A1CBE" w:rsidRPr="0000562F" w:rsidRDefault="00AC46BD" w:rsidP="00DF7738">
      <w:pPr>
        <w:pStyle w:val="CH3"/>
        <w:rPr>
          <w:lang w:val="en-GB"/>
        </w:rPr>
      </w:pPr>
      <w:r>
        <w:rPr>
          <w:lang w:val="en-GB"/>
        </w:rPr>
        <w:tab/>
      </w:r>
      <w:r w:rsidR="0000562F">
        <w:rPr>
          <w:lang w:val="en-GB"/>
        </w:rPr>
        <w:t>(i)</w:t>
      </w:r>
      <w:r w:rsidR="0000562F">
        <w:rPr>
          <w:lang w:val="en-GB"/>
        </w:rPr>
        <w:tab/>
      </w:r>
      <w:r w:rsidR="001F273D" w:rsidRPr="0000562F">
        <w:rPr>
          <w:lang w:val="en-GB"/>
        </w:rPr>
        <w:t>Effectiveness evaluation</w:t>
      </w:r>
    </w:p>
    <w:p w14:paraId="2A563FFB" w14:textId="6CD06E32" w:rsidR="001379C7" w:rsidRPr="00DE516C" w:rsidRDefault="0095250F" w:rsidP="00555354">
      <w:pPr>
        <w:pStyle w:val="Normalnumber"/>
        <w:rPr>
          <w:lang w:val="en-GB"/>
        </w:rPr>
      </w:pPr>
      <w:r w:rsidRPr="001E317B">
        <w:rPr>
          <w:lang w:val="en-GB"/>
        </w:rPr>
        <w:t xml:space="preserve">Article 22 of the </w:t>
      </w:r>
      <w:r w:rsidRPr="00A407DA">
        <w:rPr>
          <w:lang w:val="en-GB"/>
        </w:rPr>
        <w:t>Convention</w:t>
      </w:r>
      <w:r w:rsidR="00BE1FA2" w:rsidRPr="00A407DA">
        <w:rPr>
          <w:lang w:val="en-GB"/>
        </w:rPr>
        <w:t xml:space="preserve"> </w:t>
      </w:r>
      <w:r w:rsidRPr="00A407DA">
        <w:rPr>
          <w:lang w:val="en-GB"/>
        </w:rPr>
        <w:t>provides</w:t>
      </w:r>
      <w:r w:rsidRPr="001E317B">
        <w:rPr>
          <w:lang w:val="en-GB"/>
        </w:rPr>
        <w:t xml:space="preserve"> for an evaluation of </w:t>
      </w:r>
      <w:r w:rsidR="00BE1FA2" w:rsidRPr="001E317B">
        <w:rPr>
          <w:lang w:val="en-GB"/>
        </w:rPr>
        <w:t>its</w:t>
      </w:r>
      <w:r w:rsidRPr="001E317B">
        <w:rPr>
          <w:lang w:val="en-GB"/>
        </w:rPr>
        <w:t xml:space="preserve"> effectiveness</w:t>
      </w:r>
      <w:r w:rsidR="00B5046B" w:rsidRPr="001E317B">
        <w:rPr>
          <w:lang w:val="en-GB"/>
        </w:rPr>
        <w:t xml:space="preserve">. </w:t>
      </w:r>
      <w:r w:rsidR="001379C7" w:rsidRPr="001E317B">
        <w:rPr>
          <w:lang w:val="en-GB"/>
        </w:rPr>
        <w:t xml:space="preserve">At its first meeting, </w:t>
      </w:r>
      <w:r w:rsidR="00AC46BD">
        <w:rPr>
          <w:lang w:val="en-GB"/>
        </w:rPr>
        <w:t xml:space="preserve">in its decision MC-1/9, </w:t>
      </w:r>
      <w:r w:rsidR="001379C7" w:rsidRPr="001E317B">
        <w:rPr>
          <w:lang w:val="en-GB"/>
        </w:rPr>
        <w:t xml:space="preserve">the Conference </w:t>
      </w:r>
      <w:r w:rsidR="00AC46BD">
        <w:rPr>
          <w:lang w:val="en-GB"/>
        </w:rPr>
        <w:t>of the Parties adopted</w:t>
      </w:r>
      <w:r w:rsidR="001379C7" w:rsidRPr="001E317B">
        <w:rPr>
          <w:lang w:val="en-GB"/>
        </w:rPr>
        <w:t xml:space="preserve"> a road map for establishing arrangements for</w:t>
      </w:r>
      <w:r w:rsidR="00555354">
        <w:rPr>
          <w:lang w:val="en-GB"/>
        </w:rPr>
        <w:t xml:space="preserve"> obtaining</w:t>
      </w:r>
      <w:r w:rsidR="00DE516C">
        <w:rPr>
          <w:lang w:val="en-GB"/>
        </w:rPr>
        <w:t xml:space="preserve"> </w:t>
      </w:r>
      <w:r w:rsidR="001379C7" w:rsidRPr="001E317B">
        <w:rPr>
          <w:lang w:val="en-GB"/>
        </w:rPr>
        <w:t>comparable monitoring data, and elements of an effectiveness evaluation framework under</w:t>
      </w:r>
      <w:r w:rsidR="00BE1FA2" w:rsidRPr="001E317B">
        <w:rPr>
          <w:lang w:val="en-GB"/>
        </w:rPr>
        <w:t xml:space="preserve"> </w:t>
      </w:r>
      <w:r w:rsidR="00923601">
        <w:rPr>
          <w:lang w:val="en-GB"/>
        </w:rPr>
        <w:t>a</w:t>
      </w:r>
      <w:r w:rsidR="00BE1FA2" w:rsidRPr="001E317B">
        <w:rPr>
          <w:lang w:val="en-GB"/>
        </w:rPr>
        <w:t>rticle 22</w:t>
      </w:r>
      <w:r w:rsidR="001379C7" w:rsidRPr="001E317B">
        <w:rPr>
          <w:lang w:val="en-GB"/>
        </w:rPr>
        <w:t>. The road map included a face</w:t>
      </w:r>
      <w:r w:rsidR="00E511EB">
        <w:rPr>
          <w:lang w:val="en-GB"/>
        </w:rPr>
        <w:t>-</w:t>
      </w:r>
      <w:r w:rsidR="001379C7" w:rsidRPr="001E317B">
        <w:rPr>
          <w:lang w:val="en-GB"/>
        </w:rPr>
        <w:t>to</w:t>
      </w:r>
      <w:r w:rsidR="00E511EB">
        <w:rPr>
          <w:lang w:val="en-GB"/>
        </w:rPr>
        <w:t>-</w:t>
      </w:r>
      <w:r w:rsidR="001379C7" w:rsidRPr="001E317B">
        <w:rPr>
          <w:lang w:val="en-GB"/>
        </w:rPr>
        <w:t xml:space="preserve">face meeting of an ad hoc group of experts </w:t>
      </w:r>
      <w:r w:rsidR="001379C7" w:rsidRPr="00DE516C">
        <w:rPr>
          <w:lang w:val="en-GB"/>
        </w:rPr>
        <w:t>to prepare a draft report</w:t>
      </w:r>
      <w:r w:rsidR="00E511EB" w:rsidRPr="006C44FB">
        <w:rPr>
          <w:lang w:val="en-GB"/>
        </w:rPr>
        <w:t>,</w:t>
      </w:r>
      <w:r w:rsidR="001379C7" w:rsidRPr="003319DA">
        <w:rPr>
          <w:lang w:val="en-GB"/>
        </w:rPr>
        <w:t xml:space="preserve"> including an outline, </w:t>
      </w:r>
      <w:r w:rsidR="00815053" w:rsidRPr="00DE516C">
        <w:rPr>
          <w:lang w:val="en-GB"/>
        </w:rPr>
        <w:t xml:space="preserve">a </w:t>
      </w:r>
      <w:r w:rsidR="001379C7" w:rsidRPr="00DE516C">
        <w:rPr>
          <w:lang w:val="en-GB"/>
        </w:rPr>
        <w:t xml:space="preserve">plan and elements of the effectiveness evaluation framework. </w:t>
      </w:r>
      <w:r w:rsidR="00E511EB" w:rsidRPr="00DE516C">
        <w:rPr>
          <w:lang w:val="en-GB"/>
        </w:rPr>
        <w:t>Accordingly, the ad hoc</w:t>
      </w:r>
      <w:r w:rsidR="001379C7" w:rsidRPr="00DE516C">
        <w:rPr>
          <w:lang w:val="en-GB"/>
        </w:rPr>
        <w:t xml:space="preserve"> group</w:t>
      </w:r>
      <w:r w:rsidR="00E511EB" w:rsidRPr="00DE516C">
        <w:rPr>
          <w:lang w:val="en-GB"/>
        </w:rPr>
        <w:t xml:space="preserve"> of experts</w:t>
      </w:r>
      <w:r w:rsidR="001379C7" w:rsidRPr="00DE516C">
        <w:rPr>
          <w:lang w:val="en-GB"/>
        </w:rPr>
        <w:t xml:space="preserve"> met in Ottawa</w:t>
      </w:r>
      <w:r w:rsidRPr="00DE516C">
        <w:rPr>
          <w:lang w:val="en-GB"/>
        </w:rPr>
        <w:t xml:space="preserve"> from 5 to 9 March 2018</w:t>
      </w:r>
      <w:r w:rsidR="001379C7" w:rsidRPr="00DE516C">
        <w:rPr>
          <w:lang w:val="en-GB"/>
        </w:rPr>
        <w:t>.</w:t>
      </w:r>
    </w:p>
    <w:p w14:paraId="1FDE648D" w14:textId="173FDFA6" w:rsidR="001379C7" w:rsidRPr="001E317B" w:rsidRDefault="00B31E29" w:rsidP="0034732F">
      <w:pPr>
        <w:pStyle w:val="Normalnumber"/>
        <w:suppressAutoHyphens/>
        <w:autoSpaceDN w:val="0"/>
        <w:textAlignment w:val="baseline"/>
        <w:rPr>
          <w:lang w:val="en-GB"/>
        </w:rPr>
      </w:pPr>
      <w:r w:rsidRPr="00DE516C">
        <w:rPr>
          <w:lang w:val="en-GB"/>
        </w:rPr>
        <w:t xml:space="preserve">A report on the outline, plan and elements of the effectiveness evaluation </w:t>
      </w:r>
      <w:r w:rsidR="008C5788" w:rsidRPr="00DE516C">
        <w:rPr>
          <w:lang w:val="en-GB"/>
        </w:rPr>
        <w:t xml:space="preserve">framework is set out in the </w:t>
      </w:r>
      <w:r w:rsidR="001379C7" w:rsidRPr="00DE516C">
        <w:rPr>
          <w:lang w:val="en-GB"/>
        </w:rPr>
        <w:t xml:space="preserve">note by the secretariat on the </w:t>
      </w:r>
      <w:r w:rsidR="008C5788" w:rsidRPr="00DE516C">
        <w:rPr>
          <w:lang w:val="en-GB"/>
        </w:rPr>
        <w:t>matter (</w:t>
      </w:r>
      <w:r w:rsidR="001379C7" w:rsidRPr="001E317B">
        <w:rPr>
          <w:lang w:val="en-GB"/>
        </w:rPr>
        <w:t>UNEP/MC/COP.2/13</w:t>
      </w:r>
      <w:r w:rsidR="008C5788">
        <w:rPr>
          <w:lang w:val="en-GB"/>
        </w:rPr>
        <w:t>), which includes in its annex the recommendations of the expert group</w:t>
      </w:r>
      <w:r w:rsidR="00FB5FF1" w:rsidRPr="001E317B">
        <w:rPr>
          <w:bCs/>
          <w:lang w:val="en-GB"/>
        </w:rPr>
        <w:t>. The</w:t>
      </w:r>
      <w:r w:rsidR="001379C7" w:rsidRPr="001E317B">
        <w:rPr>
          <w:bCs/>
          <w:lang w:val="en-GB"/>
        </w:rPr>
        <w:t xml:space="preserve"> report </w:t>
      </w:r>
      <w:r w:rsidR="00FB5FF1" w:rsidRPr="001E317B">
        <w:rPr>
          <w:bCs/>
          <w:lang w:val="en-GB"/>
        </w:rPr>
        <w:t xml:space="preserve">of the </w:t>
      </w:r>
      <w:r w:rsidR="008C5788">
        <w:rPr>
          <w:bCs/>
          <w:lang w:val="en-GB"/>
        </w:rPr>
        <w:t xml:space="preserve">ad hoc </w:t>
      </w:r>
      <w:r w:rsidR="00FB5FF1" w:rsidRPr="001E317B">
        <w:rPr>
          <w:bCs/>
          <w:lang w:val="en-GB"/>
        </w:rPr>
        <w:t>group</w:t>
      </w:r>
      <w:r w:rsidR="008C5788">
        <w:rPr>
          <w:bCs/>
          <w:lang w:val="en-GB"/>
        </w:rPr>
        <w:t xml:space="preserve"> of experts</w:t>
      </w:r>
      <w:r w:rsidR="00FB5FF1" w:rsidRPr="001E317B">
        <w:rPr>
          <w:bCs/>
          <w:lang w:val="en-GB"/>
        </w:rPr>
        <w:t xml:space="preserve"> </w:t>
      </w:r>
      <w:r w:rsidR="001379C7" w:rsidRPr="001E317B">
        <w:rPr>
          <w:bCs/>
          <w:lang w:val="en-GB"/>
        </w:rPr>
        <w:t>is</w:t>
      </w:r>
      <w:r w:rsidR="009E0102" w:rsidRPr="001E317B">
        <w:rPr>
          <w:bCs/>
          <w:lang w:val="en-GB"/>
        </w:rPr>
        <w:t xml:space="preserve"> </w:t>
      </w:r>
      <w:r w:rsidR="008C5788">
        <w:rPr>
          <w:bCs/>
          <w:lang w:val="en-GB"/>
        </w:rPr>
        <w:t xml:space="preserve">set out </w:t>
      </w:r>
      <w:r w:rsidR="001379C7" w:rsidRPr="001E317B">
        <w:rPr>
          <w:bCs/>
          <w:lang w:val="en-GB"/>
        </w:rPr>
        <w:t xml:space="preserve">in </w:t>
      </w:r>
      <w:r w:rsidR="008C5788">
        <w:rPr>
          <w:bCs/>
          <w:lang w:val="en-GB"/>
        </w:rPr>
        <w:t xml:space="preserve">the annex to </w:t>
      </w:r>
      <w:r w:rsidR="001379C7" w:rsidRPr="001E317B">
        <w:rPr>
          <w:bCs/>
          <w:lang w:val="en-GB"/>
        </w:rPr>
        <w:t>document UNEP/MC/COP</w:t>
      </w:r>
      <w:r w:rsidR="001379C7" w:rsidRPr="00F12856">
        <w:rPr>
          <w:bCs/>
          <w:lang w:val="en-GB"/>
        </w:rPr>
        <w:t>.</w:t>
      </w:r>
      <w:r w:rsidR="003E162E" w:rsidRPr="00F12856">
        <w:rPr>
          <w:bCs/>
          <w:lang w:val="en-GB"/>
        </w:rPr>
        <w:t>2</w:t>
      </w:r>
      <w:r w:rsidR="001379C7" w:rsidRPr="004A5CFC">
        <w:rPr>
          <w:bCs/>
          <w:lang w:val="en-GB"/>
        </w:rPr>
        <w:t>/INF/</w:t>
      </w:r>
      <w:r w:rsidR="00555354">
        <w:rPr>
          <w:bCs/>
          <w:lang w:val="en-GB"/>
        </w:rPr>
        <w:t>8</w:t>
      </w:r>
      <w:r w:rsidR="008C5788" w:rsidRPr="004A5CFC">
        <w:rPr>
          <w:bCs/>
          <w:lang w:val="en-GB"/>
        </w:rPr>
        <w:t>, while</w:t>
      </w:r>
      <w:r w:rsidR="008C5788" w:rsidRPr="009A231A">
        <w:rPr>
          <w:bCs/>
          <w:lang w:val="en-GB"/>
        </w:rPr>
        <w:t xml:space="preserve"> </w:t>
      </w:r>
      <w:r w:rsidR="009A231A" w:rsidRPr="009A231A">
        <w:rPr>
          <w:bCs/>
          <w:lang w:val="en-GB"/>
        </w:rPr>
        <w:t>a compilation of</w:t>
      </w:r>
      <w:r w:rsidR="003B0EE9" w:rsidRPr="009A231A">
        <w:rPr>
          <w:bCs/>
          <w:lang w:val="en-GB"/>
        </w:rPr>
        <w:t xml:space="preserve"> comments </w:t>
      </w:r>
      <w:r w:rsidR="009A231A" w:rsidRPr="009A231A">
        <w:rPr>
          <w:bCs/>
          <w:lang w:val="en-GB"/>
        </w:rPr>
        <w:t xml:space="preserve">submitted </w:t>
      </w:r>
      <w:r w:rsidR="003B0EE9" w:rsidRPr="009A231A">
        <w:rPr>
          <w:bCs/>
          <w:lang w:val="en-GB"/>
        </w:rPr>
        <w:t xml:space="preserve">on the </w:t>
      </w:r>
      <w:r w:rsidR="008C5788" w:rsidRPr="009A231A">
        <w:rPr>
          <w:bCs/>
          <w:lang w:val="en-GB"/>
        </w:rPr>
        <w:t xml:space="preserve">group’s </w:t>
      </w:r>
      <w:r w:rsidR="003B0EE9" w:rsidRPr="009A231A">
        <w:rPr>
          <w:bCs/>
          <w:lang w:val="en-GB"/>
        </w:rPr>
        <w:t>draft report</w:t>
      </w:r>
      <w:r w:rsidR="008C5788" w:rsidRPr="009A231A">
        <w:rPr>
          <w:bCs/>
          <w:lang w:val="en-GB"/>
        </w:rPr>
        <w:t xml:space="preserve"> </w:t>
      </w:r>
      <w:r w:rsidR="009A231A" w:rsidRPr="009A231A">
        <w:rPr>
          <w:bCs/>
          <w:lang w:val="en-GB"/>
        </w:rPr>
        <w:t>is set out</w:t>
      </w:r>
      <w:r w:rsidR="008C5788" w:rsidRPr="009A231A">
        <w:rPr>
          <w:bCs/>
          <w:lang w:val="en-GB"/>
        </w:rPr>
        <w:t xml:space="preserve"> </w:t>
      </w:r>
      <w:r w:rsidR="003B0EE9" w:rsidRPr="009A231A">
        <w:rPr>
          <w:bCs/>
          <w:lang w:val="en-GB"/>
        </w:rPr>
        <w:t>in document UNEP/MC/COP.</w:t>
      </w:r>
      <w:r w:rsidR="003E162E" w:rsidRPr="009A231A">
        <w:rPr>
          <w:bCs/>
          <w:lang w:val="en-GB"/>
        </w:rPr>
        <w:t>2</w:t>
      </w:r>
      <w:r w:rsidR="003B0EE9" w:rsidRPr="009A231A">
        <w:rPr>
          <w:bCs/>
          <w:lang w:val="en-GB"/>
        </w:rPr>
        <w:t xml:space="preserve">/INF/15. </w:t>
      </w:r>
      <w:r w:rsidR="001379C7" w:rsidRPr="009A231A">
        <w:rPr>
          <w:bCs/>
          <w:lang w:val="en-GB"/>
        </w:rPr>
        <w:t xml:space="preserve">The Conference </w:t>
      </w:r>
      <w:r w:rsidR="008C5788" w:rsidRPr="009A231A">
        <w:rPr>
          <w:bCs/>
          <w:lang w:val="en-GB"/>
        </w:rPr>
        <w:t xml:space="preserve">of the Parties </w:t>
      </w:r>
      <w:r w:rsidR="001379C7" w:rsidRPr="009A231A">
        <w:rPr>
          <w:bCs/>
          <w:lang w:val="en-GB"/>
        </w:rPr>
        <w:t xml:space="preserve">may wish to consider the recommendations </w:t>
      </w:r>
      <w:r w:rsidR="009E0102" w:rsidRPr="009A231A">
        <w:rPr>
          <w:bCs/>
          <w:lang w:val="en-GB"/>
        </w:rPr>
        <w:t xml:space="preserve">and comments mentioned above. It may </w:t>
      </w:r>
      <w:r w:rsidR="00B5046B" w:rsidRPr="009A231A">
        <w:rPr>
          <w:bCs/>
          <w:lang w:val="en-GB"/>
        </w:rPr>
        <w:t>also</w:t>
      </w:r>
      <w:r w:rsidR="00B5046B" w:rsidRPr="001E317B">
        <w:rPr>
          <w:bCs/>
          <w:lang w:val="en-GB"/>
        </w:rPr>
        <w:t xml:space="preserve"> </w:t>
      </w:r>
      <w:r w:rsidR="009E0102" w:rsidRPr="001E317B">
        <w:rPr>
          <w:bCs/>
          <w:lang w:val="en-GB"/>
        </w:rPr>
        <w:t xml:space="preserve">wish to </w:t>
      </w:r>
      <w:r w:rsidR="001379C7" w:rsidRPr="001E317B">
        <w:rPr>
          <w:bCs/>
          <w:lang w:val="en-GB"/>
        </w:rPr>
        <w:t>request the</w:t>
      </w:r>
      <w:r w:rsidR="009E0102" w:rsidRPr="001E317B">
        <w:rPr>
          <w:bCs/>
          <w:lang w:val="en-GB"/>
        </w:rPr>
        <w:t xml:space="preserve"> </w:t>
      </w:r>
      <w:r w:rsidR="008C5788">
        <w:rPr>
          <w:bCs/>
          <w:lang w:val="en-GB"/>
        </w:rPr>
        <w:t xml:space="preserve">ad hoc </w:t>
      </w:r>
      <w:r w:rsidR="009E0102" w:rsidRPr="001E317B">
        <w:rPr>
          <w:bCs/>
          <w:lang w:val="en-GB"/>
        </w:rPr>
        <w:t>group</w:t>
      </w:r>
      <w:r w:rsidR="008C5788">
        <w:rPr>
          <w:bCs/>
          <w:lang w:val="en-GB"/>
        </w:rPr>
        <w:t xml:space="preserve"> of experts</w:t>
      </w:r>
      <w:r w:rsidR="001379C7" w:rsidRPr="001E317B">
        <w:rPr>
          <w:bCs/>
          <w:lang w:val="en-GB"/>
        </w:rPr>
        <w:t xml:space="preserve"> to continue its </w:t>
      </w:r>
      <w:r w:rsidR="001379C7" w:rsidRPr="005458D9">
        <w:rPr>
          <w:bCs/>
          <w:lang w:val="en-GB"/>
        </w:rPr>
        <w:t xml:space="preserve">work and review its recommendations, taking into account the </w:t>
      </w:r>
      <w:r w:rsidR="008C5788" w:rsidRPr="005458D9">
        <w:rPr>
          <w:bCs/>
          <w:lang w:val="en-GB"/>
        </w:rPr>
        <w:t xml:space="preserve">issues raised and the </w:t>
      </w:r>
      <w:r w:rsidR="001379C7" w:rsidRPr="005458D9">
        <w:rPr>
          <w:bCs/>
          <w:lang w:val="en-GB"/>
        </w:rPr>
        <w:t>guidance provided by th</w:t>
      </w:r>
      <w:r w:rsidR="008C5788" w:rsidRPr="005458D9">
        <w:rPr>
          <w:bCs/>
          <w:lang w:val="en-GB"/>
        </w:rPr>
        <w:t>e Conference of the Parties at its</w:t>
      </w:r>
      <w:r w:rsidR="001379C7" w:rsidRPr="005458D9">
        <w:rPr>
          <w:bCs/>
          <w:lang w:val="en-GB"/>
        </w:rPr>
        <w:t xml:space="preserve"> second meeting, and </w:t>
      </w:r>
      <w:r w:rsidR="00B5046B" w:rsidRPr="005458D9">
        <w:rPr>
          <w:bCs/>
          <w:lang w:val="en-GB"/>
        </w:rPr>
        <w:t xml:space="preserve">to </w:t>
      </w:r>
      <w:r w:rsidR="001379C7" w:rsidRPr="005458D9">
        <w:rPr>
          <w:bCs/>
          <w:lang w:val="en-GB"/>
        </w:rPr>
        <w:t>submit a report elaborating further on proposed</w:t>
      </w:r>
      <w:r w:rsidR="001379C7" w:rsidRPr="001E317B">
        <w:rPr>
          <w:bCs/>
          <w:lang w:val="en-GB"/>
        </w:rPr>
        <w:t xml:space="preserve"> arrangements </w:t>
      </w:r>
      <w:r w:rsidR="00815053">
        <w:rPr>
          <w:bCs/>
          <w:lang w:val="en-GB"/>
        </w:rPr>
        <w:t>regarding</w:t>
      </w:r>
      <w:r w:rsidR="001379C7" w:rsidRPr="001E317B">
        <w:rPr>
          <w:bCs/>
          <w:lang w:val="en-GB"/>
        </w:rPr>
        <w:t xml:space="preserve"> comparable monitoring data and elements of an effectiveness evaluation framework </w:t>
      </w:r>
      <w:r w:rsidR="009E0102" w:rsidRPr="001E317B">
        <w:rPr>
          <w:bCs/>
          <w:lang w:val="en-GB"/>
        </w:rPr>
        <w:t xml:space="preserve">for consideration </w:t>
      </w:r>
      <w:r w:rsidR="008C5788">
        <w:rPr>
          <w:bCs/>
          <w:lang w:val="en-GB"/>
        </w:rPr>
        <w:t xml:space="preserve">by the Conference of the Parties </w:t>
      </w:r>
      <w:r w:rsidR="001379C7" w:rsidRPr="001E317B">
        <w:rPr>
          <w:bCs/>
          <w:lang w:val="en-GB"/>
        </w:rPr>
        <w:t xml:space="preserve">at its third meeting. </w:t>
      </w:r>
    </w:p>
    <w:p w14:paraId="77DB5DF7" w14:textId="7C05E4A1" w:rsidR="003A1CBE" w:rsidRPr="001E317B" w:rsidRDefault="003A1CBE" w:rsidP="001F273D">
      <w:pPr>
        <w:pStyle w:val="CH3"/>
        <w:rPr>
          <w:lang w:val="en-GB"/>
        </w:rPr>
      </w:pPr>
      <w:r w:rsidRPr="001E317B">
        <w:rPr>
          <w:lang w:val="en-GB"/>
        </w:rPr>
        <w:tab/>
        <w:t>(j)</w:t>
      </w:r>
      <w:r w:rsidRPr="001E317B">
        <w:rPr>
          <w:lang w:val="en-GB"/>
        </w:rPr>
        <w:tab/>
      </w:r>
      <w:r w:rsidR="001F273D" w:rsidRPr="001E317B">
        <w:rPr>
          <w:lang w:val="en-GB"/>
        </w:rPr>
        <w:t>Financial rules</w:t>
      </w:r>
    </w:p>
    <w:p w14:paraId="22085057" w14:textId="411FF188" w:rsidR="008C3CC8" w:rsidRPr="001E317B" w:rsidRDefault="00075A53" w:rsidP="00BE1FA2">
      <w:pPr>
        <w:pStyle w:val="Normalnumber"/>
        <w:keepNext/>
        <w:numPr>
          <w:ilvl w:val="0"/>
          <w:numId w:val="14"/>
        </w:numPr>
        <w:tabs>
          <w:tab w:val="clear" w:pos="624"/>
          <w:tab w:val="left" w:pos="1247"/>
          <w:tab w:val="left" w:pos="1814"/>
          <w:tab w:val="left" w:pos="2381"/>
          <w:tab w:val="left" w:pos="2948"/>
          <w:tab w:val="left" w:pos="3515"/>
          <w:tab w:val="left" w:pos="4082"/>
        </w:tabs>
        <w:rPr>
          <w:bCs/>
          <w:lang w:val="en-GB"/>
        </w:rPr>
      </w:pPr>
      <w:r w:rsidRPr="001E317B">
        <w:rPr>
          <w:lang w:val="en-GB"/>
        </w:rPr>
        <w:t>At its first meeting,</w:t>
      </w:r>
      <w:r w:rsidR="005458D9" w:rsidRPr="005458D9">
        <w:rPr>
          <w:bCs/>
          <w:lang w:val="en-GB"/>
        </w:rPr>
        <w:t xml:space="preserve"> </w:t>
      </w:r>
      <w:r w:rsidR="005458D9">
        <w:rPr>
          <w:bCs/>
          <w:lang w:val="en-GB"/>
        </w:rPr>
        <w:t>in its decision MC-1/</w:t>
      </w:r>
      <w:r w:rsidR="005458D9" w:rsidRPr="00421201">
        <w:rPr>
          <w:bCs/>
          <w:lang w:val="en-GB"/>
        </w:rPr>
        <w:t>10,</w:t>
      </w:r>
      <w:r w:rsidRPr="001E317B">
        <w:rPr>
          <w:lang w:val="en-GB"/>
        </w:rPr>
        <w:t xml:space="preserve"> the Conference </w:t>
      </w:r>
      <w:r w:rsidR="008C5788">
        <w:rPr>
          <w:lang w:val="en-GB"/>
        </w:rPr>
        <w:t xml:space="preserve">of the Parties </w:t>
      </w:r>
      <w:r w:rsidRPr="001E317B">
        <w:rPr>
          <w:lang w:val="en-GB"/>
        </w:rPr>
        <w:t>adopted financial rules for it</w:t>
      </w:r>
      <w:r w:rsidR="002D0824" w:rsidRPr="001E317B">
        <w:rPr>
          <w:lang w:val="en-GB"/>
        </w:rPr>
        <w:t>self</w:t>
      </w:r>
      <w:r w:rsidRPr="001E317B">
        <w:rPr>
          <w:lang w:val="en-GB"/>
        </w:rPr>
        <w:t xml:space="preserve"> and any subsidiary bodies</w:t>
      </w:r>
      <w:r w:rsidR="00815053">
        <w:rPr>
          <w:lang w:val="en-GB"/>
        </w:rPr>
        <w:t xml:space="preserve"> it might establish</w:t>
      </w:r>
      <w:r w:rsidRPr="001E317B">
        <w:rPr>
          <w:lang w:val="en-GB"/>
        </w:rPr>
        <w:t>, as well as financial provisions governing the functioning of the secretariat</w:t>
      </w:r>
      <w:r w:rsidR="001F5069" w:rsidRPr="001E317B">
        <w:rPr>
          <w:lang w:val="en-GB"/>
        </w:rPr>
        <w:t>.</w:t>
      </w:r>
      <w:r w:rsidR="008C5788">
        <w:rPr>
          <w:lang w:val="en-GB"/>
        </w:rPr>
        <w:t xml:space="preserve"> Bracketed t</w:t>
      </w:r>
      <w:r w:rsidR="008C3CC8" w:rsidRPr="001E317B">
        <w:rPr>
          <w:lang w:val="en-GB"/>
        </w:rPr>
        <w:t>ext</w:t>
      </w:r>
      <w:r w:rsidR="001F5069" w:rsidRPr="001E317B">
        <w:rPr>
          <w:lang w:val="en-GB"/>
        </w:rPr>
        <w:t xml:space="preserve"> remain</w:t>
      </w:r>
      <w:r w:rsidR="00594F2C" w:rsidRPr="001E317B">
        <w:rPr>
          <w:lang w:val="en-GB"/>
        </w:rPr>
        <w:t xml:space="preserve">ed </w:t>
      </w:r>
      <w:r w:rsidR="008C3CC8" w:rsidRPr="001E317B">
        <w:rPr>
          <w:lang w:val="en-GB"/>
        </w:rPr>
        <w:t xml:space="preserve">in </w:t>
      </w:r>
      <w:r w:rsidRPr="001E317B">
        <w:rPr>
          <w:bCs/>
          <w:lang w:val="en-GB"/>
        </w:rPr>
        <w:t xml:space="preserve">paragraph 3 (e) of rule 5 of the financial rules, and </w:t>
      </w:r>
      <w:r w:rsidR="00594F2C" w:rsidRPr="001E317B">
        <w:rPr>
          <w:bCs/>
          <w:lang w:val="en-GB"/>
        </w:rPr>
        <w:t>in</w:t>
      </w:r>
      <w:r w:rsidRPr="001E317B">
        <w:rPr>
          <w:bCs/>
          <w:lang w:val="en-GB"/>
        </w:rPr>
        <w:t xml:space="preserve"> paragraphs 2 and 5 of the annex to the financial rules</w:t>
      </w:r>
      <w:r w:rsidR="0017550C" w:rsidRPr="001E317B">
        <w:rPr>
          <w:lang w:val="en-GB"/>
        </w:rPr>
        <w:t xml:space="preserve">. </w:t>
      </w:r>
      <w:r w:rsidR="008C3CC8" w:rsidRPr="001E317B">
        <w:rPr>
          <w:color w:val="000000" w:themeColor="text1"/>
          <w:lang w:val="en-GB"/>
        </w:rPr>
        <w:t xml:space="preserve">The Conference </w:t>
      </w:r>
      <w:r w:rsidR="00065667">
        <w:rPr>
          <w:color w:val="000000" w:themeColor="text1"/>
          <w:lang w:val="en-GB"/>
        </w:rPr>
        <w:t xml:space="preserve">of the Parties </w:t>
      </w:r>
      <w:r w:rsidR="008C3CC8" w:rsidRPr="001E317B">
        <w:rPr>
          <w:color w:val="000000" w:themeColor="text1"/>
          <w:lang w:val="en-GB"/>
        </w:rPr>
        <w:t xml:space="preserve">may </w:t>
      </w:r>
      <w:r w:rsidR="008C3CC8" w:rsidRPr="001E317B">
        <w:rPr>
          <w:bCs/>
          <w:lang w:val="en-GB"/>
        </w:rPr>
        <w:t>wish to consider the</w:t>
      </w:r>
      <w:r w:rsidR="008C5788">
        <w:rPr>
          <w:bCs/>
          <w:lang w:val="en-GB"/>
        </w:rPr>
        <w:t xml:space="preserve"> bracketed text</w:t>
      </w:r>
      <w:r w:rsidR="008C3CC8" w:rsidRPr="001E317B">
        <w:rPr>
          <w:bCs/>
          <w:lang w:val="en-GB"/>
        </w:rPr>
        <w:t xml:space="preserve"> </w:t>
      </w:r>
      <w:r w:rsidR="008C5788">
        <w:rPr>
          <w:color w:val="000000" w:themeColor="text1"/>
          <w:lang w:val="en-GB"/>
        </w:rPr>
        <w:t>(</w:t>
      </w:r>
      <w:r w:rsidR="008C3CC8" w:rsidRPr="001E317B">
        <w:rPr>
          <w:color w:val="000000" w:themeColor="text1"/>
          <w:lang w:val="en-GB"/>
        </w:rPr>
        <w:t>UNEP/MC/COP.2/14</w:t>
      </w:r>
      <w:r w:rsidR="008C5788">
        <w:rPr>
          <w:color w:val="000000" w:themeColor="text1"/>
          <w:lang w:val="en-GB"/>
        </w:rPr>
        <w:t>, annex)</w:t>
      </w:r>
      <w:r w:rsidR="002D0824" w:rsidRPr="001E317B">
        <w:rPr>
          <w:color w:val="000000" w:themeColor="text1"/>
          <w:lang w:val="en-GB"/>
        </w:rPr>
        <w:t xml:space="preserve"> </w:t>
      </w:r>
      <w:r w:rsidR="002D0824" w:rsidRPr="001E317B">
        <w:rPr>
          <w:bCs/>
          <w:lang w:val="en-GB"/>
        </w:rPr>
        <w:t>with a view to adopting final text</w:t>
      </w:r>
      <w:r w:rsidR="002D0824" w:rsidRPr="001E317B">
        <w:rPr>
          <w:color w:val="000000" w:themeColor="text1"/>
          <w:lang w:val="en-GB"/>
        </w:rPr>
        <w:t>.</w:t>
      </w:r>
    </w:p>
    <w:p w14:paraId="733CB45E" w14:textId="28791407" w:rsidR="003A1CBE" w:rsidRPr="001E317B" w:rsidRDefault="003A1CBE" w:rsidP="001F273D">
      <w:pPr>
        <w:pStyle w:val="CH3"/>
        <w:rPr>
          <w:lang w:val="en-GB"/>
        </w:rPr>
      </w:pPr>
      <w:r w:rsidRPr="001E317B">
        <w:rPr>
          <w:lang w:val="en-GB"/>
        </w:rPr>
        <w:tab/>
        <w:t>(k)</w:t>
      </w:r>
      <w:r w:rsidRPr="001E317B">
        <w:rPr>
          <w:lang w:val="en-GB"/>
        </w:rPr>
        <w:tab/>
      </w:r>
      <w:r w:rsidR="001F273D" w:rsidRPr="001E317B">
        <w:rPr>
          <w:lang w:val="en-GB"/>
        </w:rPr>
        <w:t>Secretariat</w:t>
      </w:r>
    </w:p>
    <w:p w14:paraId="505D42B7" w14:textId="1EFCFAD1" w:rsidR="00A007DD" w:rsidRPr="001E317B" w:rsidRDefault="00A007DD" w:rsidP="009D171F">
      <w:pPr>
        <w:pStyle w:val="Normalnumber"/>
        <w:rPr>
          <w:lang w:val="en-GB"/>
        </w:rPr>
      </w:pPr>
      <w:r w:rsidRPr="001E317B">
        <w:rPr>
          <w:bCs/>
          <w:lang w:val="en-GB"/>
        </w:rPr>
        <w:t xml:space="preserve">At its first meeting, </w:t>
      </w:r>
      <w:r w:rsidR="009B2FE3">
        <w:rPr>
          <w:bCs/>
          <w:lang w:val="en-GB"/>
        </w:rPr>
        <w:t xml:space="preserve">in its decision MC-1/11, </w:t>
      </w:r>
      <w:r w:rsidRPr="001E317B">
        <w:rPr>
          <w:bCs/>
          <w:lang w:val="en-GB"/>
        </w:rPr>
        <w:t xml:space="preserve">the Conference </w:t>
      </w:r>
      <w:r w:rsidR="009B2FE3">
        <w:rPr>
          <w:bCs/>
          <w:lang w:val="en-GB"/>
        </w:rPr>
        <w:t xml:space="preserve">of the Parties </w:t>
      </w:r>
      <w:r w:rsidRPr="001E317B">
        <w:rPr>
          <w:bCs/>
          <w:lang w:val="en-GB"/>
        </w:rPr>
        <w:t xml:space="preserve">requested the Executive Director of </w:t>
      </w:r>
      <w:r w:rsidR="00815053">
        <w:rPr>
          <w:bCs/>
          <w:lang w:val="en-GB"/>
        </w:rPr>
        <w:t>UNEP</w:t>
      </w:r>
      <w:r w:rsidRPr="00F12856">
        <w:rPr>
          <w:bCs/>
          <w:lang w:val="en-GB"/>
        </w:rPr>
        <w:t xml:space="preserve"> to perform the secretariat functions </w:t>
      </w:r>
      <w:r w:rsidR="009B2FE3" w:rsidRPr="009B2FE3">
        <w:rPr>
          <w:bCs/>
          <w:lang w:val="en-GB"/>
        </w:rPr>
        <w:t xml:space="preserve">for the Minamata Convention </w:t>
      </w:r>
      <w:r w:rsidRPr="009B2FE3">
        <w:rPr>
          <w:bCs/>
          <w:lang w:val="en-GB"/>
        </w:rPr>
        <w:t xml:space="preserve">initially through a secretariat of the Convention located in Geneva; decided to review the organizational arrangements, including </w:t>
      </w:r>
      <w:r w:rsidR="00815053">
        <w:rPr>
          <w:bCs/>
          <w:lang w:val="en-GB"/>
        </w:rPr>
        <w:t xml:space="preserve">the </w:t>
      </w:r>
      <w:r w:rsidRPr="009B2FE3">
        <w:rPr>
          <w:bCs/>
          <w:lang w:val="en-GB"/>
        </w:rPr>
        <w:t>location and the host country contribution</w:t>
      </w:r>
      <w:r w:rsidR="009B2FE3" w:rsidRPr="009B2FE3">
        <w:rPr>
          <w:bCs/>
          <w:lang w:val="en-GB"/>
        </w:rPr>
        <w:t>,</w:t>
      </w:r>
      <w:r w:rsidRPr="009B2FE3">
        <w:rPr>
          <w:bCs/>
          <w:lang w:val="en-GB"/>
        </w:rPr>
        <w:t xml:space="preserve"> at its second meeting, in accordance with the spirit of the offer </w:t>
      </w:r>
      <w:r w:rsidR="00DE516C">
        <w:rPr>
          <w:bCs/>
          <w:lang w:val="en-GB"/>
        </w:rPr>
        <w:t>by</w:t>
      </w:r>
      <w:r w:rsidRPr="009B2FE3">
        <w:rPr>
          <w:bCs/>
          <w:lang w:val="en-GB"/>
        </w:rPr>
        <w:t xml:space="preserve"> the Government of Switzerland to host the permanent secretariat; and requested that, in the interim, the secretariat continue to cooperate and coordinate, as appropriate, with other relevant actors, including the </w:t>
      </w:r>
      <w:r w:rsidR="00B134B6">
        <w:rPr>
          <w:bCs/>
          <w:lang w:val="en-GB"/>
        </w:rPr>
        <w:t>s</w:t>
      </w:r>
      <w:r w:rsidR="009B2FE3" w:rsidRPr="009B2FE3">
        <w:rPr>
          <w:bCs/>
          <w:lang w:val="en-GB"/>
        </w:rPr>
        <w:t xml:space="preserve">ecretariat of the </w:t>
      </w:r>
      <w:r w:rsidRPr="009B2FE3">
        <w:rPr>
          <w:bCs/>
          <w:lang w:val="en-GB"/>
        </w:rPr>
        <w:t xml:space="preserve">Basel, Rotterdam and Stockholm </w:t>
      </w:r>
      <w:r w:rsidR="009B2FE3" w:rsidRPr="009B2FE3">
        <w:rPr>
          <w:bCs/>
          <w:lang w:val="en-GB"/>
        </w:rPr>
        <w:t>Conventions</w:t>
      </w:r>
      <w:r w:rsidRPr="00F12856">
        <w:rPr>
          <w:rStyle w:val="Appelnotedebasdep"/>
          <w:bCs/>
          <w:lang w:val="en-GB"/>
        </w:rPr>
        <w:footnoteReference w:id="2"/>
      </w:r>
      <w:r w:rsidRPr="00F12856">
        <w:rPr>
          <w:bCs/>
          <w:lang w:val="en-GB"/>
        </w:rPr>
        <w:t xml:space="preserve"> and the relevant units of </w:t>
      </w:r>
      <w:r w:rsidR="00815053">
        <w:rPr>
          <w:bCs/>
          <w:lang w:val="en-GB"/>
        </w:rPr>
        <w:t>UNEP</w:t>
      </w:r>
      <w:r w:rsidR="009B2FE3">
        <w:rPr>
          <w:bCs/>
          <w:lang w:val="en-GB"/>
        </w:rPr>
        <w:t>,</w:t>
      </w:r>
      <w:r w:rsidRPr="00F12856">
        <w:rPr>
          <w:bCs/>
          <w:lang w:val="en-GB"/>
        </w:rPr>
        <w:t xml:space="preserve"> in order to make full use of relevant experience and expertise</w:t>
      </w:r>
      <w:r w:rsidRPr="001E317B">
        <w:rPr>
          <w:bCs/>
          <w:lang w:val="en-GB"/>
        </w:rPr>
        <w:t xml:space="preserve">. </w:t>
      </w:r>
    </w:p>
    <w:p w14:paraId="6E8C3436" w14:textId="05442040" w:rsidR="00A007DD" w:rsidRPr="005458D9" w:rsidRDefault="00A007DD" w:rsidP="001809EA">
      <w:pPr>
        <w:pStyle w:val="Normalnumber"/>
        <w:rPr>
          <w:lang w:val="en-GB"/>
        </w:rPr>
      </w:pPr>
      <w:r w:rsidRPr="001E317B">
        <w:rPr>
          <w:lang w:val="en-GB"/>
        </w:rPr>
        <w:t xml:space="preserve">The Conference </w:t>
      </w:r>
      <w:r w:rsidR="009B2FE3">
        <w:rPr>
          <w:lang w:val="en-GB"/>
        </w:rPr>
        <w:t xml:space="preserve">of the Parties </w:t>
      </w:r>
      <w:r w:rsidRPr="001E317B">
        <w:rPr>
          <w:lang w:val="en-GB"/>
        </w:rPr>
        <w:t>has before it a note by the secretariat on the review of the organizational arrangements of the secretariat (UNEP/MC/COP.2/15</w:t>
      </w:r>
      <w:r w:rsidR="009B2FE3">
        <w:rPr>
          <w:lang w:val="en-GB"/>
        </w:rPr>
        <w:t>/Rev.1</w:t>
      </w:r>
      <w:r w:rsidRPr="001E317B">
        <w:rPr>
          <w:lang w:val="en-GB"/>
        </w:rPr>
        <w:t xml:space="preserve">), </w:t>
      </w:r>
      <w:r w:rsidR="009B2FE3">
        <w:rPr>
          <w:lang w:val="en-GB"/>
        </w:rPr>
        <w:t xml:space="preserve">and the addendum thereto setting out in its annex </w:t>
      </w:r>
      <w:r w:rsidR="00647448" w:rsidRPr="001E317B">
        <w:rPr>
          <w:lang w:val="en-GB"/>
        </w:rPr>
        <w:t>a</w:t>
      </w:r>
      <w:r w:rsidR="00FD7E2F" w:rsidRPr="001E317B">
        <w:rPr>
          <w:lang w:val="en-GB"/>
        </w:rPr>
        <w:t xml:space="preserve"> draft decision proposed by the Bureau reflecting </w:t>
      </w:r>
      <w:r w:rsidR="009B2FE3">
        <w:rPr>
          <w:lang w:val="en-GB"/>
        </w:rPr>
        <w:t xml:space="preserve">the </w:t>
      </w:r>
      <w:r w:rsidR="00FD7E2F" w:rsidRPr="001E317B">
        <w:rPr>
          <w:lang w:val="en-GB"/>
        </w:rPr>
        <w:t>agreement</w:t>
      </w:r>
      <w:r w:rsidR="009B2FE3">
        <w:rPr>
          <w:lang w:val="en-GB"/>
        </w:rPr>
        <w:t xml:space="preserve"> reached</w:t>
      </w:r>
      <w:r w:rsidR="00FD7E2F" w:rsidRPr="001E317B">
        <w:rPr>
          <w:lang w:val="en-GB"/>
        </w:rPr>
        <w:t xml:space="preserve"> by the Conference</w:t>
      </w:r>
      <w:r w:rsidR="009B2FE3">
        <w:rPr>
          <w:lang w:val="en-GB"/>
        </w:rPr>
        <w:t xml:space="preserve"> of the Parties</w:t>
      </w:r>
      <w:r w:rsidR="00FD7E2F" w:rsidRPr="001E317B">
        <w:rPr>
          <w:lang w:val="en-GB"/>
        </w:rPr>
        <w:t xml:space="preserve"> at its first meeting </w:t>
      </w:r>
      <w:bookmarkStart w:id="3" w:name="_Hlk526643952"/>
      <w:r w:rsidR="009B2FE3">
        <w:rPr>
          <w:lang w:val="en-GB"/>
        </w:rPr>
        <w:t>on</w:t>
      </w:r>
      <w:r w:rsidR="00FD7E2F" w:rsidRPr="001E317B">
        <w:rPr>
          <w:lang w:val="en-GB"/>
        </w:rPr>
        <w:t xml:space="preserve"> elements of the secretariat arrangements</w:t>
      </w:r>
      <w:bookmarkEnd w:id="3"/>
      <w:r w:rsidR="00FD7E2F" w:rsidRPr="0055005F">
        <w:rPr>
          <w:lang w:val="en-GB"/>
        </w:rPr>
        <w:t xml:space="preserve"> </w:t>
      </w:r>
      <w:r w:rsidR="00647448" w:rsidRPr="0055005F">
        <w:rPr>
          <w:lang w:val="en-GB"/>
        </w:rPr>
        <w:t>(UNEP/MC/COP.2/15/Add.1)</w:t>
      </w:r>
      <w:r w:rsidR="009B2FE3" w:rsidRPr="0055005F">
        <w:rPr>
          <w:lang w:val="en-GB"/>
        </w:rPr>
        <w:t>. The Conference of the Parties also has before it</w:t>
      </w:r>
      <w:r w:rsidR="00647448" w:rsidRPr="0055005F">
        <w:rPr>
          <w:lang w:val="en-GB"/>
        </w:rPr>
        <w:t xml:space="preserve"> </w:t>
      </w:r>
      <w:r w:rsidRPr="0055005F">
        <w:rPr>
          <w:bCs/>
          <w:lang w:val="en-GB"/>
        </w:rPr>
        <w:t xml:space="preserve">a letter from the then </w:t>
      </w:r>
      <w:r w:rsidR="00E65AA7">
        <w:rPr>
          <w:bCs/>
          <w:lang w:val="en-GB"/>
        </w:rPr>
        <w:t>p</w:t>
      </w:r>
      <w:r w:rsidRPr="0055005F">
        <w:rPr>
          <w:bCs/>
          <w:lang w:val="en-GB"/>
        </w:rPr>
        <w:t xml:space="preserve">resident of Switzerland, Ms. Doris Leuthard, confirming the content of the offer from the Government of Switzerland </w:t>
      </w:r>
      <w:r w:rsidRPr="0055005F">
        <w:rPr>
          <w:lang w:val="en-GB"/>
        </w:rPr>
        <w:t>(UNEP/MC/COP.2/INF/4</w:t>
      </w:r>
      <w:r w:rsidR="009B2FE3" w:rsidRPr="0055005F">
        <w:rPr>
          <w:lang w:val="en-GB"/>
        </w:rPr>
        <w:t>, annex</w:t>
      </w:r>
      <w:r w:rsidRPr="0055005F">
        <w:rPr>
          <w:lang w:val="en-GB"/>
        </w:rPr>
        <w:t>)</w:t>
      </w:r>
      <w:r w:rsidR="006D5A01" w:rsidRPr="0055005F">
        <w:rPr>
          <w:lang w:val="en-GB"/>
        </w:rPr>
        <w:t xml:space="preserve">, a </w:t>
      </w:r>
      <w:r w:rsidR="0055005F" w:rsidRPr="0055005F">
        <w:rPr>
          <w:lang w:val="en-GB"/>
        </w:rPr>
        <w:t xml:space="preserve">progress report </w:t>
      </w:r>
      <w:r w:rsidR="006D5A01" w:rsidRPr="0055005F">
        <w:rPr>
          <w:lang w:val="en-GB"/>
        </w:rPr>
        <w:t>on the activities of the secretariat</w:t>
      </w:r>
      <w:r w:rsidR="0055005F" w:rsidRPr="0055005F">
        <w:rPr>
          <w:lang w:val="en-GB"/>
        </w:rPr>
        <w:t xml:space="preserve"> </w:t>
      </w:r>
      <w:r w:rsidR="00E65AA7">
        <w:rPr>
          <w:lang w:val="en-GB"/>
        </w:rPr>
        <w:t>during</w:t>
      </w:r>
      <w:r w:rsidR="0055005F" w:rsidRPr="0055005F">
        <w:rPr>
          <w:lang w:val="en-GB"/>
        </w:rPr>
        <w:t xml:space="preserve"> the intersessional period (</w:t>
      </w:r>
      <w:r w:rsidR="0055005F" w:rsidRPr="00FA01F2">
        <w:rPr>
          <w:lang w:val="en-GB"/>
        </w:rPr>
        <w:t>UNEP/MC/COP.2/17</w:t>
      </w:r>
      <w:r w:rsidR="0055005F" w:rsidRPr="00F12856">
        <w:rPr>
          <w:lang w:val="en-GB"/>
        </w:rPr>
        <w:t>)</w:t>
      </w:r>
      <w:r w:rsidR="006D5A01" w:rsidRPr="00F12856">
        <w:rPr>
          <w:lang w:val="en-GB"/>
        </w:rPr>
        <w:t xml:space="preserve">, which includes information </w:t>
      </w:r>
      <w:r w:rsidR="006D5A01" w:rsidRPr="0055005F">
        <w:rPr>
          <w:bCs/>
          <w:lang w:val="en-GB"/>
        </w:rPr>
        <w:t xml:space="preserve">on cooperation and collaboration </w:t>
      </w:r>
      <w:r w:rsidR="0055005F" w:rsidRPr="0055005F">
        <w:rPr>
          <w:bCs/>
          <w:lang w:val="en-GB"/>
        </w:rPr>
        <w:t xml:space="preserve">between </w:t>
      </w:r>
      <w:r w:rsidR="006D5A01" w:rsidRPr="0055005F">
        <w:rPr>
          <w:bCs/>
          <w:lang w:val="en-GB"/>
        </w:rPr>
        <w:t>the</w:t>
      </w:r>
      <w:r w:rsidR="0055005F" w:rsidRPr="0055005F">
        <w:rPr>
          <w:bCs/>
          <w:lang w:val="en-GB"/>
        </w:rPr>
        <w:t xml:space="preserve"> </w:t>
      </w:r>
      <w:r w:rsidR="00A407DA">
        <w:rPr>
          <w:bCs/>
          <w:lang w:val="en-GB"/>
        </w:rPr>
        <w:t>s</w:t>
      </w:r>
      <w:r w:rsidR="00A407DA" w:rsidRPr="0055005F">
        <w:rPr>
          <w:bCs/>
          <w:lang w:val="en-GB"/>
        </w:rPr>
        <w:t xml:space="preserve">ecretariat </w:t>
      </w:r>
      <w:r w:rsidR="0055005F" w:rsidRPr="0055005F">
        <w:rPr>
          <w:bCs/>
          <w:lang w:val="en-GB"/>
        </w:rPr>
        <w:t>of the</w:t>
      </w:r>
      <w:r w:rsidR="006D5A01" w:rsidRPr="0055005F">
        <w:rPr>
          <w:bCs/>
          <w:lang w:val="en-GB"/>
        </w:rPr>
        <w:t xml:space="preserve"> </w:t>
      </w:r>
      <w:r w:rsidR="0055005F" w:rsidRPr="0055005F">
        <w:rPr>
          <w:bCs/>
          <w:lang w:val="en-GB"/>
        </w:rPr>
        <w:t>Basel,</w:t>
      </w:r>
      <w:r w:rsidR="0055005F">
        <w:rPr>
          <w:bCs/>
          <w:lang w:val="en-GB"/>
        </w:rPr>
        <w:t xml:space="preserve"> Rotterdam and Stockholm Conventions and the Minamata Convention </w:t>
      </w:r>
      <w:r w:rsidR="006D5A01" w:rsidRPr="00DE516C">
        <w:rPr>
          <w:bCs/>
          <w:lang w:val="en-GB"/>
        </w:rPr>
        <w:t>secretariat</w:t>
      </w:r>
      <w:r w:rsidR="0055005F" w:rsidRPr="00DE516C">
        <w:rPr>
          <w:bCs/>
          <w:lang w:val="en-GB"/>
        </w:rPr>
        <w:t>;</w:t>
      </w:r>
      <w:r w:rsidR="006D5A01" w:rsidRPr="00DE516C">
        <w:rPr>
          <w:bCs/>
          <w:lang w:val="en-GB"/>
        </w:rPr>
        <w:t xml:space="preserve"> </w:t>
      </w:r>
      <w:r w:rsidR="006D5A01" w:rsidRPr="00DE516C">
        <w:rPr>
          <w:lang w:val="en-GB"/>
        </w:rPr>
        <w:t xml:space="preserve">information requested by the Bureau </w:t>
      </w:r>
      <w:r w:rsidR="006D5A01" w:rsidRPr="00DE516C">
        <w:rPr>
          <w:bCs/>
          <w:lang w:val="en-GB"/>
        </w:rPr>
        <w:t xml:space="preserve">on the </w:t>
      </w:r>
      <w:r w:rsidR="00594F2C" w:rsidRPr="00DE516C">
        <w:rPr>
          <w:bCs/>
          <w:lang w:val="en-GB"/>
        </w:rPr>
        <w:t>various</w:t>
      </w:r>
      <w:r w:rsidR="006D5A01" w:rsidRPr="00DE516C">
        <w:rPr>
          <w:bCs/>
          <w:lang w:val="en-GB"/>
        </w:rPr>
        <w:t xml:space="preserve"> services provided by the secretariat, how different services could be purchased from </w:t>
      </w:r>
      <w:r w:rsidR="00594F2C" w:rsidRPr="00DE516C">
        <w:rPr>
          <w:bCs/>
          <w:lang w:val="en-GB"/>
        </w:rPr>
        <w:t xml:space="preserve">or shared with </w:t>
      </w:r>
      <w:r w:rsidR="006D5A01" w:rsidRPr="00DE516C">
        <w:rPr>
          <w:bCs/>
          <w:lang w:val="en-GB"/>
        </w:rPr>
        <w:t xml:space="preserve">the </w:t>
      </w:r>
      <w:r w:rsidR="00A407DA">
        <w:rPr>
          <w:bCs/>
          <w:lang w:val="en-GB"/>
        </w:rPr>
        <w:t>s</w:t>
      </w:r>
      <w:r w:rsidR="00A407DA" w:rsidRPr="00DE516C">
        <w:rPr>
          <w:bCs/>
          <w:lang w:val="en-GB"/>
        </w:rPr>
        <w:t xml:space="preserve">ecretariat </w:t>
      </w:r>
      <w:r w:rsidR="006D5A01" w:rsidRPr="00DE516C">
        <w:rPr>
          <w:bCs/>
          <w:lang w:val="en-GB"/>
        </w:rPr>
        <w:t xml:space="preserve">of the Basel, Rotterdam and Stockholm </w:t>
      </w:r>
      <w:r w:rsidR="00A407DA">
        <w:rPr>
          <w:bCs/>
          <w:lang w:val="en-GB"/>
        </w:rPr>
        <w:t>C</w:t>
      </w:r>
      <w:r w:rsidR="00A407DA" w:rsidRPr="00DE516C">
        <w:rPr>
          <w:bCs/>
          <w:lang w:val="en-GB"/>
        </w:rPr>
        <w:t>onventions</w:t>
      </w:r>
      <w:r w:rsidR="006D5A01" w:rsidRPr="00DE516C">
        <w:rPr>
          <w:bCs/>
          <w:lang w:val="en-GB"/>
        </w:rPr>
        <w:t xml:space="preserve">, and how such purchases would </w:t>
      </w:r>
      <w:r w:rsidR="0055005F" w:rsidRPr="00DE516C">
        <w:rPr>
          <w:bCs/>
          <w:lang w:val="en-GB"/>
        </w:rPr>
        <w:t xml:space="preserve">affect </w:t>
      </w:r>
      <w:r w:rsidR="006D5A01" w:rsidRPr="00DE516C">
        <w:rPr>
          <w:bCs/>
          <w:lang w:val="en-GB"/>
        </w:rPr>
        <w:t xml:space="preserve">the budget of the Minamata Convention </w:t>
      </w:r>
      <w:r w:rsidR="006D5A01" w:rsidRPr="00DE516C">
        <w:rPr>
          <w:lang w:val="en-GB"/>
        </w:rPr>
        <w:t>(UNEP/MC/COP.2/</w:t>
      </w:r>
      <w:r w:rsidR="00BD6705" w:rsidRPr="00DE516C">
        <w:rPr>
          <w:lang w:val="en-GB"/>
        </w:rPr>
        <w:t>INF/7</w:t>
      </w:r>
      <w:r w:rsidR="006D5A01" w:rsidRPr="00DE516C">
        <w:rPr>
          <w:lang w:val="en-GB"/>
        </w:rPr>
        <w:t>)</w:t>
      </w:r>
      <w:r w:rsidR="00555354" w:rsidRPr="00DE516C">
        <w:rPr>
          <w:lang w:val="en-GB"/>
        </w:rPr>
        <w:t xml:space="preserve">, and a report by the secretariat of the Basel, Rotterdam and Stockholm </w:t>
      </w:r>
      <w:r w:rsidR="00F25D28">
        <w:rPr>
          <w:lang w:val="en-GB"/>
        </w:rPr>
        <w:t>C</w:t>
      </w:r>
      <w:r w:rsidR="00F25D28" w:rsidRPr="00DE516C">
        <w:rPr>
          <w:lang w:val="en-GB"/>
        </w:rPr>
        <w:t xml:space="preserve">onventions </w:t>
      </w:r>
      <w:r w:rsidR="00555354" w:rsidRPr="00DE516C">
        <w:rPr>
          <w:lang w:val="en-GB"/>
        </w:rPr>
        <w:t>on cooperative activities with the secretariat of the Minamata Convention in areas of mutual interest (UNEP/MC/COP.2/INF/11)</w:t>
      </w:r>
      <w:r w:rsidR="006D5A01" w:rsidRPr="00DE516C">
        <w:rPr>
          <w:bCs/>
          <w:lang w:val="en-GB"/>
        </w:rPr>
        <w:t>.</w:t>
      </w:r>
      <w:r w:rsidR="00BE5D37" w:rsidRPr="001E317B">
        <w:rPr>
          <w:bCs/>
          <w:lang w:val="en-GB"/>
        </w:rPr>
        <w:t xml:space="preserve"> </w:t>
      </w:r>
      <w:r w:rsidR="00647448" w:rsidRPr="001E317B">
        <w:rPr>
          <w:bCs/>
          <w:lang w:val="en-GB"/>
        </w:rPr>
        <w:t xml:space="preserve">The Conference </w:t>
      </w:r>
      <w:r w:rsidR="0055005F">
        <w:rPr>
          <w:bCs/>
          <w:lang w:val="en-GB"/>
        </w:rPr>
        <w:t xml:space="preserve">of the Parties </w:t>
      </w:r>
      <w:r w:rsidR="00647448" w:rsidRPr="001E317B">
        <w:rPr>
          <w:bCs/>
          <w:lang w:val="en-GB"/>
        </w:rPr>
        <w:t xml:space="preserve">may wish to take note of the information provided </w:t>
      </w:r>
      <w:r w:rsidR="00FD7E2F" w:rsidRPr="001E317B">
        <w:rPr>
          <w:bCs/>
          <w:lang w:val="en-GB"/>
        </w:rPr>
        <w:t xml:space="preserve">in the documents presented for its consideration. It may </w:t>
      </w:r>
      <w:r w:rsidR="0055005F">
        <w:rPr>
          <w:bCs/>
          <w:lang w:val="en-GB"/>
        </w:rPr>
        <w:t>also</w:t>
      </w:r>
      <w:r w:rsidR="0055005F" w:rsidRPr="001E317B">
        <w:rPr>
          <w:bCs/>
          <w:lang w:val="en-GB"/>
        </w:rPr>
        <w:t xml:space="preserve"> </w:t>
      </w:r>
      <w:r w:rsidR="00FD7E2F" w:rsidRPr="001E317B">
        <w:rPr>
          <w:bCs/>
          <w:lang w:val="en-GB"/>
        </w:rPr>
        <w:t xml:space="preserve">wish to adopt the </w:t>
      </w:r>
      <w:r w:rsidR="00FD7E2F" w:rsidRPr="001E317B">
        <w:rPr>
          <w:lang w:val="en-GB"/>
        </w:rPr>
        <w:t xml:space="preserve">draft decision on the three elements of the secretariat arrangements, </w:t>
      </w:r>
      <w:r w:rsidR="00FD7E2F" w:rsidRPr="001E317B">
        <w:rPr>
          <w:bCs/>
          <w:lang w:val="en-GB"/>
        </w:rPr>
        <w:t>as proposed by the Bureau, and establish a contact group to consider the details of th</w:t>
      </w:r>
      <w:r w:rsidR="0055005F">
        <w:rPr>
          <w:bCs/>
          <w:lang w:val="en-GB"/>
        </w:rPr>
        <w:t>o</w:t>
      </w:r>
      <w:r w:rsidR="00FD7E2F" w:rsidRPr="001E317B">
        <w:rPr>
          <w:bCs/>
          <w:lang w:val="en-GB"/>
        </w:rPr>
        <w:t xml:space="preserve">se arrangements and cooperation with the </w:t>
      </w:r>
      <w:r w:rsidR="00E65AA7">
        <w:rPr>
          <w:bCs/>
          <w:lang w:val="en-GB"/>
        </w:rPr>
        <w:t>s</w:t>
      </w:r>
      <w:r w:rsidR="0055005F">
        <w:rPr>
          <w:bCs/>
          <w:lang w:val="en-GB"/>
        </w:rPr>
        <w:t xml:space="preserve">ecretariat of the </w:t>
      </w:r>
      <w:r w:rsidR="00FD7E2F" w:rsidRPr="001E317B">
        <w:rPr>
          <w:bCs/>
          <w:lang w:val="en-GB"/>
        </w:rPr>
        <w:t>B</w:t>
      </w:r>
      <w:r w:rsidR="0055005F">
        <w:rPr>
          <w:bCs/>
          <w:lang w:val="en-GB"/>
        </w:rPr>
        <w:t xml:space="preserve">asel, </w:t>
      </w:r>
      <w:r w:rsidR="00FD7E2F" w:rsidRPr="005458D9">
        <w:rPr>
          <w:bCs/>
          <w:lang w:val="en-GB"/>
        </w:rPr>
        <w:t>R</w:t>
      </w:r>
      <w:r w:rsidR="0055005F" w:rsidRPr="00421201">
        <w:rPr>
          <w:bCs/>
          <w:lang w:val="en-GB"/>
        </w:rPr>
        <w:t xml:space="preserve">otterdam and </w:t>
      </w:r>
      <w:r w:rsidR="00FD7E2F" w:rsidRPr="00421201">
        <w:rPr>
          <w:bCs/>
          <w:lang w:val="en-GB"/>
        </w:rPr>
        <w:t>S</w:t>
      </w:r>
      <w:r w:rsidR="0055005F" w:rsidRPr="00421201">
        <w:rPr>
          <w:bCs/>
          <w:lang w:val="en-GB"/>
        </w:rPr>
        <w:t>tockholm Conventions</w:t>
      </w:r>
      <w:r w:rsidR="00FD7E2F" w:rsidRPr="005458D9">
        <w:rPr>
          <w:bCs/>
          <w:lang w:val="en-GB"/>
        </w:rPr>
        <w:t>.</w:t>
      </w:r>
    </w:p>
    <w:p w14:paraId="474E4101" w14:textId="0F067EA5" w:rsidR="003A1CBE" w:rsidRPr="001E317B" w:rsidRDefault="003A1CBE" w:rsidP="001F273D">
      <w:pPr>
        <w:pStyle w:val="CH3"/>
        <w:rPr>
          <w:lang w:val="en-GB"/>
        </w:rPr>
      </w:pPr>
      <w:r w:rsidRPr="001E317B">
        <w:rPr>
          <w:lang w:val="en-GB"/>
        </w:rPr>
        <w:tab/>
        <w:t>(l)</w:t>
      </w:r>
      <w:r w:rsidRPr="001E317B">
        <w:rPr>
          <w:lang w:val="en-GB"/>
        </w:rPr>
        <w:tab/>
      </w:r>
      <w:r w:rsidR="001F273D" w:rsidRPr="001E317B">
        <w:rPr>
          <w:lang w:val="en-GB"/>
        </w:rPr>
        <w:t>Emissions of mercury resulting from the open burning of waste</w:t>
      </w:r>
    </w:p>
    <w:p w14:paraId="260BFBB9" w14:textId="2195ED20" w:rsidR="009D171F" w:rsidRPr="001E317B" w:rsidRDefault="009B00FF" w:rsidP="00555354">
      <w:pPr>
        <w:pStyle w:val="Normalnumber"/>
        <w:tabs>
          <w:tab w:val="clear" w:pos="624"/>
          <w:tab w:val="left" w:pos="1247"/>
          <w:tab w:val="left" w:pos="1814"/>
          <w:tab w:val="left" w:pos="2381"/>
          <w:tab w:val="left" w:pos="2948"/>
          <w:tab w:val="left" w:pos="3515"/>
          <w:tab w:val="left" w:pos="4082"/>
        </w:tabs>
        <w:rPr>
          <w:lang w:val="en-GB"/>
        </w:rPr>
      </w:pPr>
      <w:r w:rsidRPr="001E317B">
        <w:rPr>
          <w:lang w:val="en-GB"/>
        </w:rPr>
        <w:t xml:space="preserve">At its </w:t>
      </w:r>
      <w:r w:rsidR="00FB1BFD" w:rsidRPr="001E317B">
        <w:rPr>
          <w:lang w:val="en-GB"/>
        </w:rPr>
        <w:t xml:space="preserve">first meeting, the Conference </w:t>
      </w:r>
      <w:r w:rsidR="0055005F">
        <w:rPr>
          <w:lang w:val="en-GB"/>
        </w:rPr>
        <w:t xml:space="preserve">of the Parties </w:t>
      </w:r>
      <w:r w:rsidR="00FB1BFD" w:rsidRPr="001E317B">
        <w:rPr>
          <w:lang w:val="en-GB"/>
        </w:rPr>
        <w:t>c</w:t>
      </w:r>
      <w:r w:rsidRPr="001E317B">
        <w:rPr>
          <w:lang w:val="en-GB"/>
        </w:rPr>
        <w:t>onsidered the issue of mercury emissions related to the open burning of waste</w:t>
      </w:r>
      <w:r w:rsidR="00765A19" w:rsidRPr="001E317B">
        <w:rPr>
          <w:lang w:val="en-GB"/>
        </w:rPr>
        <w:t xml:space="preserve"> and</w:t>
      </w:r>
      <w:r w:rsidR="0055005F">
        <w:rPr>
          <w:lang w:val="en-GB"/>
        </w:rPr>
        <w:t>,</w:t>
      </w:r>
      <w:r w:rsidR="0055005F" w:rsidRPr="0055005F">
        <w:rPr>
          <w:lang w:val="en-GB"/>
        </w:rPr>
        <w:t xml:space="preserve"> </w:t>
      </w:r>
      <w:r w:rsidR="0055005F">
        <w:rPr>
          <w:lang w:val="en-GB"/>
        </w:rPr>
        <w:t>in its decision MC-1/1</w:t>
      </w:r>
      <w:r w:rsidR="00024C02">
        <w:rPr>
          <w:lang w:val="en-GB"/>
        </w:rPr>
        <w:t>4</w:t>
      </w:r>
      <w:r w:rsidR="0055005F">
        <w:rPr>
          <w:lang w:val="en-GB"/>
        </w:rPr>
        <w:t xml:space="preserve">, </w:t>
      </w:r>
      <w:r w:rsidR="001219F2" w:rsidRPr="001E317B">
        <w:rPr>
          <w:lang w:val="en-GB"/>
        </w:rPr>
        <w:t xml:space="preserve">invited parties and other interested entities and organizations to submit </w:t>
      </w:r>
      <w:r w:rsidR="0055005F">
        <w:rPr>
          <w:lang w:val="en-GB"/>
        </w:rPr>
        <w:t xml:space="preserve">to the secretariat </w:t>
      </w:r>
      <w:r w:rsidR="001219F2" w:rsidRPr="001E317B">
        <w:rPr>
          <w:lang w:val="en-GB"/>
        </w:rPr>
        <w:t xml:space="preserve">information on </w:t>
      </w:r>
      <w:r w:rsidR="00765A19" w:rsidRPr="001E317B">
        <w:rPr>
          <w:lang w:val="en-GB"/>
        </w:rPr>
        <w:t>the matter</w:t>
      </w:r>
      <w:r w:rsidR="001219F2" w:rsidRPr="001E317B">
        <w:rPr>
          <w:lang w:val="en-GB"/>
        </w:rPr>
        <w:t xml:space="preserve">. It further requested the secretariat to continue to compile </w:t>
      </w:r>
      <w:r w:rsidR="001219F2" w:rsidRPr="008E2BEE">
        <w:rPr>
          <w:lang w:val="en-GB"/>
        </w:rPr>
        <w:t>information on</w:t>
      </w:r>
      <w:r w:rsidR="001219F2" w:rsidRPr="001E317B">
        <w:rPr>
          <w:lang w:val="en-GB"/>
        </w:rPr>
        <w:t xml:space="preserve"> the issue, particularly from developing countries and countries with economies in transition, including information from inventories and Minamata </w:t>
      </w:r>
      <w:r w:rsidR="00AD01D0">
        <w:rPr>
          <w:lang w:val="en-GB"/>
        </w:rPr>
        <w:t xml:space="preserve">Convention </w:t>
      </w:r>
      <w:r w:rsidR="001219F2" w:rsidRPr="001E317B">
        <w:rPr>
          <w:lang w:val="en-GB"/>
        </w:rPr>
        <w:t>initial assessments, emission factors and real measurements of emissions</w:t>
      </w:r>
      <w:r w:rsidR="008E2BEE">
        <w:rPr>
          <w:lang w:val="en-GB"/>
        </w:rPr>
        <w:t xml:space="preserve"> submitted by parties</w:t>
      </w:r>
      <w:r w:rsidR="001219F2" w:rsidRPr="001E317B">
        <w:rPr>
          <w:lang w:val="en-GB"/>
        </w:rPr>
        <w:t xml:space="preserve">, and any relevant information developed by the conferences of the parties to the Basel </w:t>
      </w:r>
      <w:r w:rsidRPr="001E317B">
        <w:rPr>
          <w:lang w:val="en-GB"/>
        </w:rPr>
        <w:t>and</w:t>
      </w:r>
      <w:r w:rsidR="001219F2" w:rsidRPr="001E317B">
        <w:rPr>
          <w:lang w:val="en-GB"/>
        </w:rPr>
        <w:t xml:space="preserve"> Stockholm </w:t>
      </w:r>
      <w:r w:rsidRPr="001E317B">
        <w:rPr>
          <w:lang w:val="en-GB"/>
        </w:rPr>
        <w:t>c</w:t>
      </w:r>
      <w:r w:rsidR="001219F2" w:rsidRPr="001E317B">
        <w:rPr>
          <w:lang w:val="en-GB"/>
        </w:rPr>
        <w:t>onvention</w:t>
      </w:r>
      <w:r w:rsidRPr="001E317B">
        <w:rPr>
          <w:lang w:val="en-GB"/>
        </w:rPr>
        <w:t>s</w:t>
      </w:r>
      <w:r w:rsidR="001219F2" w:rsidRPr="001E317B">
        <w:rPr>
          <w:lang w:val="en-GB"/>
        </w:rPr>
        <w:t xml:space="preserve">, and to submit that information </w:t>
      </w:r>
      <w:r w:rsidR="00AD01D0">
        <w:rPr>
          <w:lang w:val="en-GB"/>
        </w:rPr>
        <w:t xml:space="preserve">to the Conference of the Parties </w:t>
      </w:r>
      <w:r w:rsidR="001219F2" w:rsidRPr="001E317B">
        <w:rPr>
          <w:lang w:val="en-GB"/>
        </w:rPr>
        <w:t>at its second meeting for its consideration of the need for further action.</w:t>
      </w:r>
      <w:r w:rsidR="00765A19" w:rsidRPr="001E317B">
        <w:rPr>
          <w:lang w:val="en-GB"/>
        </w:rPr>
        <w:t xml:space="preserve"> </w:t>
      </w:r>
    </w:p>
    <w:p w14:paraId="073538BE" w14:textId="365427B9" w:rsidR="00F106B0" w:rsidRPr="001E317B" w:rsidRDefault="007C3291" w:rsidP="00CE5A51">
      <w:pPr>
        <w:pStyle w:val="Normalnumber"/>
        <w:tabs>
          <w:tab w:val="clear" w:pos="624"/>
          <w:tab w:val="left" w:pos="1247"/>
          <w:tab w:val="left" w:pos="1814"/>
          <w:tab w:val="left" w:pos="2381"/>
          <w:tab w:val="left" w:pos="2948"/>
          <w:tab w:val="left" w:pos="3515"/>
          <w:tab w:val="left" w:pos="4082"/>
        </w:tabs>
        <w:rPr>
          <w:lang w:val="en-GB"/>
        </w:rPr>
      </w:pPr>
      <w:r w:rsidRPr="001E317B">
        <w:rPr>
          <w:lang w:val="en-GB"/>
        </w:rPr>
        <w:t>In response to th</w:t>
      </w:r>
      <w:r w:rsidR="00AD01D0">
        <w:rPr>
          <w:lang w:val="en-GB"/>
        </w:rPr>
        <w:t>o</w:t>
      </w:r>
      <w:r w:rsidR="009B00FF" w:rsidRPr="001E317B">
        <w:rPr>
          <w:lang w:val="en-GB"/>
        </w:rPr>
        <w:t xml:space="preserve">se requests, </w:t>
      </w:r>
      <w:r w:rsidRPr="001E317B">
        <w:rPr>
          <w:lang w:val="en-GB"/>
        </w:rPr>
        <w:t xml:space="preserve">the secretariat </w:t>
      </w:r>
      <w:r w:rsidR="009B00FF" w:rsidRPr="001E317B">
        <w:rPr>
          <w:lang w:val="en-GB"/>
        </w:rPr>
        <w:t>prepared a</w:t>
      </w:r>
      <w:r w:rsidRPr="001E317B">
        <w:rPr>
          <w:lang w:val="en-GB"/>
        </w:rPr>
        <w:t xml:space="preserve"> note on the matter (</w:t>
      </w:r>
      <w:r w:rsidRPr="001E317B">
        <w:rPr>
          <w:color w:val="000000" w:themeColor="text1"/>
          <w:lang w:val="en-GB"/>
        </w:rPr>
        <w:t>UNEP/MC/COP.2/16) a</w:t>
      </w:r>
      <w:r w:rsidR="009B00FF" w:rsidRPr="001E317B">
        <w:rPr>
          <w:color w:val="000000" w:themeColor="text1"/>
          <w:lang w:val="en-GB"/>
        </w:rPr>
        <w:t xml:space="preserve">s well as </w:t>
      </w:r>
      <w:r w:rsidRPr="001E317B">
        <w:rPr>
          <w:color w:val="000000" w:themeColor="text1"/>
          <w:lang w:val="en-GB"/>
        </w:rPr>
        <w:t xml:space="preserve">a compilation of the </w:t>
      </w:r>
      <w:r w:rsidR="00AD01D0">
        <w:rPr>
          <w:color w:val="000000" w:themeColor="text1"/>
          <w:lang w:val="en-GB"/>
        </w:rPr>
        <w:t>information</w:t>
      </w:r>
      <w:r w:rsidR="00AD01D0" w:rsidRPr="001E317B">
        <w:rPr>
          <w:color w:val="000000" w:themeColor="text1"/>
          <w:lang w:val="en-GB"/>
        </w:rPr>
        <w:t xml:space="preserve"> </w:t>
      </w:r>
      <w:r w:rsidRPr="001E317B">
        <w:rPr>
          <w:color w:val="000000" w:themeColor="text1"/>
          <w:lang w:val="en-GB"/>
        </w:rPr>
        <w:t xml:space="preserve">received </w:t>
      </w:r>
      <w:r w:rsidRPr="001E317B">
        <w:rPr>
          <w:lang w:val="en-GB"/>
        </w:rPr>
        <w:t>(</w:t>
      </w:r>
      <w:r w:rsidRPr="001E317B">
        <w:rPr>
          <w:color w:val="000000" w:themeColor="text1"/>
          <w:lang w:val="en-GB"/>
        </w:rPr>
        <w:t>UNEP/MC/COP.2/INF/6</w:t>
      </w:r>
      <w:r w:rsidR="00AD01D0">
        <w:rPr>
          <w:color w:val="000000" w:themeColor="text1"/>
          <w:lang w:val="en-GB"/>
        </w:rPr>
        <w:t>, annex</w:t>
      </w:r>
      <w:r w:rsidRPr="001E317B">
        <w:rPr>
          <w:color w:val="000000" w:themeColor="text1"/>
          <w:lang w:val="en-GB"/>
        </w:rPr>
        <w:t xml:space="preserve">). </w:t>
      </w:r>
      <w:r w:rsidR="005D4F37" w:rsidRPr="001E317B">
        <w:rPr>
          <w:lang w:val="en-GB"/>
        </w:rPr>
        <w:t xml:space="preserve">The Conference </w:t>
      </w:r>
      <w:r w:rsidR="00AD01D0">
        <w:rPr>
          <w:lang w:val="en-GB"/>
        </w:rPr>
        <w:t xml:space="preserve">of the Parties </w:t>
      </w:r>
      <w:r w:rsidR="005D4F37" w:rsidRPr="001E317B">
        <w:rPr>
          <w:lang w:val="en-GB"/>
        </w:rPr>
        <w:t>may wish to con</w:t>
      </w:r>
      <w:r w:rsidR="00765A19" w:rsidRPr="001E317B">
        <w:rPr>
          <w:lang w:val="en-GB"/>
        </w:rPr>
        <w:t>sider the information presented</w:t>
      </w:r>
      <w:r w:rsidR="005D4F37" w:rsidRPr="001E317B">
        <w:rPr>
          <w:lang w:val="en-GB"/>
        </w:rPr>
        <w:t xml:space="preserve"> and, </w:t>
      </w:r>
      <w:r w:rsidR="00AD01D0">
        <w:rPr>
          <w:lang w:val="en-GB"/>
        </w:rPr>
        <w:t>given</w:t>
      </w:r>
      <w:r w:rsidR="00AD01D0" w:rsidRPr="001E317B">
        <w:rPr>
          <w:lang w:val="en-GB"/>
        </w:rPr>
        <w:t xml:space="preserve"> </w:t>
      </w:r>
      <w:r w:rsidR="005D4F37" w:rsidRPr="001E317B">
        <w:rPr>
          <w:lang w:val="en-GB"/>
        </w:rPr>
        <w:t xml:space="preserve">the limited </w:t>
      </w:r>
      <w:r w:rsidR="00765A19" w:rsidRPr="001E317B">
        <w:rPr>
          <w:lang w:val="en-GB"/>
        </w:rPr>
        <w:t>number of submissions received,</w:t>
      </w:r>
      <w:r w:rsidR="005D4F37" w:rsidRPr="001E317B">
        <w:rPr>
          <w:lang w:val="en-GB"/>
        </w:rPr>
        <w:t xml:space="preserve"> </w:t>
      </w:r>
      <w:r w:rsidR="00AD01D0">
        <w:rPr>
          <w:lang w:val="en-GB"/>
        </w:rPr>
        <w:t xml:space="preserve">to </w:t>
      </w:r>
      <w:r w:rsidR="005D4F37" w:rsidRPr="001E317B">
        <w:rPr>
          <w:lang w:val="en-GB"/>
        </w:rPr>
        <w:t xml:space="preserve">request the secretariat to continue to compile information on the issue </w:t>
      </w:r>
      <w:r w:rsidR="00AD01D0">
        <w:rPr>
          <w:lang w:val="en-GB"/>
        </w:rPr>
        <w:t xml:space="preserve">received </w:t>
      </w:r>
      <w:r w:rsidR="005D4F37" w:rsidRPr="001E317B">
        <w:rPr>
          <w:lang w:val="en-GB"/>
        </w:rPr>
        <w:t xml:space="preserve">from parties and other stakeholders, as well as information from its overall consideration of the inventories </w:t>
      </w:r>
      <w:r w:rsidR="00CE5A51" w:rsidRPr="001E317B">
        <w:rPr>
          <w:lang w:val="en-GB"/>
        </w:rPr>
        <w:t>available</w:t>
      </w:r>
      <w:r w:rsidR="005D4F37" w:rsidRPr="001E317B">
        <w:rPr>
          <w:lang w:val="en-GB"/>
        </w:rPr>
        <w:t>. It may also wish to request the secretariat to continue to engage on th</w:t>
      </w:r>
      <w:r w:rsidR="00AD01D0">
        <w:rPr>
          <w:lang w:val="en-GB"/>
        </w:rPr>
        <w:t>e</w:t>
      </w:r>
      <w:r w:rsidR="005D4F37" w:rsidRPr="001E317B">
        <w:rPr>
          <w:lang w:val="en-GB"/>
        </w:rPr>
        <w:t xml:space="preserve"> issue with the secretariat of the Basel, Rotterdam and Stockholm </w:t>
      </w:r>
      <w:r w:rsidR="00AD01D0">
        <w:rPr>
          <w:lang w:val="en-GB"/>
        </w:rPr>
        <w:t>C</w:t>
      </w:r>
      <w:r w:rsidR="005D4F37" w:rsidRPr="001E317B">
        <w:rPr>
          <w:lang w:val="en-GB"/>
        </w:rPr>
        <w:t>onventions, and to update the Conference</w:t>
      </w:r>
      <w:r w:rsidR="00AD01D0">
        <w:rPr>
          <w:lang w:val="en-GB"/>
        </w:rPr>
        <w:t xml:space="preserve"> of the Parties</w:t>
      </w:r>
      <w:r w:rsidR="005D4F37" w:rsidRPr="001E317B">
        <w:rPr>
          <w:lang w:val="en-GB"/>
        </w:rPr>
        <w:t xml:space="preserve"> at its third meeting.</w:t>
      </w:r>
    </w:p>
    <w:p w14:paraId="4FF4FBB8" w14:textId="77777777" w:rsidR="0074380F" w:rsidRPr="001E317B" w:rsidRDefault="0074380F" w:rsidP="0074380F">
      <w:pPr>
        <w:pStyle w:val="CH2"/>
        <w:keepNext w:val="0"/>
        <w:keepLines w:val="0"/>
        <w:ind w:left="624" w:firstLine="0"/>
        <w:rPr>
          <w:color w:val="000000" w:themeColor="text1"/>
          <w:lang w:val="en-GB"/>
        </w:rPr>
      </w:pPr>
      <w:r w:rsidRPr="001E317B">
        <w:rPr>
          <w:color w:val="000000" w:themeColor="text1"/>
          <w:lang w:val="en-GB"/>
        </w:rPr>
        <w:t>Item 6</w:t>
      </w:r>
    </w:p>
    <w:p w14:paraId="04699206" w14:textId="77777777" w:rsidR="0074380F" w:rsidRPr="001E317B" w:rsidRDefault="0074380F" w:rsidP="0074380F">
      <w:pPr>
        <w:pStyle w:val="CH2"/>
        <w:keepNext w:val="0"/>
        <w:keepLines w:val="0"/>
        <w:ind w:left="624" w:firstLine="0"/>
        <w:rPr>
          <w:color w:val="000000" w:themeColor="text1"/>
          <w:lang w:val="en-GB"/>
        </w:rPr>
      </w:pPr>
      <w:r w:rsidRPr="001E317B">
        <w:rPr>
          <w:color w:val="000000" w:themeColor="text1"/>
          <w:lang w:val="en-GB"/>
        </w:rPr>
        <w:t xml:space="preserve">Programme of work and budget </w:t>
      </w:r>
    </w:p>
    <w:p w14:paraId="75DA149C" w14:textId="097D0ECC" w:rsidR="00FB1BFD" w:rsidRPr="001E317B" w:rsidRDefault="00FB1BFD" w:rsidP="00C7588C">
      <w:pPr>
        <w:pStyle w:val="Normalnumber"/>
        <w:rPr>
          <w:lang w:val="en-GB"/>
        </w:rPr>
      </w:pPr>
      <w:r w:rsidRPr="001E317B">
        <w:rPr>
          <w:lang w:val="en-GB"/>
        </w:rPr>
        <w:t>At</w:t>
      </w:r>
      <w:r w:rsidR="00C7588C" w:rsidRPr="001E317B">
        <w:rPr>
          <w:lang w:val="en-GB"/>
        </w:rPr>
        <w:t xml:space="preserve"> </w:t>
      </w:r>
      <w:r w:rsidRPr="001E317B">
        <w:rPr>
          <w:lang w:val="en-GB"/>
        </w:rPr>
        <w:t xml:space="preserve">its first meeting, the Conference </w:t>
      </w:r>
      <w:r w:rsidR="00AD01D0">
        <w:rPr>
          <w:lang w:val="en-GB"/>
        </w:rPr>
        <w:t xml:space="preserve">of the Parties, in its decision MC-1/15, </w:t>
      </w:r>
      <w:r w:rsidRPr="001E317B">
        <w:rPr>
          <w:shd w:val="clear" w:color="auto" w:fill="FFFFFF"/>
          <w:lang w:val="en-GB"/>
        </w:rPr>
        <w:t xml:space="preserve">agreed on a programme of work of the secretariat and budget for </w:t>
      </w:r>
      <w:r w:rsidR="00AD01D0">
        <w:rPr>
          <w:shd w:val="clear" w:color="auto" w:fill="FFFFFF"/>
          <w:lang w:val="en-GB"/>
        </w:rPr>
        <w:t xml:space="preserve">the biennium </w:t>
      </w:r>
      <w:r w:rsidRPr="001E317B">
        <w:rPr>
          <w:lang w:val="en-GB"/>
        </w:rPr>
        <w:t>2018–2019</w:t>
      </w:r>
      <w:r w:rsidR="00AD01D0">
        <w:rPr>
          <w:lang w:val="en-GB"/>
        </w:rPr>
        <w:t>. It also</w:t>
      </w:r>
      <w:r w:rsidRPr="001E317B">
        <w:rPr>
          <w:lang w:val="en-GB"/>
        </w:rPr>
        <w:t xml:space="preserve"> requested the Executive Director of </w:t>
      </w:r>
      <w:r w:rsidR="00E65AA7">
        <w:rPr>
          <w:lang w:val="en-GB"/>
        </w:rPr>
        <w:t>UNEP</w:t>
      </w:r>
      <w:r w:rsidRPr="001E317B">
        <w:rPr>
          <w:lang w:val="en-GB"/>
        </w:rPr>
        <w:t xml:space="preserve"> to perform the secretariat functions initially through a secretariat of the Minamata Convention located in Geneva. The Conference</w:t>
      </w:r>
      <w:r w:rsidR="00AD01D0">
        <w:rPr>
          <w:lang w:val="en-GB"/>
        </w:rPr>
        <w:t xml:space="preserve"> of the Parties</w:t>
      </w:r>
      <w:r w:rsidRPr="001E317B">
        <w:rPr>
          <w:lang w:val="en-GB"/>
        </w:rPr>
        <w:t xml:space="preserve"> further requested the Executive Secretary to provide </w:t>
      </w:r>
      <w:r w:rsidR="003E162E" w:rsidRPr="001E317B">
        <w:rPr>
          <w:lang w:val="en-GB"/>
        </w:rPr>
        <w:t xml:space="preserve">at its second meeting </w:t>
      </w:r>
      <w:r w:rsidRPr="001E317B">
        <w:rPr>
          <w:lang w:val="en-GB"/>
        </w:rPr>
        <w:t>an update on the programme of work and implementation and</w:t>
      </w:r>
      <w:r w:rsidR="00AD01D0">
        <w:rPr>
          <w:lang w:val="en-GB"/>
        </w:rPr>
        <w:t>,</w:t>
      </w:r>
      <w:r w:rsidRPr="001E317B">
        <w:rPr>
          <w:lang w:val="en-GB"/>
        </w:rPr>
        <w:t xml:space="preserve"> where relevant, cost estimates for actions that have budgetary implications that were not foreseen in the first programme of work but are included in proposed draft decisions, before the adoption of those decisions by the Conference of </w:t>
      </w:r>
      <w:r w:rsidR="00D8679A">
        <w:rPr>
          <w:lang w:val="en-GB"/>
        </w:rPr>
        <w:t xml:space="preserve">the </w:t>
      </w:r>
      <w:r w:rsidRPr="001E317B">
        <w:rPr>
          <w:lang w:val="en-GB"/>
        </w:rPr>
        <w:t xml:space="preserve">Parties, and </w:t>
      </w:r>
      <w:r w:rsidR="00AD01D0">
        <w:rPr>
          <w:lang w:val="en-GB"/>
        </w:rPr>
        <w:t xml:space="preserve">that </w:t>
      </w:r>
      <w:r w:rsidRPr="001E317B">
        <w:rPr>
          <w:lang w:val="en-GB"/>
        </w:rPr>
        <w:t>therefore have budgetary implications in th</w:t>
      </w:r>
      <w:r w:rsidR="00AD01D0">
        <w:rPr>
          <w:lang w:val="en-GB"/>
        </w:rPr>
        <w:t>e</w:t>
      </w:r>
      <w:r w:rsidRPr="001E317B">
        <w:rPr>
          <w:lang w:val="en-GB"/>
        </w:rPr>
        <w:t xml:space="preserve"> first biennium. </w:t>
      </w:r>
    </w:p>
    <w:p w14:paraId="666E9B40" w14:textId="5584B25B" w:rsidR="008F624E" w:rsidRPr="001E317B" w:rsidRDefault="00931353" w:rsidP="009C4FCC">
      <w:pPr>
        <w:pStyle w:val="Normalnumber"/>
        <w:rPr>
          <w:lang w:val="en-GB"/>
        </w:rPr>
      </w:pPr>
      <w:r w:rsidRPr="001E317B">
        <w:rPr>
          <w:lang w:val="en-GB"/>
        </w:rPr>
        <w:t>In response to th</w:t>
      </w:r>
      <w:r w:rsidR="00AD01D0">
        <w:rPr>
          <w:lang w:val="en-GB"/>
        </w:rPr>
        <w:t>at</w:t>
      </w:r>
      <w:r w:rsidRPr="001E317B">
        <w:rPr>
          <w:lang w:val="en-GB"/>
        </w:rPr>
        <w:t xml:space="preserve"> request, the secretariat has prepared a note on </w:t>
      </w:r>
      <w:r w:rsidR="00AD01D0">
        <w:rPr>
          <w:lang w:val="en-GB"/>
        </w:rPr>
        <w:t>an</w:t>
      </w:r>
      <w:r w:rsidR="00AD01D0" w:rsidRPr="001E317B">
        <w:rPr>
          <w:lang w:val="en-GB"/>
        </w:rPr>
        <w:t xml:space="preserve"> </w:t>
      </w:r>
      <w:r w:rsidR="009C11D7" w:rsidRPr="001E317B">
        <w:rPr>
          <w:lang w:val="en-GB"/>
        </w:rPr>
        <w:t xml:space="preserve">update </w:t>
      </w:r>
      <w:r w:rsidR="00AD01D0">
        <w:rPr>
          <w:lang w:val="en-GB"/>
        </w:rPr>
        <w:t>to</w:t>
      </w:r>
      <w:r w:rsidR="00AD01D0" w:rsidRPr="001E317B">
        <w:rPr>
          <w:lang w:val="en-GB"/>
        </w:rPr>
        <w:t xml:space="preserve"> </w:t>
      </w:r>
      <w:r w:rsidRPr="001E317B">
        <w:rPr>
          <w:lang w:val="en-GB"/>
        </w:rPr>
        <w:t xml:space="preserve">the programme of work </w:t>
      </w:r>
      <w:r w:rsidR="00AD01D0">
        <w:rPr>
          <w:lang w:val="en-GB"/>
        </w:rPr>
        <w:t>and</w:t>
      </w:r>
      <w:r w:rsidRPr="001E317B">
        <w:rPr>
          <w:lang w:val="en-GB"/>
        </w:rPr>
        <w:t xml:space="preserve"> budget</w:t>
      </w:r>
      <w:r w:rsidR="00AD01D0">
        <w:rPr>
          <w:lang w:val="en-GB"/>
        </w:rPr>
        <w:t xml:space="preserve"> for the biennium 2018–2019</w:t>
      </w:r>
      <w:r w:rsidRPr="001E317B">
        <w:rPr>
          <w:lang w:val="en-GB"/>
        </w:rPr>
        <w:t xml:space="preserve"> (</w:t>
      </w:r>
      <w:r w:rsidRPr="001E317B">
        <w:rPr>
          <w:color w:val="000000" w:themeColor="text1"/>
          <w:lang w:val="en-GB"/>
        </w:rPr>
        <w:t>UNEP/MC/COP.2/18)</w:t>
      </w:r>
      <w:r w:rsidR="00FB1BFD" w:rsidRPr="001E317B">
        <w:rPr>
          <w:lang w:val="en-GB"/>
        </w:rPr>
        <w:t>,</w:t>
      </w:r>
      <w:r w:rsidRPr="001E317B">
        <w:rPr>
          <w:lang w:val="en-GB"/>
        </w:rPr>
        <w:t xml:space="preserve"> </w:t>
      </w:r>
      <w:r w:rsidR="00675839" w:rsidRPr="00C75B19">
        <w:rPr>
          <w:lang w:val="en-GB"/>
        </w:rPr>
        <w:t>together with a</w:t>
      </w:r>
      <w:r w:rsidRPr="00C75B19">
        <w:rPr>
          <w:lang w:val="en-GB"/>
        </w:rPr>
        <w:t xml:space="preserve"> </w:t>
      </w:r>
      <w:r w:rsidR="00675839" w:rsidRPr="00C75B19">
        <w:rPr>
          <w:lang w:val="en-GB"/>
        </w:rPr>
        <w:t>p</w:t>
      </w:r>
      <w:r w:rsidRPr="00C75B19">
        <w:rPr>
          <w:lang w:val="en-GB"/>
        </w:rPr>
        <w:t xml:space="preserve">rogramme of </w:t>
      </w:r>
      <w:r w:rsidR="00675839" w:rsidRPr="00C75B19">
        <w:rPr>
          <w:lang w:val="en-GB"/>
        </w:rPr>
        <w:t>w</w:t>
      </w:r>
      <w:r w:rsidRPr="00C75B19">
        <w:rPr>
          <w:lang w:val="en-GB"/>
        </w:rPr>
        <w:t xml:space="preserve">ork and </w:t>
      </w:r>
      <w:r w:rsidR="00675839" w:rsidRPr="00C75B19">
        <w:rPr>
          <w:lang w:val="en-GB"/>
        </w:rPr>
        <w:t>b</w:t>
      </w:r>
      <w:r w:rsidRPr="00C75B19">
        <w:rPr>
          <w:lang w:val="en-GB"/>
        </w:rPr>
        <w:t xml:space="preserve">udget </w:t>
      </w:r>
      <w:r w:rsidR="00675839" w:rsidRPr="00C75B19">
        <w:rPr>
          <w:lang w:val="en-GB"/>
        </w:rPr>
        <w:t>d</w:t>
      </w:r>
      <w:r w:rsidRPr="00C75B19">
        <w:rPr>
          <w:lang w:val="en-GB"/>
        </w:rPr>
        <w:t xml:space="preserve">etail </w:t>
      </w:r>
      <w:r w:rsidR="00675839" w:rsidRPr="00C75B19">
        <w:rPr>
          <w:lang w:val="en-GB"/>
        </w:rPr>
        <w:t>s</w:t>
      </w:r>
      <w:r w:rsidRPr="00C75B19">
        <w:rPr>
          <w:lang w:val="en-GB"/>
        </w:rPr>
        <w:t>heet</w:t>
      </w:r>
      <w:r w:rsidR="00555354">
        <w:rPr>
          <w:lang w:val="en-GB"/>
        </w:rPr>
        <w:t>s</w:t>
      </w:r>
      <w:r w:rsidRPr="00C75B19">
        <w:rPr>
          <w:lang w:val="en-GB"/>
        </w:rPr>
        <w:t xml:space="preserve"> (UNEP/MC/COP.</w:t>
      </w:r>
      <w:r w:rsidR="00AF41DC">
        <w:rPr>
          <w:lang w:val="en-GB"/>
        </w:rPr>
        <w:t>2/</w:t>
      </w:r>
      <w:r w:rsidRPr="00C75B19">
        <w:rPr>
          <w:lang w:val="en-GB"/>
        </w:rPr>
        <w:t>INF</w:t>
      </w:r>
      <w:r w:rsidR="001B34E3" w:rsidRPr="00C75B19">
        <w:rPr>
          <w:lang w:val="en-GB"/>
        </w:rPr>
        <w:t>/</w:t>
      </w:r>
      <w:r w:rsidRPr="00C75B19">
        <w:rPr>
          <w:lang w:val="en-GB"/>
        </w:rPr>
        <w:t>9).</w:t>
      </w:r>
      <w:r w:rsidRPr="001E317B">
        <w:rPr>
          <w:lang w:val="en-GB"/>
        </w:rPr>
        <w:t xml:space="preserve"> The</w:t>
      </w:r>
      <w:r w:rsidR="00343C10" w:rsidRPr="001E317B">
        <w:rPr>
          <w:lang w:val="en-GB"/>
        </w:rPr>
        <w:t xml:space="preserve"> </w:t>
      </w:r>
      <w:r w:rsidR="00675839">
        <w:rPr>
          <w:lang w:val="en-GB"/>
        </w:rPr>
        <w:t>Conference of the Parties also has before it</w:t>
      </w:r>
      <w:r w:rsidR="00FB1BFD" w:rsidRPr="001E317B">
        <w:rPr>
          <w:lang w:val="en-GB"/>
        </w:rPr>
        <w:t xml:space="preserve"> a</w:t>
      </w:r>
      <w:r w:rsidR="00675839">
        <w:rPr>
          <w:lang w:val="en-GB"/>
        </w:rPr>
        <w:t xml:space="preserve"> </w:t>
      </w:r>
      <w:r w:rsidR="00675839" w:rsidRPr="0072169D">
        <w:rPr>
          <w:lang w:val="en-GB"/>
        </w:rPr>
        <w:t>progress report on the activities of the secretariat in the intersessional period</w:t>
      </w:r>
      <w:r w:rsidR="00F12856">
        <w:rPr>
          <w:lang w:val="en-GB"/>
        </w:rPr>
        <w:t xml:space="preserve"> </w:t>
      </w:r>
      <w:r w:rsidR="00343C10" w:rsidRPr="001E317B">
        <w:rPr>
          <w:lang w:val="en-GB"/>
        </w:rPr>
        <w:t>(UNEP/MC/COP.</w:t>
      </w:r>
      <w:r w:rsidR="00675839">
        <w:rPr>
          <w:lang w:val="en-GB"/>
        </w:rPr>
        <w:t>2</w:t>
      </w:r>
      <w:r w:rsidR="00343C10" w:rsidRPr="001E317B">
        <w:rPr>
          <w:lang w:val="en-GB"/>
        </w:rPr>
        <w:t>/17</w:t>
      </w:r>
      <w:r w:rsidR="00FB1BFD" w:rsidRPr="001E317B">
        <w:rPr>
          <w:lang w:val="en-GB"/>
        </w:rPr>
        <w:t xml:space="preserve">). Other documents </w:t>
      </w:r>
      <w:r w:rsidR="00675839">
        <w:rPr>
          <w:lang w:val="en-GB"/>
        </w:rPr>
        <w:t>pertaining to</w:t>
      </w:r>
      <w:r w:rsidR="00675839" w:rsidRPr="001E317B">
        <w:rPr>
          <w:lang w:val="en-GB"/>
        </w:rPr>
        <w:t xml:space="preserve"> </w:t>
      </w:r>
      <w:r w:rsidR="00FB1BFD" w:rsidRPr="001E317B">
        <w:rPr>
          <w:lang w:val="en-GB"/>
        </w:rPr>
        <w:t xml:space="preserve">the work of the secretariat and support to parties include </w:t>
      </w:r>
      <w:r w:rsidR="00675839">
        <w:rPr>
          <w:lang w:val="en-GB"/>
        </w:rPr>
        <w:t>notes by the secretariat on c</w:t>
      </w:r>
      <w:r w:rsidR="001B34E3" w:rsidRPr="001E317B">
        <w:rPr>
          <w:lang w:val="en-GB"/>
        </w:rPr>
        <w:t xml:space="preserve">ooperation with </w:t>
      </w:r>
      <w:r w:rsidR="0072427E">
        <w:rPr>
          <w:lang w:val="en-GB"/>
        </w:rPr>
        <w:t>WHO</w:t>
      </w:r>
      <w:r w:rsidR="001B34E3" w:rsidRPr="001E317B">
        <w:rPr>
          <w:lang w:val="en-GB"/>
        </w:rPr>
        <w:t xml:space="preserve"> and </w:t>
      </w:r>
      <w:r w:rsidR="0072427E">
        <w:rPr>
          <w:lang w:val="en-GB"/>
        </w:rPr>
        <w:t>ILO</w:t>
      </w:r>
      <w:r w:rsidR="00675839">
        <w:rPr>
          <w:lang w:val="en-GB"/>
        </w:rPr>
        <w:t xml:space="preserve"> (</w:t>
      </w:r>
      <w:r w:rsidR="00675839" w:rsidRPr="001E317B">
        <w:rPr>
          <w:lang w:val="en-GB"/>
        </w:rPr>
        <w:t>UNEP/MC/COP.2/12</w:t>
      </w:r>
      <w:r w:rsidR="001B34E3" w:rsidRPr="001E317B">
        <w:rPr>
          <w:lang w:val="en-GB"/>
        </w:rPr>
        <w:t xml:space="preserve">), </w:t>
      </w:r>
      <w:r w:rsidR="00675839" w:rsidRPr="00F12856">
        <w:rPr>
          <w:lang w:val="en-GB"/>
        </w:rPr>
        <w:t>a r</w:t>
      </w:r>
      <w:r w:rsidR="001B34E3" w:rsidRPr="004A5CFC">
        <w:rPr>
          <w:lang w:val="en-GB"/>
        </w:rPr>
        <w:t>eport o</w:t>
      </w:r>
      <w:r w:rsidR="00675839" w:rsidRPr="00FA01F2">
        <w:rPr>
          <w:lang w:val="en-GB"/>
        </w:rPr>
        <w:t>n</w:t>
      </w:r>
      <w:r w:rsidR="001B34E3" w:rsidRPr="00F12856">
        <w:rPr>
          <w:lang w:val="en-GB"/>
        </w:rPr>
        <w:t xml:space="preserve"> </w:t>
      </w:r>
      <w:r w:rsidR="002F77E5" w:rsidRPr="00FA01F2">
        <w:rPr>
          <w:lang w:val="en-GB"/>
        </w:rPr>
        <w:t xml:space="preserve">the </w:t>
      </w:r>
      <w:r w:rsidR="001B34E3" w:rsidRPr="00F12856">
        <w:rPr>
          <w:lang w:val="en-GB"/>
        </w:rPr>
        <w:t xml:space="preserve">activities of </w:t>
      </w:r>
      <w:r w:rsidR="001B34E3" w:rsidRPr="00C75B19">
        <w:rPr>
          <w:lang w:val="en-GB"/>
        </w:rPr>
        <w:t>relevant international bodies</w:t>
      </w:r>
      <w:r w:rsidR="001B34E3" w:rsidRPr="00000435">
        <w:rPr>
          <w:lang w:val="en-GB"/>
        </w:rPr>
        <w:t xml:space="preserve"> </w:t>
      </w:r>
      <w:r w:rsidR="00675839" w:rsidRPr="00C75B19">
        <w:rPr>
          <w:lang w:val="en-GB"/>
        </w:rPr>
        <w:t>(UNEP/MC/COP.2/INF/2</w:t>
      </w:r>
      <w:r w:rsidR="001B34E3" w:rsidRPr="00C75B19">
        <w:rPr>
          <w:lang w:val="en-GB"/>
        </w:rPr>
        <w:t xml:space="preserve">), </w:t>
      </w:r>
      <w:r w:rsidR="00675839" w:rsidRPr="00C75B19">
        <w:rPr>
          <w:lang w:val="en-GB"/>
        </w:rPr>
        <w:t>f</w:t>
      </w:r>
      <w:r w:rsidR="001B34E3" w:rsidRPr="00C75B19">
        <w:rPr>
          <w:lang w:val="en-GB"/>
        </w:rPr>
        <w:t xml:space="preserve">urther information requested by the Bureau on possible services that the </w:t>
      </w:r>
      <w:r w:rsidR="00C75B19" w:rsidRPr="00FA01F2">
        <w:rPr>
          <w:lang w:val="en-GB"/>
        </w:rPr>
        <w:t>s</w:t>
      </w:r>
      <w:r w:rsidR="001B34E3" w:rsidRPr="0072427E">
        <w:rPr>
          <w:lang w:val="en-GB"/>
        </w:rPr>
        <w:t>ecretariat of the Minamata Convention could purchase</w:t>
      </w:r>
      <w:r w:rsidR="001B34E3" w:rsidRPr="00000435">
        <w:rPr>
          <w:lang w:val="en-GB"/>
        </w:rPr>
        <w:t xml:space="preserve"> from</w:t>
      </w:r>
      <w:r w:rsidR="00594F2C" w:rsidRPr="00000435">
        <w:rPr>
          <w:lang w:val="en-GB"/>
        </w:rPr>
        <w:t xml:space="preserve"> or share with</w:t>
      </w:r>
      <w:r w:rsidR="001B34E3" w:rsidRPr="00000435">
        <w:rPr>
          <w:lang w:val="en-GB"/>
        </w:rPr>
        <w:t xml:space="preserve"> the </w:t>
      </w:r>
      <w:r w:rsidR="00C75B19" w:rsidRPr="00FA01F2">
        <w:rPr>
          <w:lang w:val="en-GB"/>
        </w:rPr>
        <w:t>s</w:t>
      </w:r>
      <w:r w:rsidR="001B34E3" w:rsidRPr="0072427E">
        <w:rPr>
          <w:lang w:val="en-GB"/>
        </w:rPr>
        <w:t xml:space="preserve">ecretariat </w:t>
      </w:r>
      <w:r w:rsidR="00675839" w:rsidRPr="00000435">
        <w:rPr>
          <w:lang w:val="en-GB"/>
        </w:rPr>
        <w:t>of</w:t>
      </w:r>
      <w:r w:rsidR="001B34E3" w:rsidRPr="00000435">
        <w:rPr>
          <w:lang w:val="en-GB"/>
        </w:rPr>
        <w:t xml:space="preserve"> the Basel, Rotterdam and Stockholm </w:t>
      </w:r>
      <w:r w:rsidR="00675839" w:rsidRPr="00C75B19">
        <w:rPr>
          <w:lang w:val="en-GB"/>
        </w:rPr>
        <w:t>C</w:t>
      </w:r>
      <w:r w:rsidR="001B34E3" w:rsidRPr="00C75B19">
        <w:rPr>
          <w:lang w:val="en-GB"/>
        </w:rPr>
        <w:t>onventions</w:t>
      </w:r>
      <w:r w:rsidR="00675839" w:rsidRPr="00C75B19">
        <w:rPr>
          <w:lang w:val="en-GB"/>
        </w:rPr>
        <w:t xml:space="preserve"> (UNEP/MC/COP.2/INF/7</w:t>
      </w:r>
      <w:r w:rsidR="001B34E3" w:rsidRPr="00C75B19">
        <w:rPr>
          <w:lang w:val="en-GB"/>
        </w:rPr>
        <w:t xml:space="preserve">), </w:t>
      </w:r>
      <w:r w:rsidR="00675839" w:rsidRPr="00C75B19">
        <w:rPr>
          <w:lang w:val="en-GB"/>
        </w:rPr>
        <w:t>a</w:t>
      </w:r>
      <w:r w:rsidR="00675839">
        <w:rPr>
          <w:lang w:val="en-GB"/>
        </w:rPr>
        <w:t xml:space="preserve"> r</w:t>
      </w:r>
      <w:r w:rsidR="009C4FCC" w:rsidRPr="001E317B">
        <w:rPr>
          <w:lang w:val="en-GB"/>
        </w:rPr>
        <w:t xml:space="preserve">eport by the </w:t>
      </w:r>
      <w:r w:rsidR="00C75B19">
        <w:rPr>
          <w:lang w:val="en-GB"/>
        </w:rPr>
        <w:t>s</w:t>
      </w:r>
      <w:r w:rsidR="009C4FCC" w:rsidRPr="001E317B">
        <w:rPr>
          <w:lang w:val="en-GB"/>
        </w:rPr>
        <w:t xml:space="preserve">ecretariat of the Basel, Rotterdam and Stockholm </w:t>
      </w:r>
      <w:r w:rsidR="00746E5F">
        <w:rPr>
          <w:lang w:val="en-GB"/>
        </w:rPr>
        <w:t>C</w:t>
      </w:r>
      <w:r w:rsidR="00746E5F" w:rsidRPr="00F12856">
        <w:rPr>
          <w:lang w:val="en-GB"/>
        </w:rPr>
        <w:t xml:space="preserve">onventions </w:t>
      </w:r>
      <w:r w:rsidR="009C4FCC" w:rsidRPr="00F12856">
        <w:rPr>
          <w:lang w:val="en-GB"/>
        </w:rPr>
        <w:t>on cooperative activities with the secretariat of the Minamata Convention in areas of mutual interest</w:t>
      </w:r>
      <w:r w:rsidR="00675839" w:rsidRPr="002F77E5">
        <w:rPr>
          <w:lang w:val="en-GB"/>
        </w:rPr>
        <w:t xml:space="preserve"> (UNEP/MC/COP.2/INF/11)</w:t>
      </w:r>
      <w:r w:rsidR="001B34E3" w:rsidRPr="002F77E5">
        <w:rPr>
          <w:lang w:val="en-GB"/>
        </w:rPr>
        <w:t xml:space="preserve">, </w:t>
      </w:r>
      <w:r w:rsidR="002F77E5" w:rsidRPr="00FA01F2">
        <w:rPr>
          <w:lang w:val="en-GB"/>
        </w:rPr>
        <w:t>a</w:t>
      </w:r>
      <w:r w:rsidR="009C4FCC" w:rsidRPr="00F12856">
        <w:rPr>
          <w:lang w:val="en-GB"/>
        </w:rPr>
        <w:t>ctivities of the Special Programme to support institutional strengthening at the national level for implem</w:t>
      </w:r>
      <w:r w:rsidR="009C4FCC" w:rsidRPr="002F77E5">
        <w:rPr>
          <w:lang w:val="en-GB"/>
        </w:rPr>
        <w:t>entation of the Basel, Rotterdam and Stockholm conventions, the Minamata Convention on Mercury and the Strategic Approach to International Chemicals Management</w:t>
      </w:r>
      <w:r w:rsidR="00675839" w:rsidRPr="002F77E5">
        <w:rPr>
          <w:lang w:val="en-GB"/>
        </w:rPr>
        <w:t xml:space="preserve"> (UNEP/MC/</w:t>
      </w:r>
      <w:r w:rsidR="00675839" w:rsidRPr="00923601">
        <w:rPr>
          <w:lang w:val="en-GB"/>
        </w:rPr>
        <w:t>COP.2/INF/12</w:t>
      </w:r>
      <w:r w:rsidR="001B34E3" w:rsidRPr="00923601">
        <w:rPr>
          <w:lang w:val="en-GB"/>
        </w:rPr>
        <w:t xml:space="preserve">), </w:t>
      </w:r>
      <w:r w:rsidR="00675839" w:rsidRPr="00923601">
        <w:rPr>
          <w:lang w:val="en-GB"/>
        </w:rPr>
        <w:t>a r</w:t>
      </w:r>
      <w:r w:rsidR="009C4FCC" w:rsidRPr="00923601">
        <w:rPr>
          <w:lang w:val="en-GB"/>
        </w:rPr>
        <w:t>eport on activities undertaken within the U</w:t>
      </w:r>
      <w:r w:rsidR="00C75B19">
        <w:rPr>
          <w:lang w:val="en-GB"/>
        </w:rPr>
        <w:t>NEP</w:t>
      </w:r>
      <w:r w:rsidR="009C4FCC" w:rsidRPr="00923601">
        <w:rPr>
          <w:lang w:val="en-GB"/>
        </w:rPr>
        <w:t xml:space="preserve"> Global Mercury Partnership</w:t>
      </w:r>
      <w:r w:rsidR="00675839" w:rsidRPr="00923601">
        <w:rPr>
          <w:lang w:val="en-GB"/>
        </w:rPr>
        <w:t xml:space="preserve"> (UNEP/MC/COP.2/INF/13), and an u</w:t>
      </w:r>
      <w:r w:rsidR="009C4FCC" w:rsidRPr="00923601">
        <w:rPr>
          <w:lang w:val="en-GB"/>
        </w:rPr>
        <w:t>pdate on the Strategic Approach to International</w:t>
      </w:r>
      <w:r w:rsidR="009C4FCC" w:rsidRPr="001E317B">
        <w:rPr>
          <w:lang w:val="en-GB"/>
        </w:rPr>
        <w:t xml:space="preserve"> Chemicals Management</w:t>
      </w:r>
      <w:r w:rsidR="00675839">
        <w:rPr>
          <w:lang w:val="en-GB"/>
        </w:rPr>
        <w:t xml:space="preserve"> (</w:t>
      </w:r>
      <w:r w:rsidR="00675839" w:rsidRPr="001E317B">
        <w:rPr>
          <w:lang w:val="en-GB"/>
        </w:rPr>
        <w:t>UNEP/MC/COP.1/INF/14</w:t>
      </w:r>
      <w:r w:rsidR="00384129" w:rsidRPr="001E317B">
        <w:rPr>
          <w:lang w:val="en-GB"/>
        </w:rPr>
        <w:t>)</w:t>
      </w:r>
      <w:r w:rsidR="00FB1BFD" w:rsidRPr="001E317B">
        <w:rPr>
          <w:lang w:val="en-GB"/>
        </w:rPr>
        <w:t xml:space="preserve">. </w:t>
      </w:r>
    </w:p>
    <w:p w14:paraId="4FB75038" w14:textId="4824D315" w:rsidR="008F624E" w:rsidRPr="001E317B" w:rsidRDefault="00FB1BFD" w:rsidP="00E16330">
      <w:pPr>
        <w:pStyle w:val="Normalnumber"/>
        <w:rPr>
          <w:lang w:val="en-GB"/>
        </w:rPr>
      </w:pPr>
      <w:r w:rsidRPr="001E317B">
        <w:rPr>
          <w:lang w:val="en-GB"/>
        </w:rPr>
        <w:t xml:space="preserve">The </w:t>
      </w:r>
      <w:r w:rsidR="00931353" w:rsidRPr="001E317B">
        <w:rPr>
          <w:lang w:val="en-GB"/>
        </w:rPr>
        <w:t xml:space="preserve">Conference </w:t>
      </w:r>
      <w:r w:rsidR="00675839">
        <w:rPr>
          <w:lang w:val="en-GB"/>
        </w:rPr>
        <w:t xml:space="preserve">of the Parties </w:t>
      </w:r>
      <w:r w:rsidRPr="001E317B">
        <w:rPr>
          <w:lang w:val="en-GB"/>
        </w:rPr>
        <w:t xml:space="preserve">may wish to </w:t>
      </w:r>
      <w:r w:rsidR="00675839">
        <w:rPr>
          <w:lang w:val="en-GB"/>
        </w:rPr>
        <w:t>discuss</w:t>
      </w:r>
      <w:r w:rsidR="00931353" w:rsidRPr="001E317B">
        <w:rPr>
          <w:lang w:val="en-GB"/>
        </w:rPr>
        <w:t xml:space="preserve"> the budget and adopt </w:t>
      </w:r>
      <w:r w:rsidR="00E16330" w:rsidRPr="001E317B">
        <w:rPr>
          <w:lang w:val="en-GB"/>
        </w:rPr>
        <w:t>a decision in that regard. Should</w:t>
      </w:r>
      <w:r w:rsidR="008F624E" w:rsidRPr="001E317B">
        <w:rPr>
          <w:lang w:val="en-GB"/>
        </w:rPr>
        <w:t xml:space="preserve"> the </w:t>
      </w:r>
      <w:r w:rsidR="00E16330" w:rsidRPr="001E317B">
        <w:rPr>
          <w:lang w:val="en-GB"/>
        </w:rPr>
        <w:t xml:space="preserve">Conference </w:t>
      </w:r>
      <w:r w:rsidR="00675839">
        <w:rPr>
          <w:lang w:val="en-GB"/>
        </w:rPr>
        <w:t xml:space="preserve">of the Parties </w:t>
      </w:r>
      <w:r w:rsidR="00E16330" w:rsidRPr="001E317B">
        <w:rPr>
          <w:lang w:val="en-GB"/>
        </w:rPr>
        <w:t xml:space="preserve">decide not to hold its </w:t>
      </w:r>
      <w:r w:rsidR="008F624E" w:rsidRPr="001E317B">
        <w:rPr>
          <w:lang w:val="en-GB"/>
        </w:rPr>
        <w:t xml:space="preserve">third meeting in 2019, </w:t>
      </w:r>
      <w:r w:rsidR="00E16330" w:rsidRPr="001E317B">
        <w:rPr>
          <w:lang w:val="en-GB"/>
        </w:rPr>
        <w:t>the decision</w:t>
      </w:r>
      <w:r w:rsidR="008F624E" w:rsidRPr="001E317B">
        <w:rPr>
          <w:lang w:val="en-GB"/>
        </w:rPr>
        <w:t xml:space="preserve"> on the work programme and budget </w:t>
      </w:r>
      <w:r w:rsidR="00E16330" w:rsidRPr="001E317B">
        <w:rPr>
          <w:lang w:val="en-GB"/>
        </w:rPr>
        <w:t>would also</w:t>
      </w:r>
      <w:r w:rsidR="00923601">
        <w:rPr>
          <w:lang w:val="en-GB"/>
        </w:rPr>
        <w:t xml:space="preserve"> need to</w:t>
      </w:r>
      <w:r w:rsidR="00E16330" w:rsidRPr="001E317B">
        <w:rPr>
          <w:lang w:val="en-GB"/>
        </w:rPr>
        <w:t xml:space="preserve"> address the biennium </w:t>
      </w:r>
      <w:r w:rsidR="008F624E" w:rsidRPr="001E317B">
        <w:rPr>
          <w:lang w:val="en-GB"/>
        </w:rPr>
        <w:t>2020</w:t>
      </w:r>
      <w:r w:rsidR="00675839">
        <w:rPr>
          <w:lang w:val="en-GB"/>
        </w:rPr>
        <w:t>–</w:t>
      </w:r>
      <w:r w:rsidR="008F624E" w:rsidRPr="001E317B">
        <w:rPr>
          <w:lang w:val="en-GB"/>
        </w:rPr>
        <w:t>2021</w:t>
      </w:r>
      <w:r w:rsidR="00923601">
        <w:rPr>
          <w:lang w:val="en-GB"/>
        </w:rPr>
        <w:t xml:space="preserve"> in order </w:t>
      </w:r>
      <w:r w:rsidR="00E16330" w:rsidRPr="001E317B">
        <w:rPr>
          <w:lang w:val="en-GB"/>
        </w:rPr>
        <w:t>to en</w:t>
      </w:r>
      <w:r w:rsidR="00675839">
        <w:rPr>
          <w:lang w:val="en-GB"/>
        </w:rPr>
        <w:t xml:space="preserve">able </w:t>
      </w:r>
      <w:r w:rsidR="008F624E" w:rsidRPr="001E317B">
        <w:rPr>
          <w:lang w:val="en-GB"/>
        </w:rPr>
        <w:t xml:space="preserve">the secretariat </w:t>
      </w:r>
      <w:r w:rsidR="00675839">
        <w:rPr>
          <w:lang w:val="en-GB"/>
        </w:rPr>
        <w:t>to</w:t>
      </w:r>
      <w:r w:rsidR="00675839" w:rsidRPr="001E317B">
        <w:rPr>
          <w:lang w:val="en-GB"/>
        </w:rPr>
        <w:t xml:space="preserve"> </w:t>
      </w:r>
      <w:r w:rsidR="008F624E" w:rsidRPr="001E317B">
        <w:rPr>
          <w:lang w:val="en-GB"/>
        </w:rPr>
        <w:t>continue its work in 2020.</w:t>
      </w:r>
    </w:p>
    <w:p w14:paraId="34353264" w14:textId="77777777" w:rsidR="0001627D" w:rsidRPr="001E317B" w:rsidRDefault="0001627D" w:rsidP="00033BF5">
      <w:pPr>
        <w:pStyle w:val="CH2"/>
        <w:ind w:left="624" w:firstLine="0"/>
        <w:rPr>
          <w:b w:val="0"/>
          <w:color w:val="000000" w:themeColor="text1"/>
          <w:lang w:val="en-GB"/>
        </w:rPr>
      </w:pPr>
      <w:r w:rsidRPr="001E317B">
        <w:rPr>
          <w:color w:val="000000" w:themeColor="text1"/>
          <w:lang w:val="en-GB"/>
        </w:rPr>
        <w:t>Item 7</w:t>
      </w:r>
    </w:p>
    <w:p w14:paraId="77DAE6C3" w14:textId="5562C3F5" w:rsidR="0001627D" w:rsidRPr="001E317B" w:rsidRDefault="0001627D" w:rsidP="00033BF5">
      <w:pPr>
        <w:pStyle w:val="CH2"/>
        <w:ind w:left="624" w:firstLine="0"/>
        <w:rPr>
          <w:color w:val="000000" w:themeColor="text1"/>
          <w:lang w:val="en-GB"/>
        </w:rPr>
      </w:pPr>
      <w:r w:rsidRPr="001E317B">
        <w:rPr>
          <w:color w:val="000000" w:themeColor="text1"/>
          <w:lang w:val="en-GB"/>
        </w:rPr>
        <w:t xml:space="preserve">Venue and date of the </w:t>
      </w:r>
      <w:r w:rsidR="00924C90" w:rsidRPr="001E317B">
        <w:rPr>
          <w:color w:val="000000" w:themeColor="text1"/>
          <w:lang w:val="en-GB"/>
        </w:rPr>
        <w:t>third</w:t>
      </w:r>
      <w:r w:rsidRPr="001E317B">
        <w:rPr>
          <w:color w:val="000000" w:themeColor="text1"/>
          <w:lang w:val="en-GB"/>
        </w:rPr>
        <w:t xml:space="preserve"> meeting of the Conference of the Parties</w:t>
      </w:r>
    </w:p>
    <w:p w14:paraId="3AB48256" w14:textId="0611506B" w:rsidR="005B518D" w:rsidRPr="001E317B" w:rsidRDefault="009B4EA4" w:rsidP="00C40889">
      <w:pPr>
        <w:pStyle w:val="Normalnumber"/>
        <w:keepNext/>
        <w:keepLines/>
        <w:numPr>
          <w:ilvl w:val="0"/>
          <w:numId w:val="1"/>
        </w:numPr>
        <w:tabs>
          <w:tab w:val="clear" w:pos="567"/>
          <w:tab w:val="clear" w:pos="624"/>
        </w:tabs>
        <w:ind w:left="1276"/>
        <w:rPr>
          <w:color w:val="000000" w:themeColor="text1"/>
          <w:lang w:val="en-GB"/>
        </w:rPr>
      </w:pPr>
      <w:r w:rsidRPr="001E317B">
        <w:rPr>
          <w:color w:val="000000" w:themeColor="text1"/>
          <w:lang w:val="en-GB"/>
        </w:rPr>
        <w:t xml:space="preserve">In accordance with </w:t>
      </w:r>
      <w:r w:rsidR="00675839">
        <w:rPr>
          <w:color w:val="000000" w:themeColor="text1"/>
          <w:lang w:val="en-GB"/>
        </w:rPr>
        <w:t xml:space="preserve">rule 3 of </w:t>
      </w:r>
      <w:r w:rsidRPr="001E317B">
        <w:rPr>
          <w:color w:val="000000" w:themeColor="text1"/>
          <w:lang w:val="en-GB"/>
        </w:rPr>
        <w:t xml:space="preserve">the rules of procedure, </w:t>
      </w:r>
      <w:r w:rsidR="000E3F3F" w:rsidRPr="001E317B">
        <w:rPr>
          <w:lang w:val="en-GB"/>
        </w:rPr>
        <w:t xml:space="preserve">meetings of the Conference </w:t>
      </w:r>
      <w:r w:rsidR="00675839">
        <w:rPr>
          <w:lang w:val="en-GB"/>
        </w:rPr>
        <w:t>of the Parties are to</w:t>
      </w:r>
      <w:r w:rsidR="00675839" w:rsidRPr="001E317B">
        <w:rPr>
          <w:lang w:val="en-GB"/>
        </w:rPr>
        <w:t xml:space="preserve"> </w:t>
      </w:r>
      <w:r w:rsidR="000E3F3F" w:rsidRPr="001E317B">
        <w:rPr>
          <w:lang w:val="en-GB"/>
        </w:rPr>
        <w:t>take place at the</w:t>
      </w:r>
      <w:r w:rsidR="00555354">
        <w:rPr>
          <w:lang w:val="en-GB"/>
        </w:rPr>
        <w:t xml:space="preserve"> </w:t>
      </w:r>
      <w:r w:rsidR="00555354" w:rsidRPr="00DE516C">
        <w:rPr>
          <w:lang w:val="en-GB"/>
        </w:rPr>
        <w:t>seat</w:t>
      </w:r>
      <w:r w:rsidR="000E3F3F" w:rsidRPr="00DE516C">
        <w:rPr>
          <w:lang w:val="en-GB"/>
        </w:rPr>
        <w:t xml:space="preserve"> of</w:t>
      </w:r>
      <w:r w:rsidR="000E3F3F" w:rsidRPr="001E317B">
        <w:rPr>
          <w:lang w:val="en-GB"/>
        </w:rPr>
        <w:t xml:space="preserve"> the secretariat, unless the Conference </w:t>
      </w:r>
      <w:r w:rsidR="00675839">
        <w:rPr>
          <w:lang w:val="en-GB"/>
        </w:rPr>
        <w:t xml:space="preserve">of the Parties </w:t>
      </w:r>
      <w:r w:rsidR="000E3F3F" w:rsidRPr="001E317B">
        <w:rPr>
          <w:lang w:val="en-GB"/>
        </w:rPr>
        <w:t>decides otherwise or other appropriate arrangements are made by the secretariat i</w:t>
      </w:r>
      <w:r w:rsidRPr="001E317B">
        <w:rPr>
          <w:lang w:val="en-GB"/>
        </w:rPr>
        <w:t xml:space="preserve">n consultation with the parties. </w:t>
      </w:r>
      <w:r w:rsidR="00675839">
        <w:rPr>
          <w:lang w:val="en-GB"/>
        </w:rPr>
        <w:t>Rule 4 of the</w:t>
      </w:r>
      <w:r w:rsidR="00675839" w:rsidRPr="001E317B">
        <w:rPr>
          <w:lang w:val="en-GB"/>
        </w:rPr>
        <w:t xml:space="preserve"> </w:t>
      </w:r>
      <w:r w:rsidRPr="001E317B">
        <w:rPr>
          <w:lang w:val="en-GB"/>
        </w:rPr>
        <w:t>rules of procedure provide</w:t>
      </w:r>
      <w:r w:rsidR="00675839">
        <w:rPr>
          <w:lang w:val="en-GB"/>
        </w:rPr>
        <w:t>s</w:t>
      </w:r>
      <w:r w:rsidRPr="001E317B">
        <w:rPr>
          <w:lang w:val="en-GB"/>
        </w:rPr>
        <w:t xml:space="preserve"> that u</w:t>
      </w:r>
      <w:r w:rsidR="000E3F3F" w:rsidRPr="001E317B">
        <w:rPr>
          <w:lang w:val="en-GB"/>
        </w:rPr>
        <w:t>nless it decides otherwise, the Conference</w:t>
      </w:r>
      <w:r w:rsidR="009A231A">
        <w:rPr>
          <w:lang w:val="en-GB"/>
        </w:rPr>
        <w:t xml:space="preserve"> of the Parties is to</w:t>
      </w:r>
      <w:r w:rsidR="000E3F3F" w:rsidRPr="001E317B">
        <w:rPr>
          <w:lang w:val="en-GB"/>
        </w:rPr>
        <w:t xml:space="preserve"> hold its </w:t>
      </w:r>
      <w:r w:rsidRPr="001E317B">
        <w:rPr>
          <w:lang w:val="en-GB"/>
        </w:rPr>
        <w:t>second and t</w:t>
      </w:r>
      <w:r w:rsidR="000E3F3F" w:rsidRPr="001E317B">
        <w:rPr>
          <w:lang w:val="en-GB"/>
        </w:rPr>
        <w:t>hird ordinary meeting</w:t>
      </w:r>
      <w:r w:rsidRPr="001E317B">
        <w:rPr>
          <w:lang w:val="en-GB"/>
        </w:rPr>
        <w:t>s</w:t>
      </w:r>
      <w:r w:rsidR="000E3F3F" w:rsidRPr="001E317B">
        <w:rPr>
          <w:lang w:val="en-GB"/>
        </w:rPr>
        <w:t xml:space="preserve"> yearly.</w:t>
      </w:r>
      <w:r w:rsidR="0074380F" w:rsidRPr="001E317B">
        <w:rPr>
          <w:lang w:val="en-GB"/>
        </w:rPr>
        <w:t xml:space="preserve"> </w:t>
      </w:r>
      <w:r w:rsidRPr="001E317B">
        <w:rPr>
          <w:color w:val="000000" w:themeColor="text1"/>
          <w:lang w:val="en-GB"/>
        </w:rPr>
        <w:t>Consequently, t</w:t>
      </w:r>
      <w:r w:rsidR="0001627D" w:rsidRPr="001E317B">
        <w:rPr>
          <w:color w:val="000000" w:themeColor="text1"/>
          <w:lang w:val="en-GB"/>
        </w:rPr>
        <w:t xml:space="preserve">he </w:t>
      </w:r>
      <w:r w:rsidR="00217EE3" w:rsidRPr="001E317B">
        <w:rPr>
          <w:color w:val="000000" w:themeColor="text1"/>
          <w:lang w:val="en-GB"/>
        </w:rPr>
        <w:t>C</w:t>
      </w:r>
      <w:r w:rsidR="0001627D" w:rsidRPr="001E317B">
        <w:rPr>
          <w:color w:val="000000" w:themeColor="text1"/>
          <w:lang w:val="en-GB"/>
        </w:rPr>
        <w:t>onference</w:t>
      </w:r>
      <w:r w:rsidR="001158FB" w:rsidRPr="001E317B">
        <w:rPr>
          <w:color w:val="000000" w:themeColor="text1"/>
          <w:lang w:val="en-GB"/>
        </w:rPr>
        <w:t xml:space="preserve"> </w:t>
      </w:r>
      <w:r w:rsidR="009A231A">
        <w:rPr>
          <w:color w:val="000000" w:themeColor="text1"/>
          <w:lang w:val="en-GB"/>
        </w:rPr>
        <w:t xml:space="preserve">of the Parties </w:t>
      </w:r>
      <w:r w:rsidR="0001627D" w:rsidRPr="001E317B">
        <w:rPr>
          <w:color w:val="000000" w:themeColor="text1"/>
          <w:lang w:val="en-GB"/>
        </w:rPr>
        <w:t xml:space="preserve">may wish to consider the venue and date of </w:t>
      </w:r>
      <w:r w:rsidR="001158FB" w:rsidRPr="001E317B">
        <w:rPr>
          <w:color w:val="000000" w:themeColor="text1"/>
          <w:lang w:val="en-GB"/>
        </w:rPr>
        <w:t xml:space="preserve">its </w:t>
      </w:r>
      <w:r w:rsidR="00924C90" w:rsidRPr="001E317B">
        <w:rPr>
          <w:color w:val="000000" w:themeColor="text1"/>
          <w:lang w:val="en-GB"/>
        </w:rPr>
        <w:t>third</w:t>
      </w:r>
      <w:r w:rsidR="0001627D" w:rsidRPr="001E317B">
        <w:rPr>
          <w:color w:val="000000" w:themeColor="text1"/>
          <w:lang w:val="en-GB"/>
        </w:rPr>
        <w:t xml:space="preserve"> meeting</w:t>
      </w:r>
      <w:r w:rsidR="0074380F" w:rsidRPr="001E317B">
        <w:rPr>
          <w:color w:val="000000" w:themeColor="text1"/>
          <w:lang w:val="en-GB"/>
        </w:rPr>
        <w:t>.</w:t>
      </w:r>
      <w:r w:rsidR="00157B53" w:rsidRPr="001E317B">
        <w:rPr>
          <w:lang w:val="en-GB"/>
        </w:rPr>
        <w:t xml:space="preserve"> </w:t>
      </w:r>
      <w:r w:rsidR="00C40889">
        <w:rPr>
          <w:lang w:val="en-GB"/>
        </w:rPr>
        <w:t xml:space="preserve"> </w:t>
      </w:r>
    </w:p>
    <w:p w14:paraId="0FBE34C7" w14:textId="77777777" w:rsidR="0001627D" w:rsidRPr="001E317B" w:rsidRDefault="0001627D" w:rsidP="0074380F">
      <w:pPr>
        <w:pStyle w:val="CH2"/>
        <w:keepNext w:val="0"/>
        <w:keepLines w:val="0"/>
        <w:ind w:left="624" w:firstLine="0"/>
        <w:rPr>
          <w:bCs/>
          <w:color w:val="000000" w:themeColor="text1"/>
          <w:lang w:val="en-GB"/>
        </w:rPr>
      </w:pPr>
      <w:r w:rsidRPr="001E317B">
        <w:rPr>
          <w:bCs/>
          <w:color w:val="000000" w:themeColor="text1"/>
          <w:lang w:val="en-GB"/>
        </w:rPr>
        <w:t>Item 8</w:t>
      </w:r>
    </w:p>
    <w:p w14:paraId="0EFB7F93" w14:textId="422EDA7D" w:rsidR="0001627D" w:rsidRPr="001E317B" w:rsidRDefault="0001627D" w:rsidP="004E2C4A">
      <w:pPr>
        <w:pStyle w:val="CH2"/>
        <w:keepNext w:val="0"/>
        <w:keepLines w:val="0"/>
        <w:ind w:left="624" w:firstLine="0"/>
        <w:rPr>
          <w:b w:val="0"/>
          <w:color w:val="000000" w:themeColor="text1"/>
          <w:lang w:val="en-GB"/>
        </w:rPr>
      </w:pPr>
      <w:r w:rsidRPr="001E317B">
        <w:rPr>
          <w:color w:val="000000" w:themeColor="text1"/>
          <w:lang w:val="en-GB"/>
        </w:rPr>
        <w:t>Other matters</w:t>
      </w:r>
    </w:p>
    <w:p w14:paraId="6159F69A" w14:textId="6146BDF5" w:rsidR="0001627D" w:rsidRPr="001E317B" w:rsidRDefault="0001627D" w:rsidP="008F624E">
      <w:pPr>
        <w:pStyle w:val="Normalnumber"/>
        <w:numPr>
          <w:ilvl w:val="0"/>
          <w:numId w:val="1"/>
        </w:numPr>
        <w:tabs>
          <w:tab w:val="clear" w:pos="567"/>
        </w:tabs>
        <w:rPr>
          <w:color w:val="000000" w:themeColor="text1"/>
          <w:lang w:val="en-GB"/>
        </w:rPr>
      </w:pPr>
      <w:r w:rsidRPr="001E317B">
        <w:rPr>
          <w:color w:val="000000" w:themeColor="text1"/>
          <w:lang w:val="en-GB"/>
        </w:rPr>
        <w:t xml:space="preserve">The </w:t>
      </w:r>
      <w:r w:rsidR="00217EE3" w:rsidRPr="001E317B">
        <w:rPr>
          <w:color w:val="000000" w:themeColor="text1"/>
          <w:lang w:val="en-GB"/>
        </w:rPr>
        <w:t>C</w:t>
      </w:r>
      <w:r w:rsidRPr="001E317B">
        <w:rPr>
          <w:color w:val="000000" w:themeColor="text1"/>
          <w:lang w:val="en-GB"/>
        </w:rPr>
        <w:t xml:space="preserve">onference </w:t>
      </w:r>
      <w:r w:rsidR="009A231A">
        <w:rPr>
          <w:color w:val="000000" w:themeColor="text1"/>
          <w:lang w:val="en-GB"/>
        </w:rPr>
        <w:t xml:space="preserve">of the Parties </w:t>
      </w:r>
      <w:r w:rsidRPr="001E317B">
        <w:rPr>
          <w:color w:val="000000" w:themeColor="text1"/>
          <w:lang w:val="en-GB"/>
        </w:rPr>
        <w:t xml:space="preserve">may wish to consider other matters raised during the </w:t>
      </w:r>
      <w:r w:rsidR="004F78A7" w:rsidRPr="001E317B">
        <w:rPr>
          <w:color w:val="000000" w:themeColor="text1"/>
          <w:lang w:val="en-GB"/>
        </w:rPr>
        <w:t>meeting</w:t>
      </w:r>
      <w:r w:rsidR="00F553B7" w:rsidRPr="001E317B">
        <w:rPr>
          <w:color w:val="000000" w:themeColor="text1"/>
          <w:lang w:val="en-GB"/>
        </w:rPr>
        <w:t>.</w:t>
      </w:r>
      <w:r w:rsidR="00DA7B49" w:rsidRPr="001E317B">
        <w:rPr>
          <w:lang w:val="en-GB"/>
        </w:rPr>
        <w:t xml:space="preserve"> </w:t>
      </w:r>
      <w:r w:rsidR="008F624E" w:rsidRPr="001E317B">
        <w:rPr>
          <w:lang w:val="en-GB"/>
        </w:rPr>
        <w:t>Amon</w:t>
      </w:r>
      <w:r w:rsidR="009A231A">
        <w:rPr>
          <w:lang w:val="en-GB"/>
        </w:rPr>
        <w:t>g other things</w:t>
      </w:r>
      <w:r w:rsidR="008F624E" w:rsidRPr="001E317B">
        <w:rPr>
          <w:lang w:val="en-GB"/>
        </w:rPr>
        <w:t>, i</w:t>
      </w:r>
      <w:r w:rsidR="00DA7B49" w:rsidRPr="001E317B">
        <w:rPr>
          <w:lang w:val="en-GB"/>
        </w:rPr>
        <w:t xml:space="preserve">t may wish to consider the process for reviewing annexes A and B of the Convention pursuant to </w:t>
      </w:r>
      <w:r w:rsidR="00DA7B49" w:rsidRPr="00F12856">
        <w:rPr>
          <w:lang w:val="en-GB"/>
        </w:rPr>
        <w:t xml:space="preserve">paragraph 8 of </w:t>
      </w:r>
      <w:r w:rsidR="00DA7B49" w:rsidRPr="004A5CFC">
        <w:rPr>
          <w:lang w:val="en-GB"/>
        </w:rPr>
        <w:t>article 4 and paragraph</w:t>
      </w:r>
      <w:r w:rsidR="00DA7B49" w:rsidRPr="001E317B">
        <w:rPr>
          <w:lang w:val="en-GB"/>
        </w:rPr>
        <w:t xml:space="preserve"> 10 of article 5. </w:t>
      </w:r>
    </w:p>
    <w:p w14:paraId="535667BB" w14:textId="77777777" w:rsidR="0001627D" w:rsidRPr="001E317B" w:rsidRDefault="0001627D" w:rsidP="004E2C4A">
      <w:pPr>
        <w:pStyle w:val="CH2"/>
        <w:keepNext w:val="0"/>
        <w:keepLines w:val="0"/>
        <w:ind w:left="624" w:firstLine="0"/>
        <w:rPr>
          <w:b w:val="0"/>
          <w:color w:val="000000" w:themeColor="text1"/>
          <w:lang w:val="en-GB"/>
        </w:rPr>
      </w:pPr>
      <w:r w:rsidRPr="001E317B">
        <w:rPr>
          <w:color w:val="000000" w:themeColor="text1"/>
          <w:lang w:val="en-GB"/>
        </w:rPr>
        <w:t>Item 9</w:t>
      </w:r>
    </w:p>
    <w:p w14:paraId="34D65F74" w14:textId="7C623F04" w:rsidR="0001627D" w:rsidRPr="001E317B" w:rsidRDefault="0001627D" w:rsidP="004E2C4A">
      <w:pPr>
        <w:pStyle w:val="CH2"/>
        <w:keepNext w:val="0"/>
        <w:keepLines w:val="0"/>
        <w:ind w:left="624" w:firstLine="0"/>
        <w:rPr>
          <w:b w:val="0"/>
          <w:color w:val="000000" w:themeColor="text1"/>
          <w:lang w:val="en-GB"/>
        </w:rPr>
      </w:pPr>
      <w:r w:rsidRPr="001E317B">
        <w:rPr>
          <w:color w:val="000000" w:themeColor="text1"/>
          <w:lang w:val="en-GB"/>
        </w:rPr>
        <w:t>Adoption of the report</w:t>
      </w:r>
    </w:p>
    <w:p w14:paraId="62D943AD" w14:textId="71F25CD5" w:rsidR="00C6493A" w:rsidRPr="001E317B" w:rsidRDefault="00C6493A" w:rsidP="00A83724">
      <w:pPr>
        <w:pStyle w:val="Normalnumber"/>
        <w:numPr>
          <w:ilvl w:val="0"/>
          <w:numId w:val="1"/>
        </w:numPr>
        <w:tabs>
          <w:tab w:val="clear" w:pos="567"/>
        </w:tabs>
        <w:rPr>
          <w:color w:val="000000" w:themeColor="text1"/>
          <w:lang w:val="en-GB"/>
        </w:rPr>
      </w:pPr>
      <w:r w:rsidRPr="001E317B">
        <w:rPr>
          <w:color w:val="000000" w:themeColor="text1"/>
          <w:lang w:val="en-GB"/>
        </w:rPr>
        <w:t xml:space="preserve">The Conference </w:t>
      </w:r>
      <w:r w:rsidR="009A231A">
        <w:rPr>
          <w:color w:val="000000" w:themeColor="text1"/>
          <w:lang w:val="en-GB"/>
        </w:rPr>
        <w:t xml:space="preserve">of the Parties </w:t>
      </w:r>
      <w:r w:rsidRPr="001E317B">
        <w:rPr>
          <w:color w:val="000000" w:themeColor="text1"/>
          <w:lang w:val="en-GB"/>
        </w:rPr>
        <w:t xml:space="preserve">will be invited to consider and adopt the report of its </w:t>
      </w:r>
      <w:r w:rsidR="00924C90" w:rsidRPr="001E317B">
        <w:rPr>
          <w:color w:val="000000" w:themeColor="text1"/>
          <w:lang w:val="en-GB"/>
        </w:rPr>
        <w:t xml:space="preserve">second </w:t>
      </w:r>
      <w:r w:rsidRPr="001E317B">
        <w:rPr>
          <w:color w:val="000000" w:themeColor="text1"/>
          <w:lang w:val="en-GB"/>
        </w:rPr>
        <w:t>meeting</w:t>
      </w:r>
      <w:r w:rsidR="009A231A">
        <w:rPr>
          <w:color w:val="000000" w:themeColor="text1"/>
          <w:lang w:val="en-GB"/>
        </w:rPr>
        <w:t>,</w:t>
      </w:r>
      <w:r w:rsidRPr="001E317B">
        <w:rPr>
          <w:color w:val="000000" w:themeColor="text1"/>
          <w:lang w:val="en-GB"/>
        </w:rPr>
        <w:t xml:space="preserve"> prepared by the rapporteur</w:t>
      </w:r>
      <w:r w:rsidR="009A231A">
        <w:rPr>
          <w:color w:val="000000" w:themeColor="text1"/>
          <w:lang w:val="en-GB"/>
        </w:rPr>
        <w:t>,</w:t>
      </w:r>
      <w:r w:rsidRPr="001E317B">
        <w:rPr>
          <w:color w:val="000000" w:themeColor="text1"/>
          <w:lang w:val="en-GB"/>
        </w:rPr>
        <w:t xml:space="preserve"> at a plenary meeting on Friday</w:t>
      </w:r>
      <w:r w:rsidR="00A83724" w:rsidRPr="001E317B">
        <w:rPr>
          <w:color w:val="000000" w:themeColor="text1"/>
          <w:lang w:val="en-GB"/>
        </w:rPr>
        <w:t>,</w:t>
      </w:r>
      <w:r w:rsidRPr="001E317B">
        <w:rPr>
          <w:color w:val="000000" w:themeColor="text1"/>
          <w:lang w:val="en-GB"/>
        </w:rPr>
        <w:t xml:space="preserve"> </w:t>
      </w:r>
      <w:r w:rsidR="00924C90" w:rsidRPr="001E317B">
        <w:rPr>
          <w:color w:val="000000" w:themeColor="text1"/>
          <w:lang w:val="en-GB"/>
        </w:rPr>
        <w:t>23 November</w:t>
      </w:r>
      <w:r w:rsidRPr="001E317B">
        <w:rPr>
          <w:color w:val="000000" w:themeColor="text1"/>
          <w:lang w:val="en-GB"/>
        </w:rPr>
        <w:t>, with any amendments that may be necessary. Consistent with standard United Nations practice, the meeting may wish to agree that the section of the report pertaining to the plenary meetings that take place on the last day of the meeting will be prepared by the rapporteur, with the support of the secretariat, and incorporated into the report of the meeting under the authority of the President of the Bureau. The final report of the meeting</w:t>
      </w:r>
      <w:r w:rsidR="00924C90" w:rsidRPr="001E317B">
        <w:rPr>
          <w:color w:val="000000" w:themeColor="text1"/>
          <w:lang w:val="en-GB"/>
        </w:rPr>
        <w:t xml:space="preserve"> </w:t>
      </w:r>
      <w:r w:rsidRPr="001E317B">
        <w:rPr>
          <w:color w:val="000000" w:themeColor="text1"/>
          <w:lang w:val="en-GB"/>
        </w:rPr>
        <w:t>will be circulated after the closure of the meeting.</w:t>
      </w:r>
    </w:p>
    <w:p w14:paraId="12ED9A29" w14:textId="77777777" w:rsidR="0001627D" w:rsidRPr="001E317B" w:rsidRDefault="0001627D" w:rsidP="004E2C4A">
      <w:pPr>
        <w:pStyle w:val="CH2"/>
        <w:keepNext w:val="0"/>
        <w:keepLines w:val="0"/>
        <w:ind w:left="624" w:firstLine="0"/>
        <w:rPr>
          <w:b w:val="0"/>
          <w:color w:val="000000" w:themeColor="text1"/>
          <w:lang w:val="en-GB"/>
        </w:rPr>
      </w:pPr>
      <w:r w:rsidRPr="001E317B">
        <w:rPr>
          <w:color w:val="000000" w:themeColor="text1"/>
          <w:lang w:val="en-GB"/>
        </w:rPr>
        <w:t>Item 10</w:t>
      </w:r>
    </w:p>
    <w:p w14:paraId="403FD96E" w14:textId="1A698ADD" w:rsidR="0001627D" w:rsidRPr="001E317B" w:rsidRDefault="0001627D" w:rsidP="004E2C4A">
      <w:pPr>
        <w:pStyle w:val="CH2"/>
        <w:keepNext w:val="0"/>
        <w:keepLines w:val="0"/>
        <w:ind w:left="624" w:firstLine="0"/>
        <w:rPr>
          <w:b w:val="0"/>
          <w:color w:val="000000" w:themeColor="text1"/>
          <w:lang w:val="en-GB"/>
        </w:rPr>
      </w:pPr>
      <w:r w:rsidRPr="001E317B">
        <w:rPr>
          <w:color w:val="000000" w:themeColor="text1"/>
          <w:lang w:val="en-GB"/>
        </w:rPr>
        <w:t>Closure of the meeting</w:t>
      </w:r>
    </w:p>
    <w:p w14:paraId="6C853630" w14:textId="02391D70" w:rsidR="0001627D" w:rsidRPr="001E317B" w:rsidRDefault="0001627D" w:rsidP="00924C90">
      <w:pPr>
        <w:pStyle w:val="Normalnumber"/>
        <w:numPr>
          <w:ilvl w:val="0"/>
          <w:numId w:val="1"/>
        </w:numPr>
        <w:tabs>
          <w:tab w:val="clear" w:pos="567"/>
        </w:tabs>
        <w:rPr>
          <w:color w:val="000000" w:themeColor="text1"/>
          <w:lang w:val="en-GB"/>
        </w:rPr>
      </w:pPr>
      <w:r w:rsidRPr="001E317B">
        <w:rPr>
          <w:color w:val="000000" w:themeColor="text1"/>
          <w:lang w:val="en-GB"/>
        </w:rPr>
        <w:t xml:space="preserve">It is expected that the </w:t>
      </w:r>
      <w:r w:rsidR="00147492" w:rsidRPr="001E317B">
        <w:rPr>
          <w:color w:val="000000" w:themeColor="text1"/>
          <w:lang w:val="en-GB"/>
        </w:rPr>
        <w:t xml:space="preserve">second </w:t>
      </w:r>
      <w:r w:rsidRPr="001E317B">
        <w:rPr>
          <w:color w:val="000000" w:themeColor="text1"/>
          <w:lang w:val="en-GB"/>
        </w:rPr>
        <w:t>meeting of the Conference of the Parties will conclude its work by 6</w:t>
      </w:r>
      <w:r w:rsidR="001158FB" w:rsidRPr="001E317B">
        <w:rPr>
          <w:color w:val="000000" w:themeColor="text1"/>
          <w:lang w:val="en-GB"/>
        </w:rPr>
        <w:t> </w:t>
      </w:r>
      <w:r w:rsidRPr="001E317B">
        <w:rPr>
          <w:color w:val="000000" w:themeColor="text1"/>
          <w:lang w:val="en-GB"/>
        </w:rPr>
        <w:t>p.m. on Friday</w:t>
      </w:r>
      <w:r w:rsidR="00A83724" w:rsidRPr="001E317B">
        <w:rPr>
          <w:color w:val="000000" w:themeColor="text1"/>
          <w:lang w:val="en-GB"/>
        </w:rPr>
        <w:t>,</w:t>
      </w:r>
      <w:r w:rsidRPr="001E317B">
        <w:rPr>
          <w:color w:val="000000" w:themeColor="text1"/>
          <w:lang w:val="en-GB"/>
        </w:rPr>
        <w:t xml:space="preserve"> </w:t>
      </w:r>
      <w:r w:rsidR="00924C90" w:rsidRPr="001E317B">
        <w:rPr>
          <w:color w:val="000000" w:themeColor="text1"/>
          <w:lang w:val="en-GB"/>
        </w:rPr>
        <w:t>23 November 2018.</w:t>
      </w:r>
    </w:p>
    <w:tbl>
      <w:tblPr>
        <w:tblW w:w="0" w:type="auto"/>
        <w:tblLook w:val="04A0" w:firstRow="1" w:lastRow="0" w:firstColumn="1" w:lastColumn="0" w:noHBand="0" w:noVBand="1"/>
      </w:tblPr>
      <w:tblGrid>
        <w:gridCol w:w="1898"/>
        <w:gridCol w:w="1899"/>
        <w:gridCol w:w="1899"/>
        <w:gridCol w:w="1900"/>
        <w:gridCol w:w="1900"/>
      </w:tblGrid>
      <w:tr w:rsidR="007F33C2" w:rsidRPr="008E2BEE" w14:paraId="31AF8C7B" w14:textId="77777777" w:rsidTr="00AF4250">
        <w:tc>
          <w:tcPr>
            <w:tcW w:w="1942" w:type="dxa"/>
            <w:shd w:val="clear" w:color="auto" w:fill="auto"/>
          </w:tcPr>
          <w:p w14:paraId="4D7CB87D" w14:textId="77777777" w:rsidR="0001627D" w:rsidRPr="001E317B" w:rsidRDefault="0001627D" w:rsidP="00033BF5">
            <w:pPr>
              <w:pStyle w:val="Normal-pool"/>
              <w:spacing w:before="520"/>
              <w:rPr>
                <w:color w:val="000000" w:themeColor="text1"/>
              </w:rPr>
            </w:pPr>
          </w:p>
        </w:tc>
        <w:tc>
          <w:tcPr>
            <w:tcW w:w="1942" w:type="dxa"/>
            <w:shd w:val="clear" w:color="auto" w:fill="auto"/>
          </w:tcPr>
          <w:p w14:paraId="44BE605D" w14:textId="77777777" w:rsidR="0001627D" w:rsidRPr="001E317B" w:rsidRDefault="0001627D" w:rsidP="00033BF5">
            <w:pPr>
              <w:pStyle w:val="Normal-pool"/>
              <w:spacing w:before="520"/>
              <w:rPr>
                <w:color w:val="000000" w:themeColor="text1"/>
              </w:rPr>
            </w:pPr>
          </w:p>
        </w:tc>
        <w:tc>
          <w:tcPr>
            <w:tcW w:w="1942" w:type="dxa"/>
            <w:tcBorders>
              <w:bottom w:val="single" w:sz="4" w:space="0" w:color="auto"/>
            </w:tcBorders>
            <w:shd w:val="clear" w:color="auto" w:fill="auto"/>
          </w:tcPr>
          <w:p w14:paraId="5683982A" w14:textId="77777777" w:rsidR="0001627D" w:rsidRPr="001E317B" w:rsidRDefault="0001627D" w:rsidP="00033BF5">
            <w:pPr>
              <w:pStyle w:val="Normal-pool"/>
              <w:spacing w:before="520"/>
              <w:rPr>
                <w:color w:val="000000" w:themeColor="text1"/>
              </w:rPr>
            </w:pPr>
          </w:p>
        </w:tc>
        <w:tc>
          <w:tcPr>
            <w:tcW w:w="1943" w:type="dxa"/>
            <w:shd w:val="clear" w:color="auto" w:fill="auto"/>
          </w:tcPr>
          <w:p w14:paraId="11716EEF" w14:textId="77777777" w:rsidR="0001627D" w:rsidRPr="001E317B" w:rsidRDefault="0001627D" w:rsidP="00033BF5">
            <w:pPr>
              <w:pStyle w:val="Normal-pool"/>
              <w:spacing w:before="520"/>
              <w:rPr>
                <w:color w:val="000000" w:themeColor="text1"/>
              </w:rPr>
            </w:pPr>
          </w:p>
        </w:tc>
        <w:tc>
          <w:tcPr>
            <w:tcW w:w="1943" w:type="dxa"/>
            <w:shd w:val="clear" w:color="auto" w:fill="auto"/>
          </w:tcPr>
          <w:p w14:paraId="47B97AF9" w14:textId="77777777" w:rsidR="0001627D" w:rsidRPr="001E317B" w:rsidRDefault="0001627D" w:rsidP="00033BF5">
            <w:pPr>
              <w:pStyle w:val="Normal-pool"/>
              <w:spacing w:before="520"/>
              <w:rPr>
                <w:color w:val="000000" w:themeColor="text1"/>
              </w:rPr>
            </w:pPr>
          </w:p>
        </w:tc>
      </w:tr>
    </w:tbl>
    <w:p w14:paraId="36AD2559" w14:textId="77777777" w:rsidR="0001627D" w:rsidRPr="001E317B" w:rsidRDefault="0001627D" w:rsidP="0001627D">
      <w:pPr>
        <w:pStyle w:val="Normal-pool"/>
        <w:rPr>
          <w:color w:val="000000" w:themeColor="text1"/>
        </w:rPr>
      </w:pPr>
    </w:p>
    <w:sectPr w:rsidR="0001627D" w:rsidRPr="001E317B" w:rsidSect="000E39A5">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AA505" w14:textId="77777777" w:rsidR="00F13EB8" w:rsidRDefault="00F13EB8">
      <w:r>
        <w:separator/>
      </w:r>
    </w:p>
  </w:endnote>
  <w:endnote w:type="continuationSeparator" w:id="0">
    <w:p w14:paraId="50B2DA2E" w14:textId="77777777" w:rsidR="00F13EB8" w:rsidRDefault="00F1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791903"/>
      <w:docPartObj>
        <w:docPartGallery w:val="Page Numbers (Bottom of Page)"/>
        <w:docPartUnique/>
      </w:docPartObj>
    </w:sdtPr>
    <w:sdtEndPr>
      <w:rPr>
        <w:b/>
        <w:noProof/>
        <w:sz w:val="18"/>
        <w:szCs w:val="18"/>
      </w:rPr>
    </w:sdtEndPr>
    <w:sdtContent>
      <w:p w14:paraId="4BE5B2D9" w14:textId="7BF92281" w:rsidR="0055005F" w:rsidRPr="00C424A2" w:rsidRDefault="0055005F" w:rsidP="00C424A2">
        <w:pPr>
          <w:pStyle w:val="Normal-pool"/>
          <w:rPr>
            <w:b/>
            <w:sz w:val="18"/>
            <w:szCs w:val="18"/>
          </w:rPr>
        </w:pPr>
        <w:r w:rsidRPr="00C424A2">
          <w:rPr>
            <w:b/>
            <w:sz w:val="18"/>
            <w:szCs w:val="18"/>
          </w:rPr>
          <w:fldChar w:fldCharType="begin"/>
        </w:r>
        <w:r w:rsidRPr="00C424A2">
          <w:rPr>
            <w:b/>
            <w:sz w:val="18"/>
            <w:szCs w:val="18"/>
          </w:rPr>
          <w:instrText xml:space="preserve"> PAGE   \* MERGEFORMAT </w:instrText>
        </w:r>
        <w:r w:rsidRPr="00C424A2">
          <w:rPr>
            <w:b/>
            <w:sz w:val="18"/>
            <w:szCs w:val="18"/>
          </w:rPr>
          <w:fldChar w:fldCharType="separate"/>
        </w:r>
        <w:r w:rsidR="00A939BA">
          <w:rPr>
            <w:b/>
            <w:noProof/>
            <w:sz w:val="18"/>
            <w:szCs w:val="18"/>
          </w:rPr>
          <w:t>2</w:t>
        </w:r>
        <w:r w:rsidRPr="00C424A2">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60C1D" w14:textId="6FF7A65A" w:rsidR="0055005F" w:rsidRDefault="0055005F" w:rsidP="00035EDE">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A939BA">
      <w:rPr>
        <w:rStyle w:val="Numrodepage"/>
        <w:noProof/>
      </w:rPr>
      <w:t>3</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2B47" w14:textId="1C195029" w:rsidR="0055005F" w:rsidRDefault="0055005F" w:rsidP="00033BF5">
    <w:pPr>
      <w:pStyle w:val="Pieddepage"/>
      <w:tabs>
        <w:tab w:val="clear" w:pos="1247"/>
        <w:tab w:val="clear" w:pos="1814"/>
        <w:tab w:val="clear" w:pos="2381"/>
        <w:tab w:val="clear" w:pos="2948"/>
        <w:tab w:val="clear" w:pos="3515"/>
        <w:tab w:val="clear" w:pos="4320"/>
        <w:tab w:val="clear" w:pos="8640"/>
        <w:tab w:val="left" w:pos="624"/>
      </w:tabs>
    </w:pPr>
    <w:r>
      <w:rPr>
        <w:rStyle w:val="job-value"/>
      </w:rPr>
      <w:t>K1803146</w:t>
    </w:r>
    <w:r>
      <w:rPr>
        <w:rStyle w:val="job-value"/>
      </w:rPr>
      <w:tab/>
    </w:r>
    <w:r w:rsidR="00094FCB">
      <w:rPr>
        <w:rStyle w:val="job-value"/>
      </w:rPr>
      <w:t>0911</w:t>
    </w:r>
    <w:r>
      <w:rPr>
        <w:rStyle w:val="job-value"/>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663CA" w14:textId="77777777" w:rsidR="00F13EB8" w:rsidRPr="006A395C" w:rsidRDefault="00F13EB8" w:rsidP="006A395C">
      <w:pPr>
        <w:tabs>
          <w:tab w:val="clear" w:pos="1247"/>
          <w:tab w:val="clear" w:pos="1814"/>
          <w:tab w:val="clear" w:pos="2381"/>
          <w:tab w:val="clear" w:pos="2948"/>
          <w:tab w:val="clear" w:pos="3515"/>
          <w:tab w:val="left" w:pos="624"/>
        </w:tabs>
        <w:spacing w:before="60"/>
        <w:ind w:left="624"/>
        <w:rPr>
          <w:sz w:val="18"/>
          <w:szCs w:val="18"/>
        </w:rPr>
      </w:pPr>
      <w:r w:rsidRPr="006A395C">
        <w:rPr>
          <w:sz w:val="18"/>
          <w:szCs w:val="18"/>
        </w:rPr>
        <w:separator/>
      </w:r>
    </w:p>
  </w:footnote>
  <w:footnote w:type="continuationSeparator" w:id="0">
    <w:p w14:paraId="55305017" w14:textId="77777777" w:rsidR="00F13EB8" w:rsidRDefault="00F13EB8">
      <w:r>
        <w:continuationSeparator/>
      </w:r>
    </w:p>
  </w:footnote>
  <w:footnote w:id="1">
    <w:p w14:paraId="32B5D367" w14:textId="44A1EADC" w:rsidR="0055005F" w:rsidRPr="004F122C" w:rsidRDefault="0055005F" w:rsidP="00015D8E">
      <w:pPr>
        <w:tabs>
          <w:tab w:val="clear" w:pos="1247"/>
          <w:tab w:val="clear" w:pos="1814"/>
          <w:tab w:val="clear" w:pos="2381"/>
          <w:tab w:val="clear" w:pos="2948"/>
          <w:tab w:val="clear" w:pos="3515"/>
          <w:tab w:val="left" w:pos="624"/>
        </w:tabs>
        <w:spacing w:before="20" w:after="40"/>
        <w:ind w:left="1247"/>
        <w:rPr>
          <w:sz w:val="18"/>
          <w:szCs w:val="18"/>
          <w:lang w:val="en-US"/>
        </w:rPr>
      </w:pPr>
      <w:r w:rsidRPr="004F122C">
        <w:rPr>
          <w:sz w:val="18"/>
          <w:szCs w:val="18"/>
          <w:lang w:val="en-US"/>
        </w:rPr>
        <w:t>* UNEP/MC/COP.</w:t>
      </w:r>
      <w:r>
        <w:rPr>
          <w:sz w:val="18"/>
          <w:szCs w:val="18"/>
          <w:lang w:val="en-US"/>
        </w:rPr>
        <w:t>2</w:t>
      </w:r>
      <w:r w:rsidRPr="004F122C">
        <w:rPr>
          <w:sz w:val="18"/>
          <w:szCs w:val="18"/>
          <w:lang w:val="en-US"/>
        </w:rPr>
        <w:t>/1.</w:t>
      </w:r>
    </w:p>
  </w:footnote>
  <w:footnote w:id="2">
    <w:p w14:paraId="47716E8E" w14:textId="0672AFD9" w:rsidR="0055005F" w:rsidRPr="00FA01F2" w:rsidRDefault="0055005F">
      <w:pPr>
        <w:pStyle w:val="Notedebasdepage"/>
        <w:rPr>
          <w:szCs w:val="18"/>
          <w:lang w:val="en-US"/>
        </w:rPr>
      </w:pPr>
      <w:r w:rsidRPr="00FA01F2">
        <w:rPr>
          <w:rStyle w:val="Appelnotedebasdep"/>
          <w:sz w:val="18"/>
        </w:rPr>
        <w:footnoteRef/>
      </w:r>
      <w:r w:rsidRPr="00FA01F2">
        <w:rPr>
          <w:szCs w:val="18"/>
          <w:lang w:val="en-US"/>
        </w:rPr>
        <w:t xml:space="preserve"> </w:t>
      </w:r>
      <w:r w:rsidRPr="00FA01F2">
        <w:rPr>
          <w:bCs/>
          <w:szCs w:val="18"/>
          <w:lang w:val="en-US"/>
        </w:rPr>
        <w:t xml:space="preserve">Secretariat of the </w:t>
      </w:r>
      <w:r w:rsidRPr="00FA01F2">
        <w:rPr>
          <w:szCs w:val="18"/>
          <w:lang w:val="en-US"/>
        </w:rPr>
        <w:t>Basel Convention on the</w:t>
      </w:r>
      <w:r w:rsidR="000F7B13">
        <w:rPr>
          <w:szCs w:val="18"/>
          <w:lang w:val="en-US"/>
        </w:rPr>
        <w:t xml:space="preserve"> Control of</w:t>
      </w:r>
      <w:r w:rsidRPr="00FA01F2">
        <w:rPr>
          <w:szCs w:val="18"/>
          <w:lang w:val="en-US"/>
        </w:rPr>
        <w:t xml:space="preserve"> Transboundary Movements of Hazardous Wastes and Their Disposal, the Rotterdam Convention on the Prior Informed Consent Procedure for Certain Hazardous Chemicals and Pesticides in International Trade and the Stockholm Convention on Persistent Organic Pollutants.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26530" w14:textId="042779B8" w:rsidR="0055005F" w:rsidRPr="00D810BF" w:rsidRDefault="0055005F">
    <w:pPr>
      <w:pStyle w:val="En-tte"/>
      <w:rPr>
        <w:szCs w:val="18"/>
      </w:rPr>
    </w:pPr>
    <w:r w:rsidRPr="004E2C4A">
      <w:rPr>
        <w:bCs/>
        <w:szCs w:val="18"/>
        <w:lang w:val="en-GB"/>
      </w:rPr>
      <w:t>UNEP/</w:t>
    </w:r>
    <w:r>
      <w:rPr>
        <w:szCs w:val="18"/>
        <w:lang w:val="en-GB"/>
      </w:rPr>
      <w:t>MC/COP.2</w:t>
    </w:r>
    <w:r w:rsidRPr="004E2C4A">
      <w:rPr>
        <w:szCs w:val="18"/>
        <w:lang w:val="en-GB"/>
      </w:rPr>
      <w:t>/1/Add.1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3CBDF" w14:textId="79752B6E" w:rsidR="0055005F" w:rsidRDefault="0055005F" w:rsidP="00035EDE">
    <w:pPr>
      <w:pStyle w:val="En-tte"/>
      <w:jc w:val="right"/>
    </w:pPr>
    <w:r w:rsidRPr="0030068A">
      <w:rPr>
        <w:bCs/>
        <w:szCs w:val="18"/>
        <w:lang w:val="en-GB"/>
      </w:rPr>
      <w:t>UNEP/</w:t>
    </w:r>
    <w:r>
      <w:rPr>
        <w:szCs w:val="18"/>
        <w:lang w:val="en-GB"/>
      </w:rPr>
      <w:t>MC/COP.2</w:t>
    </w:r>
    <w:r w:rsidRPr="0030068A">
      <w:rPr>
        <w:szCs w:val="18"/>
        <w:lang w:val="en-GB"/>
      </w:rPr>
      <w:t>/1/Add.1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35664" w14:textId="6D55804A" w:rsidR="0055005F" w:rsidRDefault="0055005F" w:rsidP="00FF4108">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B117B"/>
    <w:multiLevelType w:val="hybridMultilevel"/>
    <w:tmpl w:val="753263C2"/>
    <w:lvl w:ilvl="0" w:tplc="130C25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2" w15:restartNumberingAfterBreak="0">
    <w:nsid w:val="201C7F90"/>
    <w:multiLevelType w:val="hybridMultilevel"/>
    <w:tmpl w:val="08FE62D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3" w15:restartNumberingAfterBreak="0">
    <w:nsid w:val="2F003D0C"/>
    <w:multiLevelType w:val="multilevel"/>
    <w:tmpl w:val="A5E488C4"/>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4" w15:restartNumberingAfterBreak="0">
    <w:nsid w:val="33DF2078"/>
    <w:multiLevelType w:val="hybridMultilevel"/>
    <w:tmpl w:val="A6E8ADCA"/>
    <w:lvl w:ilvl="0" w:tplc="04090001">
      <w:start w:val="1"/>
      <w:numFmt w:val="bullet"/>
      <w:lvlText w:val=""/>
      <w:lvlJc w:val="left"/>
      <w:pPr>
        <w:ind w:left="1608" w:hanging="360"/>
      </w:pPr>
      <w:rPr>
        <w:rFonts w:ascii="Symbol" w:hAnsi="Symbol" w:hint="default"/>
      </w:rPr>
    </w:lvl>
    <w:lvl w:ilvl="1" w:tplc="08090019" w:tentative="1">
      <w:start w:val="1"/>
      <w:numFmt w:val="lowerLetter"/>
      <w:lvlText w:val="%2."/>
      <w:lvlJc w:val="left"/>
      <w:pPr>
        <w:ind w:left="2328" w:hanging="360"/>
      </w:pPr>
    </w:lvl>
    <w:lvl w:ilvl="2" w:tplc="0809001B" w:tentative="1">
      <w:start w:val="1"/>
      <w:numFmt w:val="lowerRoman"/>
      <w:lvlText w:val="%3."/>
      <w:lvlJc w:val="right"/>
      <w:pPr>
        <w:ind w:left="3048" w:hanging="180"/>
      </w:pPr>
    </w:lvl>
    <w:lvl w:ilvl="3" w:tplc="0809000F" w:tentative="1">
      <w:start w:val="1"/>
      <w:numFmt w:val="decimal"/>
      <w:lvlText w:val="%4."/>
      <w:lvlJc w:val="left"/>
      <w:pPr>
        <w:ind w:left="3768" w:hanging="360"/>
      </w:pPr>
    </w:lvl>
    <w:lvl w:ilvl="4" w:tplc="08090019" w:tentative="1">
      <w:start w:val="1"/>
      <w:numFmt w:val="lowerLetter"/>
      <w:lvlText w:val="%5."/>
      <w:lvlJc w:val="left"/>
      <w:pPr>
        <w:ind w:left="4488" w:hanging="360"/>
      </w:pPr>
    </w:lvl>
    <w:lvl w:ilvl="5" w:tplc="0809001B" w:tentative="1">
      <w:start w:val="1"/>
      <w:numFmt w:val="lowerRoman"/>
      <w:lvlText w:val="%6."/>
      <w:lvlJc w:val="right"/>
      <w:pPr>
        <w:ind w:left="5208" w:hanging="180"/>
      </w:pPr>
    </w:lvl>
    <w:lvl w:ilvl="6" w:tplc="0809000F" w:tentative="1">
      <w:start w:val="1"/>
      <w:numFmt w:val="decimal"/>
      <w:lvlText w:val="%7."/>
      <w:lvlJc w:val="left"/>
      <w:pPr>
        <w:ind w:left="5928" w:hanging="360"/>
      </w:pPr>
    </w:lvl>
    <w:lvl w:ilvl="7" w:tplc="08090019" w:tentative="1">
      <w:start w:val="1"/>
      <w:numFmt w:val="lowerLetter"/>
      <w:lvlText w:val="%8."/>
      <w:lvlJc w:val="left"/>
      <w:pPr>
        <w:ind w:left="6648" w:hanging="360"/>
      </w:pPr>
    </w:lvl>
    <w:lvl w:ilvl="8" w:tplc="0809001B" w:tentative="1">
      <w:start w:val="1"/>
      <w:numFmt w:val="lowerRoman"/>
      <w:lvlText w:val="%9."/>
      <w:lvlJc w:val="right"/>
      <w:pPr>
        <w:ind w:left="7368" w:hanging="180"/>
      </w:pPr>
    </w:lvl>
  </w:abstractNum>
  <w:abstractNum w:abstractNumId="5" w15:restartNumberingAfterBreak="0">
    <w:nsid w:val="34D8005F"/>
    <w:multiLevelType w:val="hybridMultilevel"/>
    <w:tmpl w:val="AB98917C"/>
    <w:lvl w:ilvl="0" w:tplc="C8D66788">
      <w:start w:val="1"/>
      <w:numFmt w:val="decimal"/>
      <w:lvlText w:val="%1."/>
      <w:lvlJc w:val="left"/>
      <w:pPr>
        <w:ind w:left="1530" w:hanging="360"/>
      </w:pPr>
      <w:rPr>
        <w:rFonts w:hint="default"/>
        <w:b w:val="0"/>
        <w:i w:val="0"/>
      </w:rPr>
    </w:lvl>
    <w:lvl w:ilvl="1" w:tplc="FF98245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7" w15:restartNumberingAfterBreak="0">
    <w:nsid w:val="52A66A9D"/>
    <w:multiLevelType w:val="multilevel"/>
    <w:tmpl w:val="D6086A58"/>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Letter"/>
      <w:lvlText w:val="(%3)"/>
      <w:lvlJc w:val="left"/>
      <w:pPr>
        <w:tabs>
          <w:tab w:val="num" w:pos="567"/>
        </w:tabs>
        <w:ind w:left="2948" w:hanging="567"/>
      </w:pPr>
      <w:rPr>
        <w:rFonts w:ascii="Times New Roman" w:eastAsia="Times New Roman" w:hAnsi="Times New Roman" w:cs="Times New Roman"/>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62291BF8"/>
    <w:multiLevelType w:val="multilevel"/>
    <w:tmpl w:val="D6086A58"/>
    <w:numStyleLink w:val="Normallist"/>
  </w:abstractNum>
  <w:abstractNum w:abstractNumId="9" w15:restartNumberingAfterBreak="0">
    <w:nsid w:val="6AF45945"/>
    <w:multiLevelType w:val="hybridMultilevel"/>
    <w:tmpl w:val="F5A2F366"/>
    <w:lvl w:ilvl="0" w:tplc="040C000F">
      <w:start w:val="1"/>
      <w:numFmt w:val="decimal"/>
      <w:lvlText w:val="%1."/>
      <w:lvlJc w:val="left"/>
      <w:pPr>
        <w:ind w:left="2563" w:hanging="360"/>
      </w:p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10" w15:restartNumberingAfterBreak="0">
    <w:nsid w:val="72ED4F3F"/>
    <w:multiLevelType w:val="hybridMultilevel"/>
    <w:tmpl w:val="F7CAC70E"/>
    <w:lvl w:ilvl="0" w:tplc="EAFE9C00">
      <w:start w:val="1"/>
      <w:numFmt w:val="lowerLetter"/>
      <w:lvlText w:val="(%1)"/>
      <w:lvlJc w:val="left"/>
      <w:pPr>
        <w:ind w:left="3905" w:hanging="360"/>
      </w:pPr>
      <w:rPr>
        <w:rFonts w:hint="default"/>
      </w:rPr>
    </w:lvl>
    <w:lvl w:ilvl="1" w:tplc="08090019" w:tentative="1">
      <w:start w:val="1"/>
      <w:numFmt w:val="lowerLetter"/>
      <w:lvlText w:val="%2."/>
      <w:lvlJc w:val="left"/>
      <w:pPr>
        <w:ind w:left="4625" w:hanging="360"/>
      </w:pPr>
    </w:lvl>
    <w:lvl w:ilvl="2" w:tplc="0809001B" w:tentative="1">
      <w:start w:val="1"/>
      <w:numFmt w:val="lowerRoman"/>
      <w:lvlText w:val="%3."/>
      <w:lvlJc w:val="right"/>
      <w:pPr>
        <w:ind w:left="5345" w:hanging="180"/>
      </w:pPr>
    </w:lvl>
    <w:lvl w:ilvl="3" w:tplc="0809000F" w:tentative="1">
      <w:start w:val="1"/>
      <w:numFmt w:val="decimal"/>
      <w:lvlText w:val="%4."/>
      <w:lvlJc w:val="left"/>
      <w:pPr>
        <w:ind w:left="6065" w:hanging="360"/>
      </w:pPr>
    </w:lvl>
    <w:lvl w:ilvl="4" w:tplc="08090019" w:tentative="1">
      <w:start w:val="1"/>
      <w:numFmt w:val="lowerLetter"/>
      <w:lvlText w:val="%5."/>
      <w:lvlJc w:val="left"/>
      <w:pPr>
        <w:ind w:left="6785" w:hanging="360"/>
      </w:pPr>
    </w:lvl>
    <w:lvl w:ilvl="5" w:tplc="0809001B" w:tentative="1">
      <w:start w:val="1"/>
      <w:numFmt w:val="lowerRoman"/>
      <w:lvlText w:val="%6."/>
      <w:lvlJc w:val="right"/>
      <w:pPr>
        <w:ind w:left="7505" w:hanging="180"/>
      </w:pPr>
    </w:lvl>
    <w:lvl w:ilvl="6" w:tplc="0809000F" w:tentative="1">
      <w:start w:val="1"/>
      <w:numFmt w:val="decimal"/>
      <w:lvlText w:val="%7."/>
      <w:lvlJc w:val="left"/>
      <w:pPr>
        <w:ind w:left="8225" w:hanging="360"/>
      </w:pPr>
    </w:lvl>
    <w:lvl w:ilvl="7" w:tplc="08090019" w:tentative="1">
      <w:start w:val="1"/>
      <w:numFmt w:val="lowerLetter"/>
      <w:lvlText w:val="%8."/>
      <w:lvlJc w:val="left"/>
      <w:pPr>
        <w:ind w:left="8945" w:hanging="360"/>
      </w:pPr>
    </w:lvl>
    <w:lvl w:ilvl="8" w:tplc="0809001B" w:tentative="1">
      <w:start w:val="1"/>
      <w:numFmt w:val="lowerRoman"/>
      <w:lvlText w:val="%9."/>
      <w:lvlJc w:val="right"/>
      <w:pPr>
        <w:ind w:left="9665" w:hanging="180"/>
      </w:pPr>
    </w:lvl>
  </w:abstractNum>
  <w:abstractNum w:abstractNumId="11" w15:restartNumberingAfterBreak="0">
    <w:nsid w:val="75DE165B"/>
    <w:multiLevelType w:val="multilevel"/>
    <w:tmpl w:val="B4EE9738"/>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7"/>
    <w:lvlOverride w:ilvl="0">
      <w:lvl w:ilvl="0">
        <w:start w:val="1"/>
        <w:numFmt w:val="decimal"/>
        <w:pStyle w:val="Normalnumber"/>
        <w:lvlText w:val="%1."/>
        <w:lvlJc w:val="left"/>
        <w:pPr>
          <w:tabs>
            <w:tab w:val="num" w:pos="567"/>
          </w:tabs>
          <w:ind w:left="1247" w:firstLine="0"/>
        </w:pPr>
        <w:rPr>
          <w:rFonts w:hint="default"/>
          <w:b w:val="0"/>
          <w:bCs/>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Letter"/>
        <w:lvlText w:val="(%3)"/>
        <w:lvlJc w:val="left"/>
        <w:pPr>
          <w:tabs>
            <w:tab w:val="num" w:pos="567"/>
          </w:tabs>
          <w:ind w:left="2948" w:hanging="567"/>
        </w:pPr>
        <w:rPr>
          <w:rFonts w:ascii="Times New Roman" w:eastAsia="Times New Roman" w:hAnsi="Times New Roman" w:cs="Times New Roman"/>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1"/>
  </w:num>
  <w:num w:numId="3">
    <w:abstractNumId w:val="6"/>
  </w:num>
  <w:num w:numId="4">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Letter"/>
        <w:lvlText w:val="(%3)"/>
        <w:lvlJc w:val="left"/>
        <w:pPr>
          <w:tabs>
            <w:tab w:val="num" w:pos="567"/>
          </w:tabs>
          <w:ind w:left="2948" w:hanging="567"/>
        </w:pPr>
        <w:rPr>
          <w:rFonts w:ascii="Times New Roman" w:eastAsia="Times New Roman" w:hAnsi="Times New Roman" w:cs="Times New Roman"/>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10"/>
  </w:num>
  <w:num w:numId="6">
    <w:abstractNumId w:val="7"/>
  </w:num>
  <w:num w:numId="7">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Letter"/>
        <w:lvlText w:val="(%3)"/>
        <w:lvlJc w:val="left"/>
        <w:pPr>
          <w:tabs>
            <w:tab w:val="num" w:pos="567"/>
          </w:tabs>
          <w:ind w:left="2948" w:hanging="567"/>
        </w:pPr>
        <w:rPr>
          <w:rFonts w:ascii="Times New Roman" w:eastAsia="Times New Roman" w:hAnsi="Times New Roman" w:cs="Times New Roman"/>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
    <w:abstractNumId w:val="3"/>
  </w:num>
  <w:num w:numId="9">
    <w:abstractNumId w:val="3"/>
  </w:num>
  <w:num w:numId="10">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Letter"/>
        <w:lvlText w:val="(%3)"/>
        <w:lvlJc w:val="left"/>
        <w:pPr>
          <w:tabs>
            <w:tab w:val="num" w:pos="567"/>
          </w:tabs>
          <w:ind w:left="2948" w:hanging="567"/>
        </w:pPr>
        <w:rPr>
          <w:rFonts w:ascii="Times New Roman" w:eastAsia="Times New Roman" w:hAnsi="Times New Roman" w:cs="Times New Roman"/>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1">
    <w:abstractNumId w:val="3"/>
    <w:lvlOverride w:ilvl="0">
      <w:lvl w:ilvl="0">
        <w:start w:val="1"/>
        <w:numFmt w:val="decimal"/>
        <w:lvlText w:val="%1."/>
        <w:lvlJc w:val="left"/>
        <w:pPr>
          <w:ind w:left="1247" w:firstLine="0"/>
        </w:pPr>
        <w:rPr>
          <w:b w:val="0"/>
          <w:bCs/>
          <w:i w:val="0"/>
        </w:rPr>
      </w:lvl>
    </w:lvlOverride>
  </w:num>
  <w:num w:numId="12">
    <w:abstractNumId w:val="2"/>
  </w:num>
  <w:num w:numId="13">
    <w:abstractNumId w:val="4"/>
  </w:num>
  <w:num w:numId="14">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Letter"/>
        <w:lvlText w:val="(%3)"/>
        <w:lvlJc w:val="left"/>
        <w:pPr>
          <w:tabs>
            <w:tab w:val="num" w:pos="567"/>
          </w:tabs>
          <w:ind w:left="2948" w:hanging="567"/>
        </w:pPr>
        <w:rPr>
          <w:rFonts w:ascii="Times New Roman" w:eastAsia="Times New Roman" w:hAnsi="Times New Roman" w:cs="Times New Roman"/>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5">
    <w:abstractNumId w:val="9"/>
  </w:num>
  <w:num w:numId="16">
    <w:abstractNumId w:val="5"/>
  </w:num>
  <w:num w:numId="17">
    <w:abstractNumId w:val="11"/>
  </w:num>
  <w:num w:numId="18">
    <w:abstractNumId w:val="0"/>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A" w:vendorID="64" w:dllVersion="0" w:nlCheck="1" w:checkStyle="0"/>
  <w:activeWritingStyle w:appName="MSWord" w:lang="es-ES_tradnl" w:vendorID="64" w:dllVersion="0" w:nlCheck="1" w:checkStyle="0"/>
  <w:activeWritingStyle w:appName="MSWord" w:lang="en-GB" w:vendorID="64" w:dllVersion="131078" w:nlCheck="1" w:checkStyle="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2B"/>
    <w:rsid w:val="00000435"/>
    <w:rsid w:val="00000958"/>
    <w:rsid w:val="00002CEE"/>
    <w:rsid w:val="00004EDD"/>
    <w:rsid w:val="0000562F"/>
    <w:rsid w:val="000103ED"/>
    <w:rsid w:val="000149E6"/>
    <w:rsid w:val="00014ED7"/>
    <w:rsid w:val="00015D8E"/>
    <w:rsid w:val="0001627D"/>
    <w:rsid w:val="000212D3"/>
    <w:rsid w:val="000247B0"/>
    <w:rsid w:val="00024C02"/>
    <w:rsid w:val="00026997"/>
    <w:rsid w:val="00027BF0"/>
    <w:rsid w:val="00031923"/>
    <w:rsid w:val="00033BF5"/>
    <w:rsid w:val="00033E0B"/>
    <w:rsid w:val="00034FE4"/>
    <w:rsid w:val="00035EDE"/>
    <w:rsid w:val="00037AAB"/>
    <w:rsid w:val="000401F6"/>
    <w:rsid w:val="0005050F"/>
    <w:rsid w:val="000509B4"/>
    <w:rsid w:val="0005122A"/>
    <w:rsid w:val="000538FC"/>
    <w:rsid w:val="00054340"/>
    <w:rsid w:val="00056713"/>
    <w:rsid w:val="0006035B"/>
    <w:rsid w:val="0006043A"/>
    <w:rsid w:val="000625E5"/>
    <w:rsid w:val="00065667"/>
    <w:rsid w:val="0007166E"/>
    <w:rsid w:val="00071886"/>
    <w:rsid w:val="000742BC"/>
    <w:rsid w:val="00074CFB"/>
    <w:rsid w:val="00075A53"/>
    <w:rsid w:val="0008063A"/>
    <w:rsid w:val="00080BFE"/>
    <w:rsid w:val="00082A0C"/>
    <w:rsid w:val="00083504"/>
    <w:rsid w:val="00087CBF"/>
    <w:rsid w:val="00087D83"/>
    <w:rsid w:val="000908BF"/>
    <w:rsid w:val="00091E7D"/>
    <w:rsid w:val="0009304F"/>
    <w:rsid w:val="00094DFB"/>
    <w:rsid w:val="00094FCB"/>
    <w:rsid w:val="0009558D"/>
    <w:rsid w:val="0009640C"/>
    <w:rsid w:val="000A2D90"/>
    <w:rsid w:val="000B21D5"/>
    <w:rsid w:val="000B22A2"/>
    <w:rsid w:val="000B464C"/>
    <w:rsid w:val="000B75FA"/>
    <w:rsid w:val="000B77B1"/>
    <w:rsid w:val="000C1439"/>
    <w:rsid w:val="000C2A52"/>
    <w:rsid w:val="000D00CF"/>
    <w:rsid w:val="000D129E"/>
    <w:rsid w:val="000D33C0"/>
    <w:rsid w:val="000D3D50"/>
    <w:rsid w:val="000D47B4"/>
    <w:rsid w:val="000D6941"/>
    <w:rsid w:val="000D76F6"/>
    <w:rsid w:val="000D7FFB"/>
    <w:rsid w:val="000E03B8"/>
    <w:rsid w:val="000E19E1"/>
    <w:rsid w:val="000E3884"/>
    <w:rsid w:val="000E39A5"/>
    <w:rsid w:val="000E3A31"/>
    <w:rsid w:val="000E3F3F"/>
    <w:rsid w:val="000E69B8"/>
    <w:rsid w:val="000F1890"/>
    <w:rsid w:val="000F2791"/>
    <w:rsid w:val="000F3DA2"/>
    <w:rsid w:val="000F4FFD"/>
    <w:rsid w:val="000F79F8"/>
    <w:rsid w:val="000F7B13"/>
    <w:rsid w:val="00102FE5"/>
    <w:rsid w:val="001033D1"/>
    <w:rsid w:val="001057E0"/>
    <w:rsid w:val="00105F8B"/>
    <w:rsid w:val="0010712F"/>
    <w:rsid w:val="001140D8"/>
    <w:rsid w:val="001158FB"/>
    <w:rsid w:val="001167F6"/>
    <w:rsid w:val="001202E3"/>
    <w:rsid w:val="00120DD2"/>
    <w:rsid w:val="001219F2"/>
    <w:rsid w:val="00123699"/>
    <w:rsid w:val="00126CF6"/>
    <w:rsid w:val="0013059D"/>
    <w:rsid w:val="0013207E"/>
    <w:rsid w:val="00133B31"/>
    <w:rsid w:val="001354BD"/>
    <w:rsid w:val="00137177"/>
    <w:rsid w:val="001379C7"/>
    <w:rsid w:val="00141414"/>
    <w:rsid w:val="00141A55"/>
    <w:rsid w:val="0014393C"/>
    <w:rsid w:val="001446A3"/>
    <w:rsid w:val="00147492"/>
    <w:rsid w:val="00147EE2"/>
    <w:rsid w:val="00150BCB"/>
    <w:rsid w:val="001540DC"/>
    <w:rsid w:val="00155395"/>
    <w:rsid w:val="0015581B"/>
    <w:rsid w:val="00157B53"/>
    <w:rsid w:val="00161130"/>
    <w:rsid w:val="001677D3"/>
    <w:rsid w:val="001735C2"/>
    <w:rsid w:val="001735FC"/>
    <w:rsid w:val="00174BF3"/>
    <w:rsid w:val="0017550C"/>
    <w:rsid w:val="00176FC1"/>
    <w:rsid w:val="001809EA"/>
    <w:rsid w:val="00181B9D"/>
    <w:rsid w:val="00181EC8"/>
    <w:rsid w:val="0018249B"/>
    <w:rsid w:val="0018277E"/>
    <w:rsid w:val="00184349"/>
    <w:rsid w:val="0019121B"/>
    <w:rsid w:val="00191FC3"/>
    <w:rsid w:val="001953B3"/>
    <w:rsid w:val="00195F33"/>
    <w:rsid w:val="001975DF"/>
    <w:rsid w:val="00197E3D"/>
    <w:rsid w:val="001A368A"/>
    <w:rsid w:val="001A671C"/>
    <w:rsid w:val="001A6F7D"/>
    <w:rsid w:val="001A7543"/>
    <w:rsid w:val="001B0AEA"/>
    <w:rsid w:val="001B1617"/>
    <w:rsid w:val="001B34E3"/>
    <w:rsid w:val="001B504B"/>
    <w:rsid w:val="001C0840"/>
    <w:rsid w:val="001C4F14"/>
    <w:rsid w:val="001C64E0"/>
    <w:rsid w:val="001C6B9D"/>
    <w:rsid w:val="001C7C0E"/>
    <w:rsid w:val="001D3874"/>
    <w:rsid w:val="001D64DF"/>
    <w:rsid w:val="001D7E75"/>
    <w:rsid w:val="001E06CD"/>
    <w:rsid w:val="001E317B"/>
    <w:rsid w:val="001E32EF"/>
    <w:rsid w:val="001E4111"/>
    <w:rsid w:val="001E4820"/>
    <w:rsid w:val="001E56D2"/>
    <w:rsid w:val="001E67F5"/>
    <w:rsid w:val="001E7D56"/>
    <w:rsid w:val="001F004A"/>
    <w:rsid w:val="001F1E2E"/>
    <w:rsid w:val="001F273D"/>
    <w:rsid w:val="001F31BD"/>
    <w:rsid w:val="001F5069"/>
    <w:rsid w:val="001F75DE"/>
    <w:rsid w:val="00200D58"/>
    <w:rsid w:val="002013BE"/>
    <w:rsid w:val="00201595"/>
    <w:rsid w:val="00203A22"/>
    <w:rsid w:val="0020613D"/>
    <w:rsid w:val="002063A4"/>
    <w:rsid w:val="00206849"/>
    <w:rsid w:val="00206FB1"/>
    <w:rsid w:val="00210050"/>
    <w:rsid w:val="0021145B"/>
    <w:rsid w:val="00217EE3"/>
    <w:rsid w:val="00222DE0"/>
    <w:rsid w:val="00233DD8"/>
    <w:rsid w:val="00243D36"/>
    <w:rsid w:val="00244A3B"/>
    <w:rsid w:val="002450B2"/>
    <w:rsid w:val="00245717"/>
    <w:rsid w:val="00245C3F"/>
    <w:rsid w:val="00247707"/>
    <w:rsid w:val="002540CE"/>
    <w:rsid w:val="002548F3"/>
    <w:rsid w:val="002634C9"/>
    <w:rsid w:val="002748EC"/>
    <w:rsid w:val="00275356"/>
    <w:rsid w:val="002753CE"/>
    <w:rsid w:val="00277EE4"/>
    <w:rsid w:val="0028042A"/>
    <w:rsid w:val="00282274"/>
    <w:rsid w:val="0028660F"/>
    <w:rsid w:val="00286740"/>
    <w:rsid w:val="002914A6"/>
    <w:rsid w:val="002929D8"/>
    <w:rsid w:val="00292D82"/>
    <w:rsid w:val="002972F2"/>
    <w:rsid w:val="002A1060"/>
    <w:rsid w:val="002A237D"/>
    <w:rsid w:val="002A2AFD"/>
    <w:rsid w:val="002A4C53"/>
    <w:rsid w:val="002A69FF"/>
    <w:rsid w:val="002B0672"/>
    <w:rsid w:val="002B0AA2"/>
    <w:rsid w:val="002B1B4C"/>
    <w:rsid w:val="002B247F"/>
    <w:rsid w:val="002B55C1"/>
    <w:rsid w:val="002B61AB"/>
    <w:rsid w:val="002B6706"/>
    <w:rsid w:val="002C04E4"/>
    <w:rsid w:val="002C145D"/>
    <w:rsid w:val="002C1BB4"/>
    <w:rsid w:val="002C293C"/>
    <w:rsid w:val="002C2C3E"/>
    <w:rsid w:val="002C533E"/>
    <w:rsid w:val="002C6FE9"/>
    <w:rsid w:val="002C72C1"/>
    <w:rsid w:val="002D027F"/>
    <w:rsid w:val="002D0824"/>
    <w:rsid w:val="002D7A85"/>
    <w:rsid w:val="002D7B60"/>
    <w:rsid w:val="002E1E53"/>
    <w:rsid w:val="002E2001"/>
    <w:rsid w:val="002E700E"/>
    <w:rsid w:val="002E70F6"/>
    <w:rsid w:val="002E7140"/>
    <w:rsid w:val="002F0FB6"/>
    <w:rsid w:val="002F219D"/>
    <w:rsid w:val="002F22A2"/>
    <w:rsid w:val="002F23EF"/>
    <w:rsid w:val="002F36E6"/>
    <w:rsid w:val="002F4761"/>
    <w:rsid w:val="002F5613"/>
    <w:rsid w:val="002F5C79"/>
    <w:rsid w:val="002F6BD9"/>
    <w:rsid w:val="002F77E5"/>
    <w:rsid w:val="0030068A"/>
    <w:rsid w:val="003019E2"/>
    <w:rsid w:val="00302C06"/>
    <w:rsid w:val="003039B4"/>
    <w:rsid w:val="0031413F"/>
    <w:rsid w:val="003148BB"/>
    <w:rsid w:val="00314F36"/>
    <w:rsid w:val="00317976"/>
    <w:rsid w:val="0032085D"/>
    <w:rsid w:val="003227E1"/>
    <w:rsid w:val="003240FB"/>
    <w:rsid w:val="0033092E"/>
    <w:rsid w:val="003319DA"/>
    <w:rsid w:val="00335248"/>
    <w:rsid w:val="0033557B"/>
    <w:rsid w:val="00343C10"/>
    <w:rsid w:val="003464A3"/>
    <w:rsid w:val="0034732F"/>
    <w:rsid w:val="003518F7"/>
    <w:rsid w:val="0035323B"/>
    <w:rsid w:val="00355273"/>
    <w:rsid w:val="00355AD6"/>
    <w:rsid w:val="00355EA9"/>
    <w:rsid w:val="00355FDA"/>
    <w:rsid w:val="003578DE"/>
    <w:rsid w:val="00361758"/>
    <w:rsid w:val="0036216E"/>
    <w:rsid w:val="0036265F"/>
    <w:rsid w:val="00362EDB"/>
    <w:rsid w:val="003633D4"/>
    <w:rsid w:val="00363868"/>
    <w:rsid w:val="00363B03"/>
    <w:rsid w:val="00364071"/>
    <w:rsid w:val="00364A5A"/>
    <w:rsid w:val="003652A5"/>
    <w:rsid w:val="00370FD8"/>
    <w:rsid w:val="0037123F"/>
    <w:rsid w:val="003725AE"/>
    <w:rsid w:val="00383A31"/>
    <w:rsid w:val="00383FE9"/>
    <w:rsid w:val="00384129"/>
    <w:rsid w:val="0038434D"/>
    <w:rsid w:val="00396257"/>
    <w:rsid w:val="00397EB8"/>
    <w:rsid w:val="003A086E"/>
    <w:rsid w:val="003A1CBE"/>
    <w:rsid w:val="003A294A"/>
    <w:rsid w:val="003A4FD0"/>
    <w:rsid w:val="003A69D1"/>
    <w:rsid w:val="003A7705"/>
    <w:rsid w:val="003B0EE9"/>
    <w:rsid w:val="003B1545"/>
    <w:rsid w:val="003B310F"/>
    <w:rsid w:val="003B3A0D"/>
    <w:rsid w:val="003B6D61"/>
    <w:rsid w:val="003C04DD"/>
    <w:rsid w:val="003C31FC"/>
    <w:rsid w:val="003C3B14"/>
    <w:rsid w:val="003C409D"/>
    <w:rsid w:val="003C5BA6"/>
    <w:rsid w:val="003C659E"/>
    <w:rsid w:val="003C718D"/>
    <w:rsid w:val="003D28F5"/>
    <w:rsid w:val="003D47B5"/>
    <w:rsid w:val="003D5559"/>
    <w:rsid w:val="003D5EB6"/>
    <w:rsid w:val="003D71E8"/>
    <w:rsid w:val="003E162E"/>
    <w:rsid w:val="003E4E90"/>
    <w:rsid w:val="003F05AD"/>
    <w:rsid w:val="003F0E85"/>
    <w:rsid w:val="003F12A7"/>
    <w:rsid w:val="003F2B20"/>
    <w:rsid w:val="00400A5A"/>
    <w:rsid w:val="00404549"/>
    <w:rsid w:val="00404D7B"/>
    <w:rsid w:val="00405251"/>
    <w:rsid w:val="00410C55"/>
    <w:rsid w:val="00414C7D"/>
    <w:rsid w:val="00416854"/>
    <w:rsid w:val="00417725"/>
    <w:rsid w:val="00421201"/>
    <w:rsid w:val="0042502D"/>
    <w:rsid w:val="00427670"/>
    <w:rsid w:val="00430072"/>
    <w:rsid w:val="0043267C"/>
    <w:rsid w:val="004328F1"/>
    <w:rsid w:val="00433626"/>
    <w:rsid w:val="00434902"/>
    <w:rsid w:val="004363A2"/>
    <w:rsid w:val="00437F26"/>
    <w:rsid w:val="0044077A"/>
    <w:rsid w:val="00444097"/>
    <w:rsid w:val="00445487"/>
    <w:rsid w:val="004508D3"/>
    <w:rsid w:val="00454769"/>
    <w:rsid w:val="004602BE"/>
    <w:rsid w:val="00465D1E"/>
    <w:rsid w:val="00466991"/>
    <w:rsid w:val="004702C2"/>
    <w:rsid w:val="0047064C"/>
    <w:rsid w:val="004713E5"/>
    <w:rsid w:val="00477330"/>
    <w:rsid w:val="00477B3F"/>
    <w:rsid w:val="00481800"/>
    <w:rsid w:val="00495C8D"/>
    <w:rsid w:val="004A0C8D"/>
    <w:rsid w:val="004A42E1"/>
    <w:rsid w:val="004A5CFC"/>
    <w:rsid w:val="004B0DAA"/>
    <w:rsid w:val="004B162C"/>
    <w:rsid w:val="004B7FC0"/>
    <w:rsid w:val="004C3DBE"/>
    <w:rsid w:val="004C5C96"/>
    <w:rsid w:val="004D06A4"/>
    <w:rsid w:val="004D2078"/>
    <w:rsid w:val="004D2591"/>
    <w:rsid w:val="004D5E88"/>
    <w:rsid w:val="004E2C4A"/>
    <w:rsid w:val="004E360F"/>
    <w:rsid w:val="004E4976"/>
    <w:rsid w:val="004F122C"/>
    <w:rsid w:val="004F1A81"/>
    <w:rsid w:val="004F3DAD"/>
    <w:rsid w:val="004F78A7"/>
    <w:rsid w:val="00500F3F"/>
    <w:rsid w:val="00501836"/>
    <w:rsid w:val="00501EA2"/>
    <w:rsid w:val="00503224"/>
    <w:rsid w:val="00507A21"/>
    <w:rsid w:val="0051724C"/>
    <w:rsid w:val="005179AE"/>
    <w:rsid w:val="005218D9"/>
    <w:rsid w:val="00526B7C"/>
    <w:rsid w:val="00526D0B"/>
    <w:rsid w:val="00527DC9"/>
    <w:rsid w:val="0053038F"/>
    <w:rsid w:val="00532622"/>
    <w:rsid w:val="0053504A"/>
    <w:rsid w:val="00536186"/>
    <w:rsid w:val="00540F20"/>
    <w:rsid w:val="005418C0"/>
    <w:rsid w:val="00541B18"/>
    <w:rsid w:val="00542EFF"/>
    <w:rsid w:val="00544CBB"/>
    <w:rsid w:val="005458D9"/>
    <w:rsid w:val="00546724"/>
    <w:rsid w:val="0055005F"/>
    <w:rsid w:val="0055295A"/>
    <w:rsid w:val="0055437C"/>
    <w:rsid w:val="00555354"/>
    <w:rsid w:val="00555C3A"/>
    <w:rsid w:val="00562781"/>
    <w:rsid w:val="005672DB"/>
    <w:rsid w:val="00570A1C"/>
    <w:rsid w:val="0057315F"/>
    <w:rsid w:val="00576104"/>
    <w:rsid w:val="0057657C"/>
    <w:rsid w:val="00577B32"/>
    <w:rsid w:val="00577F3C"/>
    <w:rsid w:val="00581089"/>
    <w:rsid w:val="0058158A"/>
    <w:rsid w:val="00583ACD"/>
    <w:rsid w:val="00586ED4"/>
    <w:rsid w:val="00591A91"/>
    <w:rsid w:val="00593A5B"/>
    <w:rsid w:val="00594F2C"/>
    <w:rsid w:val="00595983"/>
    <w:rsid w:val="005968F0"/>
    <w:rsid w:val="00597138"/>
    <w:rsid w:val="005A16E3"/>
    <w:rsid w:val="005A3A5F"/>
    <w:rsid w:val="005B518D"/>
    <w:rsid w:val="005B51E0"/>
    <w:rsid w:val="005B5EDD"/>
    <w:rsid w:val="005C0133"/>
    <w:rsid w:val="005C29E1"/>
    <w:rsid w:val="005C2F82"/>
    <w:rsid w:val="005C39E2"/>
    <w:rsid w:val="005C5EF8"/>
    <w:rsid w:val="005C67C8"/>
    <w:rsid w:val="005C7037"/>
    <w:rsid w:val="005C7A41"/>
    <w:rsid w:val="005D00A3"/>
    <w:rsid w:val="005D0249"/>
    <w:rsid w:val="005D1A50"/>
    <w:rsid w:val="005D4F37"/>
    <w:rsid w:val="005D542B"/>
    <w:rsid w:val="005D6E8C"/>
    <w:rsid w:val="005D7527"/>
    <w:rsid w:val="005E1713"/>
    <w:rsid w:val="005E2BB1"/>
    <w:rsid w:val="005E4A02"/>
    <w:rsid w:val="005F100C"/>
    <w:rsid w:val="005F68DA"/>
    <w:rsid w:val="00601692"/>
    <w:rsid w:val="00602C95"/>
    <w:rsid w:val="0060773B"/>
    <w:rsid w:val="006128C6"/>
    <w:rsid w:val="00613D68"/>
    <w:rsid w:val="006157B5"/>
    <w:rsid w:val="0061784E"/>
    <w:rsid w:val="00620BA4"/>
    <w:rsid w:val="00626FC6"/>
    <w:rsid w:val="006303B4"/>
    <w:rsid w:val="00633D3D"/>
    <w:rsid w:val="006347C6"/>
    <w:rsid w:val="00637C68"/>
    <w:rsid w:val="006410DE"/>
    <w:rsid w:val="00641703"/>
    <w:rsid w:val="006423C7"/>
    <w:rsid w:val="006431A6"/>
    <w:rsid w:val="006459F6"/>
    <w:rsid w:val="00646C5C"/>
    <w:rsid w:val="00647448"/>
    <w:rsid w:val="006474CE"/>
    <w:rsid w:val="006501AD"/>
    <w:rsid w:val="00651BFA"/>
    <w:rsid w:val="00664E7F"/>
    <w:rsid w:val="00665A4B"/>
    <w:rsid w:val="0067025D"/>
    <w:rsid w:val="006702F7"/>
    <w:rsid w:val="0067410D"/>
    <w:rsid w:val="00675839"/>
    <w:rsid w:val="00680217"/>
    <w:rsid w:val="00680DC0"/>
    <w:rsid w:val="0068262C"/>
    <w:rsid w:val="00692E2A"/>
    <w:rsid w:val="006A10E2"/>
    <w:rsid w:val="006A3591"/>
    <w:rsid w:val="006A395C"/>
    <w:rsid w:val="006A6C2E"/>
    <w:rsid w:val="006A6D52"/>
    <w:rsid w:val="006A76F2"/>
    <w:rsid w:val="006B0BEA"/>
    <w:rsid w:val="006B26DE"/>
    <w:rsid w:val="006B3F36"/>
    <w:rsid w:val="006C3B16"/>
    <w:rsid w:val="006C44FB"/>
    <w:rsid w:val="006C5794"/>
    <w:rsid w:val="006D1B64"/>
    <w:rsid w:val="006D1E3A"/>
    <w:rsid w:val="006D338B"/>
    <w:rsid w:val="006D50D5"/>
    <w:rsid w:val="006D5A01"/>
    <w:rsid w:val="006D7EFB"/>
    <w:rsid w:val="006E1D3F"/>
    <w:rsid w:val="006E61F8"/>
    <w:rsid w:val="006E6672"/>
    <w:rsid w:val="006E6722"/>
    <w:rsid w:val="006E7F35"/>
    <w:rsid w:val="006F169F"/>
    <w:rsid w:val="006F7AC2"/>
    <w:rsid w:val="007027B9"/>
    <w:rsid w:val="00702C0B"/>
    <w:rsid w:val="00704C9B"/>
    <w:rsid w:val="00713D8F"/>
    <w:rsid w:val="007151A8"/>
    <w:rsid w:val="007158F8"/>
    <w:rsid w:val="00715C08"/>
    <w:rsid w:val="00715E88"/>
    <w:rsid w:val="00716B92"/>
    <w:rsid w:val="00720A7F"/>
    <w:rsid w:val="0072427E"/>
    <w:rsid w:val="00725411"/>
    <w:rsid w:val="00725C11"/>
    <w:rsid w:val="00725CA4"/>
    <w:rsid w:val="00731108"/>
    <w:rsid w:val="00734CAA"/>
    <w:rsid w:val="00740878"/>
    <w:rsid w:val="0074339D"/>
    <w:rsid w:val="0074380F"/>
    <w:rsid w:val="00743F8B"/>
    <w:rsid w:val="00744FE3"/>
    <w:rsid w:val="00746AA3"/>
    <w:rsid w:val="00746E5F"/>
    <w:rsid w:val="00747630"/>
    <w:rsid w:val="00751A7C"/>
    <w:rsid w:val="0075533C"/>
    <w:rsid w:val="00755B57"/>
    <w:rsid w:val="00757581"/>
    <w:rsid w:val="007611A0"/>
    <w:rsid w:val="007658B4"/>
    <w:rsid w:val="00765A19"/>
    <w:rsid w:val="007661E2"/>
    <w:rsid w:val="0076657D"/>
    <w:rsid w:val="007666F9"/>
    <w:rsid w:val="00770D0A"/>
    <w:rsid w:val="00771440"/>
    <w:rsid w:val="007714F1"/>
    <w:rsid w:val="00777A52"/>
    <w:rsid w:val="007829D4"/>
    <w:rsid w:val="00782D49"/>
    <w:rsid w:val="007910F6"/>
    <w:rsid w:val="00796D3F"/>
    <w:rsid w:val="007A0D0A"/>
    <w:rsid w:val="007A1683"/>
    <w:rsid w:val="007A2D88"/>
    <w:rsid w:val="007A36F8"/>
    <w:rsid w:val="007A5C12"/>
    <w:rsid w:val="007A6AF1"/>
    <w:rsid w:val="007A720E"/>
    <w:rsid w:val="007A7998"/>
    <w:rsid w:val="007A7CB0"/>
    <w:rsid w:val="007B4950"/>
    <w:rsid w:val="007B68A3"/>
    <w:rsid w:val="007C2541"/>
    <w:rsid w:val="007C3291"/>
    <w:rsid w:val="007C7B20"/>
    <w:rsid w:val="007D033B"/>
    <w:rsid w:val="007D3342"/>
    <w:rsid w:val="007D3E64"/>
    <w:rsid w:val="007D66A8"/>
    <w:rsid w:val="007D7AD6"/>
    <w:rsid w:val="007D7FFA"/>
    <w:rsid w:val="007E003F"/>
    <w:rsid w:val="007F0F76"/>
    <w:rsid w:val="007F33C2"/>
    <w:rsid w:val="007F3BF5"/>
    <w:rsid w:val="008002C0"/>
    <w:rsid w:val="00801F24"/>
    <w:rsid w:val="00802E72"/>
    <w:rsid w:val="00803573"/>
    <w:rsid w:val="0080713A"/>
    <w:rsid w:val="00812316"/>
    <w:rsid w:val="00814015"/>
    <w:rsid w:val="00815053"/>
    <w:rsid w:val="0081589D"/>
    <w:rsid w:val="008164F2"/>
    <w:rsid w:val="00817374"/>
    <w:rsid w:val="00820007"/>
    <w:rsid w:val="00820BC8"/>
    <w:rsid w:val="00821395"/>
    <w:rsid w:val="00822F7B"/>
    <w:rsid w:val="00824BFC"/>
    <w:rsid w:val="00824E3D"/>
    <w:rsid w:val="00830B89"/>
    <w:rsid w:val="00830E26"/>
    <w:rsid w:val="00832159"/>
    <w:rsid w:val="008345C3"/>
    <w:rsid w:val="00834A99"/>
    <w:rsid w:val="00834FD1"/>
    <w:rsid w:val="00836E37"/>
    <w:rsid w:val="00837FF8"/>
    <w:rsid w:val="00843576"/>
    <w:rsid w:val="008436C8"/>
    <w:rsid w:val="00843B64"/>
    <w:rsid w:val="008478FC"/>
    <w:rsid w:val="00852B90"/>
    <w:rsid w:val="008535CB"/>
    <w:rsid w:val="00864EDC"/>
    <w:rsid w:val="00867BFF"/>
    <w:rsid w:val="008809F7"/>
    <w:rsid w:val="00880B77"/>
    <w:rsid w:val="0088480A"/>
    <w:rsid w:val="00885F9E"/>
    <w:rsid w:val="00887492"/>
    <w:rsid w:val="0088757A"/>
    <w:rsid w:val="00892178"/>
    <w:rsid w:val="008921A4"/>
    <w:rsid w:val="00893220"/>
    <w:rsid w:val="00893331"/>
    <w:rsid w:val="008957DD"/>
    <w:rsid w:val="00897D98"/>
    <w:rsid w:val="008A26B4"/>
    <w:rsid w:val="008A27FD"/>
    <w:rsid w:val="008A3595"/>
    <w:rsid w:val="008A4030"/>
    <w:rsid w:val="008A68AC"/>
    <w:rsid w:val="008A6DF2"/>
    <w:rsid w:val="008A7807"/>
    <w:rsid w:val="008B4CC9"/>
    <w:rsid w:val="008B675C"/>
    <w:rsid w:val="008B730A"/>
    <w:rsid w:val="008C1E01"/>
    <w:rsid w:val="008C2C12"/>
    <w:rsid w:val="008C3CC8"/>
    <w:rsid w:val="008C3F56"/>
    <w:rsid w:val="008C5788"/>
    <w:rsid w:val="008C758B"/>
    <w:rsid w:val="008D3DF7"/>
    <w:rsid w:val="008D7C99"/>
    <w:rsid w:val="008D7F06"/>
    <w:rsid w:val="008E0FCB"/>
    <w:rsid w:val="008E2BEE"/>
    <w:rsid w:val="008F5A5A"/>
    <w:rsid w:val="008F624E"/>
    <w:rsid w:val="009000CA"/>
    <w:rsid w:val="009001F1"/>
    <w:rsid w:val="009003CB"/>
    <w:rsid w:val="0090328C"/>
    <w:rsid w:val="009032B3"/>
    <w:rsid w:val="0090634D"/>
    <w:rsid w:val="00907A88"/>
    <w:rsid w:val="00911314"/>
    <w:rsid w:val="00911323"/>
    <w:rsid w:val="00915615"/>
    <w:rsid w:val="00915B61"/>
    <w:rsid w:val="0092178C"/>
    <w:rsid w:val="00923601"/>
    <w:rsid w:val="00924C90"/>
    <w:rsid w:val="0092633D"/>
    <w:rsid w:val="00927BEC"/>
    <w:rsid w:val="00930B88"/>
    <w:rsid w:val="00931353"/>
    <w:rsid w:val="0093136D"/>
    <w:rsid w:val="00933E5F"/>
    <w:rsid w:val="00935E8C"/>
    <w:rsid w:val="00936498"/>
    <w:rsid w:val="00936ED3"/>
    <w:rsid w:val="0093730B"/>
    <w:rsid w:val="00940DCC"/>
    <w:rsid w:val="009415E8"/>
    <w:rsid w:val="0094179A"/>
    <w:rsid w:val="009432E4"/>
    <w:rsid w:val="0094459E"/>
    <w:rsid w:val="00944DBC"/>
    <w:rsid w:val="009464A6"/>
    <w:rsid w:val="00946ADE"/>
    <w:rsid w:val="00950977"/>
    <w:rsid w:val="0095168D"/>
    <w:rsid w:val="00951A7B"/>
    <w:rsid w:val="00952369"/>
    <w:rsid w:val="0095250F"/>
    <w:rsid w:val="009525AF"/>
    <w:rsid w:val="009535B4"/>
    <w:rsid w:val="00955D4F"/>
    <w:rsid w:val="009561AE"/>
    <w:rsid w:val="009564A6"/>
    <w:rsid w:val="00960C21"/>
    <w:rsid w:val="009614EA"/>
    <w:rsid w:val="00961A61"/>
    <w:rsid w:val="009648E6"/>
    <w:rsid w:val="00965925"/>
    <w:rsid w:val="009665B5"/>
    <w:rsid w:val="00967112"/>
    <w:rsid w:val="00967621"/>
    <w:rsid w:val="00967E6A"/>
    <w:rsid w:val="00976D91"/>
    <w:rsid w:val="00980F47"/>
    <w:rsid w:val="00982731"/>
    <w:rsid w:val="00983875"/>
    <w:rsid w:val="00983D31"/>
    <w:rsid w:val="009860AA"/>
    <w:rsid w:val="0098785E"/>
    <w:rsid w:val="00992FE0"/>
    <w:rsid w:val="009935AC"/>
    <w:rsid w:val="00995921"/>
    <w:rsid w:val="00996401"/>
    <w:rsid w:val="009A1660"/>
    <w:rsid w:val="009A22E0"/>
    <w:rsid w:val="009A231A"/>
    <w:rsid w:val="009A3C1B"/>
    <w:rsid w:val="009A603A"/>
    <w:rsid w:val="009A698A"/>
    <w:rsid w:val="009B00FF"/>
    <w:rsid w:val="009B0D46"/>
    <w:rsid w:val="009B2F79"/>
    <w:rsid w:val="009B2FE3"/>
    <w:rsid w:val="009B3AA9"/>
    <w:rsid w:val="009B4A0F"/>
    <w:rsid w:val="009B4EA4"/>
    <w:rsid w:val="009B6404"/>
    <w:rsid w:val="009B7B2A"/>
    <w:rsid w:val="009B7C7D"/>
    <w:rsid w:val="009C11D2"/>
    <w:rsid w:val="009C11D7"/>
    <w:rsid w:val="009C4E68"/>
    <w:rsid w:val="009C4FCC"/>
    <w:rsid w:val="009C5159"/>
    <w:rsid w:val="009C6C70"/>
    <w:rsid w:val="009C75B7"/>
    <w:rsid w:val="009D0B63"/>
    <w:rsid w:val="009D105A"/>
    <w:rsid w:val="009D171F"/>
    <w:rsid w:val="009D3E3B"/>
    <w:rsid w:val="009D40DE"/>
    <w:rsid w:val="009D41C1"/>
    <w:rsid w:val="009E0102"/>
    <w:rsid w:val="009E03BC"/>
    <w:rsid w:val="009E09D9"/>
    <w:rsid w:val="009E307E"/>
    <w:rsid w:val="009E4585"/>
    <w:rsid w:val="009E4E66"/>
    <w:rsid w:val="009F2876"/>
    <w:rsid w:val="009F41FC"/>
    <w:rsid w:val="009F4294"/>
    <w:rsid w:val="009F4B39"/>
    <w:rsid w:val="009F7A97"/>
    <w:rsid w:val="00A007DD"/>
    <w:rsid w:val="00A024A3"/>
    <w:rsid w:val="00A059A4"/>
    <w:rsid w:val="00A05B3C"/>
    <w:rsid w:val="00A05DAA"/>
    <w:rsid w:val="00A07870"/>
    <w:rsid w:val="00A07AE1"/>
    <w:rsid w:val="00A07F19"/>
    <w:rsid w:val="00A113E0"/>
    <w:rsid w:val="00A11CFB"/>
    <w:rsid w:val="00A11DC0"/>
    <w:rsid w:val="00A12293"/>
    <w:rsid w:val="00A1264F"/>
    <w:rsid w:val="00A1348D"/>
    <w:rsid w:val="00A1589E"/>
    <w:rsid w:val="00A232EE"/>
    <w:rsid w:val="00A251D3"/>
    <w:rsid w:val="00A27A02"/>
    <w:rsid w:val="00A31223"/>
    <w:rsid w:val="00A3153D"/>
    <w:rsid w:val="00A31E72"/>
    <w:rsid w:val="00A3332E"/>
    <w:rsid w:val="00A3688A"/>
    <w:rsid w:val="00A37ABD"/>
    <w:rsid w:val="00A37FE8"/>
    <w:rsid w:val="00A407DA"/>
    <w:rsid w:val="00A4175F"/>
    <w:rsid w:val="00A44411"/>
    <w:rsid w:val="00A45487"/>
    <w:rsid w:val="00A46064"/>
    <w:rsid w:val="00A46922"/>
    <w:rsid w:val="00A469FA"/>
    <w:rsid w:val="00A5040D"/>
    <w:rsid w:val="00A55B01"/>
    <w:rsid w:val="00A56B5B"/>
    <w:rsid w:val="00A602CD"/>
    <w:rsid w:val="00A603FF"/>
    <w:rsid w:val="00A60E70"/>
    <w:rsid w:val="00A6401B"/>
    <w:rsid w:val="00A657DD"/>
    <w:rsid w:val="00A6647A"/>
    <w:rsid w:val="00A666A6"/>
    <w:rsid w:val="00A66F36"/>
    <w:rsid w:val="00A675FD"/>
    <w:rsid w:val="00A677F8"/>
    <w:rsid w:val="00A72437"/>
    <w:rsid w:val="00A727DB"/>
    <w:rsid w:val="00A774D6"/>
    <w:rsid w:val="00A77908"/>
    <w:rsid w:val="00A80611"/>
    <w:rsid w:val="00A80A21"/>
    <w:rsid w:val="00A83724"/>
    <w:rsid w:val="00A83A3B"/>
    <w:rsid w:val="00A83FB1"/>
    <w:rsid w:val="00A87F40"/>
    <w:rsid w:val="00A90B0B"/>
    <w:rsid w:val="00A939BA"/>
    <w:rsid w:val="00A94405"/>
    <w:rsid w:val="00A95821"/>
    <w:rsid w:val="00A96698"/>
    <w:rsid w:val="00AA4B95"/>
    <w:rsid w:val="00AB1AA6"/>
    <w:rsid w:val="00AB3A48"/>
    <w:rsid w:val="00AB5340"/>
    <w:rsid w:val="00AC0223"/>
    <w:rsid w:val="00AC3199"/>
    <w:rsid w:val="00AC4122"/>
    <w:rsid w:val="00AC46BD"/>
    <w:rsid w:val="00AC7C96"/>
    <w:rsid w:val="00AD01D0"/>
    <w:rsid w:val="00AD2DDE"/>
    <w:rsid w:val="00AD367C"/>
    <w:rsid w:val="00AD4092"/>
    <w:rsid w:val="00AE237D"/>
    <w:rsid w:val="00AE502A"/>
    <w:rsid w:val="00AF41DC"/>
    <w:rsid w:val="00AF4250"/>
    <w:rsid w:val="00AF7C07"/>
    <w:rsid w:val="00B05344"/>
    <w:rsid w:val="00B065E1"/>
    <w:rsid w:val="00B0676D"/>
    <w:rsid w:val="00B074EF"/>
    <w:rsid w:val="00B07B70"/>
    <w:rsid w:val="00B127C3"/>
    <w:rsid w:val="00B134B6"/>
    <w:rsid w:val="00B16805"/>
    <w:rsid w:val="00B16AD9"/>
    <w:rsid w:val="00B2089B"/>
    <w:rsid w:val="00B22532"/>
    <w:rsid w:val="00B22C93"/>
    <w:rsid w:val="00B23986"/>
    <w:rsid w:val="00B24569"/>
    <w:rsid w:val="00B25349"/>
    <w:rsid w:val="00B26B07"/>
    <w:rsid w:val="00B27589"/>
    <w:rsid w:val="00B31E29"/>
    <w:rsid w:val="00B33BF6"/>
    <w:rsid w:val="00B405B7"/>
    <w:rsid w:val="00B40C4F"/>
    <w:rsid w:val="00B46BCB"/>
    <w:rsid w:val="00B5046B"/>
    <w:rsid w:val="00B513A3"/>
    <w:rsid w:val="00B52222"/>
    <w:rsid w:val="00B54FE7"/>
    <w:rsid w:val="00B615FF"/>
    <w:rsid w:val="00B6352B"/>
    <w:rsid w:val="00B64402"/>
    <w:rsid w:val="00B64E01"/>
    <w:rsid w:val="00B651FC"/>
    <w:rsid w:val="00B66901"/>
    <w:rsid w:val="00B70F0D"/>
    <w:rsid w:val="00B71E6D"/>
    <w:rsid w:val="00B72070"/>
    <w:rsid w:val="00B766C6"/>
    <w:rsid w:val="00B779E1"/>
    <w:rsid w:val="00B828C8"/>
    <w:rsid w:val="00B90CC6"/>
    <w:rsid w:val="00B91EE1"/>
    <w:rsid w:val="00B934DF"/>
    <w:rsid w:val="00B93B7D"/>
    <w:rsid w:val="00B97383"/>
    <w:rsid w:val="00BA0090"/>
    <w:rsid w:val="00BA06FF"/>
    <w:rsid w:val="00BA0BD3"/>
    <w:rsid w:val="00BA1A67"/>
    <w:rsid w:val="00BA62F9"/>
    <w:rsid w:val="00BA6586"/>
    <w:rsid w:val="00BB011F"/>
    <w:rsid w:val="00BB69D7"/>
    <w:rsid w:val="00BC4BF6"/>
    <w:rsid w:val="00BD400C"/>
    <w:rsid w:val="00BD4EBD"/>
    <w:rsid w:val="00BD6705"/>
    <w:rsid w:val="00BE1FA2"/>
    <w:rsid w:val="00BE521A"/>
    <w:rsid w:val="00BE5B5F"/>
    <w:rsid w:val="00BE5D37"/>
    <w:rsid w:val="00C00351"/>
    <w:rsid w:val="00C03868"/>
    <w:rsid w:val="00C0698C"/>
    <w:rsid w:val="00C07A7B"/>
    <w:rsid w:val="00C10DA1"/>
    <w:rsid w:val="00C12044"/>
    <w:rsid w:val="00C13220"/>
    <w:rsid w:val="00C16A39"/>
    <w:rsid w:val="00C25A95"/>
    <w:rsid w:val="00C26BB5"/>
    <w:rsid w:val="00C26F55"/>
    <w:rsid w:val="00C27107"/>
    <w:rsid w:val="00C30C63"/>
    <w:rsid w:val="00C32127"/>
    <w:rsid w:val="00C32A09"/>
    <w:rsid w:val="00C33563"/>
    <w:rsid w:val="00C36B8B"/>
    <w:rsid w:val="00C40889"/>
    <w:rsid w:val="00C424A2"/>
    <w:rsid w:val="00C446D2"/>
    <w:rsid w:val="00C45F5B"/>
    <w:rsid w:val="00C47DBF"/>
    <w:rsid w:val="00C503F0"/>
    <w:rsid w:val="00C54BB7"/>
    <w:rsid w:val="00C552FF"/>
    <w:rsid w:val="00C558DA"/>
    <w:rsid w:val="00C55AF3"/>
    <w:rsid w:val="00C55F06"/>
    <w:rsid w:val="00C574D5"/>
    <w:rsid w:val="00C57BEF"/>
    <w:rsid w:val="00C6083A"/>
    <w:rsid w:val="00C6181E"/>
    <w:rsid w:val="00C61853"/>
    <w:rsid w:val="00C618FD"/>
    <w:rsid w:val="00C6426B"/>
    <w:rsid w:val="00C6493A"/>
    <w:rsid w:val="00C65F89"/>
    <w:rsid w:val="00C7588C"/>
    <w:rsid w:val="00C75B19"/>
    <w:rsid w:val="00C80BC8"/>
    <w:rsid w:val="00C81933"/>
    <w:rsid w:val="00C82A80"/>
    <w:rsid w:val="00C8459D"/>
    <w:rsid w:val="00C84759"/>
    <w:rsid w:val="00C865D4"/>
    <w:rsid w:val="00C92745"/>
    <w:rsid w:val="00C92C03"/>
    <w:rsid w:val="00CA22CE"/>
    <w:rsid w:val="00CA298A"/>
    <w:rsid w:val="00CA4713"/>
    <w:rsid w:val="00CA6C7F"/>
    <w:rsid w:val="00CB0FEA"/>
    <w:rsid w:val="00CB12B6"/>
    <w:rsid w:val="00CB255B"/>
    <w:rsid w:val="00CB4225"/>
    <w:rsid w:val="00CB57EB"/>
    <w:rsid w:val="00CB6095"/>
    <w:rsid w:val="00CC10A6"/>
    <w:rsid w:val="00CC240F"/>
    <w:rsid w:val="00CC311B"/>
    <w:rsid w:val="00CC6708"/>
    <w:rsid w:val="00CD1EBE"/>
    <w:rsid w:val="00CD596A"/>
    <w:rsid w:val="00CD5EB8"/>
    <w:rsid w:val="00CD7044"/>
    <w:rsid w:val="00CE0830"/>
    <w:rsid w:val="00CE08B9"/>
    <w:rsid w:val="00CE2191"/>
    <w:rsid w:val="00CE4602"/>
    <w:rsid w:val="00CE524C"/>
    <w:rsid w:val="00CE5A51"/>
    <w:rsid w:val="00CE692F"/>
    <w:rsid w:val="00CE6D2F"/>
    <w:rsid w:val="00CF141F"/>
    <w:rsid w:val="00CF2293"/>
    <w:rsid w:val="00CF4777"/>
    <w:rsid w:val="00CF6AC0"/>
    <w:rsid w:val="00D005F4"/>
    <w:rsid w:val="00D02BB2"/>
    <w:rsid w:val="00D03C97"/>
    <w:rsid w:val="00D06715"/>
    <w:rsid w:val="00D067BB"/>
    <w:rsid w:val="00D114A6"/>
    <w:rsid w:val="00D127D5"/>
    <w:rsid w:val="00D1352A"/>
    <w:rsid w:val="00D15187"/>
    <w:rsid w:val="00D1567B"/>
    <w:rsid w:val="00D169AF"/>
    <w:rsid w:val="00D17FAC"/>
    <w:rsid w:val="00D25249"/>
    <w:rsid w:val="00D30455"/>
    <w:rsid w:val="00D44172"/>
    <w:rsid w:val="00D5223D"/>
    <w:rsid w:val="00D54499"/>
    <w:rsid w:val="00D56819"/>
    <w:rsid w:val="00D56F8A"/>
    <w:rsid w:val="00D63B8C"/>
    <w:rsid w:val="00D651C8"/>
    <w:rsid w:val="00D67493"/>
    <w:rsid w:val="00D70A08"/>
    <w:rsid w:val="00D70F6D"/>
    <w:rsid w:val="00D739CC"/>
    <w:rsid w:val="00D73A97"/>
    <w:rsid w:val="00D769C5"/>
    <w:rsid w:val="00D8093D"/>
    <w:rsid w:val="00D8108C"/>
    <w:rsid w:val="00D810BF"/>
    <w:rsid w:val="00D82E61"/>
    <w:rsid w:val="00D842AE"/>
    <w:rsid w:val="00D852BE"/>
    <w:rsid w:val="00D8679A"/>
    <w:rsid w:val="00D9211C"/>
    <w:rsid w:val="00D92DE0"/>
    <w:rsid w:val="00D92FEF"/>
    <w:rsid w:val="00D939F0"/>
    <w:rsid w:val="00D93A0F"/>
    <w:rsid w:val="00DA1672"/>
    <w:rsid w:val="00DA1BCA"/>
    <w:rsid w:val="00DA5DF5"/>
    <w:rsid w:val="00DA7B49"/>
    <w:rsid w:val="00DB09AC"/>
    <w:rsid w:val="00DB12D7"/>
    <w:rsid w:val="00DB2263"/>
    <w:rsid w:val="00DC0CD8"/>
    <w:rsid w:val="00DC46E5"/>
    <w:rsid w:val="00DC46FF"/>
    <w:rsid w:val="00DC5254"/>
    <w:rsid w:val="00DD1A4F"/>
    <w:rsid w:val="00DD238A"/>
    <w:rsid w:val="00DD2E90"/>
    <w:rsid w:val="00DD3107"/>
    <w:rsid w:val="00DD3D25"/>
    <w:rsid w:val="00DD7C2C"/>
    <w:rsid w:val="00DE0B1A"/>
    <w:rsid w:val="00DE0F75"/>
    <w:rsid w:val="00DE4075"/>
    <w:rsid w:val="00DE516C"/>
    <w:rsid w:val="00DE79D8"/>
    <w:rsid w:val="00DF0E14"/>
    <w:rsid w:val="00DF13BE"/>
    <w:rsid w:val="00DF7738"/>
    <w:rsid w:val="00E023D9"/>
    <w:rsid w:val="00E02F1C"/>
    <w:rsid w:val="00E06797"/>
    <w:rsid w:val="00E0713B"/>
    <w:rsid w:val="00E10640"/>
    <w:rsid w:val="00E1265B"/>
    <w:rsid w:val="00E13B48"/>
    <w:rsid w:val="00E1404F"/>
    <w:rsid w:val="00E1588A"/>
    <w:rsid w:val="00E16330"/>
    <w:rsid w:val="00E20571"/>
    <w:rsid w:val="00E21C83"/>
    <w:rsid w:val="00E22525"/>
    <w:rsid w:val="00E2371B"/>
    <w:rsid w:val="00E23880"/>
    <w:rsid w:val="00E24714"/>
    <w:rsid w:val="00E24ADA"/>
    <w:rsid w:val="00E31027"/>
    <w:rsid w:val="00E32F59"/>
    <w:rsid w:val="00E33A26"/>
    <w:rsid w:val="00E3724F"/>
    <w:rsid w:val="00E4297C"/>
    <w:rsid w:val="00E42D91"/>
    <w:rsid w:val="00E43EAF"/>
    <w:rsid w:val="00E442B8"/>
    <w:rsid w:val="00E4449D"/>
    <w:rsid w:val="00E45A42"/>
    <w:rsid w:val="00E46D9A"/>
    <w:rsid w:val="00E511EB"/>
    <w:rsid w:val="00E565FF"/>
    <w:rsid w:val="00E56EF4"/>
    <w:rsid w:val="00E64E94"/>
    <w:rsid w:val="00E65388"/>
    <w:rsid w:val="00E65AA7"/>
    <w:rsid w:val="00E707F4"/>
    <w:rsid w:val="00E73CE8"/>
    <w:rsid w:val="00E74533"/>
    <w:rsid w:val="00E7474D"/>
    <w:rsid w:val="00E80A03"/>
    <w:rsid w:val="00E85B7D"/>
    <w:rsid w:val="00E85E12"/>
    <w:rsid w:val="00E86A1F"/>
    <w:rsid w:val="00E9121B"/>
    <w:rsid w:val="00E93226"/>
    <w:rsid w:val="00E97071"/>
    <w:rsid w:val="00EA03E5"/>
    <w:rsid w:val="00EA0AE2"/>
    <w:rsid w:val="00EA39E5"/>
    <w:rsid w:val="00EA4C3E"/>
    <w:rsid w:val="00EA7DAA"/>
    <w:rsid w:val="00EB5CFE"/>
    <w:rsid w:val="00EB7E2C"/>
    <w:rsid w:val="00EC283F"/>
    <w:rsid w:val="00EC4E83"/>
    <w:rsid w:val="00EC51C8"/>
    <w:rsid w:val="00EC52CC"/>
    <w:rsid w:val="00EC5995"/>
    <w:rsid w:val="00EC5A46"/>
    <w:rsid w:val="00EC5F4C"/>
    <w:rsid w:val="00EC63E2"/>
    <w:rsid w:val="00ED07D3"/>
    <w:rsid w:val="00ED1DBC"/>
    <w:rsid w:val="00ED2A12"/>
    <w:rsid w:val="00ED4EB7"/>
    <w:rsid w:val="00ED5C51"/>
    <w:rsid w:val="00EE1A33"/>
    <w:rsid w:val="00EE459A"/>
    <w:rsid w:val="00EE45A2"/>
    <w:rsid w:val="00EE4931"/>
    <w:rsid w:val="00EE49EC"/>
    <w:rsid w:val="00EE5E22"/>
    <w:rsid w:val="00EE636C"/>
    <w:rsid w:val="00EE7DD9"/>
    <w:rsid w:val="00EF1B46"/>
    <w:rsid w:val="00EF22B3"/>
    <w:rsid w:val="00EF3BE8"/>
    <w:rsid w:val="00EF5A1A"/>
    <w:rsid w:val="00F02847"/>
    <w:rsid w:val="00F03B69"/>
    <w:rsid w:val="00F07A50"/>
    <w:rsid w:val="00F106B0"/>
    <w:rsid w:val="00F113DA"/>
    <w:rsid w:val="00F12856"/>
    <w:rsid w:val="00F133B5"/>
    <w:rsid w:val="00F13704"/>
    <w:rsid w:val="00F13EB8"/>
    <w:rsid w:val="00F13FA7"/>
    <w:rsid w:val="00F1741A"/>
    <w:rsid w:val="00F17E17"/>
    <w:rsid w:val="00F236D7"/>
    <w:rsid w:val="00F252CA"/>
    <w:rsid w:val="00F25D28"/>
    <w:rsid w:val="00F26747"/>
    <w:rsid w:val="00F3055D"/>
    <w:rsid w:val="00F31F9A"/>
    <w:rsid w:val="00F330F6"/>
    <w:rsid w:val="00F349C7"/>
    <w:rsid w:val="00F3558F"/>
    <w:rsid w:val="00F37DC8"/>
    <w:rsid w:val="00F409FD"/>
    <w:rsid w:val="00F430E0"/>
    <w:rsid w:val="00F439B3"/>
    <w:rsid w:val="00F54E48"/>
    <w:rsid w:val="00F553B7"/>
    <w:rsid w:val="00F55F36"/>
    <w:rsid w:val="00F650C3"/>
    <w:rsid w:val="00F65D85"/>
    <w:rsid w:val="00F70A78"/>
    <w:rsid w:val="00F72EE8"/>
    <w:rsid w:val="00F73A4B"/>
    <w:rsid w:val="00F7702F"/>
    <w:rsid w:val="00F8091E"/>
    <w:rsid w:val="00F83E8C"/>
    <w:rsid w:val="00F8615C"/>
    <w:rsid w:val="00F8775E"/>
    <w:rsid w:val="00F95987"/>
    <w:rsid w:val="00F960A5"/>
    <w:rsid w:val="00F969E5"/>
    <w:rsid w:val="00F97C38"/>
    <w:rsid w:val="00FA003B"/>
    <w:rsid w:val="00FA01F2"/>
    <w:rsid w:val="00FA0AE9"/>
    <w:rsid w:val="00FA3DD0"/>
    <w:rsid w:val="00FA6BB0"/>
    <w:rsid w:val="00FB1BFD"/>
    <w:rsid w:val="00FB4092"/>
    <w:rsid w:val="00FB4873"/>
    <w:rsid w:val="00FB4C5A"/>
    <w:rsid w:val="00FB569C"/>
    <w:rsid w:val="00FB577C"/>
    <w:rsid w:val="00FB5FF1"/>
    <w:rsid w:val="00FC00C9"/>
    <w:rsid w:val="00FC13FE"/>
    <w:rsid w:val="00FC2B3D"/>
    <w:rsid w:val="00FC2C59"/>
    <w:rsid w:val="00FD02C9"/>
    <w:rsid w:val="00FD0EC4"/>
    <w:rsid w:val="00FD1003"/>
    <w:rsid w:val="00FD13AF"/>
    <w:rsid w:val="00FD5860"/>
    <w:rsid w:val="00FD5954"/>
    <w:rsid w:val="00FD5D2F"/>
    <w:rsid w:val="00FD7B23"/>
    <w:rsid w:val="00FD7E2F"/>
    <w:rsid w:val="00FE0EBA"/>
    <w:rsid w:val="00FE2C1C"/>
    <w:rsid w:val="00FE352D"/>
    <w:rsid w:val="00FE40EB"/>
    <w:rsid w:val="00FE45A6"/>
    <w:rsid w:val="00FE4717"/>
    <w:rsid w:val="00FE4D02"/>
    <w:rsid w:val="00FE7D62"/>
    <w:rsid w:val="00FF2F8A"/>
    <w:rsid w:val="00FF3819"/>
    <w:rsid w:val="00FF4108"/>
    <w:rsid w:val="00FF64AC"/>
    <w:rsid w:val="00FF68E5"/>
    <w:rsid w:val="00FF695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1207E59"/>
  <w15:docId w15:val="{EFEF9EA1-46EA-445A-92B0-15AC0E96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D542B"/>
    <w:pPr>
      <w:tabs>
        <w:tab w:val="left" w:pos="1247"/>
        <w:tab w:val="left" w:pos="1814"/>
        <w:tab w:val="left" w:pos="2381"/>
        <w:tab w:val="left" w:pos="2948"/>
        <w:tab w:val="left" w:pos="3515"/>
      </w:tabs>
    </w:pPr>
    <w:rPr>
      <w:lang w:eastAsia="en-US"/>
    </w:rPr>
  </w:style>
  <w:style w:type="paragraph" w:styleId="Titre1">
    <w:name w:val="heading 1"/>
    <w:basedOn w:val="Normal"/>
    <w:next w:val="Normalnumber"/>
    <w:qFormat/>
    <w:rsid w:val="000D6941"/>
    <w:pPr>
      <w:keepNext/>
      <w:spacing w:before="240" w:after="120"/>
      <w:ind w:left="1247" w:hanging="680"/>
      <w:outlineLvl w:val="0"/>
    </w:pPr>
    <w:rPr>
      <w:b/>
      <w:sz w:val="28"/>
    </w:rPr>
  </w:style>
  <w:style w:type="paragraph" w:styleId="Titre2">
    <w:name w:val="heading 2"/>
    <w:basedOn w:val="Normal"/>
    <w:next w:val="Normalnumber"/>
    <w:qFormat/>
    <w:rsid w:val="000D6941"/>
    <w:pPr>
      <w:keepNext/>
      <w:spacing w:before="240" w:after="120"/>
      <w:ind w:left="1247" w:hanging="680"/>
      <w:outlineLvl w:val="1"/>
    </w:pPr>
    <w:rPr>
      <w:b/>
      <w:sz w:val="24"/>
      <w:szCs w:val="24"/>
    </w:rPr>
  </w:style>
  <w:style w:type="paragraph" w:styleId="Titre3">
    <w:name w:val="heading 3"/>
    <w:basedOn w:val="Normal"/>
    <w:next w:val="Normalnumber"/>
    <w:qFormat/>
    <w:rsid w:val="000D6941"/>
    <w:pPr>
      <w:spacing w:after="120"/>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lang w:val="en-US"/>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DD3107"/>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DD3107"/>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003C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DD3107"/>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auNormal"/>
    <w:semiHidden/>
    <w:rsid w:val="00DD3107"/>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after="120"/>
    </w:pPr>
    <w:rPr>
      <w:b/>
      <w:sz w:val="18"/>
    </w:rPr>
  </w:style>
  <w:style w:type="paragraph" w:customStyle="1" w:styleId="Headerpool">
    <w:name w:val="Header_pool"/>
    <w:basedOn w:val="Normal"/>
    <w:next w:val="Normal"/>
    <w:semiHidden/>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rsid w:val="003A086E"/>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E2371B"/>
    <w:pPr>
      <w:tabs>
        <w:tab w:val="left" w:pos="1247"/>
        <w:tab w:val="left" w:pos="1814"/>
        <w:tab w:val="left" w:pos="2381"/>
        <w:tab w:val="left" w:pos="2948"/>
        <w:tab w:val="left" w:pos="3515"/>
        <w:tab w:val="left" w:pos="4082"/>
      </w:tabs>
    </w:pPr>
    <w:rPr>
      <w:lang w:val="en-GB" w:eastAsia="en-US"/>
    </w:rPr>
  </w:style>
  <w:style w:type="character" w:styleId="Appelnotedebasdep">
    <w:name w:val="footnote reference"/>
    <w:aliases w:val="16 Point,Superscript 6 Point,Footnote text,Footnote Text1,Footnote Text2,ftref,(Ref. de nota al pie),number,SUPERS,Footnote Reference Superscript,Superscript 6 Point + 11 pt,Appel note de bas de page,-E Fußnotenzeichen"/>
    <w:qFormat/>
    <w:rsid w:val="000D6941"/>
    <w:rPr>
      <w:rFonts w:ascii="Times New Roman" w:hAnsi="Times New Roman"/>
      <w:color w:val="auto"/>
      <w:sz w:val="20"/>
      <w:szCs w:val="18"/>
      <w:vertAlign w:val="superscript"/>
    </w:rPr>
  </w:style>
  <w:style w:type="paragraph" w:styleId="Notedebasdepage">
    <w:name w:val="footnote text"/>
    <w:aliases w:val="Fußnotentextf, Char1,DNV-FT,Geneva 9,Font: Geneva 9,Boston 10,f,footnote3,text,Geneva,92,Font:,Boston,10,FOOTNOTES,fn,single space,Footnote Text Rail EIS,ft,Footnotes,Footnote ak,fn cafc,Footnotes Char Char,Footnote Text Char Char,93"/>
    <w:basedOn w:val="Normalpool"/>
    <w:link w:val="NotedebasdepageCar"/>
    <w:qFormat/>
    <w:rsid w:val="000D6941"/>
    <w:pPr>
      <w:spacing w:before="20" w:after="40"/>
      <w:ind w:left="1247"/>
    </w:pPr>
    <w:rPr>
      <w:sz w:val="18"/>
    </w:rPr>
  </w:style>
  <w:style w:type="table" w:customStyle="1" w:styleId="AATable">
    <w:name w:val="AA_Table"/>
    <w:basedOn w:val="TableauNormal"/>
    <w:semiHidden/>
    <w:rsid w:val="00DD3107"/>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3240FB"/>
    <w:pPr>
      <w:tabs>
        <w:tab w:val="clear" w:pos="4082"/>
      </w:tabs>
      <w:spacing w:before="60" w:after="60"/>
      <w:ind w:right="4536"/>
    </w:pPr>
  </w:style>
  <w:style w:type="paragraph" w:customStyle="1" w:styleId="BBTitle">
    <w:name w:val="BB_Title"/>
    <w:basedOn w:val="Normalpool"/>
    <w:link w:val="BBTitleChar"/>
    <w:rsid w:val="00DD3107"/>
    <w:pPr>
      <w:keepNext/>
      <w:keepLines/>
      <w:suppressAutoHyphens/>
      <w:spacing w:before="320" w:after="240"/>
      <w:ind w:left="1247" w:right="567"/>
    </w:pPr>
    <w:rPr>
      <w:b/>
      <w:sz w:val="28"/>
      <w:szCs w:val="28"/>
    </w:rPr>
  </w:style>
  <w:style w:type="paragraph" w:styleId="Pieddepage">
    <w:name w:val="footer"/>
    <w:basedOn w:val="Normal"/>
    <w:link w:val="PieddepageCar"/>
    <w:uiPriority w:val="99"/>
    <w:rsid w:val="00821395"/>
    <w:pPr>
      <w:tabs>
        <w:tab w:val="center" w:pos="4320"/>
        <w:tab w:val="right" w:pos="8640"/>
      </w:tabs>
      <w:spacing w:before="60" w:after="120"/>
    </w:pPr>
    <w:rPr>
      <w:sz w:val="18"/>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semiHidden/>
    <w:rsid w:val="000D6941"/>
    <w:rPr>
      <w:rFonts w:ascii="Times New Roman" w:hAnsi="Times New Roman"/>
      <w:color w:val="auto"/>
      <w:sz w:val="20"/>
      <w:szCs w:val="20"/>
      <w:u w:val="none"/>
      <w:lang w:val="fr-FR"/>
    </w:rPr>
  </w:style>
  <w:style w:type="numbering" w:customStyle="1" w:styleId="Normallist">
    <w:name w:val="Normal_list"/>
    <w:basedOn w:val="Aucuneliste"/>
    <w:rsid w:val="00DD3107"/>
    <w:pPr>
      <w:numPr>
        <w:numId w:val="6"/>
      </w:numPr>
    </w:pPr>
  </w:style>
  <w:style w:type="paragraph" w:customStyle="1" w:styleId="NormalNonumber">
    <w:name w:val="Normal_No_number"/>
    <w:basedOn w:val="Normalpool"/>
    <w:link w:val="NormalNonumberChar"/>
    <w:rsid w:val="003A086E"/>
    <w:pPr>
      <w:spacing w:after="120"/>
      <w:ind w:left="1247"/>
    </w:pPr>
  </w:style>
  <w:style w:type="paragraph" w:customStyle="1" w:styleId="Normalnumber">
    <w:name w:val="Normal_number"/>
    <w:basedOn w:val="Normalpool"/>
    <w:link w:val="NormalnumberChar"/>
    <w:rsid w:val="00EC5995"/>
    <w:pPr>
      <w:numPr>
        <w:numId w:val="6"/>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DD3107"/>
    <w:pPr>
      <w:keepNext/>
      <w:keepLines/>
      <w:suppressAutoHyphens/>
      <w:spacing w:after="60"/>
      <w:ind w:left="1247"/>
    </w:pPr>
    <w:rPr>
      <w:b/>
      <w:bCs/>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rsid w:val="00DD3107"/>
    <w:pPr>
      <w:spacing w:before="360" w:after="120"/>
      <w:ind w:left="1247"/>
    </w:pPr>
    <w:rPr>
      <w:b/>
      <w:bCs/>
      <w:sz w:val="28"/>
      <w:szCs w:val="26"/>
    </w:rPr>
  </w:style>
  <w:style w:type="table" w:styleId="Grilledutableau">
    <w:name w:val="Table Grid"/>
    <w:basedOn w:val="TableauNormal"/>
    <w:rsid w:val="005D542B"/>
    <w:pPr>
      <w:tabs>
        <w:tab w:val="left" w:pos="1247"/>
        <w:tab w:val="left" w:pos="1814"/>
        <w:tab w:val="left" w:pos="2381"/>
        <w:tab w:val="left" w:pos="2948"/>
        <w:tab w:val="left" w:pos="3515"/>
      </w:tabs>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aliases w:val="Fußnotentextf Car, Char1 Car,DNV-FT Car,Geneva 9 Car,Font: Geneva 9 Car,Boston 10 Car,f Car,footnote3 Car,text Car,Geneva Car,92 Car,Font: Car,Boston Car,10 Car,FOOTNOTES Car,fn Car,single space Car,Footnote Text Rail EIS Car"/>
    <w:link w:val="Notedebasdepage"/>
    <w:rsid w:val="003F05AD"/>
    <w:rPr>
      <w:sz w:val="18"/>
      <w:lang w:val="fr-CA" w:eastAsia="en-US"/>
    </w:rPr>
  </w:style>
  <w:style w:type="character" w:customStyle="1" w:styleId="NormalnumberChar">
    <w:name w:val="Normal_number Char"/>
    <w:link w:val="Normalnumber"/>
    <w:locked/>
    <w:rsid w:val="00EC5995"/>
    <w:rPr>
      <w:lang w:val="fr-CA" w:eastAsia="en-US"/>
    </w:rPr>
  </w:style>
  <w:style w:type="character" w:customStyle="1" w:styleId="CH2Char">
    <w:name w:val="CH2 Char"/>
    <w:link w:val="CH2"/>
    <w:locked/>
    <w:rsid w:val="009003CB"/>
    <w:rPr>
      <w:b/>
      <w:sz w:val="24"/>
      <w:szCs w:val="24"/>
      <w:lang w:val="fr-CA" w:eastAsia="en-US"/>
    </w:rPr>
  </w:style>
  <w:style w:type="paragraph" w:styleId="Textedebulles">
    <w:name w:val="Balloon Text"/>
    <w:basedOn w:val="Normal"/>
    <w:link w:val="TextedebullesCar"/>
    <w:rsid w:val="009D3E3B"/>
    <w:rPr>
      <w:rFonts w:ascii="Tahoma" w:hAnsi="Tahoma" w:cs="Tahoma"/>
      <w:sz w:val="16"/>
      <w:szCs w:val="16"/>
    </w:rPr>
  </w:style>
  <w:style w:type="character" w:customStyle="1" w:styleId="TextedebullesCar">
    <w:name w:val="Texte de bulles Car"/>
    <w:basedOn w:val="Policepardfaut"/>
    <w:link w:val="Textedebulles"/>
    <w:rsid w:val="009D3E3B"/>
    <w:rPr>
      <w:rFonts w:ascii="Tahoma" w:hAnsi="Tahoma" w:cs="Tahoma"/>
      <w:sz w:val="16"/>
      <w:szCs w:val="16"/>
      <w:lang w:eastAsia="en-US"/>
    </w:rPr>
  </w:style>
  <w:style w:type="character" w:styleId="Lienhypertextesuivivisit">
    <w:name w:val="FollowedHyperlink"/>
    <w:basedOn w:val="Policepardfaut"/>
    <w:rsid w:val="00A3332E"/>
    <w:rPr>
      <w:color w:val="800080" w:themeColor="followedHyperlink"/>
      <w:u w:val="single"/>
    </w:rPr>
  </w:style>
  <w:style w:type="paragraph" w:styleId="Paragraphedeliste">
    <w:name w:val="List Paragraph"/>
    <w:basedOn w:val="Normal"/>
    <w:uiPriority w:val="34"/>
    <w:qFormat/>
    <w:rsid w:val="008A4030"/>
    <w:pPr>
      <w:ind w:left="720"/>
      <w:contextualSpacing/>
    </w:pPr>
  </w:style>
  <w:style w:type="character" w:styleId="Marquedecommentaire">
    <w:name w:val="annotation reference"/>
    <w:basedOn w:val="Policepardfaut"/>
    <w:rsid w:val="00526D0B"/>
    <w:rPr>
      <w:sz w:val="16"/>
      <w:szCs w:val="16"/>
    </w:rPr>
  </w:style>
  <w:style w:type="paragraph" w:styleId="Commentaire">
    <w:name w:val="annotation text"/>
    <w:basedOn w:val="Normal"/>
    <w:link w:val="CommentaireCar"/>
    <w:rsid w:val="00526D0B"/>
  </w:style>
  <w:style w:type="character" w:customStyle="1" w:styleId="CommentaireCar">
    <w:name w:val="Commentaire Car"/>
    <w:basedOn w:val="Policepardfaut"/>
    <w:link w:val="Commentaire"/>
    <w:rsid w:val="00526D0B"/>
    <w:rPr>
      <w:lang w:eastAsia="en-US"/>
    </w:rPr>
  </w:style>
  <w:style w:type="paragraph" w:styleId="Objetducommentaire">
    <w:name w:val="annotation subject"/>
    <w:basedOn w:val="Commentaire"/>
    <w:next w:val="Commentaire"/>
    <w:link w:val="ObjetducommentaireCar"/>
    <w:rsid w:val="00526D0B"/>
    <w:rPr>
      <w:b/>
      <w:bCs/>
    </w:rPr>
  </w:style>
  <w:style w:type="character" w:customStyle="1" w:styleId="ObjetducommentaireCar">
    <w:name w:val="Objet du commentaire Car"/>
    <w:basedOn w:val="CommentaireCar"/>
    <w:link w:val="Objetducommentaire"/>
    <w:rsid w:val="00526D0B"/>
    <w:rPr>
      <w:b/>
      <w:bCs/>
      <w:lang w:eastAsia="en-US"/>
    </w:rPr>
  </w:style>
  <w:style w:type="character" w:customStyle="1" w:styleId="PieddepageCar">
    <w:name w:val="Pied de page Car"/>
    <w:basedOn w:val="Policepardfaut"/>
    <w:link w:val="Pieddepage"/>
    <w:uiPriority w:val="99"/>
    <w:rsid w:val="00C424A2"/>
    <w:rPr>
      <w:sz w:val="18"/>
      <w:lang w:eastAsia="en-US"/>
    </w:rPr>
  </w:style>
  <w:style w:type="paragraph" w:customStyle="1" w:styleId="Paralevel1">
    <w:name w:val="Para level1"/>
    <w:basedOn w:val="Normal"/>
    <w:link w:val="Paralevel1Char"/>
    <w:autoRedefine/>
    <w:rsid w:val="0001627D"/>
    <w:pPr>
      <w:keepNext/>
      <w:keepLines/>
      <w:tabs>
        <w:tab w:val="clear" w:pos="1247"/>
        <w:tab w:val="clear" w:pos="1814"/>
        <w:tab w:val="clear" w:pos="2381"/>
        <w:tab w:val="clear" w:pos="2948"/>
        <w:tab w:val="clear" w:pos="3515"/>
        <w:tab w:val="left" w:pos="1985"/>
      </w:tabs>
      <w:suppressAutoHyphens/>
      <w:spacing w:after="120"/>
      <w:ind w:left="1418"/>
    </w:pPr>
    <w:rPr>
      <w:bCs/>
      <w:lang w:val="en-GB"/>
    </w:rPr>
  </w:style>
  <w:style w:type="character" w:customStyle="1" w:styleId="Paralevel1Char">
    <w:name w:val="Para level1 Char"/>
    <w:basedOn w:val="Policepardfaut"/>
    <w:link w:val="Paralevel1"/>
    <w:rsid w:val="0001627D"/>
    <w:rPr>
      <w:bCs/>
      <w:lang w:val="en-GB" w:eastAsia="en-US"/>
    </w:rPr>
  </w:style>
  <w:style w:type="character" w:customStyle="1" w:styleId="Inget">
    <w:name w:val="Inget"/>
    <w:rsid w:val="0001627D"/>
  </w:style>
  <w:style w:type="paragraph" w:styleId="Rvision">
    <w:name w:val="Revision"/>
    <w:hidden/>
    <w:uiPriority w:val="99"/>
    <w:semiHidden/>
    <w:rsid w:val="006A6D52"/>
    <w:rPr>
      <w:lang w:eastAsia="en-US"/>
    </w:rPr>
  </w:style>
  <w:style w:type="character" w:customStyle="1" w:styleId="NormalNonumberChar">
    <w:name w:val="Normal_No_number Char"/>
    <w:link w:val="NormalNonumber"/>
    <w:locked/>
    <w:rsid w:val="008B675C"/>
    <w:rPr>
      <w:lang w:val="fr-CA" w:eastAsia="en-US"/>
    </w:rPr>
  </w:style>
  <w:style w:type="paragraph" w:customStyle="1" w:styleId="Default">
    <w:name w:val="Default"/>
    <w:rsid w:val="007D033B"/>
    <w:pPr>
      <w:autoSpaceDE w:val="0"/>
      <w:autoSpaceDN w:val="0"/>
      <w:adjustRightInd w:val="0"/>
    </w:pPr>
    <w:rPr>
      <w:color w:val="000000"/>
      <w:sz w:val="24"/>
      <w:szCs w:val="24"/>
    </w:rPr>
  </w:style>
  <w:style w:type="character" w:customStyle="1" w:styleId="BBTitleChar">
    <w:name w:val="BB_Title Char"/>
    <w:link w:val="BBTitle"/>
    <w:rsid w:val="00A113E0"/>
    <w:rPr>
      <w:b/>
      <w:sz w:val="28"/>
      <w:szCs w:val="28"/>
      <w:lang w:val="fr-CA" w:eastAsia="en-US"/>
    </w:rPr>
  </w:style>
  <w:style w:type="character" w:customStyle="1" w:styleId="CH3Char">
    <w:name w:val="CH3 Char"/>
    <w:link w:val="CH3"/>
    <w:locked/>
    <w:rsid w:val="000E3F3F"/>
    <w:rPr>
      <w:b/>
      <w:lang w:val="fr-CA" w:eastAsia="en-US"/>
    </w:rPr>
  </w:style>
  <w:style w:type="numbering" w:customStyle="1" w:styleId="WWNum25">
    <w:name w:val="WWNum25"/>
    <w:basedOn w:val="Aucuneliste"/>
    <w:rsid w:val="00961A61"/>
    <w:pPr>
      <w:numPr>
        <w:numId w:val="8"/>
      </w:numPr>
    </w:pPr>
  </w:style>
  <w:style w:type="paragraph" w:styleId="NormalWeb">
    <w:name w:val="Normal (Web)"/>
    <w:basedOn w:val="Normal"/>
    <w:uiPriority w:val="99"/>
    <w:semiHidden/>
    <w:unhideWhenUsed/>
    <w:rsid w:val="00126CF6"/>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val="en-US"/>
    </w:rPr>
  </w:style>
  <w:style w:type="character" w:customStyle="1" w:styleId="job-value">
    <w:name w:val="job-value"/>
    <w:basedOn w:val="Policepardfaut"/>
    <w:rsid w:val="00033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6277">
      <w:bodyDiv w:val="1"/>
      <w:marLeft w:val="0"/>
      <w:marRight w:val="0"/>
      <w:marTop w:val="0"/>
      <w:marBottom w:val="0"/>
      <w:divBdr>
        <w:top w:val="none" w:sz="0" w:space="0" w:color="auto"/>
        <w:left w:val="none" w:sz="0" w:space="0" w:color="auto"/>
        <w:bottom w:val="none" w:sz="0" w:space="0" w:color="auto"/>
        <w:right w:val="none" w:sz="0" w:space="0" w:color="auto"/>
      </w:divBdr>
      <w:divsChild>
        <w:div w:id="98527180">
          <w:marLeft w:val="0"/>
          <w:marRight w:val="0"/>
          <w:marTop w:val="0"/>
          <w:marBottom w:val="0"/>
          <w:divBdr>
            <w:top w:val="none" w:sz="0" w:space="0" w:color="auto"/>
            <w:left w:val="none" w:sz="0" w:space="0" w:color="auto"/>
            <w:bottom w:val="none" w:sz="0" w:space="0" w:color="auto"/>
            <w:right w:val="none" w:sz="0" w:space="0" w:color="auto"/>
          </w:divBdr>
        </w:div>
        <w:div w:id="370344957">
          <w:marLeft w:val="0"/>
          <w:marRight w:val="0"/>
          <w:marTop w:val="0"/>
          <w:marBottom w:val="0"/>
          <w:divBdr>
            <w:top w:val="none" w:sz="0" w:space="0" w:color="auto"/>
            <w:left w:val="none" w:sz="0" w:space="0" w:color="auto"/>
            <w:bottom w:val="none" w:sz="0" w:space="0" w:color="auto"/>
            <w:right w:val="none" w:sz="0" w:space="0" w:color="auto"/>
          </w:divBdr>
        </w:div>
        <w:div w:id="606625423">
          <w:marLeft w:val="0"/>
          <w:marRight w:val="0"/>
          <w:marTop w:val="0"/>
          <w:marBottom w:val="0"/>
          <w:divBdr>
            <w:top w:val="none" w:sz="0" w:space="0" w:color="auto"/>
            <w:left w:val="none" w:sz="0" w:space="0" w:color="auto"/>
            <w:bottom w:val="none" w:sz="0" w:space="0" w:color="auto"/>
            <w:right w:val="none" w:sz="0" w:space="0" w:color="auto"/>
          </w:divBdr>
        </w:div>
        <w:div w:id="824903958">
          <w:marLeft w:val="0"/>
          <w:marRight w:val="0"/>
          <w:marTop w:val="0"/>
          <w:marBottom w:val="0"/>
          <w:divBdr>
            <w:top w:val="none" w:sz="0" w:space="0" w:color="auto"/>
            <w:left w:val="none" w:sz="0" w:space="0" w:color="auto"/>
            <w:bottom w:val="none" w:sz="0" w:space="0" w:color="auto"/>
            <w:right w:val="none" w:sz="0" w:space="0" w:color="auto"/>
          </w:divBdr>
        </w:div>
        <w:div w:id="880553466">
          <w:marLeft w:val="0"/>
          <w:marRight w:val="0"/>
          <w:marTop w:val="0"/>
          <w:marBottom w:val="0"/>
          <w:divBdr>
            <w:top w:val="none" w:sz="0" w:space="0" w:color="auto"/>
            <w:left w:val="none" w:sz="0" w:space="0" w:color="auto"/>
            <w:bottom w:val="none" w:sz="0" w:space="0" w:color="auto"/>
            <w:right w:val="none" w:sz="0" w:space="0" w:color="auto"/>
          </w:divBdr>
        </w:div>
        <w:div w:id="1394965493">
          <w:marLeft w:val="0"/>
          <w:marRight w:val="0"/>
          <w:marTop w:val="0"/>
          <w:marBottom w:val="0"/>
          <w:divBdr>
            <w:top w:val="none" w:sz="0" w:space="0" w:color="auto"/>
            <w:left w:val="none" w:sz="0" w:space="0" w:color="auto"/>
            <w:bottom w:val="none" w:sz="0" w:space="0" w:color="auto"/>
            <w:right w:val="none" w:sz="0" w:space="0" w:color="auto"/>
          </w:divBdr>
        </w:div>
      </w:divsChild>
    </w:div>
    <w:div w:id="138620115">
      <w:bodyDiv w:val="1"/>
      <w:marLeft w:val="0"/>
      <w:marRight w:val="0"/>
      <w:marTop w:val="0"/>
      <w:marBottom w:val="0"/>
      <w:divBdr>
        <w:top w:val="none" w:sz="0" w:space="0" w:color="auto"/>
        <w:left w:val="none" w:sz="0" w:space="0" w:color="auto"/>
        <w:bottom w:val="none" w:sz="0" w:space="0" w:color="auto"/>
        <w:right w:val="none" w:sz="0" w:space="0" w:color="auto"/>
      </w:divBdr>
      <w:divsChild>
        <w:div w:id="738985600">
          <w:marLeft w:val="0"/>
          <w:marRight w:val="0"/>
          <w:marTop w:val="0"/>
          <w:marBottom w:val="0"/>
          <w:divBdr>
            <w:top w:val="none" w:sz="0" w:space="0" w:color="auto"/>
            <w:left w:val="none" w:sz="0" w:space="0" w:color="auto"/>
            <w:bottom w:val="none" w:sz="0" w:space="0" w:color="auto"/>
            <w:right w:val="none" w:sz="0" w:space="0" w:color="auto"/>
          </w:divBdr>
        </w:div>
        <w:div w:id="1661618212">
          <w:marLeft w:val="0"/>
          <w:marRight w:val="0"/>
          <w:marTop w:val="0"/>
          <w:marBottom w:val="0"/>
          <w:divBdr>
            <w:top w:val="none" w:sz="0" w:space="0" w:color="auto"/>
            <w:left w:val="none" w:sz="0" w:space="0" w:color="auto"/>
            <w:bottom w:val="none" w:sz="0" w:space="0" w:color="auto"/>
            <w:right w:val="none" w:sz="0" w:space="0" w:color="auto"/>
          </w:divBdr>
        </w:div>
        <w:div w:id="988052247">
          <w:marLeft w:val="0"/>
          <w:marRight w:val="0"/>
          <w:marTop w:val="0"/>
          <w:marBottom w:val="0"/>
          <w:divBdr>
            <w:top w:val="none" w:sz="0" w:space="0" w:color="auto"/>
            <w:left w:val="none" w:sz="0" w:space="0" w:color="auto"/>
            <w:bottom w:val="none" w:sz="0" w:space="0" w:color="auto"/>
            <w:right w:val="none" w:sz="0" w:space="0" w:color="auto"/>
          </w:divBdr>
        </w:div>
        <w:div w:id="1623607238">
          <w:marLeft w:val="0"/>
          <w:marRight w:val="0"/>
          <w:marTop w:val="0"/>
          <w:marBottom w:val="0"/>
          <w:divBdr>
            <w:top w:val="none" w:sz="0" w:space="0" w:color="auto"/>
            <w:left w:val="none" w:sz="0" w:space="0" w:color="auto"/>
            <w:bottom w:val="none" w:sz="0" w:space="0" w:color="auto"/>
            <w:right w:val="none" w:sz="0" w:space="0" w:color="auto"/>
          </w:divBdr>
        </w:div>
      </w:divsChild>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28448325">
      <w:bodyDiv w:val="1"/>
      <w:marLeft w:val="0"/>
      <w:marRight w:val="0"/>
      <w:marTop w:val="0"/>
      <w:marBottom w:val="0"/>
      <w:divBdr>
        <w:top w:val="none" w:sz="0" w:space="0" w:color="auto"/>
        <w:left w:val="none" w:sz="0" w:space="0" w:color="auto"/>
        <w:bottom w:val="none" w:sz="0" w:space="0" w:color="auto"/>
        <w:right w:val="none" w:sz="0" w:space="0" w:color="auto"/>
      </w:divBdr>
      <w:divsChild>
        <w:div w:id="1546871519">
          <w:marLeft w:val="0"/>
          <w:marRight w:val="0"/>
          <w:marTop w:val="0"/>
          <w:marBottom w:val="0"/>
          <w:divBdr>
            <w:top w:val="none" w:sz="0" w:space="0" w:color="auto"/>
            <w:left w:val="none" w:sz="0" w:space="0" w:color="auto"/>
            <w:bottom w:val="none" w:sz="0" w:space="0" w:color="auto"/>
            <w:right w:val="none" w:sz="0" w:space="0" w:color="auto"/>
          </w:divBdr>
        </w:div>
        <w:div w:id="1871844689">
          <w:marLeft w:val="0"/>
          <w:marRight w:val="0"/>
          <w:marTop w:val="0"/>
          <w:marBottom w:val="0"/>
          <w:divBdr>
            <w:top w:val="none" w:sz="0" w:space="0" w:color="auto"/>
            <w:left w:val="none" w:sz="0" w:space="0" w:color="auto"/>
            <w:bottom w:val="none" w:sz="0" w:space="0" w:color="auto"/>
            <w:right w:val="none" w:sz="0" w:space="0" w:color="auto"/>
          </w:divBdr>
        </w:div>
      </w:divsChild>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38398323">
      <w:bodyDiv w:val="1"/>
      <w:marLeft w:val="0"/>
      <w:marRight w:val="0"/>
      <w:marTop w:val="0"/>
      <w:marBottom w:val="0"/>
      <w:divBdr>
        <w:top w:val="none" w:sz="0" w:space="0" w:color="auto"/>
        <w:left w:val="none" w:sz="0" w:space="0" w:color="auto"/>
        <w:bottom w:val="none" w:sz="0" w:space="0" w:color="auto"/>
        <w:right w:val="none" w:sz="0" w:space="0" w:color="auto"/>
      </w:divBdr>
      <w:divsChild>
        <w:div w:id="980618121">
          <w:marLeft w:val="0"/>
          <w:marRight w:val="0"/>
          <w:marTop w:val="0"/>
          <w:marBottom w:val="0"/>
          <w:divBdr>
            <w:top w:val="none" w:sz="0" w:space="0" w:color="auto"/>
            <w:left w:val="none" w:sz="0" w:space="0" w:color="auto"/>
            <w:bottom w:val="none" w:sz="0" w:space="0" w:color="auto"/>
            <w:right w:val="none" w:sz="0" w:space="0" w:color="auto"/>
          </w:divBdr>
        </w:div>
        <w:div w:id="486671212">
          <w:marLeft w:val="0"/>
          <w:marRight w:val="0"/>
          <w:marTop w:val="0"/>
          <w:marBottom w:val="0"/>
          <w:divBdr>
            <w:top w:val="none" w:sz="0" w:space="0" w:color="auto"/>
            <w:left w:val="none" w:sz="0" w:space="0" w:color="auto"/>
            <w:bottom w:val="none" w:sz="0" w:space="0" w:color="auto"/>
            <w:right w:val="none" w:sz="0" w:space="0" w:color="auto"/>
          </w:divBdr>
        </w:div>
        <w:div w:id="1278371222">
          <w:marLeft w:val="0"/>
          <w:marRight w:val="0"/>
          <w:marTop w:val="0"/>
          <w:marBottom w:val="0"/>
          <w:divBdr>
            <w:top w:val="none" w:sz="0" w:space="0" w:color="auto"/>
            <w:left w:val="none" w:sz="0" w:space="0" w:color="auto"/>
            <w:bottom w:val="none" w:sz="0" w:space="0" w:color="auto"/>
            <w:right w:val="none" w:sz="0" w:space="0" w:color="auto"/>
          </w:divBdr>
        </w:div>
      </w:divsChild>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30352048">
      <w:bodyDiv w:val="1"/>
      <w:marLeft w:val="0"/>
      <w:marRight w:val="0"/>
      <w:marTop w:val="0"/>
      <w:marBottom w:val="0"/>
      <w:divBdr>
        <w:top w:val="none" w:sz="0" w:space="0" w:color="auto"/>
        <w:left w:val="none" w:sz="0" w:space="0" w:color="auto"/>
        <w:bottom w:val="none" w:sz="0" w:space="0" w:color="auto"/>
        <w:right w:val="none" w:sz="0" w:space="0" w:color="auto"/>
      </w:divBdr>
      <w:divsChild>
        <w:div w:id="949629299">
          <w:marLeft w:val="0"/>
          <w:marRight w:val="0"/>
          <w:marTop w:val="0"/>
          <w:marBottom w:val="0"/>
          <w:divBdr>
            <w:top w:val="none" w:sz="0" w:space="0" w:color="auto"/>
            <w:left w:val="none" w:sz="0" w:space="0" w:color="auto"/>
            <w:bottom w:val="none" w:sz="0" w:space="0" w:color="auto"/>
            <w:right w:val="none" w:sz="0" w:space="0" w:color="auto"/>
          </w:divBdr>
        </w:div>
        <w:div w:id="778528664">
          <w:marLeft w:val="0"/>
          <w:marRight w:val="0"/>
          <w:marTop w:val="0"/>
          <w:marBottom w:val="0"/>
          <w:divBdr>
            <w:top w:val="none" w:sz="0" w:space="0" w:color="auto"/>
            <w:left w:val="none" w:sz="0" w:space="0" w:color="auto"/>
            <w:bottom w:val="none" w:sz="0" w:space="0" w:color="auto"/>
            <w:right w:val="none" w:sz="0" w:space="0" w:color="auto"/>
          </w:divBdr>
        </w:div>
      </w:divsChild>
    </w:div>
    <w:div w:id="1891307913">
      <w:bodyDiv w:val="1"/>
      <w:marLeft w:val="0"/>
      <w:marRight w:val="0"/>
      <w:marTop w:val="0"/>
      <w:marBottom w:val="0"/>
      <w:divBdr>
        <w:top w:val="none" w:sz="0" w:space="0" w:color="auto"/>
        <w:left w:val="none" w:sz="0" w:space="0" w:color="auto"/>
        <w:bottom w:val="none" w:sz="0" w:space="0" w:color="auto"/>
        <w:right w:val="none" w:sz="0" w:space="0" w:color="auto"/>
      </w:divBdr>
      <w:divsChild>
        <w:div w:id="1315794318">
          <w:marLeft w:val="0"/>
          <w:marRight w:val="0"/>
          <w:marTop w:val="0"/>
          <w:marBottom w:val="0"/>
          <w:divBdr>
            <w:top w:val="none" w:sz="0" w:space="0" w:color="auto"/>
            <w:left w:val="none" w:sz="0" w:space="0" w:color="auto"/>
            <w:bottom w:val="none" w:sz="0" w:space="0" w:color="auto"/>
            <w:right w:val="none" w:sz="0" w:space="0" w:color="auto"/>
          </w:divBdr>
        </w:div>
        <w:div w:id="260068247">
          <w:marLeft w:val="0"/>
          <w:marRight w:val="0"/>
          <w:marTop w:val="0"/>
          <w:marBottom w:val="0"/>
          <w:divBdr>
            <w:top w:val="none" w:sz="0" w:space="0" w:color="auto"/>
            <w:left w:val="none" w:sz="0" w:space="0" w:color="auto"/>
            <w:bottom w:val="none" w:sz="0" w:space="0" w:color="auto"/>
            <w:right w:val="none" w:sz="0" w:space="0" w:color="auto"/>
          </w:divBdr>
        </w:div>
        <w:div w:id="1749690362">
          <w:marLeft w:val="0"/>
          <w:marRight w:val="0"/>
          <w:marTop w:val="0"/>
          <w:marBottom w:val="0"/>
          <w:divBdr>
            <w:top w:val="none" w:sz="0" w:space="0" w:color="auto"/>
            <w:left w:val="none" w:sz="0" w:space="0" w:color="auto"/>
            <w:bottom w:val="none" w:sz="0" w:space="0" w:color="auto"/>
            <w:right w:val="none" w:sz="0" w:space="0" w:color="auto"/>
          </w:divBdr>
        </w:div>
        <w:div w:id="696155092">
          <w:marLeft w:val="0"/>
          <w:marRight w:val="0"/>
          <w:marTop w:val="0"/>
          <w:marBottom w:val="0"/>
          <w:divBdr>
            <w:top w:val="none" w:sz="0" w:space="0" w:color="auto"/>
            <w:left w:val="none" w:sz="0" w:space="0" w:color="auto"/>
            <w:bottom w:val="none" w:sz="0" w:space="0" w:color="auto"/>
            <w:right w:val="none" w:sz="0" w:space="0" w:color="auto"/>
          </w:divBdr>
        </w:div>
        <w:div w:id="401218247">
          <w:marLeft w:val="0"/>
          <w:marRight w:val="0"/>
          <w:marTop w:val="0"/>
          <w:marBottom w:val="0"/>
          <w:divBdr>
            <w:top w:val="none" w:sz="0" w:space="0" w:color="auto"/>
            <w:left w:val="none" w:sz="0" w:space="0" w:color="auto"/>
            <w:bottom w:val="none" w:sz="0" w:space="0" w:color="auto"/>
            <w:right w:val="none" w:sz="0" w:space="0" w:color="auto"/>
          </w:divBdr>
        </w:div>
        <w:div w:id="1098450290">
          <w:marLeft w:val="0"/>
          <w:marRight w:val="0"/>
          <w:marTop w:val="0"/>
          <w:marBottom w:val="0"/>
          <w:divBdr>
            <w:top w:val="none" w:sz="0" w:space="0" w:color="auto"/>
            <w:left w:val="none" w:sz="0" w:space="0" w:color="auto"/>
            <w:bottom w:val="none" w:sz="0" w:space="0" w:color="auto"/>
            <w:right w:val="none" w:sz="0" w:space="0" w:color="auto"/>
          </w:divBdr>
        </w:div>
        <w:div w:id="5134516">
          <w:marLeft w:val="0"/>
          <w:marRight w:val="0"/>
          <w:marTop w:val="0"/>
          <w:marBottom w:val="0"/>
          <w:divBdr>
            <w:top w:val="none" w:sz="0" w:space="0" w:color="auto"/>
            <w:left w:val="none" w:sz="0" w:space="0" w:color="auto"/>
            <w:bottom w:val="none" w:sz="0" w:space="0" w:color="auto"/>
            <w:right w:val="none" w:sz="0" w:space="0" w:color="auto"/>
          </w:divBdr>
        </w:div>
        <w:div w:id="214775393">
          <w:marLeft w:val="0"/>
          <w:marRight w:val="0"/>
          <w:marTop w:val="0"/>
          <w:marBottom w:val="0"/>
          <w:divBdr>
            <w:top w:val="none" w:sz="0" w:space="0" w:color="auto"/>
            <w:left w:val="none" w:sz="0" w:space="0" w:color="auto"/>
            <w:bottom w:val="none" w:sz="0" w:space="0" w:color="auto"/>
            <w:right w:val="none" w:sz="0" w:space="0" w:color="auto"/>
          </w:divBdr>
        </w:div>
        <w:div w:id="915213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ymbol xmlns="B7889ACC-2EAE-4FAC-B40D-65C2DAFAF2A5">UNEP/OzL.Pro.WG.1/38/1/Add.1</Document_x0020_Symbo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24894E47D7AF47A3089868D8BD5D71" ma:contentTypeVersion="" ma:contentTypeDescription="Create a new document." ma:contentTypeScope="" ma:versionID="99e002a46db0e83cadfb0eef3ac89df6">
  <xsd:schema xmlns:xsd="http://www.w3.org/2001/XMLSchema" xmlns:xs="http://www.w3.org/2001/XMLSchema" xmlns:p="http://schemas.microsoft.com/office/2006/metadata/properties" xmlns:ns2="B7889ACC-2EAE-4FAC-B40D-65C2DAFAF2A5" targetNamespace="http://schemas.microsoft.com/office/2006/metadata/properties" ma:root="true" ma:fieldsID="f072170b43ab293c619b9d8a5fba8679" ns2:_="">
    <xsd:import namespace="B7889ACC-2EAE-4FAC-B40D-65C2DAFAF2A5"/>
    <xsd:element name="properties">
      <xsd:complexType>
        <xsd:sequence>
          <xsd:element name="documentManagement">
            <xsd:complexType>
              <xsd:all>
                <xsd:element ref="ns2:Document_x0020_Symbo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89ACC-2EAE-4FAC-B40D-65C2DAFAF2A5" elementFormDefault="qualified">
    <xsd:import namespace="http://schemas.microsoft.com/office/2006/documentManagement/types"/>
    <xsd:import namespace="http://schemas.microsoft.com/office/infopath/2007/PartnerControls"/>
    <xsd:element name="Document_x0020_Symbol" ma:index="8" ma:displayName="Document Symbol" ma:internalName="Document_x0020_Symbo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44B9F-3E05-4F2E-8D9E-076186388428}">
  <ds:schemaRefs>
    <ds:schemaRef ds:uri="http://purl.org/dc/dcmitype/"/>
    <ds:schemaRef ds:uri="http://purl.org/dc/elements/1.1/"/>
    <ds:schemaRef ds:uri="B7889ACC-2EAE-4FAC-B40D-65C2DAFAF2A5"/>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717136E-DF86-48B0-B8E2-A170C8D196D1}">
  <ds:schemaRefs>
    <ds:schemaRef ds:uri="http://schemas.microsoft.com/sharepoint/v3/contenttype/forms"/>
  </ds:schemaRefs>
</ds:datastoreItem>
</file>

<file path=customXml/itemProps3.xml><?xml version="1.0" encoding="utf-8"?>
<ds:datastoreItem xmlns:ds="http://schemas.openxmlformats.org/officeDocument/2006/customXml" ds:itemID="{BD391971-705C-463C-9CA0-9F674FC06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89ACC-2EAE-4FAC-B40D-65C2DAFAF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CCABB9-DBAC-4772-8554-9A0CDEB2E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4236</Words>
  <Characters>23301</Characters>
  <Application>Microsoft Office Word</Application>
  <DocSecurity>4</DocSecurity>
  <Lines>194</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Annotations to the provisional agenda</vt:lpstr>
      <vt:lpstr>Annotations to the provisional agenda</vt:lpstr>
    </vt:vector>
  </TitlesOfParts>
  <Company>Hewlett-Packard</Company>
  <LinksUpToDate>false</LinksUpToDate>
  <CharactersWithSpaces>27483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Annotations to the provisional agenda</dc:title>
  <dc:creator>Veronica Gathu</dc:creator>
  <cp:lastModifiedBy>Stephanie Laruelle</cp:lastModifiedBy>
  <cp:revision>2</cp:revision>
  <cp:lastPrinted>2018-11-16T09:33:00Z</cp:lastPrinted>
  <dcterms:created xsi:type="dcterms:W3CDTF">2018-11-16T11:48:00Z</dcterms:created>
  <dcterms:modified xsi:type="dcterms:W3CDTF">2018-11-16T11:48:00Z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0x0101004424894E47D7AF47A3089868D8BD5D71</vt:lpwstr>
  </property>
</Properties>
</file>