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right"/>
        <w:tblLayout w:type="fixed"/>
        <w:tblLook w:val="0000" w:firstRow="0" w:lastRow="0" w:firstColumn="0" w:lastColumn="0" w:noHBand="0" w:noVBand="0"/>
      </w:tblPr>
      <w:tblGrid>
        <w:gridCol w:w="1518"/>
        <w:gridCol w:w="4643"/>
        <w:gridCol w:w="3335"/>
      </w:tblGrid>
      <w:tr w:rsidR="0032111B" w:rsidRPr="00D25175" w14:paraId="3C9661AA" w14:textId="77777777" w:rsidTr="007D061A">
        <w:trPr>
          <w:cantSplit/>
          <w:trHeight w:val="850"/>
          <w:jc w:val="right"/>
        </w:trPr>
        <w:tc>
          <w:tcPr>
            <w:tcW w:w="1550" w:type="dxa"/>
          </w:tcPr>
          <w:p w14:paraId="2B998863" w14:textId="77777777" w:rsidR="0032111B" w:rsidRPr="00D25175" w:rsidRDefault="0032111B" w:rsidP="007D061A">
            <w:pPr>
              <w:tabs>
                <w:tab w:val="left" w:pos="624"/>
                <w:tab w:val="left" w:pos="1871"/>
                <w:tab w:val="left" w:pos="2495"/>
              </w:tabs>
              <w:rPr>
                <w:rFonts w:ascii="Univers" w:hAnsi="Univers"/>
                <w:b/>
                <w:noProof/>
                <w:sz w:val="27"/>
                <w:szCs w:val="27"/>
              </w:rPr>
            </w:pPr>
            <w:r w:rsidRPr="00D25175">
              <w:rPr>
                <w:rFonts w:ascii="Arial" w:hAnsi="Arial" w:cs="Arial"/>
                <w:b/>
                <w:noProof/>
                <w:sz w:val="27"/>
                <w:szCs w:val="27"/>
              </w:rPr>
              <w:t>UNITED</w:t>
            </w:r>
            <w:r>
              <w:rPr>
                <w:rFonts w:ascii="Arial" w:hAnsi="Arial" w:cs="Arial"/>
                <w:b/>
                <w:noProof/>
                <w:sz w:val="27"/>
                <w:szCs w:val="27"/>
              </w:rPr>
              <w:t xml:space="preserve"> </w:t>
            </w:r>
            <w:r w:rsidRPr="00D25175">
              <w:rPr>
                <w:rFonts w:ascii="Arial" w:hAnsi="Arial" w:cs="Arial"/>
                <w:b/>
                <w:noProof/>
                <w:sz w:val="27"/>
                <w:szCs w:val="27"/>
              </w:rPr>
              <w:br/>
              <w:t>NATIONS</w:t>
            </w:r>
          </w:p>
        </w:tc>
        <w:tc>
          <w:tcPr>
            <w:tcW w:w="4751" w:type="dxa"/>
          </w:tcPr>
          <w:p w14:paraId="3C11FDBB" w14:textId="77777777" w:rsidR="0032111B" w:rsidRPr="00D25175" w:rsidRDefault="0032111B" w:rsidP="007D061A">
            <w:pPr>
              <w:tabs>
                <w:tab w:val="left" w:pos="624"/>
                <w:tab w:val="left" w:pos="1871"/>
                <w:tab w:val="left" w:pos="2495"/>
              </w:tabs>
              <w:rPr>
                <w:rFonts w:ascii="Univers" w:hAnsi="Univers"/>
                <w:b/>
                <w:sz w:val="27"/>
                <w:szCs w:val="27"/>
              </w:rPr>
            </w:pPr>
          </w:p>
        </w:tc>
        <w:tc>
          <w:tcPr>
            <w:tcW w:w="3411" w:type="dxa"/>
          </w:tcPr>
          <w:p w14:paraId="193FB884" w14:textId="77777777" w:rsidR="0032111B" w:rsidRPr="00D25175" w:rsidRDefault="0032111B" w:rsidP="007D061A">
            <w:pPr>
              <w:tabs>
                <w:tab w:val="left" w:pos="624"/>
                <w:tab w:val="left" w:pos="1871"/>
                <w:tab w:val="left" w:pos="2495"/>
              </w:tabs>
              <w:jc w:val="right"/>
              <w:rPr>
                <w:rFonts w:ascii="Arial" w:hAnsi="Arial" w:cs="Arial"/>
                <w:b/>
                <w:sz w:val="64"/>
                <w:szCs w:val="64"/>
              </w:rPr>
            </w:pPr>
            <w:r w:rsidRPr="00D25175">
              <w:rPr>
                <w:rFonts w:ascii="Arial" w:hAnsi="Arial" w:cs="Arial"/>
                <w:b/>
                <w:sz w:val="64"/>
                <w:szCs w:val="64"/>
              </w:rPr>
              <w:t>MC</w:t>
            </w:r>
          </w:p>
        </w:tc>
      </w:tr>
      <w:tr w:rsidR="0032111B" w:rsidRPr="00D25175" w14:paraId="72C2657B" w14:textId="77777777" w:rsidTr="007D061A">
        <w:trPr>
          <w:cantSplit/>
          <w:trHeight w:val="281"/>
          <w:jc w:val="right"/>
        </w:trPr>
        <w:tc>
          <w:tcPr>
            <w:tcW w:w="1550" w:type="dxa"/>
            <w:tcBorders>
              <w:bottom w:val="single" w:sz="4" w:space="0" w:color="auto"/>
            </w:tcBorders>
          </w:tcPr>
          <w:p w14:paraId="702D9C0F" w14:textId="77777777" w:rsidR="0032111B" w:rsidRPr="00D25175" w:rsidRDefault="0032111B" w:rsidP="007D061A">
            <w:pPr>
              <w:tabs>
                <w:tab w:val="left" w:pos="624"/>
                <w:tab w:val="left" w:pos="1871"/>
                <w:tab w:val="left" w:pos="2495"/>
              </w:tabs>
              <w:rPr>
                <w:noProof/>
                <w:sz w:val="18"/>
                <w:szCs w:val="18"/>
              </w:rPr>
            </w:pPr>
          </w:p>
        </w:tc>
        <w:tc>
          <w:tcPr>
            <w:tcW w:w="4751" w:type="dxa"/>
            <w:tcBorders>
              <w:bottom w:val="single" w:sz="4" w:space="0" w:color="auto"/>
            </w:tcBorders>
          </w:tcPr>
          <w:p w14:paraId="20C8DB78" w14:textId="77777777" w:rsidR="0032111B" w:rsidRPr="00D25175" w:rsidRDefault="0032111B" w:rsidP="007D061A">
            <w:pPr>
              <w:tabs>
                <w:tab w:val="left" w:pos="624"/>
                <w:tab w:val="left" w:pos="1871"/>
                <w:tab w:val="left" w:pos="2495"/>
              </w:tabs>
              <w:rPr>
                <w:rFonts w:ascii="Univers" w:hAnsi="Univers"/>
                <w:b/>
                <w:sz w:val="18"/>
                <w:szCs w:val="18"/>
              </w:rPr>
            </w:pPr>
          </w:p>
        </w:tc>
        <w:tc>
          <w:tcPr>
            <w:tcW w:w="3411" w:type="dxa"/>
            <w:tcBorders>
              <w:bottom w:val="single" w:sz="4" w:space="0" w:color="auto"/>
            </w:tcBorders>
          </w:tcPr>
          <w:p w14:paraId="54985359" w14:textId="77777777" w:rsidR="0032111B" w:rsidRPr="00D25175" w:rsidRDefault="0032111B" w:rsidP="007D061A">
            <w:pPr>
              <w:tabs>
                <w:tab w:val="left" w:pos="624"/>
                <w:tab w:val="left" w:pos="1871"/>
                <w:tab w:val="left" w:pos="2495"/>
              </w:tabs>
              <w:rPr>
                <w:noProof/>
                <w:sz w:val="18"/>
                <w:szCs w:val="18"/>
              </w:rPr>
            </w:pPr>
            <w:r w:rsidRPr="00D25175">
              <w:rPr>
                <w:b/>
                <w:bCs/>
                <w:sz w:val="28"/>
              </w:rPr>
              <w:t>UNEP</w:t>
            </w:r>
            <w:bookmarkStart w:id="0" w:name="OLE_LINK1"/>
            <w:bookmarkStart w:id="1" w:name="OLE_LINK2"/>
            <w:r w:rsidRPr="00D25175">
              <w:rPr>
                <w:b/>
                <w:bCs/>
                <w:sz w:val="28"/>
              </w:rPr>
              <w:t>/</w:t>
            </w:r>
            <w:r w:rsidRPr="00116AF5">
              <w:rPr>
                <w:rStyle w:val="Normal-poolChar"/>
              </w:rPr>
              <w:t>MC/</w:t>
            </w:r>
            <w:bookmarkEnd w:id="0"/>
            <w:bookmarkEnd w:id="1"/>
            <w:r w:rsidRPr="00116AF5">
              <w:rPr>
                <w:rStyle w:val="Normal-poolChar"/>
              </w:rPr>
              <w:t>COP.2/17</w:t>
            </w:r>
          </w:p>
        </w:tc>
      </w:tr>
      <w:bookmarkStart w:id="2" w:name="_MON_1021710482"/>
      <w:bookmarkEnd w:id="2"/>
      <w:bookmarkStart w:id="3" w:name="_MON_1021710510"/>
      <w:bookmarkEnd w:id="3"/>
      <w:tr w:rsidR="0032111B" w:rsidRPr="00D25175" w14:paraId="46CB3412" w14:textId="77777777" w:rsidTr="007D061A">
        <w:trPr>
          <w:cantSplit/>
          <w:trHeight w:val="2549"/>
          <w:jc w:val="right"/>
        </w:trPr>
        <w:tc>
          <w:tcPr>
            <w:tcW w:w="1550" w:type="dxa"/>
            <w:tcBorders>
              <w:top w:val="single" w:sz="4" w:space="0" w:color="auto"/>
              <w:bottom w:val="single" w:sz="24" w:space="0" w:color="auto"/>
            </w:tcBorders>
          </w:tcPr>
          <w:p w14:paraId="26BC0BF5" w14:textId="77777777" w:rsidR="0032111B" w:rsidRPr="00D25175" w:rsidRDefault="0032111B" w:rsidP="007D061A">
            <w:pPr>
              <w:tabs>
                <w:tab w:val="left" w:pos="624"/>
                <w:tab w:val="left" w:pos="1871"/>
                <w:tab w:val="left" w:pos="2495"/>
              </w:tabs>
              <w:rPr>
                <w:noProof/>
              </w:rPr>
            </w:pPr>
            <w:r w:rsidRPr="00D25175">
              <w:rPr>
                <w:noProof/>
              </w:rPr>
              <w:object w:dxaOrig="1831" w:dyaOrig="1726" w14:anchorId="4235F8E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60.75pt;mso-width-percent:0;mso-height-percent:0;mso-width-percent:0;mso-height-percent:0" o:ole="" fillcolor="window">
                  <v:imagedata r:id="rId8" o:title=""/>
                </v:shape>
                <o:OLEObject Type="Embed" ProgID="Word.Picture.8" ShapeID="_x0000_i1025" DrawAspect="Content" ObjectID="_1603877346" r:id="rId9"/>
              </w:object>
            </w:r>
            <w:r w:rsidRPr="00D25175">
              <w:rPr>
                <w:noProof/>
                <w:lang w:val="fr-FR" w:eastAsia="zh-CN"/>
              </w:rPr>
              <w:drawing>
                <wp:inline distT="0" distB="0" distL="0" distR="0" wp14:anchorId="7C99808F" wp14:editId="27E5EEFA">
                  <wp:extent cx="723900" cy="769620"/>
                  <wp:effectExtent l="0" t="0" r="0" b="0"/>
                  <wp:docPr id="2" name="Picture 2" descr="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23900" cy="769620"/>
                          </a:xfrm>
                          <a:prstGeom prst="rect">
                            <a:avLst/>
                          </a:prstGeom>
                          <a:noFill/>
                          <a:ln>
                            <a:noFill/>
                          </a:ln>
                        </pic:spPr>
                      </pic:pic>
                    </a:graphicData>
                  </a:graphic>
                </wp:inline>
              </w:drawing>
            </w:r>
          </w:p>
        </w:tc>
        <w:tc>
          <w:tcPr>
            <w:tcW w:w="4751" w:type="dxa"/>
            <w:tcBorders>
              <w:top w:val="single" w:sz="4" w:space="0" w:color="auto"/>
              <w:bottom w:val="single" w:sz="24" w:space="0" w:color="auto"/>
            </w:tcBorders>
          </w:tcPr>
          <w:p w14:paraId="17237B9D" w14:textId="77777777" w:rsidR="0032111B" w:rsidRPr="00D25175" w:rsidRDefault="0032111B" w:rsidP="007D061A">
            <w:pPr>
              <w:tabs>
                <w:tab w:val="left" w:pos="624"/>
                <w:tab w:val="left" w:pos="1871"/>
                <w:tab w:val="left" w:pos="2495"/>
              </w:tabs>
              <w:spacing w:before="1200"/>
              <w:rPr>
                <w:rFonts w:ascii="Arial" w:hAnsi="Arial" w:cs="Arial"/>
                <w:b/>
                <w:sz w:val="28"/>
              </w:rPr>
            </w:pPr>
            <w:r w:rsidRPr="00D25175">
              <w:rPr>
                <w:rFonts w:ascii="Arial" w:hAnsi="Arial" w:cs="Arial"/>
                <w:b/>
                <w:sz w:val="32"/>
                <w:szCs w:val="32"/>
              </w:rPr>
              <w:t>United Nations</w:t>
            </w:r>
            <w:r>
              <w:rPr>
                <w:rFonts w:ascii="Arial" w:hAnsi="Arial" w:cs="Arial"/>
                <w:b/>
                <w:sz w:val="32"/>
                <w:szCs w:val="32"/>
              </w:rPr>
              <w:t xml:space="preserve"> </w:t>
            </w:r>
            <w:r w:rsidRPr="00D25175">
              <w:rPr>
                <w:rFonts w:ascii="Arial" w:hAnsi="Arial" w:cs="Arial"/>
                <w:b/>
                <w:sz w:val="32"/>
                <w:szCs w:val="32"/>
              </w:rPr>
              <w:br w:type="textWrapping" w:clear="all"/>
              <w:t>Environment</w:t>
            </w:r>
            <w:r>
              <w:rPr>
                <w:rFonts w:ascii="Arial" w:hAnsi="Arial" w:cs="Arial"/>
                <w:b/>
                <w:sz w:val="32"/>
                <w:szCs w:val="32"/>
              </w:rPr>
              <w:t xml:space="preserve"> </w:t>
            </w:r>
            <w:r w:rsidRPr="00D25175">
              <w:rPr>
                <w:rFonts w:ascii="Arial" w:hAnsi="Arial" w:cs="Arial"/>
                <w:b/>
                <w:sz w:val="32"/>
                <w:szCs w:val="32"/>
              </w:rPr>
              <w:br w:type="textWrapping" w:clear="all"/>
              <w:t>Programme</w:t>
            </w:r>
          </w:p>
        </w:tc>
        <w:tc>
          <w:tcPr>
            <w:tcW w:w="3411" w:type="dxa"/>
            <w:tcBorders>
              <w:top w:val="single" w:sz="4" w:space="0" w:color="auto"/>
              <w:bottom w:val="single" w:sz="24" w:space="0" w:color="auto"/>
            </w:tcBorders>
          </w:tcPr>
          <w:p w14:paraId="474A060F" w14:textId="77777777" w:rsidR="0032111B" w:rsidRPr="00D25175" w:rsidRDefault="0032111B" w:rsidP="007D061A">
            <w:pPr>
              <w:tabs>
                <w:tab w:val="left" w:pos="624"/>
                <w:tab w:val="left" w:pos="1871"/>
                <w:tab w:val="left" w:pos="2495"/>
              </w:tabs>
              <w:spacing w:before="120"/>
            </w:pPr>
            <w:r w:rsidRPr="00D25175">
              <w:t>Distr.: General</w:t>
            </w:r>
            <w:r>
              <w:t xml:space="preserve"> </w:t>
            </w:r>
            <w:r w:rsidRPr="00D25175">
              <w:br w:type="textWrapping" w:clear="all"/>
            </w:r>
            <w:r>
              <w:t>22 October</w:t>
            </w:r>
          </w:p>
          <w:p w14:paraId="7DD746FC" w14:textId="77777777" w:rsidR="0032111B" w:rsidRPr="00D25175" w:rsidRDefault="0032111B" w:rsidP="007D061A">
            <w:pPr>
              <w:tabs>
                <w:tab w:val="left" w:pos="624"/>
                <w:tab w:val="left" w:pos="1871"/>
                <w:tab w:val="left" w:pos="2495"/>
              </w:tabs>
              <w:spacing w:before="120"/>
            </w:pPr>
            <w:r w:rsidRPr="00D25175">
              <w:t>Original: English</w:t>
            </w:r>
          </w:p>
        </w:tc>
      </w:tr>
    </w:tbl>
    <w:p w14:paraId="17BBA9F1" w14:textId="4EF6F38E" w:rsidR="00E976AB" w:rsidRPr="00D25175" w:rsidRDefault="00CB007D" w:rsidP="004455F3">
      <w:pPr>
        <w:pStyle w:val="AATitle"/>
        <w:keepNext w:val="0"/>
        <w:keepLines w:val="0"/>
        <w:tabs>
          <w:tab w:val="left" w:pos="624"/>
          <w:tab w:val="left" w:pos="1871"/>
          <w:tab w:val="left" w:pos="2495"/>
        </w:tabs>
      </w:pPr>
      <w:r w:rsidRPr="00D25175">
        <w:t>Conference of the Parties</w:t>
      </w:r>
      <w:r>
        <w:t xml:space="preserve"> to the</w:t>
      </w:r>
      <w:r w:rsidR="005B2DF4">
        <w:t xml:space="preserve"> </w:t>
      </w:r>
      <w:r w:rsidR="005B2DF4">
        <w:br/>
      </w:r>
      <w:r w:rsidR="00787688" w:rsidRPr="00D25175">
        <w:t>Minamata Convention on Mercury</w:t>
      </w:r>
    </w:p>
    <w:p w14:paraId="157346F7" w14:textId="77777777" w:rsidR="00E976AB" w:rsidRPr="00D25175" w:rsidRDefault="00434321" w:rsidP="004455F3">
      <w:pPr>
        <w:pStyle w:val="AATitle"/>
        <w:keepNext w:val="0"/>
        <w:keepLines w:val="0"/>
        <w:tabs>
          <w:tab w:val="left" w:pos="624"/>
          <w:tab w:val="left" w:pos="1871"/>
          <w:tab w:val="left" w:pos="2495"/>
        </w:tabs>
      </w:pPr>
      <w:r>
        <w:t>Second</w:t>
      </w:r>
      <w:r w:rsidR="00787688" w:rsidRPr="00D25175">
        <w:t xml:space="preserve"> meeting</w:t>
      </w:r>
    </w:p>
    <w:p w14:paraId="02761EFE" w14:textId="77777777" w:rsidR="00787688" w:rsidRPr="00D25175" w:rsidRDefault="00787688" w:rsidP="004455F3">
      <w:pPr>
        <w:pStyle w:val="AATitle"/>
        <w:tabs>
          <w:tab w:val="left" w:pos="624"/>
          <w:tab w:val="left" w:pos="1871"/>
          <w:tab w:val="left" w:pos="2495"/>
        </w:tabs>
      </w:pPr>
      <w:r w:rsidRPr="00D25175">
        <w:rPr>
          <w:b w:val="0"/>
        </w:rPr>
        <w:t>Geneva</w:t>
      </w:r>
      <w:r w:rsidR="00E976AB" w:rsidRPr="00D25175">
        <w:rPr>
          <w:b w:val="0"/>
        </w:rPr>
        <w:t xml:space="preserve">, </w:t>
      </w:r>
      <w:r w:rsidR="00434321">
        <w:rPr>
          <w:b w:val="0"/>
        </w:rPr>
        <w:t>19</w:t>
      </w:r>
      <w:r w:rsidR="00325D38" w:rsidRPr="00D25175">
        <w:rPr>
          <w:b w:val="0"/>
        </w:rPr>
        <w:t>–2</w:t>
      </w:r>
      <w:r w:rsidR="00434321">
        <w:rPr>
          <w:b w:val="0"/>
        </w:rPr>
        <w:t>3</w:t>
      </w:r>
      <w:r w:rsidR="00325D38" w:rsidRPr="00D25175">
        <w:rPr>
          <w:b w:val="0"/>
        </w:rPr>
        <w:t xml:space="preserve"> </w:t>
      </w:r>
      <w:r w:rsidR="00434321">
        <w:rPr>
          <w:b w:val="0"/>
        </w:rPr>
        <w:t>November 2018</w:t>
      </w:r>
    </w:p>
    <w:p w14:paraId="088F9EAA" w14:textId="77777777" w:rsidR="001D2D56" w:rsidRDefault="001D2D56" w:rsidP="00976789">
      <w:pPr>
        <w:pStyle w:val="AATitle"/>
        <w:rPr>
          <w:b w:val="0"/>
        </w:rPr>
      </w:pPr>
      <w:bookmarkStart w:id="4" w:name="_Hlk517786179"/>
      <w:r>
        <w:rPr>
          <w:b w:val="0"/>
        </w:rPr>
        <w:t>Item 5</w:t>
      </w:r>
      <w:r w:rsidR="00471EFD">
        <w:rPr>
          <w:b w:val="0"/>
        </w:rPr>
        <w:t xml:space="preserve"> </w:t>
      </w:r>
      <w:r w:rsidR="00613212">
        <w:rPr>
          <w:b w:val="0"/>
        </w:rPr>
        <w:t>(k</w:t>
      </w:r>
      <w:r>
        <w:rPr>
          <w:b w:val="0"/>
        </w:rPr>
        <w:t>)</w:t>
      </w:r>
      <w:r w:rsidRPr="00A018C0">
        <w:rPr>
          <w:b w:val="0"/>
        </w:rPr>
        <w:t xml:space="preserve"> of the provisional agenda</w:t>
      </w:r>
      <w:r w:rsidRPr="00A018C0">
        <w:rPr>
          <w:b w:val="0"/>
        </w:rPr>
        <w:footnoteReference w:customMarkFollows="1" w:id="1"/>
        <w:t>*</w:t>
      </w:r>
    </w:p>
    <w:p w14:paraId="08C68F91" w14:textId="01A267C9" w:rsidR="001D2D56" w:rsidRDefault="001D2D56" w:rsidP="00613212">
      <w:pPr>
        <w:pStyle w:val="AATitle2"/>
        <w:spacing w:before="60"/>
      </w:pPr>
      <w:r>
        <w:t xml:space="preserve">Matters for consideration or action by the </w:t>
      </w:r>
      <w:r>
        <w:br/>
        <w:t xml:space="preserve">Conference of the Parties: </w:t>
      </w:r>
      <w:r w:rsidR="000B157E">
        <w:rPr>
          <w:lang w:val="en-US"/>
        </w:rPr>
        <w:t>secretariat</w:t>
      </w:r>
    </w:p>
    <w:p w14:paraId="447E73CD" w14:textId="352B5AC8" w:rsidR="00163DA4" w:rsidRDefault="00163DA4" w:rsidP="00116AF5">
      <w:pPr>
        <w:pStyle w:val="BBTitle"/>
      </w:pPr>
      <w:r w:rsidRPr="00163DA4">
        <w:t xml:space="preserve">Progress report on </w:t>
      </w:r>
      <w:r w:rsidR="00391C83">
        <w:t xml:space="preserve">the </w:t>
      </w:r>
      <w:r w:rsidRPr="00163DA4">
        <w:t xml:space="preserve">main activities of the </w:t>
      </w:r>
      <w:r w:rsidR="000B157E">
        <w:t>secretariat</w:t>
      </w:r>
      <w:r w:rsidRPr="00163DA4">
        <w:t xml:space="preserve"> in the </w:t>
      </w:r>
      <w:r w:rsidR="00391C83">
        <w:t xml:space="preserve">intersessional </w:t>
      </w:r>
      <w:r w:rsidRPr="00163DA4">
        <w:t>period</w:t>
      </w:r>
    </w:p>
    <w:p w14:paraId="422D4AA7" w14:textId="3B4D2E32" w:rsidR="001D2D56" w:rsidRPr="00035ED3" w:rsidRDefault="001D2D56" w:rsidP="00976789">
      <w:pPr>
        <w:pStyle w:val="CH2"/>
      </w:pPr>
      <w:r>
        <w:tab/>
      </w:r>
      <w:r>
        <w:tab/>
      </w:r>
      <w:r w:rsidRPr="00035ED3">
        <w:t xml:space="preserve">Note by the </w:t>
      </w:r>
      <w:r w:rsidR="000B157E">
        <w:t>s</w:t>
      </w:r>
      <w:r w:rsidRPr="00035ED3">
        <w:t>ecretariat</w:t>
      </w:r>
    </w:p>
    <w:p w14:paraId="5E95D10B" w14:textId="77777777" w:rsidR="00163DA4" w:rsidRPr="00116AF5" w:rsidRDefault="00163DA4" w:rsidP="00116AF5">
      <w:pPr>
        <w:pStyle w:val="CH1"/>
      </w:pPr>
      <w:r w:rsidRPr="00116AF5">
        <w:tab/>
        <w:t>I.</w:t>
      </w:r>
      <w:r w:rsidRPr="00116AF5">
        <w:tab/>
        <w:t>Introduction</w:t>
      </w:r>
    </w:p>
    <w:p w14:paraId="34816DCF" w14:textId="2B3B12F5" w:rsidR="00163DA4" w:rsidRPr="00116AF5" w:rsidRDefault="00163DA4" w:rsidP="00116AF5">
      <w:pPr>
        <w:pStyle w:val="Normalnumber"/>
      </w:pPr>
      <w:r w:rsidRPr="00116AF5">
        <w:t>Th</w:t>
      </w:r>
      <w:r w:rsidR="00391C83">
        <w:t>e present</w:t>
      </w:r>
      <w:r w:rsidRPr="00116AF5">
        <w:t xml:space="preserve"> report summarizes the major activities undertaken by the </w:t>
      </w:r>
      <w:r w:rsidR="000B157E">
        <w:t>secretariat</w:t>
      </w:r>
      <w:r w:rsidR="00E556FF">
        <w:t xml:space="preserve"> of the Minamata Convention on Mercury</w:t>
      </w:r>
      <w:r w:rsidRPr="00116AF5">
        <w:t xml:space="preserve"> </w:t>
      </w:r>
      <w:r w:rsidR="00391C83">
        <w:t xml:space="preserve">in the intersessional period </w:t>
      </w:r>
      <w:r w:rsidRPr="00116AF5">
        <w:t>since the first meeting of the Conference of the Parties</w:t>
      </w:r>
      <w:r w:rsidR="00391C83">
        <w:t xml:space="preserve"> to the </w:t>
      </w:r>
      <w:r w:rsidR="000B157E">
        <w:t xml:space="preserve">Minamata </w:t>
      </w:r>
      <w:r w:rsidR="00391C83">
        <w:t>Convention held in Geneva in September 2017</w:t>
      </w:r>
      <w:r w:rsidRPr="00116AF5">
        <w:t xml:space="preserve">. </w:t>
      </w:r>
      <w:r w:rsidR="00391C83">
        <w:t>The report</w:t>
      </w:r>
      <w:r w:rsidR="00391C83" w:rsidRPr="00116AF5">
        <w:t xml:space="preserve"> </w:t>
      </w:r>
      <w:r w:rsidRPr="00116AF5">
        <w:t xml:space="preserve">covers </w:t>
      </w:r>
      <w:r w:rsidR="00391C83">
        <w:t xml:space="preserve">the </w:t>
      </w:r>
      <w:r w:rsidRPr="00116AF5">
        <w:t>work</w:t>
      </w:r>
      <w:r w:rsidR="00391C83">
        <w:t xml:space="preserve"> undertaken</w:t>
      </w:r>
      <w:r w:rsidRPr="00116AF5">
        <w:t xml:space="preserve"> to prepare for the second meeting of the Conference of the Parties, support</w:t>
      </w:r>
      <w:r w:rsidR="00391C83">
        <w:t xml:space="preserve"> provided to</w:t>
      </w:r>
      <w:r w:rsidRPr="00116AF5">
        <w:t xml:space="preserve"> the Bureau, intersessional work requested by the Conference</w:t>
      </w:r>
      <w:r w:rsidR="00391C83">
        <w:t xml:space="preserve"> of the Parties</w:t>
      </w:r>
      <w:r w:rsidRPr="00116AF5">
        <w:t xml:space="preserve"> at its first meeting, work in support of the ratification and early implementation of the Minamata Convention, and </w:t>
      </w:r>
      <w:r w:rsidR="00391C83">
        <w:t xml:space="preserve">various </w:t>
      </w:r>
      <w:r w:rsidRPr="00116AF5">
        <w:t xml:space="preserve">other activities. </w:t>
      </w:r>
    </w:p>
    <w:p w14:paraId="645E7DBB" w14:textId="14531B98" w:rsidR="00163DA4" w:rsidRPr="00116AF5" w:rsidRDefault="00163DA4" w:rsidP="00116AF5">
      <w:pPr>
        <w:pStyle w:val="CH1"/>
      </w:pPr>
      <w:r w:rsidRPr="00116AF5">
        <w:tab/>
        <w:t>II.</w:t>
      </w:r>
      <w:r w:rsidRPr="00116AF5">
        <w:tab/>
      </w:r>
      <w:r w:rsidR="00391C83">
        <w:t>P</w:t>
      </w:r>
      <w:r w:rsidRPr="00116AF5">
        <w:t>reparations for the second meeting of the Conference of the Parties</w:t>
      </w:r>
    </w:p>
    <w:p w14:paraId="180A5F7B" w14:textId="09C8A3DA" w:rsidR="00163DA4" w:rsidRPr="00116AF5" w:rsidRDefault="00163DA4" w:rsidP="00116AF5">
      <w:pPr>
        <w:pStyle w:val="CH2"/>
      </w:pPr>
      <w:r w:rsidRPr="00116AF5">
        <w:tab/>
        <w:t>A.</w:t>
      </w:r>
      <w:r w:rsidRPr="00116AF5">
        <w:tab/>
        <w:t>Organi</w:t>
      </w:r>
      <w:r w:rsidR="00391C83">
        <w:t>z</w:t>
      </w:r>
      <w:r w:rsidRPr="00116AF5">
        <w:t xml:space="preserve">ation and </w:t>
      </w:r>
      <w:r w:rsidR="00391C83">
        <w:t>o</w:t>
      </w:r>
      <w:r w:rsidRPr="00116AF5">
        <w:t xml:space="preserve">ther </w:t>
      </w:r>
      <w:r w:rsidR="00391C83">
        <w:t>a</w:t>
      </w:r>
      <w:r w:rsidRPr="00116AF5">
        <w:t>rrangements</w:t>
      </w:r>
    </w:p>
    <w:p w14:paraId="60FD9E6A" w14:textId="6A0E0988" w:rsidR="00163DA4" w:rsidRPr="00CF43AF" w:rsidRDefault="00163DA4" w:rsidP="001C2145">
      <w:pPr>
        <w:pStyle w:val="Normalnumber"/>
      </w:pPr>
      <w:r w:rsidRPr="00116AF5">
        <w:t>The secretariat is in the process of organizing the second meeting of the Conference of the Parties to the Minamata Convention</w:t>
      </w:r>
      <w:r w:rsidR="00391C83">
        <w:t xml:space="preserve">, to be held in Geneva from </w:t>
      </w:r>
      <w:r w:rsidRPr="00116AF5">
        <w:t>19</w:t>
      </w:r>
      <w:r w:rsidR="00391C83">
        <w:t xml:space="preserve"> to </w:t>
      </w:r>
      <w:r w:rsidRPr="00116AF5">
        <w:t xml:space="preserve">23 November 2018. The work to date includes </w:t>
      </w:r>
      <w:r w:rsidR="00391C83">
        <w:t xml:space="preserve">engaging in the </w:t>
      </w:r>
      <w:r w:rsidRPr="00116AF5">
        <w:t xml:space="preserve">procurement processes </w:t>
      </w:r>
      <w:r w:rsidR="00A46721">
        <w:t xml:space="preserve">relating to the </w:t>
      </w:r>
      <w:r w:rsidRPr="00116AF5">
        <w:t>conference venue</w:t>
      </w:r>
      <w:r w:rsidR="00226649">
        <w:t>,</w:t>
      </w:r>
      <w:r w:rsidRPr="00116AF5">
        <w:t xml:space="preserve"> </w:t>
      </w:r>
      <w:r w:rsidR="00226649">
        <w:t xml:space="preserve">its </w:t>
      </w:r>
      <w:r w:rsidRPr="00116AF5">
        <w:t>preparation and logistics</w:t>
      </w:r>
      <w:r w:rsidR="00226649">
        <w:t>. The secretariat is</w:t>
      </w:r>
      <w:r w:rsidRPr="00116AF5">
        <w:t xml:space="preserve"> </w:t>
      </w:r>
      <w:r w:rsidR="00FA66C8">
        <w:t xml:space="preserve">also </w:t>
      </w:r>
      <w:r w:rsidRPr="00116AF5">
        <w:t>planning and prepar</w:t>
      </w:r>
      <w:r w:rsidR="00391C83">
        <w:t>ing</w:t>
      </w:r>
      <w:r w:rsidRPr="00116AF5">
        <w:t xml:space="preserve"> all </w:t>
      </w:r>
      <w:r w:rsidR="00391C83">
        <w:t xml:space="preserve">the </w:t>
      </w:r>
      <w:r w:rsidRPr="00116AF5">
        <w:t xml:space="preserve">substantive working documents </w:t>
      </w:r>
      <w:r w:rsidR="00391C83">
        <w:t>and</w:t>
      </w:r>
      <w:r w:rsidRPr="00116AF5">
        <w:t xml:space="preserve"> information documents for </w:t>
      </w:r>
      <w:r w:rsidR="00391C83">
        <w:t>the meeting</w:t>
      </w:r>
      <w:r w:rsidRPr="00116AF5">
        <w:t xml:space="preserve">; </w:t>
      </w:r>
      <w:r w:rsidR="00391C83">
        <w:t>dealing with the processing, editing and translation of those documents by the Division of C</w:t>
      </w:r>
      <w:r w:rsidRPr="00116AF5">
        <w:t xml:space="preserve">onference </w:t>
      </w:r>
      <w:r w:rsidR="00391C83">
        <w:t>S</w:t>
      </w:r>
      <w:r w:rsidRPr="00116AF5">
        <w:t xml:space="preserve">ervices </w:t>
      </w:r>
      <w:r w:rsidR="00391C83">
        <w:t>of</w:t>
      </w:r>
      <w:r w:rsidRPr="00116AF5">
        <w:t xml:space="preserve"> the U</w:t>
      </w:r>
      <w:r w:rsidR="00391C83">
        <w:t xml:space="preserve">nited </w:t>
      </w:r>
      <w:r w:rsidRPr="00116AF5">
        <w:t>N</w:t>
      </w:r>
      <w:r w:rsidR="00391C83">
        <w:t>ations</w:t>
      </w:r>
      <w:r w:rsidRPr="00116AF5">
        <w:t xml:space="preserve"> Office at Nairobi; setting up the online registration system; preparing and sending out invitation letters, and, following </w:t>
      </w:r>
      <w:r w:rsidR="00BC6897">
        <w:t xml:space="preserve">the </w:t>
      </w:r>
      <w:r w:rsidRPr="00116AF5">
        <w:t>nomination of registered, eligible participants, drafting and sending out confirmation letters, as well as visa support letters upon request</w:t>
      </w:r>
      <w:r w:rsidR="00BC6897">
        <w:t>;</w:t>
      </w:r>
      <w:r w:rsidRPr="00116AF5">
        <w:t xml:space="preserve"> reviewing the credentials </w:t>
      </w:r>
      <w:r w:rsidR="00BC6897">
        <w:t>of</w:t>
      </w:r>
      <w:r w:rsidR="00BC6897" w:rsidRPr="00116AF5">
        <w:t xml:space="preserve"> </w:t>
      </w:r>
      <w:r w:rsidRPr="00116AF5">
        <w:t>Parties’ delegates</w:t>
      </w:r>
      <w:r w:rsidR="00BC6897">
        <w:t>;</w:t>
      </w:r>
      <w:r w:rsidRPr="00116AF5">
        <w:t xml:space="preserve"> organi</w:t>
      </w:r>
      <w:r w:rsidR="00BC6897">
        <w:t>z</w:t>
      </w:r>
      <w:r w:rsidRPr="00116AF5">
        <w:t xml:space="preserve">ing the travel and </w:t>
      </w:r>
      <w:r w:rsidR="00BC6897">
        <w:t>daily subsistence allowance</w:t>
      </w:r>
      <w:r w:rsidRPr="00116AF5">
        <w:t xml:space="preserve"> for the </w:t>
      </w:r>
      <w:r w:rsidR="00BC6897">
        <w:t xml:space="preserve">eligible </w:t>
      </w:r>
      <w:r w:rsidRPr="00116AF5">
        <w:t xml:space="preserve">nominated participants, and preparing the list of participants; responding to requests for admission </w:t>
      </w:r>
      <w:r w:rsidRPr="00CF43AF">
        <w:t>as observers</w:t>
      </w:r>
      <w:r w:rsidR="00BC6897" w:rsidRPr="00CF43AF">
        <w:t>;</w:t>
      </w:r>
      <w:r w:rsidRPr="00CF43AF">
        <w:t xml:space="preserve"> organi</w:t>
      </w:r>
      <w:r w:rsidR="00BC6897" w:rsidRPr="00CF43AF">
        <w:t>z</w:t>
      </w:r>
      <w:r w:rsidRPr="00CF43AF">
        <w:t xml:space="preserve">ing the participation of the </w:t>
      </w:r>
      <w:r w:rsidR="00BC6897" w:rsidRPr="00CF43AF">
        <w:t xml:space="preserve">eligible </w:t>
      </w:r>
      <w:r w:rsidRPr="00CF43AF">
        <w:t>nominated delegates; reviewing requests for and, where appropriate, organi</w:t>
      </w:r>
      <w:r w:rsidR="00BC6897" w:rsidRPr="00CF43AF">
        <w:t>z</w:t>
      </w:r>
      <w:r w:rsidRPr="00CF43AF">
        <w:t>ing side events and preparing relevant information to be sent out to potential organi</w:t>
      </w:r>
      <w:r w:rsidR="00BC6897" w:rsidRPr="00CF43AF">
        <w:t>z</w:t>
      </w:r>
      <w:r w:rsidRPr="00CF43AF">
        <w:t>ers of side events</w:t>
      </w:r>
      <w:r w:rsidR="00BC6897" w:rsidRPr="00CF43AF">
        <w:t>;</w:t>
      </w:r>
      <w:r w:rsidRPr="00CF43AF">
        <w:t xml:space="preserve"> liaising with </w:t>
      </w:r>
      <w:r w:rsidR="00BC6897" w:rsidRPr="00CF43AF">
        <w:t xml:space="preserve">those organizers </w:t>
      </w:r>
      <w:r w:rsidRPr="00CF43AF">
        <w:t>on</w:t>
      </w:r>
      <w:r w:rsidR="00A92EA5" w:rsidRPr="00CF43AF">
        <w:t xml:space="preserve"> the actual </w:t>
      </w:r>
      <w:r w:rsidRPr="00CF43AF">
        <w:t>organi</w:t>
      </w:r>
      <w:r w:rsidR="00BC6897" w:rsidRPr="00CF43AF">
        <w:t>z</w:t>
      </w:r>
      <w:r w:rsidRPr="00CF43AF">
        <w:t xml:space="preserve">ation of the events; preparing information for participants and </w:t>
      </w:r>
      <w:r w:rsidRPr="00CF43AF">
        <w:lastRenderedPageBreak/>
        <w:t>observers; disseminating information about the meeting through the Minamata Convention website in English, French and Spanish, as well as through briefings to various audiences; raising funds, including to support the participation of representatives from countries</w:t>
      </w:r>
      <w:r w:rsidR="00BC6897" w:rsidRPr="00CF43AF">
        <w:t xml:space="preserve"> that are eligible for such support</w:t>
      </w:r>
      <w:r w:rsidRPr="00CF43AF">
        <w:t xml:space="preserve">; </w:t>
      </w:r>
      <w:r w:rsidR="00BC6897" w:rsidRPr="00CF43AF">
        <w:t xml:space="preserve">providing </w:t>
      </w:r>
      <w:r w:rsidRPr="00CF43AF">
        <w:t>support</w:t>
      </w:r>
      <w:r w:rsidR="00BC6897" w:rsidRPr="00CF43AF">
        <w:t xml:space="preserve"> for</w:t>
      </w:r>
      <w:r w:rsidRPr="00CF43AF">
        <w:t xml:space="preserve"> the activities of the </w:t>
      </w:r>
      <w:r w:rsidR="00BC6897" w:rsidRPr="00CF43AF">
        <w:t>B</w:t>
      </w:r>
      <w:r w:rsidRPr="00CF43AF">
        <w:t>ureau</w:t>
      </w:r>
      <w:r w:rsidR="00BC6897" w:rsidRPr="00CF43AF">
        <w:t xml:space="preserve"> of the Conference of the Parties</w:t>
      </w:r>
      <w:r w:rsidRPr="00CF43AF">
        <w:t xml:space="preserve">; liaising on logistical arrangements for the meeting with </w:t>
      </w:r>
      <w:r w:rsidR="00BC6897" w:rsidRPr="00CF43AF">
        <w:t xml:space="preserve">the Division of </w:t>
      </w:r>
      <w:r w:rsidRPr="00CF43AF">
        <w:t>Conference Services of the U</w:t>
      </w:r>
      <w:r w:rsidR="00BC6897" w:rsidRPr="00CF43AF">
        <w:t>nited Nations</w:t>
      </w:r>
      <w:r w:rsidRPr="00CF43AF">
        <w:t xml:space="preserve"> Office at Nairobi and on security measures with the Security </w:t>
      </w:r>
      <w:r w:rsidR="00BB516C" w:rsidRPr="00CF43AF">
        <w:t xml:space="preserve">and Safety </w:t>
      </w:r>
      <w:r w:rsidRPr="00CF43AF">
        <w:t>Se</w:t>
      </w:r>
      <w:r w:rsidR="00BB516C" w:rsidRPr="00CF43AF">
        <w:t>ction</w:t>
      </w:r>
      <w:r w:rsidRPr="00CF43AF">
        <w:t xml:space="preserve"> of the U</w:t>
      </w:r>
      <w:r w:rsidR="00BB516C" w:rsidRPr="00CF43AF">
        <w:t>nited</w:t>
      </w:r>
      <w:r w:rsidR="00D36852" w:rsidRPr="00CF43AF">
        <w:t> </w:t>
      </w:r>
      <w:r w:rsidRPr="00CF43AF">
        <w:t>N</w:t>
      </w:r>
      <w:r w:rsidR="00BB516C" w:rsidRPr="00CF43AF">
        <w:t>ations</w:t>
      </w:r>
      <w:r w:rsidRPr="00CF43AF">
        <w:t xml:space="preserve"> Office at Geneva</w:t>
      </w:r>
      <w:r w:rsidR="00BB516C" w:rsidRPr="00CF43AF">
        <w:t>.</w:t>
      </w:r>
      <w:r w:rsidR="00AC2279" w:rsidRPr="00CF43AF">
        <w:t xml:space="preserve"> </w:t>
      </w:r>
    </w:p>
    <w:p w14:paraId="7CB33334" w14:textId="497E4B55" w:rsidR="00163DA4" w:rsidRPr="00CF43AF" w:rsidRDefault="00163DA4" w:rsidP="00116AF5">
      <w:pPr>
        <w:pStyle w:val="Normalnumber"/>
      </w:pPr>
      <w:r w:rsidRPr="00116AF5">
        <w:t xml:space="preserve">The </w:t>
      </w:r>
      <w:r w:rsidR="000B157E">
        <w:t>secretariat</w:t>
      </w:r>
      <w:r w:rsidR="00BB516C">
        <w:t xml:space="preserve"> has undertaken the </w:t>
      </w:r>
      <w:r w:rsidRPr="00116AF5">
        <w:t xml:space="preserve">preparation of </w:t>
      </w:r>
      <w:r w:rsidR="00BB516C">
        <w:t xml:space="preserve">a significant body of </w:t>
      </w:r>
      <w:r w:rsidRPr="00116AF5">
        <w:t>technical material</w:t>
      </w:r>
      <w:r w:rsidR="00D31843">
        <w:t xml:space="preserve"> for the meeting</w:t>
      </w:r>
      <w:r w:rsidRPr="00116AF5">
        <w:t>, in particular</w:t>
      </w:r>
      <w:r w:rsidR="00BB516C">
        <w:t xml:space="preserve"> the</w:t>
      </w:r>
      <w:r w:rsidRPr="00116AF5">
        <w:t xml:space="preserve"> </w:t>
      </w:r>
      <w:r w:rsidR="00D31843">
        <w:t xml:space="preserve">working and </w:t>
      </w:r>
      <w:r w:rsidR="00D31843" w:rsidRPr="00CF43AF">
        <w:t xml:space="preserve">information </w:t>
      </w:r>
      <w:r w:rsidRPr="00CF43AF">
        <w:t>documents</w:t>
      </w:r>
      <w:r w:rsidR="00D31843" w:rsidRPr="00CF43AF">
        <w:t xml:space="preserve">, consulting </w:t>
      </w:r>
      <w:r w:rsidRPr="00CF43AF">
        <w:t xml:space="preserve">with the </w:t>
      </w:r>
      <w:r w:rsidR="00DC35E3" w:rsidRPr="00CF43AF">
        <w:t>s</w:t>
      </w:r>
      <w:r w:rsidRPr="00CF43AF">
        <w:t xml:space="preserve">ecretariat of the Basel, Rotterdam and Stockholm Conventions, the Chemicals and Health Branch of </w:t>
      </w:r>
      <w:r w:rsidR="00BB516C" w:rsidRPr="00CF43AF">
        <w:t xml:space="preserve">the </w:t>
      </w:r>
      <w:r w:rsidR="00D31843" w:rsidRPr="00CF43AF">
        <w:t xml:space="preserve">Economy Division of the </w:t>
      </w:r>
      <w:r w:rsidR="00BB516C" w:rsidRPr="00CF43AF">
        <w:t>United Nations Environment Programme</w:t>
      </w:r>
      <w:r w:rsidRPr="00CF43AF">
        <w:t xml:space="preserve"> </w:t>
      </w:r>
      <w:r w:rsidR="00AC527E" w:rsidRPr="00CF43AF">
        <w:t xml:space="preserve">(UNEP) </w:t>
      </w:r>
      <w:r w:rsidRPr="00CF43AF">
        <w:t>and other stakeholders</w:t>
      </w:r>
      <w:r w:rsidR="00BB516C" w:rsidRPr="00CF43AF">
        <w:t>,</w:t>
      </w:r>
      <w:r w:rsidRPr="00CF43AF">
        <w:t xml:space="preserve"> as appropriate.</w:t>
      </w:r>
      <w:r w:rsidR="00AC2279" w:rsidRPr="00CF43AF">
        <w:t xml:space="preserve"> </w:t>
      </w:r>
    </w:p>
    <w:p w14:paraId="01C044E9" w14:textId="5BCC6453" w:rsidR="00163DA4" w:rsidRPr="00CF43AF" w:rsidRDefault="00163DA4" w:rsidP="00116AF5">
      <w:pPr>
        <w:pStyle w:val="Normalnumber"/>
      </w:pPr>
      <w:r w:rsidRPr="00CF43AF">
        <w:t xml:space="preserve">Logistical activities </w:t>
      </w:r>
      <w:r w:rsidR="00BB516C" w:rsidRPr="00CF43AF">
        <w:t xml:space="preserve">for </w:t>
      </w:r>
      <w:r w:rsidRPr="00CF43AF">
        <w:t>the organi</w:t>
      </w:r>
      <w:r w:rsidR="00BB516C" w:rsidRPr="00CF43AF">
        <w:t>z</w:t>
      </w:r>
      <w:r w:rsidRPr="00CF43AF">
        <w:t>ation</w:t>
      </w:r>
      <w:r w:rsidRPr="00116AF5">
        <w:t xml:space="preserve"> of the meeting have been undertaken with the support of staff </w:t>
      </w:r>
      <w:r w:rsidRPr="00FA66C8">
        <w:t xml:space="preserve">members of the Chemicals and Health Branch on </w:t>
      </w:r>
      <w:r w:rsidR="00D31843" w:rsidRPr="00FA66C8">
        <w:t xml:space="preserve">the basis of </w:t>
      </w:r>
      <w:r w:rsidRPr="00FA66C8">
        <w:t xml:space="preserve">reciprocity. </w:t>
      </w:r>
      <w:r w:rsidR="00EE3338" w:rsidRPr="001C2145">
        <w:t>During the meeting t</w:t>
      </w:r>
      <w:r w:rsidRPr="00FA66C8">
        <w:t xml:space="preserve">he Branch will </w:t>
      </w:r>
      <w:r w:rsidR="00D31843" w:rsidRPr="00FA66C8">
        <w:t xml:space="preserve">provide </w:t>
      </w:r>
      <w:r w:rsidRPr="00FA66C8">
        <w:t xml:space="preserve">logistical </w:t>
      </w:r>
      <w:r w:rsidR="00EE3338" w:rsidRPr="001C2145">
        <w:t>support</w:t>
      </w:r>
      <w:r w:rsidR="00D31843" w:rsidRPr="00FA66C8">
        <w:t>,</w:t>
      </w:r>
      <w:r w:rsidRPr="00FA66C8">
        <w:t xml:space="preserve"> </w:t>
      </w:r>
      <w:r w:rsidR="00D31843" w:rsidRPr="00FA66C8">
        <w:t xml:space="preserve">on-site </w:t>
      </w:r>
      <w:r w:rsidRPr="00FA66C8">
        <w:t xml:space="preserve">registration and the distribution of </w:t>
      </w:r>
      <w:r w:rsidR="00D31843" w:rsidRPr="00FA66C8">
        <w:t>daily subsistence allowances</w:t>
      </w:r>
      <w:r w:rsidRPr="00FA66C8">
        <w:t xml:space="preserve">, also on </w:t>
      </w:r>
      <w:r w:rsidR="00D31843" w:rsidRPr="00FA66C8">
        <w:t xml:space="preserve">the basis of </w:t>
      </w:r>
      <w:r w:rsidRPr="00FA66C8">
        <w:t xml:space="preserve">reciprocity. The </w:t>
      </w:r>
      <w:r w:rsidR="00DC35E3" w:rsidRPr="00FA66C8">
        <w:t>s</w:t>
      </w:r>
      <w:r w:rsidRPr="00FA66C8">
        <w:t xml:space="preserve">ecretariat of the Basel, Rotterdam and Stockholm </w:t>
      </w:r>
      <w:r w:rsidR="00D31843" w:rsidRPr="00FA66C8">
        <w:t>C</w:t>
      </w:r>
      <w:r w:rsidRPr="00FA66C8">
        <w:t xml:space="preserve">onventions </w:t>
      </w:r>
      <w:r w:rsidRPr="00CF43AF">
        <w:t xml:space="preserve">has provided input </w:t>
      </w:r>
      <w:r w:rsidR="00D31843" w:rsidRPr="00CF43AF">
        <w:t xml:space="preserve">for </w:t>
      </w:r>
      <w:r w:rsidRPr="00CF43AF">
        <w:t>releva</w:t>
      </w:r>
      <w:r w:rsidRPr="003F5410">
        <w:t>nt documents</w:t>
      </w:r>
      <w:r w:rsidR="00D31843" w:rsidRPr="003F5410">
        <w:t xml:space="preserve"> and will lend</w:t>
      </w:r>
      <w:r w:rsidRPr="003F5410">
        <w:t xml:space="preserve"> </w:t>
      </w:r>
      <w:r w:rsidR="00D31843" w:rsidRPr="003F5410">
        <w:t xml:space="preserve">information technology </w:t>
      </w:r>
      <w:r w:rsidRPr="003F5410">
        <w:t xml:space="preserve">equipment to the Minamata </w:t>
      </w:r>
      <w:r w:rsidR="00CF43AF" w:rsidRPr="0032111B">
        <w:t xml:space="preserve">Convention </w:t>
      </w:r>
      <w:r w:rsidR="000B157E" w:rsidRPr="00CF43AF">
        <w:t>secretariat</w:t>
      </w:r>
      <w:r w:rsidRPr="00CF43AF">
        <w:t xml:space="preserve"> during</w:t>
      </w:r>
      <w:r w:rsidRPr="00FA66C8">
        <w:t xml:space="preserve"> the meeting. Services to support the organi</w:t>
      </w:r>
      <w:r w:rsidR="00D31843" w:rsidRPr="00FA66C8">
        <w:t>z</w:t>
      </w:r>
      <w:r w:rsidRPr="00FA66C8">
        <w:t>ation of funded travel for eligible participants from three U</w:t>
      </w:r>
      <w:r w:rsidR="00D31843" w:rsidRPr="00FA66C8">
        <w:t xml:space="preserve">nited </w:t>
      </w:r>
      <w:r w:rsidRPr="00FA66C8">
        <w:t>N</w:t>
      </w:r>
      <w:r w:rsidR="00D31843" w:rsidRPr="00FA66C8">
        <w:t>ations</w:t>
      </w:r>
      <w:r w:rsidRPr="00FA66C8">
        <w:t xml:space="preserve"> regions ha</w:t>
      </w:r>
      <w:r w:rsidR="00EE3338" w:rsidRPr="00FA66C8">
        <w:t>ve</w:t>
      </w:r>
      <w:r w:rsidRPr="00FA66C8">
        <w:t xml:space="preserve"> been purchased from the </w:t>
      </w:r>
      <w:r w:rsidR="00DC35E3" w:rsidRPr="00FA66C8">
        <w:t>s</w:t>
      </w:r>
      <w:r w:rsidRPr="00FA66C8">
        <w:t>ecretariat</w:t>
      </w:r>
      <w:r w:rsidR="00D31843" w:rsidRPr="00FA66C8">
        <w:t xml:space="preserve"> of the Basel, Rotterdam and Stockholm Conventions</w:t>
      </w:r>
      <w:r w:rsidR="00A92EA5" w:rsidRPr="00FA66C8">
        <w:t>, which will also provide s</w:t>
      </w:r>
      <w:r w:rsidRPr="00FA66C8">
        <w:t>upport</w:t>
      </w:r>
      <w:r w:rsidR="00A92EA5" w:rsidRPr="001C2145">
        <w:t>, on a reimbursable basis,</w:t>
      </w:r>
      <w:r w:rsidRPr="00FA66C8">
        <w:t xml:space="preserve"> with </w:t>
      </w:r>
      <w:r w:rsidR="00D31843" w:rsidRPr="00FA66C8">
        <w:t xml:space="preserve">on-site </w:t>
      </w:r>
      <w:r w:rsidRPr="00FA66C8">
        <w:t xml:space="preserve">registration and the distribution of </w:t>
      </w:r>
      <w:r w:rsidR="00D31843" w:rsidRPr="00FA66C8">
        <w:t xml:space="preserve">daily subsistence allowances </w:t>
      </w:r>
      <w:r w:rsidRPr="00FA66C8">
        <w:t>during the meeting</w:t>
      </w:r>
      <w:r w:rsidR="00EE3338" w:rsidRPr="001C2145">
        <w:t xml:space="preserve">. </w:t>
      </w:r>
      <w:r w:rsidR="00D31843" w:rsidRPr="00FA66C8">
        <w:t>T</w:t>
      </w:r>
      <w:r w:rsidRPr="00FA66C8">
        <w:t xml:space="preserve">he Chemicals and Health Branch and the </w:t>
      </w:r>
      <w:r w:rsidR="00DC35E3" w:rsidRPr="00FA66C8">
        <w:t>s</w:t>
      </w:r>
      <w:r w:rsidRPr="00FA66C8">
        <w:t xml:space="preserve">ecretariat of the Basel, Rotterdam and Stockholm </w:t>
      </w:r>
      <w:r w:rsidR="00D31843" w:rsidRPr="00FA66C8">
        <w:t>C</w:t>
      </w:r>
      <w:r w:rsidRPr="00FA66C8">
        <w:t xml:space="preserve">onventions will </w:t>
      </w:r>
      <w:r w:rsidR="00D31843" w:rsidRPr="00FA66C8">
        <w:t>also</w:t>
      </w:r>
      <w:r w:rsidR="00164B5A" w:rsidRPr="00FA66C8">
        <w:t>, on the basis of reciprocity,</w:t>
      </w:r>
      <w:r w:rsidR="00D31843" w:rsidRPr="00FA66C8">
        <w:t xml:space="preserve"> </w:t>
      </w:r>
      <w:r w:rsidRPr="00FA66C8">
        <w:t>provid</w:t>
      </w:r>
      <w:r w:rsidR="00164B5A" w:rsidRPr="00FA66C8">
        <w:t>e</w:t>
      </w:r>
      <w:r w:rsidRPr="00FA66C8">
        <w:t xml:space="preserve"> substantive support to the </w:t>
      </w:r>
      <w:r w:rsidR="000B157E" w:rsidRPr="00FA66C8">
        <w:t>secretariat</w:t>
      </w:r>
      <w:r w:rsidR="00D31843" w:rsidRPr="00FA66C8">
        <w:t xml:space="preserve"> of the Minamata Convention</w:t>
      </w:r>
      <w:r w:rsidRPr="00FA66C8">
        <w:t xml:space="preserve"> to facilitate the running of the meeting, in particular</w:t>
      </w:r>
      <w:r w:rsidRPr="00116AF5">
        <w:t xml:space="preserve"> in</w:t>
      </w:r>
      <w:r w:rsidR="00D31843">
        <w:t xml:space="preserve"> relation to</w:t>
      </w:r>
      <w:r w:rsidRPr="00116AF5">
        <w:t xml:space="preserve"> contact groups. </w:t>
      </w:r>
      <w:r w:rsidRPr="00CF43AF">
        <w:t xml:space="preserve">The </w:t>
      </w:r>
      <w:r w:rsidRPr="003F5410">
        <w:t xml:space="preserve">Law Division of UNEP will provide </w:t>
      </w:r>
      <w:r w:rsidR="00AC527E" w:rsidRPr="003F5410">
        <w:t xml:space="preserve">similar </w:t>
      </w:r>
      <w:r w:rsidRPr="003F5410">
        <w:t>support</w:t>
      </w:r>
      <w:r w:rsidR="00AC527E" w:rsidRPr="003F5410">
        <w:t xml:space="preserve"> as well as support</w:t>
      </w:r>
      <w:r w:rsidRPr="003F5410">
        <w:t xml:space="preserve"> for the coordination of in</w:t>
      </w:r>
      <w:r w:rsidR="00AC527E" w:rsidRPr="00CF43AF">
        <w:t>-</w:t>
      </w:r>
      <w:r w:rsidRPr="00CF43AF">
        <w:t xml:space="preserve">session documentation. As the </w:t>
      </w:r>
      <w:r w:rsidR="00AC527E" w:rsidRPr="00CF43AF">
        <w:t>posts of C</w:t>
      </w:r>
      <w:r w:rsidRPr="00CF43AF">
        <w:t xml:space="preserve">ommunications </w:t>
      </w:r>
      <w:r w:rsidR="00AC527E" w:rsidRPr="00CF43AF">
        <w:t>O</w:t>
      </w:r>
      <w:r w:rsidRPr="00CF43AF">
        <w:t xml:space="preserve">fficer and </w:t>
      </w:r>
      <w:r w:rsidR="00AC527E" w:rsidRPr="00CF43AF">
        <w:t>C</w:t>
      </w:r>
      <w:r w:rsidRPr="00CF43AF">
        <w:t xml:space="preserve">ommunications </w:t>
      </w:r>
      <w:r w:rsidR="00AC527E" w:rsidRPr="00CF43AF">
        <w:t>A</w:t>
      </w:r>
      <w:r w:rsidRPr="00CF43AF">
        <w:t xml:space="preserve">ssistant of the Minamata </w:t>
      </w:r>
      <w:r w:rsidR="00AC527E" w:rsidRPr="00CF43AF">
        <w:t xml:space="preserve">Convention </w:t>
      </w:r>
      <w:r w:rsidR="000B157E" w:rsidRPr="00CF43AF">
        <w:t>secretariat</w:t>
      </w:r>
      <w:r w:rsidRPr="00CF43AF">
        <w:t xml:space="preserve"> have not yet been </w:t>
      </w:r>
      <w:r w:rsidR="00AC527E" w:rsidRPr="00CF43AF">
        <w:t>filled</w:t>
      </w:r>
      <w:r w:rsidRPr="00CF43AF">
        <w:t xml:space="preserve">, </w:t>
      </w:r>
      <w:r w:rsidR="00AC527E" w:rsidRPr="00CF43AF">
        <w:t xml:space="preserve">support for </w:t>
      </w:r>
      <w:r w:rsidRPr="00CF43AF">
        <w:t xml:space="preserve">communications and outreach activities </w:t>
      </w:r>
      <w:r w:rsidR="00AC527E" w:rsidRPr="00CF43AF">
        <w:t xml:space="preserve">for </w:t>
      </w:r>
      <w:r w:rsidRPr="00CF43AF">
        <w:t xml:space="preserve">the meeting have been and </w:t>
      </w:r>
      <w:r w:rsidR="00AC527E" w:rsidRPr="00CF43AF">
        <w:t xml:space="preserve">will continue to be provided </w:t>
      </w:r>
      <w:r w:rsidRPr="00CF43AF">
        <w:t>by the UNEP Europe Office and the Law Division.</w:t>
      </w:r>
      <w:r w:rsidR="00A22FCD" w:rsidRPr="00CF43AF">
        <w:t xml:space="preserve"> </w:t>
      </w:r>
    </w:p>
    <w:p w14:paraId="48204B3A" w14:textId="56B0DA42" w:rsidR="00163DA4" w:rsidRPr="00116AF5" w:rsidRDefault="00163DA4" w:rsidP="00116AF5">
      <w:pPr>
        <w:pStyle w:val="CH2"/>
      </w:pPr>
      <w:r w:rsidRPr="00116AF5">
        <w:tab/>
        <w:t>B.</w:t>
      </w:r>
      <w:r w:rsidRPr="00116AF5">
        <w:tab/>
        <w:t>Bureau of the Conference of the Parties</w:t>
      </w:r>
    </w:p>
    <w:p w14:paraId="19F2CCD6" w14:textId="42245388" w:rsidR="00163DA4" w:rsidRPr="00116AF5" w:rsidRDefault="00163DA4" w:rsidP="00116AF5">
      <w:pPr>
        <w:pStyle w:val="Normalnumber"/>
      </w:pPr>
      <w:r w:rsidRPr="00116AF5">
        <w:t xml:space="preserve">The </w:t>
      </w:r>
      <w:r w:rsidR="000B157E">
        <w:t>secretariat</w:t>
      </w:r>
      <w:r w:rsidR="00AC527E">
        <w:t xml:space="preserve"> has provided</w:t>
      </w:r>
      <w:r w:rsidRPr="00116AF5">
        <w:t xml:space="preserve"> support</w:t>
      </w:r>
      <w:r w:rsidR="00AC527E">
        <w:t xml:space="preserve"> to</w:t>
      </w:r>
      <w:r w:rsidRPr="00116AF5">
        <w:t xml:space="preserve"> the Presidency</w:t>
      </w:r>
      <w:r w:rsidR="00AC527E">
        <w:t xml:space="preserve"> of the Conference of the Parties</w:t>
      </w:r>
      <w:r w:rsidRPr="00116AF5">
        <w:t xml:space="preserve"> in all substantive matters related to the Convention </w:t>
      </w:r>
      <w:r w:rsidR="00627756">
        <w:t>since</w:t>
      </w:r>
      <w:r w:rsidRPr="00116AF5">
        <w:t xml:space="preserve"> the first meeting of the Conference of the Parties, and </w:t>
      </w:r>
      <w:r w:rsidR="00AC527E">
        <w:t xml:space="preserve">has </w:t>
      </w:r>
      <w:r w:rsidRPr="00116AF5">
        <w:t>facilitated the organi</w:t>
      </w:r>
      <w:r w:rsidR="00AC527E">
        <w:t>z</w:t>
      </w:r>
      <w:r w:rsidRPr="00116AF5">
        <w:t>ational arrangements (</w:t>
      </w:r>
      <w:r w:rsidR="00AC527E">
        <w:t xml:space="preserve">including </w:t>
      </w:r>
      <w:r w:rsidRPr="00116AF5">
        <w:t>invitations, agenda</w:t>
      </w:r>
      <w:r w:rsidR="00AC527E">
        <w:t>s</w:t>
      </w:r>
      <w:r w:rsidRPr="00116AF5">
        <w:t>, documents, reports, logistical arrangements</w:t>
      </w:r>
      <w:r w:rsidR="00627756">
        <w:t xml:space="preserve"> and</w:t>
      </w:r>
      <w:r w:rsidRPr="00116AF5">
        <w:t xml:space="preserve"> venue preparation</w:t>
      </w:r>
      <w:r w:rsidR="00AC527E">
        <w:t>,</w:t>
      </w:r>
      <w:r w:rsidRPr="00116AF5">
        <w:t xml:space="preserve"> as necessary) </w:t>
      </w:r>
      <w:r w:rsidR="00AC527E">
        <w:t>for</w:t>
      </w:r>
      <w:r w:rsidRPr="00116AF5">
        <w:t xml:space="preserve"> two meetings of the Bureau of the Conference of </w:t>
      </w:r>
      <w:r w:rsidR="00A22FCD">
        <w:t xml:space="preserve">the </w:t>
      </w:r>
      <w:r w:rsidRPr="00116AF5">
        <w:t>Parties</w:t>
      </w:r>
      <w:r w:rsidR="005867AF">
        <w:t>,</w:t>
      </w:r>
      <w:r w:rsidRPr="00116AF5">
        <w:t xml:space="preserve"> </w:t>
      </w:r>
      <w:r w:rsidR="00AC527E">
        <w:t>held via</w:t>
      </w:r>
      <w:r w:rsidRPr="00116AF5">
        <w:t xml:space="preserve"> teleconference on 20 December 2017 and 27 April 2018</w:t>
      </w:r>
      <w:r w:rsidR="005867AF">
        <w:t>, respectively</w:t>
      </w:r>
      <w:r w:rsidRPr="00116AF5">
        <w:t xml:space="preserve">, </w:t>
      </w:r>
      <w:r w:rsidR="00AC527E">
        <w:t>as well as</w:t>
      </w:r>
      <w:r w:rsidR="00AC527E" w:rsidRPr="00116AF5">
        <w:t xml:space="preserve"> </w:t>
      </w:r>
      <w:r w:rsidRPr="00116AF5">
        <w:t>a face-to-face meeting of the Bureau</w:t>
      </w:r>
      <w:r w:rsidR="00AC527E">
        <w:t xml:space="preserve"> in Geneva</w:t>
      </w:r>
      <w:r w:rsidRPr="00116AF5">
        <w:t xml:space="preserve"> on 13</w:t>
      </w:r>
      <w:r w:rsidR="00AC527E">
        <w:t xml:space="preserve"> and </w:t>
      </w:r>
      <w:r w:rsidRPr="00116AF5">
        <w:t>14 September 2018. The main objectives of th</w:t>
      </w:r>
      <w:r w:rsidR="00AC527E">
        <w:t>o</w:t>
      </w:r>
      <w:r w:rsidRPr="00116AF5">
        <w:t>se meetings were to take stock of the outcome of the first meeting</w:t>
      </w:r>
      <w:r w:rsidR="00AC527E">
        <w:t xml:space="preserve"> of the Conference of the Parties with a view</w:t>
      </w:r>
      <w:r w:rsidRPr="00116AF5">
        <w:t xml:space="preserve"> to ensur</w:t>
      </w:r>
      <w:r w:rsidR="00AC527E">
        <w:t>ing</w:t>
      </w:r>
      <w:r w:rsidRPr="00116AF5">
        <w:t xml:space="preserve"> adequate planning for </w:t>
      </w:r>
      <w:r w:rsidR="00AC527E">
        <w:t>its</w:t>
      </w:r>
      <w:r w:rsidR="00AC527E" w:rsidRPr="00116AF5">
        <w:t xml:space="preserve"> </w:t>
      </w:r>
      <w:r w:rsidRPr="00116AF5">
        <w:t xml:space="preserve">second meeting, to consider the issues </w:t>
      </w:r>
      <w:r w:rsidR="005B7BE9">
        <w:t>on the agenda of</w:t>
      </w:r>
      <w:r w:rsidR="00AC527E">
        <w:t xml:space="preserve"> the second meeting</w:t>
      </w:r>
      <w:r w:rsidR="005867AF">
        <w:t xml:space="preserve"> of the Conference of the Parties</w:t>
      </w:r>
      <w:r w:rsidRPr="00116AF5">
        <w:t xml:space="preserve">, </w:t>
      </w:r>
      <w:r w:rsidR="00AC527E">
        <w:t xml:space="preserve">and </w:t>
      </w:r>
      <w:r w:rsidRPr="00116AF5">
        <w:t xml:space="preserve">to discuss strategic and policy matters and develop logistical plans for the second meeting. </w:t>
      </w:r>
      <w:r w:rsidR="00AC527E">
        <w:t>The r</w:t>
      </w:r>
      <w:r w:rsidRPr="00116AF5">
        <w:t xml:space="preserve">eports of the meetings </w:t>
      </w:r>
      <w:r w:rsidR="00AC527E">
        <w:t xml:space="preserve">of the Bureau </w:t>
      </w:r>
      <w:r w:rsidRPr="00116AF5">
        <w:t>are available on the Convention website.</w:t>
      </w:r>
      <w:r w:rsidRPr="001C2145">
        <w:rPr>
          <w:vertAlign w:val="superscript"/>
        </w:rPr>
        <w:footnoteReference w:id="2"/>
      </w:r>
      <w:r w:rsidRPr="00116AF5">
        <w:t xml:space="preserve"> The secretariat has implemented and followed up</w:t>
      </w:r>
      <w:r w:rsidR="00AC527E">
        <w:t xml:space="preserve"> on</w:t>
      </w:r>
      <w:r w:rsidRPr="00116AF5">
        <w:t>, as appropriate, all the decisions of the Bureau.</w:t>
      </w:r>
    </w:p>
    <w:p w14:paraId="12A8F347" w14:textId="0D6E6907" w:rsidR="00163DA4" w:rsidRPr="00116AF5" w:rsidRDefault="00163DA4" w:rsidP="00116AF5">
      <w:pPr>
        <w:pStyle w:val="CH2"/>
      </w:pPr>
      <w:r w:rsidRPr="00116AF5">
        <w:tab/>
        <w:t>C.</w:t>
      </w:r>
      <w:r w:rsidRPr="00116AF5">
        <w:tab/>
        <w:t xml:space="preserve">Regional meetings </w:t>
      </w:r>
    </w:p>
    <w:p w14:paraId="7689B3D8" w14:textId="4724D272" w:rsidR="00163DA4" w:rsidRPr="00116AF5" w:rsidRDefault="00163DA4" w:rsidP="00116AF5">
      <w:pPr>
        <w:pStyle w:val="Normalnumber"/>
      </w:pPr>
      <w:r w:rsidRPr="00116AF5">
        <w:t xml:space="preserve">In preparation for the second meeting of the Conference of the Parties to the Minamata Convention, the </w:t>
      </w:r>
      <w:r w:rsidR="000B157E">
        <w:t>secretariat</w:t>
      </w:r>
      <w:r w:rsidRPr="00116AF5">
        <w:t xml:space="preserve"> </w:t>
      </w:r>
      <w:r w:rsidR="00AC527E">
        <w:t xml:space="preserve">has </w:t>
      </w:r>
      <w:r w:rsidRPr="00116AF5">
        <w:t xml:space="preserve">organized a series of regional consultations for the </w:t>
      </w:r>
      <w:r w:rsidR="00AC527E">
        <w:t xml:space="preserve">regions of </w:t>
      </w:r>
      <w:r w:rsidRPr="00116AF5">
        <w:t>Africa, Asia and the Pacific, Central and Eastern Europe and Central Asia, and Latin America and the Caribbean</w:t>
      </w:r>
      <w:r w:rsidR="00AC527E">
        <w:t>,</w:t>
      </w:r>
      <w:r w:rsidRPr="00116AF5">
        <w:t xml:space="preserve"> </w:t>
      </w:r>
      <w:r w:rsidR="00AC527E" w:rsidRPr="00116AF5">
        <w:t>with voluntary contributions from Austria, Japan, Sweden and Switzerland</w:t>
      </w:r>
      <w:r w:rsidRPr="00116AF5">
        <w:t>. The consultations</w:t>
      </w:r>
      <w:r w:rsidR="00AC527E">
        <w:t>, the main aim of which</w:t>
      </w:r>
      <w:r w:rsidRPr="00116AF5">
        <w:t xml:space="preserve"> </w:t>
      </w:r>
      <w:r w:rsidR="00AC527E">
        <w:t>is</w:t>
      </w:r>
      <w:r w:rsidRPr="00116AF5">
        <w:t xml:space="preserve"> to facilitate the regions’ preparation and consolidation of positions for the second meeting of the Conference of the Parties</w:t>
      </w:r>
      <w:r w:rsidR="00AC527E">
        <w:t xml:space="preserve">, </w:t>
      </w:r>
      <w:r w:rsidR="005867AF">
        <w:t>have been organized</w:t>
      </w:r>
      <w:r w:rsidRPr="00116AF5">
        <w:t xml:space="preserve"> as follows: </w:t>
      </w:r>
    </w:p>
    <w:p w14:paraId="1BC5697F" w14:textId="41AFEEB7" w:rsidR="00163DA4" w:rsidRPr="00116AF5" w:rsidRDefault="00163DA4" w:rsidP="00116AF5">
      <w:pPr>
        <w:pStyle w:val="Normalnumber"/>
        <w:numPr>
          <w:ilvl w:val="1"/>
          <w:numId w:val="4"/>
        </w:numPr>
      </w:pPr>
      <w:r w:rsidRPr="00116AF5">
        <w:t>For Africa, in Lusaka</w:t>
      </w:r>
      <w:r w:rsidR="00AC527E">
        <w:t xml:space="preserve"> on</w:t>
      </w:r>
      <w:r w:rsidRPr="00116AF5">
        <w:t xml:space="preserve"> </w:t>
      </w:r>
      <w:r w:rsidR="00AC527E">
        <w:t xml:space="preserve">9 and </w:t>
      </w:r>
      <w:r w:rsidR="00AC527E" w:rsidRPr="00116AF5">
        <w:t>10 October 2018</w:t>
      </w:r>
      <w:r w:rsidRPr="00116AF5">
        <w:t>;</w:t>
      </w:r>
    </w:p>
    <w:p w14:paraId="7F6CE2B5" w14:textId="3FC9803E" w:rsidR="00163DA4" w:rsidRPr="00116AF5" w:rsidRDefault="00163DA4" w:rsidP="00116AF5">
      <w:pPr>
        <w:pStyle w:val="Normalnumber"/>
        <w:numPr>
          <w:ilvl w:val="1"/>
          <w:numId w:val="4"/>
        </w:numPr>
      </w:pPr>
      <w:r w:rsidRPr="00116AF5">
        <w:t xml:space="preserve">For Central and Eastern Europe and Central Asia, </w:t>
      </w:r>
      <w:r w:rsidR="00AC527E">
        <w:t xml:space="preserve">in Chisinau on </w:t>
      </w:r>
      <w:r w:rsidRPr="00116AF5">
        <w:t>16</w:t>
      </w:r>
      <w:r w:rsidR="00AC527E">
        <w:t xml:space="preserve"> and </w:t>
      </w:r>
      <w:r w:rsidRPr="00116AF5">
        <w:t>17</w:t>
      </w:r>
      <w:r w:rsidR="00D36852">
        <w:t> </w:t>
      </w:r>
      <w:r w:rsidRPr="00116AF5">
        <w:t>October</w:t>
      </w:r>
      <w:r w:rsidR="00D36852">
        <w:t> </w:t>
      </w:r>
      <w:r w:rsidRPr="00116AF5">
        <w:t xml:space="preserve">2018; </w:t>
      </w:r>
    </w:p>
    <w:p w14:paraId="0F423517" w14:textId="4E60D8E8" w:rsidR="00163DA4" w:rsidRPr="005867AF" w:rsidRDefault="00163DA4" w:rsidP="00116AF5">
      <w:pPr>
        <w:pStyle w:val="Normalnumber"/>
        <w:numPr>
          <w:ilvl w:val="1"/>
          <w:numId w:val="4"/>
        </w:numPr>
      </w:pPr>
      <w:r w:rsidRPr="005867AF">
        <w:t>For Asia and the Pacific, in Bangkok</w:t>
      </w:r>
      <w:r w:rsidR="00F71C05" w:rsidRPr="005867AF">
        <w:t xml:space="preserve"> on 23 and 24 October 2018</w:t>
      </w:r>
      <w:r w:rsidRPr="005867AF">
        <w:t>;</w:t>
      </w:r>
    </w:p>
    <w:p w14:paraId="79FB663B" w14:textId="412AB437" w:rsidR="00163DA4" w:rsidRPr="005867AF" w:rsidRDefault="00163DA4" w:rsidP="00116AF5">
      <w:pPr>
        <w:pStyle w:val="Normalnumber"/>
        <w:numPr>
          <w:ilvl w:val="1"/>
          <w:numId w:val="4"/>
        </w:numPr>
      </w:pPr>
      <w:r w:rsidRPr="005867AF">
        <w:t xml:space="preserve">For Latin America and the Caribbean, </w:t>
      </w:r>
      <w:r w:rsidR="00F71C05" w:rsidRPr="005867AF">
        <w:t xml:space="preserve">in Lima on </w:t>
      </w:r>
      <w:r w:rsidRPr="005867AF">
        <w:t>30</w:t>
      </w:r>
      <w:r w:rsidR="00F71C05" w:rsidRPr="005867AF">
        <w:t xml:space="preserve"> and </w:t>
      </w:r>
      <w:r w:rsidRPr="005867AF">
        <w:t>31 October 2018.</w:t>
      </w:r>
    </w:p>
    <w:p w14:paraId="3C8DCC16" w14:textId="2FB61941" w:rsidR="00163DA4" w:rsidRPr="005867AF" w:rsidRDefault="00163DA4" w:rsidP="00116AF5">
      <w:pPr>
        <w:pStyle w:val="Normalnumber"/>
      </w:pPr>
      <w:bookmarkStart w:id="5" w:name="_GoBack"/>
      <w:bookmarkEnd w:id="5"/>
      <w:r w:rsidRPr="005867AF">
        <w:lastRenderedPageBreak/>
        <w:t xml:space="preserve">The regional consultations will include </w:t>
      </w:r>
      <w:r w:rsidR="005B7BE9" w:rsidRPr="001C2145">
        <w:t xml:space="preserve">the </w:t>
      </w:r>
      <w:r w:rsidRPr="005867AF">
        <w:t>presentation by the secretariat of the documents for the second meeting</w:t>
      </w:r>
      <w:r w:rsidR="005867AF" w:rsidRPr="001C2145">
        <w:t xml:space="preserve"> of the Conference of the Parties</w:t>
      </w:r>
      <w:r w:rsidRPr="005867AF">
        <w:t xml:space="preserve">, followed by discussions among Governments and </w:t>
      </w:r>
      <w:r w:rsidR="005B7BE9" w:rsidRPr="001C2145">
        <w:t xml:space="preserve">the </w:t>
      </w:r>
      <w:r w:rsidRPr="005867AF">
        <w:t xml:space="preserve">possible development of regional positions on the issues </w:t>
      </w:r>
      <w:r w:rsidR="005B7BE9" w:rsidRPr="001C2145">
        <w:t>on the agenda of</w:t>
      </w:r>
      <w:r w:rsidRPr="005867AF">
        <w:t xml:space="preserve"> the </w:t>
      </w:r>
      <w:r w:rsidR="005B7BE9" w:rsidRPr="001C2145">
        <w:t xml:space="preserve">second </w:t>
      </w:r>
      <w:r w:rsidRPr="005867AF">
        <w:t xml:space="preserve">meeting. The provisional agenda for each </w:t>
      </w:r>
      <w:r w:rsidR="005B7BE9" w:rsidRPr="001C2145">
        <w:t xml:space="preserve">of the </w:t>
      </w:r>
      <w:r w:rsidRPr="005867AF">
        <w:t>regional consultation</w:t>
      </w:r>
      <w:r w:rsidR="005B7BE9" w:rsidRPr="001C2145">
        <w:t>s</w:t>
      </w:r>
      <w:r w:rsidRPr="005867AF">
        <w:t xml:space="preserve"> </w:t>
      </w:r>
      <w:r w:rsidR="005867AF" w:rsidRPr="001C2145">
        <w:t>was</w:t>
      </w:r>
      <w:r w:rsidRPr="005867AF">
        <w:t xml:space="preserve"> developed in cooperation with the members representing the relevant region in the Bureau.</w:t>
      </w:r>
    </w:p>
    <w:p w14:paraId="26DB3C23" w14:textId="27BCDDCB" w:rsidR="00163DA4" w:rsidRPr="00116AF5" w:rsidRDefault="00163DA4" w:rsidP="00116AF5">
      <w:pPr>
        <w:pStyle w:val="Normalnumber"/>
      </w:pPr>
      <w:r w:rsidRPr="00116AF5">
        <w:t xml:space="preserve">The </w:t>
      </w:r>
      <w:r w:rsidR="005B7BE9">
        <w:t xml:space="preserve">secretariat is organizing the </w:t>
      </w:r>
      <w:r w:rsidRPr="00116AF5">
        <w:t>regional consultations</w:t>
      </w:r>
      <w:r w:rsidRPr="00116AF5" w:rsidDel="00910514">
        <w:t xml:space="preserve"> </w:t>
      </w:r>
      <w:r w:rsidRPr="00116AF5">
        <w:t>in cooperation</w:t>
      </w:r>
      <w:r w:rsidR="005B7BE9">
        <w:t xml:space="preserve"> with various other entities</w:t>
      </w:r>
      <w:r w:rsidRPr="00116AF5">
        <w:t>,</w:t>
      </w:r>
      <w:r w:rsidR="005B7BE9">
        <w:t xml:space="preserve"> including</w:t>
      </w:r>
      <w:r w:rsidR="00FA66C8">
        <w:t>,</w:t>
      </w:r>
      <w:r w:rsidRPr="00116AF5">
        <w:t xml:space="preserve"> for logistical arrangements and participants</w:t>
      </w:r>
      <w:r w:rsidR="00FA66C8">
        <w:t>’</w:t>
      </w:r>
      <w:r w:rsidRPr="00116AF5">
        <w:t xml:space="preserve"> </w:t>
      </w:r>
      <w:r w:rsidRPr="005867AF">
        <w:t xml:space="preserve">travel, </w:t>
      </w:r>
      <w:r w:rsidR="005B7BE9" w:rsidRPr="005867AF">
        <w:t>the</w:t>
      </w:r>
      <w:r w:rsidR="00FA66C8">
        <w:t xml:space="preserve"> following</w:t>
      </w:r>
      <w:r w:rsidR="005B7BE9" w:rsidRPr="005867AF">
        <w:t xml:space="preserve"> </w:t>
      </w:r>
      <w:r w:rsidRPr="005867AF">
        <w:t xml:space="preserve">Basel and Stockholm Convention regional </w:t>
      </w:r>
      <w:r w:rsidR="005B7BE9" w:rsidRPr="005867AF">
        <w:t xml:space="preserve">and coordinating </w:t>
      </w:r>
      <w:r w:rsidRPr="005867AF">
        <w:t>centres</w:t>
      </w:r>
      <w:r w:rsidR="00A046A9">
        <w:t xml:space="preserve">: </w:t>
      </w:r>
      <w:r w:rsidR="005B7BE9" w:rsidRPr="005867AF">
        <w:t>f</w:t>
      </w:r>
      <w:r w:rsidRPr="005867AF">
        <w:t xml:space="preserve">or the Africa region, the </w:t>
      </w:r>
      <w:r w:rsidRPr="00102259">
        <w:t>Africa</w:t>
      </w:r>
      <w:r w:rsidRPr="005867AF">
        <w:t xml:space="preserve"> Institute for the Environmentally Sound </w:t>
      </w:r>
      <w:r w:rsidR="005B7BE9" w:rsidRPr="005867AF">
        <w:t>M</w:t>
      </w:r>
      <w:r w:rsidRPr="005867AF">
        <w:t xml:space="preserve">anagement of </w:t>
      </w:r>
      <w:r w:rsidR="005B7BE9" w:rsidRPr="005867AF">
        <w:t>H</w:t>
      </w:r>
      <w:r w:rsidRPr="005867AF">
        <w:t>azardous and Other Wastes, in</w:t>
      </w:r>
      <w:r w:rsidRPr="00116AF5">
        <w:t xml:space="preserve"> Pretoria</w:t>
      </w:r>
      <w:r w:rsidR="005B7BE9">
        <w:t>;</w:t>
      </w:r>
      <w:r w:rsidRPr="00116AF5">
        <w:t xml:space="preserve"> </w:t>
      </w:r>
      <w:r w:rsidR="005B7BE9">
        <w:t>f</w:t>
      </w:r>
      <w:r w:rsidRPr="00116AF5">
        <w:t>or the Central and Eastern Europe</w:t>
      </w:r>
      <w:r w:rsidR="005B7BE9">
        <w:t>an</w:t>
      </w:r>
      <w:r w:rsidRPr="00116AF5">
        <w:t xml:space="preserve"> region, the Research Centre for Toxic Compounds in the Environment, in Brno, Czech</w:t>
      </w:r>
      <w:r w:rsidR="005B7BE9">
        <w:t>ia;</w:t>
      </w:r>
      <w:r w:rsidRPr="00116AF5">
        <w:t xml:space="preserve"> </w:t>
      </w:r>
      <w:r w:rsidR="005B7BE9">
        <w:t>f</w:t>
      </w:r>
      <w:r w:rsidRPr="00116AF5">
        <w:t>or the Latin America</w:t>
      </w:r>
      <w:r w:rsidR="005B7BE9">
        <w:t>n</w:t>
      </w:r>
      <w:r w:rsidRPr="00116AF5">
        <w:t xml:space="preserve"> and Caribbean region, the Basel Convention Coordinating Centre for Training and Technology Transfer for Latin America and the Caribbean, in Montevideo</w:t>
      </w:r>
      <w:r>
        <w:t>;</w:t>
      </w:r>
      <w:r w:rsidRPr="00116AF5">
        <w:t xml:space="preserve"> and for the Asia</w:t>
      </w:r>
      <w:r w:rsidR="00047F86">
        <w:t>-</w:t>
      </w:r>
      <w:r w:rsidRPr="00116AF5">
        <w:t>Pacific region, the Basel and Stockholm Regional Centre for South-East Asia, in Jakarta.</w:t>
      </w:r>
      <w:r w:rsidR="001C3C6E">
        <w:t xml:space="preserve"> </w:t>
      </w:r>
    </w:p>
    <w:p w14:paraId="439EE3E1" w14:textId="33E1CAD1" w:rsidR="00163DA4" w:rsidRPr="00C278AA" w:rsidRDefault="00163DA4" w:rsidP="00116AF5">
      <w:pPr>
        <w:pStyle w:val="Normalnumber"/>
      </w:pPr>
      <w:r w:rsidRPr="00116AF5">
        <w:t xml:space="preserve"> The regional consultations are </w:t>
      </w:r>
      <w:r w:rsidR="00047F86">
        <w:t xml:space="preserve">being held </w:t>
      </w:r>
      <w:r w:rsidRPr="00116AF5">
        <w:t xml:space="preserve">back-to-back </w:t>
      </w:r>
      <w:r w:rsidR="00047F86">
        <w:t>with</w:t>
      </w:r>
      <w:r w:rsidRPr="00116AF5">
        <w:t xml:space="preserve"> information sessions focusing on the Basel</w:t>
      </w:r>
      <w:r w:rsidR="00047F86">
        <w:t xml:space="preserve"> Convention on the Control of Transboundary Movement</w:t>
      </w:r>
      <w:r w:rsidR="006424A1">
        <w:t>s</w:t>
      </w:r>
      <w:r w:rsidR="00047F86">
        <w:t xml:space="preserve"> of Hazardous Wastes and Their Disposal</w:t>
      </w:r>
      <w:r w:rsidRPr="00116AF5">
        <w:t xml:space="preserve">, </w:t>
      </w:r>
      <w:r w:rsidR="00047F86">
        <w:t xml:space="preserve">the </w:t>
      </w:r>
      <w:r w:rsidRPr="00116AF5">
        <w:t xml:space="preserve">Rotterdam </w:t>
      </w:r>
      <w:r w:rsidR="00047F86">
        <w:t xml:space="preserve">Convention on the Prior Informed Consent Procedure for Certain Hazardous Chemicals and Pesticides in International Trade </w:t>
      </w:r>
      <w:r w:rsidRPr="00116AF5">
        <w:t xml:space="preserve">and </w:t>
      </w:r>
      <w:r w:rsidR="00047F86">
        <w:t xml:space="preserve">the </w:t>
      </w:r>
      <w:r w:rsidRPr="00116AF5">
        <w:t>Stockholm Convention</w:t>
      </w:r>
      <w:r w:rsidR="00047F86">
        <w:t xml:space="preserve"> on Persistent Organic Pollutants</w:t>
      </w:r>
      <w:r w:rsidRPr="00116AF5">
        <w:t xml:space="preserve"> (half</w:t>
      </w:r>
      <w:r w:rsidR="00047F86">
        <w:t>-</w:t>
      </w:r>
      <w:r w:rsidRPr="00116AF5">
        <w:t>day session) and the Strategic Approach to International Chemicals Management (half</w:t>
      </w:r>
      <w:r w:rsidR="00047F86">
        <w:t>-</w:t>
      </w:r>
      <w:r w:rsidRPr="00116AF5">
        <w:t>day session) in an effort to maximi</w:t>
      </w:r>
      <w:r w:rsidR="00047F86">
        <w:t>z</w:t>
      </w:r>
      <w:r w:rsidRPr="00116AF5">
        <w:t xml:space="preserve">e information sharing and cooperation and collaboration </w:t>
      </w:r>
      <w:r w:rsidRPr="00C278AA">
        <w:t xml:space="preserve">within the </w:t>
      </w:r>
      <w:r w:rsidRPr="00CF43AF">
        <w:t>chemicals and wastes cluster</w:t>
      </w:r>
      <w:r w:rsidRPr="003F5410">
        <w:t xml:space="preserve">.  </w:t>
      </w:r>
    </w:p>
    <w:p w14:paraId="41990E6C" w14:textId="77B9C05E" w:rsidR="00163DA4" w:rsidRPr="00116AF5" w:rsidRDefault="00163DA4" w:rsidP="00116AF5">
      <w:pPr>
        <w:pStyle w:val="CH1"/>
      </w:pPr>
      <w:r w:rsidRPr="00116AF5">
        <w:tab/>
        <w:t>III.</w:t>
      </w:r>
      <w:r w:rsidRPr="00116AF5">
        <w:tab/>
        <w:t xml:space="preserve">Intersessional </w:t>
      </w:r>
      <w:r w:rsidR="00047F86">
        <w:t>w</w:t>
      </w:r>
      <w:r w:rsidRPr="00116AF5">
        <w:t xml:space="preserve">ork </w:t>
      </w:r>
      <w:r w:rsidR="00AC527E">
        <w:t>r</w:t>
      </w:r>
      <w:r w:rsidRPr="00116AF5">
        <w:t xml:space="preserve">equested by the Conference of the Parties at its </w:t>
      </w:r>
      <w:r w:rsidR="00AC527E">
        <w:t>f</w:t>
      </w:r>
      <w:r w:rsidRPr="00116AF5">
        <w:t xml:space="preserve">irst </w:t>
      </w:r>
      <w:r w:rsidR="00AC527E">
        <w:t>m</w:t>
      </w:r>
      <w:r w:rsidRPr="00116AF5">
        <w:t xml:space="preserve">eeting </w:t>
      </w:r>
    </w:p>
    <w:p w14:paraId="27CB1D5A" w14:textId="4C1124A6" w:rsidR="00163DA4" w:rsidRPr="00116AF5" w:rsidRDefault="00163DA4" w:rsidP="00116AF5">
      <w:pPr>
        <w:pStyle w:val="Normalnumber"/>
      </w:pPr>
      <w:r w:rsidRPr="00116AF5">
        <w:t xml:space="preserve">The </w:t>
      </w:r>
      <w:r w:rsidR="000B157E" w:rsidRPr="00160703">
        <w:t>secretariat</w:t>
      </w:r>
      <w:r w:rsidRPr="00160703">
        <w:t xml:space="preserve"> was</w:t>
      </w:r>
      <w:r w:rsidRPr="00116AF5">
        <w:t xml:space="preserve"> requested by the Conference of the Parties </w:t>
      </w:r>
      <w:r w:rsidR="00047F86">
        <w:t xml:space="preserve">at its first meeting </w:t>
      </w:r>
      <w:r w:rsidRPr="00116AF5">
        <w:t>to seek input from Governments and a range of other interested stakeholders on a number of issues</w:t>
      </w:r>
      <w:r w:rsidR="005867AF">
        <w:t xml:space="preserve"> as set out in the decisions adopted at that meeting</w:t>
      </w:r>
      <w:r w:rsidRPr="00116AF5">
        <w:t>.</w:t>
      </w:r>
      <w:r w:rsidR="00047F86">
        <w:t xml:space="preserve"> </w:t>
      </w:r>
      <w:r w:rsidRPr="00116AF5">
        <w:t xml:space="preserve">The </w:t>
      </w:r>
      <w:r w:rsidR="000B157E">
        <w:t>secretariat</w:t>
      </w:r>
      <w:r w:rsidR="005867AF">
        <w:t xml:space="preserve"> has</w:t>
      </w:r>
      <w:r w:rsidRPr="00116AF5">
        <w:t xml:space="preserve"> coordinated the work of expert groups on interim storage, mercury waste and contaminated sites, and prepared relevant meeting </w:t>
      </w:r>
      <w:r w:rsidRPr="00A92EA5">
        <w:t>documents</w:t>
      </w:r>
      <w:r w:rsidRPr="000B157E">
        <w:t xml:space="preserve">. </w:t>
      </w:r>
      <w:r w:rsidR="00047F86" w:rsidRPr="000B157E">
        <w:t xml:space="preserve">The </w:t>
      </w:r>
      <w:r w:rsidRPr="000B157E">
        <w:t xml:space="preserve">meeting </w:t>
      </w:r>
      <w:r w:rsidR="00047F86" w:rsidRPr="000B157E">
        <w:t>documents</w:t>
      </w:r>
      <w:r w:rsidRPr="000B157E">
        <w:t xml:space="preserve"> and </w:t>
      </w:r>
      <w:r w:rsidR="00047F86" w:rsidRPr="000B157E">
        <w:t>related</w:t>
      </w:r>
      <w:r w:rsidRPr="000B157E">
        <w:t xml:space="preserve"> submissions received</w:t>
      </w:r>
      <w:r w:rsidR="00047F86" w:rsidRPr="000B157E">
        <w:t xml:space="preserve"> by the </w:t>
      </w:r>
      <w:r w:rsidR="000B157E" w:rsidRPr="000B157E">
        <w:t>secretariat</w:t>
      </w:r>
      <w:r w:rsidR="00047F86" w:rsidRPr="000B157E">
        <w:t xml:space="preserve"> are available</w:t>
      </w:r>
      <w:r w:rsidRPr="000B157E">
        <w:t xml:space="preserve"> on the Minamata Convention website. The </w:t>
      </w:r>
      <w:r w:rsidR="000B157E" w:rsidRPr="000B157E">
        <w:t>secretariat</w:t>
      </w:r>
      <w:r w:rsidRPr="000B157E">
        <w:t xml:space="preserve"> </w:t>
      </w:r>
      <w:r w:rsidR="00047F86" w:rsidRPr="000B157E">
        <w:t xml:space="preserve">has </w:t>
      </w:r>
      <w:r w:rsidRPr="000B157E">
        <w:t>also provided scientific and technical advice to Parties and</w:t>
      </w:r>
      <w:r w:rsidRPr="00116AF5">
        <w:t xml:space="preserve"> </w:t>
      </w:r>
      <w:r w:rsidR="00047F86">
        <w:t>potential</w:t>
      </w:r>
      <w:r w:rsidR="00047F86" w:rsidRPr="00116AF5">
        <w:t xml:space="preserve"> </w:t>
      </w:r>
      <w:r w:rsidRPr="00116AF5">
        <w:t xml:space="preserve">Parties </w:t>
      </w:r>
      <w:r w:rsidR="00047F86">
        <w:t>upon</w:t>
      </w:r>
      <w:r w:rsidR="00047F86" w:rsidRPr="00116AF5">
        <w:t xml:space="preserve"> </w:t>
      </w:r>
      <w:r w:rsidR="00047F86">
        <w:t xml:space="preserve">their </w:t>
      </w:r>
      <w:r w:rsidRPr="00116AF5">
        <w:t>request.</w:t>
      </w:r>
    </w:p>
    <w:p w14:paraId="3631D08D" w14:textId="73D1EC47" w:rsidR="00163DA4" w:rsidRPr="00116AF5" w:rsidRDefault="00163DA4" w:rsidP="00116AF5">
      <w:pPr>
        <w:pStyle w:val="Normalnumber"/>
      </w:pPr>
      <w:r w:rsidRPr="00116AF5">
        <w:t>Following the first meeting of the Conference of the Parties</w:t>
      </w:r>
      <w:r w:rsidR="00047F86">
        <w:t>,</w:t>
      </w:r>
      <w:r w:rsidRPr="00116AF5">
        <w:t xml:space="preserve"> </w:t>
      </w:r>
      <w:r w:rsidR="00AF1788">
        <w:t>at the</w:t>
      </w:r>
      <w:r w:rsidR="00A10E5E">
        <w:t xml:space="preserve"> invitation </w:t>
      </w:r>
      <w:r w:rsidR="00AF1788">
        <w:t>of</w:t>
      </w:r>
      <w:r w:rsidR="00A10E5E">
        <w:t xml:space="preserve"> the </w:t>
      </w:r>
      <w:r w:rsidR="00AF1788">
        <w:t>G</w:t>
      </w:r>
      <w:r w:rsidR="00A10E5E">
        <w:t xml:space="preserve">overnment of Canada, </w:t>
      </w:r>
      <w:r w:rsidRPr="00116AF5">
        <w:t xml:space="preserve">the </w:t>
      </w:r>
      <w:r w:rsidR="000B157E">
        <w:t>secretariat</w:t>
      </w:r>
      <w:r w:rsidRPr="00116AF5">
        <w:t xml:space="preserve"> organi</w:t>
      </w:r>
      <w:r w:rsidR="00047F86">
        <w:t>z</w:t>
      </w:r>
      <w:r w:rsidRPr="00116AF5">
        <w:t xml:space="preserve">ed </w:t>
      </w:r>
      <w:r w:rsidR="00047F86">
        <w:t>a</w:t>
      </w:r>
      <w:r w:rsidR="00047F86" w:rsidRPr="00116AF5">
        <w:t xml:space="preserve"> </w:t>
      </w:r>
      <w:r w:rsidRPr="00116AF5">
        <w:t xml:space="preserve">meeting of the ad hoc expert group on effectiveness evaluation in Ottawa from 5 to 9 </w:t>
      </w:r>
      <w:r w:rsidRPr="00BF4210">
        <w:t>March</w:t>
      </w:r>
      <w:r w:rsidRPr="00116AF5">
        <w:t> 2018. The expert</w:t>
      </w:r>
      <w:r w:rsidR="00047F86">
        <w:t xml:space="preserve"> group</w:t>
      </w:r>
      <w:r w:rsidRPr="00116AF5">
        <w:t xml:space="preserve"> produced a draft report</w:t>
      </w:r>
      <w:r w:rsidR="00047F86">
        <w:t>, which they</w:t>
      </w:r>
      <w:r w:rsidRPr="00116AF5">
        <w:t xml:space="preserve"> completed </w:t>
      </w:r>
      <w:r w:rsidR="00047F86">
        <w:t>following</w:t>
      </w:r>
      <w:r w:rsidRPr="00116AF5">
        <w:t xml:space="preserve"> the meeting by electronic means with facilitation by the </w:t>
      </w:r>
      <w:r w:rsidR="000B157E">
        <w:t>secretariat</w:t>
      </w:r>
      <w:r w:rsidRPr="00116AF5">
        <w:t xml:space="preserve">. The </w:t>
      </w:r>
      <w:r w:rsidR="000B157E">
        <w:t>secretariat</w:t>
      </w:r>
      <w:r w:rsidRPr="00116AF5">
        <w:t xml:space="preserve"> also collated additional input and comments on effectiveness evaluation for inclusion in the documentation </w:t>
      </w:r>
      <w:r w:rsidR="00047F86">
        <w:t>of</w:t>
      </w:r>
      <w:r w:rsidR="00047F86" w:rsidRPr="00116AF5">
        <w:t xml:space="preserve"> </w:t>
      </w:r>
      <w:r w:rsidRPr="00116AF5">
        <w:t>the second meeting of the Conference of the Parties.</w:t>
      </w:r>
    </w:p>
    <w:p w14:paraId="301A764F" w14:textId="782E83F2" w:rsidR="008A7943" w:rsidRPr="00B158AF" w:rsidRDefault="00163DA4" w:rsidP="00116AF5">
      <w:pPr>
        <w:pStyle w:val="Normalnumber"/>
      </w:pPr>
      <w:r w:rsidRPr="00116AF5">
        <w:t xml:space="preserve">The </w:t>
      </w:r>
      <w:r w:rsidR="000B157E">
        <w:t>secretariat</w:t>
      </w:r>
      <w:r w:rsidRPr="00116AF5">
        <w:t xml:space="preserve"> organi</w:t>
      </w:r>
      <w:r w:rsidR="00047F86">
        <w:t>z</w:t>
      </w:r>
      <w:r w:rsidRPr="00116AF5">
        <w:t xml:space="preserve">ed the first meeting of the Implementation and Compliance Committee </w:t>
      </w:r>
      <w:r w:rsidR="00047F86">
        <w:t xml:space="preserve">held in </w:t>
      </w:r>
      <w:r w:rsidR="00B158AF" w:rsidRPr="001C2145">
        <w:t>Geneva</w:t>
      </w:r>
      <w:r w:rsidR="00047F86" w:rsidRPr="00B158AF">
        <w:t xml:space="preserve"> </w:t>
      </w:r>
      <w:r w:rsidRPr="00F407D6">
        <w:t xml:space="preserve">on 29 </w:t>
      </w:r>
      <w:r w:rsidR="00047F86" w:rsidRPr="00F407D6">
        <w:t>and</w:t>
      </w:r>
      <w:r w:rsidRPr="00A01AE7">
        <w:t xml:space="preserve"> 30 May 2018, including </w:t>
      </w:r>
      <w:r w:rsidR="00047F86" w:rsidRPr="00A01AE7">
        <w:t xml:space="preserve">making </w:t>
      </w:r>
      <w:r w:rsidRPr="00A01AE7">
        <w:t xml:space="preserve">all the necessary logistical arrangements, </w:t>
      </w:r>
      <w:r w:rsidR="00047F86" w:rsidRPr="00B158AF">
        <w:t>preparing the</w:t>
      </w:r>
      <w:r w:rsidRPr="00B158AF">
        <w:t xml:space="preserve"> </w:t>
      </w:r>
      <w:r w:rsidR="00047F86" w:rsidRPr="00B158AF">
        <w:t xml:space="preserve">meeting </w:t>
      </w:r>
      <w:r w:rsidRPr="00B158AF">
        <w:t xml:space="preserve">documents and </w:t>
      </w:r>
      <w:r w:rsidR="00047F86" w:rsidRPr="00B158AF">
        <w:t xml:space="preserve">providing support to </w:t>
      </w:r>
      <w:r w:rsidRPr="00B158AF">
        <w:t xml:space="preserve">the Chair and Vice-Chair during the Committee’s deliberations. The </w:t>
      </w:r>
      <w:r w:rsidR="000B157E">
        <w:t>secretariat</w:t>
      </w:r>
      <w:r w:rsidRPr="00A92EA5">
        <w:t xml:space="preserve"> also</w:t>
      </w:r>
      <w:r w:rsidR="00047F86" w:rsidRPr="00B158AF">
        <w:t xml:space="preserve"> provided support to </w:t>
      </w:r>
      <w:r w:rsidRPr="00B158AF">
        <w:t xml:space="preserve">the Vice-Chair who </w:t>
      </w:r>
      <w:r w:rsidR="00047F86" w:rsidRPr="00B158AF">
        <w:t>serves as</w:t>
      </w:r>
      <w:r w:rsidRPr="00B158AF">
        <w:t xml:space="preserve"> rapporteur in drafting the report of the first meeting. The meeting of the Implementation and Compliance Committee was preceded by an information</w:t>
      </w:r>
      <w:r w:rsidR="00BB0446">
        <w:t>-</w:t>
      </w:r>
      <w:r w:rsidRPr="00B158AF">
        <w:t xml:space="preserve">sharing session on experiences from implementation and compliance mechanisms under other multilateral environmental agreements, including the </w:t>
      </w:r>
      <w:r w:rsidR="008A7943" w:rsidRPr="00B158AF">
        <w:t>Convention on Access to Information, Public Participation in Decision-Making and Access to Justice in Environmental Matters (</w:t>
      </w:r>
      <w:r w:rsidRPr="00B158AF">
        <w:t>Aarhus Convention</w:t>
      </w:r>
      <w:r w:rsidR="008A7943" w:rsidRPr="00B158AF">
        <w:t>)</w:t>
      </w:r>
      <w:r w:rsidRPr="00B158AF">
        <w:t xml:space="preserve">, the Basel Convention and the Montreal Protocol on Substances that Deplete the Ozone Layer, as well as </w:t>
      </w:r>
      <w:r w:rsidR="00B158AF" w:rsidRPr="00B158AF">
        <w:t xml:space="preserve">from </w:t>
      </w:r>
      <w:r w:rsidRPr="00B158AF">
        <w:t xml:space="preserve">former members of relevant compliance committees. The </w:t>
      </w:r>
      <w:r w:rsidR="000B157E">
        <w:t>secretariat</w:t>
      </w:r>
      <w:r w:rsidRPr="00A92EA5">
        <w:t xml:space="preserve"> organi</w:t>
      </w:r>
      <w:r w:rsidR="00B158AF" w:rsidRPr="00B158AF">
        <w:t>z</w:t>
      </w:r>
      <w:r w:rsidRPr="00B158AF">
        <w:t xml:space="preserve">ed and hosted the </w:t>
      </w:r>
      <w:r w:rsidR="00B158AF" w:rsidRPr="00B158AF">
        <w:t xml:space="preserve">meeting </w:t>
      </w:r>
      <w:r w:rsidRPr="00B158AF">
        <w:t>and identified and invited the speakers. The report o</w:t>
      </w:r>
      <w:r w:rsidR="00F407D6">
        <w:t>n</w:t>
      </w:r>
      <w:r w:rsidRPr="00A01AE7">
        <w:t xml:space="preserve"> the Committee’s first meeting is available </w:t>
      </w:r>
      <w:r w:rsidR="00B158AF" w:rsidRPr="00A01AE7">
        <w:t xml:space="preserve">in document </w:t>
      </w:r>
      <w:r w:rsidRPr="00A92EA5">
        <w:t>UNEP/MC/COP.2/11.</w:t>
      </w:r>
    </w:p>
    <w:p w14:paraId="02397A50" w14:textId="77777777" w:rsidR="00163DA4" w:rsidRPr="00116AF5" w:rsidRDefault="00163DA4" w:rsidP="00116AF5">
      <w:pPr>
        <w:pStyle w:val="CH1"/>
      </w:pPr>
      <w:r w:rsidRPr="00116AF5">
        <w:tab/>
        <w:t>IV.</w:t>
      </w:r>
      <w:r w:rsidRPr="00116AF5">
        <w:tab/>
        <w:t xml:space="preserve">Support for the ratification and early implementation of the Minamata Convention </w:t>
      </w:r>
    </w:p>
    <w:p w14:paraId="7215F8B8" w14:textId="30E0DA30" w:rsidR="00163DA4" w:rsidRPr="00116AF5" w:rsidRDefault="00163DA4" w:rsidP="00116AF5">
      <w:pPr>
        <w:pStyle w:val="Normalnumber"/>
      </w:pPr>
      <w:r w:rsidRPr="00116AF5">
        <w:t xml:space="preserve">In addition to its work </w:t>
      </w:r>
      <w:r w:rsidRPr="005E375F">
        <w:t>in support</w:t>
      </w:r>
      <w:r w:rsidRPr="00116AF5">
        <w:t xml:space="preserve"> of the Conference of the Parties and </w:t>
      </w:r>
      <w:r w:rsidR="00A01AE7">
        <w:t>in preparation</w:t>
      </w:r>
      <w:r w:rsidRPr="00116AF5">
        <w:t xml:space="preserve"> for </w:t>
      </w:r>
      <w:r w:rsidR="00A01AE7">
        <w:t>the</w:t>
      </w:r>
      <w:r w:rsidRPr="00116AF5">
        <w:t xml:space="preserve"> second meeting, the </w:t>
      </w:r>
      <w:r w:rsidR="000B157E">
        <w:t>secretariat</w:t>
      </w:r>
      <w:r w:rsidRPr="00116AF5">
        <w:t xml:space="preserve"> has supported activities at the national and regional level</w:t>
      </w:r>
      <w:r w:rsidR="006E2F80">
        <w:t>s</w:t>
      </w:r>
      <w:r w:rsidRPr="00116AF5">
        <w:t xml:space="preserve"> to facilitate the ratification and early implementation of the Minamata Convention</w:t>
      </w:r>
      <w:r w:rsidR="006E2F80">
        <w:t xml:space="preserve"> and </w:t>
      </w:r>
      <w:r w:rsidRPr="00116AF5">
        <w:t>initiated consultations with relevant partners, including the participating organi</w:t>
      </w:r>
      <w:r w:rsidR="006E2F80">
        <w:t>z</w:t>
      </w:r>
      <w:r w:rsidRPr="00116AF5">
        <w:t>ations of the Inter-Organization Programme for the Sound Management of Chemicals</w:t>
      </w:r>
      <w:r w:rsidR="000B157E">
        <w:t xml:space="preserve"> (IOMC)</w:t>
      </w:r>
      <w:r w:rsidRPr="00116AF5">
        <w:t>, to identify possible cross-cutting activities.</w:t>
      </w:r>
    </w:p>
    <w:p w14:paraId="4FF3AABF" w14:textId="43534EC8" w:rsidR="00163DA4" w:rsidRPr="00116AF5" w:rsidRDefault="00163DA4" w:rsidP="00116AF5">
      <w:pPr>
        <w:pStyle w:val="Normalnumber"/>
      </w:pPr>
      <w:r w:rsidRPr="00116AF5">
        <w:lastRenderedPageBreak/>
        <w:t>During the first half of 2018</w:t>
      </w:r>
      <w:r w:rsidR="006E2F80">
        <w:t>,</w:t>
      </w:r>
      <w:r w:rsidRPr="00116AF5">
        <w:t xml:space="preserve"> the </w:t>
      </w:r>
      <w:r w:rsidR="000B157E">
        <w:t>secretariat</w:t>
      </w:r>
      <w:r w:rsidRPr="00116AF5">
        <w:t xml:space="preserve"> worked on securing funding to produce and publish more “user accessible” versions of existing tools approved by the Conference of the Parties at its first meeting. Th</w:t>
      </w:r>
      <w:r w:rsidR="006E2F80">
        <w:t>e</w:t>
      </w:r>
      <w:r w:rsidRPr="00116AF5">
        <w:t xml:space="preserve"> new funding will also enable the secretariat to develop additional training materials related to priority areas of capacity development.</w:t>
      </w:r>
    </w:p>
    <w:p w14:paraId="51EA548D" w14:textId="68325740" w:rsidR="00163DA4" w:rsidRPr="00116AF5" w:rsidRDefault="006E2F80" w:rsidP="00116AF5">
      <w:pPr>
        <w:pStyle w:val="Normalnumber"/>
      </w:pPr>
      <w:r w:rsidRPr="006E2F80">
        <w:t xml:space="preserve">Also during </w:t>
      </w:r>
      <w:r w:rsidR="00163DA4" w:rsidRPr="006E2F80">
        <w:t>the first half of 2018</w:t>
      </w:r>
      <w:r w:rsidRPr="006E2F80">
        <w:t>,</w:t>
      </w:r>
      <w:r w:rsidR="00163DA4" w:rsidRPr="006E2F80">
        <w:t xml:space="preserve"> the </w:t>
      </w:r>
      <w:r w:rsidR="000B157E">
        <w:t>secretariat</w:t>
      </w:r>
      <w:r w:rsidR="00163DA4" w:rsidRPr="006E2F80">
        <w:t xml:space="preserve"> worked on fundraising for the delivery of </w:t>
      </w:r>
      <w:r w:rsidRPr="00A92EA5">
        <w:t xml:space="preserve">the </w:t>
      </w:r>
      <w:r w:rsidR="00163DA4" w:rsidRPr="006E2F80">
        <w:t>technical assistance and capacity development activities of the programme of work of the Convention</w:t>
      </w:r>
      <w:r w:rsidRPr="006E2F80">
        <w:t xml:space="preserve">, </w:t>
      </w:r>
      <w:r w:rsidR="00163DA4" w:rsidRPr="006E2F80">
        <w:t>result</w:t>
      </w:r>
      <w:r w:rsidRPr="006E2F80">
        <w:t>ing</w:t>
      </w:r>
      <w:r w:rsidR="00163DA4" w:rsidRPr="006E2F80">
        <w:t xml:space="preserve"> in the</w:t>
      </w:r>
      <w:r w:rsidRPr="006E2F80">
        <w:t xml:space="preserve"> development by the</w:t>
      </w:r>
      <w:r w:rsidR="00163DA4" w:rsidRPr="006E2F80">
        <w:t xml:space="preserve"> </w:t>
      </w:r>
      <w:r w:rsidR="000B157E">
        <w:t>secretariat</w:t>
      </w:r>
      <w:r w:rsidR="00163DA4" w:rsidRPr="00A92EA5">
        <w:t xml:space="preserve"> </w:t>
      </w:r>
      <w:r w:rsidRPr="006E2F80">
        <w:t xml:space="preserve">of </w:t>
      </w:r>
      <w:r w:rsidR="00163DA4" w:rsidRPr="006E2F80">
        <w:t xml:space="preserve">a successful project concept for funding </w:t>
      </w:r>
      <w:r w:rsidRPr="006E2F80">
        <w:t>by</w:t>
      </w:r>
      <w:r w:rsidR="00163DA4" w:rsidRPr="006E2F80">
        <w:t xml:space="preserve"> the European Union. With respect to specific capacity development activities, the project concept </w:t>
      </w:r>
      <w:r>
        <w:t>provides for</w:t>
      </w:r>
      <w:r w:rsidRPr="006E2F80">
        <w:t xml:space="preserve"> </w:t>
      </w:r>
      <w:r w:rsidR="00163DA4" w:rsidRPr="006E2F80">
        <w:t xml:space="preserve">the secretariat to initially </w:t>
      </w:r>
      <w:r>
        <w:t xml:space="preserve">focus </w:t>
      </w:r>
      <w:r w:rsidR="00163DA4" w:rsidRPr="006E2F80">
        <w:t xml:space="preserve">primarily on </w:t>
      </w:r>
      <w:r w:rsidR="00E31F58">
        <w:t xml:space="preserve">the </w:t>
      </w:r>
      <w:r w:rsidR="00163DA4" w:rsidRPr="001C2145">
        <w:t xml:space="preserve">trade </w:t>
      </w:r>
      <w:r w:rsidR="00E31F58">
        <w:t>in</w:t>
      </w:r>
      <w:r w:rsidR="00E31F58" w:rsidRPr="001C2145">
        <w:t xml:space="preserve"> </w:t>
      </w:r>
      <w:r w:rsidR="00163DA4" w:rsidRPr="001C2145">
        <w:t xml:space="preserve">mercury and mercury </w:t>
      </w:r>
      <w:r w:rsidR="00163DA4" w:rsidRPr="006E2F80">
        <w:t>emissions. Th</w:t>
      </w:r>
      <w:r w:rsidR="00E31F58">
        <w:t>o</w:t>
      </w:r>
      <w:r w:rsidR="00163DA4" w:rsidRPr="006E2F80">
        <w:t xml:space="preserve">se two issues have been identified as priorities at the subregional and regional levels. The </w:t>
      </w:r>
      <w:r w:rsidR="000B157E">
        <w:t>secretariat</w:t>
      </w:r>
      <w:r w:rsidR="00163DA4" w:rsidRPr="006E2F80">
        <w:t xml:space="preserve"> is currently engaged in completing </w:t>
      </w:r>
      <w:r w:rsidR="00E31F58">
        <w:t xml:space="preserve">the </w:t>
      </w:r>
      <w:r w:rsidR="00163DA4" w:rsidRPr="006E2F80">
        <w:t xml:space="preserve">administrative aspects of the approved project concept so as to </w:t>
      </w:r>
      <w:r w:rsidR="00E31F58">
        <w:t>init</w:t>
      </w:r>
      <w:r w:rsidR="000B157E">
        <w:t>i</w:t>
      </w:r>
      <w:r w:rsidR="00E31F58">
        <w:t>ate</w:t>
      </w:r>
      <w:r w:rsidR="00E31F58" w:rsidRPr="006E2F80">
        <w:t xml:space="preserve"> </w:t>
      </w:r>
      <w:r w:rsidR="00163DA4" w:rsidRPr="006E2F80">
        <w:t xml:space="preserve">activities as early as feasible in the latter part of 2018 and the beginning of 2019. While the activities supported by the </w:t>
      </w:r>
      <w:r w:rsidR="00E31F58">
        <w:t>European Union</w:t>
      </w:r>
      <w:r w:rsidR="00E31F58" w:rsidRPr="006E2F80">
        <w:t xml:space="preserve"> </w:t>
      </w:r>
      <w:r w:rsidR="00163DA4" w:rsidRPr="006E2F80">
        <w:t xml:space="preserve">project focus on the </w:t>
      </w:r>
      <w:r w:rsidR="00E31F58">
        <w:t>t</w:t>
      </w:r>
      <w:r w:rsidR="00163DA4" w:rsidRPr="006E2F80">
        <w:t xml:space="preserve">ools and </w:t>
      </w:r>
      <w:r w:rsidR="00E31F58">
        <w:t>m</w:t>
      </w:r>
      <w:r w:rsidR="00163DA4" w:rsidRPr="006E2F80">
        <w:t xml:space="preserve">ethodologies </w:t>
      </w:r>
      <w:r w:rsidR="00E31F58">
        <w:t>as well as</w:t>
      </w:r>
      <w:r w:rsidR="00E31F58" w:rsidRPr="006E2F80">
        <w:t xml:space="preserve"> </w:t>
      </w:r>
      <w:r w:rsidR="00163DA4" w:rsidRPr="006E2F80">
        <w:t>the</w:t>
      </w:r>
      <w:r w:rsidR="00E31F58">
        <w:t xml:space="preserve"> s</w:t>
      </w:r>
      <w:r w:rsidR="00163DA4" w:rsidRPr="006E2F80">
        <w:t xml:space="preserve">pecific capacity development activities, the funding will also enable the </w:t>
      </w:r>
      <w:r w:rsidR="000B157E">
        <w:t>secretariat</w:t>
      </w:r>
      <w:r w:rsidR="00163DA4" w:rsidRPr="006E2F80">
        <w:t xml:space="preserve"> during the course of the biennium to deliver regional and/or subregional training workshops, develop training </w:t>
      </w:r>
      <w:r w:rsidR="00163DA4" w:rsidRPr="00116AF5">
        <w:t xml:space="preserve">materials, implement national pilot projects, disseminate information on lessons learned and conduct a preliminary overview of a needs assessment. </w:t>
      </w:r>
    </w:p>
    <w:p w14:paraId="25BA8608" w14:textId="474AB8A6" w:rsidR="00163DA4" w:rsidRPr="00116AF5" w:rsidRDefault="00E31F58" w:rsidP="00116AF5">
      <w:pPr>
        <w:pStyle w:val="Normalnumber"/>
      </w:pPr>
      <w:r>
        <w:t>T</w:t>
      </w:r>
      <w:r w:rsidR="00163DA4" w:rsidRPr="00116AF5">
        <w:t xml:space="preserve">he </w:t>
      </w:r>
      <w:r w:rsidR="000B157E">
        <w:t>secretariat</w:t>
      </w:r>
      <w:r w:rsidR="00163DA4" w:rsidRPr="00116AF5">
        <w:t xml:space="preserve"> has already conducted one training webinar</w:t>
      </w:r>
      <w:r>
        <w:t xml:space="preserve">, </w:t>
      </w:r>
      <w:r w:rsidR="00163DA4" w:rsidRPr="00116AF5">
        <w:t>on</w:t>
      </w:r>
      <w:r>
        <w:t xml:space="preserve"> the m</w:t>
      </w:r>
      <w:r w:rsidR="00163DA4" w:rsidRPr="00116AF5">
        <w:t xml:space="preserve">ercury </w:t>
      </w:r>
      <w:r>
        <w:t>t</w:t>
      </w:r>
      <w:r w:rsidR="00163DA4" w:rsidRPr="00116AF5">
        <w:t>rade and the Minamata Convention in the Latin America</w:t>
      </w:r>
      <w:r>
        <w:t>n</w:t>
      </w:r>
      <w:r w:rsidR="00163DA4" w:rsidRPr="00116AF5">
        <w:t xml:space="preserve"> and Caribbean region</w:t>
      </w:r>
      <w:r>
        <w:t xml:space="preserve">, held </w:t>
      </w:r>
      <w:r w:rsidR="00163DA4" w:rsidRPr="00116AF5">
        <w:t>on 27 June 2018</w:t>
      </w:r>
      <w:r>
        <w:t>,</w:t>
      </w:r>
      <w:r w:rsidR="00163DA4" w:rsidRPr="00116AF5">
        <w:t xml:space="preserve"> in partnership with the </w:t>
      </w:r>
      <w:r>
        <w:t xml:space="preserve">UNEP Regional Office for </w:t>
      </w:r>
      <w:r w:rsidR="00163DA4" w:rsidRPr="00116AF5">
        <w:t>Latin America and the Caribbean, the UNEP Chemicals and Health Branch and the Global Mercury Partnership. A further webinar on trade in mercury is planned for the Asia</w:t>
      </w:r>
      <w:r>
        <w:t>-</w:t>
      </w:r>
      <w:r w:rsidR="00163DA4" w:rsidRPr="00116AF5">
        <w:t xml:space="preserve">Pacific region. </w:t>
      </w:r>
      <w:r>
        <w:t xml:space="preserve">In response to </w:t>
      </w:r>
      <w:r w:rsidR="00163DA4" w:rsidRPr="00116AF5">
        <w:t xml:space="preserve">questions </w:t>
      </w:r>
      <w:r>
        <w:t>posed</w:t>
      </w:r>
      <w:r w:rsidRPr="00116AF5">
        <w:t xml:space="preserve"> </w:t>
      </w:r>
      <w:r w:rsidR="00163DA4" w:rsidRPr="00116AF5">
        <w:t xml:space="preserve">by participating countries following the </w:t>
      </w:r>
      <w:r>
        <w:t xml:space="preserve">first </w:t>
      </w:r>
      <w:r w:rsidR="00163DA4" w:rsidRPr="00116AF5">
        <w:t>webinar</w:t>
      </w:r>
      <w:r>
        <w:t>, a set of answers</w:t>
      </w:r>
      <w:r w:rsidR="00163DA4" w:rsidRPr="00116AF5">
        <w:t xml:space="preserve"> was prepared in support of </w:t>
      </w:r>
      <w:r>
        <w:t>Parties’</w:t>
      </w:r>
      <w:r w:rsidRPr="00116AF5">
        <w:t xml:space="preserve"> </w:t>
      </w:r>
      <w:r w:rsidR="00163DA4" w:rsidRPr="00116AF5">
        <w:t xml:space="preserve">implementation of the Convention and delivered to </w:t>
      </w:r>
      <w:r>
        <w:t>Parties</w:t>
      </w:r>
      <w:r w:rsidR="00163DA4" w:rsidRPr="00116AF5">
        <w:t xml:space="preserve"> through the UNEP regional office. The set of questions and answers will be </w:t>
      </w:r>
      <w:r>
        <w:t>made available</w:t>
      </w:r>
      <w:r w:rsidR="005867AF">
        <w:t>,</w:t>
      </w:r>
      <w:r>
        <w:t xml:space="preserve"> along with additional questions and answers</w:t>
      </w:r>
      <w:r w:rsidR="005867AF">
        <w:t>,</w:t>
      </w:r>
      <w:r w:rsidR="00163DA4" w:rsidRPr="00116AF5">
        <w:t xml:space="preserve"> on the website of the Minamata Convention.</w:t>
      </w:r>
    </w:p>
    <w:p w14:paraId="7FB4AE74" w14:textId="768B3AA8" w:rsidR="00163DA4" w:rsidRPr="00116AF5" w:rsidRDefault="00163DA4" w:rsidP="00116AF5">
      <w:pPr>
        <w:pStyle w:val="Normalnumber"/>
      </w:pPr>
      <w:r w:rsidRPr="00116AF5">
        <w:t>In the Asia</w:t>
      </w:r>
      <w:r w:rsidR="00E31F58">
        <w:t>-</w:t>
      </w:r>
      <w:r w:rsidRPr="00116AF5">
        <w:t xml:space="preserve">Pacific region, the </w:t>
      </w:r>
      <w:r w:rsidR="000B157E">
        <w:t>secretariat</w:t>
      </w:r>
      <w:r w:rsidRPr="00116AF5">
        <w:t xml:space="preserve"> </w:t>
      </w:r>
      <w:r w:rsidRPr="005E375F">
        <w:t>will continue</w:t>
      </w:r>
      <w:r w:rsidRPr="005867AF">
        <w:t xml:space="preserve"> to coordinate with the UN</w:t>
      </w:r>
      <w:r w:rsidR="00E31F58" w:rsidRPr="005867AF">
        <w:t>EP Regional Office for</w:t>
      </w:r>
      <w:r w:rsidRPr="005867AF">
        <w:t xml:space="preserve"> Asia and the Pacific regarding a multi-year project implemented by th</w:t>
      </w:r>
      <w:r w:rsidR="00D20659" w:rsidRPr="005867AF">
        <w:t>e regional o</w:t>
      </w:r>
      <w:r w:rsidRPr="005867AF">
        <w:t>ffice and funded by Japan from 2019, aiming to contribute to the early implementation of the Minamata Convention. The project will offer participating countries</w:t>
      </w:r>
      <w:r w:rsidRPr="00116AF5">
        <w:t xml:space="preserve"> a comprehensive capacity-building programme and mobilize knowledge and experience, especially in information exchange (</w:t>
      </w:r>
      <w:r w:rsidR="00D20659">
        <w:t>a</w:t>
      </w:r>
      <w:r w:rsidRPr="00116AF5">
        <w:t xml:space="preserve">rticle 17), </w:t>
      </w:r>
      <w:r w:rsidR="00102259">
        <w:t xml:space="preserve">public information, </w:t>
      </w:r>
      <w:r w:rsidRPr="00102259">
        <w:t>awareness and education</w:t>
      </w:r>
      <w:r w:rsidRPr="00116AF5">
        <w:t xml:space="preserve"> (</w:t>
      </w:r>
      <w:r w:rsidR="00D20659">
        <w:t>a</w:t>
      </w:r>
      <w:r w:rsidRPr="00116AF5">
        <w:t>rticle 18)</w:t>
      </w:r>
      <w:r w:rsidR="005867AF">
        <w:t>,</w:t>
      </w:r>
      <w:r w:rsidRPr="00116AF5">
        <w:t xml:space="preserve"> and research, development and monitoring (</w:t>
      </w:r>
      <w:r w:rsidR="00D20659">
        <w:t>a</w:t>
      </w:r>
      <w:r w:rsidRPr="00116AF5">
        <w:t xml:space="preserve">rticle 19). The project is </w:t>
      </w:r>
      <w:r w:rsidR="00D20659">
        <w:t>intended</w:t>
      </w:r>
      <w:r w:rsidR="00D20659" w:rsidRPr="00116AF5">
        <w:t xml:space="preserve"> </w:t>
      </w:r>
      <w:r w:rsidRPr="00116AF5">
        <w:t xml:space="preserve">to establish a regional network of laboratories with mercury monitoring capabilities in </w:t>
      </w:r>
      <w:r w:rsidR="00D20659">
        <w:t xml:space="preserve">the </w:t>
      </w:r>
      <w:r w:rsidRPr="00116AF5">
        <w:t>Asia</w:t>
      </w:r>
      <w:r w:rsidR="00D20659">
        <w:t>-</w:t>
      </w:r>
      <w:r w:rsidRPr="00116AF5">
        <w:t>Pacific</w:t>
      </w:r>
      <w:r w:rsidR="00D20659">
        <w:t xml:space="preserve"> region</w:t>
      </w:r>
      <w:r w:rsidRPr="00116AF5">
        <w:t xml:space="preserve"> to help </w:t>
      </w:r>
      <w:r w:rsidR="00D20659">
        <w:t xml:space="preserve">the </w:t>
      </w:r>
      <w:r w:rsidRPr="00116AF5">
        <w:t>countries</w:t>
      </w:r>
      <w:r w:rsidR="00D20659">
        <w:t xml:space="preserve"> of that region in</w:t>
      </w:r>
      <w:r w:rsidRPr="00116AF5">
        <w:t xml:space="preserve"> meet</w:t>
      </w:r>
      <w:r w:rsidR="00D20659">
        <w:t>ing</w:t>
      </w:r>
      <w:r w:rsidRPr="00116AF5">
        <w:t xml:space="preserve"> international standards.</w:t>
      </w:r>
    </w:p>
    <w:p w14:paraId="51959844" w14:textId="66C136EA" w:rsidR="00163DA4" w:rsidRPr="00116AF5" w:rsidRDefault="00163DA4" w:rsidP="00116AF5">
      <w:pPr>
        <w:pStyle w:val="Normalnumber"/>
      </w:pPr>
      <w:r w:rsidRPr="00116AF5">
        <w:t xml:space="preserve">The </w:t>
      </w:r>
      <w:r w:rsidR="000B157E" w:rsidRPr="005867AF">
        <w:t>secretariat</w:t>
      </w:r>
      <w:r w:rsidRPr="005867AF">
        <w:t xml:space="preserve"> </w:t>
      </w:r>
      <w:r w:rsidR="00D20659" w:rsidRPr="005867AF">
        <w:t xml:space="preserve">is also </w:t>
      </w:r>
      <w:r w:rsidR="00AF1788">
        <w:t>liaising</w:t>
      </w:r>
      <w:r w:rsidRPr="005867AF">
        <w:t xml:space="preserve"> </w:t>
      </w:r>
      <w:r w:rsidR="00D20659" w:rsidRPr="005867AF">
        <w:t xml:space="preserve">with </w:t>
      </w:r>
      <w:r w:rsidRPr="005867AF">
        <w:t>UNEP</w:t>
      </w:r>
      <w:r w:rsidR="00D7342F">
        <w:t>-</w:t>
      </w:r>
      <w:r w:rsidRPr="005867AF">
        <w:t xml:space="preserve">World Conservation Monitoring Centre (WCMC) and the </w:t>
      </w:r>
      <w:r w:rsidR="00FC0BFC">
        <w:t>S</w:t>
      </w:r>
      <w:r w:rsidR="00FC0BFC" w:rsidRPr="005867AF">
        <w:t xml:space="preserve">ecretariat </w:t>
      </w:r>
      <w:r w:rsidR="00D20659" w:rsidRPr="005867AF">
        <w:t>of the Basel, Rotterdam and</w:t>
      </w:r>
      <w:r w:rsidR="00D20659">
        <w:t xml:space="preserve"> Stockholm Conventions </w:t>
      </w:r>
      <w:r w:rsidR="00AF1788">
        <w:t>regarding</w:t>
      </w:r>
      <w:r w:rsidR="00D20659">
        <w:t xml:space="preserve"> the development of</w:t>
      </w:r>
      <w:r w:rsidRPr="00116AF5">
        <w:t xml:space="preserve"> </w:t>
      </w:r>
      <w:r w:rsidR="00D20659" w:rsidRPr="00AF1788">
        <w:t>an</w:t>
      </w:r>
      <w:r w:rsidR="00D20659" w:rsidRPr="00FA66C8">
        <w:t xml:space="preserve"> </w:t>
      </w:r>
      <w:r w:rsidRPr="00FA66C8">
        <w:t xml:space="preserve">online reporting tool </w:t>
      </w:r>
      <w:r w:rsidRPr="00AF1788">
        <w:t>for the Minamata Convention</w:t>
      </w:r>
      <w:r w:rsidR="00D20659" w:rsidRPr="00AF1788">
        <w:t xml:space="preserve">, which is </w:t>
      </w:r>
      <w:r w:rsidRPr="00AF1788">
        <w:t xml:space="preserve">to be ready for </w:t>
      </w:r>
      <w:r w:rsidR="00D20659" w:rsidRPr="00AF1788">
        <w:t xml:space="preserve">use by the Parties for </w:t>
      </w:r>
      <w:r w:rsidRPr="00AF1788">
        <w:t xml:space="preserve">the first </w:t>
      </w:r>
      <w:r w:rsidR="006817A0" w:rsidRPr="001C2145">
        <w:t xml:space="preserve">biennial </w:t>
      </w:r>
      <w:r w:rsidRPr="00AF1788">
        <w:t xml:space="preserve">short </w:t>
      </w:r>
      <w:r w:rsidRPr="00FA66C8">
        <w:t>report</w:t>
      </w:r>
      <w:r w:rsidRPr="00116AF5">
        <w:t>, due by 31 December 2019.</w:t>
      </w:r>
    </w:p>
    <w:p w14:paraId="72FF59EB" w14:textId="1D64A386" w:rsidR="00163DA4" w:rsidRPr="00116AF5" w:rsidRDefault="00163DA4" w:rsidP="00116AF5">
      <w:pPr>
        <w:pStyle w:val="Normalnumber"/>
      </w:pPr>
      <w:r w:rsidRPr="00116AF5">
        <w:t xml:space="preserve">The </w:t>
      </w:r>
      <w:r w:rsidR="000B157E">
        <w:t>secretariat</w:t>
      </w:r>
      <w:r w:rsidRPr="00116AF5">
        <w:t xml:space="preserve"> has </w:t>
      </w:r>
      <w:r w:rsidR="00D20659">
        <w:t>updated</w:t>
      </w:r>
      <w:r w:rsidRPr="00116AF5">
        <w:t xml:space="preserve"> the Minamata Convention text booklets in </w:t>
      </w:r>
      <w:r w:rsidR="00D20659">
        <w:t xml:space="preserve">the </w:t>
      </w:r>
      <w:r w:rsidRPr="00116AF5">
        <w:t xml:space="preserve">six </w:t>
      </w:r>
      <w:r w:rsidR="00D20659">
        <w:t xml:space="preserve">official </w:t>
      </w:r>
      <w:r w:rsidRPr="00116AF5">
        <w:t>languages</w:t>
      </w:r>
      <w:r w:rsidR="00D20659">
        <w:t xml:space="preserve"> of the United Nations</w:t>
      </w:r>
      <w:r w:rsidRPr="00116AF5">
        <w:t>, which are</w:t>
      </w:r>
      <w:r w:rsidR="00D20659">
        <w:t xml:space="preserve"> currently </w:t>
      </w:r>
      <w:r w:rsidRPr="00116AF5">
        <w:t>being printed</w:t>
      </w:r>
      <w:r w:rsidR="00D20659">
        <w:t xml:space="preserve">, and </w:t>
      </w:r>
      <w:r w:rsidRPr="00116AF5">
        <w:t xml:space="preserve">aims to reprint the </w:t>
      </w:r>
      <w:r w:rsidR="00D20659" w:rsidRPr="00116AF5">
        <w:t xml:space="preserve">guidance on developing </w:t>
      </w:r>
      <w:r w:rsidR="00025A6E">
        <w:t xml:space="preserve">a </w:t>
      </w:r>
      <w:r w:rsidR="00D20659" w:rsidRPr="00116AF5">
        <w:t xml:space="preserve">national action plan </w:t>
      </w:r>
      <w:r w:rsidRPr="00116AF5">
        <w:t>to reduce</w:t>
      </w:r>
      <w:r w:rsidR="00025A6E">
        <w:t xml:space="preserve"> and, where feasible, eliminate</w:t>
      </w:r>
      <w:r w:rsidRPr="00116AF5">
        <w:t xml:space="preserve"> mercury </w:t>
      </w:r>
      <w:r w:rsidR="00025A6E">
        <w:t xml:space="preserve">use </w:t>
      </w:r>
      <w:r w:rsidRPr="00116AF5">
        <w:t xml:space="preserve">in artisanal and small-scale gold mining. The </w:t>
      </w:r>
      <w:r w:rsidR="000B157E">
        <w:t>secretariat</w:t>
      </w:r>
      <w:r w:rsidRPr="00116AF5">
        <w:t xml:space="preserve"> </w:t>
      </w:r>
      <w:r w:rsidR="00025A6E">
        <w:t>also</w:t>
      </w:r>
      <w:r w:rsidR="00025A6E" w:rsidRPr="00116AF5">
        <w:t xml:space="preserve"> </w:t>
      </w:r>
      <w:r w:rsidRPr="00116AF5">
        <w:t xml:space="preserve">aims to initiate the design of </w:t>
      </w:r>
      <w:r w:rsidR="00025A6E">
        <w:t>g</w:t>
      </w:r>
      <w:r w:rsidRPr="00116AF5">
        <w:t>uidance on best environmental practices in relation to emissions of mercury from point sources falling within the source categories listed in Annex D</w:t>
      </w:r>
      <w:r w:rsidR="005E375F">
        <w:t xml:space="preserve"> to the Convention</w:t>
      </w:r>
      <w:r w:rsidRPr="00116AF5">
        <w:t xml:space="preserve">, for </w:t>
      </w:r>
      <w:r w:rsidR="00025A6E">
        <w:t xml:space="preserve">printing and </w:t>
      </w:r>
      <w:r w:rsidRPr="00116AF5">
        <w:t>dissemination in 2019.</w:t>
      </w:r>
    </w:p>
    <w:p w14:paraId="492977D1" w14:textId="77777777" w:rsidR="00163DA4" w:rsidRPr="00116AF5" w:rsidRDefault="00163DA4" w:rsidP="00116AF5">
      <w:pPr>
        <w:pStyle w:val="CH1"/>
      </w:pPr>
      <w:r w:rsidRPr="00116AF5">
        <w:tab/>
        <w:t>V.</w:t>
      </w:r>
      <w:r w:rsidRPr="00116AF5">
        <w:tab/>
        <w:t>Other activities undertaken by the secretariat</w:t>
      </w:r>
    </w:p>
    <w:p w14:paraId="56E6790C" w14:textId="7FA2BE19" w:rsidR="00163DA4" w:rsidRPr="00116AF5" w:rsidRDefault="00163DA4" w:rsidP="00116AF5">
      <w:pPr>
        <w:pStyle w:val="Normalnumber"/>
      </w:pPr>
      <w:r w:rsidRPr="00116AF5">
        <w:t xml:space="preserve">The </w:t>
      </w:r>
      <w:r w:rsidR="000B157E">
        <w:t>secretariat</w:t>
      </w:r>
      <w:r w:rsidRPr="00116AF5">
        <w:t xml:space="preserve"> has been </w:t>
      </w:r>
      <w:r w:rsidRPr="00731084">
        <w:t>engaging closely with</w:t>
      </w:r>
      <w:r w:rsidRPr="00116AF5">
        <w:t xml:space="preserve"> the secretariat </w:t>
      </w:r>
      <w:r w:rsidR="00025A6E">
        <w:t xml:space="preserve">of the Global Environment Facility </w:t>
      </w:r>
      <w:r w:rsidR="00523412">
        <w:t xml:space="preserve">(GEF) </w:t>
      </w:r>
      <w:r w:rsidRPr="00116AF5">
        <w:t>and its constituencies</w:t>
      </w:r>
      <w:r w:rsidR="00025A6E">
        <w:t xml:space="preserve"> </w:t>
      </w:r>
      <w:r w:rsidR="009E2608">
        <w:t xml:space="preserve">in order </w:t>
      </w:r>
      <w:r w:rsidRPr="00116AF5">
        <w:t xml:space="preserve">to </w:t>
      </w:r>
      <w:r w:rsidR="009E2608">
        <w:t>remain</w:t>
      </w:r>
      <w:r w:rsidR="009E2608" w:rsidRPr="00116AF5">
        <w:t xml:space="preserve"> </w:t>
      </w:r>
      <w:r w:rsidRPr="00116AF5">
        <w:t>abreast of policy directions and</w:t>
      </w:r>
      <w:r w:rsidR="009E2608">
        <w:t>,</w:t>
      </w:r>
      <w:r w:rsidRPr="00116AF5">
        <w:t xml:space="preserve"> where necessary</w:t>
      </w:r>
      <w:r w:rsidR="009E2608">
        <w:t>,</w:t>
      </w:r>
      <w:r w:rsidRPr="00116AF5">
        <w:t xml:space="preserve"> contribute to discussions, especially with regard to impact programming. </w:t>
      </w:r>
    </w:p>
    <w:p w14:paraId="62BE9F51" w14:textId="7494E972" w:rsidR="00163DA4" w:rsidRPr="00116AF5" w:rsidRDefault="00163DA4" w:rsidP="00116AF5">
      <w:pPr>
        <w:pStyle w:val="Normalnumber"/>
      </w:pPr>
      <w:r w:rsidRPr="00116AF5">
        <w:t xml:space="preserve">The </w:t>
      </w:r>
      <w:r w:rsidR="000B157E">
        <w:t>secretariat</w:t>
      </w:r>
      <w:r w:rsidRPr="00116AF5">
        <w:t xml:space="preserve"> has taken part in a number of processes </w:t>
      </w:r>
      <w:r w:rsidR="009E2608">
        <w:t>together</w:t>
      </w:r>
      <w:r w:rsidR="009E2608" w:rsidRPr="00116AF5">
        <w:t xml:space="preserve"> </w:t>
      </w:r>
      <w:r w:rsidRPr="00116AF5">
        <w:t xml:space="preserve">with the Chemicals and Health Branch, the </w:t>
      </w:r>
      <w:r w:rsidR="00DC35E3">
        <w:t>s</w:t>
      </w:r>
      <w:r w:rsidR="009E2608">
        <w:t xml:space="preserve">ecretariat of the </w:t>
      </w:r>
      <w:r w:rsidRPr="00116AF5">
        <w:t xml:space="preserve">Basel, Rotterdam and Stockholm </w:t>
      </w:r>
      <w:r w:rsidR="009E2608">
        <w:t>C</w:t>
      </w:r>
      <w:r w:rsidRPr="00116AF5">
        <w:t xml:space="preserve">onventions and the secretariat of the Strategic Approach to International Chemicals Management, including in the review of projects submitted under the Special Programme to support institutional strengthening at the national level for implementation of the Basel, Rotterdam and Stockholm conventions, the Minamata Convention and the Strategic Approach. </w:t>
      </w:r>
      <w:r w:rsidR="009E2608">
        <w:t xml:space="preserve">The </w:t>
      </w:r>
      <w:r w:rsidR="000B157E">
        <w:t>secretariat</w:t>
      </w:r>
      <w:r w:rsidR="009E2608" w:rsidRPr="00116AF5">
        <w:t xml:space="preserve"> </w:t>
      </w:r>
      <w:r w:rsidRPr="00116AF5">
        <w:t xml:space="preserve">has </w:t>
      </w:r>
      <w:r w:rsidR="009E2608">
        <w:t>updated</w:t>
      </w:r>
      <w:r w:rsidR="009E2608" w:rsidRPr="00116AF5">
        <w:t xml:space="preserve"> </w:t>
      </w:r>
      <w:r w:rsidRPr="00116AF5">
        <w:t xml:space="preserve">the </w:t>
      </w:r>
      <w:r w:rsidR="009E2608">
        <w:t>b</w:t>
      </w:r>
      <w:r w:rsidRPr="00116AF5">
        <w:t xml:space="preserve">ureaux of the Basel, Rotterdam and Stockholm </w:t>
      </w:r>
      <w:r w:rsidR="009E2608">
        <w:t>c</w:t>
      </w:r>
      <w:r w:rsidRPr="00116AF5">
        <w:t xml:space="preserve">onventions on progress in </w:t>
      </w:r>
      <w:r w:rsidR="009E2608">
        <w:t xml:space="preserve">the </w:t>
      </w:r>
      <w:r w:rsidRPr="00116AF5">
        <w:t>implement</w:t>
      </w:r>
      <w:r w:rsidR="009E2608">
        <w:t>ation of</w:t>
      </w:r>
      <w:r w:rsidRPr="00116AF5">
        <w:t xml:space="preserve"> the Minamata Convention, at the invitation of </w:t>
      </w:r>
      <w:r w:rsidR="009E2608">
        <w:t>the</w:t>
      </w:r>
      <w:r w:rsidR="009E2608" w:rsidRPr="00116AF5">
        <w:t xml:space="preserve"> </w:t>
      </w:r>
      <w:r w:rsidR="009E2608">
        <w:t>b</w:t>
      </w:r>
      <w:r w:rsidRPr="00116AF5">
        <w:t xml:space="preserve">ureaux. </w:t>
      </w:r>
    </w:p>
    <w:p w14:paraId="45F2DE16" w14:textId="3CBE8893" w:rsidR="00163DA4" w:rsidRPr="003F5410" w:rsidRDefault="00163DA4" w:rsidP="00116AF5">
      <w:pPr>
        <w:pStyle w:val="Normalnumber"/>
      </w:pPr>
      <w:r w:rsidRPr="003F5410">
        <w:lastRenderedPageBreak/>
        <w:t xml:space="preserve">The </w:t>
      </w:r>
      <w:r w:rsidR="000B157E" w:rsidRPr="003F5410">
        <w:t>secretariat</w:t>
      </w:r>
      <w:r w:rsidRPr="003F5410">
        <w:t xml:space="preserve"> participates in the regular briefing sessions to the Geneva permanent missions facilitated by the Geneva Environmental Network</w:t>
      </w:r>
      <w:r w:rsidR="009E2608" w:rsidRPr="003F5410">
        <w:t xml:space="preserve"> and participates in</w:t>
      </w:r>
      <w:r w:rsidRPr="003F5410">
        <w:t xml:space="preserve"> two </w:t>
      </w:r>
      <w:r w:rsidR="009E2608" w:rsidRPr="003F5410">
        <w:t>UNEP t</w:t>
      </w:r>
      <w:r w:rsidRPr="003F5410">
        <w:t>ask</w:t>
      </w:r>
      <w:r w:rsidR="009E2608" w:rsidRPr="003F5410">
        <w:t xml:space="preserve"> </w:t>
      </w:r>
      <w:r w:rsidRPr="003F5410">
        <w:t>forces for greater cooperation within the chemicals and waste</w:t>
      </w:r>
      <w:r w:rsidR="003F5410" w:rsidRPr="0032111B">
        <w:t>s</w:t>
      </w:r>
      <w:r w:rsidRPr="003F5410">
        <w:t xml:space="preserve"> cluster, namely as </w:t>
      </w:r>
      <w:r w:rsidR="009E2608" w:rsidRPr="003F5410">
        <w:t xml:space="preserve">a </w:t>
      </w:r>
      <w:r w:rsidRPr="003F5410">
        <w:t xml:space="preserve">member of the post-2020 </w:t>
      </w:r>
      <w:r w:rsidR="009E2608" w:rsidRPr="003F5410">
        <w:t>Strategic Approach t</w:t>
      </w:r>
      <w:r w:rsidRPr="003F5410">
        <w:t>ask</w:t>
      </w:r>
      <w:r w:rsidR="009E2608" w:rsidRPr="003F5410">
        <w:t xml:space="preserve"> </w:t>
      </w:r>
      <w:r w:rsidRPr="003F5410">
        <w:t xml:space="preserve">force and as co-chair and member of the </w:t>
      </w:r>
      <w:r w:rsidR="00523412" w:rsidRPr="003F5410">
        <w:t xml:space="preserve">task force for the </w:t>
      </w:r>
      <w:r w:rsidRPr="003F5410">
        <w:t>Chemicals</w:t>
      </w:r>
      <w:r w:rsidR="009E2608" w:rsidRPr="003F5410">
        <w:t xml:space="preserve"> and Health</w:t>
      </w:r>
      <w:r w:rsidRPr="003F5410">
        <w:t xml:space="preserve"> Branch</w:t>
      </w:r>
      <w:r w:rsidR="00523412" w:rsidRPr="003F5410">
        <w:t xml:space="preserve">, the </w:t>
      </w:r>
      <w:r w:rsidR="00DC35E3" w:rsidRPr="003F5410">
        <w:t>s</w:t>
      </w:r>
      <w:r w:rsidR="009E2608" w:rsidRPr="003F5410">
        <w:t>ecretariat of the Basel, Rotterdam and Stockholm Conventions</w:t>
      </w:r>
      <w:r w:rsidR="00523412" w:rsidRPr="003F5410">
        <w:t xml:space="preserve"> and the </w:t>
      </w:r>
      <w:r w:rsidRPr="003F5410">
        <w:t xml:space="preserve">Minamata </w:t>
      </w:r>
      <w:r w:rsidR="009E2608" w:rsidRPr="003F5410">
        <w:t>Convention s</w:t>
      </w:r>
      <w:r w:rsidRPr="003F5410">
        <w:t xml:space="preserve">ecretariat. </w:t>
      </w:r>
      <w:r w:rsidR="009E2608" w:rsidRPr="003F5410">
        <w:t xml:space="preserve">The </w:t>
      </w:r>
      <w:r w:rsidRPr="003F5410">
        <w:t xml:space="preserve">latter task force </w:t>
      </w:r>
      <w:r w:rsidR="009E2608" w:rsidRPr="003F5410">
        <w:t>deals with</w:t>
      </w:r>
      <w:r w:rsidRPr="003F5410">
        <w:t xml:space="preserve"> various areas of programmatic cooperative work </w:t>
      </w:r>
      <w:r w:rsidR="009E2608" w:rsidRPr="003F5410">
        <w:t>between the three entities.</w:t>
      </w:r>
      <w:r w:rsidRPr="003F5410">
        <w:t xml:space="preserve"> </w:t>
      </w:r>
    </w:p>
    <w:p w14:paraId="113ECEE8" w14:textId="748A5441" w:rsidR="00163DA4" w:rsidRPr="00BC44AF" w:rsidRDefault="00163DA4" w:rsidP="00116AF5">
      <w:pPr>
        <w:pStyle w:val="Normalnumber"/>
      </w:pPr>
      <w:r w:rsidRPr="003F5410">
        <w:t xml:space="preserve">The </w:t>
      </w:r>
      <w:r w:rsidR="000B157E" w:rsidRPr="003F5410">
        <w:t>secretariat</w:t>
      </w:r>
      <w:r w:rsidRPr="003F5410">
        <w:t xml:space="preserve"> is also part of the GEF </w:t>
      </w:r>
      <w:r w:rsidR="009E2608" w:rsidRPr="003F5410">
        <w:t>c</w:t>
      </w:r>
      <w:r w:rsidRPr="003F5410">
        <w:t xml:space="preserve">hemicals </w:t>
      </w:r>
      <w:r w:rsidR="009E2608" w:rsidRPr="003F5410">
        <w:t>t</w:t>
      </w:r>
      <w:r w:rsidRPr="003F5410">
        <w:t>ask</w:t>
      </w:r>
      <w:r w:rsidR="009E2608" w:rsidRPr="003F5410">
        <w:t xml:space="preserve"> </w:t>
      </w:r>
      <w:r w:rsidRPr="003F5410">
        <w:t xml:space="preserve">force, which </w:t>
      </w:r>
      <w:r w:rsidR="009E2608" w:rsidRPr="003F5410">
        <w:t>provides a framework for cooperation across the chemicals and waste</w:t>
      </w:r>
      <w:r w:rsidR="003F5410" w:rsidRPr="0032111B">
        <w:t>s</w:t>
      </w:r>
      <w:r w:rsidR="009E2608" w:rsidRPr="003F5410">
        <w:t xml:space="preserve"> cluster among</w:t>
      </w:r>
      <w:r w:rsidR="009E2608" w:rsidRPr="00BC44AF">
        <w:t xml:space="preserve"> the </w:t>
      </w:r>
      <w:r w:rsidRPr="00BC44AF">
        <w:t xml:space="preserve">GEF implementing </w:t>
      </w:r>
      <w:r w:rsidR="009E2608" w:rsidRPr="00BC44AF">
        <w:t>a</w:t>
      </w:r>
      <w:r w:rsidRPr="00BC44AF">
        <w:t>gencies</w:t>
      </w:r>
      <w:r w:rsidR="009E2608" w:rsidRPr="00BC44AF">
        <w:t>.</w:t>
      </w:r>
      <w:r w:rsidRPr="00BC44AF">
        <w:t xml:space="preserve"> </w:t>
      </w:r>
      <w:r w:rsidR="009E2608" w:rsidRPr="00BC44AF">
        <w:t xml:space="preserve">The </w:t>
      </w:r>
      <w:r w:rsidR="000B157E">
        <w:t>secretariat</w:t>
      </w:r>
      <w:r w:rsidR="009E2608" w:rsidRPr="00A92EA5">
        <w:t xml:space="preserve"> </w:t>
      </w:r>
      <w:r w:rsidRPr="00BC44AF">
        <w:t xml:space="preserve">has been invited to take part </w:t>
      </w:r>
      <w:r w:rsidR="00BC44AF" w:rsidRPr="001C2145">
        <w:t xml:space="preserve">in IOMC </w:t>
      </w:r>
      <w:r w:rsidRPr="00A92EA5">
        <w:t>as an observer</w:t>
      </w:r>
      <w:r w:rsidRPr="00BC44AF">
        <w:t xml:space="preserve"> and participates in </w:t>
      </w:r>
      <w:r w:rsidR="00BC44AF" w:rsidRPr="001C2145">
        <w:t>its</w:t>
      </w:r>
      <w:r w:rsidR="00BC44AF" w:rsidRPr="00A92EA5">
        <w:t xml:space="preserve"> </w:t>
      </w:r>
      <w:r w:rsidR="00BC44AF" w:rsidRPr="001C2145">
        <w:t>m</w:t>
      </w:r>
      <w:r w:rsidRPr="00BC44AF">
        <w:t xml:space="preserve">ercury </w:t>
      </w:r>
      <w:r w:rsidR="00BC44AF" w:rsidRPr="001C2145">
        <w:t>g</w:t>
      </w:r>
      <w:r w:rsidRPr="00BC44AF">
        <w:t>roup</w:t>
      </w:r>
      <w:r w:rsidR="00BC44AF" w:rsidRPr="001C2145">
        <w:t>, which</w:t>
      </w:r>
      <w:r w:rsidRPr="00A92EA5">
        <w:t xml:space="preserve"> </w:t>
      </w:r>
      <w:r w:rsidR="00BC44AF" w:rsidRPr="001C2145">
        <w:t>focuses on</w:t>
      </w:r>
      <w:r w:rsidRPr="00A92EA5">
        <w:t xml:space="preserve"> cooperation specific to mercury </w:t>
      </w:r>
      <w:r w:rsidRPr="00BC44AF">
        <w:t>among the IOMC members and works closely with the partners of the Global Mercury Partnership.</w:t>
      </w:r>
    </w:p>
    <w:p w14:paraId="319456C0" w14:textId="7E21F6A8" w:rsidR="00163DA4" w:rsidRPr="00116AF5" w:rsidRDefault="00163DA4" w:rsidP="00116AF5">
      <w:pPr>
        <w:pStyle w:val="Normalnumber"/>
      </w:pPr>
      <w:r w:rsidRPr="00116AF5">
        <w:t xml:space="preserve">The </w:t>
      </w:r>
      <w:r w:rsidR="000B157E">
        <w:t>secretariat</w:t>
      </w:r>
      <w:r w:rsidRPr="00116AF5">
        <w:t xml:space="preserve"> participated in the </w:t>
      </w:r>
      <w:r w:rsidR="00BC44AF">
        <w:t>twenty-secon</w:t>
      </w:r>
      <w:r w:rsidR="00BC44AF" w:rsidRPr="00116AF5">
        <w:t xml:space="preserve">d </w:t>
      </w:r>
      <w:r w:rsidRPr="00116AF5">
        <w:t xml:space="preserve">meeting of the Working Group of the Parties to the Aarhus Convention, in particular </w:t>
      </w:r>
      <w:r w:rsidR="0024701C">
        <w:t>t</w:t>
      </w:r>
      <w:r w:rsidRPr="00116AF5">
        <w:t>he panel presentations and round</w:t>
      </w:r>
      <w:r w:rsidR="0024701C">
        <w:t>-</w:t>
      </w:r>
      <w:r w:rsidRPr="00116AF5">
        <w:t xml:space="preserve">table discussions of the </w:t>
      </w:r>
      <w:r w:rsidR="0024701C">
        <w:t>t</w:t>
      </w:r>
      <w:r w:rsidRPr="00116AF5">
        <w:t xml:space="preserve">hematic </w:t>
      </w:r>
      <w:r w:rsidR="0024701C">
        <w:t>s</w:t>
      </w:r>
      <w:r w:rsidRPr="00116AF5">
        <w:t>ession on the promotion of the principles of the Convention in international for</w:t>
      </w:r>
      <w:r w:rsidR="0024701C">
        <w:t>ums,</w:t>
      </w:r>
      <w:r w:rsidRPr="00116AF5">
        <w:t xml:space="preserve"> held </w:t>
      </w:r>
      <w:r w:rsidR="0024701C">
        <w:t xml:space="preserve">in Geneva </w:t>
      </w:r>
      <w:r w:rsidRPr="00116AF5">
        <w:t xml:space="preserve">on 21 June 2018. The Executive Secretary also participated in the technical briefing on </w:t>
      </w:r>
      <w:r w:rsidR="0024701C">
        <w:t>h</w:t>
      </w:r>
      <w:r w:rsidRPr="00116AF5">
        <w:t xml:space="preserve">ealth, </w:t>
      </w:r>
      <w:r w:rsidR="0024701C">
        <w:t>e</w:t>
      </w:r>
      <w:r w:rsidRPr="00116AF5">
        <w:t xml:space="preserve">nvironment and </w:t>
      </w:r>
      <w:r w:rsidR="0024701C">
        <w:t>c</w:t>
      </w:r>
      <w:r w:rsidRPr="00116AF5">
        <w:t xml:space="preserve">limate </w:t>
      </w:r>
      <w:r w:rsidR="0024701C">
        <w:t>c</w:t>
      </w:r>
      <w:r w:rsidRPr="00116AF5">
        <w:t xml:space="preserve">hange during the </w:t>
      </w:r>
      <w:r w:rsidR="0024701C">
        <w:t xml:space="preserve">seventy-first </w:t>
      </w:r>
      <w:r w:rsidRPr="00116AF5">
        <w:t xml:space="preserve">World Health Assembly in May 2018. The </w:t>
      </w:r>
      <w:r w:rsidR="000B157E">
        <w:t>secretariat</w:t>
      </w:r>
      <w:r w:rsidRPr="00116AF5">
        <w:t xml:space="preserve"> continues to work closely and collaboratively on programmatic matters with the </w:t>
      </w:r>
      <w:r w:rsidR="0024701C">
        <w:t>World Health Organization (WHO)</w:t>
      </w:r>
      <w:r w:rsidRPr="00116AF5">
        <w:t>, as well as supporting WHO efforts at the regional level.</w:t>
      </w:r>
    </w:p>
    <w:p w14:paraId="22D0CDA2" w14:textId="457026D0" w:rsidR="00163DA4" w:rsidRPr="00116AF5" w:rsidRDefault="00163DA4" w:rsidP="00116AF5">
      <w:pPr>
        <w:pStyle w:val="Normalnumber"/>
      </w:pPr>
      <w:r w:rsidRPr="00116AF5">
        <w:t>In relation to financial resources and the financial mechanism, the secretariat has been engaging closely with the GEF secretariat on matters related to GEF</w:t>
      </w:r>
      <w:r w:rsidR="0024701C">
        <w:t xml:space="preserve"> providing</w:t>
      </w:r>
      <w:r w:rsidRPr="00116AF5">
        <w:t xml:space="preserve"> part of the financial mechanism of the Convention. The Executive Secretary attended the </w:t>
      </w:r>
      <w:r w:rsidR="0024701C">
        <w:t xml:space="preserve">fifty-fourth meeting of the </w:t>
      </w:r>
      <w:r w:rsidRPr="00116AF5">
        <w:t xml:space="preserve">GEF Council and </w:t>
      </w:r>
      <w:r w:rsidR="0024701C">
        <w:t xml:space="preserve">sixth </w:t>
      </w:r>
      <w:r w:rsidRPr="00116AF5">
        <w:t xml:space="preserve">GEF Assembly in Viet Nam in June 2018, engaging with delegates, participating in various panels and addressing the </w:t>
      </w:r>
      <w:r w:rsidR="006817A0">
        <w:t xml:space="preserve">Council and the </w:t>
      </w:r>
      <w:r w:rsidRPr="00116AF5">
        <w:t xml:space="preserve">Assembly. The Executive Secretary also took part in events related to the GEF </w:t>
      </w:r>
      <w:r w:rsidR="0024701C">
        <w:t xml:space="preserve">Global Opportunities for Long-term Development of the Artisanal and Small-Scale </w:t>
      </w:r>
      <w:r w:rsidR="002F72BF">
        <w:t>Gold Mining Sector (</w:t>
      </w:r>
      <w:r w:rsidRPr="00116AF5">
        <w:t>GOLD</w:t>
      </w:r>
      <w:r w:rsidR="002F72BF">
        <w:t>)</w:t>
      </w:r>
      <w:r w:rsidRPr="00116AF5">
        <w:t xml:space="preserve"> </w:t>
      </w:r>
      <w:r w:rsidR="002F72BF">
        <w:t>p</w:t>
      </w:r>
      <w:r w:rsidRPr="00116AF5">
        <w:t>rogramme.</w:t>
      </w:r>
    </w:p>
    <w:p w14:paraId="3F6D7713" w14:textId="539E7554" w:rsidR="00163DA4" w:rsidRPr="00116AF5" w:rsidRDefault="00163DA4" w:rsidP="00116AF5">
      <w:pPr>
        <w:pStyle w:val="Normalnumber"/>
      </w:pPr>
      <w:r w:rsidRPr="00116AF5">
        <w:t xml:space="preserve">As part of its support </w:t>
      </w:r>
      <w:r w:rsidR="00982A88">
        <w:t>to</w:t>
      </w:r>
      <w:r w:rsidR="00982A88" w:rsidRPr="00116AF5">
        <w:t xml:space="preserve"> </w:t>
      </w:r>
      <w:r w:rsidRPr="00116AF5">
        <w:t>the Specific International Programme</w:t>
      </w:r>
      <w:r w:rsidR="002F72BF">
        <w:t xml:space="preserve"> </w:t>
      </w:r>
      <w:r w:rsidR="00982A88">
        <w:t xml:space="preserve">to Support </w:t>
      </w:r>
      <w:r w:rsidR="002F72BF">
        <w:t xml:space="preserve">Capacity-Building </w:t>
      </w:r>
      <w:r w:rsidR="00982A88">
        <w:t>and Technical Assistance</w:t>
      </w:r>
      <w:r w:rsidRPr="00116AF5">
        <w:t xml:space="preserve">, the </w:t>
      </w:r>
      <w:r w:rsidR="000B157E">
        <w:t>secretariat</w:t>
      </w:r>
      <w:r w:rsidRPr="00116AF5">
        <w:t xml:space="preserve"> prepared documentation, draft application forms and draft application guidelines, and organi</w:t>
      </w:r>
      <w:r w:rsidR="00982A88">
        <w:t>z</w:t>
      </w:r>
      <w:r w:rsidRPr="00116AF5">
        <w:t xml:space="preserve">ed and supported the first meeting of the Governing Board of the Programme in Geneva </w:t>
      </w:r>
      <w:r w:rsidR="00982A88">
        <w:t>on</w:t>
      </w:r>
      <w:r w:rsidR="00982A88" w:rsidRPr="00116AF5">
        <w:t xml:space="preserve"> </w:t>
      </w:r>
      <w:r w:rsidRPr="00116AF5">
        <w:t>15</w:t>
      </w:r>
      <w:r w:rsidR="00982A88">
        <w:t xml:space="preserve"> and </w:t>
      </w:r>
      <w:r w:rsidRPr="00116AF5">
        <w:t>16 May</w:t>
      </w:r>
      <w:r w:rsidR="00982A88">
        <w:t xml:space="preserve"> 2018</w:t>
      </w:r>
      <w:r w:rsidRPr="00116AF5">
        <w:t xml:space="preserve">. Following the meeting, the secretariat completed all </w:t>
      </w:r>
      <w:r w:rsidR="00982A88">
        <w:t xml:space="preserve">the </w:t>
      </w:r>
      <w:r w:rsidRPr="00116AF5">
        <w:t xml:space="preserve">necessary documentation and guidance for the </w:t>
      </w:r>
      <w:r w:rsidR="00982A88">
        <w:t>f</w:t>
      </w:r>
      <w:r w:rsidRPr="00116AF5">
        <w:t xml:space="preserve">irst </w:t>
      </w:r>
      <w:r w:rsidR="00982A88">
        <w:t>c</w:t>
      </w:r>
      <w:r w:rsidRPr="00116AF5">
        <w:t xml:space="preserve">all </w:t>
      </w:r>
      <w:r w:rsidR="00982A88">
        <w:t>for a</w:t>
      </w:r>
      <w:r w:rsidRPr="00116AF5">
        <w:t>pplications, which was launched on</w:t>
      </w:r>
      <w:r w:rsidR="00982A88">
        <w:t xml:space="preserve"> </w:t>
      </w:r>
      <w:r w:rsidRPr="00116AF5">
        <w:t>5</w:t>
      </w:r>
      <w:r w:rsidR="00D36852">
        <w:t> </w:t>
      </w:r>
      <w:r w:rsidRPr="00116AF5">
        <w:t xml:space="preserve">June 2018. After the closure of the </w:t>
      </w:r>
      <w:r w:rsidR="00982A88">
        <w:t>f</w:t>
      </w:r>
      <w:r w:rsidRPr="00116AF5">
        <w:t xml:space="preserve">irst </w:t>
      </w:r>
      <w:r w:rsidR="00982A88">
        <w:t>c</w:t>
      </w:r>
      <w:r w:rsidRPr="00116AF5">
        <w:t xml:space="preserve">all on 31 August 2018, the </w:t>
      </w:r>
      <w:r w:rsidR="000B157E" w:rsidRPr="003F5410">
        <w:t>secretariat</w:t>
      </w:r>
      <w:r w:rsidRPr="003F5410">
        <w:t xml:space="preserve"> reviewed, for completion, the applications received, undertook a first appraisal against the criteria adopted by the Governing Board at its first meeting, and prepared the relevant documentation for the second meeting of the Governing Board, organi</w:t>
      </w:r>
      <w:r w:rsidR="00982A88" w:rsidRPr="003F5410">
        <w:t>z</w:t>
      </w:r>
      <w:r w:rsidRPr="003F5410">
        <w:t xml:space="preserve">ed by the </w:t>
      </w:r>
      <w:r w:rsidR="000B157E" w:rsidRPr="003F5410">
        <w:t>secretariat</w:t>
      </w:r>
      <w:r w:rsidRPr="003F5410">
        <w:t xml:space="preserve"> and held in Oslo on 2 and 3 October 2018 </w:t>
      </w:r>
      <w:r w:rsidR="003F5410" w:rsidRPr="0032111B">
        <w:t>at the</w:t>
      </w:r>
      <w:r w:rsidRPr="003F5410">
        <w:t xml:space="preserve"> invitation </w:t>
      </w:r>
      <w:r w:rsidR="003F5410" w:rsidRPr="0032111B">
        <w:t>of</w:t>
      </w:r>
      <w:r w:rsidR="00F87621" w:rsidRPr="003F5410">
        <w:t xml:space="preserve"> </w:t>
      </w:r>
      <w:r w:rsidRPr="003F5410">
        <w:t xml:space="preserve">the </w:t>
      </w:r>
      <w:r w:rsidR="00982A88" w:rsidRPr="003F5410">
        <w:t>G</w:t>
      </w:r>
      <w:r w:rsidRPr="003F5410">
        <w:t>overnment</w:t>
      </w:r>
      <w:r w:rsidR="00982A88">
        <w:t xml:space="preserve"> of Norway</w:t>
      </w:r>
      <w:r w:rsidRPr="00116AF5">
        <w:t>.</w:t>
      </w:r>
    </w:p>
    <w:p w14:paraId="657DE8B8" w14:textId="77777777" w:rsidR="00163DA4" w:rsidRPr="00116AF5" w:rsidRDefault="00163DA4" w:rsidP="00116AF5">
      <w:pPr>
        <w:pStyle w:val="CH1"/>
      </w:pPr>
      <w:r w:rsidRPr="00116AF5">
        <w:tab/>
        <w:t>VI.</w:t>
      </w:r>
      <w:r w:rsidRPr="00116AF5">
        <w:tab/>
        <w:t>Suggested action by the Conference of the Parties</w:t>
      </w:r>
    </w:p>
    <w:p w14:paraId="2A55CC5D" w14:textId="77777777" w:rsidR="00163DA4" w:rsidRPr="00116AF5" w:rsidRDefault="00163DA4" w:rsidP="00116AF5">
      <w:pPr>
        <w:pStyle w:val="Normalnumber"/>
      </w:pPr>
      <w:r w:rsidRPr="00116AF5">
        <w:t xml:space="preserve">The Conference of the Parties may wish to take note of the main activities of the secretariat in the </w:t>
      </w:r>
      <w:r w:rsidR="00EB09FC">
        <w:t xml:space="preserve">intersessional </w:t>
      </w:r>
      <w:r w:rsidRPr="00116AF5">
        <w:t xml:space="preserve">period since the first meeting of the Conference of the Parties. </w:t>
      </w:r>
    </w:p>
    <w:p w14:paraId="388DC661" w14:textId="77777777" w:rsidR="001D2D56" w:rsidRPr="0013415C" w:rsidRDefault="001D2D56" w:rsidP="00E34F4B">
      <w:pPr>
        <w:pStyle w:val="Normal-pool"/>
      </w:pPr>
    </w:p>
    <w:tbl>
      <w:tblPr>
        <w:tblW w:w="0" w:type="auto"/>
        <w:tblLook w:val="04A0" w:firstRow="1" w:lastRow="0" w:firstColumn="1" w:lastColumn="0" w:noHBand="0" w:noVBand="1"/>
      </w:tblPr>
      <w:tblGrid>
        <w:gridCol w:w="1898"/>
        <w:gridCol w:w="1899"/>
        <w:gridCol w:w="1899"/>
        <w:gridCol w:w="1900"/>
        <w:gridCol w:w="1900"/>
      </w:tblGrid>
      <w:tr w:rsidR="00E976AB" w:rsidRPr="00D25175" w14:paraId="4B937476" w14:textId="77777777" w:rsidTr="00990918">
        <w:tc>
          <w:tcPr>
            <w:tcW w:w="1942" w:type="dxa"/>
            <w:shd w:val="clear" w:color="auto" w:fill="auto"/>
          </w:tcPr>
          <w:p w14:paraId="320052BA" w14:textId="77777777" w:rsidR="00E976AB" w:rsidRPr="00D25175" w:rsidRDefault="00E976AB" w:rsidP="004455F3">
            <w:pPr>
              <w:pStyle w:val="Normal-pool"/>
              <w:tabs>
                <w:tab w:val="left" w:pos="624"/>
                <w:tab w:val="left" w:pos="1871"/>
                <w:tab w:val="left" w:pos="2495"/>
              </w:tabs>
              <w:spacing w:before="520"/>
            </w:pPr>
          </w:p>
        </w:tc>
        <w:tc>
          <w:tcPr>
            <w:tcW w:w="1942" w:type="dxa"/>
            <w:shd w:val="clear" w:color="auto" w:fill="auto"/>
          </w:tcPr>
          <w:p w14:paraId="51727B17" w14:textId="77777777" w:rsidR="00E976AB" w:rsidRPr="00D25175" w:rsidRDefault="00E976AB" w:rsidP="004455F3">
            <w:pPr>
              <w:pStyle w:val="Normal-pool"/>
              <w:tabs>
                <w:tab w:val="left" w:pos="624"/>
                <w:tab w:val="left" w:pos="1871"/>
                <w:tab w:val="left" w:pos="2495"/>
              </w:tabs>
              <w:spacing w:before="520"/>
            </w:pPr>
          </w:p>
        </w:tc>
        <w:tc>
          <w:tcPr>
            <w:tcW w:w="1942" w:type="dxa"/>
            <w:tcBorders>
              <w:bottom w:val="single" w:sz="4" w:space="0" w:color="auto"/>
            </w:tcBorders>
            <w:shd w:val="clear" w:color="auto" w:fill="auto"/>
          </w:tcPr>
          <w:p w14:paraId="2FE9132C"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1B915574" w14:textId="77777777" w:rsidR="00E976AB" w:rsidRPr="00D25175" w:rsidRDefault="00E976AB" w:rsidP="004455F3">
            <w:pPr>
              <w:pStyle w:val="Normal-pool"/>
              <w:tabs>
                <w:tab w:val="left" w:pos="624"/>
                <w:tab w:val="left" w:pos="1871"/>
                <w:tab w:val="left" w:pos="2495"/>
              </w:tabs>
              <w:spacing w:before="520"/>
            </w:pPr>
          </w:p>
        </w:tc>
        <w:tc>
          <w:tcPr>
            <w:tcW w:w="1943" w:type="dxa"/>
            <w:shd w:val="clear" w:color="auto" w:fill="auto"/>
          </w:tcPr>
          <w:p w14:paraId="31880E25" w14:textId="77777777" w:rsidR="00E976AB" w:rsidRPr="00D25175" w:rsidRDefault="00E976AB" w:rsidP="004455F3">
            <w:pPr>
              <w:pStyle w:val="Normal-pool"/>
              <w:tabs>
                <w:tab w:val="left" w:pos="624"/>
                <w:tab w:val="left" w:pos="1871"/>
                <w:tab w:val="left" w:pos="2495"/>
              </w:tabs>
              <w:spacing w:before="520"/>
            </w:pPr>
          </w:p>
        </w:tc>
      </w:tr>
      <w:bookmarkEnd w:id="4"/>
    </w:tbl>
    <w:p w14:paraId="72E7B698" w14:textId="77777777" w:rsidR="00032E4E" w:rsidRPr="00D25175" w:rsidRDefault="00032E4E" w:rsidP="004455F3">
      <w:pPr>
        <w:pStyle w:val="Normal-pool"/>
        <w:tabs>
          <w:tab w:val="left" w:pos="624"/>
          <w:tab w:val="left" w:pos="1871"/>
          <w:tab w:val="left" w:pos="2495"/>
        </w:tabs>
      </w:pPr>
    </w:p>
    <w:sectPr w:rsidR="00032E4E" w:rsidRPr="00D25175" w:rsidSect="00C771A9">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C8348A" w14:textId="77777777" w:rsidR="00E9202F" w:rsidRDefault="00E9202F">
      <w:r>
        <w:separator/>
      </w:r>
    </w:p>
  </w:endnote>
  <w:endnote w:type="continuationSeparator" w:id="0">
    <w:p w14:paraId="452D2A92" w14:textId="77777777" w:rsidR="00E9202F" w:rsidRDefault="00E920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Univers">
    <w:altName w:val="Arial"/>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2761C7" w14:textId="730EA8DF" w:rsidR="00BC44AF" w:rsidRDefault="00BC44AF" w:rsidP="005722E5">
    <w:pPr>
      <w:pStyle w:val="Pieddepage"/>
      <w:tabs>
        <w:tab w:val="clear" w:pos="1247"/>
        <w:tab w:val="clear" w:pos="1814"/>
        <w:tab w:val="clear" w:pos="2381"/>
        <w:tab w:val="clear" w:pos="2948"/>
        <w:tab w:val="clear" w:pos="3515"/>
        <w:tab w:val="clear" w:pos="4320"/>
        <w:tab w:val="clear" w:pos="8640"/>
        <w:tab w:val="center" w:pos="4748"/>
      </w:tabs>
    </w:pPr>
    <w:r>
      <w:rPr>
        <w:rStyle w:val="Numrodepage"/>
      </w:rPr>
      <w:fldChar w:fldCharType="begin"/>
    </w:r>
    <w:r>
      <w:rPr>
        <w:rStyle w:val="Numrodepage"/>
      </w:rPr>
      <w:instrText xml:space="preserve"> PAGE </w:instrText>
    </w:r>
    <w:r>
      <w:rPr>
        <w:rStyle w:val="Numrodepage"/>
      </w:rPr>
      <w:fldChar w:fldCharType="separate"/>
    </w:r>
    <w:r w:rsidR="00636171">
      <w:rPr>
        <w:rStyle w:val="Numrodepage"/>
        <w:noProof/>
      </w:rPr>
      <w:t>2</w:t>
    </w:r>
    <w:r>
      <w:rPr>
        <w:rStyle w:val="Numrodepage"/>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A87A46" w14:textId="5AFCC92A" w:rsidR="00BC44AF" w:rsidRDefault="00BC44AF" w:rsidP="00035EDE">
    <w:pPr>
      <w:pStyle w:val="Pieddepage"/>
      <w:jc w:val="right"/>
    </w:pPr>
    <w:r>
      <w:rPr>
        <w:rStyle w:val="Numrodepage"/>
      </w:rPr>
      <w:fldChar w:fldCharType="begin"/>
    </w:r>
    <w:r>
      <w:rPr>
        <w:rStyle w:val="Numrodepage"/>
      </w:rPr>
      <w:instrText xml:space="preserve"> PAGE </w:instrText>
    </w:r>
    <w:r>
      <w:rPr>
        <w:rStyle w:val="Numrodepage"/>
      </w:rPr>
      <w:fldChar w:fldCharType="separate"/>
    </w:r>
    <w:r w:rsidR="00636171">
      <w:rPr>
        <w:rStyle w:val="Numrodepage"/>
        <w:noProof/>
      </w:rPr>
      <w:t>3</w:t>
    </w:r>
    <w:r>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6D868" w14:textId="5D24A431" w:rsidR="00BC44AF" w:rsidRPr="00116AF5" w:rsidRDefault="00BC44AF" w:rsidP="00B848A1">
    <w:pPr>
      <w:pStyle w:val="Pieddepage"/>
      <w:tabs>
        <w:tab w:val="clear" w:pos="1247"/>
        <w:tab w:val="clear" w:pos="1814"/>
        <w:tab w:val="clear" w:pos="2381"/>
        <w:tab w:val="clear" w:pos="2948"/>
        <w:tab w:val="clear" w:pos="3515"/>
        <w:tab w:val="clear" w:pos="4320"/>
        <w:tab w:val="clear" w:pos="8640"/>
        <w:tab w:val="left" w:pos="624"/>
      </w:tabs>
      <w:rPr>
        <w:sz w:val="20"/>
      </w:rPr>
    </w:pPr>
    <w:r w:rsidRPr="00116AF5">
      <w:rPr>
        <w:sz w:val="20"/>
      </w:rPr>
      <w:t>K1802929</w:t>
    </w:r>
    <w:r w:rsidRPr="00116AF5">
      <w:rPr>
        <w:sz w:val="20"/>
      </w:rPr>
      <w:tab/>
    </w:r>
    <w:r w:rsidR="0032111B">
      <w:rPr>
        <w:sz w:val="20"/>
      </w:rPr>
      <w:t>13</w:t>
    </w:r>
    <w:r w:rsidRPr="00116AF5">
      <w:rPr>
        <w:sz w:val="20"/>
      </w:rPr>
      <w:t>1</w:t>
    </w:r>
    <w:r w:rsidR="0032111B">
      <w:rPr>
        <w:sz w:val="20"/>
      </w:rPr>
      <w:t>1</w:t>
    </w:r>
    <w:r w:rsidRPr="00116AF5">
      <w:rPr>
        <w:sz w:val="20"/>
      </w:rPr>
      <w:t>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5BEE9" w14:textId="77777777" w:rsidR="00E9202F" w:rsidRDefault="00E9202F" w:rsidP="00B86BDF">
      <w:pPr>
        <w:spacing w:before="60"/>
        <w:ind w:left="624"/>
      </w:pPr>
      <w:r>
        <w:separator/>
      </w:r>
    </w:p>
  </w:footnote>
  <w:footnote w:type="continuationSeparator" w:id="0">
    <w:p w14:paraId="26E2473A" w14:textId="77777777" w:rsidR="00E9202F" w:rsidRDefault="00E9202F">
      <w:r>
        <w:continuationSeparator/>
      </w:r>
    </w:p>
  </w:footnote>
  <w:footnote w:id="1">
    <w:p w14:paraId="6FFC8BAC" w14:textId="77777777" w:rsidR="00BC44AF" w:rsidRPr="00B30442" w:rsidRDefault="00BC44AF" w:rsidP="001D2D56">
      <w:pPr>
        <w:tabs>
          <w:tab w:val="left" w:pos="624"/>
        </w:tabs>
        <w:spacing w:before="20" w:after="40"/>
        <w:ind w:left="1247"/>
        <w:rPr>
          <w:sz w:val="18"/>
          <w:szCs w:val="18"/>
        </w:rPr>
      </w:pPr>
      <w:r w:rsidRPr="00B30442">
        <w:rPr>
          <w:sz w:val="18"/>
          <w:szCs w:val="18"/>
        </w:rPr>
        <w:t>* UNEP/MC/COP.2/1.</w:t>
      </w:r>
    </w:p>
  </w:footnote>
  <w:footnote w:id="2">
    <w:p w14:paraId="46872970" w14:textId="4D34ED94" w:rsidR="00BC44AF" w:rsidRPr="000760B6" w:rsidRDefault="00BC44AF" w:rsidP="00163DA4">
      <w:pPr>
        <w:pStyle w:val="Notedebasdepage"/>
        <w:tabs>
          <w:tab w:val="left" w:pos="624"/>
        </w:tabs>
        <w:rPr>
          <w:szCs w:val="18"/>
          <w:lang w:val="en-GB"/>
        </w:rPr>
      </w:pPr>
      <w:r w:rsidRPr="00E87859">
        <w:rPr>
          <w:rStyle w:val="Appelnotedebasdep"/>
          <w:sz w:val="18"/>
        </w:rPr>
        <w:footnoteRef/>
      </w:r>
      <w:hyperlink w:history="1"/>
      <w:r>
        <w:rPr>
          <w:szCs w:val="18"/>
          <w:lang w:val="en-GB"/>
        </w:rPr>
        <w:t xml:space="preserve"> </w:t>
      </w:r>
      <w:r w:rsidRPr="00CD34E5">
        <w:rPr>
          <w:szCs w:val="18"/>
          <w:lang w:val="en-GB"/>
        </w:rPr>
        <w:t>http://www.mercuryconvention.org/Meetings/COPBureau/tabid/6328/language/en-US/Default.aspx</w:t>
      </w:r>
      <w:r w:rsidR="00A22FCD">
        <w:rPr>
          <w:szCs w:val="18"/>
          <w:lang w:val="en-GB"/>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D9D5D" w14:textId="239AFE11" w:rsidR="00BC44AF" w:rsidRPr="00CA5CA9" w:rsidRDefault="00BC44AF" w:rsidP="00163DA4">
    <w:pPr>
      <w:pStyle w:val="En-tte"/>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32896" w14:textId="0C118F2C" w:rsidR="00BC44AF" w:rsidRPr="00CA5CA9" w:rsidRDefault="00BC44AF" w:rsidP="00163DA4">
    <w:pPr>
      <w:pStyle w:val="En-tte"/>
      <w:jc w:val="right"/>
      <w:rPr>
        <w:szCs w:val="18"/>
      </w:rPr>
    </w:pPr>
    <w:r w:rsidRPr="00CA5CA9">
      <w:rPr>
        <w:bCs/>
        <w:szCs w:val="18"/>
      </w:rPr>
      <w:t>UNEP</w:t>
    </w:r>
    <w:r w:rsidRPr="00CA5CA9">
      <w:rPr>
        <w:szCs w:val="18"/>
      </w:rPr>
      <w:t>/</w:t>
    </w:r>
    <w:r>
      <w:rPr>
        <w:szCs w:val="18"/>
      </w:rPr>
      <w:t>MC</w:t>
    </w:r>
    <w:r w:rsidRPr="00CA5CA9">
      <w:rPr>
        <w:szCs w:val="18"/>
      </w:rPr>
      <w:t>/</w:t>
    </w:r>
    <w:r>
      <w:rPr>
        <w:szCs w:val="18"/>
      </w:rPr>
      <w:t>COP.2</w:t>
    </w:r>
    <w:r w:rsidRPr="00CA5CA9">
      <w:rPr>
        <w:szCs w:val="18"/>
      </w:rPr>
      <w:t>/</w:t>
    </w:r>
    <w:r>
      <w:rPr>
        <w:szCs w:val="18"/>
      </w:rPr>
      <w:t>17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C117C7" w14:textId="2110FBDC" w:rsidR="00BC44AF" w:rsidRDefault="00BC44AF" w:rsidP="00032E4E">
    <w:pPr>
      <w:pStyle w:val="En-tte"/>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571867"/>
    <w:multiLevelType w:val="singleLevel"/>
    <w:tmpl w:val="A2E252AA"/>
    <w:lvl w:ilvl="0">
      <w:start w:val="1"/>
      <w:numFmt w:val="upperRoman"/>
      <w:pStyle w:val="Titre8"/>
      <w:lvlText w:val="%1."/>
      <w:lvlJc w:val="left"/>
      <w:pPr>
        <w:tabs>
          <w:tab w:val="num" w:pos="720"/>
        </w:tabs>
        <w:ind w:left="720" w:hanging="720"/>
      </w:pPr>
      <w:rPr>
        <w:rFonts w:hint="default"/>
      </w:rPr>
    </w:lvl>
  </w:abstractNum>
  <w:abstractNum w:abstractNumId="1" w15:restartNumberingAfterBreak="0">
    <w:nsid w:val="35571603"/>
    <w:multiLevelType w:val="singleLevel"/>
    <w:tmpl w:val="2868AC2A"/>
    <w:lvl w:ilvl="0">
      <w:start w:val="6"/>
      <w:numFmt w:val="upperLetter"/>
      <w:pStyle w:val="Titre9"/>
      <w:lvlText w:val="%1."/>
      <w:lvlJc w:val="left"/>
      <w:pPr>
        <w:tabs>
          <w:tab w:val="num" w:pos="360"/>
        </w:tabs>
        <w:ind w:left="360" w:hanging="360"/>
      </w:pPr>
      <w:rPr>
        <w:rFonts w:hint="default"/>
      </w:rPr>
    </w:lvl>
  </w:abstractNum>
  <w:abstractNum w:abstractNumId="2" w15:restartNumberingAfterBreak="0">
    <w:nsid w:val="52A66A9D"/>
    <w:multiLevelType w:val="multilevel"/>
    <w:tmpl w:val="D07A6E4C"/>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num w:numId="1">
    <w:abstractNumId w:val="2"/>
  </w:num>
  <w:num w:numId="2">
    <w:abstractNumId w:val="0"/>
  </w:num>
  <w:num w:numId="3">
    <w:abstractNumId w:val="1"/>
  </w:num>
  <w:num w:numId="4">
    <w:abstractNumId w:val="2"/>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fr-FR" w:vendorID="64" w:dllVersion="0" w:nlCheck="1" w:checkStyle="1"/>
  <w:activeWritingStyle w:appName="MSWord" w:lang="en-US" w:vendorID="64" w:dllVersion="0" w:nlCheck="1" w:checkStyle="0"/>
  <w:activeWritingStyle w:appName="MSWord" w:lang="en-GB" w:vendorID="64" w:dllVersion="0" w:nlCheck="1" w:checkStyle="1"/>
  <w:activeWritingStyle w:appName="MSWord" w:lang="es-ES" w:vendorID="64" w:dllVersion="0" w:nlCheck="1" w:checkStyle="1"/>
  <w:activeWritingStyle w:appName="MSWord" w:lang="en-GB" w:vendorID="64" w:dllVersion="131078" w:nlCheck="1" w:checkStyle="0"/>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4097">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D7F"/>
    <w:rsid w:val="00000E4A"/>
    <w:rsid w:val="000024A3"/>
    <w:rsid w:val="000057BB"/>
    <w:rsid w:val="000077AD"/>
    <w:rsid w:val="00011A16"/>
    <w:rsid w:val="000149E6"/>
    <w:rsid w:val="00023DA9"/>
    <w:rsid w:val="000247B0"/>
    <w:rsid w:val="00025A6E"/>
    <w:rsid w:val="00026997"/>
    <w:rsid w:val="00026A08"/>
    <w:rsid w:val="00032E4E"/>
    <w:rsid w:val="00033E0B"/>
    <w:rsid w:val="00035EDE"/>
    <w:rsid w:val="000476E5"/>
    <w:rsid w:val="00047F86"/>
    <w:rsid w:val="000509B4"/>
    <w:rsid w:val="0006035B"/>
    <w:rsid w:val="0006096F"/>
    <w:rsid w:val="000649C5"/>
    <w:rsid w:val="00065554"/>
    <w:rsid w:val="00067D06"/>
    <w:rsid w:val="00071886"/>
    <w:rsid w:val="000742BC"/>
    <w:rsid w:val="00076CC6"/>
    <w:rsid w:val="00082A0C"/>
    <w:rsid w:val="00083504"/>
    <w:rsid w:val="0009125A"/>
    <w:rsid w:val="0009640C"/>
    <w:rsid w:val="000A34F8"/>
    <w:rsid w:val="000B157E"/>
    <w:rsid w:val="000B22A2"/>
    <w:rsid w:val="000B2815"/>
    <w:rsid w:val="000B541B"/>
    <w:rsid w:val="000B73F9"/>
    <w:rsid w:val="000C2A52"/>
    <w:rsid w:val="000C2A88"/>
    <w:rsid w:val="000D33C0"/>
    <w:rsid w:val="000D4CF6"/>
    <w:rsid w:val="000D6941"/>
    <w:rsid w:val="000F3DCD"/>
    <w:rsid w:val="000F4829"/>
    <w:rsid w:val="000F6B21"/>
    <w:rsid w:val="00102259"/>
    <w:rsid w:val="00102EFB"/>
    <w:rsid w:val="00103F61"/>
    <w:rsid w:val="00116AF5"/>
    <w:rsid w:val="001202E3"/>
    <w:rsid w:val="00123699"/>
    <w:rsid w:val="001241FB"/>
    <w:rsid w:val="0013059D"/>
    <w:rsid w:val="0013415C"/>
    <w:rsid w:val="00136187"/>
    <w:rsid w:val="00141A55"/>
    <w:rsid w:val="0014293F"/>
    <w:rsid w:val="0014397D"/>
    <w:rsid w:val="001446A3"/>
    <w:rsid w:val="00152B6B"/>
    <w:rsid w:val="00155395"/>
    <w:rsid w:val="00155A2F"/>
    <w:rsid w:val="00156B6B"/>
    <w:rsid w:val="001571D5"/>
    <w:rsid w:val="00160703"/>
    <w:rsid w:val="00160D74"/>
    <w:rsid w:val="00163DA4"/>
    <w:rsid w:val="001646EA"/>
    <w:rsid w:val="00164B5A"/>
    <w:rsid w:val="00167D02"/>
    <w:rsid w:val="001759D8"/>
    <w:rsid w:val="00176D34"/>
    <w:rsid w:val="00177D7F"/>
    <w:rsid w:val="00180C3F"/>
    <w:rsid w:val="00181EC8"/>
    <w:rsid w:val="00184349"/>
    <w:rsid w:val="00195F33"/>
    <w:rsid w:val="001A47E5"/>
    <w:rsid w:val="001B1617"/>
    <w:rsid w:val="001B504B"/>
    <w:rsid w:val="001B6F98"/>
    <w:rsid w:val="001B764C"/>
    <w:rsid w:val="001C191A"/>
    <w:rsid w:val="001C2145"/>
    <w:rsid w:val="001C3C6E"/>
    <w:rsid w:val="001D2D56"/>
    <w:rsid w:val="001D2E42"/>
    <w:rsid w:val="001D3874"/>
    <w:rsid w:val="001D7E75"/>
    <w:rsid w:val="001E0D73"/>
    <w:rsid w:val="001E45BD"/>
    <w:rsid w:val="001E56D2"/>
    <w:rsid w:val="001E7D56"/>
    <w:rsid w:val="001F5186"/>
    <w:rsid w:val="001F75DE"/>
    <w:rsid w:val="00200D58"/>
    <w:rsid w:val="002011C1"/>
    <w:rsid w:val="002013BE"/>
    <w:rsid w:val="00201EDC"/>
    <w:rsid w:val="002063A4"/>
    <w:rsid w:val="0021145B"/>
    <w:rsid w:val="0021564E"/>
    <w:rsid w:val="00215C42"/>
    <w:rsid w:val="00220C23"/>
    <w:rsid w:val="002247F6"/>
    <w:rsid w:val="00225520"/>
    <w:rsid w:val="00225E21"/>
    <w:rsid w:val="00225E44"/>
    <w:rsid w:val="00226649"/>
    <w:rsid w:val="00234E78"/>
    <w:rsid w:val="00243D36"/>
    <w:rsid w:val="00246151"/>
    <w:rsid w:val="0024701C"/>
    <w:rsid w:val="00247707"/>
    <w:rsid w:val="00252456"/>
    <w:rsid w:val="0026018E"/>
    <w:rsid w:val="00267570"/>
    <w:rsid w:val="00282AA4"/>
    <w:rsid w:val="00286740"/>
    <w:rsid w:val="00291EAE"/>
    <w:rsid w:val="002929D8"/>
    <w:rsid w:val="002A237D"/>
    <w:rsid w:val="002A4C53"/>
    <w:rsid w:val="002B0672"/>
    <w:rsid w:val="002B1A53"/>
    <w:rsid w:val="002B247F"/>
    <w:rsid w:val="002B3321"/>
    <w:rsid w:val="002B50D4"/>
    <w:rsid w:val="002B58BF"/>
    <w:rsid w:val="002C145D"/>
    <w:rsid w:val="002C2C3E"/>
    <w:rsid w:val="002C533E"/>
    <w:rsid w:val="002D027F"/>
    <w:rsid w:val="002D3E15"/>
    <w:rsid w:val="002D7A85"/>
    <w:rsid w:val="002D7B60"/>
    <w:rsid w:val="002F15A5"/>
    <w:rsid w:val="002F4761"/>
    <w:rsid w:val="002F5C79"/>
    <w:rsid w:val="002F68EE"/>
    <w:rsid w:val="002F72BF"/>
    <w:rsid w:val="003019E2"/>
    <w:rsid w:val="00306355"/>
    <w:rsid w:val="00310BEB"/>
    <w:rsid w:val="0031413F"/>
    <w:rsid w:val="00314854"/>
    <w:rsid w:val="003148BB"/>
    <w:rsid w:val="00317976"/>
    <w:rsid w:val="00320F2F"/>
    <w:rsid w:val="0032111B"/>
    <w:rsid w:val="0032457E"/>
    <w:rsid w:val="00325D38"/>
    <w:rsid w:val="003436EE"/>
    <w:rsid w:val="0035277E"/>
    <w:rsid w:val="00355EA9"/>
    <w:rsid w:val="003578DE"/>
    <w:rsid w:val="00361688"/>
    <w:rsid w:val="00364A8A"/>
    <w:rsid w:val="00367FD2"/>
    <w:rsid w:val="00370AEC"/>
    <w:rsid w:val="00380921"/>
    <w:rsid w:val="003877D5"/>
    <w:rsid w:val="00391C83"/>
    <w:rsid w:val="003929B8"/>
    <w:rsid w:val="00393432"/>
    <w:rsid w:val="00396257"/>
    <w:rsid w:val="003962DC"/>
    <w:rsid w:val="00397EB8"/>
    <w:rsid w:val="003A4FD0"/>
    <w:rsid w:val="003A69D1"/>
    <w:rsid w:val="003A7705"/>
    <w:rsid w:val="003A77F1"/>
    <w:rsid w:val="003B1545"/>
    <w:rsid w:val="003C3219"/>
    <w:rsid w:val="003C390C"/>
    <w:rsid w:val="003C409D"/>
    <w:rsid w:val="003C4544"/>
    <w:rsid w:val="003C5583"/>
    <w:rsid w:val="003C5BA6"/>
    <w:rsid w:val="003C74CF"/>
    <w:rsid w:val="003D3752"/>
    <w:rsid w:val="003E35DA"/>
    <w:rsid w:val="003E396D"/>
    <w:rsid w:val="003E455D"/>
    <w:rsid w:val="003F0E85"/>
    <w:rsid w:val="003F5410"/>
    <w:rsid w:val="00400697"/>
    <w:rsid w:val="00401406"/>
    <w:rsid w:val="00405DE0"/>
    <w:rsid w:val="00410C55"/>
    <w:rsid w:val="004156B9"/>
    <w:rsid w:val="00416854"/>
    <w:rsid w:val="00417725"/>
    <w:rsid w:val="0042266F"/>
    <w:rsid w:val="00434321"/>
    <w:rsid w:val="00437F26"/>
    <w:rsid w:val="00444097"/>
    <w:rsid w:val="00445487"/>
    <w:rsid w:val="004455F3"/>
    <w:rsid w:val="00447E0D"/>
    <w:rsid w:val="00453EA8"/>
    <w:rsid w:val="00454769"/>
    <w:rsid w:val="00466991"/>
    <w:rsid w:val="0047064C"/>
    <w:rsid w:val="00471EFD"/>
    <w:rsid w:val="004822B7"/>
    <w:rsid w:val="0048795D"/>
    <w:rsid w:val="0049469E"/>
    <w:rsid w:val="004A2217"/>
    <w:rsid w:val="004A24F9"/>
    <w:rsid w:val="004A42E1"/>
    <w:rsid w:val="004A5A14"/>
    <w:rsid w:val="004B162C"/>
    <w:rsid w:val="004B2ABE"/>
    <w:rsid w:val="004C3DBE"/>
    <w:rsid w:val="004C5C96"/>
    <w:rsid w:val="004D06A4"/>
    <w:rsid w:val="004D1E58"/>
    <w:rsid w:val="004E7605"/>
    <w:rsid w:val="004F1A81"/>
    <w:rsid w:val="004F5D88"/>
    <w:rsid w:val="00501354"/>
    <w:rsid w:val="005050D2"/>
    <w:rsid w:val="005143C3"/>
    <w:rsid w:val="005218D9"/>
    <w:rsid w:val="00523412"/>
    <w:rsid w:val="00536186"/>
    <w:rsid w:val="00544CBB"/>
    <w:rsid w:val="00545DED"/>
    <w:rsid w:val="00551B65"/>
    <w:rsid w:val="00556704"/>
    <w:rsid w:val="005656D7"/>
    <w:rsid w:val="005722E5"/>
    <w:rsid w:val="0057315F"/>
    <w:rsid w:val="0057433C"/>
    <w:rsid w:val="00576104"/>
    <w:rsid w:val="00586418"/>
    <w:rsid w:val="005867AF"/>
    <w:rsid w:val="00592B21"/>
    <w:rsid w:val="005B2DF4"/>
    <w:rsid w:val="005B44BF"/>
    <w:rsid w:val="005B5A93"/>
    <w:rsid w:val="005B7BE9"/>
    <w:rsid w:val="005C67C8"/>
    <w:rsid w:val="005D0249"/>
    <w:rsid w:val="005D18FA"/>
    <w:rsid w:val="005D4FD4"/>
    <w:rsid w:val="005D6E8C"/>
    <w:rsid w:val="005E3004"/>
    <w:rsid w:val="005E375F"/>
    <w:rsid w:val="005E7EFC"/>
    <w:rsid w:val="005F100C"/>
    <w:rsid w:val="005F68DA"/>
    <w:rsid w:val="005F7419"/>
    <w:rsid w:val="00601BC9"/>
    <w:rsid w:val="0060773B"/>
    <w:rsid w:val="006111FE"/>
    <w:rsid w:val="00613212"/>
    <w:rsid w:val="00613FD6"/>
    <w:rsid w:val="006157B5"/>
    <w:rsid w:val="00617224"/>
    <w:rsid w:val="0062338D"/>
    <w:rsid w:val="00626FC6"/>
    <w:rsid w:val="00627756"/>
    <w:rsid w:val="006303B4"/>
    <w:rsid w:val="00630ADC"/>
    <w:rsid w:val="00633D3D"/>
    <w:rsid w:val="00636171"/>
    <w:rsid w:val="0064050B"/>
    <w:rsid w:val="00641703"/>
    <w:rsid w:val="006424A1"/>
    <w:rsid w:val="006431A6"/>
    <w:rsid w:val="00643E3A"/>
    <w:rsid w:val="006459F6"/>
    <w:rsid w:val="0064735D"/>
    <w:rsid w:val="006501AD"/>
    <w:rsid w:val="00651BFA"/>
    <w:rsid w:val="00654475"/>
    <w:rsid w:val="00656DF0"/>
    <w:rsid w:val="00665A4B"/>
    <w:rsid w:val="00670FAE"/>
    <w:rsid w:val="00677848"/>
    <w:rsid w:val="006817A0"/>
    <w:rsid w:val="00692E2A"/>
    <w:rsid w:val="0069496A"/>
    <w:rsid w:val="00696C1C"/>
    <w:rsid w:val="006A76F2"/>
    <w:rsid w:val="006B7D29"/>
    <w:rsid w:val="006C2CFD"/>
    <w:rsid w:val="006D19D4"/>
    <w:rsid w:val="006D5644"/>
    <w:rsid w:val="006D7EFB"/>
    <w:rsid w:val="006E2F80"/>
    <w:rsid w:val="006E6672"/>
    <w:rsid w:val="006E6722"/>
    <w:rsid w:val="006E7F65"/>
    <w:rsid w:val="006F7AFF"/>
    <w:rsid w:val="007027B9"/>
    <w:rsid w:val="007066B5"/>
    <w:rsid w:val="00714266"/>
    <w:rsid w:val="007145DA"/>
    <w:rsid w:val="00715E88"/>
    <w:rsid w:val="00716D8B"/>
    <w:rsid w:val="00731084"/>
    <w:rsid w:val="00734CAA"/>
    <w:rsid w:val="00740EE2"/>
    <w:rsid w:val="00742680"/>
    <w:rsid w:val="0074592E"/>
    <w:rsid w:val="0075533C"/>
    <w:rsid w:val="00755A18"/>
    <w:rsid w:val="00757581"/>
    <w:rsid w:val="007602F5"/>
    <w:rsid w:val="00760D36"/>
    <w:rsid w:val="007611A0"/>
    <w:rsid w:val="00772574"/>
    <w:rsid w:val="00773E54"/>
    <w:rsid w:val="00787688"/>
    <w:rsid w:val="007935E6"/>
    <w:rsid w:val="00796D3F"/>
    <w:rsid w:val="007A1683"/>
    <w:rsid w:val="007A5C12"/>
    <w:rsid w:val="007A7CB0"/>
    <w:rsid w:val="007B68A3"/>
    <w:rsid w:val="007C2541"/>
    <w:rsid w:val="007D4489"/>
    <w:rsid w:val="007D66A8"/>
    <w:rsid w:val="007E003F"/>
    <w:rsid w:val="007E0C10"/>
    <w:rsid w:val="007E49E3"/>
    <w:rsid w:val="007F0CF8"/>
    <w:rsid w:val="007F5E1B"/>
    <w:rsid w:val="007F62CB"/>
    <w:rsid w:val="008142EC"/>
    <w:rsid w:val="008164F2"/>
    <w:rsid w:val="00821395"/>
    <w:rsid w:val="00830E26"/>
    <w:rsid w:val="00834368"/>
    <w:rsid w:val="0083441A"/>
    <w:rsid w:val="00843576"/>
    <w:rsid w:val="00843B64"/>
    <w:rsid w:val="00845261"/>
    <w:rsid w:val="008478FC"/>
    <w:rsid w:val="008507C4"/>
    <w:rsid w:val="00851C51"/>
    <w:rsid w:val="008538F7"/>
    <w:rsid w:val="0085696F"/>
    <w:rsid w:val="00867BFF"/>
    <w:rsid w:val="00871542"/>
    <w:rsid w:val="00872BF6"/>
    <w:rsid w:val="00874046"/>
    <w:rsid w:val="0088480A"/>
    <w:rsid w:val="0088757A"/>
    <w:rsid w:val="0089431B"/>
    <w:rsid w:val="00894CA8"/>
    <w:rsid w:val="00895668"/>
    <w:rsid w:val="008957DD"/>
    <w:rsid w:val="00897D98"/>
    <w:rsid w:val="008A6DF2"/>
    <w:rsid w:val="008A7807"/>
    <w:rsid w:val="008A7943"/>
    <w:rsid w:val="008B4CC9"/>
    <w:rsid w:val="008B594A"/>
    <w:rsid w:val="008C0B15"/>
    <w:rsid w:val="008D75E4"/>
    <w:rsid w:val="008D7C99"/>
    <w:rsid w:val="008E0FCB"/>
    <w:rsid w:val="008E46A9"/>
    <w:rsid w:val="008E673A"/>
    <w:rsid w:val="008F6DFE"/>
    <w:rsid w:val="00902A66"/>
    <w:rsid w:val="0090529F"/>
    <w:rsid w:val="0092178C"/>
    <w:rsid w:val="00930B88"/>
    <w:rsid w:val="009343C2"/>
    <w:rsid w:val="00935376"/>
    <w:rsid w:val="00940DCC"/>
    <w:rsid w:val="0094179A"/>
    <w:rsid w:val="0094459E"/>
    <w:rsid w:val="00944DBC"/>
    <w:rsid w:val="00947C60"/>
    <w:rsid w:val="00950977"/>
    <w:rsid w:val="00951A7B"/>
    <w:rsid w:val="00955512"/>
    <w:rsid w:val="009564A6"/>
    <w:rsid w:val="00957C14"/>
    <w:rsid w:val="00957EF8"/>
    <w:rsid w:val="00966A53"/>
    <w:rsid w:val="00967621"/>
    <w:rsid w:val="00967E6A"/>
    <w:rsid w:val="00976789"/>
    <w:rsid w:val="00982A88"/>
    <w:rsid w:val="009907B9"/>
    <w:rsid w:val="00990918"/>
    <w:rsid w:val="009A3A83"/>
    <w:rsid w:val="009B4A0F"/>
    <w:rsid w:val="009C11D2"/>
    <w:rsid w:val="009C6444"/>
    <w:rsid w:val="009C6C70"/>
    <w:rsid w:val="009C7B0A"/>
    <w:rsid w:val="009D0B63"/>
    <w:rsid w:val="009D5267"/>
    <w:rsid w:val="009D5CB8"/>
    <w:rsid w:val="009D5FAF"/>
    <w:rsid w:val="009E2608"/>
    <w:rsid w:val="009E307E"/>
    <w:rsid w:val="009F03E7"/>
    <w:rsid w:val="00A01AE7"/>
    <w:rsid w:val="00A046A9"/>
    <w:rsid w:val="00A07870"/>
    <w:rsid w:val="00A07C54"/>
    <w:rsid w:val="00A07F19"/>
    <w:rsid w:val="00A10E5E"/>
    <w:rsid w:val="00A1348D"/>
    <w:rsid w:val="00A13C99"/>
    <w:rsid w:val="00A22DF4"/>
    <w:rsid w:val="00A22FCD"/>
    <w:rsid w:val="00A232EE"/>
    <w:rsid w:val="00A36CC5"/>
    <w:rsid w:val="00A4175F"/>
    <w:rsid w:val="00A44411"/>
    <w:rsid w:val="00A46721"/>
    <w:rsid w:val="00A469FA"/>
    <w:rsid w:val="00A47A6E"/>
    <w:rsid w:val="00A53662"/>
    <w:rsid w:val="00A55B01"/>
    <w:rsid w:val="00A56B5B"/>
    <w:rsid w:val="00A603FF"/>
    <w:rsid w:val="00A619B6"/>
    <w:rsid w:val="00A648CA"/>
    <w:rsid w:val="00A657DD"/>
    <w:rsid w:val="00A666A6"/>
    <w:rsid w:val="00A675FD"/>
    <w:rsid w:val="00A72437"/>
    <w:rsid w:val="00A8048B"/>
    <w:rsid w:val="00A80611"/>
    <w:rsid w:val="00A92EA5"/>
    <w:rsid w:val="00AA5BF4"/>
    <w:rsid w:val="00AB4558"/>
    <w:rsid w:val="00AB5340"/>
    <w:rsid w:val="00AC0A89"/>
    <w:rsid w:val="00AC2279"/>
    <w:rsid w:val="00AC527E"/>
    <w:rsid w:val="00AC7C96"/>
    <w:rsid w:val="00AD3593"/>
    <w:rsid w:val="00AE0812"/>
    <w:rsid w:val="00AE237D"/>
    <w:rsid w:val="00AE502A"/>
    <w:rsid w:val="00AF0010"/>
    <w:rsid w:val="00AF1788"/>
    <w:rsid w:val="00AF1AA8"/>
    <w:rsid w:val="00AF2C1F"/>
    <w:rsid w:val="00AF7C07"/>
    <w:rsid w:val="00B06C64"/>
    <w:rsid w:val="00B07D8E"/>
    <w:rsid w:val="00B11CAC"/>
    <w:rsid w:val="00B158AF"/>
    <w:rsid w:val="00B15A29"/>
    <w:rsid w:val="00B22C93"/>
    <w:rsid w:val="00B27589"/>
    <w:rsid w:val="00B30442"/>
    <w:rsid w:val="00B405B7"/>
    <w:rsid w:val="00B44072"/>
    <w:rsid w:val="00B446F7"/>
    <w:rsid w:val="00B468C0"/>
    <w:rsid w:val="00B50FE9"/>
    <w:rsid w:val="00B52222"/>
    <w:rsid w:val="00B531DA"/>
    <w:rsid w:val="00B54895"/>
    <w:rsid w:val="00B54FE7"/>
    <w:rsid w:val="00B55A04"/>
    <w:rsid w:val="00B647C6"/>
    <w:rsid w:val="00B655F9"/>
    <w:rsid w:val="00B66901"/>
    <w:rsid w:val="00B66F60"/>
    <w:rsid w:val="00B71E6D"/>
    <w:rsid w:val="00B72070"/>
    <w:rsid w:val="00B779E1"/>
    <w:rsid w:val="00B81E3A"/>
    <w:rsid w:val="00B848A1"/>
    <w:rsid w:val="00B85CFB"/>
    <w:rsid w:val="00B86BDF"/>
    <w:rsid w:val="00B914E9"/>
    <w:rsid w:val="00B91EE1"/>
    <w:rsid w:val="00B94602"/>
    <w:rsid w:val="00BA0090"/>
    <w:rsid w:val="00BA1A67"/>
    <w:rsid w:val="00BA6A80"/>
    <w:rsid w:val="00BB0446"/>
    <w:rsid w:val="00BB4ABB"/>
    <w:rsid w:val="00BB516C"/>
    <w:rsid w:val="00BC2C5E"/>
    <w:rsid w:val="00BC44AF"/>
    <w:rsid w:val="00BC5338"/>
    <w:rsid w:val="00BC62BA"/>
    <w:rsid w:val="00BC6897"/>
    <w:rsid w:val="00BE5B5F"/>
    <w:rsid w:val="00BE6CEA"/>
    <w:rsid w:val="00BE7993"/>
    <w:rsid w:val="00C11971"/>
    <w:rsid w:val="00C179DE"/>
    <w:rsid w:val="00C22F47"/>
    <w:rsid w:val="00C26F55"/>
    <w:rsid w:val="00C278AA"/>
    <w:rsid w:val="00C30C63"/>
    <w:rsid w:val="00C30FF3"/>
    <w:rsid w:val="00C34D5C"/>
    <w:rsid w:val="00C3554B"/>
    <w:rsid w:val="00C36B8B"/>
    <w:rsid w:val="00C415C1"/>
    <w:rsid w:val="00C47DBF"/>
    <w:rsid w:val="00C552FF"/>
    <w:rsid w:val="00C558DA"/>
    <w:rsid w:val="00C55AF3"/>
    <w:rsid w:val="00C70137"/>
    <w:rsid w:val="00C771A9"/>
    <w:rsid w:val="00C82943"/>
    <w:rsid w:val="00C84759"/>
    <w:rsid w:val="00C923BB"/>
    <w:rsid w:val="00C93096"/>
    <w:rsid w:val="00CA5CA9"/>
    <w:rsid w:val="00CA6C7F"/>
    <w:rsid w:val="00CB007D"/>
    <w:rsid w:val="00CB60CA"/>
    <w:rsid w:val="00CC0FC7"/>
    <w:rsid w:val="00CC10A6"/>
    <w:rsid w:val="00CD5EB8"/>
    <w:rsid w:val="00CD6448"/>
    <w:rsid w:val="00CD7044"/>
    <w:rsid w:val="00CE08B9"/>
    <w:rsid w:val="00CE3515"/>
    <w:rsid w:val="00CE524C"/>
    <w:rsid w:val="00CE6272"/>
    <w:rsid w:val="00CF141F"/>
    <w:rsid w:val="00CF2E31"/>
    <w:rsid w:val="00CF43AF"/>
    <w:rsid w:val="00CF4777"/>
    <w:rsid w:val="00CF65C8"/>
    <w:rsid w:val="00D013F5"/>
    <w:rsid w:val="00D05E3F"/>
    <w:rsid w:val="00D067BB"/>
    <w:rsid w:val="00D1352A"/>
    <w:rsid w:val="00D1638E"/>
    <w:rsid w:val="00D169AF"/>
    <w:rsid w:val="00D200EF"/>
    <w:rsid w:val="00D20659"/>
    <w:rsid w:val="00D21727"/>
    <w:rsid w:val="00D25175"/>
    <w:rsid w:val="00D25249"/>
    <w:rsid w:val="00D26854"/>
    <w:rsid w:val="00D31843"/>
    <w:rsid w:val="00D35459"/>
    <w:rsid w:val="00D36852"/>
    <w:rsid w:val="00D44172"/>
    <w:rsid w:val="00D47BE3"/>
    <w:rsid w:val="00D63B8C"/>
    <w:rsid w:val="00D70BD5"/>
    <w:rsid w:val="00D7342F"/>
    <w:rsid w:val="00D739CC"/>
    <w:rsid w:val="00D806F9"/>
    <w:rsid w:val="00D8093D"/>
    <w:rsid w:val="00D8108C"/>
    <w:rsid w:val="00D83208"/>
    <w:rsid w:val="00D842AE"/>
    <w:rsid w:val="00D9211C"/>
    <w:rsid w:val="00D92DE0"/>
    <w:rsid w:val="00D92FEF"/>
    <w:rsid w:val="00D931F9"/>
    <w:rsid w:val="00D93A0F"/>
    <w:rsid w:val="00DA1BCA"/>
    <w:rsid w:val="00DA3663"/>
    <w:rsid w:val="00DA5DCD"/>
    <w:rsid w:val="00DB6E00"/>
    <w:rsid w:val="00DC1792"/>
    <w:rsid w:val="00DC274A"/>
    <w:rsid w:val="00DC35E3"/>
    <w:rsid w:val="00DC46FF"/>
    <w:rsid w:val="00DC5254"/>
    <w:rsid w:val="00DC569D"/>
    <w:rsid w:val="00DD1A4F"/>
    <w:rsid w:val="00DD3107"/>
    <w:rsid w:val="00DD7C2C"/>
    <w:rsid w:val="00DE5BDA"/>
    <w:rsid w:val="00DF433C"/>
    <w:rsid w:val="00DF519F"/>
    <w:rsid w:val="00E0035A"/>
    <w:rsid w:val="00E06797"/>
    <w:rsid w:val="00E122EB"/>
    <w:rsid w:val="00E1265B"/>
    <w:rsid w:val="00E12E09"/>
    <w:rsid w:val="00E13B48"/>
    <w:rsid w:val="00E1404F"/>
    <w:rsid w:val="00E21C83"/>
    <w:rsid w:val="00E24ADA"/>
    <w:rsid w:val="00E25DBA"/>
    <w:rsid w:val="00E31F58"/>
    <w:rsid w:val="00E32F59"/>
    <w:rsid w:val="00E34F4B"/>
    <w:rsid w:val="00E41908"/>
    <w:rsid w:val="00E46D9A"/>
    <w:rsid w:val="00E50E7E"/>
    <w:rsid w:val="00E556FF"/>
    <w:rsid w:val="00E565FF"/>
    <w:rsid w:val="00E6214C"/>
    <w:rsid w:val="00E62951"/>
    <w:rsid w:val="00E65388"/>
    <w:rsid w:val="00E7741D"/>
    <w:rsid w:val="00E808CD"/>
    <w:rsid w:val="00E8348F"/>
    <w:rsid w:val="00E85B7D"/>
    <w:rsid w:val="00E9121B"/>
    <w:rsid w:val="00E9202F"/>
    <w:rsid w:val="00E9302E"/>
    <w:rsid w:val="00E97015"/>
    <w:rsid w:val="00E976AB"/>
    <w:rsid w:val="00EA0AE2"/>
    <w:rsid w:val="00EA39E5"/>
    <w:rsid w:val="00EA57A3"/>
    <w:rsid w:val="00EB09FC"/>
    <w:rsid w:val="00EC2813"/>
    <w:rsid w:val="00EC5A46"/>
    <w:rsid w:val="00EC63E2"/>
    <w:rsid w:val="00ED0225"/>
    <w:rsid w:val="00ED366A"/>
    <w:rsid w:val="00ED6BB7"/>
    <w:rsid w:val="00EE3338"/>
    <w:rsid w:val="00EF22B3"/>
    <w:rsid w:val="00F03B69"/>
    <w:rsid w:val="00F07A50"/>
    <w:rsid w:val="00F113DA"/>
    <w:rsid w:val="00F266FC"/>
    <w:rsid w:val="00F3037A"/>
    <w:rsid w:val="00F3465A"/>
    <w:rsid w:val="00F37DC8"/>
    <w:rsid w:val="00F407D6"/>
    <w:rsid w:val="00F439B3"/>
    <w:rsid w:val="00F650C3"/>
    <w:rsid w:val="00F65D85"/>
    <w:rsid w:val="00F6700B"/>
    <w:rsid w:val="00F7137B"/>
    <w:rsid w:val="00F71C05"/>
    <w:rsid w:val="00F71DBF"/>
    <w:rsid w:val="00F8091E"/>
    <w:rsid w:val="00F84E4F"/>
    <w:rsid w:val="00F8615C"/>
    <w:rsid w:val="00F87621"/>
    <w:rsid w:val="00F969E5"/>
    <w:rsid w:val="00FA4972"/>
    <w:rsid w:val="00FA66C8"/>
    <w:rsid w:val="00FA6BB0"/>
    <w:rsid w:val="00FB2DBD"/>
    <w:rsid w:val="00FB67FD"/>
    <w:rsid w:val="00FC0BFC"/>
    <w:rsid w:val="00FC0C3F"/>
    <w:rsid w:val="00FD48DF"/>
    <w:rsid w:val="00FD4EC9"/>
    <w:rsid w:val="00FD5860"/>
    <w:rsid w:val="00FE352D"/>
    <w:rsid w:val="00FE40EB"/>
    <w:rsid w:val="00FE4D02"/>
    <w:rsid w:val="00FE7D62"/>
    <w:rsid w:val="00FF0DA0"/>
    <w:rsid w:val="00FF3819"/>
    <w:rsid w:val="00FF3F6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v:textbox inset="5.85pt,.7pt,5.85pt,.7pt"/>
    </o:shapedefaults>
    <o:shapelayout v:ext="edit">
      <o:idmap v:ext="edit" data="1"/>
    </o:shapelayout>
  </w:shapeDefaults>
  <w:decimalSymbol w:val=","/>
  <w:listSeparator w:val=";"/>
  <w14:docId w14:val="167DCF61"/>
  <w15:docId w15:val="{2FCDBC32-4450-45B2-A9CB-12BA99B46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unhideWhenUsed="1"/>
    <w:lsdException w:name="List 2" w:semiHidden="1" w:unhideWhenUsed="1"/>
    <w:lsdException w:name="List 3" w:semiHidden="1" w:unhideWhenUsed="1"/>
    <w:lsdException w:name="List 4" w:unhideWhenUsed="1"/>
    <w:lsdException w:name="List 5"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unhideWhenUsed="1"/>
    <w:lsdException w:name="Date" w:unhideWhenUsed="1"/>
    <w:lsdException w:name="Body Text First Indent"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032E4E"/>
    <w:pPr>
      <w:tabs>
        <w:tab w:val="left" w:pos="1247"/>
        <w:tab w:val="left" w:pos="1814"/>
        <w:tab w:val="left" w:pos="2381"/>
        <w:tab w:val="left" w:pos="2948"/>
        <w:tab w:val="left" w:pos="3515"/>
      </w:tabs>
    </w:pPr>
    <w:rPr>
      <w:lang w:eastAsia="en-US"/>
    </w:rPr>
  </w:style>
  <w:style w:type="paragraph" w:styleId="Titre1">
    <w:name w:val="heading 1"/>
    <w:basedOn w:val="Normal"/>
    <w:next w:val="Normalnumber"/>
    <w:qFormat/>
    <w:rsid w:val="000D6941"/>
    <w:pPr>
      <w:keepNext/>
      <w:spacing w:before="240" w:after="120"/>
      <w:ind w:left="1247" w:hanging="680"/>
      <w:outlineLvl w:val="0"/>
    </w:pPr>
    <w:rPr>
      <w:b/>
      <w:sz w:val="28"/>
    </w:rPr>
  </w:style>
  <w:style w:type="paragraph" w:styleId="Titre2">
    <w:name w:val="heading 2"/>
    <w:basedOn w:val="Normal"/>
    <w:next w:val="Normalnumber"/>
    <w:qFormat/>
    <w:rsid w:val="000D6941"/>
    <w:pPr>
      <w:keepNext/>
      <w:spacing w:before="240" w:after="120"/>
      <w:ind w:left="1247" w:hanging="680"/>
      <w:outlineLvl w:val="1"/>
    </w:pPr>
    <w:rPr>
      <w:b/>
      <w:sz w:val="24"/>
      <w:szCs w:val="24"/>
    </w:rPr>
  </w:style>
  <w:style w:type="paragraph" w:styleId="Titre3">
    <w:name w:val="heading 3"/>
    <w:basedOn w:val="Normal"/>
    <w:next w:val="Normalnumber"/>
    <w:qFormat/>
    <w:rsid w:val="000D6941"/>
    <w:pPr>
      <w:spacing w:after="120"/>
      <w:ind w:left="1247" w:hanging="680"/>
      <w:outlineLvl w:val="2"/>
    </w:pPr>
    <w:rPr>
      <w:b/>
    </w:rPr>
  </w:style>
  <w:style w:type="paragraph" w:styleId="Titre4">
    <w:name w:val="heading 4"/>
    <w:basedOn w:val="Titre3"/>
    <w:next w:val="Normalnumber"/>
    <w:qFormat/>
    <w:rsid w:val="000D6941"/>
    <w:pPr>
      <w:keepNext/>
      <w:outlineLvl w:val="3"/>
    </w:pPr>
  </w:style>
  <w:style w:type="paragraph" w:styleId="Titre5">
    <w:name w:val="heading 5"/>
    <w:basedOn w:val="Normal"/>
    <w:next w:val="Normal"/>
    <w:qFormat/>
    <w:rsid w:val="000D6941"/>
    <w:pPr>
      <w:keepNext/>
      <w:outlineLvl w:val="4"/>
    </w:pPr>
    <w:rPr>
      <w:rFonts w:ascii="Univers" w:hAnsi="Univers"/>
      <w:b/>
      <w:sz w:val="24"/>
    </w:rPr>
  </w:style>
  <w:style w:type="paragraph" w:styleId="Titre6">
    <w:name w:val="heading 6"/>
    <w:basedOn w:val="Normal"/>
    <w:next w:val="Normal"/>
    <w:qFormat/>
    <w:rsid w:val="000D6941"/>
    <w:pPr>
      <w:keepNext/>
      <w:ind w:left="578"/>
      <w:outlineLvl w:val="5"/>
    </w:pPr>
    <w:rPr>
      <w:b/>
      <w:bCs/>
      <w:sz w:val="24"/>
    </w:rPr>
  </w:style>
  <w:style w:type="paragraph" w:styleId="Titre7">
    <w:name w:val="heading 7"/>
    <w:basedOn w:val="Normal"/>
    <w:next w:val="Normal"/>
    <w:qFormat/>
    <w:rsid w:val="000D6941"/>
    <w:pPr>
      <w:keepNext/>
      <w:widowControl w:val="0"/>
      <w:jc w:val="center"/>
      <w:outlineLvl w:val="6"/>
    </w:pPr>
    <w:rPr>
      <w:snapToGrid w:val="0"/>
      <w:u w:val="single"/>
      <w:lang w:val="en-US"/>
    </w:rPr>
  </w:style>
  <w:style w:type="paragraph" w:styleId="Titre8">
    <w:name w:val="heading 8"/>
    <w:basedOn w:val="Normal"/>
    <w:next w:val="Normal"/>
    <w:qFormat/>
    <w:rsid w:val="000D6941"/>
    <w:pPr>
      <w:keepNext/>
      <w:widowControl w:val="0"/>
      <w:numPr>
        <w:numId w:val="2"/>
      </w:numPr>
      <w:tabs>
        <w:tab w:val="left" w:pos="-1440"/>
        <w:tab w:val="left" w:pos="-720"/>
      </w:tabs>
      <w:suppressAutoHyphens/>
      <w:jc w:val="center"/>
      <w:outlineLvl w:val="7"/>
    </w:pPr>
    <w:rPr>
      <w:snapToGrid w:val="0"/>
      <w:u w:val="single"/>
      <w:lang w:val="en-US"/>
    </w:rPr>
  </w:style>
  <w:style w:type="paragraph" w:styleId="Titre9">
    <w:name w:val="heading 9"/>
    <w:basedOn w:val="Normal"/>
    <w:next w:val="Normal"/>
    <w:qFormat/>
    <w:rsid w:val="000D6941"/>
    <w:pPr>
      <w:keepNext/>
      <w:widowControl w:val="0"/>
      <w:numPr>
        <w:numId w:val="3"/>
      </w:numPr>
      <w:suppressAutoHyphens/>
      <w:jc w:val="center"/>
      <w:outlineLvl w:val="8"/>
    </w:pPr>
    <w:rPr>
      <w:snapToGrid w:val="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Numrodepage">
    <w:name w:val="page number"/>
    <w:semiHidden/>
    <w:rsid w:val="000D6941"/>
    <w:rPr>
      <w:rFonts w:ascii="Times New Roman" w:hAnsi="Times New Roman"/>
      <w:b/>
      <w:sz w:val="18"/>
    </w:rPr>
  </w:style>
  <w:style w:type="table" w:customStyle="1" w:styleId="Tabledocright">
    <w:name w:val="Table_doc_right"/>
    <w:basedOn w:val="Tableau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M6">
    <w:name w:val="toc 6"/>
    <w:basedOn w:val="Normal"/>
    <w:next w:val="Normal"/>
    <w:autoRedefine/>
    <w:semiHidden/>
    <w:rsid w:val="000D6941"/>
    <w:pPr>
      <w:tabs>
        <w:tab w:val="clear" w:pos="1814"/>
        <w:tab w:val="clear" w:pos="2381"/>
        <w:tab w:val="clear" w:pos="2948"/>
        <w:tab w:val="clear" w:pos="3515"/>
      </w:tabs>
      <w:ind w:left="1000"/>
    </w:pPr>
    <w:rPr>
      <w:sz w:val="18"/>
      <w:szCs w:val="18"/>
    </w:rPr>
  </w:style>
  <w:style w:type="paragraph" w:styleId="TM7">
    <w:name w:val="toc 7"/>
    <w:basedOn w:val="Normal"/>
    <w:next w:val="Normal"/>
    <w:autoRedefine/>
    <w:semiHidden/>
    <w:rsid w:val="000D6941"/>
    <w:pPr>
      <w:tabs>
        <w:tab w:val="clear" w:pos="1814"/>
        <w:tab w:val="clear" w:pos="2381"/>
        <w:tab w:val="clear" w:pos="2948"/>
        <w:tab w:val="clear" w:pos="3515"/>
      </w:tabs>
      <w:ind w:left="1200"/>
    </w:pPr>
    <w:rPr>
      <w:sz w:val="18"/>
      <w:szCs w:val="18"/>
    </w:rPr>
  </w:style>
  <w:style w:type="paragraph" w:styleId="TM8">
    <w:name w:val="toc 8"/>
    <w:basedOn w:val="Normal"/>
    <w:next w:val="Normal"/>
    <w:autoRedefine/>
    <w:semiHidden/>
    <w:rsid w:val="000D6941"/>
    <w:pPr>
      <w:tabs>
        <w:tab w:val="clear" w:pos="1814"/>
        <w:tab w:val="clear" w:pos="2381"/>
        <w:tab w:val="clear" w:pos="2948"/>
        <w:tab w:val="clear" w:pos="3515"/>
      </w:tabs>
      <w:ind w:left="1400"/>
    </w:pPr>
    <w:rPr>
      <w:sz w:val="18"/>
      <w:szCs w:val="18"/>
    </w:rPr>
  </w:style>
  <w:style w:type="paragraph" w:styleId="TM9">
    <w:name w:val="toc 9"/>
    <w:basedOn w:val="Normal"/>
    <w:next w:val="Normal"/>
    <w:autoRedefine/>
    <w:semiHidden/>
    <w:rsid w:val="000D6941"/>
    <w:pPr>
      <w:tabs>
        <w:tab w:val="clear" w:pos="1814"/>
        <w:tab w:val="clear" w:pos="2381"/>
        <w:tab w:val="clear" w:pos="2948"/>
        <w:tab w:val="clear" w:pos="3515"/>
      </w:tabs>
      <w:ind w:left="1600"/>
    </w:pPr>
    <w:rPr>
      <w:sz w:val="18"/>
      <w:szCs w:val="18"/>
    </w:rPr>
  </w:style>
  <w:style w:type="paragraph" w:customStyle="1" w:styleId="Titlefigure">
    <w:name w:val="Title_figure"/>
    <w:basedOn w:val="Titletable"/>
    <w:next w:val="NormalNonumber"/>
    <w:rsid w:val="003A77F1"/>
    <w:rPr>
      <w:bCs w:val="0"/>
    </w:rPr>
  </w:style>
  <w:style w:type="paragraph" w:styleId="Tabledesillustrations">
    <w:name w:val="table of figures"/>
    <w:basedOn w:val="Normal"/>
    <w:next w:val="Normal"/>
    <w:autoRedefine/>
    <w:semiHidden/>
    <w:rsid w:val="000D6941"/>
    <w:pPr>
      <w:tabs>
        <w:tab w:val="clear" w:pos="1814"/>
        <w:tab w:val="clear" w:pos="2381"/>
        <w:tab w:val="clear" w:pos="2948"/>
        <w:tab w:val="clear" w:pos="3515"/>
      </w:tabs>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au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uiPriority w:val="99"/>
    <w:rsid w:val="00160D74"/>
    <w:pPr>
      <w:tabs>
        <w:tab w:val="left" w:pos="1247"/>
        <w:tab w:val="left" w:pos="1814"/>
        <w:tab w:val="left" w:pos="2381"/>
        <w:tab w:val="left" w:pos="2948"/>
        <w:tab w:val="left" w:pos="3515"/>
        <w:tab w:val="left" w:pos="4082"/>
      </w:tabs>
    </w:pPr>
    <w:rPr>
      <w:lang w:eastAsia="en-US"/>
    </w:rPr>
  </w:style>
  <w:style w:type="character" w:styleId="Appelnotedebasdep">
    <w:name w:val="footnote reference"/>
    <w:aliases w:val="16 Point,Superscript 6 Point,ftref,(Ref. de nota al pie),number,SUPERS,Footnote Reference Superscript"/>
    <w:semiHidden/>
    <w:rsid w:val="000D6941"/>
    <w:rPr>
      <w:rFonts w:ascii="Times New Roman" w:hAnsi="Times New Roman"/>
      <w:color w:val="auto"/>
      <w:sz w:val="20"/>
      <w:szCs w:val="18"/>
      <w:vertAlign w:val="superscript"/>
    </w:rPr>
  </w:style>
  <w:style w:type="paragraph" w:styleId="Notedebasdepage">
    <w:name w:val="footnote text"/>
    <w:aliases w:val="DNV-FT,Geneva 9,Font: Geneva 9,Boston 10,f,footnote3,text,Geneva,92,Font:,Boston,10,FOOTNOTES,fn,single space,Footnote Text Rail EIS,ft,Footnotes,Footnote ak,fn cafc,Footnotes Char Char,Footnote Text Char Char,fn Char Char"/>
    <w:basedOn w:val="Normalpool"/>
    <w:link w:val="NotedebasdepageCar"/>
    <w:rsid w:val="000D6941"/>
    <w:pPr>
      <w:spacing w:before="20" w:after="40"/>
      <w:ind w:left="1247"/>
    </w:pPr>
    <w:rPr>
      <w:sz w:val="18"/>
    </w:rPr>
  </w:style>
  <w:style w:type="character" w:styleId="Marquedecommentaire">
    <w:name w:val="annotation reference"/>
    <w:rsid w:val="003929B8"/>
    <w:rPr>
      <w:sz w:val="16"/>
      <w:szCs w:val="16"/>
    </w:rPr>
  </w:style>
  <w:style w:type="paragraph" w:styleId="Commentaire">
    <w:name w:val="annotation text"/>
    <w:basedOn w:val="Normal"/>
    <w:link w:val="CommentaireCar"/>
    <w:rsid w:val="003929B8"/>
  </w:style>
  <w:style w:type="character" w:customStyle="1" w:styleId="CommentaireCar">
    <w:name w:val="Commentaire Car"/>
    <w:link w:val="Commentaire"/>
    <w:rsid w:val="003929B8"/>
    <w:rPr>
      <w:lang w:eastAsia="en-US"/>
    </w:rPr>
  </w:style>
  <w:style w:type="paragraph" w:styleId="Objetducommentaire">
    <w:name w:val="annotation subject"/>
    <w:basedOn w:val="Commentaire"/>
    <w:next w:val="Commentaire"/>
    <w:link w:val="ObjetducommentaireCar"/>
    <w:rsid w:val="003929B8"/>
    <w:rPr>
      <w:b/>
      <w:bCs/>
    </w:rPr>
  </w:style>
  <w:style w:type="character" w:customStyle="1" w:styleId="ObjetducommentaireCar">
    <w:name w:val="Objet du commentaire Car"/>
    <w:link w:val="Objetducommentaire"/>
    <w:rsid w:val="003929B8"/>
    <w:rPr>
      <w:b/>
      <w:bCs/>
      <w:lang w:eastAsia="en-US"/>
    </w:rPr>
  </w:style>
  <w:style w:type="paragraph" w:styleId="Textedebulles">
    <w:name w:val="Balloon Text"/>
    <w:basedOn w:val="Normal"/>
    <w:link w:val="TextedebullesCar"/>
    <w:rsid w:val="003929B8"/>
    <w:rPr>
      <w:rFonts w:ascii="Tahoma" w:hAnsi="Tahoma" w:cs="Tahoma"/>
      <w:sz w:val="16"/>
      <w:szCs w:val="16"/>
    </w:rPr>
  </w:style>
  <w:style w:type="character" w:customStyle="1" w:styleId="TextedebullesCar">
    <w:name w:val="Texte de bulles Car"/>
    <w:link w:val="Textedebulles"/>
    <w:rsid w:val="003929B8"/>
    <w:rPr>
      <w:rFonts w:ascii="Tahoma" w:hAnsi="Tahoma" w:cs="Tahoma"/>
      <w:sz w:val="16"/>
      <w:szCs w:val="16"/>
      <w:lang w:eastAsia="en-US"/>
    </w:rPr>
  </w:style>
  <w:style w:type="character" w:customStyle="1" w:styleId="NotedebasdepageCar">
    <w:name w:val="Note de bas de page Car"/>
    <w:aliases w:val="DNV-FT Car,Geneva 9 Car,Font: Geneva 9 Car,Boston 10 Car,f Car,footnote3 Car,text Car,Geneva Car,92 Car,Font: Car,Boston Car,10 Car,FOOTNOTES Car,fn Car,single space Car,Footnote Text Rail EIS Car,ft Car,Footnotes Car,fn cafc Car"/>
    <w:link w:val="Notedebasdepage"/>
    <w:locked/>
    <w:rsid w:val="0014293F"/>
    <w:rPr>
      <w:sz w:val="18"/>
      <w:lang w:val="fr-FR" w:eastAsia="en-US"/>
    </w:rPr>
  </w:style>
  <w:style w:type="table" w:styleId="Grilledutableau">
    <w:name w:val="Table Grid"/>
    <w:basedOn w:val="TableauNormal"/>
    <w:rsid w:val="00E976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4A24F9"/>
    <w:pPr>
      <w:ind w:left="720"/>
    </w:pPr>
  </w:style>
  <w:style w:type="table" w:customStyle="1" w:styleId="AATable">
    <w:name w:val="AA_Table"/>
    <w:basedOn w:val="Tableau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160D74"/>
    <w:pPr>
      <w:tabs>
        <w:tab w:val="clear" w:pos="4082"/>
      </w:tabs>
      <w:spacing w:before="120" w:after="120"/>
      <w:ind w:right="4536"/>
    </w:pPr>
  </w:style>
  <w:style w:type="paragraph" w:customStyle="1" w:styleId="BBTitle">
    <w:name w:val="BB_Title"/>
    <w:basedOn w:val="Normalpool"/>
    <w:link w:val="BBTitleChar"/>
    <w:rsid w:val="00160D74"/>
    <w:pPr>
      <w:keepNext/>
      <w:keepLines/>
      <w:suppressAutoHyphens/>
      <w:spacing w:before="320" w:after="240"/>
      <w:ind w:left="1247" w:right="567"/>
    </w:pPr>
    <w:rPr>
      <w:b/>
      <w:sz w:val="28"/>
      <w:szCs w:val="28"/>
      <w:lang w:val="en-GB"/>
    </w:rPr>
  </w:style>
  <w:style w:type="paragraph" w:styleId="Pieddepage">
    <w:name w:val="footer"/>
    <w:basedOn w:val="Normal"/>
    <w:semiHidden/>
    <w:rsid w:val="00821395"/>
    <w:pPr>
      <w:tabs>
        <w:tab w:val="center" w:pos="4320"/>
        <w:tab w:val="right" w:pos="8640"/>
      </w:tabs>
      <w:spacing w:before="60" w:after="120"/>
    </w:pPr>
    <w:rPr>
      <w:sz w:val="18"/>
    </w:rPr>
  </w:style>
  <w:style w:type="paragraph" w:styleId="En-tte">
    <w:name w:val="header"/>
    <w:basedOn w:val="Normal"/>
    <w:semiHidden/>
    <w:rsid w:val="000D694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Lienhypertexte">
    <w:name w:val="Hyperlink"/>
    <w:semiHidden/>
    <w:rsid w:val="000D6941"/>
    <w:rPr>
      <w:rFonts w:ascii="Times New Roman" w:hAnsi="Times New Roman"/>
      <w:color w:val="auto"/>
      <w:sz w:val="20"/>
      <w:szCs w:val="20"/>
      <w:u w:val="none"/>
      <w:lang w:val="fr-FR"/>
    </w:rPr>
  </w:style>
  <w:style w:type="numbering" w:customStyle="1" w:styleId="Normallist">
    <w:name w:val="Normal_list"/>
    <w:basedOn w:val="Aucuneliste"/>
    <w:rsid w:val="003A77F1"/>
    <w:pPr>
      <w:numPr>
        <w:numId w:val="1"/>
      </w:numPr>
    </w:pPr>
  </w:style>
  <w:style w:type="paragraph" w:customStyle="1" w:styleId="NormalNonumber">
    <w:name w:val="Normal_No_number"/>
    <w:basedOn w:val="Normalpool"/>
    <w:link w:val="NormalNonumberChar"/>
    <w:rsid w:val="00160D74"/>
    <w:pPr>
      <w:spacing w:after="120"/>
      <w:ind w:left="1247"/>
    </w:pPr>
    <w:rPr>
      <w:lang w:val="en-GB"/>
    </w:rPr>
  </w:style>
  <w:style w:type="paragraph" w:customStyle="1" w:styleId="Normalnumber">
    <w:name w:val="Normal_number"/>
    <w:basedOn w:val="Normalpool"/>
    <w:link w:val="NormalnumberChar"/>
    <w:rsid w:val="00160D74"/>
    <w:pPr>
      <w:numPr>
        <w:numId w:val="4"/>
      </w:numPr>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M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M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M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M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M5">
    <w:name w:val="toc 5"/>
    <w:basedOn w:val="Normal"/>
    <w:next w:val="Normal"/>
    <w:autoRedefine/>
    <w:semiHidden/>
    <w:rsid w:val="000D6941"/>
    <w:pPr>
      <w:tabs>
        <w:tab w:val="clear" w:pos="1814"/>
        <w:tab w:val="clear" w:pos="2381"/>
        <w:tab w:val="clear" w:pos="2948"/>
        <w:tab w:val="clear" w:pos="3515"/>
      </w:tabs>
      <w:ind w:left="800"/>
    </w:pPr>
    <w:rPr>
      <w:sz w:val="18"/>
      <w:szCs w:val="18"/>
    </w:rPr>
  </w:style>
  <w:style w:type="paragraph" w:customStyle="1" w:styleId="ZZAnxheader">
    <w:name w:val="ZZ_Anx_header"/>
    <w:basedOn w:val="Normalpool"/>
    <w:link w:val="ZZAnxheaderChar"/>
    <w:rsid w:val="00160D74"/>
    <w:rPr>
      <w:b/>
      <w:bCs/>
      <w:sz w:val="28"/>
      <w:szCs w:val="22"/>
      <w:lang w:val="en-GB"/>
    </w:rPr>
  </w:style>
  <w:style w:type="paragraph" w:customStyle="1" w:styleId="ZZAnxtitle">
    <w:name w:val="ZZ_Anx_title"/>
    <w:basedOn w:val="Normalpool"/>
    <w:link w:val="ZZAnxtitleChar"/>
    <w:rsid w:val="00160D74"/>
    <w:pPr>
      <w:spacing w:before="360" w:after="120"/>
      <w:ind w:left="1247"/>
    </w:pPr>
    <w:rPr>
      <w:b/>
      <w:bCs/>
      <w:sz w:val="28"/>
      <w:szCs w:val="26"/>
      <w:lang w:val="en-GB"/>
    </w:rPr>
  </w:style>
  <w:style w:type="paragraph" w:styleId="Rvision">
    <w:name w:val="Revision"/>
    <w:hidden/>
    <w:uiPriority w:val="99"/>
    <w:semiHidden/>
    <w:rsid w:val="00D806F9"/>
    <w:rPr>
      <w:lang w:eastAsia="en-US"/>
    </w:rPr>
  </w:style>
  <w:style w:type="character" w:styleId="Accentuation">
    <w:name w:val="Emphasis"/>
    <w:basedOn w:val="Policepardfaut"/>
    <w:uiPriority w:val="20"/>
    <w:qFormat/>
    <w:rsid w:val="00155A2F"/>
    <w:rPr>
      <w:i/>
      <w:iCs/>
    </w:rPr>
  </w:style>
  <w:style w:type="character" w:customStyle="1" w:styleId="BBTitleChar">
    <w:name w:val="BB_Title Char"/>
    <w:link w:val="BBTitle"/>
    <w:rsid w:val="00E34F4B"/>
    <w:rPr>
      <w:b/>
      <w:sz w:val="28"/>
      <w:szCs w:val="28"/>
      <w:lang w:eastAsia="en-US"/>
    </w:rPr>
  </w:style>
  <w:style w:type="character" w:customStyle="1" w:styleId="ZZAnxtitleChar">
    <w:name w:val="ZZ_Anx_title Char"/>
    <w:link w:val="ZZAnxtitle"/>
    <w:rsid w:val="00E34F4B"/>
    <w:rPr>
      <w:b/>
      <w:bCs/>
      <w:sz w:val="28"/>
      <w:szCs w:val="26"/>
      <w:lang w:eastAsia="en-US"/>
    </w:rPr>
  </w:style>
  <w:style w:type="character" w:customStyle="1" w:styleId="CH2Char">
    <w:name w:val="CH2 Char"/>
    <w:link w:val="CH2"/>
    <w:locked/>
    <w:rsid w:val="00E34F4B"/>
    <w:rPr>
      <w:b/>
      <w:sz w:val="24"/>
      <w:szCs w:val="24"/>
      <w:lang w:eastAsia="en-US"/>
    </w:rPr>
  </w:style>
  <w:style w:type="character" w:customStyle="1" w:styleId="NormalNonumberChar">
    <w:name w:val="Normal_No_number Char"/>
    <w:link w:val="NormalNonumber"/>
    <w:locked/>
    <w:rsid w:val="00E34F4B"/>
    <w:rPr>
      <w:lang w:eastAsia="en-US"/>
    </w:rPr>
  </w:style>
  <w:style w:type="character" w:customStyle="1" w:styleId="ZZAnxheaderChar">
    <w:name w:val="ZZ_Anx_header Char"/>
    <w:link w:val="ZZAnxheader"/>
    <w:rsid w:val="00E34F4B"/>
    <w:rPr>
      <w:b/>
      <w:bCs/>
      <w:sz w:val="28"/>
      <w:szCs w:val="22"/>
      <w:lang w:eastAsia="en-US"/>
    </w:rPr>
  </w:style>
  <w:style w:type="character" w:customStyle="1" w:styleId="Normal-poolChar">
    <w:name w:val="Normal-pool Char"/>
    <w:link w:val="Normal-pool"/>
    <w:uiPriority w:val="99"/>
    <w:rsid w:val="00E34F4B"/>
    <w:rPr>
      <w:lang w:eastAsia="en-US"/>
    </w:rPr>
  </w:style>
  <w:style w:type="character" w:customStyle="1" w:styleId="NormalnumberChar">
    <w:name w:val="Normal_number Char"/>
    <w:link w:val="Normalnumber"/>
    <w:locked/>
    <w:rsid w:val="00E34F4B"/>
    <w:rPr>
      <w:lang w:eastAsia="en-US"/>
    </w:rPr>
  </w:style>
  <w:style w:type="paragraph" w:customStyle="1" w:styleId="Default">
    <w:name w:val="Default"/>
    <w:rsid w:val="00391C83"/>
    <w:pPr>
      <w:autoSpaceDE w:val="0"/>
      <w:autoSpaceDN w:val="0"/>
      <w:adjustRightInd w:val="0"/>
    </w:pPr>
    <w:rPr>
      <w:color w:val="000000"/>
      <w:sz w:val="24"/>
      <w:szCs w:val="24"/>
    </w:rPr>
  </w:style>
  <w:style w:type="character" w:customStyle="1" w:styleId="preferred">
    <w:name w:val="preferred"/>
    <w:basedOn w:val="Policepardfaut"/>
    <w:rsid w:val="008A79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243334">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38926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5DAD-3C25-4124-8F86-43CD0EC397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3218</Words>
  <Characters>17699</Characters>
  <Application>Microsoft Office Word</Application>
  <DocSecurity>4</DocSecurity>
  <Lines>147</Lines>
  <Paragraphs>41</Paragraphs>
  <ScaleCrop>false</ScaleCrop>
  <HeadingPairs>
    <vt:vector size="6" baseType="variant">
      <vt:variant>
        <vt:lpstr>Titre</vt:lpstr>
      </vt:variant>
      <vt:variant>
        <vt:i4>1</vt:i4>
      </vt:variant>
      <vt:variant>
        <vt:lpstr>Title</vt:lpstr>
      </vt:variant>
      <vt:variant>
        <vt:i4>1</vt:i4>
      </vt:variant>
      <vt:variant>
        <vt:lpstr>タイトル</vt:lpstr>
      </vt:variant>
      <vt:variant>
        <vt:i4>1</vt:i4>
      </vt:variant>
    </vt:vector>
  </HeadingPairs>
  <TitlesOfParts>
    <vt:vector size="3" baseType="lpstr">
      <vt:lpstr>NATIONS UNIES</vt:lpstr>
      <vt:lpstr>NATIONS UNIES</vt:lpstr>
      <vt:lpstr>NATIONS UNIES</vt:lpstr>
    </vt:vector>
  </TitlesOfParts>
  <Company>unon</Company>
  <LinksUpToDate>false</LinksUpToDate>
  <CharactersWithSpaces>20876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Cynthia Mwanza</dc:creator>
  <cp:lastModifiedBy>Stephanie Laruelle</cp:lastModifiedBy>
  <cp:revision>2</cp:revision>
  <cp:lastPrinted>2018-07-06T09:38:00Z</cp:lastPrinted>
  <dcterms:created xsi:type="dcterms:W3CDTF">2018-11-16T11:43:00Z</dcterms:created>
  <dcterms:modified xsi:type="dcterms:W3CDTF">2018-11-16T11:43:00Z</dcterms:modified>
</cp:coreProperties>
</file>