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4C6E4BB2" w:rsidR="00032E4E" w:rsidRPr="00D25175" w:rsidRDefault="00032E4E" w:rsidP="004455F3">
            <w:pPr>
              <w:tabs>
                <w:tab w:val="left" w:pos="624"/>
                <w:tab w:val="left" w:pos="1871"/>
                <w:tab w:val="left" w:pos="2495"/>
              </w:tabs>
              <w:rPr>
                <w:rFonts w:ascii="Univers" w:hAnsi="Univers"/>
                <w:b/>
                <w:noProof/>
                <w:sz w:val="27"/>
                <w:szCs w:val="27"/>
              </w:rPr>
            </w:pPr>
            <w:bookmarkStart w:id="0" w:name="_GoBack"/>
            <w:bookmarkEnd w:id="0"/>
            <w:r w:rsidRPr="00D25175">
              <w:rPr>
                <w:rFonts w:ascii="Arial" w:hAnsi="Arial" w:cs="Arial"/>
                <w:b/>
                <w:noProof/>
                <w:sz w:val="27"/>
                <w:szCs w:val="27"/>
              </w:rPr>
              <w:t>UNITED</w:t>
            </w:r>
            <w:r w:rsidR="00267570">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7F97C97C"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B64D18">
              <w:t>13</w:t>
            </w:r>
            <w:r w:rsidR="00D064CF" w:rsidRPr="00DD2B3F">
              <w:rPr>
                <w:rStyle w:val="Appelnotedebasdep"/>
                <w:vertAlign w:val="baseline"/>
              </w:rPr>
              <w:footnoteReference w:customMarkFollows="1" w:id="2"/>
              <w:t>*</w:t>
            </w:r>
          </w:p>
        </w:tc>
      </w:tr>
      <w:bookmarkStart w:id="3" w:name="_MON_1021710482"/>
      <w:bookmarkEnd w:id="3"/>
      <w:bookmarkStart w:id="4" w:name="_MON_1021710510"/>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82144F" w:rsidP="004455F3">
            <w:pPr>
              <w:tabs>
                <w:tab w:val="left" w:pos="624"/>
                <w:tab w:val="left" w:pos="1871"/>
                <w:tab w:val="left" w:pos="2495"/>
              </w:tabs>
              <w:rPr>
                <w:noProof/>
              </w:rPr>
            </w:pPr>
            <w:r w:rsidRPr="00D25175">
              <w:rPr>
                <w:noProof/>
              </w:rPr>
              <w:object w:dxaOrig="1831" w:dyaOrig="1726" w14:anchorId="22F92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2.25pt;mso-width-percent:0;mso-height-percent:0;mso-width-percent:0;mso-height-percent:0" o:ole="" fillcolor="window">
                  <v:imagedata r:id="rId8" o:title=""/>
                </v:shape>
                <o:OLEObject Type="Embed" ProgID="Word.Picture.8" ShapeID="_x0000_i1025" DrawAspect="Content" ObjectID="_1603876193"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3BD0DBDF" w:rsidR="00032E4E" w:rsidRPr="00D25175" w:rsidRDefault="00032E4E" w:rsidP="004455F3">
            <w:pPr>
              <w:tabs>
                <w:tab w:val="left" w:pos="624"/>
                <w:tab w:val="left" w:pos="1871"/>
                <w:tab w:val="left" w:pos="2495"/>
              </w:tabs>
              <w:spacing w:before="120"/>
            </w:pPr>
            <w:r w:rsidRPr="00D25175">
              <w:t>Distr.: General</w:t>
            </w:r>
            <w:r w:rsidR="005B2DF4">
              <w:t xml:space="preserve"> </w:t>
            </w:r>
            <w:r w:rsidRPr="00D25175">
              <w:br w:type="textWrapping" w:clear="all"/>
            </w:r>
            <w:r w:rsidR="00B64D18">
              <w:t xml:space="preserve">25 September </w:t>
            </w:r>
            <w:r w:rsidR="0042266F" w:rsidRPr="00D25175">
              <w:t>201</w:t>
            </w:r>
            <w:r w:rsidR="00434321">
              <w:t>8</w:t>
            </w:r>
          </w:p>
          <w:p w14:paraId="1A75CF9D" w14:textId="77777777" w:rsidR="00032E4E" w:rsidRPr="00D25175" w:rsidRDefault="00032E4E" w:rsidP="004455F3">
            <w:pPr>
              <w:tabs>
                <w:tab w:val="left" w:pos="624"/>
                <w:tab w:val="left" w:pos="1871"/>
                <w:tab w:val="left" w:pos="2495"/>
              </w:tabs>
              <w:spacing w:before="240"/>
            </w:pPr>
            <w:r w:rsidRPr="00D25175">
              <w:t>Original: English</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68A9C0C4" w14:textId="0C2ACBA9" w:rsidR="001D2D56" w:rsidRDefault="001D2D56" w:rsidP="00976789">
      <w:pPr>
        <w:pStyle w:val="AATitle"/>
        <w:rPr>
          <w:b w:val="0"/>
        </w:rPr>
      </w:pPr>
      <w:bookmarkStart w:id="5" w:name="_Hlk517786179"/>
      <w:r w:rsidRPr="00585A44">
        <w:rPr>
          <w:b w:val="0"/>
        </w:rPr>
        <w:t>Item 5</w:t>
      </w:r>
      <w:r w:rsidR="00471EFD" w:rsidRPr="00585A44">
        <w:rPr>
          <w:b w:val="0"/>
        </w:rPr>
        <w:t xml:space="preserve"> </w:t>
      </w:r>
      <w:r w:rsidR="00B64D18" w:rsidRPr="00585A44">
        <w:rPr>
          <w:b w:val="0"/>
        </w:rPr>
        <w:t>(i</w:t>
      </w:r>
      <w:r w:rsidRPr="00585A44">
        <w:rPr>
          <w:b w:val="0"/>
        </w:rPr>
        <w:t>) of the provisional agenda</w:t>
      </w:r>
      <w:r w:rsidR="00D064CF">
        <w:rPr>
          <w:b w:val="0"/>
        </w:rPr>
        <w:t>*</w:t>
      </w:r>
      <w:r w:rsidR="00D064CF" w:rsidRPr="00DD2B3F">
        <w:rPr>
          <w:rStyle w:val="Appelnotedebasdep"/>
          <w:b w:val="0"/>
          <w:vertAlign w:val="baseline"/>
        </w:rPr>
        <w:footnoteReference w:customMarkFollows="1" w:id="3"/>
        <w:t>*</w:t>
      </w:r>
    </w:p>
    <w:p w14:paraId="0D122519" w14:textId="43730C51" w:rsidR="00306F47" w:rsidRDefault="001D2D56" w:rsidP="00306F47">
      <w:pPr>
        <w:pStyle w:val="AATitle2"/>
        <w:spacing w:before="60"/>
      </w:pPr>
      <w:r>
        <w:t xml:space="preserve">Matters for consideration or action by the </w:t>
      </w:r>
      <w:r>
        <w:br/>
        <w:t xml:space="preserve">Conference of the Parties: </w:t>
      </w:r>
      <w:r w:rsidR="00AE1120">
        <w:t>effectiveness evaluation</w:t>
      </w:r>
    </w:p>
    <w:p w14:paraId="356599F9" w14:textId="77777777" w:rsidR="00306F47" w:rsidRDefault="00306F47" w:rsidP="00306F47">
      <w:pPr>
        <w:pStyle w:val="BBTitle"/>
      </w:pPr>
      <w:r>
        <w:t>Report on the outline, plan and elements of the effectiveness evaluation framework</w:t>
      </w:r>
    </w:p>
    <w:p w14:paraId="15D0B94E" w14:textId="77777777" w:rsidR="00306F47" w:rsidRPr="00035ED3" w:rsidRDefault="00306F47" w:rsidP="00306F47">
      <w:pPr>
        <w:pStyle w:val="CH2"/>
      </w:pPr>
      <w:r>
        <w:tab/>
      </w:r>
      <w:r>
        <w:tab/>
      </w:r>
      <w:r w:rsidRPr="00035ED3">
        <w:t>Note by the secretariat</w:t>
      </w:r>
    </w:p>
    <w:p w14:paraId="0361A2A2" w14:textId="1D5F371E" w:rsidR="00306F47" w:rsidRPr="00A06CF9" w:rsidRDefault="00306F47" w:rsidP="00054588">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A06CF9">
        <w:t xml:space="preserve">At its first meeting, the Conference of the Parties </w:t>
      </w:r>
      <w:r w:rsidR="00AE1120">
        <w:t>adopted</w:t>
      </w:r>
      <w:r w:rsidRPr="00A06CF9">
        <w:t>, in decision MC-1/9,</w:t>
      </w:r>
      <w:r w:rsidR="00AE1120">
        <w:t xml:space="preserve"> a road map for establishing arrangements </w:t>
      </w:r>
      <w:r w:rsidRPr="00A06CF9">
        <w:t xml:space="preserve">for providing the Conference of the Parties with comparable monitoring data, and elements of an effectiveness evaluation framework under </w:t>
      </w:r>
      <w:r w:rsidR="00AE1120">
        <w:t>a</w:t>
      </w:r>
      <w:r w:rsidRPr="00A06CF9">
        <w:t xml:space="preserve">rticle 22 of the </w:t>
      </w:r>
      <w:r w:rsidR="00AE1120">
        <w:t xml:space="preserve">Minamata </w:t>
      </w:r>
      <w:r w:rsidRPr="00A06CF9">
        <w:t>Convention</w:t>
      </w:r>
      <w:r w:rsidR="00AE1120">
        <w:t xml:space="preserve"> on Mercury, set out in annex I to the decision</w:t>
      </w:r>
      <w:r w:rsidRPr="00A06CF9">
        <w:t>. The</w:t>
      </w:r>
      <w:r w:rsidR="00AE1120">
        <w:t xml:space="preserve"> </w:t>
      </w:r>
      <w:r w:rsidRPr="00A06CF9">
        <w:t>road map included a face</w:t>
      </w:r>
      <w:r w:rsidR="00AE1120">
        <w:t>-</w:t>
      </w:r>
      <w:r w:rsidRPr="00A06CF9">
        <w:t>to</w:t>
      </w:r>
      <w:r w:rsidR="00AE1120">
        <w:t>-</w:t>
      </w:r>
      <w:r w:rsidRPr="00A06CF9">
        <w:t xml:space="preserve">face meeting of an ad hoc group of experts </w:t>
      </w:r>
      <w:r w:rsidR="00AE1120">
        <w:t>with the aim of</w:t>
      </w:r>
      <w:r w:rsidRPr="00A06CF9">
        <w:t xml:space="preserve"> prepar</w:t>
      </w:r>
      <w:r w:rsidR="00AE1120">
        <w:t>ing</w:t>
      </w:r>
      <w:r w:rsidRPr="00A06CF9">
        <w:t xml:space="preserve"> a draft report including an outline, </w:t>
      </w:r>
      <w:r w:rsidR="00A35B63">
        <w:t xml:space="preserve">a </w:t>
      </w:r>
      <w:r w:rsidRPr="00A06CF9">
        <w:t>plan and elements of the effectiveness evaluation framework.</w:t>
      </w:r>
      <w:r w:rsidR="00AE1120">
        <w:t xml:space="preserve"> </w:t>
      </w:r>
      <w:r w:rsidRPr="00A06CF9">
        <w:t xml:space="preserve"> </w:t>
      </w:r>
    </w:p>
    <w:p w14:paraId="53A8C44B" w14:textId="73C21630" w:rsidR="00306F47" w:rsidRPr="00A06CF9" w:rsidRDefault="00306F47" w:rsidP="00585A44">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A06CF9">
        <w:t>The ad</w:t>
      </w:r>
      <w:r w:rsidR="00AE1120">
        <w:t xml:space="preserve"> </w:t>
      </w:r>
      <w:r w:rsidRPr="00A06CF9">
        <w:t xml:space="preserve">hoc group </w:t>
      </w:r>
      <w:r w:rsidR="00AE1120">
        <w:t xml:space="preserve">of experts </w:t>
      </w:r>
      <w:r w:rsidRPr="00A06CF9">
        <w:t xml:space="preserve">was established in </w:t>
      </w:r>
      <w:r w:rsidR="00AE1120">
        <w:t>accordance</w:t>
      </w:r>
      <w:r w:rsidR="00AE1120" w:rsidRPr="00A06CF9">
        <w:t xml:space="preserve"> </w:t>
      </w:r>
      <w:r w:rsidRPr="00A06CF9">
        <w:t xml:space="preserve">with the terms of reference </w:t>
      </w:r>
      <w:r w:rsidR="00AE1120">
        <w:t>set out in annex II to</w:t>
      </w:r>
      <w:r w:rsidRPr="00A06CF9">
        <w:t xml:space="preserve"> decision</w:t>
      </w:r>
      <w:r w:rsidR="00AE1120">
        <w:t xml:space="preserve"> MC-1/9</w:t>
      </w:r>
      <w:r w:rsidRPr="00A06CF9">
        <w:t xml:space="preserve"> and met i</w:t>
      </w:r>
      <w:r w:rsidRPr="00AD3D88">
        <w:t xml:space="preserve">n Ottawa </w:t>
      </w:r>
      <w:r w:rsidR="00AE1120" w:rsidRPr="00AD3D88">
        <w:t>from</w:t>
      </w:r>
      <w:r w:rsidRPr="00AD3D88">
        <w:t xml:space="preserve"> 5</w:t>
      </w:r>
      <w:r w:rsidR="00AE1120" w:rsidRPr="00AD3D88">
        <w:t xml:space="preserve"> to </w:t>
      </w:r>
      <w:r w:rsidRPr="00AD3D88">
        <w:t xml:space="preserve">9 March 2018. </w:t>
      </w:r>
      <w:r w:rsidR="009F0A5A">
        <w:t>Its</w:t>
      </w:r>
      <w:r w:rsidRPr="00AD3D88">
        <w:t xml:space="preserve"> recommendations are </w:t>
      </w:r>
      <w:r w:rsidR="00AE1120" w:rsidRPr="00AD3D88">
        <w:t>set out in</w:t>
      </w:r>
      <w:r w:rsidRPr="00AD3D88">
        <w:t xml:space="preserve"> </w:t>
      </w:r>
      <w:r w:rsidR="00844FD2">
        <w:t xml:space="preserve">the </w:t>
      </w:r>
      <w:r w:rsidR="00AE1120" w:rsidRPr="00AD3D88">
        <w:t>a</w:t>
      </w:r>
      <w:r w:rsidRPr="00AD3D88">
        <w:t xml:space="preserve">nnex </w:t>
      </w:r>
      <w:r w:rsidR="00AE1120" w:rsidRPr="00AD3D88">
        <w:t>to the present note</w:t>
      </w:r>
      <w:r w:rsidRPr="00AD3D88">
        <w:t xml:space="preserve">. The report </w:t>
      </w:r>
      <w:r w:rsidR="00AD3D88" w:rsidRPr="00AD3D88">
        <w:t xml:space="preserve">on the work </w:t>
      </w:r>
      <w:r w:rsidR="00AE1120" w:rsidRPr="00AD3D88">
        <w:t xml:space="preserve">of </w:t>
      </w:r>
      <w:r w:rsidRPr="00AD3D88">
        <w:t xml:space="preserve">the </w:t>
      </w:r>
      <w:r w:rsidR="00AD3D88" w:rsidRPr="00AD3D88">
        <w:t xml:space="preserve">ad hoc </w:t>
      </w:r>
      <w:r w:rsidRPr="00AD3D88">
        <w:t>group</w:t>
      </w:r>
      <w:r w:rsidR="00AD3D88" w:rsidRPr="00AD3D88">
        <w:t xml:space="preserve"> of experts on effectiveness evaluation</w:t>
      </w:r>
      <w:r w:rsidRPr="00AD3D88">
        <w:t xml:space="preserve"> is </w:t>
      </w:r>
      <w:r w:rsidR="009F0A5A">
        <w:t>set out</w:t>
      </w:r>
      <w:r w:rsidRPr="00AD3D88">
        <w:t xml:space="preserve"> </w:t>
      </w:r>
      <w:r w:rsidR="00AE1120" w:rsidRPr="00AD3D88">
        <w:t xml:space="preserve">in document </w:t>
      </w:r>
      <w:r w:rsidRPr="00AD3D88">
        <w:t>UNEP/MC/COP.</w:t>
      </w:r>
      <w:r w:rsidR="00AE1120" w:rsidRPr="00AD3D88">
        <w:t>2</w:t>
      </w:r>
      <w:r w:rsidRPr="00AD3D88">
        <w:t>/INF/8.</w:t>
      </w:r>
    </w:p>
    <w:p w14:paraId="0C7F47DE" w14:textId="5147ADC8" w:rsidR="00306F47" w:rsidRPr="00A06CF9" w:rsidRDefault="00306F47" w:rsidP="00585A44">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A06CF9">
        <w:t xml:space="preserve">As </w:t>
      </w:r>
      <w:r w:rsidR="009F0A5A">
        <w:t xml:space="preserve">was </w:t>
      </w:r>
      <w:r w:rsidRPr="00A06CF9">
        <w:t xml:space="preserve">established in the road map, the draft report on the work of the group was made available by the </w:t>
      </w:r>
      <w:r w:rsidR="005C060C">
        <w:t>s</w:t>
      </w:r>
      <w:r w:rsidRPr="00A06CF9">
        <w:t xml:space="preserve">ecretariat on the website of the Minamata Convention from May 2018 for comment. A number of </w:t>
      </w:r>
      <w:r w:rsidR="00AF5CCD">
        <w:t>p</w:t>
      </w:r>
      <w:r w:rsidRPr="00A06CF9">
        <w:t>arties and other entities submitted comments</w:t>
      </w:r>
      <w:r w:rsidR="009F0A5A">
        <w:t>, which</w:t>
      </w:r>
      <w:r w:rsidRPr="00A06CF9">
        <w:t xml:space="preserve"> </w:t>
      </w:r>
      <w:r w:rsidR="00F3607C">
        <w:t>are</w:t>
      </w:r>
      <w:r w:rsidRPr="00A06CF9">
        <w:t xml:space="preserve"> </w:t>
      </w:r>
      <w:r w:rsidR="009F0A5A">
        <w:t>set out</w:t>
      </w:r>
      <w:r w:rsidRPr="00A06CF9">
        <w:t xml:space="preserve"> </w:t>
      </w:r>
      <w:r w:rsidR="00F3607C">
        <w:t>in document</w:t>
      </w:r>
      <w:r w:rsidRPr="00A06CF9">
        <w:t xml:space="preserve"> </w:t>
      </w:r>
      <w:r w:rsidR="00F3607C" w:rsidRPr="00AD3D88">
        <w:t>UNEP/MC/COP.2/INF/</w:t>
      </w:r>
      <w:r w:rsidR="005E241A">
        <w:t>15</w:t>
      </w:r>
      <w:r w:rsidR="00F3607C">
        <w:t xml:space="preserve">. </w:t>
      </w:r>
      <w:r w:rsidRPr="00A06CF9">
        <w:t>The report was revised and finali</w:t>
      </w:r>
      <w:r w:rsidR="00AF5CCD">
        <w:t>z</w:t>
      </w:r>
      <w:r w:rsidRPr="00A06CF9">
        <w:t xml:space="preserve">ed </w:t>
      </w:r>
      <w:r w:rsidR="009F0A5A">
        <w:t xml:space="preserve">on the </w:t>
      </w:r>
      <w:r w:rsidRPr="00A06CF9">
        <w:t>bas</w:t>
      </w:r>
      <w:r w:rsidR="009F0A5A">
        <w:t>is of</w:t>
      </w:r>
      <w:r w:rsidRPr="00A06CF9">
        <w:t xml:space="preserve"> those comments. Some of the comments, however, require further discussion by the group, with guidance from the Conference of the Parties, and </w:t>
      </w:r>
      <w:r w:rsidR="00AF5CCD">
        <w:t xml:space="preserve">could </w:t>
      </w:r>
      <w:r w:rsidR="009F0A5A">
        <w:t xml:space="preserve">therefore </w:t>
      </w:r>
      <w:r w:rsidR="00AF5CCD">
        <w:t>not</w:t>
      </w:r>
      <w:r w:rsidRPr="00A06CF9">
        <w:t xml:space="preserve"> be reflected in the report. Th</w:t>
      </w:r>
      <w:r w:rsidR="009F0A5A">
        <w:t>ose comments</w:t>
      </w:r>
      <w:r w:rsidRPr="00A06CF9">
        <w:t xml:space="preserve"> include the following:</w:t>
      </w:r>
    </w:p>
    <w:p w14:paraId="09F4C23B" w14:textId="7360183E" w:rsidR="00306F47" w:rsidRPr="00A06CF9"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A06CF9">
        <w:t>One party stated that the ad</w:t>
      </w:r>
      <w:r w:rsidR="00AF5CCD">
        <w:t xml:space="preserve"> </w:t>
      </w:r>
      <w:r w:rsidRPr="00A06CF9">
        <w:t xml:space="preserve">hoc group should revise the draft report to better align </w:t>
      </w:r>
      <w:r w:rsidR="009F0A5A">
        <w:t xml:space="preserve">it </w:t>
      </w:r>
      <w:r w:rsidRPr="00A06CF9">
        <w:t xml:space="preserve">with the scope of the mandate as set out in </w:t>
      </w:r>
      <w:r w:rsidR="00AF5CCD">
        <w:t>a</w:t>
      </w:r>
      <w:r w:rsidRPr="00A06CF9">
        <w:t xml:space="preserve">nnex II to decision MC-1/9. The party suggested </w:t>
      </w:r>
      <w:r w:rsidR="009F0A5A">
        <w:t>as</w:t>
      </w:r>
      <w:r w:rsidRPr="00A06CF9">
        <w:t xml:space="preserve"> examples </w:t>
      </w:r>
      <w:r w:rsidR="009F0A5A">
        <w:t xml:space="preserve">of instances </w:t>
      </w:r>
      <w:r w:rsidRPr="00A06CF9">
        <w:t xml:space="preserve">where the group had not adhered to its mandate the lack of review of other multilateral environmental agreement effectiveness evaluation frameworks outside of </w:t>
      </w:r>
      <w:r w:rsidR="00AF5CCD">
        <w:t xml:space="preserve">that of </w:t>
      </w:r>
      <w:r w:rsidRPr="00A06CF9">
        <w:t>the Stockholm Convention</w:t>
      </w:r>
      <w:r w:rsidR="00AF5CCD">
        <w:t xml:space="preserve"> on Persistent Organic Pollutants</w:t>
      </w:r>
      <w:r w:rsidRPr="00A06CF9">
        <w:t xml:space="preserve"> and the lack of a detailed assessment of how information from existing monitoring programmes c</w:t>
      </w:r>
      <w:r w:rsidR="00AF5CCD">
        <w:t>ould</w:t>
      </w:r>
      <w:r w:rsidRPr="00A06CF9">
        <w:t xml:space="preserve"> be integrated into the effectiveness evaluation</w:t>
      </w:r>
      <w:r w:rsidR="009F0A5A">
        <w:t>.</w:t>
      </w:r>
    </w:p>
    <w:p w14:paraId="0DCBF5DA" w14:textId="09B1D8C3" w:rsidR="00306F47" w:rsidRPr="00A06CF9"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A06CF9">
        <w:t xml:space="preserve">Concern was raised </w:t>
      </w:r>
      <w:r w:rsidR="00AF5CCD">
        <w:t>regarding</w:t>
      </w:r>
      <w:r w:rsidRPr="00A06CF9">
        <w:t xml:space="preserve"> the proposal for developing a global monitoring plan, </w:t>
      </w:r>
      <w:r w:rsidR="009F0A5A">
        <w:t>given that</w:t>
      </w:r>
      <w:r w:rsidRPr="00A06CF9">
        <w:t xml:space="preserve"> </w:t>
      </w:r>
      <w:r w:rsidR="00AF5CCD">
        <w:t>a</w:t>
      </w:r>
      <w:r w:rsidRPr="00A06CF9">
        <w:t xml:space="preserve">rticle 22 of the Convention provides that effectiveness evaluation </w:t>
      </w:r>
      <w:r w:rsidR="00AF5CCD">
        <w:t>is to</w:t>
      </w:r>
      <w:r w:rsidR="00AF5CCD" w:rsidRPr="00A06CF9">
        <w:t xml:space="preserve"> </w:t>
      </w:r>
      <w:r w:rsidRPr="00A06CF9">
        <w:t xml:space="preserve">be conducted on the </w:t>
      </w:r>
      <w:r w:rsidRPr="00A06CF9">
        <w:lastRenderedPageBreak/>
        <w:t xml:space="preserve">basis of available information. It was noted that the </w:t>
      </w:r>
      <w:r w:rsidR="00AF5CCD">
        <w:t xml:space="preserve">Minamata </w:t>
      </w:r>
      <w:r w:rsidRPr="00A06CF9">
        <w:t xml:space="preserve">Convention does not require </w:t>
      </w:r>
      <w:r w:rsidR="00AF5CCD">
        <w:t>p</w:t>
      </w:r>
      <w:r w:rsidRPr="00A06CF9">
        <w:t>arties to conduct monitoring</w:t>
      </w:r>
      <w:r w:rsidR="009F0A5A">
        <w:t xml:space="preserve"> or</w:t>
      </w:r>
      <w:r w:rsidRPr="00A06CF9">
        <w:t xml:space="preserve"> call for the development of a monitoring report</w:t>
      </w:r>
      <w:r w:rsidR="009F0A5A">
        <w:t>.</w:t>
      </w:r>
    </w:p>
    <w:p w14:paraId="64A36A4F" w14:textId="6D8DEBB3" w:rsidR="00306F47" w:rsidRPr="007F7A65" w:rsidRDefault="009F0A5A"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t>S</w:t>
      </w:r>
      <w:r w:rsidR="00306F47" w:rsidRPr="00A06CF9">
        <w:t xml:space="preserve">everal comments were </w:t>
      </w:r>
      <w:r>
        <w:t>made</w:t>
      </w:r>
      <w:r w:rsidR="00306F47" w:rsidRPr="00A06CF9">
        <w:t xml:space="preserve"> </w:t>
      </w:r>
      <w:r>
        <w:t>about</w:t>
      </w:r>
      <w:r w:rsidR="00AF5CCD" w:rsidRPr="00A06CF9">
        <w:t xml:space="preserve"> </w:t>
      </w:r>
      <w:r w:rsidR="00306F47" w:rsidRPr="00A06CF9">
        <w:t>the group’s conclusion that monitoring data should be gathered on levels of mercury in air, biota and humans (hair and cord blood)</w:t>
      </w:r>
      <w:r w:rsidR="009C191E">
        <w:t>, suggesting</w:t>
      </w:r>
      <w:r w:rsidR="00306F47" w:rsidRPr="00306F47">
        <w:t xml:space="preserve"> the need for further consideration o</w:t>
      </w:r>
      <w:r w:rsidR="00AF5CCD">
        <w:t>f</w:t>
      </w:r>
      <w:r w:rsidR="00306F47" w:rsidRPr="00306F47">
        <w:t xml:space="preserve"> other matrices for collecting data</w:t>
      </w:r>
      <w:r>
        <w:t>.</w:t>
      </w:r>
    </w:p>
    <w:p w14:paraId="6C3248CA" w14:textId="410AD635" w:rsidR="00306F47" w:rsidRPr="00D57F63"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D57F63">
        <w:t xml:space="preserve">One party recommended in its submission that a </w:t>
      </w:r>
      <w:r w:rsidR="009C191E">
        <w:t>“</w:t>
      </w:r>
      <w:r w:rsidR="009F0A5A">
        <w:t>g</w:t>
      </w:r>
      <w:r w:rsidRPr="00D57F63">
        <w:t xml:space="preserve">lobal </w:t>
      </w:r>
      <w:r w:rsidR="009F0A5A">
        <w:t>m</w:t>
      </w:r>
      <w:r w:rsidRPr="00D57F63">
        <w:t xml:space="preserve">ercury </w:t>
      </w:r>
      <w:r w:rsidR="009F0A5A">
        <w:t>m</w:t>
      </w:r>
      <w:r w:rsidRPr="00D57F63">
        <w:t xml:space="preserve">onitoring </w:t>
      </w:r>
      <w:r w:rsidR="009F0A5A">
        <w:t>t</w:t>
      </w:r>
      <w:r w:rsidRPr="00D57F63">
        <w:t xml:space="preserve">echnical </w:t>
      </w:r>
      <w:r w:rsidR="009F0A5A">
        <w:t>g</w:t>
      </w:r>
      <w:r w:rsidRPr="00D57F63">
        <w:t>uide</w:t>
      </w:r>
      <w:r w:rsidR="009C191E">
        <w:t>”</w:t>
      </w:r>
      <w:r w:rsidRPr="00D57F63">
        <w:t xml:space="preserve"> be developed to facilitate the collection of comparable data. Other comments pointed out the need for capacity</w:t>
      </w:r>
      <w:r w:rsidR="009C191E">
        <w:t>-</w:t>
      </w:r>
      <w:r w:rsidRPr="00D57F63">
        <w:t xml:space="preserve">building and </w:t>
      </w:r>
      <w:r w:rsidR="009F0A5A">
        <w:t xml:space="preserve">for </w:t>
      </w:r>
      <w:r w:rsidRPr="00D57F63">
        <w:t>cooperation with civil society</w:t>
      </w:r>
      <w:r w:rsidR="009F0A5A">
        <w:t>.</w:t>
      </w:r>
    </w:p>
    <w:p w14:paraId="601F6365" w14:textId="44DB3CE6" w:rsidR="00306F47" w:rsidRPr="00D57F63"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D57F63">
        <w:t xml:space="preserve">Concern was </w:t>
      </w:r>
      <w:r w:rsidR="009F0A5A">
        <w:t>expressed</w:t>
      </w:r>
      <w:r w:rsidRPr="00D57F63">
        <w:t xml:space="preserve"> that the </w:t>
      </w:r>
      <w:r w:rsidR="009C191E">
        <w:t>ad hoc</w:t>
      </w:r>
      <w:r w:rsidR="009C191E" w:rsidRPr="00D57F63">
        <w:t xml:space="preserve"> </w:t>
      </w:r>
      <w:r w:rsidRPr="00D57F63">
        <w:t>group</w:t>
      </w:r>
      <w:r w:rsidR="009C191E">
        <w:t xml:space="preserve"> of experts had</w:t>
      </w:r>
      <w:r w:rsidRPr="00D57F63">
        <w:t xml:space="preserve"> not provide</w:t>
      </w:r>
      <w:r w:rsidR="009C191E">
        <w:t>d</w:t>
      </w:r>
      <w:r w:rsidRPr="00D57F63">
        <w:t xml:space="preserve"> options for potential approaches to conducting the effectiveness evaluation, but </w:t>
      </w:r>
      <w:r w:rsidR="009C191E">
        <w:t xml:space="preserve">had </w:t>
      </w:r>
      <w:r w:rsidRPr="00D57F63">
        <w:t>developed one approach extensively, including proposing article-by-article performance indicators</w:t>
      </w:r>
      <w:r w:rsidR="009F0A5A">
        <w:t>.</w:t>
      </w:r>
    </w:p>
    <w:p w14:paraId="2F34F6D4" w14:textId="29BC0F16" w:rsidR="00306F47" w:rsidRPr="00D57F63"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2267B3">
        <w:t xml:space="preserve">With regard to sources of information for the effectiveness evaluation, one party stated that the effectiveness evaluation should be based on what the </w:t>
      </w:r>
      <w:r w:rsidR="009C191E">
        <w:t>p</w:t>
      </w:r>
      <w:r w:rsidRPr="00D57F63">
        <w:t>arties submit</w:t>
      </w:r>
      <w:r w:rsidR="009C191E">
        <w:t>ted</w:t>
      </w:r>
      <w:r w:rsidRPr="00D57F63">
        <w:t xml:space="preserve"> to the </w:t>
      </w:r>
      <w:r w:rsidR="005C060C">
        <w:t>s</w:t>
      </w:r>
      <w:r w:rsidRPr="00D57F63">
        <w:t>ecretariat in accordance with the requirements of the Convention, and proposed t</w:t>
      </w:r>
      <w:r w:rsidR="009C191E">
        <w:t>he</w:t>
      </w:r>
      <w:r w:rsidRPr="00D57F63">
        <w:t xml:space="preserve"> delet</w:t>
      </w:r>
      <w:r w:rsidR="009C191E">
        <w:t>ion of</w:t>
      </w:r>
      <w:r w:rsidRPr="00D57F63">
        <w:t xml:space="preserve"> reference</w:t>
      </w:r>
      <w:r w:rsidR="009C191E">
        <w:t>s</w:t>
      </w:r>
      <w:r w:rsidRPr="00D57F63">
        <w:t xml:space="preserve"> to other information sources from the</w:t>
      </w:r>
      <w:r w:rsidRPr="002267B3">
        <w:t xml:space="preserve"> monitoring framework and the list of potential indicators. </w:t>
      </w:r>
      <w:r w:rsidR="009C191E">
        <w:t>O</w:t>
      </w:r>
      <w:r w:rsidRPr="00D57F63">
        <w:t>ther commenters</w:t>
      </w:r>
      <w:r w:rsidR="009C191E">
        <w:t>, however,</w:t>
      </w:r>
      <w:r w:rsidRPr="00D57F63">
        <w:t xml:space="preserve"> supported the use of other information sources</w:t>
      </w:r>
      <w:r w:rsidR="009C191E">
        <w:t>,</w:t>
      </w:r>
      <w:r w:rsidRPr="00D57F63">
        <w:t xml:space="preserve"> including various project reports</w:t>
      </w:r>
      <w:r w:rsidR="009F0A5A">
        <w:t>.</w:t>
      </w:r>
    </w:p>
    <w:p w14:paraId="1DEDF464" w14:textId="2E9B7611" w:rsidR="00306F47" w:rsidRPr="00D57F63" w:rsidRDefault="00306F47" w:rsidP="00585A44">
      <w:pPr>
        <w:pStyle w:val="Normalnumber"/>
        <w:numPr>
          <w:ilvl w:val="1"/>
          <w:numId w:val="66"/>
        </w:numPr>
        <w:tabs>
          <w:tab w:val="clear" w:pos="1247"/>
          <w:tab w:val="clear" w:pos="1814"/>
          <w:tab w:val="clear" w:pos="2381"/>
          <w:tab w:val="clear" w:pos="2948"/>
          <w:tab w:val="clear" w:pos="3515"/>
          <w:tab w:val="clear" w:pos="4082"/>
          <w:tab w:val="left" w:pos="624"/>
        </w:tabs>
        <w:ind w:left="1247" w:firstLine="624"/>
      </w:pPr>
      <w:r w:rsidRPr="00D57F63">
        <w:t>One party observed that the draft report include</w:t>
      </w:r>
      <w:r w:rsidR="009C191E">
        <w:t>d</w:t>
      </w:r>
      <w:r w:rsidRPr="00D57F63">
        <w:t xml:space="preserve"> a number of assertions without clarification of how the </w:t>
      </w:r>
      <w:r w:rsidR="009C191E">
        <w:t xml:space="preserve">ad hoc </w:t>
      </w:r>
      <w:r w:rsidRPr="00D57F63">
        <w:t xml:space="preserve">group </w:t>
      </w:r>
      <w:r w:rsidR="009C191E">
        <w:t xml:space="preserve">had </w:t>
      </w:r>
      <w:r w:rsidRPr="00D57F63">
        <w:t xml:space="preserve">reached </w:t>
      </w:r>
      <w:r w:rsidR="009C191E">
        <w:t>its</w:t>
      </w:r>
      <w:r w:rsidR="009C191E" w:rsidRPr="00D57F63">
        <w:t xml:space="preserve"> </w:t>
      </w:r>
      <w:r w:rsidRPr="00D57F63">
        <w:t xml:space="preserve">conclusions or </w:t>
      </w:r>
      <w:r w:rsidR="009C191E">
        <w:t xml:space="preserve">the provision of </w:t>
      </w:r>
      <w:r w:rsidRPr="00D57F63">
        <w:t>supporting scientific evidence, including citations to scientific papers and reports, to support judgements</w:t>
      </w:r>
      <w:r w:rsidR="009F0A5A">
        <w:t xml:space="preserve"> contained therein</w:t>
      </w:r>
      <w:r w:rsidRPr="00D57F63">
        <w:t xml:space="preserve">. It suggested that the absence of such clarification or supporting evidence </w:t>
      </w:r>
      <w:r w:rsidR="009C191E">
        <w:t>undermined</w:t>
      </w:r>
      <w:r w:rsidRPr="00D57F63">
        <w:t xml:space="preserve"> the </w:t>
      </w:r>
      <w:r w:rsidR="009C191E">
        <w:t>p</w:t>
      </w:r>
      <w:r w:rsidRPr="00D57F63">
        <w:t>arties’ ability to understand the context of its suggestions.</w:t>
      </w:r>
    </w:p>
    <w:p w14:paraId="4CC55DD8" w14:textId="18CCA42A" w:rsidR="00306F47" w:rsidRPr="00480343" w:rsidRDefault="00015336" w:rsidP="00585A44">
      <w:pPr>
        <w:pStyle w:val="CH2"/>
      </w:pPr>
      <w:r>
        <w:tab/>
      </w:r>
      <w:r>
        <w:tab/>
      </w:r>
      <w:r w:rsidR="00306F47" w:rsidRPr="00480343">
        <w:t>Suggested action by the Conference of the Parties</w:t>
      </w:r>
    </w:p>
    <w:p w14:paraId="4AAE062E" w14:textId="1E1FDFD9" w:rsidR="00306F47" w:rsidRPr="00A06CF9" w:rsidRDefault="00306F47" w:rsidP="00585A44">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A06CF9">
        <w:t xml:space="preserve">The Conference of the Parties may wish to consider the recommendations </w:t>
      </w:r>
      <w:r w:rsidR="009C191E">
        <w:t>of</w:t>
      </w:r>
      <w:r w:rsidRPr="00A06CF9">
        <w:t xml:space="preserve"> the ad hoc group of experts, as well as the submissions </w:t>
      </w:r>
      <w:r w:rsidR="009C191E">
        <w:t>by</w:t>
      </w:r>
      <w:r w:rsidRPr="00A06CF9">
        <w:t xml:space="preserve"> </w:t>
      </w:r>
      <w:r w:rsidR="009C191E">
        <w:t>p</w:t>
      </w:r>
      <w:r w:rsidRPr="00A06CF9">
        <w:t xml:space="preserve">arties and other entities regarding the group’s report. The Conference of the Parties may wish to request the ad hoc group of experts to continue its work and review its recommendations, taking into account the </w:t>
      </w:r>
      <w:r w:rsidR="00B00100">
        <w:t>discussions on the matter</w:t>
      </w:r>
      <w:r w:rsidRPr="00A06CF9">
        <w:t xml:space="preserve"> and the guidance provided by th</w:t>
      </w:r>
      <w:r w:rsidR="00B00100">
        <w:t>e Conference of the Parties at its</w:t>
      </w:r>
      <w:r w:rsidRPr="00A06CF9">
        <w:t xml:space="preserve"> second meeting</w:t>
      </w:r>
      <w:r w:rsidR="00B00100">
        <w:t>,</w:t>
      </w:r>
      <w:r w:rsidRPr="00A06CF9">
        <w:t xml:space="preserve"> as well as other issues and concerns that m</w:t>
      </w:r>
      <w:r w:rsidR="00B00100">
        <w:t>ight</w:t>
      </w:r>
      <w:r w:rsidRPr="00A06CF9">
        <w:t xml:space="preserve"> be raised </w:t>
      </w:r>
      <w:r w:rsidR="00B00100">
        <w:t>at the</w:t>
      </w:r>
      <w:r w:rsidRPr="00A06CF9">
        <w:t xml:space="preserve"> meeting, and </w:t>
      </w:r>
      <w:r w:rsidR="00B00100">
        <w:t xml:space="preserve">to </w:t>
      </w:r>
      <w:r w:rsidRPr="00A06CF9">
        <w:t xml:space="preserve">submit a report </w:t>
      </w:r>
      <w:r w:rsidR="009F0A5A">
        <w:t xml:space="preserve">further </w:t>
      </w:r>
      <w:r w:rsidRPr="00A06CF9">
        <w:t xml:space="preserve">elaborating </w:t>
      </w:r>
      <w:r w:rsidR="00B00100">
        <w:t xml:space="preserve">the </w:t>
      </w:r>
      <w:r w:rsidRPr="00A06CF9">
        <w:t xml:space="preserve">proposed arrangements on comparable monitoring data and elements of an effectiveness evaluation framework </w:t>
      </w:r>
      <w:r w:rsidR="00B00100">
        <w:t>for consideration</w:t>
      </w:r>
      <w:r w:rsidRPr="00A06CF9">
        <w:t xml:space="preserve"> by the Conference of the Parties at its third meeting. </w:t>
      </w:r>
    </w:p>
    <w:p w14:paraId="743CC9CB" w14:textId="77777777" w:rsidR="00306F47" w:rsidRPr="00B53199" w:rsidRDefault="00306F47" w:rsidP="00B53199">
      <w:pPr>
        <w:pStyle w:val="Normal-pool"/>
      </w:pPr>
      <w:r w:rsidRPr="004F76E3">
        <w:br w:type="page"/>
      </w:r>
    </w:p>
    <w:p w14:paraId="5B165752" w14:textId="77777777" w:rsidR="00306F47" w:rsidRDefault="00306F47" w:rsidP="00585A44">
      <w:pPr>
        <w:pStyle w:val="ZZAnxheader"/>
      </w:pPr>
      <w:r>
        <w:lastRenderedPageBreak/>
        <w:t>Annex</w:t>
      </w:r>
    </w:p>
    <w:p w14:paraId="1E150BEF" w14:textId="1B1A521B" w:rsidR="00306F47" w:rsidRPr="00585A44" w:rsidRDefault="00306F47" w:rsidP="00585A44">
      <w:pPr>
        <w:pStyle w:val="ZZAnxtitle"/>
        <w:rPr>
          <w:b w:val="0"/>
          <w:bCs w:val="0"/>
        </w:rPr>
      </w:pPr>
      <w:r w:rsidRPr="00A06CF9">
        <w:t xml:space="preserve">Recommendations </w:t>
      </w:r>
      <w:r w:rsidR="00B00100">
        <w:t>of</w:t>
      </w:r>
      <w:r w:rsidR="00B00100" w:rsidRPr="00A06CF9">
        <w:t xml:space="preserve"> </w:t>
      </w:r>
      <w:r w:rsidRPr="00A06CF9">
        <w:t>the expert group in relation to monitoring</w:t>
      </w:r>
      <w:bookmarkStart w:id="6" w:name="_Hlk523214865"/>
    </w:p>
    <w:p w14:paraId="28778CE5" w14:textId="77777777" w:rsidR="00306F47" w:rsidRPr="00585A44" w:rsidRDefault="00306F47" w:rsidP="00306F47">
      <w:pPr>
        <w:pStyle w:val="Text"/>
        <w:ind w:left="1247"/>
        <w:rPr>
          <w:rFonts w:ascii="Times New Roman" w:hAnsi="Times New Roman" w:cs="Times New Roman"/>
          <w:b/>
          <w:bCs/>
          <w:color w:val="auto"/>
          <w:sz w:val="24"/>
          <w:szCs w:val="24"/>
        </w:rPr>
      </w:pPr>
      <w:r w:rsidRPr="00585A44">
        <w:rPr>
          <w:rFonts w:ascii="Times New Roman" w:hAnsi="Times New Roman" w:cs="Times New Roman"/>
          <w:b/>
          <w:bCs/>
          <w:color w:val="auto"/>
          <w:sz w:val="24"/>
          <w:szCs w:val="24"/>
        </w:rPr>
        <w:t>Recommendations on arrangements on monitoring data</w:t>
      </w:r>
    </w:p>
    <w:bookmarkEnd w:id="6"/>
    <w:p w14:paraId="0D64F919" w14:textId="0411999D" w:rsidR="00306F47" w:rsidRPr="0008191C" w:rsidRDefault="00306F47" w:rsidP="00306F47">
      <w:pPr>
        <w:pStyle w:val="Text"/>
        <w:spacing w:after="120"/>
        <w:ind w:left="1247"/>
        <w:rPr>
          <w:rFonts w:ascii="Times New Roman" w:hAnsi="Times New Roman" w:cs="Times New Roman"/>
          <w:color w:val="auto"/>
          <w:sz w:val="20"/>
          <w:szCs w:val="20"/>
        </w:rPr>
      </w:pPr>
      <w:r w:rsidRPr="00010148">
        <w:rPr>
          <w:rFonts w:ascii="Times New Roman" w:hAnsi="Times New Roman" w:cs="Times New Roman"/>
          <w:b/>
          <w:bCs/>
          <w:color w:val="auto"/>
          <w:sz w:val="20"/>
          <w:szCs w:val="20"/>
        </w:rPr>
        <w:t xml:space="preserve">Outline of the types of </w:t>
      </w:r>
      <w:r w:rsidRPr="0008191C">
        <w:rPr>
          <w:rFonts w:ascii="Times New Roman" w:hAnsi="Times New Roman" w:cs="Times New Roman"/>
          <w:b/>
          <w:bCs/>
          <w:color w:val="auto"/>
          <w:sz w:val="20"/>
          <w:szCs w:val="20"/>
        </w:rPr>
        <w:t>data that could be comparable on a global basis</w:t>
      </w:r>
      <w:r w:rsidR="00237CC9">
        <w:rPr>
          <w:rFonts w:ascii="Times New Roman" w:hAnsi="Times New Roman" w:cs="Times New Roman"/>
          <w:b/>
          <w:bCs/>
          <w:color w:val="auto"/>
          <w:sz w:val="20"/>
          <w:szCs w:val="20"/>
        </w:rPr>
        <w:t xml:space="preserve"> and</w:t>
      </w:r>
      <w:r w:rsidRPr="0008191C">
        <w:rPr>
          <w:rFonts w:ascii="Times New Roman" w:hAnsi="Times New Roman" w:cs="Times New Roman"/>
          <w:b/>
          <w:bCs/>
          <w:color w:val="auto"/>
          <w:sz w:val="20"/>
          <w:szCs w:val="20"/>
        </w:rPr>
        <w:t xml:space="preserve"> </w:t>
      </w:r>
      <w:r w:rsidR="00237CC9">
        <w:rPr>
          <w:rFonts w:ascii="Times New Roman" w:hAnsi="Times New Roman" w:cs="Times New Roman"/>
          <w:b/>
          <w:bCs/>
          <w:color w:val="auto"/>
          <w:sz w:val="20"/>
          <w:szCs w:val="20"/>
        </w:rPr>
        <w:t>of</w:t>
      </w:r>
      <w:r w:rsidRPr="0008191C">
        <w:rPr>
          <w:rFonts w:ascii="Times New Roman" w:hAnsi="Times New Roman" w:cs="Times New Roman"/>
          <w:b/>
          <w:bCs/>
          <w:color w:val="auto"/>
          <w:sz w:val="20"/>
          <w:szCs w:val="20"/>
        </w:rPr>
        <w:t xml:space="preserve"> their availability, a</w:t>
      </w:r>
      <w:r w:rsidR="00237CC9">
        <w:rPr>
          <w:rFonts w:ascii="Times New Roman" w:hAnsi="Times New Roman" w:cs="Times New Roman"/>
          <w:b/>
          <w:bCs/>
          <w:color w:val="auto"/>
          <w:sz w:val="20"/>
          <w:szCs w:val="20"/>
        </w:rPr>
        <w:t>long with</w:t>
      </w:r>
      <w:r w:rsidRPr="0008191C">
        <w:rPr>
          <w:rFonts w:ascii="Times New Roman" w:hAnsi="Times New Roman" w:cs="Times New Roman"/>
          <w:b/>
          <w:bCs/>
          <w:color w:val="auto"/>
          <w:sz w:val="20"/>
          <w:szCs w:val="20"/>
        </w:rPr>
        <w:t xml:space="preserve"> a draft plan </w:t>
      </w:r>
      <w:r w:rsidR="00B00100" w:rsidRPr="0008191C">
        <w:rPr>
          <w:rFonts w:ascii="Times New Roman" w:hAnsi="Times New Roman" w:cs="Times New Roman"/>
          <w:b/>
          <w:bCs/>
          <w:color w:val="auto"/>
          <w:sz w:val="20"/>
          <w:szCs w:val="20"/>
        </w:rPr>
        <w:t>integrating</w:t>
      </w:r>
      <w:r w:rsidRPr="0008191C">
        <w:rPr>
          <w:rFonts w:ascii="Times New Roman" w:hAnsi="Times New Roman" w:cs="Times New Roman"/>
          <w:b/>
          <w:bCs/>
          <w:color w:val="auto"/>
          <w:sz w:val="20"/>
          <w:szCs w:val="20"/>
        </w:rPr>
        <w:t xml:space="preserve"> comparable results for future mon</w:t>
      </w:r>
      <w:r w:rsidRPr="0008191C">
        <w:rPr>
          <w:rFonts w:ascii="Times New Roman" w:hAnsi="Times New Roman" w:cs="Times New Roman"/>
          <w:b/>
          <w:color w:val="auto"/>
          <w:sz w:val="20"/>
        </w:rPr>
        <w:t>itoring</w:t>
      </w:r>
    </w:p>
    <w:p w14:paraId="75B4E7A1" w14:textId="27F36008" w:rsidR="00306F47" w:rsidRPr="0008191C" w:rsidRDefault="00306F47" w:rsidP="00306F47">
      <w:pPr>
        <w:pStyle w:val="Text"/>
        <w:numPr>
          <w:ilvl w:val="0"/>
          <w:numId w:val="65"/>
        </w:numPr>
        <w:spacing w:after="120"/>
        <w:ind w:left="1871" w:hanging="624"/>
        <w:rPr>
          <w:rFonts w:ascii="Times New Roman" w:hAnsi="Times New Roman" w:cs="Times New Roman"/>
          <w:color w:val="auto"/>
          <w:sz w:val="20"/>
          <w:szCs w:val="20"/>
        </w:rPr>
      </w:pPr>
      <w:r w:rsidRPr="0008191C">
        <w:rPr>
          <w:rFonts w:ascii="Times New Roman" w:hAnsi="Times New Roman" w:cs="Times New Roman"/>
          <w:color w:val="auto"/>
          <w:sz w:val="20"/>
          <w:szCs w:val="20"/>
        </w:rPr>
        <w:t>The Conference of the Parties should:</w:t>
      </w:r>
    </w:p>
    <w:p w14:paraId="38270A7E" w14:textId="323EBD61" w:rsidR="00306F47" w:rsidRPr="0008191C" w:rsidRDefault="00B00100" w:rsidP="00306F47">
      <w:pPr>
        <w:pStyle w:val="Text"/>
        <w:numPr>
          <w:ilvl w:val="0"/>
          <w:numId w:val="44"/>
        </w:numPr>
        <w:spacing w:after="120"/>
        <w:ind w:left="2495" w:hanging="624"/>
        <w:rPr>
          <w:rFonts w:ascii="Times New Roman" w:hAnsi="Times New Roman" w:cs="Times New Roman"/>
          <w:color w:val="auto"/>
          <w:sz w:val="20"/>
          <w:szCs w:val="20"/>
        </w:rPr>
      </w:pPr>
      <w:r w:rsidRPr="0008191C">
        <w:rPr>
          <w:rFonts w:ascii="Times New Roman" w:hAnsi="Times New Roman" w:cs="Times New Roman"/>
          <w:color w:val="auto"/>
          <w:sz w:val="20"/>
          <w:szCs w:val="20"/>
        </w:rPr>
        <w:t>E</w:t>
      </w:r>
      <w:r w:rsidR="00306F47" w:rsidRPr="0008191C">
        <w:rPr>
          <w:rFonts w:ascii="Times New Roman" w:hAnsi="Times New Roman" w:cs="Times New Roman"/>
          <w:color w:val="auto"/>
          <w:sz w:val="20"/>
          <w:szCs w:val="20"/>
        </w:rPr>
        <w:t>stablish relationships through the secretariat</w:t>
      </w:r>
      <w:r w:rsidRPr="0008191C">
        <w:rPr>
          <w:rFonts w:ascii="Times New Roman" w:hAnsi="Times New Roman" w:cs="Times New Roman"/>
          <w:color w:val="auto"/>
          <w:sz w:val="20"/>
          <w:szCs w:val="20"/>
        </w:rPr>
        <w:t xml:space="preserve"> with bodies that manage existing information</w:t>
      </w:r>
      <w:r w:rsidR="00237CC9">
        <w:rPr>
          <w:rFonts w:ascii="Times New Roman" w:hAnsi="Times New Roman" w:cs="Times New Roman"/>
          <w:color w:val="auto"/>
          <w:sz w:val="20"/>
          <w:szCs w:val="20"/>
        </w:rPr>
        <w:t>;</w:t>
      </w:r>
    </w:p>
    <w:p w14:paraId="4CCA591E" w14:textId="2BF4058F" w:rsidR="00306F47" w:rsidRPr="0008191C" w:rsidRDefault="00B00100" w:rsidP="00306F47">
      <w:pPr>
        <w:pStyle w:val="Text"/>
        <w:numPr>
          <w:ilvl w:val="0"/>
          <w:numId w:val="44"/>
        </w:numPr>
        <w:spacing w:after="120"/>
        <w:ind w:left="2495" w:hanging="624"/>
        <w:rPr>
          <w:rFonts w:ascii="Times New Roman" w:hAnsi="Times New Roman" w:cs="Times New Roman"/>
          <w:color w:val="auto"/>
          <w:sz w:val="20"/>
          <w:szCs w:val="20"/>
        </w:rPr>
      </w:pPr>
      <w:r w:rsidRPr="0008191C">
        <w:rPr>
          <w:rFonts w:ascii="Times New Roman" w:hAnsi="Times New Roman" w:cs="Times New Roman"/>
          <w:color w:val="auto"/>
          <w:sz w:val="20"/>
          <w:szCs w:val="20"/>
        </w:rPr>
        <w:t>R</w:t>
      </w:r>
      <w:r w:rsidR="00306F47" w:rsidRPr="0008191C">
        <w:rPr>
          <w:rFonts w:ascii="Times New Roman" w:hAnsi="Times New Roman" w:cs="Times New Roman"/>
          <w:color w:val="auto"/>
          <w:sz w:val="20"/>
          <w:szCs w:val="20"/>
        </w:rPr>
        <w:t xml:space="preserve">equest experts to develop terms of reference for monitoring arrangements and for </w:t>
      </w:r>
      <w:r w:rsidRPr="0008191C">
        <w:rPr>
          <w:rFonts w:ascii="Times New Roman" w:hAnsi="Times New Roman" w:cs="Times New Roman"/>
          <w:color w:val="auto"/>
          <w:sz w:val="20"/>
          <w:szCs w:val="20"/>
        </w:rPr>
        <w:t xml:space="preserve">the </w:t>
      </w:r>
      <w:r w:rsidR="00306F47" w:rsidRPr="0008191C">
        <w:rPr>
          <w:rFonts w:ascii="Times New Roman" w:hAnsi="Times New Roman" w:cs="Times New Roman"/>
          <w:color w:val="auto"/>
          <w:sz w:val="20"/>
          <w:szCs w:val="20"/>
        </w:rPr>
        <w:t>implementation of the proposed plan</w:t>
      </w:r>
      <w:r w:rsidR="00237CC9">
        <w:rPr>
          <w:rFonts w:ascii="Times New Roman" w:hAnsi="Times New Roman" w:cs="Times New Roman"/>
          <w:color w:val="auto"/>
          <w:sz w:val="20"/>
          <w:szCs w:val="20"/>
        </w:rPr>
        <w:t>;</w:t>
      </w:r>
    </w:p>
    <w:p w14:paraId="09C9A978" w14:textId="7D461598" w:rsidR="00306F47" w:rsidRPr="0008191C" w:rsidRDefault="00B00100" w:rsidP="00306F47">
      <w:pPr>
        <w:pStyle w:val="Text"/>
        <w:numPr>
          <w:ilvl w:val="0"/>
          <w:numId w:val="44"/>
        </w:numPr>
        <w:spacing w:after="120"/>
        <w:ind w:left="2495" w:hanging="624"/>
        <w:rPr>
          <w:rFonts w:ascii="Times New Roman" w:hAnsi="Times New Roman" w:cs="Times New Roman"/>
          <w:color w:val="auto"/>
          <w:sz w:val="20"/>
          <w:szCs w:val="20"/>
        </w:rPr>
      </w:pPr>
      <w:r w:rsidRPr="0008191C">
        <w:rPr>
          <w:rFonts w:ascii="Times New Roman" w:hAnsi="Times New Roman" w:cs="Times New Roman"/>
          <w:color w:val="auto"/>
          <w:sz w:val="20"/>
          <w:szCs w:val="20"/>
        </w:rPr>
        <w:t>M</w:t>
      </w:r>
      <w:r w:rsidR="00306F47" w:rsidRPr="0008191C">
        <w:rPr>
          <w:rFonts w:ascii="Times New Roman" w:hAnsi="Times New Roman" w:cs="Times New Roman"/>
          <w:color w:val="auto"/>
          <w:sz w:val="20"/>
          <w:szCs w:val="20"/>
        </w:rPr>
        <w:t>ake a recommendation to the Global Environment Facility (GEF)</w:t>
      </w:r>
      <w:r w:rsidR="00306F47" w:rsidRPr="0008191C">
        <w:rPr>
          <w:rStyle w:val="Appelnotedebasdep"/>
          <w:rFonts w:cs="Times New Roman"/>
          <w:szCs w:val="20"/>
        </w:rPr>
        <w:footnoteReference w:id="4"/>
      </w:r>
      <w:r w:rsidR="00306F47" w:rsidRPr="0008191C">
        <w:rPr>
          <w:rFonts w:ascii="Times New Roman" w:hAnsi="Times New Roman" w:cs="Times New Roman"/>
          <w:color w:val="auto"/>
          <w:sz w:val="20"/>
          <w:szCs w:val="20"/>
        </w:rPr>
        <w:t xml:space="preserve"> on the need </w:t>
      </w:r>
      <w:r w:rsidRPr="0008191C">
        <w:rPr>
          <w:rFonts w:ascii="Times New Roman" w:hAnsi="Times New Roman" w:cs="Times New Roman"/>
          <w:color w:val="auto"/>
          <w:sz w:val="20"/>
          <w:szCs w:val="20"/>
        </w:rPr>
        <w:t xml:space="preserve">for </w:t>
      </w:r>
      <w:r w:rsidR="00306F47" w:rsidRPr="0008191C">
        <w:rPr>
          <w:rFonts w:ascii="Times New Roman" w:hAnsi="Times New Roman" w:cs="Times New Roman"/>
          <w:color w:val="auto"/>
          <w:sz w:val="20"/>
          <w:szCs w:val="20"/>
        </w:rPr>
        <w:t>support</w:t>
      </w:r>
      <w:r w:rsidRPr="0008191C">
        <w:rPr>
          <w:rFonts w:ascii="Times New Roman" w:hAnsi="Times New Roman" w:cs="Times New Roman"/>
          <w:color w:val="auto"/>
          <w:sz w:val="20"/>
          <w:szCs w:val="20"/>
        </w:rPr>
        <w:t xml:space="preserve"> in</w:t>
      </w:r>
      <w:r w:rsidR="00306F47" w:rsidRPr="0008191C">
        <w:rPr>
          <w:rFonts w:ascii="Times New Roman" w:hAnsi="Times New Roman" w:cs="Times New Roman"/>
          <w:color w:val="auto"/>
          <w:sz w:val="20"/>
          <w:szCs w:val="20"/>
        </w:rPr>
        <w:t xml:space="preserve"> the collection of essential data and facilitate sustainable input of monitoring information for effectiveness evaluation</w:t>
      </w:r>
      <w:r w:rsidRPr="0008191C">
        <w:rPr>
          <w:rFonts w:ascii="Times New Roman" w:hAnsi="Times New Roman" w:cs="Times New Roman"/>
          <w:color w:val="auto"/>
          <w:sz w:val="20"/>
          <w:szCs w:val="20"/>
        </w:rPr>
        <w:t>.</w:t>
      </w:r>
    </w:p>
    <w:p w14:paraId="187724B5" w14:textId="77777777" w:rsidR="00306F47" w:rsidRPr="00A06CF9" w:rsidRDefault="00306F47" w:rsidP="00306F47">
      <w:pPr>
        <w:pStyle w:val="Text"/>
        <w:spacing w:after="120"/>
        <w:ind w:left="1247"/>
        <w:rPr>
          <w:rFonts w:ascii="Times New Roman" w:hAnsi="Times New Roman" w:cs="Times New Roman"/>
          <w:b/>
          <w:bCs/>
          <w:color w:val="auto"/>
          <w:sz w:val="20"/>
          <w:szCs w:val="20"/>
        </w:rPr>
      </w:pPr>
      <w:r w:rsidRPr="00A06CF9">
        <w:rPr>
          <w:rFonts w:ascii="Times New Roman" w:hAnsi="Times New Roman" w:cs="Times New Roman"/>
          <w:b/>
          <w:bCs/>
          <w:color w:val="auto"/>
          <w:sz w:val="20"/>
          <w:szCs w:val="20"/>
        </w:rPr>
        <w:t>Review of information on existing monitoring programmes</w:t>
      </w:r>
    </w:p>
    <w:p w14:paraId="2DC7EB81" w14:textId="38406B02" w:rsidR="00306F47" w:rsidRPr="00C15D5F" w:rsidRDefault="00306F47" w:rsidP="00585A44">
      <w:pPr>
        <w:pStyle w:val="Text"/>
        <w:numPr>
          <w:ilvl w:val="0"/>
          <w:numId w:val="65"/>
        </w:numPr>
        <w:spacing w:after="120"/>
        <w:ind w:left="1247" w:firstLine="0"/>
        <w:rPr>
          <w:rFonts w:ascii="Times New Roman" w:hAnsi="Times New Roman" w:cs="Times New Roman"/>
          <w:color w:val="auto"/>
          <w:sz w:val="20"/>
          <w:szCs w:val="20"/>
        </w:rPr>
      </w:pPr>
      <w:r w:rsidRPr="00010148">
        <w:rPr>
          <w:rFonts w:ascii="Times New Roman" w:hAnsi="Times New Roman" w:cs="Times New Roman"/>
          <w:color w:val="auto"/>
          <w:sz w:val="20"/>
          <w:szCs w:val="20"/>
        </w:rPr>
        <w:t xml:space="preserve">The Conference of the </w:t>
      </w:r>
      <w:r w:rsidRPr="00C15D5F">
        <w:rPr>
          <w:rFonts w:ascii="Times New Roman" w:hAnsi="Times New Roman" w:cs="Times New Roman"/>
          <w:color w:val="auto"/>
          <w:sz w:val="20"/>
          <w:szCs w:val="20"/>
        </w:rPr>
        <w:t>Parties should request countries</w:t>
      </w:r>
      <w:r w:rsidR="00B00100" w:rsidRPr="00C15D5F">
        <w:rPr>
          <w:rFonts w:ascii="Times New Roman" w:hAnsi="Times New Roman" w:cs="Times New Roman"/>
          <w:color w:val="auto"/>
          <w:sz w:val="20"/>
          <w:szCs w:val="20"/>
        </w:rPr>
        <w:t xml:space="preserve"> and </w:t>
      </w:r>
      <w:r w:rsidRPr="00C15D5F">
        <w:rPr>
          <w:rFonts w:ascii="Times New Roman" w:hAnsi="Times New Roman" w:cs="Times New Roman"/>
          <w:color w:val="auto"/>
          <w:sz w:val="20"/>
          <w:szCs w:val="20"/>
        </w:rPr>
        <w:t>organizations to continue provid</w:t>
      </w:r>
      <w:r w:rsidR="00B00100" w:rsidRPr="00C15D5F">
        <w:rPr>
          <w:rFonts w:ascii="Times New Roman" w:hAnsi="Times New Roman" w:cs="Times New Roman"/>
          <w:color w:val="auto"/>
          <w:sz w:val="20"/>
          <w:szCs w:val="20"/>
        </w:rPr>
        <w:t>ing</w:t>
      </w:r>
      <w:r w:rsidRPr="00C15D5F">
        <w:rPr>
          <w:rFonts w:ascii="Times New Roman" w:hAnsi="Times New Roman" w:cs="Times New Roman"/>
          <w:color w:val="auto"/>
          <w:sz w:val="20"/>
          <w:szCs w:val="20"/>
        </w:rPr>
        <w:t xml:space="preserve"> information on their monitoring programmes to feed into discussions at </w:t>
      </w:r>
      <w:r w:rsidR="00B00100" w:rsidRPr="00C15D5F">
        <w:rPr>
          <w:rFonts w:ascii="Times New Roman" w:hAnsi="Times New Roman" w:cs="Times New Roman"/>
          <w:color w:val="auto"/>
          <w:sz w:val="20"/>
          <w:szCs w:val="20"/>
        </w:rPr>
        <w:t>the third meeting of the Conference of the Parties.</w:t>
      </w:r>
    </w:p>
    <w:p w14:paraId="69A26CBB" w14:textId="1A55FD07" w:rsidR="00306F47" w:rsidRPr="00C15D5F" w:rsidRDefault="00306F47" w:rsidP="00306F47">
      <w:pPr>
        <w:pStyle w:val="Text"/>
        <w:spacing w:after="120"/>
        <w:ind w:left="1247"/>
        <w:rPr>
          <w:rFonts w:ascii="Times New Roman" w:hAnsi="Times New Roman" w:cs="Times New Roman"/>
          <w:b/>
          <w:bCs/>
          <w:color w:val="auto"/>
          <w:sz w:val="20"/>
          <w:szCs w:val="20"/>
        </w:rPr>
      </w:pPr>
      <w:r w:rsidRPr="00C15D5F">
        <w:rPr>
          <w:rFonts w:ascii="Times New Roman" w:hAnsi="Times New Roman" w:cs="Times New Roman"/>
          <w:b/>
          <w:bCs/>
          <w:color w:val="auto"/>
          <w:sz w:val="20"/>
          <w:szCs w:val="20"/>
        </w:rPr>
        <w:t xml:space="preserve">Assess to what extent the information reviewed meets the needs for monitoring set out in paragraph 2 of </w:t>
      </w:r>
      <w:r w:rsidR="00B00100" w:rsidRPr="00C15D5F">
        <w:rPr>
          <w:rFonts w:ascii="Times New Roman" w:hAnsi="Times New Roman" w:cs="Times New Roman"/>
          <w:b/>
          <w:bCs/>
          <w:color w:val="auto"/>
          <w:sz w:val="20"/>
          <w:szCs w:val="20"/>
        </w:rPr>
        <w:t>a</w:t>
      </w:r>
      <w:r w:rsidRPr="00C15D5F">
        <w:rPr>
          <w:rFonts w:ascii="Times New Roman" w:hAnsi="Times New Roman" w:cs="Times New Roman"/>
          <w:b/>
          <w:bCs/>
          <w:color w:val="auto"/>
          <w:sz w:val="20"/>
          <w:szCs w:val="20"/>
        </w:rPr>
        <w:t xml:space="preserve">rticle 22 of the Minamata Convention on Mercury, and on that basis outline options to enhance </w:t>
      </w:r>
      <w:r w:rsidR="00B00100" w:rsidRPr="00C15D5F">
        <w:rPr>
          <w:rFonts w:ascii="Times New Roman" w:hAnsi="Times New Roman" w:cs="Times New Roman"/>
          <w:b/>
          <w:bCs/>
          <w:color w:val="auto"/>
          <w:sz w:val="20"/>
          <w:szCs w:val="20"/>
        </w:rPr>
        <w:t xml:space="preserve">the </w:t>
      </w:r>
      <w:r w:rsidRPr="00C15D5F">
        <w:rPr>
          <w:rFonts w:ascii="Times New Roman" w:hAnsi="Times New Roman" w:cs="Times New Roman"/>
          <w:b/>
          <w:bCs/>
          <w:color w:val="auto"/>
          <w:sz w:val="20"/>
          <w:szCs w:val="20"/>
        </w:rPr>
        <w:t>comparability and completeness of the information reviewed</w:t>
      </w:r>
    </w:p>
    <w:p w14:paraId="17323CF8" w14:textId="5BCF28E1" w:rsidR="00306F47" w:rsidRPr="00010148" w:rsidRDefault="00306F47" w:rsidP="00585A44">
      <w:pPr>
        <w:pStyle w:val="Text"/>
        <w:numPr>
          <w:ilvl w:val="0"/>
          <w:numId w:val="65"/>
        </w:numPr>
        <w:spacing w:after="120"/>
        <w:ind w:left="1247" w:firstLine="0"/>
        <w:rPr>
          <w:rFonts w:ascii="Times New Roman" w:hAnsi="Times New Roman" w:cs="Times New Roman"/>
          <w:color w:val="auto"/>
          <w:sz w:val="20"/>
          <w:szCs w:val="20"/>
        </w:rPr>
      </w:pPr>
      <w:r w:rsidRPr="00C15D5F">
        <w:rPr>
          <w:rFonts w:ascii="Times New Roman" w:hAnsi="Times New Roman" w:cs="Times New Roman"/>
          <w:color w:val="auto"/>
          <w:sz w:val="20"/>
          <w:szCs w:val="20"/>
        </w:rPr>
        <w:t>The Conference of the Parties should develop a global monitoring plan that includes recommendations with regard to the gaps in available information which should be addressed to fully meet the information</w:t>
      </w:r>
      <w:r w:rsidR="00B00100" w:rsidRPr="00C15D5F">
        <w:rPr>
          <w:rFonts w:ascii="Times New Roman" w:hAnsi="Times New Roman" w:cs="Times New Roman"/>
          <w:color w:val="auto"/>
          <w:sz w:val="20"/>
          <w:szCs w:val="20"/>
        </w:rPr>
        <w:t xml:space="preserve"> </w:t>
      </w:r>
      <w:r w:rsidR="00913D3B" w:rsidRPr="00C15D5F">
        <w:rPr>
          <w:rFonts w:ascii="Times New Roman" w:hAnsi="Times New Roman" w:cs="Times New Roman"/>
          <w:color w:val="auto"/>
          <w:sz w:val="20"/>
          <w:szCs w:val="20"/>
        </w:rPr>
        <w:t>needs described</w:t>
      </w:r>
      <w:r w:rsidR="00913D3B">
        <w:rPr>
          <w:rFonts w:ascii="Times New Roman" w:hAnsi="Times New Roman" w:cs="Times New Roman"/>
          <w:color w:val="auto"/>
          <w:sz w:val="20"/>
          <w:szCs w:val="20"/>
        </w:rPr>
        <w:t xml:space="preserve"> in</w:t>
      </w:r>
      <w:r w:rsidRPr="00010148">
        <w:rPr>
          <w:rFonts w:ascii="Times New Roman" w:hAnsi="Times New Roman" w:cs="Times New Roman"/>
          <w:color w:val="auto"/>
          <w:sz w:val="20"/>
          <w:szCs w:val="20"/>
        </w:rPr>
        <w:t xml:space="preserve"> paragraph 2 of </w:t>
      </w:r>
      <w:r w:rsidR="00913D3B">
        <w:rPr>
          <w:rFonts w:ascii="Times New Roman" w:hAnsi="Times New Roman" w:cs="Times New Roman"/>
          <w:color w:val="auto"/>
          <w:sz w:val="20"/>
          <w:szCs w:val="20"/>
        </w:rPr>
        <w:t>a</w:t>
      </w:r>
      <w:r w:rsidRPr="00010148">
        <w:rPr>
          <w:rFonts w:ascii="Times New Roman" w:hAnsi="Times New Roman" w:cs="Times New Roman"/>
          <w:color w:val="auto"/>
          <w:sz w:val="20"/>
          <w:szCs w:val="20"/>
        </w:rPr>
        <w:t xml:space="preserve">rticle 22. </w:t>
      </w:r>
    </w:p>
    <w:p w14:paraId="7D59B34F" w14:textId="4728E1BE" w:rsidR="00306F47" w:rsidRPr="00A06CF9" w:rsidRDefault="00306F47" w:rsidP="00306F47">
      <w:pPr>
        <w:pStyle w:val="Text"/>
        <w:spacing w:after="120"/>
        <w:ind w:left="1247"/>
        <w:rPr>
          <w:rFonts w:ascii="Times New Roman" w:hAnsi="Times New Roman" w:cs="Times New Roman"/>
          <w:b/>
          <w:bCs/>
          <w:color w:val="auto"/>
          <w:sz w:val="20"/>
          <w:szCs w:val="20"/>
        </w:rPr>
      </w:pPr>
      <w:r w:rsidRPr="00010148">
        <w:rPr>
          <w:rFonts w:ascii="Times New Roman" w:hAnsi="Times New Roman" w:cs="Times New Roman"/>
          <w:b/>
          <w:bCs/>
          <w:color w:val="auto"/>
          <w:sz w:val="20"/>
          <w:szCs w:val="20"/>
        </w:rPr>
        <w:t xml:space="preserve">Consideration of cost-effectiveness, practicality, feasibility and sustainability, global coverage, and regional capabilities in identifying opportunities for future enhancement </w:t>
      </w:r>
      <w:r w:rsidR="00913D3B">
        <w:rPr>
          <w:rFonts w:ascii="Times New Roman" w:hAnsi="Times New Roman" w:cs="Times New Roman"/>
          <w:b/>
          <w:bCs/>
          <w:color w:val="auto"/>
          <w:sz w:val="20"/>
          <w:szCs w:val="20"/>
        </w:rPr>
        <w:t>of</w:t>
      </w:r>
      <w:r w:rsidRPr="00010148">
        <w:rPr>
          <w:rFonts w:ascii="Times New Roman" w:hAnsi="Times New Roman" w:cs="Times New Roman"/>
          <w:b/>
          <w:bCs/>
          <w:color w:val="auto"/>
          <w:sz w:val="20"/>
          <w:szCs w:val="20"/>
        </w:rPr>
        <w:t xml:space="preserve"> monitori</w:t>
      </w:r>
      <w:r w:rsidRPr="00A06CF9">
        <w:rPr>
          <w:rFonts w:ascii="Times New Roman" w:hAnsi="Times New Roman" w:cs="Times New Roman"/>
          <w:b/>
          <w:bCs/>
          <w:color w:val="auto"/>
          <w:sz w:val="20"/>
          <w:szCs w:val="20"/>
        </w:rPr>
        <w:t>n</w:t>
      </w:r>
      <w:r w:rsidRPr="00010148">
        <w:rPr>
          <w:rFonts w:ascii="Times New Roman" w:hAnsi="Times New Roman" w:cs="Times New Roman"/>
          <w:b/>
          <w:bCs/>
          <w:color w:val="auto"/>
          <w:sz w:val="20"/>
          <w:szCs w:val="20"/>
        </w:rPr>
        <w:t>g</w:t>
      </w:r>
    </w:p>
    <w:p w14:paraId="7540C6E5" w14:textId="62678606" w:rsidR="00306F47" w:rsidRPr="00010148" w:rsidRDefault="00306F47" w:rsidP="00585A44">
      <w:pPr>
        <w:pStyle w:val="Text"/>
        <w:numPr>
          <w:ilvl w:val="0"/>
          <w:numId w:val="65"/>
        </w:numPr>
        <w:spacing w:after="120"/>
        <w:ind w:left="1247" w:firstLine="0"/>
        <w:rPr>
          <w:rFonts w:ascii="Times New Roman" w:hAnsi="Times New Roman" w:cs="Times New Roman"/>
          <w:color w:val="auto"/>
          <w:sz w:val="20"/>
          <w:szCs w:val="20"/>
        </w:rPr>
      </w:pPr>
      <w:bookmarkStart w:id="7" w:name="_Hlk523222687"/>
      <w:r w:rsidRPr="00010148">
        <w:rPr>
          <w:rFonts w:ascii="Times New Roman" w:hAnsi="Times New Roman" w:cs="Times New Roman"/>
          <w:color w:val="auto"/>
          <w:sz w:val="20"/>
          <w:szCs w:val="20"/>
        </w:rPr>
        <w:t xml:space="preserve">The group concluded that for the requirements of </w:t>
      </w:r>
      <w:r w:rsidR="00913D3B">
        <w:rPr>
          <w:rFonts w:ascii="Times New Roman" w:hAnsi="Times New Roman" w:cs="Times New Roman"/>
          <w:color w:val="auto"/>
          <w:sz w:val="20"/>
          <w:szCs w:val="20"/>
        </w:rPr>
        <w:t>a</w:t>
      </w:r>
      <w:r w:rsidRPr="00010148">
        <w:rPr>
          <w:rFonts w:ascii="Times New Roman" w:hAnsi="Times New Roman" w:cs="Times New Roman"/>
          <w:color w:val="auto"/>
          <w:sz w:val="20"/>
          <w:szCs w:val="20"/>
        </w:rPr>
        <w:t>rticle 22 of the Convention regarding monitoring data</w:t>
      </w:r>
      <w:r w:rsidR="00913D3B">
        <w:rPr>
          <w:rFonts w:ascii="Times New Roman" w:hAnsi="Times New Roman" w:cs="Times New Roman"/>
          <w:color w:val="auto"/>
          <w:sz w:val="20"/>
          <w:szCs w:val="20"/>
        </w:rPr>
        <w:t xml:space="preserve"> to be met</w:t>
      </w:r>
      <w:r w:rsidRPr="00010148">
        <w:rPr>
          <w:rFonts w:ascii="Times New Roman" w:hAnsi="Times New Roman" w:cs="Times New Roman"/>
          <w:color w:val="auto"/>
          <w:sz w:val="20"/>
          <w:szCs w:val="20"/>
        </w:rPr>
        <w:t xml:space="preserve">, information should be gathered on levels of mercury </w:t>
      </w:r>
      <w:r w:rsidRPr="00D57F63">
        <w:rPr>
          <w:rFonts w:ascii="Times New Roman" w:hAnsi="Times New Roman" w:cs="Times New Roman"/>
          <w:color w:val="auto"/>
          <w:sz w:val="20"/>
          <w:szCs w:val="20"/>
        </w:rPr>
        <w:t>in air, biota</w:t>
      </w:r>
      <w:r w:rsidRPr="00010148">
        <w:rPr>
          <w:rFonts w:ascii="Times New Roman" w:hAnsi="Times New Roman" w:cs="Times New Roman"/>
          <w:color w:val="auto"/>
          <w:sz w:val="20"/>
          <w:szCs w:val="20"/>
        </w:rPr>
        <w:t xml:space="preserve"> and humans</w:t>
      </w:r>
      <w:bookmarkEnd w:id="7"/>
      <w:r w:rsidRPr="00010148">
        <w:rPr>
          <w:rFonts w:ascii="Times New Roman" w:hAnsi="Times New Roman" w:cs="Times New Roman"/>
          <w:color w:val="auto"/>
          <w:sz w:val="20"/>
          <w:szCs w:val="20"/>
        </w:rPr>
        <w:t xml:space="preserve">. </w:t>
      </w:r>
      <w:r w:rsidR="00237CC9">
        <w:rPr>
          <w:rFonts w:ascii="Times New Roman" w:hAnsi="Times New Roman" w:cs="Times New Roman"/>
          <w:color w:val="auto"/>
          <w:sz w:val="20"/>
          <w:szCs w:val="20"/>
        </w:rPr>
        <w:t>C</w:t>
      </w:r>
      <w:r w:rsidRPr="00010148">
        <w:rPr>
          <w:rFonts w:ascii="Times New Roman" w:hAnsi="Times New Roman" w:cs="Times New Roman"/>
          <w:color w:val="auto"/>
          <w:sz w:val="20"/>
          <w:szCs w:val="20"/>
        </w:rPr>
        <w:t>ost</w:t>
      </w:r>
      <w:r w:rsidR="00237CC9">
        <w:rPr>
          <w:rFonts w:ascii="Times New Roman" w:hAnsi="Times New Roman" w:cs="Times New Roman"/>
          <w:color w:val="auto"/>
          <w:sz w:val="20"/>
          <w:szCs w:val="20"/>
        </w:rPr>
        <w:t>-</w:t>
      </w:r>
      <w:r w:rsidRPr="00010148">
        <w:rPr>
          <w:rFonts w:ascii="Times New Roman" w:hAnsi="Times New Roman" w:cs="Times New Roman"/>
          <w:color w:val="auto"/>
          <w:sz w:val="20"/>
          <w:szCs w:val="20"/>
        </w:rPr>
        <w:t>effective, practical, feasible and sustainable</w:t>
      </w:r>
      <w:r w:rsidR="00913D3B" w:rsidRPr="00913D3B">
        <w:rPr>
          <w:rFonts w:ascii="Times New Roman" w:hAnsi="Times New Roman" w:cs="Times New Roman"/>
          <w:color w:val="auto"/>
          <w:sz w:val="20"/>
          <w:szCs w:val="20"/>
        </w:rPr>
        <w:t xml:space="preserve"> </w:t>
      </w:r>
      <w:r w:rsidR="00237CC9">
        <w:rPr>
          <w:rFonts w:ascii="Times New Roman" w:hAnsi="Times New Roman" w:cs="Times New Roman"/>
          <w:color w:val="auto"/>
          <w:sz w:val="20"/>
          <w:szCs w:val="20"/>
        </w:rPr>
        <w:t xml:space="preserve">methods </w:t>
      </w:r>
      <w:r w:rsidR="00913D3B" w:rsidRPr="00010148">
        <w:rPr>
          <w:rFonts w:ascii="Times New Roman" w:hAnsi="Times New Roman" w:cs="Times New Roman"/>
          <w:color w:val="auto"/>
          <w:sz w:val="20"/>
          <w:szCs w:val="20"/>
        </w:rPr>
        <w:t>are available for all types of monitoring</w:t>
      </w:r>
      <w:r w:rsidRPr="00010148">
        <w:rPr>
          <w:rFonts w:ascii="Times New Roman" w:hAnsi="Times New Roman" w:cs="Times New Roman"/>
          <w:color w:val="auto"/>
          <w:sz w:val="20"/>
          <w:szCs w:val="20"/>
        </w:rPr>
        <w:t>. For air, it is recommended that a combination of air sampling (both active and passive) and wet deposition</w:t>
      </w:r>
      <w:r w:rsidR="00913D3B">
        <w:rPr>
          <w:rFonts w:ascii="Times New Roman" w:hAnsi="Times New Roman" w:cs="Times New Roman"/>
          <w:color w:val="auto"/>
          <w:sz w:val="20"/>
          <w:szCs w:val="20"/>
        </w:rPr>
        <w:t>,</w:t>
      </w:r>
      <w:r w:rsidRPr="00010148">
        <w:rPr>
          <w:rFonts w:ascii="Times New Roman" w:hAnsi="Times New Roman" w:cs="Times New Roman"/>
          <w:color w:val="auto"/>
          <w:sz w:val="20"/>
          <w:szCs w:val="20"/>
        </w:rPr>
        <w:t xml:space="preserve"> where feasible</w:t>
      </w:r>
      <w:r w:rsidR="00913D3B">
        <w:rPr>
          <w:rFonts w:ascii="Times New Roman" w:hAnsi="Times New Roman" w:cs="Times New Roman"/>
          <w:color w:val="auto"/>
          <w:sz w:val="20"/>
          <w:szCs w:val="20"/>
        </w:rPr>
        <w:t>,</w:t>
      </w:r>
      <w:r w:rsidRPr="00010148">
        <w:rPr>
          <w:rFonts w:ascii="Times New Roman" w:hAnsi="Times New Roman" w:cs="Times New Roman"/>
          <w:color w:val="auto"/>
          <w:sz w:val="20"/>
          <w:szCs w:val="20"/>
        </w:rPr>
        <w:t xml:space="preserve"> be undertaken. For human biomonitoring, hair </w:t>
      </w:r>
      <w:r w:rsidR="00237CC9">
        <w:rPr>
          <w:rFonts w:ascii="Times New Roman" w:hAnsi="Times New Roman" w:cs="Times New Roman"/>
          <w:color w:val="auto"/>
          <w:sz w:val="20"/>
          <w:szCs w:val="20"/>
        </w:rPr>
        <w:t>and</w:t>
      </w:r>
      <w:r w:rsidRPr="00010148">
        <w:rPr>
          <w:rFonts w:ascii="Times New Roman" w:hAnsi="Times New Roman" w:cs="Times New Roman"/>
          <w:color w:val="auto"/>
          <w:sz w:val="20"/>
          <w:szCs w:val="20"/>
        </w:rPr>
        <w:t xml:space="preserve"> cord blood meet all </w:t>
      </w:r>
      <w:r w:rsidR="00913D3B">
        <w:rPr>
          <w:rFonts w:ascii="Times New Roman" w:hAnsi="Times New Roman" w:cs="Times New Roman"/>
          <w:color w:val="auto"/>
          <w:sz w:val="20"/>
          <w:szCs w:val="20"/>
        </w:rPr>
        <w:t xml:space="preserve">the </w:t>
      </w:r>
      <w:r w:rsidRPr="00010148">
        <w:rPr>
          <w:rFonts w:ascii="Times New Roman" w:hAnsi="Times New Roman" w:cs="Times New Roman"/>
          <w:color w:val="auto"/>
          <w:sz w:val="20"/>
          <w:szCs w:val="20"/>
        </w:rPr>
        <w:t>criteria for inclusion in a global monitoring programme. For biota, the sampling methods m</w:t>
      </w:r>
      <w:r w:rsidR="00913D3B">
        <w:rPr>
          <w:rFonts w:ascii="Times New Roman" w:hAnsi="Times New Roman" w:cs="Times New Roman"/>
          <w:color w:val="auto"/>
          <w:sz w:val="20"/>
          <w:szCs w:val="20"/>
        </w:rPr>
        <w:t>ight</w:t>
      </w:r>
      <w:r w:rsidRPr="00010148">
        <w:rPr>
          <w:rFonts w:ascii="Times New Roman" w:hAnsi="Times New Roman" w:cs="Times New Roman"/>
          <w:color w:val="auto"/>
          <w:sz w:val="20"/>
          <w:szCs w:val="20"/>
        </w:rPr>
        <w:t xml:space="preserve"> vary depending </w:t>
      </w:r>
      <w:r w:rsidRPr="00165717">
        <w:rPr>
          <w:rFonts w:ascii="Times New Roman" w:hAnsi="Times New Roman" w:cs="Times New Roman"/>
          <w:color w:val="auto"/>
          <w:sz w:val="20"/>
          <w:szCs w:val="20"/>
        </w:rPr>
        <w:t xml:space="preserve">on the biome and </w:t>
      </w:r>
      <w:r w:rsidR="00237CC9">
        <w:rPr>
          <w:rFonts w:ascii="Times New Roman" w:hAnsi="Times New Roman" w:cs="Times New Roman"/>
          <w:color w:val="auto"/>
          <w:sz w:val="20"/>
          <w:szCs w:val="20"/>
        </w:rPr>
        <w:t xml:space="preserve">the </w:t>
      </w:r>
      <w:r w:rsidRPr="00165717">
        <w:rPr>
          <w:rFonts w:ascii="Times New Roman" w:hAnsi="Times New Roman" w:cs="Times New Roman"/>
          <w:color w:val="auto"/>
          <w:sz w:val="20"/>
          <w:szCs w:val="20"/>
        </w:rPr>
        <w:t>objective</w:t>
      </w:r>
      <w:r w:rsidR="00237CC9">
        <w:rPr>
          <w:rFonts w:ascii="Times New Roman" w:hAnsi="Times New Roman" w:cs="Times New Roman"/>
          <w:color w:val="auto"/>
          <w:sz w:val="20"/>
          <w:szCs w:val="20"/>
        </w:rPr>
        <w:t>;</w:t>
      </w:r>
      <w:r w:rsidRPr="00165717">
        <w:rPr>
          <w:rFonts w:ascii="Times New Roman" w:hAnsi="Times New Roman" w:cs="Times New Roman"/>
          <w:color w:val="auto"/>
          <w:sz w:val="20"/>
          <w:szCs w:val="20"/>
        </w:rPr>
        <w:t xml:space="preserve"> however</w:t>
      </w:r>
      <w:r w:rsidR="00237CC9">
        <w:rPr>
          <w:rFonts w:ascii="Times New Roman" w:hAnsi="Times New Roman" w:cs="Times New Roman"/>
          <w:color w:val="auto"/>
          <w:sz w:val="20"/>
          <w:szCs w:val="20"/>
        </w:rPr>
        <w:t>,</w:t>
      </w:r>
      <w:r w:rsidRPr="00165717">
        <w:rPr>
          <w:rFonts w:ascii="Times New Roman" w:hAnsi="Times New Roman" w:cs="Times New Roman"/>
          <w:color w:val="auto"/>
          <w:sz w:val="20"/>
          <w:szCs w:val="20"/>
        </w:rPr>
        <w:t xml:space="preserve"> sampling </w:t>
      </w:r>
      <w:r w:rsidR="00237CC9">
        <w:rPr>
          <w:rFonts w:ascii="Times New Roman" w:hAnsi="Times New Roman" w:cs="Times New Roman"/>
          <w:color w:val="auto"/>
          <w:sz w:val="20"/>
          <w:szCs w:val="20"/>
        </w:rPr>
        <w:t xml:space="preserve">that </w:t>
      </w:r>
      <w:r w:rsidRPr="00165717">
        <w:rPr>
          <w:rFonts w:ascii="Times New Roman" w:hAnsi="Times New Roman" w:cs="Times New Roman"/>
          <w:color w:val="auto"/>
          <w:sz w:val="20"/>
          <w:szCs w:val="20"/>
        </w:rPr>
        <w:t>meet</w:t>
      </w:r>
      <w:r w:rsidR="00237CC9">
        <w:rPr>
          <w:rFonts w:ascii="Times New Roman" w:hAnsi="Times New Roman" w:cs="Times New Roman"/>
          <w:color w:val="auto"/>
          <w:sz w:val="20"/>
          <w:szCs w:val="20"/>
        </w:rPr>
        <w:t>s</w:t>
      </w:r>
      <w:r w:rsidRPr="00165717">
        <w:rPr>
          <w:rFonts w:ascii="Times New Roman" w:hAnsi="Times New Roman" w:cs="Times New Roman"/>
          <w:color w:val="auto"/>
          <w:sz w:val="20"/>
          <w:szCs w:val="20"/>
        </w:rPr>
        <w:t xml:space="preserve"> all </w:t>
      </w:r>
      <w:r w:rsidR="00913D3B" w:rsidRPr="00165717">
        <w:rPr>
          <w:rFonts w:ascii="Times New Roman" w:hAnsi="Times New Roman" w:cs="Times New Roman"/>
          <w:color w:val="auto"/>
          <w:sz w:val="20"/>
          <w:szCs w:val="20"/>
        </w:rPr>
        <w:t xml:space="preserve">the </w:t>
      </w:r>
      <w:r w:rsidRPr="00165717">
        <w:rPr>
          <w:rFonts w:ascii="Times New Roman" w:hAnsi="Times New Roman" w:cs="Times New Roman"/>
          <w:color w:val="auto"/>
          <w:sz w:val="20"/>
          <w:szCs w:val="20"/>
        </w:rPr>
        <w:t>considerations is possible. It was noted that</w:t>
      </w:r>
      <w:r w:rsidR="00237CC9">
        <w:rPr>
          <w:rFonts w:ascii="Times New Roman" w:hAnsi="Times New Roman" w:cs="Times New Roman"/>
          <w:color w:val="auto"/>
          <w:sz w:val="20"/>
          <w:szCs w:val="20"/>
        </w:rPr>
        <w:t>,</w:t>
      </w:r>
      <w:r w:rsidRPr="00165717">
        <w:rPr>
          <w:rFonts w:ascii="Times New Roman" w:hAnsi="Times New Roman" w:cs="Times New Roman"/>
          <w:color w:val="auto"/>
          <w:sz w:val="20"/>
          <w:szCs w:val="20"/>
        </w:rPr>
        <w:t xml:space="preserve"> </w:t>
      </w:r>
      <w:r w:rsidR="00913D3B" w:rsidRPr="00165717">
        <w:rPr>
          <w:rFonts w:ascii="Times New Roman" w:hAnsi="Times New Roman" w:cs="Times New Roman"/>
          <w:color w:val="auto"/>
          <w:sz w:val="20"/>
          <w:szCs w:val="20"/>
        </w:rPr>
        <w:t xml:space="preserve">while </w:t>
      </w:r>
      <w:r w:rsidRPr="00165717">
        <w:rPr>
          <w:rFonts w:ascii="Times New Roman" w:hAnsi="Times New Roman" w:cs="Times New Roman"/>
          <w:color w:val="auto"/>
          <w:sz w:val="20"/>
          <w:szCs w:val="20"/>
        </w:rPr>
        <w:t>global coverage of monitoring</w:t>
      </w:r>
      <w:r w:rsidR="00913D3B" w:rsidRPr="00585A44">
        <w:rPr>
          <w:rFonts w:ascii="Times New Roman" w:hAnsi="Times New Roman" w:cs="Times New Roman"/>
          <w:color w:val="auto"/>
          <w:sz w:val="20"/>
          <w:szCs w:val="20"/>
        </w:rPr>
        <w:t xml:space="preserve"> did not exist</w:t>
      </w:r>
      <w:r w:rsidRPr="00165717">
        <w:rPr>
          <w:rFonts w:ascii="Times New Roman" w:hAnsi="Times New Roman" w:cs="Times New Roman"/>
          <w:color w:val="auto"/>
          <w:sz w:val="20"/>
          <w:szCs w:val="20"/>
        </w:rPr>
        <w:t>, the draft plan</w:t>
      </w:r>
      <w:r w:rsidRPr="00165717">
        <w:rPr>
          <w:rStyle w:val="Appelnotedebasdep"/>
          <w:rFonts w:cs="Times New Roman"/>
        </w:rPr>
        <w:footnoteReference w:id="5"/>
      </w:r>
      <w:r w:rsidRPr="00165717">
        <w:rPr>
          <w:rFonts w:ascii="Times New Roman" w:hAnsi="Times New Roman" w:cs="Times New Roman"/>
          <w:color w:val="auto"/>
          <w:sz w:val="20"/>
          <w:szCs w:val="20"/>
        </w:rPr>
        <w:t xml:space="preserve"> include</w:t>
      </w:r>
      <w:r w:rsidR="00913D3B" w:rsidRPr="00165717">
        <w:rPr>
          <w:rFonts w:ascii="Times New Roman" w:hAnsi="Times New Roman" w:cs="Times New Roman"/>
          <w:color w:val="auto"/>
          <w:sz w:val="20"/>
          <w:szCs w:val="20"/>
        </w:rPr>
        <w:t>d</w:t>
      </w:r>
      <w:r w:rsidRPr="00010148">
        <w:rPr>
          <w:rFonts w:ascii="Times New Roman" w:hAnsi="Times New Roman" w:cs="Times New Roman"/>
          <w:color w:val="auto"/>
          <w:sz w:val="20"/>
          <w:szCs w:val="20"/>
        </w:rPr>
        <w:t xml:space="preserve"> recommendations on how to address existing gaps</w:t>
      </w:r>
      <w:r w:rsidR="0088701E">
        <w:rPr>
          <w:rFonts w:ascii="Times New Roman" w:hAnsi="Times New Roman" w:cs="Times New Roman"/>
          <w:color w:val="auto"/>
          <w:sz w:val="20"/>
          <w:szCs w:val="20"/>
        </w:rPr>
        <w:t xml:space="preserve"> in coverage</w:t>
      </w:r>
      <w:r w:rsidRPr="00010148">
        <w:rPr>
          <w:rFonts w:ascii="Times New Roman" w:hAnsi="Times New Roman" w:cs="Times New Roman"/>
          <w:color w:val="auto"/>
          <w:sz w:val="20"/>
          <w:szCs w:val="20"/>
        </w:rPr>
        <w:t>. T</w:t>
      </w:r>
      <w:r w:rsidR="00237CC9">
        <w:rPr>
          <w:rFonts w:ascii="Times New Roman" w:hAnsi="Times New Roman" w:cs="Times New Roman"/>
          <w:color w:val="auto"/>
          <w:sz w:val="20"/>
          <w:szCs w:val="20"/>
        </w:rPr>
        <w:t>he t</w:t>
      </w:r>
      <w:r w:rsidRPr="00010148">
        <w:rPr>
          <w:rFonts w:ascii="Times New Roman" w:hAnsi="Times New Roman" w:cs="Times New Roman"/>
          <w:color w:val="auto"/>
          <w:sz w:val="20"/>
          <w:szCs w:val="20"/>
        </w:rPr>
        <w:t xml:space="preserve">echnologies, analytical capacity and expertise </w:t>
      </w:r>
      <w:r w:rsidR="00237CC9">
        <w:rPr>
          <w:rFonts w:ascii="Times New Roman" w:hAnsi="Times New Roman" w:cs="Times New Roman"/>
          <w:color w:val="auto"/>
          <w:sz w:val="20"/>
          <w:szCs w:val="20"/>
        </w:rPr>
        <w:t xml:space="preserve">needed to establish global monitoring </w:t>
      </w:r>
      <w:r w:rsidRPr="00010148">
        <w:rPr>
          <w:rFonts w:ascii="Times New Roman" w:hAnsi="Times New Roman" w:cs="Times New Roman"/>
          <w:color w:val="auto"/>
          <w:sz w:val="20"/>
          <w:szCs w:val="20"/>
        </w:rPr>
        <w:t xml:space="preserve">are available. </w:t>
      </w:r>
      <w:r w:rsidR="0088701E">
        <w:rPr>
          <w:rFonts w:ascii="Times New Roman" w:hAnsi="Times New Roman" w:cs="Times New Roman"/>
          <w:color w:val="auto"/>
          <w:sz w:val="20"/>
          <w:szCs w:val="20"/>
        </w:rPr>
        <w:t>The group</w:t>
      </w:r>
      <w:r w:rsidRPr="00010148">
        <w:rPr>
          <w:rFonts w:ascii="Times New Roman" w:hAnsi="Times New Roman" w:cs="Times New Roman"/>
          <w:color w:val="auto"/>
          <w:sz w:val="20"/>
          <w:szCs w:val="20"/>
        </w:rPr>
        <w:t xml:space="preserve"> considered that steady progress </w:t>
      </w:r>
      <w:r w:rsidR="0088701E">
        <w:rPr>
          <w:rFonts w:ascii="Times New Roman" w:hAnsi="Times New Roman" w:cs="Times New Roman"/>
          <w:color w:val="auto"/>
          <w:sz w:val="20"/>
          <w:szCs w:val="20"/>
        </w:rPr>
        <w:t xml:space="preserve">could be </w:t>
      </w:r>
      <w:r w:rsidR="00237CC9">
        <w:rPr>
          <w:rFonts w:ascii="Times New Roman" w:hAnsi="Times New Roman" w:cs="Times New Roman"/>
          <w:color w:val="auto"/>
          <w:sz w:val="20"/>
          <w:szCs w:val="20"/>
        </w:rPr>
        <w:t>made</w:t>
      </w:r>
      <w:r w:rsidR="0088701E">
        <w:rPr>
          <w:rFonts w:ascii="Times New Roman" w:hAnsi="Times New Roman" w:cs="Times New Roman"/>
          <w:color w:val="auto"/>
          <w:sz w:val="20"/>
          <w:szCs w:val="20"/>
        </w:rPr>
        <w:t xml:space="preserve"> </w:t>
      </w:r>
      <w:r w:rsidRPr="00010148">
        <w:rPr>
          <w:rFonts w:ascii="Times New Roman" w:hAnsi="Times New Roman" w:cs="Times New Roman"/>
          <w:color w:val="auto"/>
          <w:sz w:val="20"/>
          <w:szCs w:val="20"/>
        </w:rPr>
        <w:t xml:space="preserve">towards monitoring at </w:t>
      </w:r>
      <w:r w:rsidR="0088701E">
        <w:rPr>
          <w:rFonts w:ascii="Times New Roman" w:hAnsi="Times New Roman" w:cs="Times New Roman"/>
          <w:color w:val="auto"/>
          <w:sz w:val="20"/>
          <w:szCs w:val="20"/>
        </w:rPr>
        <w:t>the</w:t>
      </w:r>
      <w:r w:rsidRPr="00010148">
        <w:rPr>
          <w:rFonts w:ascii="Times New Roman" w:hAnsi="Times New Roman" w:cs="Times New Roman"/>
          <w:color w:val="auto"/>
          <w:sz w:val="20"/>
          <w:szCs w:val="20"/>
        </w:rPr>
        <w:t xml:space="preserve"> global level as additional programmes were established. </w:t>
      </w:r>
    </w:p>
    <w:p w14:paraId="511B404B" w14:textId="77777777" w:rsidR="00306F47" w:rsidRPr="00A06CF9" w:rsidRDefault="00306F47" w:rsidP="006353E6">
      <w:pPr>
        <w:pStyle w:val="Text"/>
        <w:keepNext/>
        <w:keepLines/>
        <w:spacing w:after="120"/>
        <w:ind w:left="1247"/>
        <w:rPr>
          <w:rFonts w:ascii="Times New Roman" w:hAnsi="Times New Roman" w:cs="Times New Roman"/>
          <w:b/>
          <w:bCs/>
          <w:color w:val="auto"/>
          <w:sz w:val="20"/>
          <w:szCs w:val="20"/>
        </w:rPr>
      </w:pPr>
      <w:r w:rsidRPr="00A06CF9">
        <w:rPr>
          <w:rFonts w:ascii="Times New Roman" w:hAnsi="Times New Roman" w:cs="Times New Roman"/>
          <w:b/>
          <w:bCs/>
          <w:color w:val="auto"/>
          <w:sz w:val="20"/>
          <w:szCs w:val="20"/>
        </w:rPr>
        <w:lastRenderedPageBreak/>
        <w:t>Identification of available modelling capabilities to assess changes in global mercury levels within and across different media</w:t>
      </w:r>
    </w:p>
    <w:p w14:paraId="1D7E55E4" w14:textId="77777777" w:rsidR="00306F47" w:rsidRPr="00C15D5F" w:rsidRDefault="00306F47" w:rsidP="006353E6">
      <w:pPr>
        <w:pStyle w:val="Text"/>
        <w:keepNext/>
        <w:keepLines/>
        <w:numPr>
          <w:ilvl w:val="0"/>
          <w:numId w:val="65"/>
        </w:numPr>
        <w:spacing w:after="120"/>
        <w:ind w:left="1247" w:firstLine="0"/>
        <w:rPr>
          <w:rFonts w:ascii="Times New Roman" w:hAnsi="Times New Roman" w:cs="Times New Roman"/>
          <w:color w:val="auto"/>
          <w:sz w:val="20"/>
          <w:szCs w:val="20"/>
        </w:rPr>
      </w:pPr>
      <w:r w:rsidRPr="00010148">
        <w:rPr>
          <w:rFonts w:ascii="Times New Roman" w:hAnsi="Times New Roman" w:cs="Times New Roman"/>
          <w:color w:val="auto"/>
          <w:sz w:val="20"/>
          <w:szCs w:val="20"/>
        </w:rPr>
        <w:t xml:space="preserve">The Conference of the </w:t>
      </w:r>
      <w:r w:rsidRPr="00C15D5F">
        <w:rPr>
          <w:rFonts w:ascii="Times New Roman" w:hAnsi="Times New Roman" w:cs="Times New Roman"/>
          <w:color w:val="auto"/>
          <w:sz w:val="20"/>
          <w:szCs w:val="20"/>
        </w:rPr>
        <w:t>Parties should:</w:t>
      </w:r>
    </w:p>
    <w:p w14:paraId="12B1BABD" w14:textId="388D7C55" w:rsidR="00306F47" w:rsidRPr="00C15D5F" w:rsidRDefault="00306F47" w:rsidP="006353E6">
      <w:pPr>
        <w:pStyle w:val="Text"/>
        <w:keepNext/>
        <w:keepLines/>
        <w:numPr>
          <w:ilvl w:val="0"/>
          <w:numId w:val="44"/>
        </w:numPr>
        <w:spacing w:after="120"/>
        <w:ind w:left="2495" w:hanging="624"/>
        <w:rPr>
          <w:rFonts w:ascii="Times New Roman" w:hAnsi="Times New Roman" w:cs="Times New Roman"/>
          <w:color w:val="auto"/>
          <w:sz w:val="20"/>
          <w:szCs w:val="20"/>
        </w:rPr>
      </w:pPr>
      <w:r w:rsidRPr="005C060C">
        <w:rPr>
          <w:rFonts w:ascii="Times New Roman" w:hAnsi="Times New Roman" w:cs="Times New Roman"/>
          <w:color w:val="auto"/>
          <w:sz w:val="20"/>
          <w:szCs w:val="20"/>
        </w:rPr>
        <w:t xml:space="preserve">Encourage </w:t>
      </w:r>
      <w:r w:rsidR="0088701E" w:rsidRPr="005C060C">
        <w:rPr>
          <w:rFonts w:ascii="Times New Roman" w:hAnsi="Times New Roman" w:cs="Times New Roman"/>
          <w:color w:val="auto"/>
          <w:sz w:val="20"/>
          <w:szCs w:val="20"/>
        </w:rPr>
        <w:t>p</w:t>
      </w:r>
      <w:r w:rsidRPr="005C060C">
        <w:rPr>
          <w:rFonts w:ascii="Times New Roman" w:hAnsi="Times New Roman" w:cs="Times New Roman"/>
          <w:color w:val="auto"/>
          <w:sz w:val="20"/>
          <w:szCs w:val="20"/>
        </w:rPr>
        <w:t>arties to endeavo</w:t>
      </w:r>
      <w:r w:rsidR="0088701E" w:rsidRPr="005C060C">
        <w:rPr>
          <w:rFonts w:ascii="Times New Roman" w:hAnsi="Times New Roman" w:cs="Times New Roman"/>
          <w:color w:val="auto"/>
          <w:sz w:val="20"/>
          <w:szCs w:val="20"/>
        </w:rPr>
        <w:t>u</w:t>
      </w:r>
      <w:r w:rsidRPr="005C060C">
        <w:rPr>
          <w:rFonts w:ascii="Times New Roman" w:hAnsi="Times New Roman" w:cs="Times New Roman"/>
          <w:color w:val="auto"/>
          <w:sz w:val="20"/>
          <w:szCs w:val="20"/>
        </w:rPr>
        <w:t xml:space="preserve">r to cooperate </w:t>
      </w:r>
      <w:r w:rsidR="0088701E" w:rsidRPr="005C060C">
        <w:rPr>
          <w:rFonts w:ascii="Times New Roman" w:hAnsi="Times New Roman" w:cs="Times New Roman"/>
          <w:color w:val="auto"/>
          <w:sz w:val="20"/>
          <w:szCs w:val="20"/>
        </w:rPr>
        <w:t>in</w:t>
      </w:r>
      <w:r w:rsidRPr="005C060C">
        <w:rPr>
          <w:rFonts w:ascii="Times New Roman" w:hAnsi="Times New Roman" w:cs="Times New Roman"/>
          <w:color w:val="auto"/>
          <w:sz w:val="20"/>
          <w:szCs w:val="20"/>
        </w:rPr>
        <w:t xml:space="preserve"> develop</w:t>
      </w:r>
      <w:r w:rsidR="0088701E" w:rsidRPr="005C060C">
        <w:rPr>
          <w:rFonts w:ascii="Times New Roman" w:hAnsi="Times New Roman" w:cs="Times New Roman"/>
          <w:color w:val="auto"/>
          <w:sz w:val="20"/>
          <w:szCs w:val="20"/>
        </w:rPr>
        <w:t>ing</w:t>
      </w:r>
      <w:r w:rsidRPr="00A14DD7">
        <w:rPr>
          <w:rFonts w:ascii="Times New Roman" w:hAnsi="Times New Roman" w:cs="Times New Roman"/>
          <w:color w:val="auto"/>
          <w:sz w:val="20"/>
          <w:szCs w:val="20"/>
        </w:rPr>
        <w:t xml:space="preserve"> and improv</w:t>
      </w:r>
      <w:r w:rsidR="0088701E" w:rsidRPr="00A14DD7">
        <w:rPr>
          <w:rFonts w:ascii="Times New Roman" w:hAnsi="Times New Roman" w:cs="Times New Roman"/>
          <w:color w:val="auto"/>
          <w:sz w:val="20"/>
          <w:szCs w:val="20"/>
        </w:rPr>
        <w:t>ing</w:t>
      </w:r>
      <w:r w:rsidRPr="00C15D5F">
        <w:rPr>
          <w:rFonts w:ascii="Times New Roman" w:hAnsi="Times New Roman" w:cs="Times New Roman"/>
          <w:color w:val="auto"/>
          <w:sz w:val="20"/>
          <w:szCs w:val="20"/>
        </w:rPr>
        <w:t xml:space="preserve"> research to include modelling and to validate models, including addressing gaps in model</w:t>
      </w:r>
      <w:r w:rsidR="0088701E" w:rsidRPr="00C15D5F">
        <w:rPr>
          <w:rFonts w:ascii="Times New Roman" w:hAnsi="Times New Roman" w:cs="Times New Roman"/>
          <w:color w:val="auto"/>
          <w:sz w:val="20"/>
          <w:szCs w:val="20"/>
        </w:rPr>
        <w:t>l</w:t>
      </w:r>
      <w:r w:rsidRPr="00C15D5F">
        <w:rPr>
          <w:rFonts w:ascii="Times New Roman" w:hAnsi="Times New Roman" w:cs="Times New Roman"/>
          <w:color w:val="auto"/>
          <w:sz w:val="20"/>
          <w:szCs w:val="20"/>
        </w:rPr>
        <w:t>ing such as those related to artisanal and small-scale gold mining</w:t>
      </w:r>
      <w:r w:rsidR="0088701E" w:rsidRPr="00C15D5F">
        <w:rPr>
          <w:rFonts w:ascii="Times New Roman" w:hAnsi="Times New Roman" w:cs="Times New Roman"/>
          <w:color w:val="auto"/>
          <w:sz w:val="20"/>
          <w:szCs w:val="20"/>
        </w:rPr>
        <w:t xml:space="preserve"> (ASGM)</w:t>
      </w:r>
      <w:r w:rsidR="00654410">
        <w:rPr>
          <w:rFonts w:ascii="Times New Roman" w:hAnsi="Times New Roman" w:cs="Times New Roman"/>
          <w:color w:val="auto"/>
          <w:sz w:val="20"/>
          <w:szCs w:val="20"/>
        </w:rPr>
        <w:t>;</w:t>
      </w:r>
      <w:r w:rsidRPr="00C15D5F">
        <w:rPr>
          <w:rFonts w:ascii="Times New Roman" w:hAnsi="Times New Roman" w:cs="Times New Roman"/>
          <w:color w:val="auto"/>
          <w:sz w:val="20"/>
          <w:szCs w:val="20"/>
        </w:rPr>
        <w:t xml:space="preserve"> </w:t>
      </w:r>
    </w:p>
    <w:p w14:paraId="47558CE6" w14:textId="26E78ECA" w:rsidR="00306F47" w:rsidRPr="00C15D5F" w:rsidRDefault="00306F47" w:rsidP="00306F47">
      <w:pPr>
        <w:pStyle w:val="Text"/>
        <w:numPr>
          <w:ilvl w:val="0"/>
          <w:numId w:val="44"/>
        </w:numPr>
        <w:spacing w:after="120"/>
        <w:ind w:left="2495" w:hanging="624"/>
        <w:rPr>
          <w:rFonts w:ascii="Times New Roman" w:hAnsi="Times New Roman" w:cs="Times New Roman"/>
          <w:color w:val="auto"/>
          <w:sz w:val="20"/>
          <w:szCs w:val="20"/>
        </w:rPr>
      </w:pPr>
      <w:r w:rsidRPr="00C15D5F">
        <w:rPr>
          <w:rFonts w:ascii="Times New Roman" w:hAnsi="Times New Roman" w:cs="Times New Roman"/>
          <w:color w:val="auto"/>
          <w:sz w:val="20"/>
          <w:szCs w:val="20"/>
        </w:rPr>
        <w:t xml:space="preserve">Request organizations to work on </w:t>
      </w:r>
      <w:r w:rsidR="0088701E" w:rsidRPr="00C15D5F">
        <w:rPr>
          <w:rFonts w:ascii="Times New Roman" w:hAnsi="Times New Roman" w:cs="Times New Roman"/>
          <w:color w:val="auto"/>
          <w:sz w:val="20"/>
          <w:szCs w:val="20"/>
        </w:rPr>
        <w:t xml:space="preserve">the </w:t>
      </w:r>
      <w:r w:rsidRPr="00C15D5F">
        <w:rPr>
          <w:rFonts w:ascii="Times New Roman" w:hAnsi="Times New Roman" w:cs="Times New Roman"/>
          <w:color w:val="auto"/>
          <w:sz w:val="20"/>
          <w:szCs w:val="20"/>
        </w:rPr>
        <w:t xml:space="preserve">development, validation and further use of models, including intercompartmental modelling (such as </w:t>
      </w:r>
      <w:r w:rsidR="0088701E" w:rsidRPr="00C15D5F">
        <w:rPr>
          <w:rFonts w:ascii="Times New Roman" w:hAnsi="Times New Roman" w:cs="Times New Roman"/>
          <w:color w:val="auto"/>
          <w:sz w:val="20"/>
          <w:szCs w:val="20"/>
        </w:rPr>
        <w:t xml:space="preserve">on </w:t>
      </w:r>
      <w:r w:rsidRPr="00C15D5F">
        <w:rPr>
          <w:rFonts w:ascii="Times New Roman" w:hAnsi="Times New Roman" w:cs="Times New Roman"/>
          <w:color w:val="auto"/>
          <w:sz w:val="20"/>
          <w:szCs w:val="20"/>
        </w:rPr>
        <w:t>biota, air and human</w:t>
      </w:r>
      <w:r w:rsidR="00E37B6A">
        <w:rPr>
          <w:rFonts w:ascii="Times New Roman" w:hAnsi="Times New Roman" w:cs="Times New Roman"/>
          <w:color w:val="auto"/>
          <w:sz w:val="20"/>
          <w:szCs w:val="20"/>
        </w:rPr>
        <w:t>s</w:t>
      </w:r>
      <w:r w:rsidRPr="00C15D5F">
        <w:rPr>
          <w:rFonts w:ascii="Times New Roman" w:hAnsi="Times New Roman" w:cs="Times New Roman"/>
          <w:color w:val="auto"/>
          <w:sz w:val="20"/>
          <w:szCs w:val="20"/>
        </w:rPr>
        <w:t>, or air</w:t>
      </w:r>
      <w:r w:rsidR="0088701E" w:rsidRPr="00C15D5F">
        <w:rPr>
          <w:rFonts w:ascii="Times New Roman" w:hAnsi="Times New Roman" w:cs="Times New Roman"/>
          <w:color w:val="auto"/>
          <w:sz w:val="20"/>
          <w:szCs w:val="20"/>
        </w:rPr>
        <w:t>–</w:t>
      </w:r>
      <w:r w:rsidRPr="00C15D5F">
        <w:rPr>
          <w:rFonts w:ascii="Times New Roman" w:hAnsi="Times New Roman" w:cs="Times New Roman"/>
          <w:color w:val="auto"/>
          <w:sz w:val="20"/>
          <w:szCs w:val="20"/>
        </w:rPr>
        <w:t>water fluxes)</w:t>
      </w:r>
      <w:r w:rsidR="00654410">
        <w:rPr>
          <w:rFonts w:ascii="Times New Roman" w:hAnsi="Times New Roman" w:cs="Times New Roman"/>
          <w:color w:val="auto"/>
          <w:sz w:val="20"/>
          <w:szCs w:val="20"/>
        </w:rPr>
        <w:t>;</w:t>
      </w:r>
    </w:p>
    <w:p w14:paraId="380B1BC9" w14:textId="31A101C8" w:rsidR="00306F47" w:rsidRPr="00C15D5F" w:rsidRDefault="0088701E" w:rsidP="00306F47">
      <w:pPr>
        <w:pStyle w:val="Text"/>
        <w:numPr>
          <w:ilvl w:val="0"/>
          <w:numId w:val="44"/>
        </w:numPr>
        <w:spacing w:after="120"/>
        <w:ind w:left="2495" w:hanging="624"/>
        <w:rPr>
          <w:rFonts w:ascii="Times New Roman" w:hAnsi="Times New Roman" w:cs="Times New Roman"/>
          <w:color w:val="auto"/>
          <w:sz w:val="20"/>
          <w:szCs w:val="20"/>
        </w:rPr>
      </w:pPr>
      <w:r w:rsidRPr="00C15D5F">
        <w:rPr>
          <w:rFonts w:ascii="Times New Roman" w:hAnsi="Times New Roman" w:cs="Times New Roman"/>
          <w:color w:val="auto"/>
          <w:sz w:val="20"/>
          <w:szCs w:val="20"/>
        </w:rPr>
        <w:t>Ensure the use of m</w:t>
      </w:r>
      <w:r w:rsidR="00306F47" w:rsidRPr="00C15D5F">
        <w:rPr>
          <w:rFonts w:ascii="Times New Roman" w:hAnsi="Times New Roman" w:cs="Times New Roman"/>
          <w:color w:val="auto"/>
          <w:sz w:val="20"/>
          <w:szCs w:val="20"/>
        </w:rPr>
        <w:t xml:space="preserve">odelling to inform the development of the monitoring plan, as well as </w:t>
      </w:r>
      <w:r w:rsidRPr="00C15D5F">
        <w:rPr>
          <w:rFonts w:ascii="Times New Roman" w:hAnsi="Times New Roman" w:cs="Times New Roman"/>
          <w:color w:val="auto"/>
          <w:sz w:val="20"/>
          <w:szCs w:val="20"/>
        </w:rPr>
        <w:t xml:space="preserve">any </w:t>
      </w:r>
      <w:r w:rsidR="00306F47" w:rsidRPr="00C15D5F">
        <w:rPr>
          <w:rFonts w:ascii="Times New Roman" w:hAnsi="Times New Roman" w:cs="Times New Roman"/>
          <w:color w:val="auto"/>
          <w:sz w:val="20"/>
          <w:szCs w:val="20"/>
        </w:rPr>
        <w:t xml:space="preserve">future adjustment of the plan, </w:t>
      </w:r>
      <w:r w:rsidRPr="00C15D5F">
        <w:rPr>
          <w:rFonts w:ascii="Times New Roman" w:hAnsi="Times New Roman" w:cs="Times New Roman"/>
          <w:color w:val="auto"/>
          <w:sz w:val="20"/>
          <w:szCs w:val="20"/>
        </w:rPr>
        <w:t xml:space="preserve">and </w:t>
      </w:r>
      <w:r w:rsidR="00306F47" w:rsidRPr="00C15D5F">
        <w:rPr>
          <w:rFonts w:ascii="Times New Roman" w:hAnsi="Times New Roman" w:cs="Times New Roman"/>
          <w:color w:val="auto"/>
          <w:sz w:val="20"/>
          <w:szCs w:val="20"/>
        </w:rPr>
        <w:t>to develop information for the effectiveness evaluation</w:t>
      </w:r>
      <w:r w:rsidRPr="00C15D5F">
        <w:rPr>
          <w:rFonts w:ascii="Times New Roman" w:hAnsi="Times New Roman" w:cs="Times New Roman"/>
          <w:color w:val="auto"/>
          <w:sz w:val="20"/>
          <w:szCs w:val="20"/>
        </w:rPr>
        <w:t>.</w:t>
      </w:r>
      <w:r w:rsidR="00306F47" w:rsidRPr="00C15D5F">
        <w:rPr>
          <w:rFonts w:ascii="Times New Roman" w:hAnsi="Times New Roman" w:cs="Times New Roman"/>
          <w:color w:val="auto"/>
          <w:sz w:val="20"/>
          <w:szCs w:val="20"/>
        </w:rPr>
        <w:t xml:space="preserve"> </w:t>
      </w:r>
    </w:p>
    <w:p w14:paraId="1D35CBC2" w14:textId="08CE174C" w:rsidR="00306F47" w:rsidRPr="00C15D5F" w:rsidRDefault="00306F47" w:rsidP="00306F47">
      <w:pPr>
        <w:pStyle w:val="Text"/>
        <w:spacing w:after="120"/>
        <w:ind w:left="1247"/>
        <w:rPr>
          <w:rFonts w:ascii="Times New Roman" w:hAnsi="Times New Roman" w:cs="Times New Roman"/>
          <w:sz w:val="20"/>
          <w:szCs w:val="20"/>
        </w:rPr>
      </w:pPr>
      <w:r w:rsidRPr="00C15D5F">
        <w:rPr>
          <w:rFonts w:ascii="Times New Roman" w:hAnsi="Times New Roman" w:cs="Times New Roman"/>
          <w:b/>
          <w:bCs/>
          <w:color w:val="auto"/>
          <w:sz w:val="20"/>
          <w:szCs w:val="20"/>
        </w:rPr>
        <w:t>Identification</w:t>
      </w:r>
      <w:r w:rsidRPr="00C15D5F">
        <w:rPr>
          <w:rFonts w:ascii="Times New Roman" w:hAnsi="Times New Roman" w:cs="Times New Roman"/>
          <w:b/>
          <w:bCs/>
          <w:sz w:val="20"/>
          <w:szCs w:val="20"/>
        </w:rPr>
        <w:t xml:space="preserve"> of sources of data that c</w:t>
      </w:r>
      <w:r w:rsidR="0088701E" w:rsidRPr="00C15D5F">
        <w:rPr>
          <w:rFonts w:ascii="Times New Roman" w:hAnsi="Times New Roman" w:cs="Times New Roman"/>
          <w:b/>
          <w:bCs/>
          <w:sz w:val="20"/>
          <w:szCs w:val="20"/>
        </w:rPr>
        <w:t>ould</w:t>
      </w:r>
      <w:r w:rsidRPr="00C15D5F">
        <w:rPr>
          <w:rFonts w:ascii="Times New Roman" w:hAnsi="Times New Roman" w:cs="Times New Roman"/>
          <w:b/>
          <w:bCs/>
          <w:sz w:val="20"/>
          <w:szCs w:val="20"/>
        </w:rPr>
        <w:t xml:space="preserve"> be used for establishing a baseline</w:t>
      </w:r>
    </w:p>
    <w:p w14:paraId="33D68DDF" w14:textId="00357233" w:rsidR="00306F47" w:rsidRPr="00010148" w:rsidRDefault="00306F47" w:rsidP="00585A44">
      <w:pPr>
        <w:pStyle w:val="Text"/>
        <w:numPr>
          <w:ilvl w:val="0"/>
          <w:numId w:val="65"/>
        </w:numPr>
        <w:spacing w:after="120"/>
        <w:ind w:left="1247" w:firstLine="0"/>
        <w:rPr>
          <w:rFonts w:ascii="Times New Roman" w:hAnsi="Times New Roman" w:cs="Times New Roman"/>
          <w:color w:val="auto"/>
          <w:sz w:val="20"/>
          <w:szCs w:val="20"/>
        </w:rPr>
      </w:pPr>
      <w:r w:rsidRPr="00C15D5F">
        <w:rPr>
          <w:rFonts w:ascii="Times New Roman" w:hAnsi="Times New Roman" w:cs="Times New Roman"/>
          <w:color w:val="auto"/>
          <w:sz w:val="20"/>
          <w:szCs w:val="20"/>
        </w:rPr>
        <w:t xml:space="preserve">The Conference of the Parties should consider making arrangements for a formal process to establish </w:t>
      </w:r>
      <w:r w:rsidR="0088701E" w:rsidRPr="00C15D5F">
        <w:rPr>
          <w:rFonts w:ascii="Times New Roman" w:hAnsi="Times New Roman" w:cs="Times New Roman"/>
          <w:color w:val="auto"/>
          <w:sz w:val="20"/>
          <w:szCs w:val="20"/>
        </w:rPr>
        <w:t xml:space="preserve">the </w:t>
      </w:r>
      <w:r w:rsidRPr="00C15D5F">
        <w:rPr>
          <w:rFonts w:ascii="Times New Roman" w:hAnsi="Times New Roman" w:cs="Times New Roman"/>
          <w:color w:val="auto"/>
          <w:sz w:val="20"/>
          <w:szCs w:val="20"/>
        </w:rPr>
        <w:t xml:space="preserve">collection, management and publication of mercury data under the Minamata Convention for the purpose of facilitating effectiveness evaluation, and the need to establish a baseline </w:t>
      </w:r>
      <w:r w:rsidR="0088701E" w:rsidRPr="00C15D5F">
        <w:rPr>
          <w:rFonts w:ascii="Times New Roman" w:hAnsi="Times New Roman" w:cs="Times New Roman"/>
          <w:color w:val="auto"/>
          <w:sz w:val="20"/>
          <w:szCs w:val="20"/>
        </w:rPr>
        <w:t>for</w:t>
      </w:r>
      <w:r w:rsidRPr="00C15D5F">
        <w:rPr>
          <w:rFonts w:ascii="Times New Roman" w:hAnsi="Times New Roman" w:cs="Times New Roman"/>
          <w:color w:val="auto"/>
          <w:sz w:val="20"/>
          <w:szCs w:val="20"/>
        </w:rPr>
        <w:t xml:space="preserve"> that process. </w:t>
      </w:r>
      <w:r w:rsidR="0088701E" w:rsidRPr="00C15D5F">
        <w:rPr>
          <w:rFonts w:ascii="Times New Roman" w:hAnsi="Times New Roman" w:cs="Times New Roman"/>
          <w:color w:val="auto"/>
          <w:sz w:val="20"/>
          <w:szCs w:val="20"/>
        </w:rPr>
        <w:t>A</w:t>
      </w:r>
      <w:r w:rsidRPr="00C15D5F">
        <w:rPr>
          <w:rFonts w:ascii="Times New Roman" w:hAnsi="Times New Roman" w:cs="Times New Roman"/>
          <w:color w:val="auto"/>
          <w:sz w:val="20"/>
          <w:szCs w:val="20"/>
        </w:rPr>
        <w:t>vailable sources of information, including the Global Mercury Assessment, should be considered</w:t>
      </w:r>
      <w:r w:rsidRPr="00010148">
        <w:rPr>
          <w:rFonts w:ascii="Times New Roman" w:hAnsi="Times New Roman" w:cs="Times New Roman"/>
          <w:color w:val="auto"/>
          <w:sz w:val="20"/>
          <w:szCs w:val="20"/>
        </w:rPr>
        <w:t xml:space="preserve"> in making such arrangements.</w:t>
      </w:r>
    </w:p>
    <w:p w14:paraId="490D66EC" w14:textId="1D6AC6CD" w:rsidR="00306F47" w:rsidRPr="00010148" w:rsidRDefault="00306F47" w:rsidP="00306F47">
      <w:pPr>
        <w:pStyle w:val="Text"/>
        <w:spacing w:after="120"/>
        <w:ind w:left="1247"/>
        <w:rPr>
          <w:rFonts w:ascii="Times New Roman" w:hAnsi="Times New Roman" w:cs="Times New Roman"/>
          <w:color w:val="auto"/>
          <w:sz w:val="20"/>
          <w:szCs w:val="20"/>
        </w:rPr>
      </w:pPr>
      <w:r w:rsidRPr="00010148">
        <w:rPr>
          <w:rFonts w:ascii="Times New Roman" w:hAnsi="Times New Roman" w:cs="Times New Roman"/>
          <w:b/>
          <w:bCs/>
          <w:color w:val="auto"/>
          <w:sz w:val="20"/>
          <w:szCs w:val="20"/>
        </w:rPr>
        <w:t>Identification of how monitoring activities m</w:t>
      </w:r>
      <w:r w:rsidR="0088701E">
        <w:rPr>
          <w:rFonts w:ascii="Times New Roman" w:hAnsi="Times New Roman" w:cs="Times New Roman"/>
          <w:b/>
          <w:bCs/>
          <w:color w:val="auto"/>
          <w:sz w:val="20"/>
          <w:szCs w:val="20"/>
        </w:rPr>
        <w:t>ight</w:t>
      </w:r>
      <w:r w:rsidRPr="00010148">
        <w:rPr>
          <w:rFonts w:ascii="Times New Roman" w:hAnsi="Times New Roman" w:cs="Times New Roman"/>
          <w:b/>
          <w:bCs/>
          <w:color w:val="auto"/>
          <w:sz w:val="20"/>
          <w:szCs w:val="20"/>
        </w:rPr>
        <w:t xml:space="preserve"> contribute to the development of the effectiveness evaluation framework</w:t>
      </w:r>
    </w:p>
    <w:p w14:paraId="22324D71" w14:textId="245969C3" w:rsidR="00306F47" w:rsidRPr="00A06CF9" w:rsidRDefault="00306F47" w:rsidP="00585A44">
      <w:pPr>
        <w:pStyle w:val="Text"/>
        <w:numPr>
          <w:ilvl w:val="0"/>
          <w:numId w:val="65"/>
        </w:numPr>
        <w:spacing w:after="120"/>
        <w:ind w:left="1247" w:firstLine="0"/>
        <w:rPr>
          <w:rFonts w:ascii="Times New Roman" w:hAnsi="Times New Roman" w:cs="Times New Roman"/>
          <w:color w:val="auto"/>
          <w:sz w:val="20"/>
          <w:szCs w:val="20"/>
        </w:rPr>
      </w:pPr>
      <w:r w:rsidRPr="00A06CF9">
        <w:rPr>
          <w:rFonts w:ascii="Times New Roman" w:hAnsi="Times New Roman" w:cs="Times New Roman"/>
          <w:color w:val="auto"/>
          <w:sz w:val="20"/>
          <w:szCs w:val="20"/>
        </w:rPr>
        <w:t>Recommendations on how information from monitoring, together with appropriate assessment of causality, m</w:t>
      </w:r>
      <w:r w:rsidR="0088701E">
        <w:rPr>
          <w:rFonts w:ascii="Times New Roman" w:hAnsi="Times New Roman" w:cs="Times New Roman"/>
          <w:color w:val="auto"/>
          <w:sz w:val="20"/>
          <w:szCs w:val="20"/>
        </w:rPr>
        <w:t>ight</w:t>
      </w:r>
      <w:r w:rsidRPr="00A06CF9">
        <w:rPr>
          <w:rFonts w:ascii="Times New Roman" w:hAnsi="Times New Roman" w:cs="Times New Roman"/>
          <w:color w:val="auto"/>
          <w:sz w:val="20"/>
          <w:szCs w:val="20"/>
        </w:rPr>
        <w:t xml:space="preserve"> contribute to the evaluation of certain articles include: </w:t>
      </w:r>
    </w:p>
    <w:tbl>
      <w:tblPr>
        <w:tblStyle w:val="Grilledutableau"/>
        <w:tblW w:w="8505" w:type="dxa"/>
        <w:tblInd w:w="1271" w:type="dxa"/>
        <w:tblLook w:val="04A0" w:firstRow="1" w:lastRow="0" w:firstColumn="1" w:lastColumn="0" w:noHBand="0" w:noVBand="1"/>
      </w:tblPr>
      <w:tblGrid>
        <w:gridCol w:w="2552"/>
        <w:gridCol w:w="5953"/>
      </w:tblGrid>
      <w:tr w:rsidR="004F76E3" w:rsidRPr="00B550D0" w14:paraId="6EB6116C" w14:textId="77777777" w:rsidTr="00E73E56">
        <w:tc>
          <w:tcPr>
            <w:tcW w:w="2552" w:type="dxa"/>
          </w:tcPr>
          <w:p w14:paraId="6653F12B" w14:textId="77777777" w:rsidR="004F76E3" w:rsidRPr="00B550D0" w:rsidRDefault="004F76E3" w:rsidP="00B53199">
            <w:pPr>
              <w:spacing w:before="40" w:after="40"/>
              <w:rPr>
                <w:i/>
                <w:lang w:val="en-US"/>
              </w:rPr>
            </w:pPr>
            <w:r w:rsidRPr="00B550D0">
              <w:rPr>
                <w:i/>
                <w:lang w:val="en-US"/>
              </w:rPr>
              <w:t>Article</w:t>
            </w:r>
          </w:p>
        </w:tc>
        <w:tc>
          <w:tcPr>
            <w:tcW w:w="5953" w:type="dxa"/>
          </w:tcPr>
          <w:p w14:paraId="3D57DC95" w14:textId="77777777" w:rsidR="004F76E3" w:rsidRPr="00B550D0" w:rsidRDefault="004F76E3" w:rsidP="00B53199">
            <w:pPr>
              <w:spacing w:before="40" w:after="40"/>
              <w:rPr>
                <w:i/>
              </w:rPr>
            </w:pPr>
            <w:r w:rsidRPr="00B550D0">
              <w:rPr>
                <w:i/>
              </w:rPr>
              <w:t>Description of how global monitoring data (air, human, biota) could contribute to evaluation of the effectiveness of the Convention</w:t>
            </w:r>
          </w:p>
        </w:tc>
      </w:tr>
      <w:tr w:rsidR="004F76E3" w:rsidRPr="00B550D0" w14:paraId="4ED2621A" w14:textId="77777777" w:rsidTr="00E73E56">
        <w:tc>
          <w:tcPr>
            <w:tcW w:w="2552" w:type="dxa"/>
          </w:tcPr>
          <w:p w14:paraId="59C75F82" w14:textId="77777777" w:rsidR="004F76E3" w:rsidRPr="00B550D0" w:rsidRDefault="004F76E3" w:rsidP="00B53199">
            <w:pPr>
              <w:spacing w:before="40" w:after="40"/>
              <w:rPr>
                <w:lang w:val="en-US"/>
              </w:rPr>
            </w:pPr>
            <w:r w:rsidRPr="00B550D0">
              <w:rPr>
                <w:lang w:val="en-US"/>
              </w:rPr>
              <w:t xml:space="preserve">Article 1 – Objective </w:t>
            </w:r>
          </w:p>
        </w:tc>
        <w:tc>
          <w:tcPr>
            <w:tcW w:w="5953" w:type="dxa"/>
          </w:tcPr>
          <w:p w14:paraId="50A7E10E" w14:textId="77777777" w:rsidR="004F76E3" w:rsidRPr="00B550D0" w:rsidRDefault="004F76E3" w:rsidP="00B53199">
            <w:pPr>
              <w:numPr>
                <w:ilvl w:val="0"/>
                <w:numId w:val="40"/>
              </w:numPr>
              <w:tabs>
                <w:tab w:val="clear" w:pos="1163"/>
              </w:tabs>
              <w:spacing w:before="40" w:after="40"/>
            </w:pPr>
            <w:r w:rsidRPr="00B550D0">
              <w:t>Level of mercury in air, humans and biota</w:t>
            </w:r>
          </w:p>
          <w:p w14:paraId="5371C654" w14:textId="77777777" w:rsidR="004F76E3" w:rsidRPr="00B550D0" w:rsidRDefault="004F76E3" w:rsidP="00B53199">
            <w:pPr>
              <w:numPr>
                <w:ilvl w:val="0"/>
                <w:numId w:val="40"/>
              </w:numPr>
              <w:tabs>
                <w:tab w:val="clear" w:pos="1163"/>
              </w:tabs>
              <w:spacing w:before="40" w:after="40"/>
              <w:rPr>
                <w:lang w:val="en-US"/>
              </w:rPr>
            </w:pPr>
            <w:r w:rsidRPr="00B550D0">
              <w:rPr>
                <w:lang w:val="en-US"/>
              </w:rPr>
              <w:t>Attribution of levels of mercury in the environment and humans from anthropogenic emissions and releases estimated by modelling information</w:t>
            </w:r>
          </w:p>
        </w:tc>
      </w:tr>
      <w:tr w:rsidR="004F76E3" w:rsidRPr="00B550D0" w14:paraId="22819E77" w14:textId="77777777" w:rsidTr="00E73E56">
        <w:tc>
          <w:tcPr>
            <w:tcW w:w="2552" w:type="dxa"/>
          </w:tcPr>
          <w:p w14:paraId="780A5443" w14:textId="77777777" w:rsidR="004F76E3" w:rsidRPr="00B550D0" w:rsidRDefault="004F76E3" w:rsidP="00B53199">
            <w:pPr>
              <w:spacing w:before="40" w:after="40"/>
              <w:rPr>
                <w:lang w:val="en-US"/>
              </w:rPr>
            </w:pPr>
            <w:r w:rsidRPr="00B550D0">
              <w:rPr>
                <w:lang w:val="en-US"/>
              </w:rPr>
              <w:t>Article 7 – ASGM</w:t>
            </w:r>
          </w:p>
        </w:tc>
        <w:tc>
          <w:tcPr>
            <w:tcW w:w="5953" w:type="dxa"/>
          </w:tcPr>
          <w:p w14:paraId="3F4F7FDB" w14:textId="77777777" w:rsidR="004F76E3" w:rsidRPr="00B550D0" w:rsidRDefault="004F76E3" w:rsidP="00B53199">
            <w:pPr>
              <w:numPr>
                <w:ilvl w:val="0"/>
                <w:numId w:val="41"/>
              </w:numPr>
              <w:tabs>
                <w:tab w:val="clear" w:pos="1163"/>
              </w:tabs>
              <w:spacing w:before="40" w:after="40"/>
            </w:pPr>
            <w:r w:rsidRPr="00B550D0">
              <w:t>Mercury levels in humans</w:t>
            </w:r>
          </w:p>
          <w:p w14:paraId="67E8D597" w14:textId="77777777" w:rsidR="004F76E3" w:rsidRPr="00B550D0" w:rsidRDefault="004F76E3" w:rsidP="00B53199">
            <w:pPr>
              <w:numPr>
                <w:ilvl w:val="0"/>
                <w:numId w:val="41"/>
              </w:numPr>
              <w:tabs>
                <w:tab w:val="clear" w:pos="1163"/>
              </w:tabs>
              <w:spacing w:before="40" w:after="40"/>
            </w:pPr>
            <w:r w:rsidRPr="00B550D0">
              <w:t>Mercury levels in fish and other biota downstream of ASGM activities</w:t>
            </w:r>
          </w:p>
          <w:p w14:paraId="6A56E44F" w14:textId="77777777" w:rsidR="004F76E3" w:rsidRPr="00B550D0" w:rsidRDefault="004F76E3" w:rsidP="00B53199">
            <w:pPr>
              <w:numPr>
                <w:ilvl w:val="0"/>
                <w:numId w:val="41"/>
              </w:numPr>
              <w:tabs>
                <w:tab w:val="clear" w:pos="1163"/>
              </w:tabs>
              <w:spacing w:before="40" w:after="40"/>
              <w:rPr>
                <w:lang w:val="en-US"/>
              </w:rPr>
            </w:pPr>
            <w:r w:rsidRPr="00B550D0">
              <w:rPr>
                <w:lang w:val="en-US"/>
              </w:rPr>
              <w:t>Mercury levels in ambient air</w:t>
            </w:r>
          </w:p>
        </w:tc>
      </w:tr>
      <w:tr w:rsidR="004F76E3" w:rsidRPr="00B550D0" w14:paraId="24081F09" w14:textId="77777777" w:rsidTr="00E73E56">
        <w:tc>
          <w:tcPr>
            <w:tcW w:w="2552" w:type="dxa"/>
          </w:tcPr>
          <w:p w14:paraId="61A9070E" w14:textId="77777777" w:rsidR="004F76E3" w:rsidRPr="00B550D0" w:rsidRDefault="004F76E3" w:rsidP="00B53199">
            <w:pPr>
              <w:spacing w:before="40" w:after="40"/>
              <w:rPr>
                <w:lang w:val="en-US"/>
              </w:rPr>
            </w:pPr>
            <w:r w:rsidRPr="00B550D0">
              <w:rPr>
                <w:lang w:val="en-US"/>
              </w:rPr>
              <w:t>Article 8 – Emissions</w:t>
            </w:r>
          </w:p>
        </w:tc>
        <w:tc>
          <w:tcPr>
            <w:tcW w:w="5953" w:type="dxa"/>
          </w:tcPr>
          <w:p w14:paraId="2C809D65" w14:textId="77777777" w:rsidR="004F76E3" w:rsidRPr="00B550D0" w:rsidRDefault="004F76E3" w:rsidP="00B53199">
            <w:pPr>
              <w:numPr>
                <w:ilvl w:val="0"/>
                <w:numId w:val="42"/>
              </w:numPr>
              <w:tabs>
                <w:tab w:val="clear" w:pos="1163"/>
              </w:tabs>
              <w:spacing w:before="40" w:after="40"/>
              <w:rPr>
                <w:iCs/>
              </w:rPr>
            </w:pPr>
            <w:r w:rsidRPr="00B550D0">
              <w:rPr>
                <w:iCs/>
              </w:rPr>
              <w:t>Mercury levels in ambient air</w:t>
            </w:r>
          </w:p>
          <w:p w14:paraId="5D230874" w14:textId="77777777" w:rsidR="004F76E3" w:rsidRPr="00B550D0" w:rsidRDefault="004F76E3" w:rsidP="00B53199">
            <w:pPr>
              <w:numPr>
                <w:ilvl w:val="0"/>
                <w:numId w:val="42"/>
              </w:numPr>
              <w:tabs>
                <w:tab w:val="clear" w:pos="1163"/>
              </w:tabs>
              <w:spacing w:before="40" w:after="40"/>
              <w:rPr>
                <w:iCs/>
                <w:lang w:val="en-US"/>
              </w:rPr>
            </w:pPr>
            <w:r w:rsidRPr="00B550D0">
              <w:rPr>
                <w:iCs/>
                <w:lang w:val="en-US"/>
              </w:rPr>
              <w:t>Mercury levels in biota for the consideration of local impacts and long-range transport</w:t>
            </w:r>
          </w:p>
        </w:tc>
      </w:tr>
      <w:tr w:rsidR="004F76E3" w:rsidRPr="00B550D0" w14:paraId="78A65A1E" w14:textId="77777777" w:rsidTr="00E73E56">
        <w:tc>
          <w:tcPr>
            <w:tcW w:w="2552" w:type="dxa"/>
          </w:tcPr>
          <w:p w14:paraId="669B6E64" w14:textId="77777777" w:rsidR="004F76E3" w:rsidRPr="00B550D0" w:rsidRDefault="004F76E3" w:rsidP="00B53199">
            <w:pPr>
              <w:spacing w:before="40" w:after="40"/>
              <w:rPr>
                <w:lang w:val="en-US"/>
              </w:rPr>
            </w:pPr>
            <w:r w:rsidRPr="00B550D0">
              <w:rPr>
                <w:lang w:val="en-US"/>
              </w:rPr>
              <w:t>Article 9 –  Releases</w:t>
            </w:r>
          </w:p>
        </w:tc>
        <w:tc>
          <w:tcPr>
            <w:tcW w:w="5953" w:type="dxa"/>
          </w:tcPr>
          <w:p w14:paraId="73E6CF29" w14:textId="77777777" w:rsidR="004F76E3" w:rsidRPr="00B550D0" w:rsidRDefault="004F76E3" w:rsidP="00B53199">
            <w:pPr>
              <w:numPr>
                <w:ilvl w:val="0"/>
                <w:numId w:val="42"/>
              </w:numPr>
              <w:tabs>
                <w:tab w:val="clear" w:pos="1163"/>
              </w:tabs>
              <w:spacing w:before="40" w:after="40"/>
              <w:rPr>
                <w:iCs/>
              </w:rPr>
            </w:pPr>
            <w:r w:rsidRPr="00B550D0">
              <w:t>Mercury levels in fish and other biota and humans</w:t>
            </w:r>
          </w:p>
        </w:tc>
      </w:tr>
      <w:tr w:rsidR="004F76E3" w:rsidRPr="00B550D0" w14:paraId="2477A538" w14:textId="77777777" w:rsidTr="00E73E56">
        <w:tc>
          <w:tcPr>
            <w:tcW w:w="2552" w:type="dxa"/>
          </w:tcPr>
          <w:p w14:paraId="20DC256A" w14:textId="77777777" w:rsidR="004F76E3" w:rsidRPr="00B550D0" w:rsidRDefault="004F76E3" w:rsidP="00B53199">
            <w:pPr>
              <w:spacing w:before="40" w:after="40"/>
              <w:rPr>
                <w:lang w:val="en-US"/>
              </w:rPr>
            </w:pPr>
            <w:r w:rsidRPr="00B550D0">
              <w:rPr>
                <w:lang w:val="en-US"/>
              </w:rPr>
              <w:t>Article 12 – Contaminated sites</w:t>
            </w:r>
          </w:p>
        </w:tc>
        <w:tc>
          <w:tcPr>
            <w:tcW w:w="5953" w:type="dxa"/>
          </w:tcPr>
          <w:p w14:paraId="3894185E" w14:textId="77777777" w:rsidR="004F76E3" w:rsidRPr="00B550D0" w:rsidRDefault="004F76E3" w:rsidP="00B53199">
            <w:pPr>
              <w:numPr>
                <w:ilvl w:val="0"/>
                <w:numId w:val="43"/>
              </w:numPr>
              <w:tabs>
                <w:tab w:val="clear" w:pos="1163"/>
              </w:tabs>
              <w:spacing w:before="40" w:after="40"/>
              <w:rPr>
                <w:lang w:val="en-US"/>
              </w:rPr>
            </w:pPr>
            <w:r w:rsidRPr="00B550D0">
              <w:rPr>
                <w:lang w:val="en-US"/>
              </w:rPr>
              <w:t>Mercury levels in air, humans and biota</w:t>
            </w:r>
          </w:p>
        </w:tc>
      </w:tr>
      <w:tr w:rsidR="004F76E3" w:rsidRPr="00B550D0" w14:paraId="5F40940A" w14:textId="77777777" w:rsidTr="00E73E56">
        <w:tc>
          <w:tcPr>
            <w:tcW w:w="2552" w:type="dxa"/>
          </w:tcPr>
          <w:p w14:paraId="1D0A0B5F" w14:textId="77777777" w:rsidR="004F76E3" w:rsidRPr="00B550D0" w:rsidRDefault="004F76E3" w:rsidP="00B53199">
            <w:pPr>
              <w:spacing w:before="40" w:after="40"/>
              <w:rPr>
                <w:lang w:val="en-US"/>
              </w:rPr>
            </w:pPr>
            <w:r w:rsidRPr="00B550D0">
              <w:rPr>
                <w:lang w:val="en-US"/>
              </w:rPr>
              <w:t>Article 16 – Health aspects</w:t>
            </w:r>
          </w:p>
        </w:tc>
        <w:tc>
          <w:tcPr>
            <w:tcW w:w="5953" w:type="dxa"/>
          </w:tcPr>
          <w:p w14:paraId="2562ED91" w14:textId="77777777" w:rsidR="004F76E3" w:rsidRPr="00B550D0" w:rsidRDefault="004F76E3" w:rsidP="00B53199">
            <w:pPr>
              <w:numPr>
                <w:ilvl w:val="0"/>
                <w:numId w:val="43"/>
              </w:numPr>
              <w:tabs>
                <w:tab w:val="clear" w:pos="1163"/>
              </w:tabs>
              <w:spacing w:before="40" w:after="40"/>
              <w:rPr>
                <w:lang w:val="en-US"/>
              </w:rPr>
            </w:pPr>
            <w:r w:rsidRPr="00B550D0">
              <w:rPr>
                <w:lang w:val="en-US"/>
              </w:rPr>
              <w:t>Mercury levels in humans (tracks success in protecting vulnerable populations)</w:t>
            </w:r>
          </w:p>
        </w:tc>
      </w:tr>
      <w:tr w:rsidR="004F76E3" w:rsidRPr="00B550D0" w14:paraId="0C713A3E" w14:textId="77777777" w:rsidTr="00E73E56">
        <w:tc>
          <w:tcPr>
            <w:tcW w:w="2552" w:type="dxa"/>
          </w:tcPr>
          <w:p w14:paraId="4B7C1E98" w14:textId="77777777" w:rsidR="004F76E3" w:rsidRPr="00B550D0" w:rsidRDefault="004F76E3" w:rsidP="00B53199">
            <w:pPr>
              <w:spacing w:before="40" w:after="40"/>
              <w:rPr>
                <w:lang w:val="en-US"/>
              </w:rPr>
            </w:pPr>
            <w:r w:rsidRPr="00B550D0">
              <w:rPr>
                <w:lang w:val="en-US"/>
              </w:rPr>
              <w:t>Article 18 – Public information, awareness and education</w:t>
            </w:r>
          </w:p>
        </w:tc>
        <w:tc>
          <w:tcPr>
            <w:tcW w:w="5953" w:type="dxa"/>
          </w:tcPr>
          <w:p w14:paraId="73AE9AB0" w14:textId="77777777" w:rsidR="004F76E3" w:rsidRPr="00B550D0" w:rsidRDefault="004F76E3" w:rsidP="00B53199">
            <w:pPr>
              <w:numPr>
                <w:ilvl w:val="0"/>
                <w:numId w:val="43"/>
              </w:numPr>
              <w:tabs>
                <w:tab w:val="clear" w:pos="1163"/>
              </w:tabs>
              <w:spacing w:before="40" w:after="40"/>
            </w:pPr>
            <w:r w:rsidRPr="00B550D0">
              <w:t>Number of parties that have public information on mercury levels in air, humans and biota</w:t>
            </w:r>
          </w:p>
        </w:tc>
      </w:tr>
      <w:tr w:rsidR="004F76E3" w:rsidRPr="00B550D0" w14:paraId="642405C5" w14:textId="77777777" w:rsidTr="00E73E56">
        <w:tc>
          <w:tcPr>
            <w:tcW w:w="2552" w:type="dxa"/>
          </w:tcPr>
          <w:p w14:paraId="6ED40A01" w14:textId="77777777" w:rsidR="004F76E3" w:rsidRPr="00B550D0" w:rsidRDefault="004F76E3" w:rsidP="00B53199">
            <w:pPr>
              <w:spacing w:before="40" w:after="40"/>
              <w:rPr>
                <w:lang w:val="en-US"/>
              </w:rPr>
            </w:pPr>
            <w:r w:rsidRPr="00B550D0">
              <w:rPr>
                <w:lang w:val="en-US"/>
              </w:rPr>
              <w:t>Article 19 – Research, development and monitoring</w:t>
            </w:r>
          </w:p>
        </w:tc>
        <w:tc>
          <w:tcPr>
            <w:tcW w:w="5953" w:type="dxa"/>
          </w:tcPr>
          <w:p w14:paraId="5790AC04" w14:textId="77777777" w:rsidR="004F76E3" w:rsidRPr="00B550D0" w:rsidRDefault="004F76E3" w:rsidP="00B53199">
            <w:pPr>
              <w:numPr>
                <w:ilvl w:val="0"/>
                <w:numId w:val="43"/>
              </w:numPr>
              <w:tabs>
                <w:tab w:val="clear" w:pos="1163"/>
              </w:tabs>
              <w:spacing w:before="40" w:after="40"/>
            </w:pPr>
            <w:r w:rsidRPr="00B550D0">
              <w:t>Number of parties that cooperate to develop and improve information available for inclusion in the global monitoring report (including through existing data sources)</w:t>
            </w:r>
          </w:p>
        </w:tc>
      </w:tr>
    </w:tbl>
    <w:p w14:paraId="45A6856B" w14:textId="45E2ABCC" w:rsidR="00306F47" w:rsidRPr="00585A44" w:rsidRDefault="004F76E3" w:rsidP="00B53199">
      <w:pPr>
        <w:pStyle w:val="CH2"/>
      </w:pPr>
      <w:r>
        <w:rPr>
          <w:sz w:val="20"/>
          <w:szCs w:val="20"/>
        </w:rPr>
        <w:lastRenderedPageBreak/>
        <w:tab/>
      </w:r>
      <w:r>
        <w:rPr>
          <w:sz w:val="20"/>
          <w:szCs w:val="20"/>
        </w:rPr>
        <w:tab/>
      </w:r>
      <w:r w:rsidR="00306F47" w:rsidRPr="00585A44">
        <w:t>Recommendations on elements of an effectiveness evaluation framework</w:t>
      </w:r>
    </w:p>
    <w:p w14:paraId="2059397B" w14:textId="7A022FC4" w:rsidR="00306F47" w:rsidRPr="00010148" w:rsidRDefault="00306F47" w:rsidP="00B53199">
      <w:pPr>
        <w:pStyle w:val="Text"/>
        <w:keepNext/>
        <w:keepLines/>
        <w:numPr>
          <w:ilvl w:val="0"/>
          <w:numId w:val="65"/>
        </w:numPr>
        <w:spacing w:after="120"/>
        <w:ind w:left="1247" w:firstLine="0"/>
        <w:rPr>
          <w:rFonts w:ascii="Times New Roman" w:hAnsi="Times New Roman" w:cs="Times New Roman"/>
          <w:color w:val="auto"/>
          <w:sz w:val="20"/>
          <w:szCs w:val="20"/>
        </w:rPr>
      </w:pPr>
      <w:r w:rsidRPr="00010148">
        <w:rPr>
          <w:rFonts w:ascii="Times New Roman" w:hAnsi="Times New Roman" w:cs="Times New Roman"/>
          <w:color w:val="auto"/>
          <w:sz w:val="20"/>
          <w:szCs w:val="20"/>
        </w:rPr>
        <w:t>The ad</w:t>
      </w:r>
      <w:r w:rsidR="009E4A35">
        <w:rPr>
          <w:rFonts w:ascii="Times New Roman" w:hAnsi="Times New Roman" w:cs="Times New Roman"/>
          <w:color w:val="auto"/>
          <w:sz w:val="20"/>
          <w:szCs w:val="20"/>
        </w:rPr>
        <w:t xml:space="preserve"> </w:t>
      </w:r>
      <w:r w:rsidRPr="00010148">
        <w:rPr>
          <w:rFonts w:ascii="Times New Roman" w:hAnsi="Times New Roman" w:cs="Times New Roman"/>
          <w:color w:val="auto"/>
          <w:sz w:val="20"/>
          <w:szCs w:val="20"/>
        </w:rPr>
        <w:t>hoc expert group developed an initial list of indicators for the first effectiveness evaluation. Further work is needed to review the data limitation</w:t>
      </w:r>
      <w:r w:rsidR="009E4A35">
        <w:rPr>
          <w:rFonts w:ascii="Times New Roman" w:hAnsi="Times New Roman" w:cs="Times New Roman"/>
          <w:color w:val="auto"/>
          <w:sz w:val="20"/>
          <w:szCs w:val="20"/>
        </w:rPr>
        <w:t>s</w:t>
      </w:r>
      <w:r w:rsidRPr="00010148">
        <w:rPr>
          <w:rFonts w:ascii="Times New Roman" w:hAnsi="Times New Roman" w:cs="Times New Roman"/>
          <w:color w:val="auto"/>
          <w:sz w:val="20"/>
          <w:szCs w:val="20"/>
        </w:rPr>
        <w:t xml:space="preserve"> and baseline for th</w:t>
      </w:r>
      <w:r w:rsidR="009E4A35">
        <w:rPr>
          <w:rFonts w:ascii="Times New Roman" w:hAnsi="Times New Roman" w:cs="Times New Roman"/>
          <w:color w:val="auto"/>
          <w:sz w:val="20"/>
          <w:szCs w:val="20"/>
        </w:rPr>
        <w:t>o</w:t>
      </w:r>
      <w:r w:rsidRPr="00010148">
        <w:rPr>
          <w:rFonts w:ascii="Times New Roman" w:hAnsi="Times New Roman" w:cs="Times New Roman"/>
          <w:color w:val="auto"/>
          <w:sz w:val="20"/>
          <w:szCs w:val="20"/>
        </w:rPr>
        <w:t>se indicators, as well as to develop methods to analyse the article-by-article indicators for the overall effectiveness evaluation, and to consider the use of monitoring information in effectiveness evaluation.</w:t>
      </w:r>
    </w:p>
    <w:p w14:paraId="19FEF4D5" w14:textId="40EF76E7" w:rsidR="00306F47" w:rsidRPr="00010148" w:rsidRDefault="00306F47" w:rsidP="00585A44">
      <w:pPr>
        <w:pStyle w:val="Text"/>
        <w:numPr>
          <w:ilvl w:val="0"/>
          <w:numId w:val="65"/>
        </w:numPr>
        <w:spacing w:after="120"/>
        <w:ind w:left="1247" w:firstLine="0"/>
        <w:rPr>
          <w:rFonts w:ascii="Times New Roman" w:hAnsi="Times New Roman" w:cs="Times New Roman"/>
          <w:color w:val="auto"/>
          <w:sz w:val="20"/>
          <w:szCs w:val="20"/>
        </w:rPr>
      </w:pPr>
      <w:r w:rsidRPr="00010148">
        <w:rPr>
          <w:rFonts w:ascii="Times New Roman" w:hAnsi="Times New Roman" w:cs="Times New Roman"/>
          <w:color w:val="auto"/>
          <w:sz w:val="20"/>
          <w:szCs w:val="20"/>
        </w:rPr>
        <w:t>The ad</w:t>
      </w:r>
      <w:r w:rsidR="009E4A35">
        <w:rPr>
          <w:rFonts w:ascii="Times New Roman" w:hAnsi="Times New Roman" w:cs="Times New Roman"/>
          <w:color w:val="auto"/>
          <w:sz w:val="20"/>
          <w:szCs w:val="20"/>
        </w:rPr>
        <w:t xml:space="preserve"> </w:t>
      </w:r>
      <w:r w:rsidRPr="00010148">
        <w:rPr>
          <w:rFonts w:ascii="Times New Roman" w:hAnsi="Times New Roman" w:cs="Times New Roman"/>
          <w:color w:val="auto"/>
          <w:sz w:val="20"/>
          <w:szCs w:val="20"/>
        </w:rPr>
        <w:t>hoc expert group recommend</w:t>
      </w:r>
      <w:r w:rsidR="009E4A35">
        <w:rPr>
          <w:rFonts w:ascii="Times New Roman" w:hAnsi="Times New Roman" w:cs="Times New Roman"/>
          <w:color w:val="auto"/>
          <w:sz w:val="20"/>
          <w:szCs w:val="20"/>
        </w:rPr>
        <w:t>s a</w:t>
      </w:r>
      <w:r w:rsidRPr="00010148">
        <w:rPr>
          <w:rFonts w:ascii="Times New Roman" w:hAnsi="Times New Roman" w:cs="Times New Roman"/>
          <w:color w:val="auto"/>
          <w:sz w:val="20"/>
          <w:szCs w:val="20"/>
        </w:rPr>
        <w:t xml:space="preserve"> two-stage process and</w:t>
      </w:r>
      <w:r w:rsidR="009E4A35">
        <w:rPr>
          <w:rFonts w:ascii="Times New Roman" w:hAnsi="Times New Roman" w:cs="Times New Roman"/>
          <w:color w:val="auto"/>
          <w:sz w:val="20"/>
          <w:szCs w:val="20"/>
        </w:rPr>
        <w:t xml:space="preserve"> a</w:t>
      </w:r>
      <w:r w:rsidRPr="00010148">
        <w:rPr>
          <w:rFonts w:ascii="Times New Roman" w:hAnsi="Times New Roman" w:cs="Times New Roman"/>
          <w:color w:val="auto"/>
          <w:sz w:val="20"/>
          <w:szCs w:val="20"/>
        </w:rPr>
        <w:t xml:space="preserve"> schedule for the first effectiveness evaluation as follows. The Conference of the </w:t>
      </w:r>
      <w:r w:rsidRPr="00C15D5F">
        <w:rPr>
          <w:rFonts w:ascii="Times New Roman" w:hAnsi="Times New Roman" w:cs="Times New Roman"/>
          <w:color w:val="auto"/>
          <w:sz w:val="20"/>
          <w:szCs w:val="20"/>
        </w:rPr>
        <w:t>Parties should consider the proposal with a view to establishing an effectiveness evaluation framework</w:t>
      </w:r>
      <w:r w:rsidRPr="00010148">
        <w:rPr>
          <w:rFonts w:ascii="Times New Roman" w:hAnsi="Times New Roman" w:cs="Times New Roman"/>
          <w:color w:val="auto"/>
          <w:sz w:val="20"/>
          <w:szCs w:val="20"/>
        </w:rPr>
        <w:t xml:space="preserve"> at its third meeting.</w:t>
      </w:r>
    </w:p>
    <w:p w14:paraId="65035E5A" w14:textId="5595ECF3" w:rsidR="00306F47" w:rsidRPr="00010148" w:rsidRDefault="00306F47" w:rsidP="00306F47">
      <w:pPr>
        <w:pStyle w:val="Paragraphedeliste"/>
        <w:numPr>
          <w:ilvl w:val="0"/>
          <w:numId w:val="46"/>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95" w:hanging="624"/>
        <w:rPr>
          <w:rFonts w:eastAsia="Roboto"/>
        </w:rPr>
      </w:pPr>
      <w:r w:rsidRPr="00010148">
        <w:rPr>
          <w:rFonts w:eastAsia="Roboto"/>
        </w:rPr>
        <w:t>Stage 1</w:t>
      </w:r>
      <w:r w:rsidR="009E4A35">
        <w:rPr>
          <w:rFonts w:eastAsia="Roboto"/>
        </w:rPr>
        <w:t>:</w:t>
      </w:r>
      <w:r w:rsidRPr="00010148">
        <w:rPr>
          <w:rFonts w:eastAsia="Roboto"/>
        </w:rPr>
        <w:t xml:space="preserve"> Information collection and compilation</w:t>
      </w:r>
    </w:p>
    <w:p w14:paraId="4D478DC4" w14:textId="5567D9D7"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 xml:space="preserve">Article 21 reporting – </w:t>
      </w:r>
      <w:r w:rsidR="009E4A35">
        <w:rPr>
          <w:rFonts w:eastAsia="Roboto"/>
        </w:rPr>
        <w:t>s</w:t>
      </w:r>
      <w:r w:rsidRPr="00010148">
        <w:rPr>
          <w:rFonts w:eastAsia="Roboto"/>
        </w:rPr>
        <w:t>ecretariat to compile as part of</w:t>
      </w:r>
      <w:r w:rsidR="009E4A35">
        <w:rPr>
          <w:rFonts w:eastAsia="Roboto"/>
        </w:rPr>
        <w:t xml:space="preserve"> the</w:t>
      </w:r>
      <w:r w:rsidRPr="00010148">
        <w:rPr>
          <w:rFonts w:eastAsia="Roboto"/>
        </w:rPr>
        <w:t xml:space="preserve"> reporting cycle, including a set of descriptive statistics</w:t>
      </w:r>
    </w:p>
    <w:p w14:paraId="4D1687B2" w14:textId="141B343D"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Other submission</w:t>
      </w:r>
      <w:r w:rsidR="009E4A35">
        <w:rPr>
          <w:rFonts w:eastAsia="Roboto"/>
        </w:rPr>
        <w:t>s</w:t>
      </w:r>
      <w:r w:rsidRPr="00010148">
        <w:rPr>
          <w:rFonts w:eastAsia="Roboto"/>
        </w:rPr>
        <w:t xml:space="preserve"> to the </w:t>
      </w:r>
      <w:r w:rsidR="009E4A35">
        <w:rPr>
          <w:rFonts w:eastAsia="Roboto"/>
        </w:rPr>
        <w:t>s</w:t>
      </w:r>
      <w:r w:rsidRPr="00010148">
        <w:rPr>
          <w:rFonts w:eastAsia="Roboto"/>
        </w:rPr>
        <w:t>ecretariat (</w:t>
      </w:r>
      <w:r>
        <w:rPr>
          <w:rFonts w:eastAsia="Roboto"/>
        </w:rPr>
        <w:t>import consent</w:t>
      </w:r>
      <w:r w:rsidRPr="00010148">
        <w:rPr>
          <w:rFonts w:eastAsia="Roboto"/>
        </w:rPr>
        <w:t xml:space="preserve">, </w:t>
      </w:r>
      <w:r>
        <w:rPr>
          <w:rFonts w:eastAsia="Roboto"/>
        </w:rPr>
        <w:t>national action plans</w:t>
      </w:r>
      <w:r w:rsidRPr="00010148">
        <w:rPr>
          <w:rFonts w:eastAsia="Roboto"/>
        </w:rPr>
        <w:t xml:space="preserve">, emission inventory, exemption, voluntary </w:t>
      </w:r>
      <w:r>
        <w:rPr>
          <w:rFonts w:eastAsia="Roboto"/>
        </w:rPr>
        <w:t>national implementation plans,</w:t>
      </w:r>
      <w:r w:rsidRPr="00010148">
        <w:rPr>
          <w:rFonts w:eastAsia="Roboto"/>
        </w:rPr>
        <w:t xml:space="preserve"> etc.)</w:t>
      </w:r>
    </w:p>
    <w:p w14:paraId="74609C4A" w14:textId="77777777"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Global monitoring report</w:t>
      </w:r>
      <w:r>
        <w:rPr>
          <w:rStyle w:val="Appelnotedebasdep"/>
          <w:rFonts w:eastAsia="Roboto"/>
        </w:rPr>
        <w:footnoteReference w:id="6"/>
      </w:r>
      <w:r>
        <w:rPr>
          <w:rFonts w:eastAsia="Roboto"/>
        </w:rPr>
        <w:t xml:space="preserve"> </w:t>
      </w:r>
    </w:p>
    <w:p w14:paraId="3958C0EA" w14:textId="4CD757F2"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 xml:space="preserve">Report </w:t>
      </w:r>
      <w:r w:rsidR="009E4A35">
        <w:rPr>
          <w:rFonts w:eastAsia="Roboto"/>
        </w:rPr>
        <w:t>of</w:t>
      </w:r>
      <w:r w:rsidR="009E4A35" w:rsidRPr="00010148">
        <w:rPr>
          <w:rFonts w:eastAsia="Roboto"/>
        </w:rPr>
        <w:t xml:space="preserve"> </w:t>
      </w:r>
      <w:r>
        <w:rPr>
          <w:rFonts w:eastAsia="Roboto"/>
        </w:rPr>
        <w:t xml:space="preserve">the </w:t>
      </w:r>
      <w:r w:rsidRPr="00010148">
        <w:rPr>
          <w:rFonts w:eastAsia="Roboto"/>
        </w:rPr>
        <w:t>Implementation and Compliance Committee</w:t>
      </w:r>
    </w:p>
    <w:p w14:paraId="1CED9891" w14:textId="7C55C50A"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Pr>
          <w:rFonts w:eastAsia="Roboto"/>
        </w:rPr>
        <w:t xml:space="preserve">Report </w:t>
      </w:r>
      <w:r w:rsidR="009E4A35">
        <w:rPr>
          <w:rFonts w:eastAsia="Roboto"/>
        </w:rPr>
        <w:t>by</w:t>
      </w:r>
      <w:r>
        <w:rPr>
          <w:rFonts w:eastAsia="Roboto"/>
        </w:rPr>
        <w:t xml:space="preserve"> GEF</w:t>
      </w:r>
    </w:p>
    <w:p w14:paraId="6202B80F" w14:textId="01750094"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Pr>
          <w:rFonts w:eastAsia="Roboto"/>
        </w:rPr>
        <w:t>R</w:t>
      </w:r>
      <w:r w:rsidRPr="00010148">
        <w:rPr>
          <w:rFonts w:eastAsia="Roboto"/>
        </w:rPr>
        <w:t>eport</w:t>
      </w:r>
      <w:r>
        <w:rPr>
          <w:rFonts w:eastAsia="Roboto"/>
        </w:rPr>
        <w:t xml:space="preserve"> </w:t>
      </w:r>
      <w:r w:rsidR="009E4A35">
        <w:rPr>
          <w:rFonts w:eastAsia="Roboto"/>
        </w:rPr>
        <w:t>of</w:t>
      </w:r>
      <w:r>
        <w:rPr>
          <w:rFonts w:eastAsia="Roboto"/>
        </w:rPr>
        <w:t xml:space="preserve"> the Specific International Programme</w:t>
      </w:r>
    </w:p>
    <w:p w14:paraId="1D5BF8EF" w14:textId="4BDCA30F" w:rsidR="00306F47" w:rsidRPr="00995062"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995062">
        <w:rPr>
          <w:rFonts w:eastAsia="Roboto"/>
        </w:rPr>
        <w:t xml:space="preserve">Report </w:t>
      </w:r>
      <w:r w:rsidR="009E4A35">
        <w:rPr>
          <w:rFonts w:eastAsia="Roboto"/>
        </w:rPr>
        <w:t>of</w:t>
      </w:r>
      <w:r w:rsidR="009E4A35" w:rsidRPr="00995062">
        <w:rPr>
          <w:rFonts w:eastAsia="Roboto"/>
        </w:rPr>
        <w:t xml:space="preserve"> </w:t>
      </w:r>
      <w:r w:rsidRPr="00995062">
        <w:rPr>
          <w:rFonts w:eastAsia="Roboto"/>
        </w:rPr>
        <w:t>the Special Programme to support institutional strengthening at the national level for implementation of the Basel</w:t>
      </w:r>
      <w:r w:rsidR="009E4A35">
        <w:rPr>
          <w:rFonts w:eastAsia="Roboto"/>
        </w:rPr>
        <w:t xml:space="preserve"> Convention on the Control of Transboundary Movements of Hazardous Wastes and Their Disposal</w:t>
      </w:r>
      <w:r w:rsidRPr="00995062">
        <w:rPr>
          <w:rFonts w:eastAsia="Roboto"/>
        </w:rPr>
        <w:t>,</w:t>
      </w:r>
      <w:r w:rsidR="009E4A35">
        <w:rPr>
          <w:rFonts w:eastAsia="Roboto"/>
        </w:rPr>
        <w:t xml:space="preserve"> the</w:t>
      </w:r>
      <w:r w:rsidRPr="002A02E7">
        <w:rPr>
          <w:rFonts w:eastAsia="Roboto"/>
        </w:rPr>
        <w:t xml:space="preserve"> Rotterdam </w:t>
      </w:r>
      <w:r w:rsidR="009E4A35">
        <w:rPr>
          <w:rFonts w:eastAsia="Roboto"/>
        </w:rPr>
        <w:t xml:space="preserve">Convention on the Prior Informed Consent Procedure for Certain Hazardous Chemicals and Pesticides in International Trade </w:t>
      </w:r>
      <w:r w:rsidRPr="002A02E7">
        <w:rPr>
          <w:rFonts w:eastAsia="Roboto"/>
        </w:rPr>
        <w:t xml:space="preserve">and </w:t>
      </w:r>
      <w:r w:rsidR="009E4A35">
        <w:rPr>
          <w:rFonts w:eastAsia="Roboto"/>
        </w:rPr>
        <w:t xml:space="preserve">the </w:t>
      </w:r>
      <w:r w:rsidRPr="002A02E7">
        <w:rPr>
          <w:rFonts w:eastAsia="Roboto"/>
        </w:rPr>
        <w:t xml:space="preserve">Stockholm </w:t>
      </w:r>
      <w:r w:rsidR="009E4A35">
        <w:rPr>
          <w:rFonts w:eastAsia="Roboto"/>
        </w:rPr>
        <w:t>C</w:t>
      </w:r>
      <w:r w:rsidRPr="002A02E7">
        <w:rPr>
          <w:rFonts w:eastAsia="Roboto"/>
        </w:rPr>
        <w:t>onvention</w:t>
      </w:r>
      <w:r w:rsidR="009E4A35">
        <w:rPr>
          <w:rFonts w:eastAsia="Roboto"/>
        </w:rPr>
        <w:t xml:space="preserve"> on Persistent Organic Pollutants</w:t>
      </w:r>
      <w:r w:rsidRPr="002A02E7">
        <w:rPr>
          <w:rFonts w:eastAsia="Roboto"/>
        </w:rPr>
        <w:t xml:space="preserve">, the </w:t>
      </w:r>
      <w:r w:rsidRPr="00995062">
        <w:rPr>
          <w:rFonts w:eastAsia="Roboto"/>
        </w:rPr>
        <w:t>Minamata Convention and the Strategic Approach to International Chemicals Management</w:t>
      </w:r>
    </w:p>
    <w:p w14:paraId="6C69A85C" w14:textId="5BDDA0F4"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 xml:space="preserve">Other relevant information including the Global Mercury Assessment, </w:t>
      </w:r>
      <w:r w:rsidR="009E4A35">
        <w:rPr>
          <w:rFonts w:eastAsia="Roboto"/>
        </w:rPr>
        <w:t>the United Nations Environment Programme s</w:t>
      </w:r>
      <w:r w:rsidRPr="00010148">
        <w:rPr>
          <w:rFonts w:eastAsia="Roboto"/>
        </w:rPr>
        <w:t>upply</w:t>
      </w:r>
      <w:r w:rsidR="009E4A35">
        <w:rPr>
          <w:rFonts w:eastAsia="Roboto"/>
        </w:rPr>
        <w:t>, trade and demand r</w:t>
      </w:r>
      <w:r w:rsidRPr="00010148">
        <w:rPr>
          <w:rFonts w:eastAsia="Roboto"/>
        </w:rPr>
        <w:t xml:space="preserve">eport, voluntary submissions, reports </w:t>
      </w:r>
      <w:r w:rsidR="00D57F63">
        <w:rPr>
          <w:rFonts w:eastAsia="Roboto"/>
        </w:rPr>
        <w:t>of</w:t>
      </w:r>
      <w:r w:rsidR="00D57F63" w:rsidRPr="00010148">
        <w:rPr>
          <w:rFonts w:eastAsia="Roboto"/>
        </w:rPr>
        <w:t xml:space="preserve"> </w:t>
      </w:r>
      <w:r w:rsidR="009E4A35">
        <w:rPr>
          <w:rFonts w:eastAsia="Roboto"/>
        </w:rPr>
        <w:t>intergovernmental organizations</w:t>
      </w:r>
      <w:r w:rsidRPr="00010148">
        <w:rPr>
          <w:rFonts w:eastAsia="Roboto"/>
        </w:rPr>
        <w:t xml:space="preserve"> (W</w:t>
      </w:r>
      <w:r w:rsidR="009E4A35">
        <w:rPr>
          <w:rFonts w:eastAsia="Roboto"/>
        </w:rPr>
        <w:t>orld Health Organization, International Labour Organization</w:t>
      </w:r>
      <w:r w:rsidRPr="00010148">
        <w:rPr>
          <w:rFonts w:eastAsia="Roboto"/>
        </w:rPr>
        <w:t>,</w:t>
      </w:r>
      <w:r w:rsidR="00D57F63">
        <w:rPr>
          <w:rFonts w:eastAsia="Roboto"/>
        </w:rPr>
        <w:t xml:space="preserve"> </w:t>
      </w:r>
      <w:r w:rsidR="009E4A35">
        <w:rPr>
          <w:rFonts w:eastAsia="Roboto"/>
        </w:rPr>
        <w:t>United Nations Development Programme</w:t>
      </w:r>
      <w:r w:rsidRPr="00010148">
        <w:rPr>
          <w:rFonts w:eastAsia="Roboto"/>
        </w:rPr>
        <w:t>, A</w:t>
      </w:r>
      <w:r w:rsidR="009E4A35">
        <w:rPr>
          <w:rFonts w:eastAsia="Roboto"/>
        </w:rPr>
        <w:t>rctic Monitoring and Assessment Programme</w:t>
      </w:r>
      <w:r w:rsidRPr="00010148">
        <w:rPr>
          <w:rFonts w:eastAsia="Roboto"/>
        </w:rPr>
        <w:t xml:space="preserve">, </w:t>
      </w:r>
      <w:r w:rsidR="00D57F63">
        <w:rPr>
          <w:rFonts w:eastAsia="Roboto"/>
        </w:rPr>
        <w:t>United Nations Industrial Development Organization,</w:t>
      </w:r>
      <w:r w:rsidR="00D57F63" w:rsidRPr="00010148">
        <w:rPr>
          <w:rFonts w:eastAsia="Roboto"/>
        </w:rPr>
        <w:t xml:space="preserve"> </w:t>
      </w:r>
      <w:r w:rsidRPr="00010148">
        <w:rPr>
          <w:rFonts w:eastAsia="Roboto"/>
        </w:rPr>
        <w:t>etc</w:t>
      </w:r>
      <w:r w:rsidR="00D57F63">
        <w:rPr>
          <w:rFonts w:eastAsia="Roboto"/>
        </w:rPr>
        <w:t>.</w:t>
      </w:r>
      <w:r w:rsidRPr="00010148">
        <w:rPr>
          <w:rFonts w:eastAsia="Roboto"/>
        </w:rPr>
        <w:t xml:space="preserve">), Minamata </w:t>
      </w:r>
      <w:r w:rsidR="00D57F63">
        <w:rPr>
          <w:rFonts w:eastAsia="Roboto"/>
        </w:rPr>
        <w:t>Convention i</w:t>
      </w:r>
      <w:r w:rsidRPr="00010148">
        <w:rPr>
          <w:rFonts w:eastAsia="Roboto"/>
        </w:rPr>
        <w:t xml:space="preserve">nitial </w:t>
      </w:r>
      <w:r w:rsidR="00D57F63">
        <w:rPr>
          <w:rFonts w:eastAsia="Roboto"/>
        </w:rPr>
        <w:t>a</w:t>
      </w:r>
      <w:r w:rsidRPr="00010148">
        <w:rPr>
          <w:rFonts w:eastAsia="Roboto"/>
        </w:rPr>
        <w:t>ssessments, Global Mercury Partnership, project reports, U</w:t>
      </w:r>
      <w:r w:rsidR="00D57F63">
        <w:rPr>
          <w:rFonts w:eastAsia="Roboto"/>
        </w:rPr>
        <w:t xml:space="preserve">nited </w:t>
      </w:r>
      <w:r w:rsidRPr="00010148">
        <w:rPr>
          <w:rFonts w:eastAsia="Roboto"/>
        </w:rPr>
        <w:t>N</w:t>
      </w:r>
      <w:r w:rsidR="00D57F63">
        <w:rPr>
          <w:rFonts w:eastAsia="Roboto"/>
        </w:rPr>
        <w:t>ations</w:t>
      </w:r>
      <w:r w:rsidRPr="00010148">
        <w:rPr>
          <w:rFonts w:eastAsia="Roboto"/>
        </w:rPr>
        <w:t xml:space="preserve"> trade data, scientific literature, </w:t>
      </w:r>
      <w:r w:rsidR="00D57F63">
        <w:rPr>
          <w:rFonts w:eastAsia="Roboto"/>
        </w:rPr>
        <w:t>among others</w:t>
      </w:r>
      <w:r w:rsidRPr="00010148">
        <w:rPr>
          <w:rFonts w:eastAsia="Roboto"/>
        </w:rPr>
        <w:t>.</w:t>
      </w:r>
    </w:p>
    <w:p w14:paraId="2C6CD2D3" w14:textId="25C80CF9" w:rsidR="00306F47" w:rsidRPr="00010148" w:rsidRDefault="00306F47" w:rsidP="00306F47">
      <w:pPr>
        <w:pStyle w:val="Paragraphedeliste"/>
        <w:numPr>
          <w:ilvl w:val="0"/>
          <w:numId w:val="46"/>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95" w:hanging="624"/>
        <w:rPr>
          <w:rFonts w:eastAsia="Roboto"/>
        </w:rPr>
      </w:pPr>
      <w:r w:rsidRPr="00010148">
        <w:rPr>
          <w:rFonts w:eastAsia="Roboto"/>
        </w:rPr>
        <w:t>Stage 2</w:t>
      </w:r>
      <w:r w:rsidR="009E4A35">
        <w:rPr>
          <w:rFonts w:eastAsia="Roboto"/>
        </w:rPr>
        <w:t>:</w:t>
      </w:r>
      <w:r w:rsidRPr="00010148">
        <w:rPr>
          <w:rFonts w:eastAsia="Roboto"/>
        </w:rPr>
        <w:t xml:space="preserve"> information synthesis and evaluation</w:t>
      </w:r>
    </w:p>
    <w:p w14:paraId="65E0B6CD" w14:textId="251E26E3" w:rsidR="00306F47" w:rsidRPr="00CF1F64"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 xml:space="preserve">The </w:t>
      </w:r>
      <w:r w:rsidR="005C060C">
        <w:rPr>
          <w:rFonts w:eastAsia="Roboto"/>
        </w:rPr>
        <w:t>s</w:t>
      </w:r>
      <w:r w:rsidRPr="00010148">
        <w:rPr>
          <w:rFonts w:eastAsia="Roboto"/>
        </w:rPr>
        <w:t>ecretariat prepares a preliminary report using the information from stage</w:t>
      </w:r>
      <w:r w:rsidR="00B53199">
        <w:rPr>
          <w:rFonts w:eastAsia="Roboto"/>
        </w:rPr>
        <w:t> </w:t>
      </w:r>
      <w:r w:rsidRPr="00010148">
        <w:rPr>
          <w:rFonts w:eastAsia="Roboto"/>
        </w:rPr>
        <w:t>1. Th</w:t>
      </w:r>
      <w:r w:rsidR="00D57F63">
        <w:rPr>
          <w:rFonts w:eastAsia="Roboto"/>
        </w:rPr>
        <w:t>e</w:t>
      </w:r>
      <w:r w:rsidRPr="00010148">
        <w:rPr>
          <w:rFonts w:eastAsia="Roboto"/>
        </w:rPr>
        <w:t xml:space="preserve"> preliminary report includes a </w:t>
      </w:r>
      <w:r w:rsidRPr="00CF1F64">
        <w:rPr>
          <w:rFonts w:eastAsia="Roboto"/>
        </w:rPr>
        <w:t xml:space="preserve">compilation of the various information and data available to facilitate the evaluation of the Convention. </w:t>
      </w:r>
    </w:p>
    <w:p w14:paraId="78D1C19E" w14:textId="1F932D67"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 xml:space="preserve">The effectiveness evaluation committee will review and assess the information compiled by the </w:t>
      </w:r>
      <w:r w:rsidR="005C060C">
        <w:rPr>
          <w:rFonts w:eastAsia="Roboto"/>
        </w:rPr>
        <w:t>s</w:t>
      </w:r>
      <w:r w:rsidRPr="00010148">
        <w:rPr>
          <w:rFonts w:eastAsia="Roboto"/>
        </w:rPr>
        <w:t>ecretariat.</w:t>
      </w:r>
    </w:p>
    <w:p w14:paraId="21FDC0DD" w14:textId="77777777" w:rsidR="00306F47" w:rsidRPr="00010148" w:rsidRDefault="00306F47" w:rsidP="00306F47">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rPr>
      </w:pPr>
      <w:r w:rsidRPr="00010148">
        <w:rPr>
          <w:rFonts w:eastAsia="Roboto"/>
        </w:rPr>
        <w:t>The Committee draws conclusions as to the effectiveness of the Convention, and make recommendations to the Conference of the Parties on any improvements that might be warranted.</w:t>
      </w:r>
    </w:p>
    <w:p w14:paraId="1EDC9882" w14:textId="6CFFCA2F" w:rsidR="00306F47" w:rsidRPr="00010148" w:rsidRDefault="004F76E3" w:rsidP="00B53199">
      <w:pPr>
        <w:pStyle w:val="CH2"/>
      </w:pPr>
      <w:r>
        <w:rPr>
          <w:rFonts w:eastAsia="Roboto"/>
        </w:rPr>
        <w:lastRenderedPageBreak/>
        <w:tab/>
      </w:r>
      <w:r>
        <w:rPr>
          <w:rFonts w:eastAsia="Roboto"/>
        </w:rPr>
        <w:tab/>
      </w:r>
      <w:r w:rsidR="00306F47" w:rsidRPr="00010148">
        <w:rPr>
          <w:rFonts w:eastAsia="Roboto"/>
        </w:rPr>
        <w:t>Proposed schedule for the first effectiveness evaluation</w:t>
      </w:r>
    </w:p>
    <w:tbl>
      <w:tblPr>
        <w:tblW w:w="9129" w:type="dxa"/>
        <w:tblInd w:w="3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0"/>
        <w:gridCol w:w="2573"/>
        <w:gridCol w:w="2573"/>
        <w:gridCol w:w="2573"/>
      </w:tblGrid>
      <w:tr w:rsidR="00306F47" w:rsidRPr="00010148" w14:paraId="7417A01C" w14:textId="77777777" w:rsidTr="00585A44">
        <w:trPr>
          <w:trHeight w:val="141"/>
          <w:tblHeader/>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36BE0" w14:textId="77777777" w:rsidR="00306F47" w:rsidRPr="00585A44" w:rsidRDefault="00306F47" w:rsidP="007F3AF6">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rPr>
            </w:pPr>
            <w:r w:rsidRPr="00585A44">
              <w:rPr>
                <w:rFonts w:ascii="Times New Roman" w:eastAsia="Roboto" w:hAnsi="Times New Roman" w:cs="Times New Roman"/>
                <w:i/>
                <w:color w:val="auto"/>
                <w:sz w:val="18"/>
                <w:szCs w:val="18"/>
              </w:rPr>
              <w:t>Year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3024" w14:textId="77777777" w:rsidR="00306F47" w:rsidRPr="00585A44" w:rsidRDefault="00306F47" w:rsidP="007F3AF6">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rPr>
            </w:pPr>
            <w:r w:rsidRPr="00585A44">
              <w:rPr>
                <w:rFonts w:ascii="Times New Roman" w:eastAsia="Roboto" w:hAnsi="Times New Roman" w:cs="Times New Roman"/>
                <w:i/>
                <w:color w:val="auto"/>
                <w:sz w:val="18"/>
                <w:szCs w:val="18"/>
              </w:rPr>
              <w:t>Available information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99EA9" w14:textId="77777777" w:rsidR="00306F47" w:rsidRPr="00585A44" w:rsidRDefault="00306F47" w:rsidP="007F3AF6">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rPr>
            </w:pPr>
            <w:r w:rsidRPr="00585A44">
              <w:rPr>
                <w:rFonts w:ascii="Times New Roman" w:eastAsia="Roboto" w:hAnsi="Times New Roman" w:cs="Times New Roman"/>
                <w:i/>
                <w:color w:val="auto"/>
                <w:sz w:val="18"/>
                <w:szCs w:val="18"/>
              </w:rPr>
              <w:t>Monitoring data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7B1B" w14:textId="77777777" w:rsidR="00306F47" w:rsidRPr="00585A44" w:rsidRDefault="00306F47" w:rsidP="007F3AF6">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rPr>
            </w:pPr>
            <w:r w:rsidRPr="00585A44">
              <w:rPr>
                <w:rFonts w:ascii="Times New Roman" w:eastAsia="Roboto" w:hAnsi="Times New Roman" w:cs="Times New Roman"/>
                <w:i/>
                <w:color w:val="auto"/>
                <w:sz w:val="18"/>
                <w:szCs w:val="18"/>
              </w:rPr>
              <w:t>Effectiveness evaluation</w:t>
            </w:r>
          </w:p>
        </w:tc>
      </w:tr>
      <w:tr w:rsidR="00306F47" w:rsidRPr="00010148" w14:paraId="1F9E8751" w14:textId="77777777" w:rsidTr="009E4A35">
        <w:trPr>
          <w:trHeight w:val="393"/>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64230" w14:textId="60749412" w:rsidR="00306F47" w:rsidRPr="00EB7F25" w:rsidRDefault="00306F47" w:rsidP="007F3AF6">
            <w:pPr>
              <w:pStyle w:val="Text"/>
              <w:keepNext/>
              <w:keepLines/>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 xml:space="preserve">2017 </w:t>
            </w:r>
            <w:r w:rsidR="005F53AC">
              <w:rPr>
                <w:rFonts w:ascii="Times New Roman" w:eastAsia="Roboto" w:hAnsi="Times New Roman" w:cs="Times New Roman"/>
                <w:color w:val="auto"/>
                <w:sz w:val="18"/>
                <w:szCs w:val="18"/>
              </w:rPr>
              <w:t>–</w:t>
            </w:r>
            <w:r w:rsidR="00D57F63">
              <w:rPr>
                <w:rFonts w:ascii="Times New Roman" w:eastAsia="Roboto" w:hAnsi="Times New Roman" w:cs="Times New Roman"/>
                <w:color w:val="auto"/>
                <w:sz w:val="18"/>
                <w:szCs w:val="18"/>
              </w:rPr>
              <w:t xml:space="preserve"> </w:t>
            </w:r>
            <w:r w:rsidR="00D57F63" w:rsidRPr="003055BF">
              <w:rPr>
                <w:rFonts w:ascii="Times New Roman" w:eastAsia="Roboto" w:hAnsi="Times New Roman" w:cs="Times New Roman"/>
                <w:color w:val="auto"/>
                <w:sz w:val="18"/>
                <w:szCs w:val="18"/>
              </w:rPr>
              <w:t>e</w:t>
            </w:r>
            <w:r w:rsidRPr="003055BF">
              <w:rPr>
                <w:rFonts w:ascii="Times New Roman" w:eastAsia="Roboto" w:hAnsi="Times New Roman" w:cs="Times New Roman"/>
                <w:color w:val="auto"/>
                <w:sz w:val="18"/>
                <w:szCs w:val="18"/>
              </w:rPr>
              <w:t xml:space="preserve">ntry into force, </w:t>
            </w:r>
            <w:r w:rsidR="00D57F63" w:rsidRPr="003055BF">
              <w:rPr>
                <w:rFonts w:ascii="Times New Roman" w:eastAsia="Roboto" w:hAnsi="Times New Roman" w:cs="Times New Roman"/>
                <w:color w:val="auto"/>
                <w:sz w:val="18"/>
                <w:szCs w:val="18"/>
              </w:rPr>
              <w:t>first</w:t>
            </w:r>
            <w:r w:rsidR="00D57F63">
              <w:rPr>
                <w:rFonts w:ascii="Times New Roman" w:eastAsia="Roboto" w:hAnsi="Times New Roman" w:cs="Times New Roman"/>
                <w:color w:val="auto"/>
                <w:sz w:val="18"/>
                <w:szCs w:val="18"/>
              </w:rPr>
              <w:t xml:space="preserve"> meeting of the Conference of the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61A8E" w14:textId="77777777" w:rsidR="00306F47" w:rsidRPr="00EB7F25" w:rsidRDefault="00306F47" w:rsidP="007F3AF6">
            <w:pPr>
              <w:keepNext/>
              <w:keepLines/>
              <w:rPr>
                <w:sz w:val="18"/>
                <w:szCs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A1BC" w14:textId="77777777" w:rsidR="00306F47" w:rsidRPr="00EB7F25" w:rsidRDefault="00306F47" w:rsidP="007F3AF6">
            <w:pPr>
              <w:keepNext/>
              <w:keepLines/>
              <w:rPr>
                <w:sz w:val="18"/>
                <w:szCs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95B8" w14:textId="77777777" w:rsidR="00306F47" w:rsidRPr="00EB7F25" w:rsidRDefault="00306F47" w:rsidP="007F3AF6">
            <w:pPr>
              <w:keepNext/>
              <w:keepLines/>
              <w:rPr>
                <w:sz w:val="18"/>
                <w:szCs w:val="18"/>
              </w:rPr>
            </w:pPr>
          </w:p>
        </w:tc>
      </w:tr>
      <w:tr w:rsidR="00306F47" w:rsidRPr="00010148" w14:paraId="47744148" w14:textId="77777777" w:rsidTr="00585A44">
        <w:trPr>
          <w:trHeight w:val="244"/>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EF3E" w14:textId="736151CD" w:rsidR="00306F47" w:rsidRPr="00EB7F25" w:rsidRDefault="00306F47" w:rsidP="007F3AF6">
            <w:pPr>
              <w:pStyle w:val="Text"/>
              <w:keepNext/>
              <w:keepLines/>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 xml:space="preserve">2018 </w:t>
            </w:r>
            <w:r w:rsidR="005F53AC">
              <w:rPr>
                <w:rFonts w:ascii="Times New Roman" w:eastAsia="Roboto" w:hAnsi="Times New Roman" w:cs="Times New Roman"/>
                <w:color w:val="auto"/>
                <w:sz w:val="18"/>
                <w:szCs w:val="18"/>
              </w:rPr>
              <w:t>–</w:t>
            </w:r>
            <w:r w:rsidR="00D57F63">
              <w:rPr>
                <w:rFonts w:ascii="Times New Roman" w:eastAsia="Roboto" w:hAnsi="Times New Roman" w:cs="Times New Roman"/>
                <w:color w:val="auto"/>
                <w:sz w:val="18"/>
                <w:szCs w:val="18"/>
              </w:rPr>
              <w:t xml:space="preserve"> second meeting of the Conference of the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D592" w14:textId="77777777" w:rsidR="00306F47" w:rsidRPr="00EB7F25" w:rsidRDefault="00306F47" w:rsidP="007F3AF6">
            <w:pPr>
              <w:pStyle w:val="Paragraphedeliste"/>
              <w:keepNext/>
              <w:keepLines/>
              <w:numPr>
                <w:ilvl w:val="0"/>
                <w:numId w:val="47"/>
              </w:numPr>
              <w:pBdr>
                <w:top w:val="nil"/>
                <w:left w:val="nil"/>
                <w:bottom w:val="nil"/>
                <w:right w:val="nil"/>
                <w:between w:val="nil"/>
                <w:bar w:val="nil"/>
              </w:pBdr>
              <w:rPr>
                <w:rFonts w:eastAsia="Roboto"/>
                <w:sz w:val="18"/>
                <w:szCs w:val="18"/>
              </w:rPr>
            </w:pPr>
            <w:r w:rsidRPr="00EB7F25">
              <w:rPr>
                <w:rFonts w:eastAsia="Roboto"/>
                <w:sz w:val="18"/>
                <w:szCs w:val="18"/>
              </w:rPr>
              <w:t>Global Mercury Assessment</w:t>
            </w:r>
          </w:p>
          <w:p w14:paraId="35DD16C9" w14:textId="29743330" w:rsidR="00306F47" w:rsidRPr="00EB7F25" w:rsidRDefault="00306F47" w:rsidP="007F3AF6">
            <w:pPr>
              <w:pStyle w:val="Paragraphedeliste"/>
              <w:keepNext/>
              <w:keepLines/>
              <w:numPr>
                <w:ilvl w:val="0"/>
                <w:numId w:val="47"/>
              </w:numPr>
              <w:pBdr>
                <w:top w:val="nil"/>
                <w:left w:val="nil"/>
                <w:bottom w:val="nil"/>
                <w:right w:val="nil"/>
                <w:between w:val="nil"/>
                <w:bar w:val="nil"/>
              </w:pBdr>
              <w:rPr>
                <w:rFonts w:eastAsia="Roboto"/>
                <w:sz w:val="18"/>
                <w:szCs w:val="18"/>
              </w:rPr>
            </w:pPr>
            <w:r w:rsidRPr="00EB7F25">
              <w:rPr>
                <w:rFonts w:eastAsia="Roboto"/>
                <w:sz w:val="18"/>
                <w:szCs w:val="18"/>
              </w:rPr>
              <w:t xml:space="preserve">Most Minamata Convention </w:t>
            </w:r>
            <w:r w:rsidR="00D57F63">
              <w:rPr>
                <w:rFonts w:eastAsia="Roboto"/>
                <w:sz w:val="18"/>
                <w:szCs w:val="18"/>
              </w:rPr>
              <w:t>i</w:t>
            </w:r>
            <w:r w:rsidRPr="00EB7F25">
              <w:rPr>
                <w:rFonts w:eastAsia="Roboto"/>
                <w:sz w:val="18"/>
                <w:szCs w:val="18"/>
              </w:rPr>
              <w:t xml:space="preserve">nitial </w:t>
            </w:r>
            <w:r w:rsidR="00D57F63">
              <w:rPr>
                <w:rFonts w:eastAsia="Roboto"/>
                <w:sz w:val="18"/>
                <w:szCs w:val="18"/>
              </w:rPr>
              <w:t>a</w:t>
            </w:r>
            <w:r w:rsidRPr="00EB7F25">
              <w:rPr>
                <w:rFonts w:eastAsia="Roboto"/>
                <w:sz w:val="18"/>
                <w:szCs w:val="18"/>
              </w:rPr>
              <w:t>ssessments completed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E133" w14:textId="33BE4BD3" w:rsidR="00306F47" w:rsidRPr="00EB7F25" w:rsidRDefault="00D57F63" w:rsidP="007F3AF6">
            <w:pPr>
              <w:pStyle w:val="Paragraphedeliste"/>
              <w:keepNext/>
              <w:keepLines/>
              <w:numPr>
                <w:ilvl w:val="0"/>
                <w:numId w:val="48"/>
              </w:numPr>
              <w:pBdr>
                <w:top w:val="nil"/>
                <w:left w:val="nil"/>
                <w:bottom w:val="nil"/>
                <w:right w:val="nil"/>
                <w:between w:val="nil"/>
                <w:bar w:val="nil"/>
              </w:pBdr>
              <w:rPr>
                <w:rFonts w:eastAsia="Roboto"/>
                <w:sz w:val="18"/>
                <w:szCs w:val="18"/>
              </w:rPr>
            </w:pPr>
            <w:r>
              <w:rPr>
                <w:rFonts w:eastAsia="Roboto"/>
                <w:sz w:val="18"/>
                <w:szCs w:val="18"/>
              </w:rPr>
              <w:t>Conference of the Parties</w:t>
            </w:r>
            <w:r w:rsidRPr="00EB7F25">
              <w:rPr>
                <w:rFonts w:eastAsia="Roboto"/>
                <w:sz w:val="18"/>
                <w:szCs w:val="18"/>
              </w:rPr>
              <w:t xml:space="preserve"> </w:t>
            </w:r>
            <w:r w:rsidR="00306F47" w:rsidRPr="00EB7F25">
              <w:rPr>
                <w:rFonts w:eastAsia="Roboto"/>
                <w:sz w:val="18"/>
                <w:szCs w:val="18"/>
              </w:rPr>
              <w:t>considers result</w:t>
            </w:r>
            <w:r>
              <w:rPr>
                <w:rFonts w:eastAsia="Roboto"/>
                <w:sz w:val="18"/>
                <w:szCs w:val="18"/>
              </w:rPr>
              <w:t>s</w:t>
            </w:r>
            <w:r w:rsidR="00306F47" w:rsidRPr="00EB7F25">
              <w:rPr>
                <w:rFonts w:eastAsia="Roboto"/>
                <w:sz w:val="18"/>
                <w:szCs w:val="18"/>
              </w:rPr>
              <w:t xml:space="preserve"> of intersessional work and how to address gaps and organize future monitoring</w:t>
            </w:r>
            <w:r w:rsidR="00654410">
              <w:rPr>
                <w:rFonts w:eastAsia="Roboto"/>
                <w:sz w:val="18"/>
                <w:szCs w:val="18"/>
              </w:rPr>
              <w:t>,</w:t>
            </w:r>
            <w:r w:rsidR="00306F47" w:rsidRPr="00EB7F25">
              <w:rPr>
                <w:rFonts w:eastAsia="Roboto"/>
                <w:sz w:val="18"/>
                <w:szCs w:val="18"/>
              </w:rPr>
              <w:t xml:space="preserve"> including organizational arrangements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6CF8" w14:textId="4E09DDC8" w:rsidR="00306F47" w:rsidRPr="00EB7F25" w:rsidRDefault="00D57F63" w:rsidP="007F3AF6">
            <w:pPr>
              <w:pStyle w:val="Paragraphedeliste"/>
              <w:keepNext/>
              <w:keepLines/>
              <w:numPr>
                <w:ilvl w:val="0"/>
                <w:numId w:val="49"/>
              </w:numPr>
              <w:pBdr>
                <w:top w:val="nil"/>
                <w:left w:val="nil"/>
                <w:bottom w:val="nil"/>
                <w:right w:val="nil"/>
                <w:between w:val="nil"/>
                <w:bar w:val="nil"/>
              </w:pBdr>
              <w:rPr>
                <w:rFonts w:eastAsia="Roboto"/>
                <w:sz w:val="18"/>
                <w:szCs w:val="18"/>
              </w:rPr>
            </w:pPr>
            <w:r>
              <w:rPr>
                <w:rFonts w:eastAsia="Roboto"/>
                <w:sz w:val="18"/>
                <w:szCs w:val="18"/>
              </w:rPr>
              <w:t>Conference of the Parties</w:t>
            </w:r>
            <w:r w:rsidR="00306F47" w:rsidRPr="00EB7F25">
              <w:rPr>
                <w:rFonts w:eastAsia="Roboto"/>
                <w:sz w:val="18"/>
                <w:szCs w:val="18"/>
              </w:rPr>
              <w:t xml:space="preserve"> considers result of intersessional work and considers how to establish effectiveness evaluation framework</w:t>
            </w:r>
          </w:p>
        </w:tc>
      </w:tr>
      <w:tr w:rsidR="00306F47" w:rsidRPr="00010148" w14:paraId="6CBFF95D" w14:textId="77777777" w:rsidTr="009E4A35">
        <w:trPr>
          <w:trHeight w:val="94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9432B" w14:textId="6B8E3232" w:rsidR="00306F47" w:rsidRPr="00EB7F25" w:rsidRDefault="00306F47" w:rsidP="007F3AF6">
            <w:pPr>
              <w:pStyle w:val="Text"/>
              <w:keepNext/>
              <w:keepLines/>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 xml:space="preserve">2019 </w:t>
            </w:r>
            <w:r w:rsidR="00D57F63">
              <w:rPr>
                <w:rFonts w:ascii="Times New Roman" w:eastAsia="Roboto" w:hAnsi="Times New Roman" w:cs="Times New Roman"/>
                <w:color w:val="auto"/>
                <w:sz w:val="18"/>
                <w:szCs w:val="18"/>
              </w:rPr>
              <w:t>– third meeting of the Conference of the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A48E" w14:textId="76C3D0C6" w:rsidR="00306F47" w:rsidRPr="00EB7F25" w:rsidRDefault="00306F47" w:rsidP="007F3AF6">
            <w:pPr>
              <w:pStyle w:val="Paragraphedeliste"/>
              <w:keepNext/>
              <w:keepLines/>
              <w:numPr>
                <w:ilvl w:val="0"/>
                <w:numId w:val="50"/>
              </w:numPr>
              <w:pBdr>
                <w:top w:val="nil"/>
                <w:left w:val="nil"/>
                <w:bottom w:val="nil"/>
                <w:right w:val="nil"/>
                <w:between w:val="nil"/>
                <w:bar w:val="nil"/>
              </w:pBdr>
              <w:rPr>
                <w:rFonts w:eastAsia="Roboto"/>
                <w:sz w:val="18"/>
                <w:szCs w:val="18"/>
              </w:rPr>
            </w:pPr>
            <w:r w:rsidRPr="00EB7F25">
              <w:rPr>
                <w:rFonts w:eastAsia="Roboto"/>
                <w:sz w:val="18"/>
                <w:szCs w:val="18"/>
              </w:rPr>
              <w:t xml:space="preserve">Article 21 reporting: </w:t>
            </w:r>
            <w:r w:rsidR="00D57F63">
              <w:rPr>
                <w:rFonts w:eastAsia="Roboto"/>
                <w:sz w:val="18"/>
                <w:szCs w:val="18"/>
              </w:rPr>
              <w:t>f</w:t>
            </w:r>
            <w:r w:rsidRPr="00EB7F25">
              <w:rPr>
                <w:rFonts w:eastAsia="Roboto"/>
                <w:sz w:val="18"/>
                <w:szCs w:val="18"/>
              </w:rPr>
              <w:t>irst biennial short report by 31</w:t>
            </w:r>
            <w:r w:rsidR="007F3AF6">
              <w:rPr>
                <w:rFonts w:eastAsia="Roboto"/>
                <w:sz w:val="18"/>
                <w:szCs w:val="18"/>
              </w:rPr>
              <w:t> </w:t>
            </w:r>
            <w:r w:rsidRPr="00EB7F25">
              <w:rPr>
                <w:rFonts w:eastAsia="Roboto"/>
                <w:sz w:val="18"/>
                <w:szCs w:val="18"/>
              </w:rPr>
              <w:t>Dec</w:t>
            </w:r>
            <w:r w:rsidR="00D57F63">
              <w:rPr>
                <w:rFonts w:eastAsia="Roboto"/>
                <w:sz w:val="18"/>
                <w:szCs w:val="18"/>
              </w:rPr>
              <w:t>ember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D6EB" w14:textId="77777777" w:rsidR="00306F47" w:rsidRPr="00EB7F25" w:rsidRDefault="00306F47" w:rsidP="007F3AF6">
            <w:pPr>
              <w:pStyle w:val="Paragraphedeliste"/>
              <w:keepNext/>
              <w:keepLines/>
              <w:numPr>
                <w:ilvl w:val="0"/>
                <w:numId w:val="51"/>
              </w:numPr>
              <w:pBdr>
                <w:top w:val="nil"/>
                <w:left w:val="nil"/>
                <w:bottom w:val="nil"/>
                <w:right w:val="nil"/>
                <w:between w:val="nil"/>
                <w:bar w:val="nil"/>
              </w:pBdr>
              <w:rPr>
                <w:rFonts w:eastAsia="Roboto"/>
                <w:sz w:val="18"/>
                <w:szCs w:val="18"/>
              </w:rPr>
            </w:pPr>
            <w:r w:rsidRPr="00EB7F25">
              <w:rPr>
                <w:rFonts w:eastAsia="Roboto"/>
                <w:sz w:val="18"/>
                <w:szCs w:val="18"/>
              </w:rPr>
              <w:t>Approve monitoring arrangements, including timeline for submission of data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CE77" w14:textId="77777777" w:rsidR="00306F47" w:rsidRPr="00EB7F25" w:rsidRDefault="00306F47" w:rsidP="007F3AF6">
            <w:pPr>
              <w:pStyle w:val="Paragraphedeliste"/>
              <w:keepNext/>
              <w:keepLines/>
              <w:numPr>
                <w:ilvl w:val="0"/>
                <w:numId w:val="52"/>
              </w:numPr>
              <w:pBdr>
                <w:top w:val="nil"/>
                <w:left w:val="nil"/>
                <w:bottom w:val="nil"/>
                <w:right w:val="nil"/>
                <w:between w:val="nil"/>
                <w:bar w:val="nil"/>
              </w:pBdr>
              <w:rPr>
                <w:rFonts w:eastAsia="Roboto"/>
                <w:sz w:val="18"/>
                <w:szCs w:val="18"/>
              </w:rPr>
            </w:pPr>
            <w:r w:rsidRPr="00EB7F25">
              <w:rPr>
                <w:rFonts w:eastAsia="Roboto"/>
                <w:sz w:val="18"/>
                <w:szCs w:val="18"/>
              </w:rPr>
              <w:t>Effectiveness evaluation framework adopted</w:t>
            </w:r>
          </w:p>
          <w:p w14:paraId="1D915D96" w14:textId="77777777" w:rsidR="00306F47" w:rsidRPr="00EB7F25" w:rsidRDefault="00306F47" w:rsidP="007F3AF6">
            <w:pPr>
              <w:pStyle w:val="Paragraphedeliste"/>
              <w:keepNext/>
              <w:keepLines/>
              <w:numPr>
                <w:ilvl w:val="0"/>
                <w:numId w:val="52"/>
              </w:numPr>
              <w:pBdr>
                <w:top w:val="nil"/>
                <w:left w:val="nil"/>
                <w:bottom w:val="nil"/>
                <w:right w:val="nil"/>
                <w:between w:val="nil"/>
                <w:bar w:val="nil"/>
              </w:pBdr>
              <w:rPr>
                <w:rFonts w:eastAsia="Roboto"/>
                <w:sz w:val="18"/>
                <w:szCs w:val="18"/>
              </w:rPr>
            </w:pPr>
            <w:r w:rsidRPr="00EB7F25">
              <w:rPr>
                <w:rFonts w:eastAsia="Roboto"/>
                <w:sz w:val="18"/>
                <w:szCs w:val="18"/>
              </w:rPr>
              <w:t>Effectiveness evaluation committee members nominated</w:t>
            </w:r>
          </w:p>
        </w:tc>
      </w:tr>
      <w:tr w:rsidR="00306F47" w:rsidRPr="00010148" w14:paraId="21ED5A26" w14:textId="77777777" w:rsidTr="009E4A35">
        <w:trPr>
          <w:trHeight w:val="992"/>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E55A1" w14:textId="77777777" w:rsidR="00306F47" w:rsidRPr="00EB7F25" w:rsidRDefault="00306F47" w:rsidP="009E4A35">
            <w:pPr>
              <w:pStyle w:val="Text"/>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2020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CA3E" w14:textId="77777777" w:rsidR="00306F47" w:rsidRPr="00EB7F25" w:rsidRDefault="00306F47" w:rsidP="00306F47">
            <w:pPr>
              <w:pStyle w:val="Paragraphedeliste"/>
              <w:numPr>
                <w:ilvl w:val="0"/>
                <w:numId w:val="53"/>
              </w:numPr>
              <w:pBdr>
                <w:top w:val="nil"/>
                <w:left w:val="nil"/>
                <w:bottom w:val="nil"/>
                <w:right w:val="nil"/>
                <w:between w:val="nil"/>
                <w:bar w:val="nil"/>
              </w:pBdr>
              <w:rPr>
                <w:rFonts w:eastAsia="Roboto"/>
                <w:sz w:val="18"/>
                <w:szCs w:val="18"/>
              </w:rPr>
            </w:pPr>
            <w:r w:rsidRPr="00EB7F25">
              <w:rPr>
                <w:rFonts w:eastAsia="Roboto"/>
                <w:sz w:val="18"/>
                <w:szCs w:val="18"/>
              </w:rPr>
              <w:t>First national action plans on ASGM start to be submitted</w:t>
            </w:r>
          </w:p>
          <w:p w14:paraId="06D694AD" w14:textId="77777777" w:rsidR="00306F47" w:rsidRPr="00EB7F25" w:rsidRDefault="00306F47" w:rsidP="00306F47">
            <w:pPr>
              <w:pStyle w:val="Paragraphedeliste"/>
              <w:numPr>
                <w:ilvl w:val="0"/>
                <w:numId w:val="53"/>
              </w:numPr>
              <w:pBdr>
                <w:top w:val="nil"/>
                <w:left w:val="nil"/>
                <w:bottom w:val="nil"/>
                <w:right w:val="nil"/>
                <w:between w:val="nil"/>
                <w:bar w:val="nil"/>
              </w:pBdr>
              <w:rPr>
                <w:rFonts w:eastAsia="Roboto"/>
                <w:sz w:val="18"/>
                <w:szCs w:val="18"/>
              </w:rPr>
            </w:pPr>
            <w:r w:rsidRPr="00EB7F25">
              <w:rPr>
                <w:rFonts w:eastAsia="Roboto"/>
                <w:sz w:val="18"/>
                <w:szCs w:val="18"/>
              </w:rPr>
              <w:t>Submission on release source categories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11276C1" w14:textId="77777777" w:rsidR="00306F47" w:rsidRPr="00EB7F25" w:rsidRDefault="00306F47" w:rsidP="009E4A35">
            <w:pPr>
              <w:rPr>
                <w:sz w:val="18"/>
                <w:szCs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62B602" w14:textId="77777777" w:rsidR="00306F47" w:rsidRPr="00EB7F25" w:rsidRDefault="00306F47" w:rsidP="009E4A35">
            <w:pPr>
              <w:rPr>
                <w:sz w:val="18"/>
                <w:szCs w:val="18"/>
              </w:rPr>
            </w:pPr>
          </w:p>
        </w:tc>
      </w:tr>
      <w:tr w:rsidR="00306F47" w:rsidRPr="00010148" w14:paraId="699907AA" w14:textId="77777777" w:rsidTr="009E4A35">
        <w:trPr>
          <w:trHeight w:val="83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1B2E" w14:textId="36CD3B89" w:rsidR="00306F47" w:rsidRPr="00EB7F25" w:rsidRDefault="00306F47" w:rsidP="009E4A35">
            <w:pPr>
              <w:pStyle w:val="Text"/>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 xml:space="preserve">2021 </w:t>
            </w:r>
            <w:r w:rsidR="00D57F63">
              <w:rPr>
                <w:rFonts w:ascii="Times New Roman" w:eastAsia="Roboto" w:hAnsi="Times New Roman" w:cs="Times New Roman"/>
                <w:color w:val="auto"/>
                <w:sz w:val="18"/>
                <w:szCs w:val="18"/>
              </w:rPr>
              <w:t>– fourth meeting of the Conference of the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701B" w14:textId="7A71CA63" w:rsidR="00306F47" w:rsidRPr="00EB7F25" w:rsidRDefault="00306F47" w:rsidP="00306F47">
            <w:pPr>
              <w:pStyle w:val="Paragraphedeliste"/>
              <w:numPr>
                <w:ilvl w:val="0"/>
                <w:numId w:val="54"/>
              </w:numPr>
              <w:pBdr>
                <w:top w:val="nil"/>
                <w:left w:val="nil"/>
                <w:bottom w:val="nil"/>
                <w:right w:val="nil"/>
                <w:between w:val="nil"/>
                <w:bar w:val="nil"/>
              </w:pBdr>
              <w:rPr>
                <w:rFonts w:eastAsia="Roboto"/>
                <w:sz w:val="18"/>
                <w:szCs w:val="18"/>
              </w:rPr>
            </w:pPr>
            <w:r w:rsidRPr="00EB7F25">
              <w:rPr>
                <w:rFonts w:eastAsia="Roboto"/>
                <w:sz w:val="18"/>
                <w:szCs w:val="18"/>
              </w:rPr>
              <w:t xml:space="preserve">Article 21 reporting: </w:t>
            </w:r>
            <w:r w:rsidR="00D57F63">
              <w:rPr>
                <w:rFonts w:eastAsia="Roboto"/>
                <w:sz w:val="18"/>
                <w:szCs w:val="18"/>
              </w:rPr>
              <w:t>f</w:t>
            </w:r>
            <w:r w:rsidRPr="00EB7F25">
              <w:rPr>
                <w:rFonts w:eastAsia="Roboto"/>
                <w:sz w:val="18"/>
                <w:szCs w:val="18"/>
              </w:rPr>
              <w:t>irst full report by 31 Dec</w:t>
            </w:r>
            <w:r w:rsidR="00D57F63">
              <w:rPr>
                <w:rFonts w:eastAsia="Roboto"/>
                <w:sz w:val="18"/>
                <w:szCs w:val="18"/>
              </w:rPr>
              <w:t>ember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7EB8" w14:textId="7A6E2D13" w:rsidR="00306F47" w:rsidRPr="00EB7F25" w:rsidRDefault="00D57F63" w:rsidP="00306F47">
            <w:pPr>
              <w:pStyle w:val="Paragraphedeliste"/>
              <w:numPr>
                <w:ilvl w:val="0"/>
                <w:numId w:val="55"/>
              </w:numPr>
              <w:pBdr>
                <w:top w:val="nil"/>
                <w:left w:val="nil"/>
                <w:bottom w:val="nil"/>
                <w:right w:val="nil"/>
                <w:between w:val="nil"/>
                <w:bar w:val="nil"/>
              </w:pBdr>
              <w:rPr>
                <w:rFonts w:eastAsia="Roboto"/>
                <w:sz w:val="18"/>
                <w:szCs w:val="18"/>
              </w:rPr>
            </w:pPr>
            <w:r>
              <w:rPr>
                <w:rFonts w:eastAsia="Roboto"/>
                <w:sz w:val="18"/>
                <w:szCs w:val="18"/>
              </w:rPr>
              <w:t>Conference of the Parties</w:t>
            </w:r>
            <w:r w:rsidR="00306F47" w:rsidRPr="00EB7F25">
              <w:rPr>
                <w:rFonts w:eastAsia="Roboto"/>
                <w:sz w:val="18"/>
                <w:szCs w:val="18"/>
              </w:rPr>
              <w:t xml:space="preserve"> initiates the first monitoring report, which will feed into effectiveness evaluation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3A8D" w14:textId="54390DC3" w:rsidR="00306F47" w:rsidRPr="00EB7F25" w:rsidRDefault="00306F47" w:rsidP="00306F47">
            <w:pPr>
              <w:pStyle w:val="Paragraphedeliste"/>
              <w:numPr>
                <w:ilvl w:val="0"/>
                <w:numId w:val="56"/>
              </w:numPr>
              <w:pBdr>
                <w:top w:val="nil"/>
                <w:left w:val="nil"/>
                <w:bottom w:val="nil"/>
                <w:right w:val="nil"/>
                <w:between w:val="nil"/>
                <w:bar w:val="nil"/>
              </w:pBdr>
              <w:rPr>
                <w:rFonts w:eastAsia="Roboto"/>
                <w:sz w:val="18"/>
                <w:szCs w:val="18"/>
              </w:rPr>
            </w:pPr>
            <w:r w:rsidRPr="00EB7F25">
              <w:rPr>
                <w:rFonts w:eastAsia="Roboto"/>
                <w:sz w:val="18"/>
                <w:szCs w:val="18"/>
              </w:rPr>
              <w:t xml:space="preserve">All </w:t>
            </w:r>
            <w:r w:rsidR="00D57F63">
              <w:rPr>
                <w:rFonts w:eastAsia="Roboto"/>
                <w:sz w:val="18"/>
                <w:szCs w:val="18"/>
              </w:rPr>
              <w:t>s</w:t>
            </w:r>
            <w:r w:rsidRPr="00EB7F25">
              <w:rPr>
                <w:rFonts w:eastAsia="Roboto"/>
                <w:sz w:val="18"/>
                <w:szCs w:val="18"/>
              </w:rPr>
              <w:t xml:space="preserve">tage 1 reports to be submitted to the </w:t>
            </w:r>
            <w:r w:rsidR="005C060C">
              <w:rPr>
                <w:rFonts w:eastAsia="Roboto"/>
                <w:sz w:val="18"/>
                <w:szCs w:val="18"/>
              </w:rPr>
              <w:t>s</w:t>
            </w:r>
            <w:r w:rsidRPr="00EB7F25">
              <w:rPr>
                <w:rFonts w:eastAsia="Roboto"/>
                <w:sz w:val="18"/>
                <w:szCs w:val="18"/>
              </w:rPr>
              <w:t>ecretariat (except for global monitoring report)</w:t>
            </w:r>
          </w:p>
        </w:tc>
      </w:tr>
      <w:tr w:rsidR="00306F47" w:rsidRPr="00010148" w14:paraId="1AC0DA0C" w14:textId="77777777" w:rsidTr="009E4A35">
        <w:trPr>
          <w:trHeight w:val="1328"/>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7F9CC" w14:textId="77777777" w:rsidR="00306F47" w:rsidRPr="00EB7F25" w:rsidRDefault="00306F47" w:rsidP="009E4A35">
            <w:pPr>
              <w:pStyle w:val="Text"/>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D64F" w14:textId="2BD1D845" w:rsidR="00306F47" w:rsidRPr="00EB7F25" w:rsidRDefault="00306F47" w:rsidP="00306F47">
            <w:pPr>
              <w:pStyle w:val="Paragraphedeliste"/>
              <w:numPr>
                <w:ilvl w:val="0"/>
                <w:numId w:val="57"/>
              </w:numPr>
              <w:pBdr>
                <w:top w:val="nil"/>
                <w:left w:val="nil"/>
                <w:bottom w:val="nil"/>
                <w:right w:val="nil"/>
                <w:between w:val="nil"/>
                <w:bar w:val="nil"/>
              </w:pBdr>
              <w:rPr>
                <w:rFonts w:eastAsia="Roboto"/>
                <w:sz w:val="18"/>
                <w:szCs w:val="18"/>
              </w:rPr>
            </w:pPr>
            <w:r w:rsidRPr="00EB7F25">
              <w:rPr>
                <w:rFonts w:eastAsia="Roboto"/>
                <w:sz w:val="18"/>
                <w:szCs w:val="18"/>
              </w:rPr>
              <w:t>Article 21 national reports compiled</w:t>
            </w:r>
          </w:p>
          <w:p w14:paraId="0F186E51" w14:textId="2C628E28" w:rsidR="00306F47" w:rsidRPr="00EB7F25" w:rsidRDefault="00306F47" w:rsidP="00306F47">
            <w:pPr>
              <w:pStyle w:val="Paragraphedeliste"/>
              <w:numPr>
                <w:ilvl w:val="0"/>
                <w:numId w:val="58"/>
              </w:numPr>
              <w:pBdr>
                <w:top w:val="nil"/>
                <w:left w:val="nil"/>
                <w:bottom w:val="nil"/>
                <w:right w:val="nil"/>
                <w:between w:val="nil"/>
                <w:bar w:val="nil"/>
              </w:pBdr>
              <w:rPr>
                <w:rFonts w:eastAsia="Roboto"/>
                <w:sz w:val="18"/>
                <w:szCs w:val="18"/>
              </w:rPr>
            </w:pPr>
            <w:r w:rsidRPr="00EB7F25">
              <w:rPr>
                <w:rFonts w:eastAsia="Roboto"/>
                <w:sz w:val="18"/>
                <w:szCs w:val="18"/>
              </w:rPr>
              <w:t>Emission</w:t>
            </w:r>
            <w:r w:rsidR="00D57F63">
              <w:rPr>
                <w:rFonts w:eastAsia="Roboto"/>
                <w:sz w:val="18"/>
                <w:szCs w:val="18"/>
              </w:rPr>
              <w:t>s</w:t>
            </w:r>
            <w:r w:rsidRPr="00EB7F25">
              <w:rPr>
                <w:rFonts w:eastAsia="Roboto"/>
                <w:sz w:val="18"/>
                <w:szCs w:val="18"/>
              </w:rPr>
              <w:t>/release inventories start to be submitted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CD632" w14:textId="778C0873" w:rsidR="00306F47" w:rsidRPr="00EB7F25" w:rsidRDefault="00306F47" w:rsidP="00306F47">
            <w:pPr>
              <w:pStyle w:val="Paragraphedeliste"/>
              <w:numPr>
                <w:ilvl w:val="0"/>
                <w:numId w:val="59"/>
              </w:numPr>
              <w:pBdr>
                <w:top w:val="nil"/>
                <w:left w:val="nil"/>
                <w:bottom w:val="nil"/>
                <w:right w:val="nil"/>
                <w:between w:val="nil"/>
                <w:bar w:val="nil"/>
              </w:pBdr>
              <w:rPr>
                <w:rFonts w:eastAsia="Roboto"/>
                <w:sz w:val="18"/>
                <w:szCs w:val="18"/>
              </w:rPr>
            </w:pPr>
            <w:r w:rsidRPr="00EB7F25">
              <w:rPr>
                <w:rFonts w:eastAsia="Roboto"/>
                <w:sz w:val="18"/>
                <w:szCs w:val="18"/>
              </w:rPr>
              <w:t xml:space="preserve">Prepare monitoring report and submission to the Committee to feed into effectiveness evaluation report </w:t>
            </w:r>
            <w:r w:rsidR="005F53AC">
              <w:rPr>
                <w:rFonts w:eastAsia="Roboto"/>
                <w:sz w:val="18"/>
                <w:szCs w:val="18"/>
              </w:rPr>
              <w:t>–</w:t>
            </w:r>
            <w:r w:rsidRPr="00EB7F25">
              <w:rPr>
                <w:rFonts w:eastAsia="Roboto"/>
                <w:sz w:val="18"/>
                <w:szCs w:val="18"/>
              </w:rPr>
              <w:t xml:space="preserve"> to address</w:t>
            </w:r>
            <w:r w:rsidR="00D57F63">
              <w:rPr>
                <w:rFonts w:eastAsia="Roboto"/>
                <w:sz w:val="18"/>
                <w:szCs w:val="18"/>
              </w:rPr>
              <w:t xml:space="preserve"> para. 2 of</w:t>
            </w:r>
            <w:r w:rsidRPr="00EB7F25">
              <w:rPr>
                <w:rFonts w:eastAsia="Roboto"/>
                <w:sz w:val="18"/>
                <w:szCs w:val="18"/>
              </w:rPr>
              <w:t xml:space="preserve"> Art</w:t>
            </w:r>
            <w:r w:rsidR="00D57F63">
              <w:rPr>
                <w:rFonts w:eastAsia="Roboto"/>
                <w:sz w:val="18"/>
                <w:szCs w:val="18"/>
              </w:rPr>
              <w:t>icle</w:t>
            </w:r>
            <w:r w:rsidRPr="00EB7F25">
              <w:rPr>
                <w:rFonts w:eastAsia="Roboto"/>
                <w:sz w:val="18"/>
                <w:szCs w:val="18"/>
              </w:rPr>
              <w:t xml:space="preserve"> 22 in facilitating the evaluation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FB8E" w14:textId="77777777" w:rsidR="00306F47" w:rsidRPr="00EB7F25" w:rsidRDefault="00306F47" w:rsidP="00306F47">
            <w:pPr>
              <w:pStyle w:val="Paragraphedeliste"/>
              <w:numPr>
                <w:ilvl w:val="0"/>
                <w:numId w:val="60"/>
              </w:numPr>
              <w:pBdr>
                <w:top w:val="nil"/>
                <w:left w:val="nil"/>
                <w:bottom w:val="nil"/>
                <w:right w:val="nil"/>
                <w:between w:val="nil"/>
                <w:bar w:val="nil"/>
              </w:pBdr>
              <w:rPr>
                <w:rFonts w:eastAsia="Roboto"/>
                <w:sz w:val="18"/>
                <w:szCs w:val="18"/>
              </w:rPr>
            </w:pPr>
            <w:r w:rsidRPr="00EB7F25">
              <w:rPr>
                <w:rFonts w:eastAsia="Roboto"/>
                <w:sz w:val="18"/>
                <w:szCs w:val="18"/>
              </w:rPr>
              <w:t>June: stage 1 completed</w:t>
            </w:r>
          </w:p>
          <w:p w14:paraId="41DC43B0" w14:textId="45DBEFBE" w:rsidR="00306F47" w:rsidRPr="00EB7F25" w:rsidRDefault="00306F47" w:rsidP="00306F47">
            <w:pPr>
              <w:pStyle w:val="Paragraphedeliste"/>
              <w:numPr>
                <w:ilvl w:val="0"/>
                <w:numId w:val="61"/>
              </w:numPr>
              <w:pBdr>
                <w:top w:val="nil"/>
                <w:left w:val="nil"/>
                <w:bottom w:val="nil"/>
                <w:right w:val="nil"/>
                <w:between w:val="nil"/>
                <w:bar w:val="nil"/>
              </w:pBdr>
              <w:rPr>
                <w:rFonts w:eastAsia="Roboto"/>
                <w:sz w:val="18"/>
                <w:szCs w:val="18"/>
              </w:rPr>
            </w:pPr>
            <w:r w:rsidRPr="00EB7F25">
              <w:rPr>
                <w:rFonts w:eastAsia="Roboto"/>
                <w:sz w:val="18"/>
                <w:szCs w:val="18"/>
              </w:rPr>
              <w:t xml:space="preserve">December: </w:t>
            </w:r>
            <w:r w:rsidR="00D57F63">
              <w:rPr>
                <w:rFonts w:eastAsia="Roboto"/>
                <w:sz w:val="18"/>
                <w:szCs w:val="18"/>
              </w:rPr>
              <w:t>s</w:t>
            </w:r>
            <w:r w:rsidRPr="00EB7F25">
              <w:rPr>
                <w:rFonts w:eastAsia="Roboto"/>
                <w:sz w:val="18"/>
                <w:szCs w:val="18"/>
              </w:rPr>
              <w:t>ecretariat to develop preliminary analysis</w:t>
            </w:r>
          </w:p>
          <w:p w14:paraId="3A1D8D41" w14:textId="21893560" w:rsidR="00306F47" w:rsidRPr="00EB7F25" w:rsidRDefault="00306F47" w:rsidP="00306F47">
            <w:pPr>
              <w:pStyle w:val="Paragraphedeliste"/>
              <w:numPr>
                <w:ilvl w:val="0"/>
                <w:numId w:val="61"/>
              </w:numPr>
              <w:pBdr>
                <w:top w:val="nil"/>
                <w:left w:val="nil"/>
                <w:bottom w:val="nil"/>
                <w:right w:val="nil"/>
                <w:between w:val="nil"/>
                <w:bar w:val="nil"/>
              </w:pBdr>
              <w:rPr>
                <w:rFonts w:eastAsia="Roboto"/>
                <w:sz w:val="18"/>
                <w:szCs w:val="18"/>
              </w:rPr>
            </w:pPr>
            <w:r w:rsidRPr="00EB7F25">
              <w:rPr>
                <w:rFonts w:eastAsia="Roboto"/>
                <w:sz w:val="18"/>
                <w:szCs w:val="18"/>
              </w:rPr>
              <w:t>Committee meets to review the information</w:t>
            </w:r>
          </w:p>
        </w:tc>
      </w:tr>
      <w:tr w:rsidR="00306F47" w:rsidRPr="00010148" w14:paraId="3BF6078C" w14:textId="77777777" w:rsidTr="009E4A35">
        <w:trPr>
          <w:trHeight w:val="5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B342" w14:textId="27D16630" w:rsidR="00306F47" w:rsidRPr="00EB7F25" w:rsidRDefault="00306F47" w:rsidP="009E4A35">
            <w:pPr>
              <w:pStyle w:val="Text"/>
              <w:tabs>
                <w:tab w:val="left" w:pos="477"/>
              </w:tabs>
              <w:spacing w:after="0" w:line="240" w:lineRule="auto"/>
              <w:rPr>
                <w:rFonts w:ascii="Times New Roman" w:hAnsi="Times New Roman" w:cs="Times New Roman"/>
                <w:color w:val="auto"/>
                <w:sz w:val="18"/>
                <w:szCs w:val="18"/>
              </w:rPr>
            </w:pPr>
            <w:r w:rsidRPr="00EB7F25">
              <w:rPr>
                <w:rFonts w:ascii="Times New Roman" w:eastAsia="Roboto" w:hAnsi="Times New Roman" w:cs="Times New Roman"/>
                <w:color w:val="auto"/>
                <w:sz w:val="18"/>
                <w:szCs w:val="18"/>
              </w:rPr>
              <w:t xml:space="preserve">2023 </w:t>
            </w:r>
            <w:r w:rsidR="00D57F63">
              <w:rPr>
                <w:rFonts w:ascii="Times New Roman" w:eastAsia="Roboto" w:hAnsi="Times New Roman" w:cs="Times New Roman"/>
                <w:color w:val="auto"/>
                <w:sz w:val="18"/>
                <w:szCs w:val="18"/>
              </w:rPr>
              <w:t>– fifth meeting of the Conference of the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CDF6" w14:textId="77777777" w:rsidR="00306F47" w:rsidRPr="00EB7F25" w:rsidRDefault="00306F47" w:rsidP="00306F47">
            <w:pPr>
              <w:pStyle w:val="Paragraphedeliste"/>
              <w:numPr>
                <w:ilvl w:val="0"/>
                <w:numId w:val="62"/>
              </w:numPr>
              <w:pBdr>
                <w:top w:val="nil"/>
                <w:left w:val="nil"/>
                <w:bottom w:val="nil"/>
                <w:right w:val="nil"/>
                <w:between w:val="nil"/>
                <w:bar w:val="nil"/>
              </w:pBdr>
              <w:rPr>
                <w:rFonts w:eastAsia="Roboto"/>
                <w:sz w:val="18"/>
                <w:szCs w:val="18"/>
              </w:rPr>
            </w:pPr>
            <w:r w:rsidRPr="00EB7F25">
              <w:rPr>
                <w:rFonts w:eastAsia="Roboto"/>
                <w:sz w:val="18"/>
                <w:szCs w:val="18"/>
              </w:rPr>
              <w:t>Biennial report</w:t>
            </w:r>
          </w:p>
          <w:p w14:paraId="649007E5" w14:textId="5F4B7AE3" w:rsidR="00306F47" w:rsidRPr="00EB7F25" w:rsidRDefault="00306F47" w:rsidP="00306F47">
            <w:pPr>
              <w:pStyle w:val="Paragraphedeliste"/>
              <w:numPr>
                <w:ilvl w:val="0"/>
                <w:numId w:val="62"/>
              </w:numPr>
              <w:pBdr>
                <w:top w:val="nil"/>
                <w:left w:val="nil"/>
                <w:bottom w:val="nil"/>
                <w:right w:val="nil"/>
                <w:between w:val="nil"/>
                <w:bar w:val="nil"/>
              </w:pBdr>
              <w:rPr>
                <w:rFonts w:eastAsia="Roboto"/>
                <w:sz w:val="18"/>
                <w:szCs w:val="18"/>
              </w:rPr>
            </w:pPr>
            <w:r w:rsidRPr="00EB7F25">
              <w:rPr>
                <w:rFonts w:eastAsia="Roboto"/>
                <w:sz w:val="18"/>
                <w:szCs w:val="18"/>
              </w:rPr>
              <w:t xml:space="preserve">National </w:t>
            </w:r>
            <w:r w:rsidR="00D57F63">
              <w:rPr>
                <w:rFonts w:eastAsia="Roboto"/>
                <w:sz w:val="18"/>
                <w:szCs w:val="18"/>
              </w:rPr>
              <w:t>a</w:t>
            </w:r>
            <w:r w:rsidRPr="00EB7F25">
              <w:rPr>
                <w:rFonts w:eastAsia="Roboto"/>
                <w:sz w:val="18"/>
                <w:szCs w:val="18"/>
              </w:rPr>
              <w:t xml:space="preserve">ction </w:t>
            </w:r>
            <w:r w:rsidR="00D57F63">
              <w:rPr>
                <w:rFonts w:eastAsia="Roboto"/>
                <w:sz w:val="18"/>
                <w:szCs w:val="18"/>
              </w:rPr>
              <w:t>p</w:t>
            </w:r>
            <w:r w:rsidRPr="00EB7F25">
              <w:rPr>
                <w:rFonts w:eastAsia="Roboto"/>
                <w:sz w:val="18"/>
                <w:szCs w:val="18"/>
              </w:rPr>
              <w:t>lan review</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B882" w14:textId="522D2208" w:rsidR="00306F47" w:rsidRPr="00EB7F25" w:rsidRDefault="00D57F63" w:rsidP="00306F47">
            <w:pPr>
              <w:pStyle w:val="Paragraphedeliste"/>
              <w:numPr>
                <w:ilvl w:val="0"/>
                <w:numId w:val="63"/>
              </w:numPr>
              <w:pBdr>
                <w:top w:val="nil"/>
                <w:left w:val="nil"/>
                <w:bottom w:val="nil"/>
                <w:right w:val="nil"/>
                <w:between w:val="nil"/>
                <w:bar w:val="nil"/>
              </w:pBdr>
              <w:rPr>
                <w:rFonts w:eastAsia="Roboto"/>
                <w:sz w:val="18"/>
                <w:szCs w:val="18"/>
              </w:rPr>
            </w:pPr>
            <w:r>
              <w:rPr>
                <w:rFonts w:eastAsia="Roboto"/>
                <w:sz w:val="18"/>
                <w:szCs w:val="18"/>
              </w:rPr>
              <w:t>Conference of the Parties</w:t>
            </w:r>
            <w:r w:rsidR="00306F47" w:rsidRPr="00EB7F25">
              <w:rPr>
                <w:rFonts w:eastAsia="Roboto"/>
                <w:sz w:val="18"/>
                <w:szCs w:val="18"/>
              </w:rPr>
              <w:t xml:space="preserve"> welcomes monitoring report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1FE4F" w14:textId="2E93AAE0" w:rsidR="00306F47" w:rsidRPr="00EB7F25" w:rsidRDefault="00D57F63" w:rsidP="00306F47">
            <w:pPr>
              <w:pStyle w:val="Paragraphedeliste"/>
              <w:numPr>
                <w:ilvl w:val="0"/>
                <w:numId w:val="64"/>
              </w:numPr>
              <w:pBdr>
                <w:top w:val="nil"/>
                <w:left w:val="nil"/>
                <w:bottom w:val="nil"/>
                <w:right w:val="nil"/>
                <w:between w:val="nil"/>
                <w:bar w:val="nil"/>
              </w:pBdr>
              <w:rPr>
                <w:rFonts w:eastAsia="Roboto"/>
                <w:sz w:val="18"/>
                <w:szCs w:val="18"/>
              </w:rPr>
            </w:pPr>
            <w:r>
              <w:rPr>
                <w:rFonts w:eastAsia="Roboto"/>
                <w:sz w:val="18"/>
                <w:szCs w:val="18"/>
              </w:rPr>
              <w:t>Conference of the Parties</w:t>
            </w:r>
            <w:r w:rsidR="00306F47" w:rsidRPr="00EB7F25">
              <w:rPr>
                <w:rFonts w:eastAsia="Roboto"/>
                <w:sz w:val="18"/>
                <w:szCs w:val="18"/>
              </w:rPr>
              <w:t xml:space="preserve"> welcomes effectiveness evaluation report</w:t>
            </w:r>
          </w:p>
        </w:tc>
      </w:tr>
    </w:tbl>
    <w:p w14:paraId="3C7FD136" w14:textId="4CB62A01" w:rsidR="00306F47" w:rsidRPr="00306F47" w:rsidRDefault="00306F47" w:rsidP="007F3AF6">
      <w:pPr>
        <w:pStyle w:val="Text"/>
        <w:numPr>
          <w:ilvl w:val="0"/>
          <w:numId w:val="65"/>
        </w:numPr>
        <w:spacing w:before="240" w:after="120"/>
        <w:ind w:left="1253" w:firstLine="0"/>
        <w:rPr>
          <w:rFonts w:ascii="Times New Roman" w:hAnsi="Times New Roman" w:cs="Times New Roman"/>
          <w:color w:val="auto"/>
          <w:sz w:val="20"/>
          <w:szCs w:val="20"/>
        </w:rPr>
      </w:pPr>
      <w:r w:rsidRPr="00EB7F25">
        <w:rPr>
          <w:rFonts w:ascii="Times New Roman" w:hAnsi="Times New Roman" w:cs="Times New Roman"/>
          <w:color w:val="auto"/>
          <w:sz w:val="20"/>
          <w:szCs w:val="20"/>
        </w:rPr>
        <w:t xml:space="preserve">The terms of reference of an effectiveness evaluation committee, as proposed in the report </w:t>
      </w:r>
      <w:r w:rsidR="00C15D5F">
        <w:rPr>
          <w:rFonts w:ascii="Times New Roman" w:hAnsi="Times New Roman" w:cs="Times New Roman"/>
          <w:color w:val="auto"/>
          <w:sz w:val="20"/>
          <w:szCs w:val="20"/>
        </w:rPr>
        <w:t>on the work of the ad hoc group of experts on effectiveness evaluation</w:t>
      </w:r>
      <w:r w:rsidR="00C15D5F" w:rsidRPr="00EB7F25">
        <w:rPr>
          <w:rFonts w:ascii="Times New Roman" w:hAnsi="Times New Roman" w:cs="Times New Roman"/>
          <w:color w:val="auto"/>
          <w:sz w:val="20"/>
          <w:szCs w:val="20"/>
        </w:rPr>
        <w:t xml:space="preserve"> </w:t>
      </w:r>
      <w:r w:rsidRPr="00EB7F25">
        <w:rPr>
          <w:rFonts w:ascii="Times New Roman" w:hAnsi="Times New Roman" w:cs="Times New Roman"/>
          <w:color w:val="auto"/>
          <w:sz w:val="20"/>
          <w:szCs w:val="20"/>
        </w:rPr>
        <w:t>(</w:t>
      </w:r>
      <w:r w:rsidRPr="00C15D5F">
        <w:rPr>
          <w:rFonts w:ascii="Times New Roman" w:hAnsi="Times New Roman" w:cs="Times New Roman"/>
          <w:color w:val="auto"/>
          <w:sz w:val="20"/>
          <w:szCs w:val="20"/>
        </w:rPr>
        <w:t>see UNEP/MC/COP.2/INF/8), should</w:t>
      </w:r>
      <w:r w:rsidRPr="00EB7F25">
        <w:rPr>
          <w:rFonts w:ascii="Times New Roman" w:hAnsi="Times New Roman" w:cs="Times New Roman"/>
          <w:color w:val="auto"/>
          <w:sz w:val="20"/>
          <w:szCs w:val="20"/>
        </w:rPr>
        <w:t xml:space="preserve"> be included in the effectiveness evaluation framework.</w:t>
      </w:r>
    </w:p>
    <w:p w14:paraId="1106A378" w14:textId="77777777" w:rsidR="001D2D56" w:rsidRPr="0013415C" w:rsidRDefault="001D2D56" w:rsidP="00E34F4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5"/>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85BE" w14:textId="77777777" w:rsidR="0003583D" w:rsidRDefault="0003583D">
      <w:r>
        <w:separator/>
      </w:r>
    </w:p>
  </w:endnote>
  <w:endnote w:type="continuationSeparator" w:id="0">
    <w:p w14:paraId="095C25DF" w14:textId="77777777" w:rsidR="0003583D" w:rsidRDefault="0003583D">
      <w:r>
        <w:continuationSeparator/>
      </w:r>
    </w:p>
  </w:endnote>
  <w:endnote w:type="continuationNotice" w:id="1">
    <w:p w14:paraId="497F8806" w14:textId="77777777" w:rsidR="0003583D" w:rsidRDefault="0003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41F7EFF" w:rsidR="009E4A35" w:rsidRDefault="009E4A35">
    <w:pPr>
      <w:pStyle w:val="Pieddepage"/>
    </w:pPr>
    <w:r>
      <w:rPr>
        <w:rStyle w:val="Numrodepage"/>
      </w:rPr>
      <w:fldChar w:fldCharType="begin"/>
    </w:r>
    <w:r>
      <w:rPr>
        <w:rStyle w:val="Numrodepage"/>
      </w:rPr>
      <w:instrText xml:space="preserve"> PAGE </w:instrText>
    </w:r>
    <w:r>
      <w:rPr>
        <w:rStyle w:val="Numrodepage"/>
      </w:rPr>
      <w:fldChar w:fldCharType="separate"/>
    </w:r>
    <w:r w:rsidR="003676AE">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007E715A" w:rsidR="009E4A35" w:rsidRDefault="009E4A35"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3676AE">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3B6663B1" w:rsidR="009E4A35" w:rsidRDefault="00D064CF" w:rsidP="00B848A1">
    <w:pPr>
      <w:pStyle w:val="Pieddepage"/>
      <w:tabs>
        <w:tab w:val="clear" w:pos="1247"/>
        <w:tab w:val="clear" w:pos="1814"/>
        <w:tab w:val="clear" w:pos="2381"/>
        <w:tab w:val="clear" w:pos="2948"/>
        <w:tab w:val="clear" w:pos="3515"/>
        <w:tab w:val="clear" w:pos="4320"/>
        <w:tab w:val="clear" w:pos="8640"/>
        <w:tab w:val="left" w:pos="624"/>
      </w:tabs>
    </w:pPr>
    <w:r>
      <w:t>K1803263</w:t>
    </w:r>
    <w:r w:rsidR="009E4A35">
      <w:tab/>
    </w:r>
    <w:r w:rsidR="00A6403F">
      <w:t>13</w:t>
    </w:r>
    <w:r>
      <w:t>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AA8A" w14:textId="77777777" w:rsidR="0003583D" w:rsidRDefault="0003583D" w:rsidP="00D92DE0">
      <w:pPr>
        <w:ind w:left="624"/>
      </w:pPr>
      <w:r>
        <w:separator/>
      </w:r>
    </w:p>
  </w:footnote>
  <w:footnote w:type="continuationSeparator" w:id="0">
    <w:p w14:paraId="5C1BDE22" w14:textId="77777777" w:rsidR="0003583D" w:rsidRDefault="0003583D">
      <w:r>
        <w:continuationSeparator/>
      </w:r>
    </w:p>
  </w:footnote>
  <w:footnote w:type="continuationNotice" w:id="1">
    <w:p w14:paraId="41B75287" w14:textId="77777777" w:rsidR="0003583D" w:rsidRDefault="0003583D"/>
  </w:footnote>
  <w:footnote w:id="2">
    <w:p w14:paraId="7D1984BE" w14:textId="5B1125A2" w:rsidR="00D064CF" w:rsidRPr="00787545" w:rsidRDefault="00D064CF" w:rsidP="00D064CF">
      <w:pPr>
        <w:pStyle w:val="Notedebasdepage"/>
        <w:tabs>
          <w:tab w:val="left" w:pos="624"/>
        </w:tabs>
        <w:rPr>
          <w:szCs w:val="18"/>
          <w:lang w:val="en-US"/>
        </w:rPr>
      </w:pPr>
      <w:r w:rsidRPr="00787545">
        <w:rPr>
          <w:rStyle w:val="Appelnotedebasdep"/>
          <w:sz w:val="18"/>
          <w:vertAlign w:val="baseline"/>
        </w:rPr>
        <w:t>*</w:t>
      </w:r>
      <w:r w:rsidRPr="00787545">
        <w:rPr>
          <w:szCs w:val="18"/>
        </w:rPr>
        <w:t xml:space="preserve"> </w:t>
      </w:r>
      <w:r w:rsidRPr="00787545">
        <w:rPr>
          <w:szCs w:val="18"/>
          <w:lang w:val="en-US"/>
        </w:rPr>
        <w:t xml:space="preserve">Reissued for technical reasons on </w:t>
      </w:r>
      <w:r>
        <w:rPr>
          <w:szCs w:val="18"/>
          <w:lang w:val="en-US"/>
        </w:rPr>
        <w:t>5 November</w:t>
      </w:r>
      <w:r w:rsidRPr="00787545">
        <w:rPr>
          <w:szCs w:val="18"/>
          <w:lang w:val="en-US"/>
        </w:rPr>
        <w:t xml:space="preserve"> 201</w:t>
      </w:r>
      <w:r>
        <w:rPr>
          <w:szCs w:val="18"/>
          <w:lang w:val="en-US"/>
        </w:rPr>
        <w:t>8</w:t>
      </w:r>
      <w:r w:rsidRPr="00787545">
        <w:rPr>
          <w:szCs w:val="18"/>
          <w:lang w:val="en-US"/>
        </w:rPr>
        <w:t>.</w:t>
      </w:r>
    </w:p>
  </w:footnote>
  <w:footnote w:id="3">
    <w:p w14:paraId="60E7FB9B" w14:textId="77777777" w:rsidR="00D064CF" w:rsidRPr="00787545" w:rsidRDefault="00D064CF" w:rsidP="00D064CF">
      <w:pPr>
        <w:pStyle w:val="Notedebasdepage"/>
        <w:tabs>
          <w:tab w:val="left" w:pos="624"/>
        </w:tabs>
        <w:rPr>
          <w:szCs w:val="18"/>
        </w:rPr>
      </w:pPr>
      <w:r w:rsidRPr="00787545">
        <w:rPr>
          <w:szCs w:val="18"/>
        </w:rPr>
        <w:t xml:space="preserve">** </w:t>
      </w:r>
      <w:r>
        <w:rPr>
          <w:szCs w:val="18"/>
        </w:rPr>
        <w:t>U</w:t>
      </w:r>
      <w:r w:rsidRPr="001176CB">
        <w:rPr>
          <w:szCs w:val="18"/>
        </w:rPr>
        <w:t>NEP/MC/COP.</w:t>
      </w:r>
      <w:r>
        <w:rPr>
          <w:szCs w:val="18"/>
        </w:rPr>
        <w:t>2</w:t>
      </w:r>
      <w:r w:rsidRPr="001176CB">
        <w:rPr>
          <w:szCs w:val="18"/>
        </w:rPr>
        <w:t>/1.</w:t>
      </w:r>
    </w:p>
  </w:footnote>
  <w:footnote w:id="4">
    <w:p w14:paraId="1F8CCE1B" w14:textId="0FD843BF" w:rsidR="009E4A35" w:rsidRPr="00BB7C6A" w:rsidRDefault="009E4A35" w:rsidP="00306F47">
      <w:pPr>
        <w:pStyle w:val="Notedebasdepage"/>
        <w:rPr>
          <w:lang w:val="en-US"/>
        </w:rPr>
      </w:pPr>
      <w:r>
        <w:rPr>
          <w:rStyle w:val="Appelnotedebasdep"/>
        </w:rPr>
        <w:footnoteRef/>
      </w:r>
      <w:r w:rsidRPr="00BB7C6A">
        <w:rPr>
          <w:lang w:val="en-US"/>
        </w:rPr>
        <w:t xml:space="preserve"> Note that GEF appeared to be more relevant for funding that the Specific International Programme, although it is possible that an individual country m</w:t>
      </w:r>
      <w:r>
        <w:rPr>
          <w:lang w:val="en-US"/>
        </w:rPr>
        <w:t>ight</w:t>
      </w:r>
      <w:r w:rsidRPr="00BB7C6A">
        <w:rPr>
          <w:lang w:val="en-US"/>
        </w:rPr>
        <w:t xml:space="preserve"> identify monitoring activities which are a strong national priority with arguments as to how the monitoring activities support sustainable implementation of </w:t>
      </w:r>
      <w:r>
        <w:rPr>
          <w:lang w:val="en-US"/>
        </w:rPr>
        <w:t>its</w:t>
      </w:r>
      <w:r w:rsidRPr="00BB7C6A">
        <w:rPr>
          <w:lang w:val="en-US"/>
        </w:rPr>
        <w:t xml:space="preserve"> obligations under the Convention. </w:t>
      </w:r>
    </w:p>
  </w:footnote>
  <w:footnote w:id="5">
    <w:p w14:paraId="77CBB49A" w14:textId="77777777" w:rsidR="009E4A35" w:rsidRPr="00E54565" w:rsidRDefault="009E4A35" w:rsidP="00306F47">
      <w:pPr>
        <w:pStyle w:val="Notedebasdepage"/>
        <w:rPr>
          <w:lang w:val="en-US"/>
        </w:rPr>
      </w:pPr>
      <w:r>
        <w:rPr>
          <w:rStyle w:val="Appelnotedebasdep"/>
        </w:rPr>
        <w:footnoteRef/>
      </w:r>
      <w:r w:rsidRPr="00E54565">
        <w:rPr>
          <w:lang w:val="en-US"/>
        </w:rPr>
        <w:t xml:space="preserve"> </w:t>
      </w:r>
      <w:r>
        <w:rPr>
          <w:lang w:val="en-US"/>
        </w:rPr>
        <w:t>See UNEP/MC/COP.2/INF/8 for further details of the draft plan.</w:t>
      </w:r>
    </w:p>
  </w:footnote>
  <w:footnote w:id="6">
    <w:p w14:paraId="5CDC6D22" w14:textId="6AD2C9FE" w:rsidR="009E4A35" w:rsidRPr="00E54565" w:rsidRDefault="009E4A35" w:rsidP="00306F47">
      <w:pPr>
        <w:pStyle w:val="Notedebasdepage"/>
        <w:rPr>
          <w:lang w:val="en-US"/>
        </w:rPr>
      </w:pPr>
      <w:r>
        <w:rPr>
          <w:rStyle w:val="Appelnotedebasdep"/>
        </w:rPr>
        <w:footnoteRef/>
      </w:r>
      <w:r w:rsidRPr="00E54565">
        <w:rPr>
          <w:lang w:val="en-US"/>
        </w:rPr>
        <w:t xml:space="preserve"> </w:t>
      </w:r>
      <w:r>
        <w:rPr>
          <w:lang w:val="en-US"/>
        </w:rPr>
        <w:t>The report of the ad hoc expert group includes a proposal to develop a global monitoring report for the effectiveness evaluation (see UNEP/MC/COP.2/INF/8).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86EF065" w:rsidR="009E4A35" w:rsidRPr="00CA5CA9" w:rsidRDefault="009E4A35"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630930F3" w:rsidR="009E4A35" w:rsidRPr="00CA5CA9" w:rsidRDefault="009E4A35"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CAC48BB" w:rsidR="009E4A35" w:rsidRDefault="009E4A35"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1E6F4352"/>
    <w:multiLevelType w:val="hybridMultilevel"/>
    <w:tmpl w:val="DF729F70"/>
    <w:numStyleLink w:val="Importovanstyl7"/>
  </w:abstractNum>
  <w:abstractNum w:abstractNumId="4" w15:restartNumberingAfterBreak="0">
    <w:nsid w:val="201C7F90"/>
    <w:multiLevelType w:val="hybridMultilevel"/>
    <w:tmpl w:val="08FE62DE"/>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5F6843"/>
    <w:multiLevelType w:val="hybridMultilevel"/>
    <w:tmpl w:val="2C1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13"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9504B8"/>
    <w:multiLevelType w:val="hybridMultilevel"/>
    <w:tmpl w:val="3538EBFC"/>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4B6597"/>
    <w:multiLevelType w:val="hybridMultilevel"/>
    <w:tmpl w:val="1786B0CA"/>
    <w:lvl w:ilvl="0" w:tplc="0809000F">
      <w:start w:val="1"/>
      <w:numFmt w:val="decimal"/>
      <w:lvlText w:val="%1."/>
      <w:lvlJc w:val="left"/>
      <w:pPr>
        <w:ind w:left="2591" w:hanging="360"/>
      </w:pPr>
    </w:lvl>
    <w:lvl w:ilvl="1" w:tplc="B032D95A">
      <w:start w:val="1"/>
      <w:numFmt w:val="lowerLetter"/>
      <w:lvlText w:val="(%2)"/>
      <w:lvlJc w:val="left"/>
      <w:pPr>
        <w:ind w:left="3311" w:hanging="36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0"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77717A"/>
    <w:multiLevelType w:val="hybridMultilevel"/>
    <w:tmpl w:val="CC86DD1A"/>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A1294"/>
    <w:multiLevelType w:val="hybridMultilevel"/>
    <w:tmpl w:val="C2AE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3C58D8"/>
    <w:multiLevelType w:val="hybridMultilevel"/>
    <w:tmpl w:val="FAA2A88E"/>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97DC7"/>
    <w:multiLevelType w:val="hybridMultilevel"/>
    <w:tmpl w:val="617084A2"/>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2"/>
  </w:num>
  <w:num w:numId="3">
    <w:abstractNumId w:val="12"/>
  </w:num>
  <w:num w:numId="4">
    <w:abstractNumId w:val="23"/>
  </w:num>
  <w:num w:numId="5">
    <w:abstractNumId w:val="23"/>
  </w:num>
  <w:num w:numId="6">
    <w:abstractNumId w:val="9"/>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0"/>
  </w:num>
  <w:num w:numId="38">
    <w:abstractNumId w:val="28"/>
  </w:num>
  <w:num w:numId="39">
    <w:abstractNumId w:val="4"/>
  </w:num>
  <w:num w:numId="40">
    <w:abstractNumId w:val="26"/>
  </w:num>
  <w:num w:numId="41">
    <w:abstractNumId w:val="18"/>
  </w:num>
  <w:num w:numId="42">
    <w:abstractNumId w:val="21"/>
  </w:num>
  <w:num w:numId="43">
    <w:abstractNumId w:val="29"/>
  </w:num>
  <w:num w:numId="44">
    <w:abstractNumId w:val="22"/>
  </w:num>
  <w:num w:numId="45">
    <w:abstractNumId w:val="25"/>
  </w:num>
  <w:num w:numId="46">
    <w:abstractNumId w:val="3"/>
    <w:lvlOverride w:ilvl="0">
      <w:lvl w:ilvl="0" w:tplc="4134FBF8">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C0ED3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58223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D2E92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F2911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E8130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6CAFA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CA460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FE403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
  </w:num>
  <w:num w:numId="48">
    <w:abstractNumId w:val="30"/>
  </w:num>
  <w:num w:numId="49">
    <w:abstractNumId w:val="11"/>
  </w:num>
  <w:num w:numId="50">
    <w:abstractNumId w:val="15"/>
  </w:num>
  <w:num w:numId="51">
    <w:abstractNumId w:val="13"/>
  </w:num>
  <w:num w:numId="52">
    <w:abstractNumId w:val="31"/>
  </w:num>
  <w:num w:numId="53">
    <w:abstractNumId w:val="17"/>
  </w:num>
  <w:num w:numId="54">
    <w:abstractNumId w:val="24"/>
  </w:num>
  <w:num w:numId="55">
    <w:abstractNumId w:val="14"/>
  </w:num>
  <w:num w:numId="56">
    <w:abstractNumId w:val="20"/>
  </w:num>
  <w:num w:numId="57">
    <w:abstractNumId w:val="7"/>
  </w:num>
  <w:num w:numId="58">
    <w:abstractNumId w:val="7"/>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
  </w:num>
  <w:num w:numId="60">
    <w:abstractNumId w:val="27"/>
  </w:num>
  <w:num w:numId="61">
    <w:abstractNumId w:val="27"/>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8"/>
  </w:num>
  <w:num w:numId="63">
    <w:abstractNumId w:val="16"/>
  </w:num>
  <w:num w:numId="64">
    <w:abstractNumId w:val="6"/>
  </w:num>
  <w:num w:numId="65">
    <w:abstractNumId w:val="10"/>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5336"/>
    <w:rsid w:val="00023DA9"/>
    <w:rsid w:val="000247B0"/>
    <w:rsid w:val="00026997"/>
    <w:rsid w:val="00026A08"/>
    <w:rsid w:val="00032E4E"/>
    <w:rsid w:val="00033E0B"/>
    <w:rsid w:val="0003583D"/>
    <w:rsid w:val="00035EDE"/>
    <w:rsid w:val="000509B4"/>
    <w:rsid w:val="00054588"/>
    <w:rsid w:val="0006035B"/>
    <w:rsid w:val="0006096F"/>
    <w:rsid w:val="000649C5"/>
    <w:rsid w:val="00071886"/>
    <w:rsid w:val="000742BC"/>
    <w:rsid w:val="00076CC6"/>
    <w:rsid w:val="0008191C"/>
    <w:rsid w:val="00082A0C"/>
    <w:rsid w:val="00083504"/>
    <w:rsid w:val="0009125A"/>
    <w:rsid w:val="0009640C"/>
    <w:rsid w:val="000A34F8"/>
    <w:rsid w:val="000B22A2"/>
    <w:rsid w:val="000B2815"/>
    <w:rsid w:val="000B541B"/>
    <w:rsid w:val="000B73F9"/>
    <w:rsid w:val="000C2A52"/>
    <w:rsid w:val="000C2A88"/>
    <w:rsid w:val="000D33C0"/>
    <w:rsid w:val="000D4CF6"/>
    <w:rsid w:val="000D6941"/>
    <w:rsid w:val="000F3DCD"/>
    <w:rsid w:val="000F427E"/>
    <w:rsid w:val="000F4829"/>
    <w:rsid w:val="000F6B21"/>
    <w:rsid w:val="001006EB"/>
    <w:rsid w:val="00102EFB"/>
    <w:rsid w:val="00103F61"/>
    <w:rsid w:val="001202E3"/>
    <w:rsid w:val="00123699"/>
    <w:rsid w:val="001241FB"/>
    <w:rsid w:val="00124A2C"/>
    <w:rsid w:val="0013059D"/>
    <w:rsid w:val="0013415C"/>
    <w:rsid w:val="00136187"/>
    <w:rsid w:val="00141A55"/>
    <w:rsid w:val="0014293F"/>
    <w:rsid w:val="0014397D"/>
    <w:rsid w:val="001446A3"/>
    <w:rsid w:val="00152B6B"/>
    <w:rsid w:val="00155395"/>
    <w:rsid w:val="00155A2F"/>
    <w:rsid w:val="00156B6B"/>
    <w:rsid w:val="001571D5"/>
    <w:rsid w:val="00160D74"/>
    <w:rsid w:val="00163B8B"/>
    <w:rsid w:val="001646EA"/>
    <w:rsid w:val="00165717"/>
    <w:rsid w:val="00167D02"/>
    <w:rsid w:val="001759D8"/>
    <w:rsid w:val="00176D34"/>
    <w:rsid w:val="00177D7F"/>
    <w:rsid w:val="00180C3F"/>
    <w:rsid w:val="00181EC8"/>
    <w:rsid w:val="00184349"/>
    <w:rsid w:val="00195F33"/>
    <w:rsid w:val="001A47E5"/>
    <w:rsid w:val="001B1617"/>
    <w:rsid w:val="001B504B"/>
    <w:rsid w:val="001B6F98"/>
    <w:rsid w:val="001B764C"/>
    <w:rsid w:val="001C191A"/>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520"/>
    <w:rsid w:val="00225E21"/>
    <w:rsid w:val="00225E44"/>
    <w:rsid w:val="002267B3"/>
    <w:rsid w:val="00234E78"/>
    <w:rsid w:val="00237CC9"/>
    <w:rsid w:val="00243D36"/>
    <w:rsid w:val="00246151"/>
    <w:rsid w:val="00247707"/>
    <w:rsid w:val="00252456"/>
    <w:rsid w:val="0026018E"/>
    <w:rsid w:val="00267570"/>
    <w:rsid w:val="00286740"/>
    <w:rsid w:val="00291EAE"/>
    <w:rsid w:val="002929D8"/>
    <w:rsid w:val="002A237D"/>
    <w:rsid w:val="002A4C53"/>
    <w:rsid w:val="002A651F"/>
    <w:rsid w:val="002B0672"/>
    <w:rsid w:val="002B247F"/>
    <w:rsid w:val="002B50D4"/>
    <w:rsid w:val="002B58BF"/>
    <w:rsid w:val="002C145D"/>
    <w:rsid w:val="002C2C3E"/>
    <w:rsid w:val="002C533E"/>
    <w:rsid w:val="002D027F"/>
    <w:rsid w:val="002D3E15"/>
    <w:rsid w:val="002D3E5E"/>
    <w:rsid w:val="002D7A85"/>
    <w:rsid w:val="002D7B60"/>
    <w:rsid w:val="002F15A5"/>
    <w:rsid w:val="002F4761"/>
    <w:rsid w:val="002F5C79"/>
    <w:rsid w:val="002F68EE"/>
    <w:rsid w:val="003019E2"/>
    <w:rsid w:val="003055BF"/>
    <w:rsid w:val="00306F47"/>
    <w:rsid w:val="00310BEB"/>
    <w:rsid w:val="0031413F"/>
    <w:rsid w:val="00314854"/>
    <w:rsid w:val="003148BB"/>
    <w:rsid w:val="00317976"/>
    <w:rsid w:val="00320F2F"/>
    <w:rsid w:val="0032457E"/>
    <w:rsid w:val="00325D38"/>
    <w:rsid w:val="00332DAC"/>
    <w:rsid w:val="003436EE"/>
    <w:rsid w:val="0035277E"/>
    <w:rsid w:val="00355EA9"/>
    <w:rsid w:val="003578DE"/>
    <w:rsid w:val="00361688"/>
    <w:rsid w:val="003676AE"/>
    <w:rsid w:val="00367FD2"/>
    <w:rsid w:val="00380921"/>
    <w:rsid w:val="003877D5"/>
    <w:rsid w:val="003929B8"/>
    <w:rsid w:val="00393432"/>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0697"/>
    <w:rsid w:val="00401406"/>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71EFD"/>
    <w:rsid w:val="004822B7"/>
    <w:rsid w:val="0048795D"/>
    <w:rsid w:val="0049469E"/>
    <w:rsid w:val="004A2217"/>
    <w:rsid w:val="004A24F9"/>
    <w:rsid w:val="004A42E1"/>
    <w:rsid w:val="004B162C"/>
    <w:rsid w:val="004B2ABE"/>
    <w:rsid w:val="004C3DBE"/>
    <w:rsid w:val="004C5C96"/>
    <w:rsid w:val="004D06A4"/>
    <w:rsid w:val="004E7605"/>
    <w:rsid w:val="004F1A81"/>
    <w:rsid w:val="004F5D88"/>
    <w:rsid w:val="004F76E3"/>
    <w:rsid w:val="00501354"/>
    <w:rsid w:val="005050D2"/>
    <w:rsid w:val="005218D9"/>
    <w:rsid w:val="005231E4"/>
    <w:rsid w:val="00536186"/>
    <w:rsid w:val="00544CBB"/>
    <w:rsid w:val="00551B65"/>
    <w:rsid w:val="00556704"/>
    <w:rsid w:val="005656D7"/>
    <w:rsid w:val="0057315F"/>
    <w:rsid w:val="0057433C"/>
    <w:rsid w:val="00576104"/>
    <w:rsid w:val="00585A44"/>
    <w:rsid w:val="00586418"/>
    <w:rsid w:val="00592B21"/>
    <w:rsid w:val="005B2DF4"/>
    <w:rsid w:val="005B44BF"/>
    <w:rsid w:val="005B4603"/>
    <w:rsid w:val="005B5A93"/>
    <w:rsid w:val="005C060C"/>
    <w:rsid w:val="005C67C8"/>
    <w:rsid w:val="005D0249"/>
    <w:rsid w:val="005D18FA"/>
    <w:rsid w:val="005D4FD4"/>
    <w:rsid w:val="005D6D8F"/>
    <w:rsid w:val="005D6E8C"/>
    <w:rsid w:val="005E241A"/>
    <w:rsid w:val="005E3004"/>
    <w:rsid w:val="005E7EFC"/>
    <w:rsid w:val="005F100C"/>
    <w:rsid w:val="005F53AC"/>
    <w:rsid w:val="005F68DA"/>
    <w:rsid w:val="005F7419"/>
    <w:rsid w:val="00601BC9"/>
    <w:rsid w:val="0060773B"/>
    <w:rsid w:val="006111FE"/>
    <w:rsid w:val="00613FD6"/>
    <w:rsid w:val="006157B5"/>
    <w:rsid w:val="00617224"/>
    <w:rsid w:val="0062338D"/>
    <w:rsid w:val="00626FC6"/>
    <w:rsid w:val="006303B4"/>
    <w:rsid w:val="00630ADC"/>
    <w:rsid w:val="00633D3D"/>
    <w:rsid w:val="006353E6"/>
    <w:rsid w:val="00641703"/>
    <w:rsid w:val="006431A6"/>
    <w:rsid w:val="00643E3A"/>
    <w:rsid w:val="006459F6"/>
    <w:rsid w:val="0064735D"/>
    <w:rsid w:val="006501AD"/>
    <w:rsid w:val="00651BFA"/>
    <w:rsid w:val="00654410"/>
    <w:rsid w:val="00654475"/>
    <w:rsid w:val="00656DF0"/>
    <w:rsid w:val="00665A4B"/>
    <w:rsid w:val="00670FAE"/>
    <w:rsid w:val="00677848"/>
    <w:rsid w:val="00692E2A"/>
    <w:rsid w:val="0069496A"/>
    <w:rsid w:val="00696C1C"/>
    <w:rsid w:val="006A76F2"/>
    <w:rsid w:val="006B7D29"/>
    <w:rsid w:val="006C2CFD"/>
    <w:rsid w:val="006D19D4"/>
    <w:rsid w:val="006D5644"/>
    <w:rsid w:val="006D7EFB"/>
    <w:rsid w:val="006E6672"/>
    <w:rsid w:val="006E6722"/>
    <w:rsid w:val="006F7AFF"/>
    <w:rsid w:val="007027B9"/>
    <w:rsid w:val="007066B5"/>
    <w:rsid w:val="00714266"/>
    <w:rsid w:val="007145DA"/>
    <w:rsid w:val="00715E88"/>
    <w:rsid w:val="00716D8B"/>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E0C10"/>
    <w:rsid w:val="007F0CF8"/>
    <w:rsid w:val="007F3AF6"/>
    <w:rsid w:val="007F5E1B"/>
    <w:rsid w:val="007F62CB"/>
    <w:rsid w:val="007F6895"/>
    <w:rsid w:val="007F7A65"/>
    <w:rsid w:val="008044FF"/>
    <w:rsid w:val="008142EC"/>
    <w:rsid w:val="008164F2"/>
    <w:rsid w:val="00821395"/>
    <w:rsid w:val="0082144F"/>
    <w:rsid w:val="00830E26"/>
    <w:rsid w:val="00834368"/>
    <w:rsid w:val="0083441A"/>
    <w:rsid w:val="00843576"/>
    <w:rsid w:val="00843B64"/>
    <w:rsid w:val="00844FD2"/>
    <w:rsid w:val="00845261"/>
    <w:rsid w:val="008478FC"/>
    <w:rsid w:val="008507C4"/>
    <w:rsid w:val="00851C51"/>
    <w:rsid w:val="008538F7"/>
    <w:rsid w:val="0085696F"/>
    <w:rsid w:val="00867BFF"/>
    <w:rsid w:val="00871542"/>
    <w:rsid w:val="00872BF6"/>
    <w:rsid w:val="00874046"/>
    <w:rsid w:val="0088480A"/>
    <w:rsid w:val="0088701E"/>
    <w:rsid w:val="0088757A"/>
    <w:rsid w:val="0089431B"/>
    <w:rsid w:val="00894CA8"/>
    <w:rsid w:val="00895668"/>
    <w:rsid w:val="008957DD"/>
    <w:rsid w:val="00897D98"/>
    <w:rsid w:val="008A6DF2"/>
    <w:rsid w:val="008A7807"/>
    <w:rsid w:val="008B4CC9"/>
    <w:rsid w:val="008B594A"/>
    <w:rsid w:val="008C0B15"/>
    <w:rsid w:val="008D75E4"/>
    <w:rsid w:val="008D7C99"/>
    <w:rsid w:val="008E0FCB"/>
    <w:rsid w:val="008E673A"/>
    <w:rsid w:val="008F6DFE"/>
    <w:rsid w:val="0090529F"/>
    <w:rsid w:val="00905997"/>
    <w:rsid w:val="00913D3B"/>
    <w:rsid w:val="0092178C"/>
    <w:rsid w:val="009260CF"/>
    <w:rsid w:val="00930B88"/>
    <w:rsid w:val="00935376"/>
    <w:rsid w:val="00940DCC"/>
    <w:rsid w:val="0094179A"/>
    <w:rsid w:val="00941F0E"/>
    <w:rsid w:val="0094459E"/>
    <w:rsid w:val="00944DBC"/>
    <w:rsid w:val="00947C60"/>
    <w:rsid w:val="00950977"/>
    <w:rsid w:val="00951A7B"/>
    <w:rsid w:val="00955512"/>
    <w:rsid w:val="009564A6"/>
    <w:rsid w:val="00957C14"/>
    <w:rsid w:val="00957EF8"/>
    <w:rsid w:val="00966A53"/>
    <w:rsid w:val="00967621"/>
    <w:rsid w:val="00967E6A"/>
    <w:rsid w:val="00976789"/>
    <w:rsid w:val="009907B9"/>
    <w:rsid w:val="00990918"/>
    <w:rsid w:val="009A3A83"/>
    <w:rsid w:val="009A5C57"/>
    <w:rsid w:val="009B4A0F"/>
    <w:rsid w:val="009C11D2"/>
    <w:rsid w:val="009C191E"/>
    <w:rsid w:val="009C32A5"/>
    <w:rsid w:val="009C6C70"/>
    <w:rsid w:val="009C7B0A"/>
    <w:rsid w:val="009D0B63"/>
    <w:rsid w:val="009D5CB8"/>
    <w:rsid w:val="009D5FAF"/>
    <w:rsid w:val="009E307E"/>
    <w:rsid w:val="009E4A35"/>
    <w:rsid w:val="009F0A5A"/>
    <w:rsid w:val="00A07870"/>
    <w:rsid w:val="00A07C54"/>
    <w:rsid w:val="00A07F19"/>
    <w:rsid w:val="00A1348D"/>
    <w:rsid w:val="00A13C99"/>
    <w:rsid w:val="00A14DD7"/>
    <w:rsid w:val="00A232EE"/>
    <w:rsid w:val="00A35B63"/>
    <w:rsid w:val="00A4175F"/>
    <w:rsid w:val="00A44411"/>
    <w:rsid w:val="00A469FA"/>
    <w:rsid w:val="00A47A6E"/>
    <w:rsid w:val="00A53662"/>
    <w:rsid w:val="00A55B01"/>
    <w:rsid w:val="00A56B5B"/>
    <w:rsid w:val="00A603FF"/>
    <w:rsid w:val="00A619B6"/>
    <w:rsid w:val="00A6403F"/>
    <w:rsid w:val="00A648CA"/>
    <w:rsid w:val="00A657DD"/>
    <w:rsid w:val="00A666A6"/>
    <w:rsid w:val="00A675FD"/>
    <w:rsid w:val="00A72437"/>
    <w:rsid w:val="00A8048B"/>
    <w:rsid w:val="00A80611"/>
    <w:rsid w:val="00AA5BF4"/>
    <w:rsid w:val="00AB4558"/>
    <w:rsid w:val="00AB5340"/>
    <w:rsid w:val="00AC0A89"/>
    <w:rsid w:val="00AC7C96"/>
    <w:rsid w:val="00AD3593"/>
    <w:rsid w:val="00AD3D88"/>
    <w:rsid w:val="00AD5584"/>
    <w:rsid w:val="00AE0812"/>
    <w:rsid w:val="00AE1120"/>
    <w:rsid w:val="00AE237D"/>
    <w:rsid w:val="00AE502A"/>
    <w:rsid w:val="00AF0010"/>
    <w:rsid w:val="00AF1AA8"/>
    <w:rsid w:val="00AF2C1F"/>
    <w:rsid w:val="00AF5875"/>
    <w:rsid w:val="00AF5CCD"/>
    <w:rsid w:val="00AF7C07"/>
    <w:rsid w:val="00B00100"/>
    <w:rsid w:val="00B06C64"/>
    <w:rsid w:val="00B07D8E"/>
    <w:rsid w:val="00B11CAC"/>
    <w:rsid w:val="00B15A29"/>
    <w:rsid w:val="00B22C93"/>
    <w:rsid w:val="00B27589"/>
    <w:rsid w:val="00B405B7"/>
    <w:rsid w:val="00B446F7"/>
    <w:rsid w:val="00B468C0"/>
    <w:rsid w:val="00B50FE9"/>
    <w:rsid w:val="00B52222"/>
    <w:rsid w:val="00B53199"/>
    <w:rsid w:val="00B531DA"/>
    <w:rsid w:val="00B54895"/>
    <w:rsid w:val="00B54FE7"/>
    <w:rsid w:val="00B647C6"/>
    <w:rsid w:val="00B64D18"/>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2C5E"/>
    <w:rsid w:val="00BC62BA"/>
    <w:rsid w:val="00BE5B5F"/>
    <w:rsid w:val="00BE7993"/>
    <w:rsid w:val="00BF66CE"/>
    <w:rsid w:val="00C11971"/>
    <w:rsid w:val="00C15D5F"/>
    <w:rsid w:val="00C179DE"/>
    <w:rsid w:val="00C26F55"/>
    <w:rsid w:val="00C30C63"/>
    <w:rsid w:val="00C30FF3"/>
    <w:rsid w:val="00C34D5C"/>
    <w:rsid w:val="00C3554B"/>
    <w:rsid w:val="00C36B8B"/>
    <w:rsid w:val="00C37098"/>
    <w:rsid w:val="00C415C1"/>
    <w:rsid w:val="00C43516"/>
    <w:rsid w:val="00C47DBF"/>
    <w:rsid w:val="00C552FF"/>
    <w:rsid w:val="00C558DA"/>
    <w:rsid w:val="00C55AF3"/>
    <w:rsid w:val="00C771A9"/>
    <w:rsid w:val="00C82943"/>
    <w:rsid w:val="00C84759"/>
    <w:rsid w:val="00C923BB"/>
    <w:rsid w:val="00C93096"/>
    <w:rsid w:val="00CA5CA9"/>
    <w:rsid w:val="00CA6C7F"/>
    <w:rsid w:val="00CB007D"/>
    <w:rsid w:val="00CB60CA"/>
    <w:rsid w:val="00CC0FC7"/>
    <w:rsid w:val="00CC10A6"/>
    <w:rsid w:val="00CD5EB8"/>
    <w:rsid w:val="00CD7044"/>
    <w:rsid w:val="00CE08B9"/>
    <w:rsid w:val="00CE3515"/>
    <w:rsid w:val="00CE524C"/>
    <w:rsid w:val="00CE6272"/>
    <w:rsid w:val="00CF141F"/>
    <w:rsid w:val="00CF1F64"/>
    <w:rsid w:val="00CF4777"/>
    <w:rsid w:val="00CF65C8"/>
    <w:rsid w:val="00D013F5"/>
    <w:rsid w:val="00D05E3F"/>
    <w:rsid w:val="00D064CF"/>
    <w:rsid w:val="00D067BB"/>
    <w:rsid w:val="00D1352A"/>
    <w:rsid w:val="00D1638E"/>
    <w:rsid w:val="00D169AF"/>
    <w:rsid w:val="00D200EF"/>
    <w:rsid w:val="00D21872"/>
    <w:rsid w:val="00D25175"/>
    <w:rsid w:val="00D25249"/>
    <w:rsid w:val="00D26854"/>
    <w:rsid w:val="00D44172"/>
    <w:rsid w:val="00D47BE3"/>
    <w:rsid w:val="00D57F6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C1792"/>
    <w:rsid w:val="00DC274A"/>
    <w:rsid w:val="00DC46FF"/>
    <w:rsid w:val="00DC5254"/>
    <w:rsid w:val="00DC569D"/>
    <w:rsid w:val="00DC706B"/>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25DBA"/>
    <w:rsid w:val="00E32F59"/>
    <w:rsid w:val="00E34F4B"/>
    <w:rsid w:val="00E37B6A"/>
    <w:rsid w:val="00E41908"/>
    <w:rsid w:val="00E46BCE"/>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607C"/>
    <w:rsid w:val="00F37DC8"/>
    <w:rsid w:val="00F439B3"/>
    <w:rsid w:val="00F650C3"/>
    <w:rsid w:val="00F65D85"/>
    <w:rsid w:val="00F6700B"/>
    <w:rsid w:val="00F7110B"/>
    <w:rsid w:val="00F7137B"/>
    <w:rsid w:val="00F71DBF"/>
    <w:rsid w:val="00F8091E"/>
    <w:rsid w:val="00F8615C"/>
    <w:rsid w:val="00F969E5"/>
    <w:rsid w:val="00FA4972"/>
    <w:rsid w:val="00FA6BB0"/>
    <w:rsid w:val="00FB2DBD"/>
    <w:rsid w:val="00FB67F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674B21A6-DF84-4CEE-A42D-F490EAE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Footnote Reference1,Ref,de nota al pie,註腳內容,de nota al pie + (Asian) MS Mincho,11 pt,Ref. de nota de rodapé1,stylish"/>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3583D"/>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rsid w:val="00E34F4B"/>
    <w:rPr>
      <w:lang w:eastAsia="en-US"/>
    </w:rPr>
  </w:style>
  <w:style w:type="character" w:customStyle="1" w:styleId="NormalnumberChar">
    <w:name w:val="Normal_number Char"/>
    <w:link w:val="Normalnumber"/>
    <w:locked/>
    <w:rsid w:val="00E34F4B"/>
    <w:rPr>
      <w:lang w:eastAsia="en-US"/>
    </w:rPr>
  </w:style>
  <w:style w:type="paragraph" w:customStyle="1" w:styleId="Text">
    <w:name w:val="Text"/>
    <w:rsid w:val="00306F47"/>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numbering" w:customStyle="1" w:styleId="Importovanstyl7">
    <w:name w:val="Importovaný styl 7"/>
    <w:rsid w:val="00306F4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4008-DB21-4AC4-90C2-688E8B3F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13648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2018-11-13T09:54:00Z</cp:lastPrinted>
  <dcterms:created xsi:type="dcterms:W3CDTF">2018-11-16T11:23:00Z</dcterms:created>
  <dcterms:modified xsi:type="dcterms:W3CDTF">2018-11-16T11:23:00Z</dcterms:modified>
</cp:coreProperties>
</file>