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086D4F">
        <w:trPr>
          <w:cantSplit/>
          <w:trHeight w:val="850"/>
          <w:jc w:val="right"/>
        </w:trPr>
        <w:tc>
          <w:tcPr>
            <w:tcW w:w="1550" w:type="dxa"/>
          </w:tcPr>
          <w:p w14:paraId="2A9B9F9D" w14:textId="1B5454B9" w:rsidR="00032E4E" w:rsidRPr="00D25175" w:rsidRDefault="00032E4E" w:rsidP="002C54E3">
            <w:pPr>
              <w:rPr>
                <w:rFonts w:ascii="Univers" w:hAnsi="Univers"/>
                <w:noProof/>
              </w:rPr>
            </w:pPr>
            <w:bookmarkStart w:id="0" w:name="_GoBack"/>
            <w:bookmarkEnd w:id="0"/>
            <w:r w:rsidRPr="002C54E3">
              <w:rPr>
                <w:rFonts w:ascii="Arial" w:hAnsi="Arial" w:cs="Arial"/>
                <w:b/>
                <w:noProof/>
                <w:sz w:val="27"/>
                <w:szCs w:val="27"/>
              </w:rPr>
              <w:t>UNITED</w:t>
            </w:r>
            <w:r w:rsidR="002C54E3">
              <w:rPr>
                <w:rFonts w:ascii="Arial" w:hAnsi="Arial" w:cs="Arial"/>
                <w:b/>
                <w:noProof/>
                <w:sz w:val="27"/>
                <w:szCs w:val="27"/>
              </w:rPr>
              <w:t xml:space="preserve"> </w:t>
            </w:r>
            <w:r w:rsidRPr="002C54E3">
              <w:rPr>
                <w:rFonts w:ascii="Arial" w:hAnsi="Arial" w:cs="Arial"/>
                <w:b/>
                <w:noProof/>
                <w:sz w:val="27"/>
                <w:szCs w:val="27"/>
              </w:rPr>
              <w:br/>
              <w:t>NATIONS</w:t>
            </w:r>
          </w:p>
        </w:tc>
        <w:tc>
          <w:tcPr>
            <w:tcW w:w="4751" w:type="dxa"/>
          </w:tcPr>
          <w:p w14:paraId="2F47229A" w14:textId="77777777" w:rsidR="00032E4E" w:rsidRPr="00D25175" w:rsidRDefault="00032E4E" w:rsidP="002C54E3">
            <w:pPr>
              <w:pStyle w:val="Normal-pool"/>
              <w:rPr>
                <w:rFonts w:ascii="Univers" w:hAnsi="Univers"/>
              </w:rPr>
            </w:pPr>
          </w:p>
        </w:tc>
        <w:tc>
          <w:tcPr>
            <w:tcW w:w="3411" w:type="dxa"/>
          </w:tcPr>
          <w:p w14:paraId="57073C3F" w14:textId="77777777" w:rsidR="00032E4E" w:rsidRPr="00D25175" w:rsidRDefault="00787688" w:rsidP="002C54E3">
            <w:pPr>
              <w:jc w:val="right"/>
              <w:rPr>
                <w:sz w:val="64"/>
                <w:szCs w:val="64"/>
              </w:rPr>
            </w:pPr>
            <w:r w:rsidRPr="002C54E3">
              <w:rPr>
                <w:rFonts w:ascii="Arial" w:hAnsi="Arial" w:cs="Arial"/>
                <w:b/>
                <w:sz w:val="64"/>
                <w:szCs w:val="64"/>
              </w:rPr>
              <w:t>MC</w:t>
            </w:r>
          </w:p>
        </w:tc>
      </w:tr>
      <w:tr w:rsidR="00032E4E" w:rsidRPr="00D25175" w14:paraId="0DEAC680" w14:textId="77777777" w:rsidTr="00086D4F">
        <w:trPr>
          <w:cantSplit/>
          <w:trHeight w:val="281"/>
          <w:jc w:val="right"/>
        </w:trPr>
        <w:tc>
          <w:tcPr>
            <w:tcW w:w="1550" w:type="dxa"/>
            <w:tcBorders>
              <w:bottom w:val="single" w:sz="4" w:space="0" w:color="auto"/>
            </w:tcBorders>
          </w:tcPr>
          <w:p w14:paraId="30269B88" w14:textId="77777777" w:rsidR="00032E4E" w:rsidRPr="00D25175" w:rsidRDefault="00032E4E" w:rsidP="002C54E3">
            <w:pPr>
              <w:pStyle w:val="Normal-pool"/>
              <w:rPr>
                <w:noProof/>
                <w:sz w:val="18"/>
                <w:szCs w:val="18"/>
              </w:rPr>
            </w:pPr>
          </w:p>
        </w:tc>
        <w:tc>
          <w:tcPr>
            <w:tcW w:w="4751" w:type="dxa"/>
            <w:tcBorders>
              <w:bottom w:val="single" w:sz="4" w:space="0" w:color="auto"/>
            </w:tcBorders>
          </w:tcPr>
          <w:p w14:paraId="54296B4D" w14:textId="77777777" w:rsidR="00032E4E" w:rsidRPr="00D25175" w:rsidRDefault="00032E4E" w:rsidP="002C54E3">
            <w:pPr>
              <w:pStyle w:val="Normal-pool"/>
              <w:rPr>
                <w:rFonts w:ascii="Univers" w:hAnsi="Univers"/>
                <w:sz w:val="18"/>
                <w:szCs w:val="18"/>
              </w:rPr>
            </w:pPr>
          </w:p>
        </w:tc>
        <w:tc>
          <w:tcPr>
            <w:tcW w:w="3411" w:type="dxa"/>
            <w:tcBorders>
              <w:bottom w:val="single" w:sz="4" w:space="0" w:color="auto"/>
            </w:tcBorders>
          </w:tcPr>
          <w:p w14:paraId="540639F8" w14:textId="404F54F7" w:rsidR="00032E4E" w:rsidRPr="00D25175" w:rsidRDefault="00032E4E" w:rsidP="002C54E3">
            <w:pPr>
              <w:pStyle w:val="Normal-pool"/>
              <w:rPr>
                <w:noProof/>
                <w:sz w:val="18"/>
                <w:szCs w:val="18"/>
              </w:rPr>
            </w:pPr>
            <w:r w:rsidRPr="002C54E3">
              <w:rPr>
                <w:b/>
                <w:bCs/>
                <w:sz w:val="28"/>
              </w:rPr>
              <w:t>UNEP</w:t>
            </w:r>
            <w:bookmarkStart w:id="1" w:name="OLE_LINK1"/>
            <w:bookmarkStart w:id="2" w:name="OLE_LINK2"/>
            <w:r w:rsidR="00787688" w:rsidRPr="002C54E3">
              <w:rPr>
                <w:b/>
                <w:bCs/>
                <w:sz w:val="28"/>
              </w:rPr>
              <w:t>/</w:t>
            </w:r>
            <w:r w:rsidR="00787688" w:rsidRPr="00D25175">
              <w:t>MC</w:t>
            </w:r>
            <w:r w:rsidRPr="00D25175">
              <w:t>/</w:t>
            </w:r>
            <w:bookmarkEnd w:id="1"/>
            <w:bookmarkEnd w:id="2"/>
            <w:r w:rsidR="00787688" w:rsidRPr="00D25175">
              <w:t>COP.</w:t>
            </w:r>
            <w:r w:rsidR="00434321">
              <w:t>2</w:t>
            </w:r>
            <w:r w:rsidRPr="00D25175">
              <w:t>/</w:t>
            </w:r>
            <w:r w:rsidR="00D91EAE">
              <w:t>12</w:t>
            </w:r>
          </w:p>
        </w:tc>
      </w:tr>
      <w:bookmarkStart w:id="3" w:name="_MON_1021710510"/>
      <w:bookmarkEnd w:id="3"/>
      <w:bookmarkStart w:id="4" w:name="_MON_1021710482"/>
      <w:bookmarkEnd w:id="4"/>
      <w:tr w:rsidR="00032E4E" w:rsidRPr="00D25175" w14:paraId="34AA74B4" w14:textId="77777777" w:rsidTr="00086D4F">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1F566E" w:rsidP="002C54E3">
            <w:pPr>
              <w:pStyle w:val="Normal-pool"/>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61.5pt;mso-width-percent:0;mso-height-percent:0;mso-width-percent:0;mso-height-percent:0" o:ole="" fillcolor="window">
                  <v:imagedata r:id="rId8" o:title=""/>
                </v:shape>
                <o:OLEObject Type="Embed" ProgID="Word.Picture.8" ShapeID="_x0000_i1025" DrawAspect="Content" ObjectID="_1600613677" r:id="rId9"/>
              </w:object>
            </w:r>
            <w:r w:rsidR="00011A16" w:rsidRPr="00D25175">
              <w:rPr>
                <w:noProof/>
                <w:lang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2C54E3">
            <w:pPr>
              <w:spacing w:before="1200"/>
              <w:rPr>
                <w:sz w:val="28"/>
              </w:rPr>
            </w:pPr>
            <w:r w:rsidRPr="002C54E3">
              <w:rPr>
                <w:rFonts w:ascii="Arial" w:hAnsi="Arial" w:cs="Arial"/>
                <w:b/>
                <w:sz w:val="32"/>
                <w:szCs w:val="32"/>
              </w:rPr>
              <w:t>United Nations</w:t>
            </w:r>
            <w:r w:rsidR="005B2DF4" w:rsidRPr="002C54E3">
              <w:rPr>
                <w:rFonts w:ascii="Arial" w:hAnsi="Arial" w:cs="Arial"/>
                <w:b/>
                <w:sz w:val="32"/>
                <w:szCs w:val="32"/>
              </w:rPr>
              <w:t xml:space="preserve"> </w:t>
            </w:r>
            <w:r w:rsidRPr="002C54E3">
              <w:rPr>
                <w:rFonts w:ascii="Arial" w:hAnsi="Arial" w:cs="Arial"/>
                <w:b/>
                <w:sz w:val="32"/>
                <w:szCs w:val="32"/>
              </w:rPr>
              <w:br w:type="textWrapping" w:clear="all"/>
              <w:t>Environment</w:t>
            </w:r>
            <w:r w:rsidR="005B2DF4" w:rsidRPr="002C54E3">
              <w:rPr>
                <w:rFonts w:ascii="Arial" w:hAnsi="Arial" w:cs="Arial"/>
                <w:b/>
                <w:sz w:val="32"/>
                <w:szCs w:val="32"/>
              </w:rPr>
              <w:t xml:space="preserve"> </w:t>
            </w:r>
            <w:r w:rsidRPr="002C54E3">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31429E6A" w:rsidR="00032E4E" w:rsidRPr="00D25175" w:rsidRDefault="00032E4E" w:rsidP="002C54E3">
            <w:pPr>
              <w:pStyle w:val="Normal-pool"/>
              <w:spacing w:before="120"/>
            </w:pPr>
            <w:r w:rsidRPr="00D25175">
              <w:t>Distr.: General</w:t>
            </w:r>
            <w:r w:rsidR="005B2DF4">
              <w:t xml:space="preserve"> </w:t>
            </w:r>
            <w:r w:rsidRPr="00D25175">
              <w:br w:type="textWrapping" w:clear="all"/>
            </w:r>
            <w:r w:rsidR="002C54E3">
              <w:t>3 September</w:t>
            </w:r>
            <w:r w:rsidR="00434321">
              <w:t xml:space="preserve"> </w:t>
            </w:r>
            <w:r w:rsidR="0042266F" w:rsidRPr="00D25175">
              <w:t>201</w:t>
            </w:r>
            <w:r w:rsidR="00434321">
              <w:t>8</w:t>
            </w:r>
          </w:p>
          <w:p w14:paraId="1A75CF9D" w14:textId="77777777" w:rsidR="00032E4E" w:rsidRPr="00D25175" w:rsidRDefault="00032E4E" w:rsidP="002C54E3">
            <w:pPr>
              <w:pStyle w:val="Normal-pool"/>
              <w:spacing w:before="120"/>
            </w:pPr>
            <w:r w:rsidRPr="00D25175">
              <w:t>Original: English</w:t>
            </w:r>
          </w:p>
        </w:tc>
      </w:tr>
    </w:tbl>
    <w:p w14:paraId="0A4BFFDA" w14:textId="30575E0E" w:rsidR="00E976AB" w:rsidRPr="00D25175" w:rsidRDefault="00CB007D" w:rsidP="00E976AB">
      <w:pPr>
        <w:pStyle w:val="AATitle"/>
        <w:keepNext w:val="0"/>
        <w:keepLines w:val="0"/>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E976AB">
      <w:pPr>
        <w:pStyle w:val="AATitle"/>
        <w:keepNext w:val="0"/>
        <w:keepLines w:val="0"/>
      </w:pPr>
      <w:r>
        <w:t>Second</w:t>
      </w:r>
      <w:r w:rsidR="00787688" w:rsidRPr="00D25175">
        <w:t xml:space="preserve"> meeting</w:t>
      </w:r>
    </w:p>
    <w:p w14:paraId="67B82F12" w14:textId="5B325575" w:rsidR="00787688" w:rsidRDefault="00787688" w:rsidP="00434321">
      <w:pPr>
        <w:pStyle w:val="AATitle"/>
        <w:rPr>
          <w:b w:val="0"/>
        </w:rPr>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41CF4448" w14:textId="3EEFE109" w:rsidR="00F15578" w:rsidRDefault="00E54866" w:rsidP="00F15578">
      <w:pPr>
        <w:pStyle w:val="AATitle"/>
        <w:keepNext w:val="0"/>
        <w:keepLines w:val="0"/>
        <w:rPr>
          <w:b w:val="0"/>
        </w:rPr>
      </w:pPr>
      <w:r>
        <w:rPr>
          <w:b w:val="0"/>
        </w:rPr>
        <w:t xml:space="preserve">Item </w:t>
      </w:r>
      <w:r w:rsidR="00035ED3">
        <w:rPr>
          <w:b w:val="0"/>
        </w:rPr>
        <w:t>5</w:t>
      </w:r>
      <w:r w:rsidR="00BF726B">
        <w:rPr>
          <w:b w:val="0"/>
        </w:rPr>
        <w:t xml:space="preserve"> </w:t>
      </w:r>
      <w:r w:rsidR="00035ED3">
        <w:rPr>
          <w:b w:val="0"/>
        </w:rPr>
        <w:t>(</w:t>
      </w:r>
      <w:r w:rsidR="004156A7">
        <w:rPr>
          <w:b w:val="0"/>
        </w:rPr>
        <w:t>h</w:t>
      </w:r>
      <w:r w:rsidR="00035ED3">
        <w:rPr>
          <w:b w:val="0"/>
        </w:rPr>
        <w:t>)</w:t>
      </w:r>
      <w:r w:rsidRPr="00A018C0">
        <w:rPr>
          <w:b w:val="0"/>
        </w:rPr>
        <w:t xml:space="preserve"> of the provisional agenda</w:t>
      </w:r>
      <w:r w:rsidRPr="00A018C0">
        <w:rPr>
          <w:b w:val="0"/>
        </w:rPr>
        <w:footnoteReference w:customMarkFollows="1" w:id="2"/>
        <w:t>*</w:t>
      </w:r>
    </w:p>
    <w:p w14:paraId="2D8757BE" w14:textId="2059D998" w:rsidR="00F15578" w:rsidRDefault="00035ED3" w:rsidP="00A03C49">
      <w:pPr>
        <w:pStyle w:val="AATitle2"/>
        <w:spacing w:before="60" w:after="0"/>
      </w:pPr>
      <w:r>
        <w:t xml:space="preserve">Matters for consideration or action by the Conference of </w:t>
      </w:r>
      <w:r w:rsidR="002C54E3">
        <w:br/>
      </w:r>
      <w:r>
        <w:t xml:space="preserve">the Parties: </w:t>
      </w:r>
      <w:r w:rsidR="00BF726B">
        <w:t>c</w:t>
      </w:r>
      <w:r w:rsidR="00BF726B" w:rsidRPr="004156A7">
        <w:t xml:space="preserve">ooperation </w:t>
      </w:r>
      <w:r w:rsidR="004156A7" w:rsidRPr="004156A7">
        <w:t>with the World Health Organization and the International Labour Organization</w:t>
      </w:r>
    </w:p>
    <w:p w14:paraId="1229106B" w14:textId="6A395C87" w:rsidR="000F681D" w:rsidRPr="002C54E3" w:rsidRDefault="00621E0B" w:rsidP="003E1DD8">
      <w:pPr>
        <w:pStyle w:val="BBTitle"/>
      </w:pPr>
      <w:r w:rsidRPr="002C54E3">
        <w:t>Cooperation with the World Health Organization and the International Labour Organization</w:t>
      </w:r>
    </w:p>
    <w:p w14:paraId="27B7AE6C" w14:textId="10097460" w:rsidR="00D34A59" w:rsidRPr="009102A2" w:rsidRDefault="002C54E3" w:rsidP="002C54E3">
      <w:pPr>
        <w:pStyle w:val="CH2"/>
      </w:pPr>
      <w:r>
        <w:tab/>
      </w:r>
      <w:r>
        <w:tab/>
      </w:r>
      <w:r w:rsidR="00D34A59" w:rsidRPr="00035ED3">
        <w:t>Note by the secretariat</w:t>
      </w:r>
    </w:p>
    <w:p w14:paraId="30849C12" w14:textId="50359162" w:rsidR="006C08E4" w:rsidRPr="002C54E3" w:rsidRDefault="00773959" w:rsidP="00902971">
      <w:pPr>
        <w:pStyle w:val="Normalnumber"/>
        <w:numPr>
          <w:ilvl w:val="0"/>
          <w:numId w:val="6"/>
        </w:numPr>
      </w:pPr>
      <w:r>
        <w:t xml:space="preserve">In </w:t>
      </w:r>
      <w:r w:rsidRPr="002C54E3">
        <w:t>paragraph 2</w:t>
      </w:r>
      <w:r>
        <w:t xml:space="preserve"> of article 16, </w:t>
      </w:r>
      <w:r w:rsidR="00400D8A">
        <w:t xml:space="preserve">on health aspects, </w:t>
      </w:r>
      <w:r>
        <w:t>t</w:t>
      </w:r>
      <w:r w:rsidR="006C08E4" w:rsidRPr="002C54E3">
        <w:t>he Minamata Convention on Mercury specifies that the Conference of the</w:t>
      </w:r>
      <w:r w:rsidR="00621E0B" w:rsidRPr="002C54E3">
        <w:t xml:space="preserve"> Parties, in considering health-related issues or activities</w:t>
      </w:r>
      <w:r w:rsidR="00EF3124" w:rsidRPr="002C54E3">
        <w:t>,</w:t>
      </w:r>
      <w:r w:rsidR="00621E0B" w:rsidRPr="002C54E3">
        <w:t xml:space="preserve"> should consult and collaborate with the World Health Organization (WHO), the International Labour Organization (ILO) and other relevant intergovernmental organizations, as appropriate</w:t>
      </w:r>
      <w:r w:rsidR="00BF726B">
        <w:t>,</w:t>
      </w:r>
      <w:r w:rsidR="00621E0B" w:rsidRPr="002C54E3">
        <w:t xml:space="preserve"> a</w:t>
      </w:r>
      <w:r w:rsidR="00EF3124" w:rsidRPr="002C54E3">
        <w:t>nd should promote</w:t>
      </w:r>
      <w:r w:rsidR="00621E0B" w:rsidRPr="002C54E3">
        <w:t xml:space="preserve"> cooperation and exchange of information with </w:t>
      </w:r>
      <w:r w:rsidR="00BF726B" w:rsidRPr="002C54E3">
        <w:t>th</w:t>
      </w:r>
      <w:r w:rsidR="00BF726B">
        <w:t>o</w:t>
      </w:r>
      <w:r w:rsidR="00BF726B" w:rsidRPr="002C54E3">
        <w:t xml:space="preserve">se </w:t>
      </w:r>
      <w:r w:rsidR="00621E0B" w:rsidRPr="002C54E3">
        <w:t>organizations</w:t>
      </w:r>
      <w:r w:rsidR="00EF3124" w:rsidRPr="002C54E3">
        <w:t>, as appropriate</w:t>
      </w:r>
      <w:r w:rsidR="00621E0B" w:rsidRPr="002C54E3">
        <w:t>.</w:t>
      </w:r>
    </w:p>
    <w:p w14:paraId="1A799625" w14:textId="39453597" w:rsidR="000D283C" w:rsidRPr="002C54E3" w:rsidRDefault="00D34A59" w:rsidP="00902971">
      <w:pPr>
        <w:pStyle w:val="Normalnumber"/>
        <w:numPr>
          <w:ilvl w:val="0"/>
          <w:numId w:val="6"/>
        </w:numPr>
      </w:pPr>
      <w:r w:rsidRPr="002C54E3">
        <w:t>At its first meeting</w:t>
      </w:r>
      <w:r w:rsidR="00BF726B">
        <w:t>,</w:t>
      </w:r>
      <w:r w:rsidR="008A40F4" w:rsidRPr="002C54E3">
        <w:t xml:space="preserve"> held in Geneva from 24 to 29 September 2017, the Conference of the Parties to the Minamata Convention </w:t>
      </w:r>
      <w:r w:rsidRPr="002C54E3">
        <w:t xml:space="preserve">requested the secretariat to continue to actively engage in cooperation and collaboration with WHO, ILO and other relevant organizations in the implementation of the Minamata Convention. </w:t>
      </w:r>
    </w:p>
    <w:p w14:paraId="3141BAE9" w14:textId="1EAAEC76" w:rsidR="000D283C" w:rsidRPr="002C54E3" w:rsidRDefault="00F105C7" w:rsidP="00902971">
      <w:pPr>
        <w:pStyle w:val="Normalnumber"/>
        <w:numPr>
          <w:ilvl w:val="0"/>
          <w:numId w:val="6"/>
        </w:numPr>
      </w:pPr>
      <w:r w:rsidRPr="002C54E3">
        <w:t>The key areas for such cooperation and collaboration with WHO include</w:t>
      </w:r>
      <w:r w:rsidR="00E96087">
        <w:t xml:space="preserve"> </w:t>
      </w:r>
      <w:r w:rsidRPr="002C54E3">
        <w:t>mercury thermometers and sphygmomanometers in health care, antiseptics</w:t>
      </w:r>
      <w:r w:rsidR="00A646A5">
        <w:t xml:space="preserve">, </w:t>
      </w:r>
      <w:r w:rsidRPr="002C54E3">
        <w:t>skin-lightening products and dental amalgam (</w:t>
      </w:r>
      <w:r w:rsidR="009B10AF">
        <w:t>a</w:t>
      </w:r>
      <w:r w:rsidR="009B10AF" w:rsidRPr="002C54E3">
        <w:t>rt</w:t>
      </w:r>
      <w:r w:rsidR="00844FDB">
        <w:t>.</w:t>
      </w:r>
      <w:r w:rsidR="009B10AF" w:rsidRPr="002C54E3">
        <w:t xml:space="preserve"> </w:t>
      </w:r>
      <w:r w:rsidRPr="002C54E3">
        <w:t xml:space="preserve">4 and </w:t>
      </w:r>
      <w:r w:rsidR="009B10AF">
        <w:t>a</w:t>
      </w:r>
      <w:r w:rsidR="009B10AF" w:rsidRPr="002C54E3">
        <w:t xml:space="preserve">nnex </w:t>
      </w:r>
      <w:r w:rsidRPr="002C54E3">
        <w:t xml:space="preserve">A); public health strategies for </w:t>
      </w:r>
      <w:r w:rsidR="009B10AF">
        <w:t>artisanal and small-scale gold mining</w:t>
      </w:r>
      <w:r w:rsidR="009B10AF" w:rsidRPr="002C54E3">
        <w:t xml:space="preserve"> </w:t>
      </w:r>
      <w:r w:rsidRPr="002C54E3">
        <w:t>(</w:t>
      </w:r>
      <w:r w:rsidR="009B10AF">
        <w:t>a</w:t>
      </w:r>
      <w:r w:rsidR="009B10AF" w:rsidRPr="002C54E3">
        <w:t>rt</w:t>
      </w:r>
      <w:r w:rsidR="002460D7">
        <w:t>.</w:t>
      </w:r>
      <w:r w:rsidR="009B10AF" w:rsidRPr="002C54E3">
        <w:t xml:space="preserve"> </w:t>
      </w:r>
      <w:r w:rsidRPr="002C54E3">
        <w:t xml:space="preserve">7 and </w:t>
      </w:r>
      <w:r w:rsidR="009B10AF">
        <w:t>a</w:t>
      </w:r>
      <w:r w:rsidR="009B10AF" w:rsidRPr="002C54E3">
        <w:t xml:space="preserve">nnex </w:t>
      </w:r>
      <w:r w:rsidRPr="002C54E3">
        <w:t xml:space="preserve">C); </w:t>
      </w:r>
      <w:r w:rsidR="008472A7" w:rsidRPr="002C54E3">
        <w:t>human health risk assessment for contaminated sites (</w:t>
      </w:r>
      <w:r w:rsidR="008472A7">
        <w:t>a</w:t>
      </w:r>
      <w:r w:rsidR="00844FDB">
        <w:t>rt.</w:t>
      </w:r>
      <w:r w:rsidR="008472A7" w:rsidRPr="002C54E3">
        <w:t xml:space="preserve"> 12); </w:t>
      </w:r>
      <w:r w:rsidRPr="002C54E3">
        <w:t>the “health aspects” article (</w:t>
      </w:r>
      <w:r w:rsidR="009B10AF">
        <w:t>a</w:t>
      </w:r>
      <w:r w:rsidR="009B10AF" w:rsidRPr="002C54E3">
        <w:t>rt</w:t>
      </w:r>
      <w:r w:rsidR="00844FDB">
        <w:t>.</w:t>
      </w:r>
      <w:r w:rsidR="009B10AF" w:rsidRPr="002C54E3">
        <w:t xml:space="preserve"> </w:t>
      </w:r>
      <w:r w:rsidRPr="002C54E3">
        <w:t>16); health information exchange (</w:t>
      </w:r>
      <w:r w:rsidR="009B10AF">
        <w:t>a</w:t>
      </w:r>
      <w:r w:rsidR="009B10AF" w:rsidRPr="002C54E3">
        <w:t>rt</w:t>
      </w:r>
      <w:r w:rsidR="00844FDB">
        <w:t>.</w:t>
      </w:r>
      <w:r w:rsidR="009B10AF" w:rsidRPr="002C54E3">
        <w:t xml:space="preserve"> </w:t>
      </w:r>
      <w:r w:rsidRPr="002C54E3">
        <w:t>17); public information, awareness and education on human health (</w:t>
      </w:r>
      <w:r w:rsidR="009B10AF">
        <w:t>a</w:t>
      </w:r>
      <w:r w:rsidR="009B10AF" w:rsidRPr="002C54E3">
        <w:t xml:space="preserve">rticle </w:t>
      </w:r>
      <w:r w:rsidRPr="002C54E3">
        <w:t xml:space="preserve">18); </w:t>
      </w:r>
      <w:r w:rsidR="009B10AF">
        <w:t xml:space="preserve">and </w:t>
      </w:r>
      <w:r w:rsidRPr="002C54E3">
        <w:t>health-related research, development and monitoring (</w:t>
      </w:r>
      <w:r w:rsidR="009B10AF">
        <w:t>a</w:t>
      </w:r>
      <w:r w:rsidR="009B10AF" w:rsidRPr="002C54E3">
        <w:t>rt</w:t>
      </w:r>
      <w:r w:rsidR="00844FDB">
        <w:t>.</w:t>
      </w:r>
      <w:r w:rsidR="009B10AF" w:rsidRPr="002C54E3">
        <w:t xml:space="preserve"> </w:t>
      </w:r>
      <w:r w:rsidRPr="002C54E3">
        <w:t>19), where ministries of health are envisaged to play a leading role</w:t>
      </w:r>
      <w:r w:rsidR="009B10AF" w:rsidRPr="00844FDB">
        <w:t>.</w:t>
      </w:r>
      <w:r w:rsidRPr="00844FDB">
        <w:t xml:space="preserve"> In addition</w:t>
      </w:r>
      <w:r w:rsidR="009B10AF" w:rsidRPr="00844FDB">
        <w:t>,</w:t>
      </w:r>
      <w:r w:rsidRPr="00844FDB">
        <w:t xml:space="preserve"> the </w:t>
      </w:r>
      <w:r w:rsidR="009B10AF" w:rsidRPr="00F84F30">
        <w:t>s</w:t>
      </w:r>
      <w:r w:rsidR="009B10AF" w:rsidRPr="007419C5">
        <w:t xml:space="preserve">ecretariats of </w:t>
      </w:r>
      <w:r w:rsidRPr="007419C5">
        <w:t xml:space="preserve">WHO and </w:t>
      </w:r>
      <w:r w:rsidR="009B10AF" w:rsidRPr="007419C5">
        <w:t xml:space="preserve">the </w:t>
      </w:r>
      <w:r w:rsidRPr="007419C5">
        <w:t>Minamata Convention collaborate to support capacity-building and technical assistance (</w:t>
      </w:r>
      <w:r w:rsidR="009B10AF" w:rsidRPr="00844FDB">
        <w:t xml:space="preserve">article </w:t>
      </w:r>
      <w:r w:rsidRPr="00844FDB">
        <w:t>14) and effectiveness evaluation (</w:t>
      </w:r>
      <w:r w:rsidR="009B10AF" w:rsidRPr="00844FDB">
        <w:t>art</w:t>
      </w:r>
      <w:r w:rsidR="00844FDB" w:rsidRPr="00844FDB">
        <w:t>.</w:t>
      </w:r>
      <w:r w:rsidR="009B10AF" w:rsidRPr="00844FDB">
        <w:t xml:space="preserve"> </w:t>
      </w:r>
      <w:r w:rsidRPr="00844FDB">
        <w:t>22).</w:t>
      </w:r>
      <w:r w:rsidR="00A17FBF" w:rsidRPr="00844FDB">
        <w:t xml:space="preserve"> </w:t>
      </w:r>
    </w:p>
    <w:p w14:paraId="66B692AC" w14:textId="1E3E33DA" w:rsidR="00611C95" w:rsidRPr="002C54E3" w:rsidRDefault="00D34A59" w:rsidP="00E13EC3">
      <w:pPr>
        <w:pStyle w:val="Normalnumber"/>
        <w:numPr>
          <w:ilvl w:val="0"/>
          <w:numId w:val="6"/>
        </w:numPr>
      </w:pPr>
      <w:r w:rsidRPr="000D283C">
        <w:rPr>
          <w:rFonts w:asciiTheme="majorBidi" w:hAnsiTheme="majorBidi" w:cstheme="majorBidi"/>
        </w:rPr>
        <w:t xml:space="preserve">The </w:t>
      </w:r>
      <w:r w:rsidRPr="002C54E3">
        <w:t>secretariat</w:t>
      </w:r>
      <w:r w:rsidRPr="000D283C">
        <w:rPr>
          <w:rFonts w:asciiTheme="majorBidi" w:hAnsiTheme="majorBidi" w:cstheme="majorBidi"/>
        </w:rPr>
        <w:t xml:space="preserve"> has undertaken </w:t>
      </w:r>
      <w:r w:rsidR="002460D7">
        <w:rPr>
          <w:rFonts w:asciiTheme="majorBidi" w:hAnsiTheme="majorBidi" w:cstheme="majorBidi"/>
        </w:rPr>
        <w:t>many</w:t>
      </w:r>
      <w:r w:rsidRPr="000D283C">
        <w:rPr>
          <w:rFonts w:asciiTheme="majorBidi" w:hAnsiTheme="majorBidi" w:cstheme="majorBidi"/>
        </w:rPr>
        <w:t xml:space="preserve"> cooperative activities with WHO in the period since the first meeting of the Conference of the Parties, including participating in regional workshops promoting the Convention to health ministries, as well as technical cooperation on guidance documents and enquiries on </w:t>
      </w:r>
      <w:r w:rsidR="006A69F1" w:rsidRPr="000D283C">
        <w:rPr>
          <w:rFonts w:asciiTheme="majorBidi" w:hAnsiTheme="majorBidi" w:cstheme="majorBidi"/>
        </w:rPr>
        <w:t xml:space="preserve">matters </w:t>
      </w:r>
      <w:r w:rsidRPr="000D283C">
        <w:rPr>
          <w:rFonts w:asciiTheme="majorBidi" w:hAnsiTheme="majorBidi" w:cstheme="majorBidi"/>
        </w:rPr>
        <w:t>related to health issues.</w:t>
      </w:r>
      <w:r w:rsidR="00E96087">
        <w:rPr>
          <w:rFonts w:asciiTheme="majorBidi" w:hAnsiTheme="majorBidi" w:cstheme="majorBidi"/>
        </w:rPr>
        <w:t xml:space="preserve"> </w:t>
      </w:r>
      <w:r w:rsidRPr="000D283C">
        <w:rPr>
          <w:rFonts w:asciiTheme="majorBidi" w:hAnsiTheme="majorBidi" w:cstheme="majorBidi"/>
        </w:rPr>
        <w:t xml:space="preserve">WHO has participated in the intersessional work on effectiveness evaluation, making major contributions to the </w:t>
      </w:r>
      <w:r w:rsidR="006A69F1" w:rsidRPr="000D283C">
        <w:rPr>
          <w:rFonts w:asciiTheme="majorBidi" w:hAnsiTheme="majorBidi" w:cstheme="majorBidi"/>
        </w:rPr>
        <w:t xml:space="preserve">draft </w:t>
      </w:r>
      <w:r w:rsidRPr="000D283C">
        <w:rPr>
          <w:rFonts w:asciiTheme="majorBidi" w:hAnsiTheme="majorBidi" w:cstheme="majorBidi"/>
        </w:rPr>
        <w:t>report pre</w:t>
      </w:r>
      <w:r w:rsidR="00B43CA2" w:rsidRPr="000D283C">
        <w:rPr>
          <w:rFonts w:asciiTheme="majorBidi" w:hAnsiTheme="majorBidi" w:cstheme="majorBidi"/>
        </w:rPr>
        <w:t xml:space="preserve">pared by the group of experts. An update on the </w:t>
      </w:r>
      <w:r w:rsidR="00B43CA2" w:rsidRPr="002C54E3">
        <w:t>activities</w:t>
      </w:r>
      <w:r w:rsidR="00B43CA2" w:rsidRPr="000D283C">
        <w:rPr>
          <w:rFonts w:asciiTheme="majorBidi" w:hAnsiTheme="majorBidi" w:cstheme="majorBidi"/>
        </w:rPr>
        <w:t xml:space="preserve"> of WHO relevant to the Minamata Convention is set out in the annex to th</w:t>
      </w:r>
      <w:r w:rsidR="00086D4F" w:rsidRPr="000D283C">
        <w:rPr>
          <w:rFonts w:asciiTheme="majorBidi" w:hAnsiTheme="majorBidi" w:cstheme="majorBidi"/>
        </w:rPr>
        <w:t>e present</w:t>
      </w:r>
      <w:r w:rsidR="00B43CA2" w:rsidRPr="000D283C">
        <w:rPr>
          <w:rFonts w:asciiTheme="majorBidi" w:hAnsiTheme="majorBidi" w:cstheme="majorBidi"/>
        </w:rPr>
        <w:t xml:space="preserve"> note</w:t>
      </w:r>
      <w:r w:rsidR="00B43CA2" w:rsidRPr="002C54E3">
        <w:t>.</w:t>
      </w:r>
      <w:r w:rsidR="00086D4F" w:rsidRPr="002C54E3">
        <w:t xml:space="preserve"> </w:t>
      </w:r>
    </w:p>
    <w:p w14:paraId="7C1473E3" w14:textId="5357E286" w:rsidR="000D283C" w:rsidRPr="007419C5" w:rsidRDefault="00F105C7" w:rsidP="00902971">
      <w:pPr>
        <w:pStyle w:val="Normalnumber"/>
        <w:numPr>
          <w:ilvl w:val="0"/>
          <w:numId w:val="6"/>
        </w:numPr>
      </w:pPr>
      <w:r w:rsidRPr="002C54E3">
        <w:lastRenderedPageBreak/>
        <w:t>The key areas for cooperation and collaboration with ILO include</w:t>
      </w:r>
      <w:r w:rsidR="00E13EC3">
        <w:t xml:space="preserve"> </w:t>
      </w:r>
      <w:r w:rsidR="00424C56" w:rsidRPr="002C54E3">
        <w:t xml:space="preserve">the development and implementation of science-based educational and preventive programmes on occupational exposure to mercury and mercury compounds and the establishment and </w:t>
      </w:r>
      <w:r w:rsidR="00424C56" w:rsidRPr="009955D3">
        <w:t xml:space="preserve">strengthening of institutional and health professional </w:t>
      </w:r>
      <w:r w:rsidR="00424C56" w:rsidRPr="00844FDB">
        <w:t>capacit</w:t>
      </w:r>
      <w:r w:rsidR="009955D3" w:rsidRPr="00C0279E">
        <w:t>y</w:t>
      </w:r>
      <w:r w:rsidR="001314BD" w:rsidRPr="009955D3">
        <w:t xml:space="preserve"> </w:t>
      </w:r>
      <w:r w:rsidR="00424C56" w:rsidRPr="009955D3">
        <w:t>for the prevention, diagnosis, treatment and monitoring of health risks related to exposure to mercury and mercury compounds.</w:t>
      </w:r>
    </w:p>
    <w:p w14:paraId="56919DB7" w14:textId="67D2345F" w:rsidR="00B43CA2" w:rsidRPr="002C54E3" w:rsidRDefault="00B43CA2" w:rsidP="00902971">
      <w:pPr>
        <w:pStyle w:val="Normalnumber"/>
        <w:numPr>
          <w:ilvl w:val="0"/>
          <w:numId w:val="6"/>
        </w:numPr>
      </w:pPr>
      <w:r w:rsidRPr="0066214E">
        <w:t>Opportunities for cooperative activities with ILO have been more limited in this period</w:t>
      </w:r>
      <w:r w:rsidR="00A646A5">
        <w:t>. H</w:t>
      </w:r>
      <w:r w:rsidRPr="002C54E3">
        <w:t>owever</w:t>
      </w:r>
      <w:r w:rsidR="00C84728">
        <w:t>,</w:t>
      </w:r>
      <w:r w:rsidRPr="002C54E3">
        <w:t xml:space="preserve"> the secretariat continues to engage with the organization through </w:t>
      </w:r>
      <w:r w:rsidR="00A646A5" w:rsidRPr="002C54E3">
        <w:t>the Inter-Organization Programme for the Sound Management of Chemicals</w:t>
      </w:r>
      <w:r w:rsidR="00A646A5">
        <w:t>,</w:t>
      </w:r>
      <w:r w:rsidR="00A646A5" w:rsidRPr="002C54E3">
        <w:t xml:space="preserve"> </w:t>
      </w:r>
      <w:r w:rsidRPr="002C54E3">
        <w:t xml:space="preserve">the </w:t>
      </w:r>
      <w:r w:rsidR="006A69F1" w:rsidRPr="002C54E3">
        <w:t xml:space="preserve">international </w:t>
      </w:r>
      <w:r w:rsidRPr="002C54E3">
        <w:t>coordinating mechanism on chemicals management.</w:t>
      </w:r>
    </w:p>
    <w:p w14:paraId="795D78F8" w14:textId="126647E0" w:rsidR="000D283C" w:rsidRPr="000D283C" w:rsidRDefault="00902971" w:rsidP="00902971">
      <w:pPr>
        <w:pStyle w:val="CH3"/>
        <w:spacing w:before="160" w:after="160"/>
      </w:pPr>
      <w:r>
        <w:tab/>
      </w:r>
      <w:r>
        <w:tab/>
      </w:r>
      <w:r w:rsidR="000D283C" w:rsidRPr="000D283C">
        <w:t>Suggested action by the Conference of the Parties</w:t>
      </w:r>
    </w:p>
    <w:p w14:paraId="6BD43B23" w14:textId="5B43F960" w:rsidR="00C72E49" w:rsidRPr="00C0279E" w:rsidRDefault="000D283C" w:rsidP="00902971">
      <w:pPr>
        <w:pStyle w:val="Normalnumber"/>
        <w:numPr>
          <w:ilvl w:val="0"/>
          <w:numId w:val="6"/>
        </w:numPr>
        <w:rPr>
          <w:rFonts w:asciiTheme="majorBidi" w:hAnsiTheme="majorBidi" w:cstheme="majorBidi"/>
        </w:rPr>
      </w:pPr>
      <w:r w:rsidRPr="000D283C">
        <w:rPr>
          <w:rFonts w:asciiTheme="majorBidi" w:hAnsiTheme="majorBidi" w:cstheme="majorBidi"/>
        </w:rPr>
        <w:t xml:space="preserve">The Conference of the Parties may wish to request the secretariat to continue active </w:t>
      </w:r>
      <w:r w:rsidRPr="002C54E3">
        <w:t xml:space="preserve">cooperation and collaboration on </w:t>
      </w:r>
      <w:r w:rsidR="00C84728" w:rsidRPr="002C54E3">
        <w:t>health</w:t>
      </w:r>
      <w:r w:rsidR="00C84728">
        <w:t>-</w:t>
      </w:r>
      <w:r w:rsidRPr="002C54E3">
        <w:t xml:space="preserve">related issues with the relevant intergovernmental organizations, in particular WHO and ILO. The Conference of the Parties may wish to consider ways </w:t>
      </w:r>
      <w:r w:rsidR="00A646A5">
        <w:t xml:space="preserve">in which </w:t>
      </w:r>
      <w:r w:rsidRPr="002C54E3">
        <w:t xml:space="preserve">to operationalize the implementation of </w:t>
      </w:r>
      <w:r w:rsidR="00C84728" w:rsidRPr="002C54E3">
        <w:t>paragraph 2</w:t>
      </w:r>
      <w:r w:rsidR="00C84728">
        <w:t xml:space="preserve"> of a</w:t>
      </w:r>
      <w:r w:rsidR="00C84728" w:rsidRPr="002C54E3">
        <w:t xml:space="preserve">rticle </w:t>
      </w:r>
      <w:r w:rsidRPr="002C54E3">
        <w:t>16, including the possibility of formalizing cooperative arrangements</w:t>
      </w:r>
      <w:r w:rsidRPr="001314BD">
        <w:t>.</w:t>
      </w:r>
      <w:r w:rsidRPr="001314BD">
        <w:rPr>
          <w:rFonts w:asciiTheme="majorBidi" w:hAnsiTheme="majorBidi" w:cstheme="majorBidi"/>
        </w:rPr>
        <w:t xml:space="preserve"> </w:t>
      </w:r>
    </w:p>
    <w:p w14:paraId="3725E63F" w14:textId="77777777" w:rsidR="00480343" w:rsidRPr="000D283C" w:rsidRDefault="00480343">
      <w:pPr>
        <w:tabs>
          <w:tab w:val="clear" w:pos="1247"/>
          <w:tab w:val="clear" w:pos="1814"/>
          <w:tab w:val="clear" w:pos="2381"/>
          <w:tab w:val="clear" w:pos="2948"/>
          <w:tab w:val="clear" w:pos="3515"/>
        </w:tabs>
        <w:rPr>
          <w:b/>
        </w:rPr>
      </w:pPr>
      <w:r w:rsidRPr="000D283C">
        <w:br w:type="page"/>
      </w:r>
    </w:p>
    <w:p w14:paraId="0B416F60" w14:textId="59C2AC51" w:rsidR="00480343" w:rsidRDefault="00480343" w:rsidP="002C54E3">
      <w:pPr>
        <w:pStyle w:val="ZZAnxheader"/>
      </w:pPr>
      <w:r>
        <w:lastRenderedPageBreak/>
        <w:t>Annex</w:t>
      </w:r>
    </w:p>
    <w:p w14:paraId="0B100D4C" w14:textId="77777777" w:rsidR="002C54E3" w:rsidRDefault="00B43CA2" w:rsidP="002C54E3">
      <w:pPr>
        <w:pStyle w:val="ZZAnxtitle"/>
      </w:pPr>
      <w:r w:rsidRPr="002C54E3">
        <w:t>Work of the World Health Organization relevant to the Minamata Convention</w:t>
      </w:r>
      <w:r w:rsidR="000D283C" w:rsidRPr="002C54E3">
        <w:t xml:space="preserve"> on Mercury</w:t>
      </w:r>
    </w:p>
    <w:p w14:paraId="058668FF" w14:textId="6D9A0E96" w:rsidR="002C54E3" w:rsidRPr="0066214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sidRPr="000D283C">
        <w:t xml:space="preserve">Collaboration between the World Health Organization </w:t>
      </w:r>
      <w:r w:rsidR="00773959">
        <w:t xml:space="preserve">(WHO) </w:t>
      </w:r>
      <w:r w:rsidRPr="000D283C">
        <w:t xml:space="preserve">and the Conference of the Parties </w:t>
      </w:r>
      <w:r w:rsidR="000B6A26">
        <w:t xml:space="preserve">to </w:t>
      </w:r>
      <w:r w:rsidRPr="000D283C">
        <w:t xml:space="preserve">and </w:t>
      </w:r>
      <w:r w:rsidR="00773959">
        <w:t>s</w:t>
      </w:r>
      <w:r w:rsidR="00773959" w:rsidRPr="000D283C">
        <w:t xml:space="preserve">ecretariat </w:t>
      </w:r>
      <w:r w:rsidRPr="000D283C">
        <w:t xml:space="preserve">of the Minamata Convention </w:t>
      </w:r>
      <w:r w:rsidR="00773959">
        <w:t xml:space="preserve">on Mercury </w:t>
      </w:r>
      <w:r w:rsidRPr="000D283C">
        <w:t>stems from the Convention text</w:t>
      </w:r>
      <w:r w:rsidR="00773959">
        <w:t>,</w:t>
      </w:r>
      <w:r w:rsidRPr="000D283C">
        <w:t xml:space="preserve"> in particular </w:t>
      </w:r>
      <w:r w:rsidR="00773959">
        <w:t>paragraph 2 of a</w:t>
      </w:r>
      <w:r w:rsidRPr="000D283C">
        <w:t>rticle 16</w:t>
      </w:r>
      <w:r w:rsidR="00773959">
        <w:t xml:space="preserve">; </w:t>
      </w:r>
      <w:r w:rsidR="00400D8A">
        <w:t xml:space="preserve">the </w:t>
      </w:r>
      <w:r w:rsidR="00773959">
        <w:t>r</w:t>
      </w:r>
      <w:r w:rsidRPr="000D283C">
        <w:t xml:space="preserve">esolution </w:t>
      </w:r>
      <w:r w:rsidR="00400D8A">
        <w:t>on matters pertaining to other international bodies</w:t>
      </w:r>
      <w:r w:rsidR="00400D8A" w:rsidRPr="000D283C">
        <w:t xml:space="preserve"> </w:t>
      </w:r>
      <w:r w:rsidRPr="000D283C">
        <w:t>of the Conference of the Plenipotentiaries</w:t>
      </w:r>
      <w:r w:rsidR="00773959">
        <w:t>;</w:t>
      </w:r>
      <w:r w:rsidRPr="000D283C">
        <w:t xml:space="preserve"> and World Health Assembly (WHA) </w:t>
      </w:r>
      <w:r w:rsidR="00773959">
        <w:t>r</w:t>
      </w:r>
      <w:r w:rsidR="00773959" w:rsidRPr="000D283C">
        <w:t xml:space="preserve">esolution </w:t>
      </w:r>
      <w:r w:rsidRPr="000D283C">
        <w:t>WHA67.11</w:t>
      </w:r>
      <w:r w:rsidR="00773959">
        <w:t xml:space="preserve"> on </w:t>
      </w:r>
      <w:r w:rsidR="00773959" w:rsidRPr="0066214E">
        <w:t>p</w:t>
      </w:r>
      <w:r w:rsidRPr="00A03C49">
        <w:rPr>
          <w:iCs/>
        </w:rPr>
        <w:t>ublic health impacts of exposure to mercury and mercury compounds: the role of</w:t>
      </w:r>
      <w:r w:rsidR="00E96087" w:rsidRPr="00A03C49">
        <w:rPr>
          <w:iCs/>
        </w:rPr>
        <w:t xml:space="preserve"> </w:t>
      </w:r>
      <w:r w:rsidRPr="00A03C49">
        <w:rPr>
          <w:iCs/>
        </w:rPr>
        <w:t>WHO and ministries of public health in the implementation of the Minamata Convention</w:t>
      </w:r>
      <w:r w:rsidRPr="0066214E">
        <w:t>.</w:t>
      </w:r>
    </w:p>
    <w:p w14:paraId="6DCA2084" w14:textId="77EE096B" w:rsidR="00B43CA2" w:rsidRPr="002C54E3" w:rsidRDefault="0066214E"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sidRPr="005D3010">
        <w:rPr>
          <w:rFonts w:asciiTheme="majorBidi" w:hAnsiTheme="majorBidi" w:cstheme="majorBidi"/>
          <w:color w:val="000000" w:themeColor="text1"/>
        </w:rPr>
        <w:t>I</w:t>
      </w:r>
      <w:r w:rsidR="00B43CA2" w:rsidRPr="005D3010">
        <w:rPr>
          <w:rFonts w:asciiTheme="majorBidi" w:hAnsiTheme="majorBidi" w:cstheme="majorBidi"/>
          <w:color w:val="000000" w:themeColor="text1"/>
        </w:rPr>
        <w:t xml:space="preserve">n the period </w:t>
      </w:r>
      <w:r w:rsidR="00773959" w:rsidRPr="005D3010">
        <w:rPr>
          <w:rFonts w:asciiTheme="majorBidi" w:hAnsiTheme="majorBidi" w:cstheme="majorBidi"/>
          <w:color w:val="000000" w:themeColor="text1"/>
        </w:rPr>
        <w:t xml:space="preserve">from </w:t>
      </w:r>
      <w:r w:rsidR="00B43CA2" w:rsidRPr="0066214E">
        <w:rPr>
          <w:rFonts w:asciiTheme="majorBidi" w:hAnsiTheme="majorBidi" w:cstheme="majorBidi"/>
          <w:color w:val="000000" w:themeColor="text1"/>
        </w:rPr>
        <w:t>June</w:t>
      </w:r>
      <w:r w:rsidR="00B43CA2" w:rsidRPr="002C54E3">
        <w:rPr>
          <w:rFonts w:asciiTheme="majorBidi" w:hAnsiTheme="majorBidi" w:cstheme="majorBidi"/>
          <w:color w:val="000000" w:themeColor="text1"/>
        </w:rPr>
        <w:t xml:space="preserve"> 2017 to July 2018</w:t>
      </w:r>
      <w:r w:rsidR="00EA45C6">
        <w:rPr>
          <w:rFonts w:asciiTheme="majorBidi" w:hAnsiTheme="majorBidi" w:cstheme="majorBidi"/>
          <w:color w:val="000000" w:themeColor="text1"/>
        </w:rPr>
        <w:t>,</w:t>
      </w:r>
      <w:r w:rsidR="00B43CA2" w:rsidRPr="002C54E3">
        <w:rPr>
          <w:rFonts w:asciiTheme="majorBidi" w:hAnsiTheme="majorBidi" w:cstheme="majorBidi"/>
          <w:color w:val="000000" w:themeColor="text1"/>
        </w:rPr>
        <w:t xml:space="preserve"> WHO activities </w:t>
      </w:r>
      <w:r>
        <w:rPr>
          <w:rFonts w:asciiTheme="majorBidi" w:hAnsiTheme="majorBidi" w:cstheme="majorBidi"/>
          <w:color w:val="000000" w:themeColor="text1"/>
        </w:rPr>
        <w:t xml:space="preserve">relevant to the Minamata Convention </w:t>
      </w:r>
      <w:r w:rsidR="00B43CA2" w:rsidRPr="002C54E3">
        <w:rPr>
          <w:rFonts w:asciiTheme="majorBidi" w:hAnsiTheme="majorBidi" w:cstheme="majorBidi"/>
          <w:color w:val="000000" w:themeColor="text1"/>
        </w:rPr>
        <w:t>have focused on the following</w:t>
      </w:r>
      <w:r w:rsidR="00A646A5">
        <w:rPr>
          <w:rFonts w:asciiTheme="majorBidi" w:hAnsiTheme="majorBidi" w:cstheme="majorBidi"/>
          <w:color w:val="000000" w:themeColor="text1"/>
        </w:rPr>
        <w:t>.</w:t>
      </w:r>
      <w:r w:rsidR="00B43CA2" w:rsidRPr="002C54E3">
        <w:rPr>
          <w:rFonts w:asciiTheme="majorBidi" w:hAnsiTheme="majorBidi" w:cstheme="majorBidi"/>
          <w:color w:val="000000" w:themeColor="text1"/>
        </w:rPr>
        <w:t xml:space="preserve"> </w:t>
      </w:r>
    </w:p>
    <w:p w14:paraId="1D1C0507" w14:textId="01EC46CF" w:rsidR="00B43CA2" w:rsidRPr="000D283C" w:rsidRDefault="00902971" w:rsidP="00902971">
      <w:pPr>
        <w:pStyle w:val="CH3"/>
      </w:pPr>
      <w:r>
        <w:tab/>
      </w:r>
      <w:r>
        <w:tab/>
      </w:r>
      <w:r w:rsidR="00B43CA2" w:rsidRPr="000D283C">
        <w:t xml:space="preserve">WHO </w:t>
      </w:r>
      <w:r w:rsidR="00773959">
        <w:t>g</w:t>
      </w:r>
      <w:r w:rsidR="00B43CA2" w:rsidRPr="000D283C">
        <w:t>uidance on prioritization and planning for implementation of the health-related articles of the Minamata Convention</w:t>
      </w:r>
    </w:p>
    <w:p w14:paraId="413167FC" w14:textId="71A8FD2E" w:rsidR="00B43CA2" w:rsidRPr="000D283C" w:rsidRDefault="00EA45C6"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Pr>
          <w:rFonts w:asciiTheme="majorBidi" w:hAnsiTheme="majorBidi" w:cstheme="majorBidi"/>
          <w:color w:val="000000" w:themeColor="text1"/>
        </w:rPr>
        <w:t>Owing</w:t>
      </w:r>
      <w:r w:rsidRPr="000D283C">
        <w:rPr>
          <w:rFonts w:asciiTheme="majorBidi" w:hAnsiTheme="majorBidi" w:cstheme="majorBidi"/>
          <w:color w:val="000000" w:themeColor="text1"/>
        </w:rPr>
        <w:t xml:space="preserve"> </w:t>
      </w:r>
      <w:r w:rsidR="00B43CA2" w:rsidRPr="000D283C">
        <w:rPr>
          <w:rFonts w:asciiTheme="majorBidi" w:hAnsiTheme="majorBidi" w:cstheme="majorBidi"/>
          <w:color w:val="000000" w:themeColor="text1"/>
        </w:rPr>
        <w:t>to the multiple roles required of ministries of health in implementing the Minamata Convention, WHO is developing guidance on overall prioritization and planning for implementation of the health-related articles of the Convention.</w:t>
      </w:r>
      <w:r w:rsidR="00E96087">
        <w:rPr>
          <w:rFonts w:asciiTheme="majorBidi" w:hAnsiTheme="majorBidi" w:cstheme="majorBidi"/>
          <w:color w:val="000000" w:themeColor="text1"/>
        </w:rPr>
        <w:t xml:space="preserve"> </w:t>
      </w:r>
      <w:r w:rsidR="00B43CA2" w:rsidRPr="000D283C">
        <w:rPr>
          <w:rFonts w:asciiTheme="majorBidi" w:hAnsiTheme="majorBidi" w:cstheme="majorBidi"/>
          <w:color w:val="000000" w:themeColor="text1"/>
        </w:rPr>
        <w:t xml:space="preserve">This short “umbrella” document will reference technical guidance </w:t>
      </w:r>
      <w:r w:rsidR="0066214E" w:rsidRPr="000D283C">
        <w:rPr>
          <w:rFonts w:asciiTheme="majorBidi" w:hAnsiTheme="majorBidi" w:cstheme="majorBidi"/>
          <w:color w:val="000000" w:themeColor="text1"/>
        </w:rPr>
        <w:t xml:space="preserve">already prepared </w:t>
      </w:r>
      <w:r w:rsidR="0066214E">
        <w:rPr>
          <w:rFonts w:asciiTheme="majorBidi" w:hAnsiTheme="majorBidi" w:cstheme="majorBidi"/>
          <w:color w:val="000000" w:themeColor="text1"/>
        </w:rPr>
        <w:t xml:space="preserve">by </w:t>
      </w:r>
      <w:r w:rsidR="0066214E" w:rsidRPr="000D283C">
        <w:rPr>
          <w:rFonts w:asciiTheme="majorBidi" w:hAnsiTheme="majorBidi" w:cstheme="majorBidi"/>
          <w:color w:val="000000" w:themeColor="text1"/>
        </w:rPr>
        <w:t xml:space="preserve">WHO </w:t>
      </w:r>
      <w:r w:rsidR="00B43CA2" w:rsidRPr="000D283C">
        <w:rPr>
          <w:rFonts w:asciiTheme="majorBidi" w:hAnsiTheme="majorBidi" w:cstheme="majorBidi"/>
          <w:color w:val="000000" w:themeColor="text1"/>
        </w:rPr>
        <w:t xml:space="preserve">and provide additional guidance on </w:t>
      </w:r>
      <w:r w:rsidR="0066214E">
        <w:rPr>
          <w:rFonts w:asciiTheme="majorBidi" w:hAnsiTheme="majorBidi" w:cstheme="majorBidi"/>
          <w:color w:val="000000" w:themeColor="text1"/>
        </w:rPr>
        <w:t xml:space="preserve">the </w:t>
      </w:r>
      <w:r w:rsidR="00B43CA2" w:rsidRPr="000D283C">
        <w:rPr>
          <w:rFonts w:asciiTheme="majorBidi" w:hAnsiTheme="majorBidi" w:cstheme="majorBidi"/>
          <w:color w:val="000000" w:themeColor="text1"/>
        </w:rPr>
        <w:t xml:space="preserve">mainstreaming of mercury actions into various health programmes in support of </w:t>
      </w:r>
      <w:r w:rsidR="0066214E">
        <w:rPr>
          <w:rFonts w:asciiTheme="majorBidi" w:hAnsiTheme="majorBidi" w:cstheme="majorBidi"/>
          <w:color w:val="000000" w:themeColor="text1"/>
        </w:rPr>
        <w:t>a</w:t>
      </w:r>
      <w:r w:rsidR="0066214E" w:rsidRPr="000D283C">
        <w:rPr>
          <w:rFonts w:asciiTheme="majorBidi" w:hAnsiTheme="majorBidi" w:cstheme="majorBidi"/>
          <w:color w:val="000000" w:themeColor="text1"/>
        </w:rPr>
        <w:t xml:space="preserve">rticle </w:t>
      </w:r>
      <w:r w:rsidR="00B43CA2" w:rsidRPr="000D283C">
        <w:rPr>
          <w:rFonts w:asciiTheme="majorBidi" w:hAnsiTheme="majorBidi" w:cstheme="majorBidi"/>
          <w:color w:val="000000" w:themeColor="text1"/>
        </w:rPr>
        <w:t xml:space="preserve">16 on </w:t>
      </w:r>
      <w:r w:rsidR="0066214E">
        <w:rPr>
          <w:rFonts w:asciiTheme="majorBidi" w:hAnsiTheme="majorBidi" w:cstheme="majorBidi"/>
          <w:color w:val="000000" w:themeColor="text1"/>
        </w:rPr>
        <w:t>h</w:t>
      </w:r>
      <w:r w:rsidR="0066214E" w:rsidRPr="000D283C">
        <w:rPr>
          <w:rFonts w:asciiTheme="majorBidi" w:hAnsiTheme="majorBidi" w:cstheme="majorBidi"/>
          <w:color w:val="000000" w:themeColor="text1"/>
        </w:rPr>
        <w:t xml:space="preserve">ealth </w:t>
      </w:r>
      <w:r w:rsidR="0066214E">
        <w:rPr>
          <w:rFonts w:asciiTheme="majorBidi" w:hAnsiTheme="majorBidi" w:cstheme="majorBidi"/>
          <w:color w:val="000000" w:themeColor="text1"/>
        </w:rPr>
        <w:t>a</w:t>
      </w:r>
      <w:r w:rsidR="0066214E" w:rsidRPr="000D283C">
        <w:rPr>
          <w:rFonts w:asciiTheme="majorBidi" w:hAnsiTheme="majorBidi" w:cstheme="majorBidi"/>
          <w:color w:val="000000" w:themeColor="text1"/>
        </w:rPr>
        <w:t>spects</w:t>
      </w:r>
      <w:r w:rsidR="00B43CA2" w:rsidRPr="000D283C">
        <w:rPr>
          <w:rFonts w:asciiTheme="majorBidi" w:hAnsiTheme="majorBidi" w:cstheme="majorBidi"/>
          <w:color w:val="000000" w:themeColor="text1"/>
        </w:rPr>
        <w:t xml:space="preserve">. </w:t>
      </w:r>
    </w:p>
    <w:p w14:paraId="03567BFC" w14:textId="7B05B316" w:rsidR="00B43CA2" w:rsidRPr="000D283C" w:rsidRDefault="00902971" w:rsidP="00902971">
      <w:pPr>
        <w:pStyle w:val="CH3"/>
      </w:pPr>
      <w:r>
        <w:tab/>
      </w:r>
      <w:r>
        <w:tab/>
      </w:r>
      <w:r w:rsidR="00B43CA2" w:rsidRPr="000D283C">
        <w:t xml:space="preserve">Regional </w:t>
      </w:r>
      <w:r w:rsidR="0066214E">
        <w:t>w</w:t>
      </w:r>
      <w:r w:rsidR="0066214E" w:rsidRPr="000D283C">
        <w:t xml:space="preserve">orkshops </w:t>
      </w:r>
      <w:r w:rsidR="00B43CA2" w:rsidRPr="000D283C">
        <w:t>convened by WHO</w:t>
      </w:r>
    </w:p>
    <w:p w14:paraId="34CE5C5B" w14:textId="47983257" w:rsidR="00B43CA2" w:rsidRPr="00902971"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sidRPr="000D283C">
        <w:rPr>
          <w:rFonts w:asciiTheme="majorBidi" w:hAnsiTheme="majorBidi" w:cstheme="majorBidi"/>
          <w:color w:val="000000" w:themeColor="text1"/>
          <w:lang w:val="en-US" w:eastAsia="fr-CH"/>
        </w:rPr>
        <w:t>WHO has completed a series of regional workshops to raise awareness and promote networking among ministries of health to sup</w:t>
      </w:r>
      <w:r w:rsidRPr="00902971">
        <w:rPr>
          <w:rFonts w:asciiTheme="majorBidi" w:hAnsiTheme="majorBidi" w:cstheme="majorBidi"/>
          <w:color w:val="000000" w:themeColor="text1"/>
        </w:rPr>
        <w:t xml:space="preserve">port the implementation of the </w:t>
      </w:r>
      <w:r w:rsidR="0066214E">
        <w:rPr>
          <w:rFonts w:asciiTheme="majorBidi" w:hAnsiTheme="majorBidi" w:cstheme="majorBidi"/>
          <w:color w:val="000000" w:themeColor="text1"/>
        </w:rPr>
        <w:t xml:space="preserve">Minamata </w:t>
      </w:r>
      <w:r w:rsidRPr="00902971">
        <w:rPr>
          <w:rFonts w:asciiTheme="majorBidi" w:hAnsiTheme="majorBidi" w:cstheme="majorBidi"/>
          <w:color w:val="000000" w:themeColor="text1"/>
        </w:rPr>
        <w:t xml:space="preserve">Convention and </w:t>
      </w:r>
      <w:r w:rsidR="0066214E">
        <w:rPr>
          <w:rFonts w:asciiTheme="majorBidi" w:hAnsiTheme="majorBidi" w:cstheme="majorBidi"/>
          <w:color w:val="000000" w:themeColor="text1"/>
        </w:rPr>
        <w:t>r</w:t>
      </w:r>
      <w:r w:rsidR="0066214E" w:rsidRPr="00902971">
        <w:rPr>
          <w:rFonts w:asciiTheme="majorBidi" w:hAnsiTheme="majorBidi" w:cstheme="majorBidi"/>
          <w:color w:val="000000" w:themeColor="text1"/>
        </w:rPr>
        <w:t xml:space="preserve">esolution </w:t>
      </w:r>
      <w:r w:rsidR="0066214E">
        <w:rPr>
          <w:rFonts w:asciiTheme="majorBidi" w:hAnsiTheme="majorBidi" w:cstheme="majorBidi"/>
          <w:color w:val="000000" w:themeColor="text1"/>
        </w:rPr>
        <w:t>WHA</w:t>
      </w:r>
      <w:r w:rsidRPr="00902971">
        <w:rPr>
          <w:rFonts w:asciiTheme="majorBidi" w:hAnsiTheme="majorBidi" w:cstheme="majorBidi"/>
          <w:color w:val="000000" w:themeColor="text1"/>
        </w:rPr>
        <w:t xml:space="preserve">67.11. </w:t>
      </w:r>
    </w:p>
    <w:p w14:paraId="5451266F" w14:textId="0845AD6B"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n-US" w:eastAsia="fr-CH"/>
        </w:rPr>
      </w:pPr>
      <w:r w:rsidRPr="00902971">
        <w:rPr>
          <w:rFonts w:asciiTheme="majorBidi" w:hAnsiTheme="majorBidi" w:cstheme="majorBidi"/>
          <w:color w:val="000000" w:themeColor="text1"/>
        </w:rPr>
        <w:t>Further to earl</w:t>
      </w:r>
      <w:r w:rsidR="00CA2F0C" w:rsidRPr="00902971">
        <w:rPr>
          <w:rFonts w:asciiTheme="majorBidi" w:hAnsiTheme="majorBidi" w:cstheme="majorBidi"/>
          <w:color w:val="000000" w:themeColor="text1"/>
        </w:rPr>
        <w:t>i</w:t>
      </w:r>
      <w:r w:rsidRPr="00902971">
        <w:rPr>
          <w:rFonts w:asciiTheme="majorBidi" w:hAnsiTheme="majorBidi" w:cstheme="majorBidi"/>
          <w:color w:val="000000" w:themeColor="text1"/>
        </w:rPr>
        <w:t xml:space="preserve">er workshops for the WHO </w:t>
      </w:r>
      <w:r w:rsidR="0066214E">
        <w:rPr>
          <w:rFonts w:asciiTheme="majorBidi" w:hAnsiTheme="majorBidi" w:cstheme="majorBidi"/>
          <w:color w:val="000000" w:themeColor="text1"/>
        </w:rPr>
        <w:t>r</w:t>
      </w:r>
      <w:r w:rsidR="0066214E" w:rsidRPr="00902971">
        <w:rPr>
          <w:rFonts w:asciiTheme="majorBidi" w:hAnsiTheme="majorBidi" w:cstheme="majorBidi"/>
          <w:color w:val="000000" w:themeColor="text1"/>
        </w:rPr>
        <w:t xml:space="preserve">egions </w:t>
      </w:r>
      <w:r w:rsidR="0066214E">
        <w:rPr>
          <w:rFonts w:asciiTheme="majorBidi" w:hAnsiTheme="majorBidi" w:cstheme="majorBidi"/>
          <w:color w:val="000000" w:themeColor="text1"/>
        </w:rPr>
        <w:t>of</w:t>
      </w:r>
      <w:r w:rsidR="0066214E" w:rsidRPr="00902971">
        <w:rPr>
          <w:rFonts w:asciiTheme="majorBidi" w:hAnsiTheme="majorBidi" w:cstheme="majorBidi"/>
          <w:color w:val="000000" w:themeColor="text1"/>
        </w:rPr>
        <w:t xml:space="preserve"> </w:t>
      </w:r>
      <w:r w:rsidRPr="00902971">
        <w:rPr>
          <w:rFonts w:asciiTheme="majorBidi" w:hAnsiTheme="majorBidi" w:cstheme="majorBidi"/>
          <w:color w:val="000000" w:themeColor="text1"/>
        </w:rPr>
        <w:t>the Americas, Europe</w:t>
      </w:r>
      <w:r w:rsidR="00CF51F6">
        <w:rPr>
          <w:rFonts w:asciiTheme="majorBidi" w:hAnsiTheme="majorBidi" w:cstheme="majorBidi"/>
          <w:color w:val="000000" w:themeColor="text1"/>
        </w:rPr>
        <w:t>,</w:t>
      </w:r>
      <w:r w:rsidRPr="00902971">
        <w:rPr>
          <w:rFonts w:asciiTheme="majorBidi" w:hAnsiTheme="majorBidi" w:cstheme="majorBidi"/>
          <w:color w:val="000000" w:themeColor="text1"/>
        </w:rPr>
        <w:t xml:space="preserve"> and </w:t>
      </w:r>
      <w:r w:rsidR="0066214E">
        <w:rPr>
          <w:rFonts w:asciiTheme="majorBidi" w:hAnsiTheme="majorBidi" w:cstheme="majorBidi"/>
          <w:color w:val="000000" w:themeColor="text1"/>
        </w:rPr>
        <w:t xml:space="preserve">the </w:t>
      </w:r>
      <w:r w:rsidRPr="00902971">
        <w:rPr>
          <w:rFonts w:asciiTheme="majorBidi" w:hAnsiTheme="majorBidi" w:cstheme="majorBidi"/>
          <w:color w:val="000000" w:themeColor="text1"/>
        </w:rPr>
        <w:t>Eastern Mediterranean, workshop</w:t>
      </w:r>
      <w:r w:rsidR="00A646A5">
        <w:rPr>
          <w:rFonts w:asciiTheme="majorBidi" w:hAnsiTheme="majorBidi" w:cstheme="majorBidi"/>
          <w:color w:val="000000" w:themeColor="text1"/>
        </w:rPr>
        <w:t>s</w:t>
      </w:r>
      <w:r w:rsidRPr="00902971">
        <w:rPr>
          <w:rFonts w:asciiTheme="majorBidi" w:hAnsiTheme="majorBidi" w:cstheme="majorBidi"/>
          <w:color w:val="000000" w:themeColor="text1"/>
        </w:rPr>
        <w:t xml:space="preserve"> w</w:t>
      </w:r>
      <w:r w:rsidR="00A646A5">
        <w:rPr>
          <w:rFonts w:asciiTheme="majorBidi" w:hAnsiTheme="majorBidi" w:cstheme="majorBidi"/>
          <w:color w:val="000000" w:themeColor="text1"/>
        </w:rPr>
        <w:t>ere</w:t>
      </w:r>
      <w:r w:rsidRPr="00902971">
        <w:rPr>
          <w:rFonts w:asciiTheme="majorBidi" w:hAnsiTheme="majorBidi" w:cstheme="majorBidi"/>
          <w:color w:val="000000" w:themeColor="text1"/>
        </w:rPr>
        <w:t xml:space="preserve"> held for the WHO Western Pacific </w:t>
      </w:r>
      <w:r w:rsidR="000B6A26">
        <w:rPr>
          <w:rFonts w:asciiTheme="majorBidi" w:hAnsiTheme="majorBidi" w:cstheme="majorBidi"/>
          <w:color w:val="000000" w:themeColor="text1"/>
        </w:rPr>
        <w:t>r</w:t>
      </w:r>
      <w:r w:rsidRPr="00902971">
        <w:rPr>
          <w:rFonts w:asciiTheme="majorBidi" w:hAnsiTheme="majorBidi" w:cstheme="majorBidi"/>
          <w:color w:val="000000" w:themeColor="text1"/>
        </w:rPr>
        <w:t>egion in Minamata, Japan, on 29</w:t>
      </w:r>
      <w:r w:rsidR="00336A10">
        <w:rPr>
          <w:rFonts w:asciiTheme="majorBidi" w:hAnsiTheme="majorBidi" w:cstheme="majorBidi"/>
          <w:color w:val="000000" w:themeColor="text1"/>
        </w:rPr>
        <w:t> </w:t>
      </w:r>
      <w:r w:rsidR="007C4DBF">
        <w:rPr>
          <w:rFonts w:asciiTheme="majorBidi" w:hAnsiTheme="majorBidi" w:cstheme="majorBidi"/>
          <w:color w:val="000000" w:themeColor="text1"/>
        </w:rPr>
        <w:t xml:space="preserve">and </w:t>
      </w:r>
      <w:r w:rsidRPr="00902971">
        <w:rPr>
          <w:rFonts w:asciiTheme="majorBidi" w:hAnsiTheme="majorBidi" w:cstheme="majorBidi"/>
          <w:color w:val="000000" w:themeColor="text1"/>
        </w:rPr>
        <w:t xml:space="preserve">30 June 2017, co-organized by WHO, the Ministry of the Environment of Japan and the Minamata </w:t>
      </w:r>
      <w:r w:rsidR="000B6A26">
        <w:rPr>
          <w:rFonts w:asciiTheme="majorBidi" w:hAnsiTheme="majorBidi" w:cstheme="majorBidi"/>
          <w:color w:val="000000" w:themeColor="text1"/>
        </w:rPr>
        <w:t>c</w:t>
      </w:r>
      <w:r w:rsidRPr="00902971">
        <w:rPr>
          <w:rFonts w:asciiTheme="majorBidi" w:hAnsiTheme="majorBidi" w:cstheme="majorBidi"/>
          <w:color w:val="000000" w:themeColor="text1"/>
        </w:rPr>
        <w:t xml:space="preserve">ity </w:t>
      </w:r>
      <w:r w:rsidR="000B6A26">
        <w:rPr>
          <w:rFonts w:asciiTheme="majorBidi" w:hAnsiTheme="majorBidi" w:cstheme="majorBidi"/>
          <w:color w:val="000000" w:themeColor="text1"/>
        </w:rPr>
        <w:t>g</w:t>
      </w:r>
      <w:r w:rsidRPr="00902971">
        <w:rPr>
          <w:rFonts w:asciiTheme="majorBidi" w:hAnsiTheme="majorBidi" w:cstheme="majorBidi"/>
          <w:color w:val="000000" w:themeColor="text1"/>
        </w:rPr>
        <w:t>overnment</w:t>
      </w:r>
      <w:r w:rsidR="00A646A5">
        <w:rPr>
          <w:rFonts w:asciiTheme="majorBidi" w:hAnsiTheme="majorBidi" w:cstheme="majorBidi"/>
          <w:color w:val="000000" w:themeColor="text1"/>
        </w:rPr>
        <w:t xml:space="preserve">; for </w:t>
      </w:r>
      <w:r w:rsidRPr="00902971">
        <w:rPr>
          <w:rFonts w:asciiTheme="majorBidi" w:hAnsiTheme="majorBidi" w:cstheme="majorBidi"/>
          <w:color w:val="000000" w:themeColor="text1"/>
        </w:rPr>
        <w:t xml:space="preserve">the WHO </w:t>
      </w:r>
      <w:r w:rsidRPr="000D283C">
        <w:rPr>
          <w:rFonts w:asciiTheme="majorBidi" w:hAnsiTheme="majorBidi" w:cstheme="majorBidi"/>
          <w:iCs/>
          <w:color w:val="000000" w:themeColor="text1"/>
        </w:rPr>
        <w:t xml:space="preserve">South-East Asia </w:t>
      </w:r>
      <w:r w:rsidR="000B6A26">
        <w:rPr>
          <w:rFonts w:asciiTheme="majorBidi" w:hAnsiTheme="majorBidi" w:cstheme="majorBidi"/>
          <w:iCs/>
          <w:color w:val="000000" w:themeColor="text1"/>
        </w:rPr>
        <w:t>r</w:t>
      </w:r>
      <w:r w:rsidRPr="000D283C">
        <w:rPr>
          <w:rFonts w:asciiTheme="majorBidi" w:hAnsiTheme="majorBidi" w:cstheme="majorBidi"/>
          <w:iCs/>
          <w:color w:val="000000" w:themeColor="text1"/>
        </w:rPr>
        <w:t>egion in</w:t>
      </w:r>
      <w:r w:rsidR="00E96087">
        <w:rPr>
          <w:rFonts w:asciiTheme="majorBidi" w:hAnsiTheme="majorBidi" w:cstheme="majorBidi"/>
          <w:iCs/>
          <w:color w:val="000000" w:themeColor="text1"/>
        </w:rPr>
        <w:t xml:space="preserve"> </w:t>
      </w:r>
      <w:r w:rsidRPr="000D283C">
        <w:rPr>
          <w:rFonts w:asciiTheme="majorBidi" w:hAnsiTheme="majorBidi" w:cstheme="majorBidi"/>
          <w:color w:val="000000" w:themeColor="text1"/>
          <w:lang w:val="en-US" w:eastAsia="fr-CH"/>
        </w:rPr>
        <w:t>Bangkok</w:t>
      </w:r>
      <w:r w:rsidR="007C4DBF">
        <w:rPr>
          <w:rFonts w:asciiTheme="majorBidi" w:hAnsiTheme="majorBidi" w:cstheme="majorBidi"/>
          <w:color w:val="000000" w:themeColor="text1"/>
          <w:lang w:val="en-US" w:eastAsia="fr-CH"/>
        </w:rPr>
        <w:t xml:space="preserve"> </w:t>
      </w:r>
      <w:r w:rsidRPr="000D283C">
        <w:rPr>
          <w:rFonts w:asciiTheme="majorBidi" w:hAnsiTheme="majorBidi" w:cstheme="majorBidi"/>
          <w:color w:val="000000" w:themeColor="text1"/>
          <w:lang w:val="en-US" w:eastAsia="fr-CH"/>
        </w:rPr>
        <w:t>on 3</w:t>
      </w:r>
      <w:r w:rsidR="007C4DBF">
        <w:rPr>
          <w:rFonts w:asciiTheme="majorBidi" w:hAnsiTheme="majorBidi" w:cstheme="majorBidi"/>
          <w:color w:val="000000" w:themeColor="text1"/>
          <w:lang w:val="en-US" w:eastAsia="fr-CH"/>
        </w:rPr>
        <w:t xml:space="preserve"> and </w:t>
      </w:r>
      <w:r w:rsidRPr="000D283C">
        <w:rPr>
          <w:rFonts w:asciiTheme="majorBidi" w:hAnsiTheme="majorBidi" w:cstheme="majorBidi"/>
          <w:color w:val="000000" w:themeColor="text1"/>
          <w:lang w:val="en-US" w:eastAsia="fr-CH"/>
        </w:rPr>
        <w:t>4 July 2017</w:t>
      </w:r>
      <w:r w:rsidR="00A646A5">
        <w:rPr>
          <w:rFonts w:asciiTheme="majorBidi" w:hAnsiTheme="majorBidi" w:cstheme="majorBidi"/>
          <w:color w:val="000000" w:themeColor="text1"/>
          <w:lang w:val="en-US" w:eastAsia="fr-CH"/>
        </w:rPr>
        <w:t xml:space="preserve">; and for </w:t>
      </w:r>
      <w:r w:rsidRPr="000D283C">
        <w:rPr>
          <w:rFonts w:asciiTheme="majorBidi" w:hAnsiTheme="majorBidi" w:cstheme="majorBidi"/>
          <w:iCs/>
          <w:color w:val="000000" w:themeColor="text1"/>
        </w:rPr>
        <w:t xml:space="preserve">the Africa </w:t>
      </w:r>
      <w:r w:rsidR="000B6A26">
        <w:rPr>
          <w:rFonts w:asciiTheme="majorBidi" w:hAnsiTheme="majorBidi" w:cstheme="majorBidi"/>
          <w:iCs/>
          <w:color w:val="000000" w:themeColor="text1"/>
        </w:rPr>
        <w:t>r</w:t>
      </w:r>
      <w:r w:rsidRPr="000D283C">
        <w:rPr>
          <w:rFonts w:asciiTheme="majorBidi" w:hAnsiTheme="majorBidi" w:cstheme="majorBidi"/>
          <w:iCs/>
          <w:color w:val="000000" w:themeColor="text1"/>
        </w:rPr>
        <w:t xml:space="preserve">egion in Johannesburg, South Africa, </w:t>
      </w:r>
      <w:r w:rsidR="007C4DBF">
        <w:rPr>
          <w:rFonts w:asciiTheme="majorBidi" w:hAnsiTheme="majorBidi" w:cstheme="majorBidi"/>
          <w:iCs/>
          <w:color w:val="000000" w:themeColor="text1"/>
        </w:rPr>
        <w:t xml:space="preserve">on </w:t>
      </w:r>
      <w:r w:rsidRPr="000D283C">
        <w:rPr>
          <w:rFonts w:asciiTheme="majorBidi" w:hAnsiTheme="majorBidi" w:cstheme="majorBidi"/>
          <w:iCs/>
          <w:color w:val="000000" w:themeColor="text1"/>
        </w:rPr>
        <w:t>9</w:t>
      </w:r>
      <w:r w:rsidR="007C4DBF">
        <w:rPr>
          <w:rFonts w:asciiTheme="majorBidi" w:hAnsiTheme="majorBidi" w:cstheme="majorBidi"/>
          <w:iCs/>
          <w:color w:val="000000" w:themeColor="text1"/>
        </w:rPr>
        <w:t xml:space="preserve"> and </w:t>
      </w:r>
      <w:r w:rsidRPr="000D283C">
        <w:rPr>
          <w:rFonts w:asciiTheme="majorBidi" w:hAnsiTheme="majorBidi" w:cstheme="majorBidi"/>
          <w:iCs/>
          <w:color w:val="000000" w:themeColor="text1"/>
        </w:rPr>
        <w:t>10 April 2018.</w:t>
      </w:r>
      <w:r w:rsidR="00E96087">
        <w:rPr>
          <w:rFonts w:asciiTheme="majorBidi" w:hAnsiTheme="majorBidi" w:cstheme="majorBidi"/>
          <w:iCs/>
          <w:color w:val="000000" w:themeColor="text1"/>
        </w:rPr>
        <w:t xml:space="preserve"> </w:t>
      </w:r>
      <w:r w:rsidRPr="000D283C">
        <w:rPr>
          <w:rFonts w:asciiTheme="majorBidi" w:hAnsiTheme="majorBidi" w:cstheme="majorBidi"/>
          <w:color w:val="000000" w:themeColor="text1"/>
          <w:lang w:val="en-US" w:eastAsia="fr-CH"/>
        </w:rPr>
        <w:t>A booklet summarizing the outcomes of the WHO workshops is in preparation, for release in November 2018.</w:t>
      </w:r>
    </w:p>
    <w:p w14:paraId="4F76D694" w14:textId="6E1D1001" w:rsidR="00B43CA2" w:rsidRPr="000D283C" w:rsidRDefault="00902971" w:rsidP="00902971">
      <w:pPr>
        <w:pStyle w:val="CH3"/>
        <w:rPr>
          <w:lang w:val="en-US" w:eastAsia="fr-CH"/>
        </w:rPr>
      </w:pPr>
      <w:r>
        <w:rPr>
          <w:lang w:val="en-US" w:eastAsia="fr-CH"/>
        </w:rPr>
        <w:tab/>
      </w:r>
      <w:r>
        <w:rPr>
          <w:lang w:val="en-US" w:eastAsia="fr-CH"/>
        </w:rPr>
        <w:tab/>
      </w:r>
      <w:r w:rsidR="00B43CA2" w:rsidRPr="000D283C">
        <w:rPr>
          <w:lang w:val="en-US" w:eastAsia="fr-CH"/>
        </w:rPr>
        <w:t xml:space="preserve">Minamata </w:t>
      </w:r>
      <w:r w:rsidR="000B6A26">
        <w:rPr>
          <w:lang w:val="en-US" w:eastAsia="fr-CH"/>
        </w:rPr>
        <w:t>i</w:t>
      </w:r>
      <w:r w:rsidR="00B43CA2" w:rsidRPr="000D283C">
        <w:rPr>
          <w:lang w:val="en-US" w:eastAsia="fr-CH"/>
        </w:rPr>
        <w:t xml:space="preserve">nitial </w:t>
      </w:r>
      <w:r w:rsidR="000B6A26">
        <w:rPr>
          <w:lang w:val="en-US" w:eastAsia="fr-CH"/>
        </w:rPr>
        <w:t>a</w:t>
      </w:r>
      <w:r w:rsidR="00B43CA2" w:rsidRPr="000D283C">
        <w:rPr>
          <w:lang w:val="en-US" w:eastAsia="fr-CH"/>
        </w:rPr>
        <w:t>ssessments</w:t>
      </w:r>
    </w:p>
    <w:p w14:paraId="76EB3DAE" w14:textId="382802B8"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val="en-US" w:eastAsia="fr-CH"/>
        </w:rPr>
      </w:pPr>
      <w:r w:rsidRPr="000D283C">
        <w:rPr>
          <w:rFonts w:asciiTheme="majorBidi" w:hAnsiTheme="majorBidi" w:cstheme="majorBidi"/>
          <w:color w:val="000000" w:themeColor="text1"/>
          <w:lang w:val="en-US" w:eastAsia="fr-CH"/>
        </w:rPr>
        <w:t>In 2017, WHO</w:t>
      </w:r>
      <w:r w:rsidR="007C4DBF">
        <w:rPr>
          <w:rFonts w:asciiTheme="majorBidi" w:hAnsiTheme="majorBidi" w:cstheme="majorBidi"/>
          <w:color w:val="000000" w:themeColor="text1"/>
          <w:lang w:val="en-US" w:eastAsia="fr-CH"/>
        </w:rPr>
        <w:t>,</w:t>
      </w:r>
      <w:r w:rsidRPr="000D283C">
        <w:rPr>
          <w:rFonts w:asciiTheme="majorBidi" w:hAnsiTheme="majorBidi" w:cstheme="majorBidi"/>
          <w:color w:val="000000" w:themeColor="text1"/>
          <w:lang w:val="en-US" w:eastAsia="fr-CH"/>
        </w:rPr>
        <w:t xml:space="preserve"> as co-executing agency of a M</w:t>
      </w:r>
      <w:r w:rsidR="00CA2F0C" w:rsidRPr="000D283C">
        <w:rPr>
          <w:rFonts w:asciiTheme="majorBidi" w:hAnsiTheme="majorBidi" w:cstheme="majorBidi"/>
          <w:color w:val="000000" w:themeColor="text1"/>
          <w:lang w:val="en-US" w:eastAsia="fr-CH"/>
        </w:rPr>
        <w:t xml:space="preserve">inamata </w:t>
      </w:r>
      <w:r w:rsidR="000B6A26">
        <w:rPr>
          <w:rFonts w:asciiTheme="majorBidi" w:hAnsiTheme="majorBidi" w:cstheme="majorBidi"/>
          <w:color w:val="000000" w:themeColor="text1"/>
          <w:lang w:val="en-US" w:eastAsia="fr-CH"/>
        </w:rPr>
        <w:t>i</w:t>
      </w:r>
      <w:r w:rsidR="00CA2F0C" w:rsidRPr="000D283C">
        <w:rPr>
          <w:rFonts w:asciiTheme="majorBidi" w:hAnsiTheme="majorBidi" w:cstheme="majorBidi"/>
          <w:color w:val="000000" w:themeColor="text1"/>
          <w:lang w:val="en-US" w:eastAsia="fr-CH"/>
        </w:rPr>
        <w:t xml:space="preserve">nitial </w:t>
      </w:r>
      <w:r w:rsidR="000B6A26">
        <w:rPr>
          <w:rFonts w:asciiTheme="majorBidi" w:hAnsiTheme="majorBidi" w:cstheme="majorBidi"/>
          <w:color w:val="000000" w:themeColor="text1"/>
          <w:lang w:val="en-US" w:eastAsia="fr-CH"/>
        </w:rPr>
        <w:t>a</w:t>
      </w:r>
      <w:r w:rsidR="00CA2F0C" w:rsidRPr="000D283C">
        <w:rPr>
          <w:rFonts w:asciiTheme="majorBidi" w:hAnsiTheme="majorBidi" w:cstheme="majorBidi"/>
          <w:color w:val="000000" w:themeColor="text1"/>
          <w:lang w:val="en-US" w:eastAsia="fr-CH"/>
        </w:rPr>
        <w:t>ssessment</w:t>
      </w:r>
      <w:r w:rsidRPr="000D283C">
        <w:rPr>
          <w:rFonts w:asciiTheme="majorBidi" w:hAnsiTheme="majorBidi" w:cstheme="majorBidi"/>
          <w:color w:val="000000" w:themeColor="text1"/>
          <w:lang w:val="en-US" w:eastAsia="fr-CH"/>
        </w:rPr>
        <w:t xml:space="preserve"> project</w:t>
      </w:r>
      <w:r w:rsidR="007C4DBF" w:rsidRPr="007C4DBF">
        <w:rPr>
          <w:rFonts w:asciiTheme="majorBidi" w:hAnsiTheme="majorBidi" w:cstheme="majorBidi"/>
          <w:color w:val="000000" w:themeColor="text1"/>
          <w:lang w:val="en-US" w:eastAsia="fr-CH"/>
        </w:rPr>
        <w:t xml:space="preserve"> </w:t>
      </w:r>
      <w:r w:rsidR="007C4DBF" w:rsidRPr="000D283C">
        <w:rPr>
          <w:rFonts w:asciiTheme="majorBidi" w:hAnsiTheme="majorBidi" w:cstheme="majorBidi"/>
          <w:color w:val="000000" w:themeColor="text1"/>
          <w:lang w:val="en-US" w:eastAsia="fr-CH"/>
        </w:rPr>
        <w:t>funded</w:t>
      </w:r>
      <w:r w:rsidR="007C4DBF">
        <w:rPr>
          <w:rFonts w:asciiTheme="majorBidi" w:hAnsiTheme="majorBidi" w:cstheme="majorBidi"/>
          <w:color w:val="000000" w:themeColor="text1"/>
          <w:lang w:val="en-US" w:eastAsia="fr-CH"/>
        </w:rPr>
        <w:t xml:space="preserve"> by </w:t>
      </w:r>
      <w:r w:rsidR="0086307B">
        <w:rPr>
          <w:rFonts w:asciiTheme="majorBidi" w:hAnsiTheme="majorBidi" w:cstheme="majorBidi"/>
          <w:color w:val="000000" w:themeColor="text1"/>
          <w:lang w:val="en-US" w:eastAsia="fr-CH"/>
        </w:rPr>
        <w:t xml:space="preserve">the </w:t>
      </w:r>
      <w:r w:rsidR="007C4DBF">
        <w:rPr>
          <w:rFonts w:asciiTheme="majorBidi" w:hAnsiTheme="majorBidi" w:cstheme="majorBidi"/>
          <w:color w:val="000000" w:themeColor="text1"/>
          <w:lang w:val="en-US" w:eastAsia="fr-CH"/>
        </w:rPr>
        <w:t>G</w:t>
      </w:r>
      <w:r w:rsidR="0086307B">
        <w:rPr>
          <w:rFonts w:asciiTheme="majorBidi" w:hAnsiTheme="majorBidi" w:cstheme="majorBidi"/>
          <w:color w:val="000000" w:themeColor="text1"/>
          <w:lang w:val="en-US" w:eastAsia="fr-CH"/>
        </w:rPr>
        <w:t xml:space="preserve">lobal </w:t>
      </w:r>
      <w:r w:rsidR="007C4DBF">
        <w:rPr>
          <w:rFonts w:asciiTheme="majorBidi" w:hAnsiTheme="majorBidi" w:cstheme="majorBidi"/>
          <w:color w:val="000000" w:themeColor="text1"/>
          <w:lang w:val="en-US" w:eastAsia="fr-CH"/>
        </w:rPr>
        <w:t>E</w:t>
      </w:r>
      <w:r w:rsidR="0086307B">
        <w:rPr>
          <w:rFonts w:asciiTheme="majorBidi" w:hAnsiTheme="majorBidi" w:cstheme="majorBidi"/>
          <w:color w:val="000000" w:themeColor="text1"/>
          <w:lang w:val="en-US" w:eastAsia="fr-CH"/>
        </w:rPr>
        <w:t xml:space="preserve">nvironment </w:t>
      </w:r>
      <w:r w:rsidR="000B6A26">
        <w:rPr>
          <w:rFonts w:asciiTheme="majorBidi" w:hAnsiTheme="majorBidi" w:cstheme="majorBidi"/>
          <w:color w:val="000000" w:themeColor="text1"/>
          <w:lang w:val="en-US" w:eastAsia="fr-CH"/>
        </w:rPr>
        <w:t>Facility</w:t>
      </w:r>
      <w:r w:rsidR="00E27C08">
        <w:rPr>
          <w:rFonts w:asciiTheme="majorBidi" w:hAnsiTheme="majorBidi" w:cstheme="majorBidi"/>
          <w:color w:val="000000" w:themeColor="text1"/>
          <w:lang w:val="en-US" w:eastAsia="fr-CH"/>
        </w:rPr>
        <w:t xml:space="preserve"> (GEF)</w:t>
      </w:r>
      <w:r w:rsidRPr="000D283C">
        <w:rPr>
          <w:rFonts w:asciiTheme="majorBidi" w:hAnsiTheme="majorBidi" w:cstheme="majorBidi"/>
          <w:color w:val="000000" w:themeColor="text1"/>
          <w:lang w:val="en-US" w:eastAsia="fr-CH"/>
        </w:rPr>
        <w:t xml:space="preserve">, supported </w:t>
      </w:r>
      <w:r w:rsidR="007C4DBF">
        <w:rPr>
          <w:rFonts w:asciiTheme="majorBidi" w:hAnsiTheme="majorBidi" w:cstheme="majorBidi"/>
          <w:color w:val="000000" w:themeColor="text1"/>
          <w:lang w:val="en-US" w:eastAsia="fr-CH"/>
        </w:rPr>
        <w:t>seven</w:t>
      </w:r>
      <w:r w:rsidR="007C4DBF" w:rsidRPr="000D283C">
        <w:rPr>
          <w:rFonts w:asciiTheme="majorBidi" w:hAnsiTheme="majorBidi" w:cstheme="majorBidi"/>
          <w:color w:val="000000" w:themeColor="text1"/>
          <w:lang w:val="en-US" w:eastAsia="fr-CH"/>
        </w:rPr>
        <w:t xml:space="preserve"> </w:t>
      </w:r>
      <w:r w:rsidRPr="000D283C">
        <w:rPr>
          <w:rFonts w:asciiTheme="majorBidi" w:hAnsiTheme="majorBidi" w:cstheme="majorBidi"/>
          <w:color w:val="000000" w:themeColor="text1"/>
          <w:lang w:val="en-US" w:eastAsia="fr-CH"/>
        </w:rPr>
        <w:t>francophone countries (Benin, Burkina Faso, Guinea, Mali, Niger, Senegal and Togo) to successfully implement activities to complete their pre</w:t>
      </w:r>
      <w:r w:rsidR="005D3010">
        <w:rPr>
          <w:rFonts w:asciiTheme="majorBidi" w:hAnsiTheme="majorBidi" w:cstheme="majorBidi"/>
          <w:color w:val="000000" w:themeColor="text1"/>
          <w:lang w:val="en-US" w:eastAsia="fr-CH"/>
        </w:rPr>
        <w:noBreakHyphen/>
      </w:r>
      <w:r w:rsidRPr="000D283C">
        <w:rPr>
          <w:rFonts w:asciiTheme="majorBidi" w:hAnsiTheme="majorBidi" w:cstheme="majorBidi"/>
          <w:color w:val="000000" w:themeColor="text1"/>
          <w:lang w:val="en-US" w:eastAsia="fr-CH"/>
        </w:rPr>
        <w:t>ratification preparations under the Minamata Convention.</w:t>
      </w:r>
      <w:r w:rsidR="00E96087">
        <w:rPr>
          <w:rFonts w:asciiTheme="majorBidi" w:hAnsiTheme="majorBidi" w:cstheme="majorBidi"/>
          <w:color w:val="000000" w:themeColor="text1"/>
          <w:lang w:val="en-US" w:eastAsia="fr-CH"/>
        </w:rPr>
        <w:t xml:space="preserve"> </w:t>
      </w:r>
      <w:r w:rsidRPr="000D283C">
        <w:rPr>
          <w:rFonts w:asciiTheme="majorBidi" w:hAnsiTheme="majorBidi" w:cstheme="majorBidi"/>
          <w:color w:val="000000" w:themeColor="text1"/>
          <w:lang w:val="en-US" w:eastAsia="fr-CH"/>
        </w:rPr>
        <w:t xml:space="preserve">The project supported the conduct of initial assessments on the use and management of mercury in the health system and produced communication materials on the health impacts of mercury. Based on the support provided, countries have been able to better undertake policy and strategic decision-making based on evidence as well as identify priority areas for interventions. In order to facilitate </w:t>
      </w:r>
      <w:r w:rsidRPr="00902971">
        <w:rPr>
          <w:rFonts w:asciiTheme="majorBidi" w:hAnsiTheme="majorBidi" w:cstheme="majorBidi"/>
          <w:color w:val="000000" w:themeColor="text1"/>
        </w:rPr>
        <w:t>sharing</w:t>
      </w:r>
      <w:r w:rsidRPr="000D283C">
        <w:rPr>
          <w:rFonts w:asciiTheme="majorBidi" w:hAnsiTheme="majorBidi" w:cstheme="majorBidi"/>
          <w:color w:val="000000" w:themeColor="text1"/>
          <w:lang w:val="en-US" w:eastAsia="fr-CH"/>
        </w:rPr>
        <w:t xml:space="preserve"> of experiences and best practices among the countries to curb mercury use, WHO has developed communication materials reinforcing the role of the health sector in the implementation of the Minamata Convention.</w:t>
      </w:r>
    </w:p>
    <w:p w14:paraId="52D100C5" w14:textId="4EE8C310" w:rsidR="00B43CA2" w:rsidRPr="000D283C" w:rsidRDefault="00902971" w:rsidP="00902971">
      <w:pPr>
        <w:pStyle w:val="CH3"/>
        <w:rPr>
          <w:lang w:val="en-US" w:eastAsia="fr-CH"/>
        </w:rPr>
      </w:pPr>
      <w:r>
        <w:rPr>
          <w:lang w:val="en-US" w:eastAsia="fr-CH"/>
        </w:rPr>
        <w:tab/>
      </w:r>
      <w:r>
        <w:rPr>
          <w:lang w:val="en-US" w:eastAsia="fr-CH"/>
        </w:rPr>
        <w:tab/>
      </w:r>
      <w:r w:rsidR="00B43CA2" w:rsidRPr="000D283C">
        <w:rPr>
          <w:lang w:val="en-US" w:eastAsia="fr-CH"/>
        </w:rPr>
        <w:t xml:space="preserve">Artisanal and </w:t>
      </w:r>
      <w:r w:rsidR="00A5331C">
        <w:rPr>
          <w:lang w:val="en-US" w:eastAsia="fr-CH"/>
        </w:rPr>
        <w:t>s</w:t>
      </w:r>
      <w:r w:rsidR="00A5331C" w:rsidRPr="000D283C">
        <w:rPr>
          <w:lang w:val="en-US" w:eastAsia="fr-CH"/>
        </w:rPr>
        <w:t>mall</w:t>
      </w:r>
      <w:r w:rsidR="00B43CA2" w:rsidRPr="000D283C">
        <w:rPr>
          <w:lang w:val="en-US" w:eastAsia="fr-CH"/>
        </w:rPr>
        <w:t xml:space="preserve">-scale </w:t>
      </w:r>
      <w:r w:rsidR="00A5331C">
        <w:rPr>
          <w:lang w:val="en-US" w:eastAsia="fr-CH"/>
        </w:rPr>
        <w:t>g</w:t>
      </w:r>
      <w:r w:rsidR="00A5331C" w:rsidRPr="000D283C">
        <w:rPr>
          <w:lang w:val="en-US" w:eastAsia="fr-CH"/>
        </w:rPr>
        <w:t xml:space="preserve">old </w:t>
      </w:r>
      <w:r w:rsidR="00A5331C">
        <w:rPr>
          <w:lang w:val="en-US" w:eastAsia="fr-CH"/>
        </w:rPr>
        <w:t>mining</w:t>
      </w:r>
    </w:p>
    <w:p w14:paraId="1A2662C1" w14:textId="401306A9"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sidRPr="000D283C">
        <w:rPr>
          <w:rFonts w:asciiTheme="majorBidi" w:hAnsiTheme="majorBidi" w:cstheme="majorBidi"/>
          <w:color w:val="000000" w:themeColor="text1"/>
        </w:rPr>
        <w:t xml:space="preserve">WHO has worked towards the development of a guidance document for health ministries on addressing </w:t>
      </w:r>
      <w:r w:rsidR="00A5331C">
        <w:rPr>
          <w:rFonts w:asciiTheme="majorBidi" w:hAnsiTheme="majorBidi" w:cstheme="majorBidi"/>
          <w:color w:val="000000" w:themeColor="text1"/>
        </w:rPr>
        <w:t xml:space="preserve">the </w:t>
      </w:r>
      <w:r w:rsidRPr="000D283C">
        <w:rPr>
          <w:rFonts w:asciiTheme="majorBidi" w:hAnsiTheme="majorBidi" w:cstheme="majorBidi"/>
          <w:color w:val="000000" w:themeColor="text1"/>
        </w:rPr>
        <w:t>health impacts of artisanal and small-scale gold mining (ASGM). Th</w:t>
      </w:r>
      <w:r w:rsidR="00A5331C">
        <w:rPr>
          <w:rFonts w:asciiTheme="majorBidi" w:hAnsiTheme="majorBidi" w:cstheme="majorBidi"/>
          <w:color w:val="000000" w:themeColor="text1"/>
        </w:rPr>
        <w:t>e</w:t>
      </w:r>
      <w:r w:rsidRPr="000D283C">
        <w:rPr>
          <w:rFonts w:asciiTheme="majorBidi" w:hAnsiTheme="majorBidi" w:cstheme="majorBidi"/>
          <w:color w:val="000000" w:themeColor="text1"/>
        </w:rPr>
        <w:t xml:space="preserve"> initiative was established in response to </w:t>
      </w:r>
      <w:r w:rsidR="00A5331C">
        <w:rPr>
          <w:rFonts w:asciiTheme="majorBidi" w:hAnsiTheme="majorBidi" w:cstheme="majorBidi"/>
          <w:color w:val="000000" w:themeColor="text1"/>
        </w:rPr>
        <w:t>r</w:t>
      </w:r>
      <w:r w:rsidR="00A5331C" w:rsidRPr="000D283C">
        <w:rPr>
          <w:rFonts w:asciiTheme="majorBidi" w:hAnsiTheme="majorBidi" w:cstheme="majorBidi"/>
          <w:color w:val="000000" w:themeColor="text1"/>
        </w:rPr>
        <w:t xml:space="preserve">esolution </w:t>
      </w:r>
      <w:r w:rsidRPr="000D283C">
        <w:rPr>
          <w:rFonts w:asciiTheme="majorBidi" w:hAnsiTheme="majorBidi" w:cstheme="majorBidi"/>
          <w:color w:val="000000" w:themeColor="text1"/>
        </w:rPr>
        <w:t xml:space="preserve">WHA67.11 and draws on a </w:t>
      </w:r>
      <w:r w:rsidR="00A5331C">
        <w:rPr>
          <w:rFonts w:asciiTheme="majorBidi" w:hAnsiTheme="majorBidi" w:cstheme="majorBidi"/>
          <w:color w:val="000000" w:themeColor="text1"/>
        </w:rPr>
        <w:t>m</w:t>
      </w:r>
      <w:r w:rsidR="00A5331C" w:rsidRPr="000D283C">
        <w:rPr>
          <w:rFonts w:asciiTheme="majorBidi" w:hAnsiTheme="majorBidi" w:cstheme="majorBidi"/>
          <w:color w:val="000000" w:themeColor="text1"/>
        </w:rPr>
        <w:t xml:space="preserve">ember </w:t>
      </w:r>
      <w:r w:rsidRPr="000D283C">
        <w:rPr>
          <w:rFonts w:asciiTheme="majorBidi" w:hAnsiTheme="majorBidi" w:cstheme="majorBidi"/>
          <w:color w:val="000000" w:themeColor="text1"/>
        </w:rPr>
        <w:t>State consultati</w:t>
      </w:r>
      <w:r w:rsidR="000B6A26">
        <w:rPr>
          <w:rFonts w:asciiTheme="majorBidi" w:hAnsiTheme="majorBidi" w:cstheme="majorBidi"/>
          <w:color w:val="000000" w:themeColor="text1"/>
        </w:rPr>
        <w:t>ve</w:t>
      </w:r>
      <w:r w:rsidRPr="000D283C">
        <w:rPr>
          <w:rFonts w:asciiTheme="majorBidi" w:hAnsiTheme="majorBidi" w:cstheme="majorBidi"/>
          <w:color w:val="000000" w:themeColor="text1"/>
        </w:rPr>
        <w:t xml:space="preserve"> process. </w:t>
      </w:r>
    </w:p>
    <w:p w14:paraId="236786E2" w14:textId="728A0012"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sidRPr="000D283C">
        <w:rPr>
          <w:rFonts w:asciiTheme="majorBidi" w:hAnsiTheme="majorBidi" w:cstheme="majorBidi"/>
          <w:color w:val="000000" w:themeColor="text1"/>
        </w:rPr>
        <w:t>In addition</w:t>
      </w:r>
      <w:r w:rsidR="00711E75">
        <w:rPr>
          <w:rFonts w:asciiTheme="majorBidi" w:hAnsiTheme="majorBidi" w:cstheme="majorBidi"/>
          <w:color w:val="000000" w:themeColor="text1"/>
        </w:rPr>
        <w:t>,</w:t>
      </w:r>
      <w:r w:rsidRPr="000D283C">
        <w:rPr>
          <w:rFonts w:asciiTheme="majorBidi" w:hAnsiTheme="majorBidi" w:cstheme="majorBidi"/>
          <w:color w:val="000000" w:themeColor="text1"/>
        </w:rPr>
        <w:t xml:space="preserve"> WHO is piloting the use of the guidance in three African countries that are in the process of developing wider </w:t>
      </w:r>
      <w:r w:rsidR="00A5331C">
        <w:rPr>
          <w:rFonts w:asciiTheme="majorBidi" w:hAnsiTheme="majorBidi" w:cstheme="majorBidi"/>
          <w:color w:val="000000" w:themeColor="text1"/>
        </w:rPr>
        <w:t>n</w:t>
      </w:r>
      <w:r w:rsidRPr="000D283C">
        <w:rPr>
          <w:rFonts w:asciiTheme="majorBidi" w:hAnsiTheme="majorBidi" w:cstheme="majorBidi"/>
          <w:color w:val="000000" w:themeColor="text1"/>
        </w:rPr>
        <w:t xml:space="preserve">ational </w:t>
      </w:r>
      <w:r w:rsidR="00A5331C">
        <w:rPr>
          <w:rFonts w:asciiTheme="majorBidi" w:hAnsiTheme="majorBidi" w:cstheme="majorBidi"/>
          <w:color w:val="000000" w:themeColor="text1"/>
        </w:rPr>
        <w:t>a</w:t>
      </w:r>
      <w:r w:rsidRPr="000D283C">
        <w:rPr>
          <w:rFonts w:asciiTheme="majorBidi" w:hAnsiTheme="majorBidi" w:cstheme="majorBidi"/>
          <w:color w:val="000000" w:themeColor="text1"/>
        </w:rPr>
        <w:t xml:space="preserve">ction </w:t>
      </w:r>
      <w:r w:rsidR="00A5331C">
        <w:rPr>
          <w:rFonts w:asciiTheme="majorBidi" w:hAnsiTheme="majorBidi" w:cstheme="majorBidi"/>
          <w:color w:val="000000" w:themeColor="text1"/>
        </w:rPr>
        <w:t>p</w:t>
      </w:r>
      <w:r w:rsidRPr="000D283C">
        <w:rPr>
          <w:rFonts w:asciiTheme="majorBidi" w:hAnsiTheme="majorBidi" w:cstheme="majorBidi"/>
          <w:color w:val="000000" w:themeColor="text1"/>
        </w:rPr>
        <w:t>lans on ASGM as required under the Convention.</w:t>
      </w:r>
      <w:r w:rsidR="00E96087">
        <w:rPr>
          <w:rFonts w:asciiTheme="majorBidi" w:hAnsiTheme="majorBidi" w:cstheme="majorBidi"/>
          <w:color w:val="000000" w:themeColor="text1"/>
        </w:rPr>
        <w:t xml:space="preserve"> </w:t>
      </w:r>
      <w:r w:rsidRPr="000D283C">
        <w:rPr>
          <w:rFonts w:asciiTheme="majorBidi" w:hAnsiTheme="majorBidi" w:cstheme="majorBidi"/>
          <w:color w:val="000000" w:themeColor="text1"/>
        </w:rPr>
        <w:t xml:space="preserve">The pilot work has been carried out in </w:t>
      </w:r>
      <w:r w:rsidR="00A5331C" w:rsidRPr="000D283C">
        <w:rPr>
          <w:rFonts w:asciiTheme="majorBidi" w:hAnsiTheme="majorBidi" w:cstheme="majorBidi"/>
          <w:color w:val="000000" w:themeColor="text1"/>
        </w:rPr>
        <w:t xml:space="preserve">Ghana, </w:t>
      </w:r>
      <w:r w:rsidRPr="000D283C">
        <w:rPr>
          <w:rFonts w:asciiTheme="majorBidi" w:hAnsiTheme="majorBidi" w:cstheme="majorBidi"/>
          <w:color w:val="000000" w:themeColor="text1"/>
        </w:rPr>
        <w:t>Mozambique</w:t>
      </w:r>
      <w:r w:rsidR="00A5331C" w:rsidRPr="00A5331C">
        <w:rPr>
          <w:rFonts w:asciiTheme="majorBidi" w:hAnsiTheme="majorBidi" w:cstheme="majorBidi"/>
          <w:color w:val="000000" w:themeColor="text1"/>
        </w:rPr>
        <w:t xml:space="preserve"> </w:t>
      </w:r>
      <w:r w:rsidR="00A5331C" w:rsidRPr="000D283C">
        <w:rPr>
          <w:rFonts w:asciiTheme="majorBidi" w:hAnsiTheme="majorBidi" w:cstheme="majorBidi"/>
          <w:color w:val="000000" w:themeColor="text1"/>
        </w:rPr>
        <w:t>and</w:t>
      </w:r>
      <w:r w:rsidRPr="000D283C">
        <w:rPr>
          <w:rFonts w:asciiTheme="majorBidi" w:hAnsiTheme="majorBidi" w:cstheme="majorBidi"/>
          <w:color w:val="000000" w:themeColor="text1"/>
        </w:rPr>
        <w:t xml:space="preserve"> Nigeria and comprises a rapid health situation assessment and instit</w:t>
      </w:r>
      <w:r w:rsidR="00711E75">
        <w:rPr>
          <w:rFonts w:asciiTheme="majorBidi" w:hAnsiTheme="majorBidi" w:cstheme="majorBidi"/>
          <w:color w:val="000000" w:themeColor="text1"/>
        </w:rPr>
        <w:t xml:space="preserve">utional capacities and systems </w:t>
      </w:r>
      <w:r w:rsidRPr="000D283C">
        <w:rPr>
          <w:rFonts w:asciiTheme="majorBidi" w:hAnsiTheme="majorBidi" w:cstheme="majorBidi"/>
          <w:color w:val="000000" w:themeColor="text1"/>
        </w:rPr>
        <w:t xml:space="preserve">assessment. </w:t>
      </w:r>
      <w:r w:rsidR="00A5331C">
        <w:rPr>
          <w:rFonts w:asciiTheme="majorBidi" w:hAnsiTheme="majorBidi" w:cstheme="majorBidi"/>
          <w:color w:val="000000" w:themeColor="text1"/>
        </w:rPr>
        <w:t xml:space="preserve">The </w:t>
      </w:r>
      <w:r w:rsidRPr="000D283C">
        <w:rPr>
          <w:rFonts w:asciiTheme="majorBidi" w:hAnsiTheme="majorBidi" w:cstheme="majorBidi"/>
          <w:color w:val="000000" w:themeColor="text1"/>
        </w:rPr>
        <w:t xml:space="preserve">activities </w:t>
      </w:r>
      <w:r w:rsidR="00A5331C">
        <w:rPr>
          <w:rFonts w:asciiTheme="majorBidi" w:hAnsiTheme="majorBidi" w:cstheme="majorBidi"/>
          <w:color w:val="000000" w:themeColor="text1"/>
        </w:rPr>
        <w:t xml:space="preserve">in </w:t>
      </w:r>
      <w:r w:rsidR="00A5331C" w:rsidRPr="000D283C">
        <w:rPr>
          <w:rFonts w:asciiTheme="majorBidi" w:hAnsiTheme="majorBidi" w:cstheme="majorBidi"/>
          <w:color w:val="000000" w:themeColor="text1"/>
        </w:rPr>
        <w:t xml:space="preserve">Mozambique </w:t>
      </w:r>
      <w:r w:rsidRPr="000D283C">
        <w:rPr>
          <w:rFonts w:asciiTheme="majorBidi" w:hAnsiTheme="majorBidi" w:cstheme="majorBidi"/>
          <w:color w:val="000000" w:themeColor="text1"/>
        </w:rPr>
        <w:t xml:space="preserve">will be completed by December 2018 and </w:t>
      </w:r>
      <w:r w:rsidR="00A5331C">
        <w:rPr>
          <w:rFonts w:asciiTheme="majorBidi" w:hAnsiTheme="majorBidi" w:cstheme="majorBidi"/>
          <w:color w:val="000000" w:themeColor="text1"/>
        </w:rPr>
        <w:t xml:space="preserve">those in </w:t>
      </w:r>
      <w:r w:rsidRPr="000D283C">
        <w:rPr>
          <w:rFonts w:asciiTheme="majorBidi" w:hAnsiTheme="majorBidi" w:cstheme="majorBidi"/>
          <w:color w:val="000000" w:themeColor="text1"/>
        </w:rPr>
        <w:t>Ghana and Nigeria by May 2019.</w:t>
      </w:r>
    </w:p>
    <w:p w14:paraId="1B61E491" w14:textId="0D2D627D" w:rsidR="00B43CA2" w:rsidRPr="000D283C"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sidRPr="000D283C">
        <w:rPr>
          <w:rFonts w:asciiTheme="majorBidi" w:hAnsiTheme="majorBidi" w:cstheme="majorBidi"/>
          <w:color w:val="000000" w:themeColor="text1"/>
        </w:rPr>
        <w:t xml:space="preserve">Other materials on ASGM and health </w:t>
      </w:r>
      <w:r w:rsidR="0086307B">
        <w:rPr>
          <w:rFonts w:asciiTheme="majorBidi" w:hAnsiTheme="majorBidi" w:cstheme="majorBidi"/>
          <w:color w:val="000000" w:themeColor="text1"/>
        </w:rPr>
        <w:t>that are in</w:t>
      </w:r>
      <w:r w:rsidR="0086307B" w:rsidRPr="000D283C">
        <w:rPr>
          <w:rFonts w:asciiTheme="majorBidi" w:hAnsiTheme="majorBidi" w:cstheme="majorBidi"/>
          <w:color w:val="000000" w:themeColor="text1"/>
        </w:rPr>
        <w:t xml:space="preserve"> </w:t>
      </w:r>
      <w:r w:rsidR="0086307B">
        <w:rPr>
          <w:rFonts w:asciiTheme="majorBidi" w:hAnsiTheme="majorBidi" w:cstheme="majorBidi"/>
          <w:color w:val="000000" w:themeColor="text1"/>
        </w:rPr>
        <w:t>progress</w:t>
      </w:r>
      <w:r w:rsidR="0086307B" w:rsidRPr="000D283C">
        <w:rPr>
          <w:rFonts w:asciiTheme="majorBidi" w:hAnsiTheme="majorBidi" w:cstheme="majorBidi"/>
          <w:color w:val="000000" w:themeColor="text1"/>
        </w:rPr>
        <w:t xml:space="preserve"> </w:t>
      </w:r>
      <w:r w:rsidR="005D3010">
        <w:rPr>
          <w:rFonts w:asciiTheme="majorBidi" w:hAnsiTheme="majorBidi" w:cstheme="majorBidi"/>
          <w:color w:val="000000" w:themeColor="text1"/>
        </w:rPr>
        <w:t>include</w:t>
      </w:r>
      <w:r w:rsidR="005D3010" w:rsidRPr="000D283C">
        <w:rPr>
          <w:rFonts w:asciiTheme="majorBidi" w:hAnsiTheme="majorBidi" w:cstheme="majorBidi"/>
          <w:color w:val="000000" w:themeColor="text1"/>
        </w:rPr>
        <w:t xml:space="preserve"> </w:t>
      </w:r>
      <w:r w:rsidRPr="000D283C">
        <w:rPr>
          <w:rFonts w:asciiTheme="majorBidi" w:hAnsiTheme="majorBidi" w:cstheme="majorBidi"/>
          <w:color w:val="000000" w:themeColor="text1"/>
        </w:rPr>
        <w:t>guidance on how to conduct a rapid assessment of the health situation of ASGM miners and their family members</w:t>
      </w:r>
      <w:r w:rsidR="005D3010">
        <w:rPr>
          <w:rFonts w:asciiTheme="majorBidi" w:hAnsiTheme="majorBidi" w:cstheme="majorBidi"/>
          <w:color w:val="000000" w:themeColor="text1"/>
        </w:rPr>
        <w:t>,</w:t>
      </w:r>
      <w:r w:rsidRPr="000D283C">
        <w:rPr>
          <w:rFonts w:asciiTheme="majorBidi" w:hAnsiTheme="majorBidi" w:cstheme="majorBidi"/>
          <w:color w:val="000000" w:themeColor="text1"/>
        </w:rPr>
        <w:t xml:space="preserve"> based on the pilot </w:t>
      </w:r>
      <w:r w:rsidR="005D3010">
        <w:rPr>
          <w:rFonts w:asciiTheme="majorBidi" w:hAnsiTheme="majorBidi" w:cstheme="majorBidi"/>
          <w:color w:val="000000" w:themeColor="text1"/>
        </w:rPr>
        <w:t xml:space="preserve">carried out </w:t>
      </w:r>
      <w:r w:rsidRPr="000D283C">
        <w:rPr>
          <w:rFonts w:asciiTheme="majorBidi" w:hAnsiTheme="majorBidi" w:cstheme="majorBidi"/>
          <w:color w:val="000000" w:themeColor="text1"/>
        </w:rPr>
        <w:t>in the three African countries.</w:t>
      </w:r>
    </w:p>
    <w:p w14:paraId="75187854" w14:textId="74729A9D" w:rsidR="00B43CA2" w:rsidRPr="00C0279E" w:rsidRDefault="00902971" w:rsidP="00902971">
      <w:pPr>
        <w:pStyle w:val="CH3"/>
        <w:rPr>
          <w:lang w:eastAsia="fr-CH"/>
        </w:rPr>
      </w:pPr>
      <w:r>
        <w:rPr>
          <w:lang w:val="en-US" w:eastAsia="fr-CH"/>
        </w:rPr>
        <w:lastRenderedPageBreak/>
        <w:tab/>
      </w:r>
      <w:r>
        <w:rPr>
          <w:lang w:val="en-US" w:eastAsia="fr-CH"/>
        </w:rPr>
        <w:tab/>
      </w:r>
      <w:r w:rsidR="00B43CA2" w:rsidRPr="00C0279E">
        <w:rPr>
          <w:lang w:eastAsia="fr-CH"/>
        </w:rPr>
        <w:t>Dental amalgam</w:t>
      </w:r>
    </w:p>
    <w:p w14:paraId="453BE08F" w14:textId="212D512D" w:rsidR="00B43CA2" w:rsidRPr="00C0279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eastAsia="fr-CH"/>
        </w:rPr>
      </w:pPr>
      <w:r w:rsidRPr="00C0279E">
        <w:rPr>
          <w:rFonts w:asciiTheme="majorBidi" w:hAnsiTheme="majorBidi" w:cstheme="majorBidi"/>
          <w:color w:val="000000" w:themeColor="text1"/>
          <w:lang w:eastAsia="fr-CH"/>
        </w:rPr>
        <w:t>The phase</w:t>
      </w:r>
      <w:r w:rsidR="0086307B" w:rsidRPr="00C0279E">
        <w:rPr>
          <w:rFonts w:asciiTheme="majorBidi" w:hAnsiTheme="majorBidi" w:cstheme="majorBidi"/>
          <w:color w:val="000000" w:themeColor="text1"/>
          <w:lang w:eastAsia="fr-CH"/>
        </w:rPr>
        <w:t>-</w:t>
      </w:r>
      <w:r w:rsidRPr="00C0279E">
        <w:rPr>
          <w:rFonts w:asciiTheme="majorBidi" w:hAnsiTheme="majorBidi" w:cstheme="majorBidi"/>
          <w:color w:val="000000" w:themeColor="text1"/>
          <w:lang w:eastAsia="fr-CH"/>
        </w:rPr>
        <w:t>down of dental amalgam through the Minamata Convention can cataly</w:t>
      </w:r>
      <w:r w:rsidR="00E11AF3" w:rsidRPr="00C0279E">
        <w:rPr>
          <w:rFonts w:asciiTheme="majorBidi" w:hAnsiTheme="majorBidi" w:cstheme="majorBidi"/>
          <w:color w:val="000000" w:themeColor="text1"/>
          <w:lang w:eastAsia="fr-CH"/>
        </w:rPr>
        <w:t>s</w:t>
      </w:r>
      <w:r w:rsidRPr="00C0279E">
        <w:rPr>
          <w:rFonts w:asciiTheme="majorBidi" w:hAnsiTheme="majorBidi" w:cstheme="majorBidi"/>
          <w:color w:val="000000" w:themeColor="text1"/>
          <w:lang w:eastAsia="fr-CH"/>
        </w:rPr>
        <w:t xml:space="preserve">e a profound change in dentistry. WHO developed and disseminated </w:t>
      </w:r>
      <w:r w:rsidR="0086307B" w:rsidRPr="00C0279E">
        <w:rPr>
          <w:rFonts w:asciiTheme="majorBidi" w:hAnsiTheme="majorBidi" w:cstheme="majorBidi"/>
          <w:color w:val="000000" w:themeColor="text1"/>
          <w:lang w:eastAsia="fr-CH"/>
        </w:rPr>
        <w:t xml:space="preserve">to member </w:t>
      </w:r>
      <w:r w:rsidRPr="00C0279E">
        <w:rPr>
          <w:rFonts w:asciiTheme="majorBidi" w:hAnsiTheme="majorBidi" w:cstheme="majorBidi"/>
          <w:color w:val="000000" w:themeColor="text1"/>
          <w:lang w:eastAsia="fr-CH"/>
        </w:rPr>
        <w:t xml:space="preserve">States, international oral health partners and other stakeholders a set of strategic interventions aligned with the nine measures set out in </w:t>
      </w:r>
      <w:r w:rsidR="0086307B" w:rsidRPr="00C0279E">
        <w:rPr>
          <w:rFonts w:asciiTheme="majorBidi" w:hAnsiTheme="majorBidi" w:cstheme="majorBidi"/>
          <w:color w:val="000000" w:themeColor="text1"/>
          <w:lang w:eastAsia="fr-CH"/>
        </w:rPr>
        <w:t xml:space="preserve">annex </w:t>
      </w:r>
      <w:r w:rsidRPr="00C0279E">
        <w:rPr>
          <w:rFonts w:asciiTheme="majorBidi" w:hAnsiTheme="majorBidi" w:cstheme="majorBidi"/>
          <w:color w:val="000000" w:themeColor="text1"/>
          <w:lang w:eastAsia="fr-CH"/>
        </w:rPr>
        <w:t xml:space="preserve">A of the Convention. </w:t>
      </w:r>
      <w:r w:rsidR="0086307B" w:rsidRPr="00C0279E">
        <w:rPr>
          <w:rFonts w:asciiTheme="majorBidi" w:hAnsiTheme="majorBidi" w:cstheme="majorBidi"/>
          <w:color w:val="000000" w:themeColor="text1"/>
          <w:lang w:eastAsia="fr-CH"/>
        </w:rPr>
        <w:t xml:space="preserve">Those </w:t>
      </w:r>
      <w:r w:rsidRPr="00C0279E">
        <w:rPr>
          <w:rFonts w:asciiTheme="majorBidi" w:hAnsiTheme="majorBidi" w:cstheme="majorBidi"/>
          <w:color w:val="000000" w:themeColor="text1"/>
          <w:lang w:eastAsia="fr-CH"/>
        </w:rPr>
        <w:t xml:space="preserve">interventions are directed towards a multipronged approach that combines waste management, knowledge management and </w:t>
      </w:r>
      <w:r w:rsidR="005D3010" w:rsidRPr="00C0279E">
        <w:rPr>
          <w:rFonts w:asciiTheme="majorBidi" w:hAnsiTheme="majorBidi" w:cstheme="majorBidi"/>
          <w:color w:val="000000" w:themeColor="text1"/>
          <w:lang w:eastAsia="fr-CH"/>
        </w:rPr>
        <w:t xml:space="preserve">the </w:t>
      </w:r>
      <w:r w:rsidR="0086307B" w:rsidRPr="00C0279E">
        <w:rPr>
          <w:rFonts w:asciiTheme="majorBidi" w:hAnsiTheme="majorBidi" w:cstheme="majorBidi"/>
          <w:color w:val="000000" w:themeColor="text1"/>
          <w:lang w:eastAsia="fr-CH"/>
        </w:rPr>
        <w:t xml:space="preserve">strengthening of </w:t>
      </w:r>
      <w:r w:rsidRPr="00C0279E">
        <w:rPr>
          <w:rFonts w:asciiTheme="majorBidi" w:hAnsiTheme="majorBidi" w:cstheme="majorBidi"/>
          <w:color w:val="000000" w:themeColor="text1"/>
          <w:lang w:eastAsia="fr-CH"/>
        </w:rPr>
        <w:t>health systems in the context of</w:t>
      </w:r>
      <w:r w:rsidRPr="00CF51F6">
        <w:rPr>
          <w:rFonts w:asciiTheme="majorBidi" w:hAnsiTheme="majorBidi" w:cstheme="majorBidi"/>
          <w:color w:val="000000" w:themeColor="text1"/>
        </w:rPr>
        <w:t xml:space="preserve"> </w:t>
      </w:r>
      <w:r w:rsidRPr="00C0279E">
        <w:rPr>
          <w:rFonts w:asciiTheme="majorBidi" w:hAnsiTheme="majorBidi" w:cstheme="majorBidi"/>
          <w:color w:val="000000" w:themeColor="text1"/>
          <w:lang w:eastAsia="fr-CH"/>
        </w:rPr>
        <w:t>universal health coverage.</w:t>
      </w:r>
      <w:r w:rsidR="0086307B" w:rsidRPr="00C0279E">
        <w:rPr>
          <w:rStyle w:val="FootnoteReference"/>
          <w:rFonts w:cstheme="majorBidi"/>
          <w:lang w:eastAsia="fr-CH"/>
        </w:rPr>
        <w:footnoteReference w:id="3"/>
      </w:r>
      <w:r w:rsidR="00E96087" w:rsidRPr="00C0279E">
        <w:rPr>
          <w:rFonts w:asciiTheme="majorBidi" w:hAnsiTheme="majorBidi" w:cstheme="majorBidi"/>
          <w:color w:val="000000" w:themeColor="text1"/>
          <w:lang w:eastAsia="fr-CH"/>
        </w:rPr>
        <w:t xml:space="preserve"> </w:t>
      </w:r>
    </w:p>
    <w:p w14:paraId="3C8BED91" w14:textId="2BBE7237" w:rsidR="00B43CA2" w:rsidRPr="00CF51F6" w:rsidRDefault="00902971" w:rsidP="00902971">
      <w:pPr>
        <w:pStyle w:val="CH3"/>
        <w:rPr>
          <w:lang w:eastAsia="fr-CH"/>
        </w:rPr>
      </w:pPr>
      <w:r w:rsidRPr="00CF51F6">
        <w:rPr>
          <w:lang w:eastAsia="fr-CH"/>
        </w:rPr>
        <w:tab/>
      </w:r>
      <w:r w:rsidRPr="00CF51F6">
        <w:rPr>
          <w:lang w:eastAsia="fr-CH"/>
        </w:rPr>
        <w:tab/>
      </w:r>
      <w:r w:rsidR="00B43CA2" w:rsidRPr="00CF51F6">
        <w:rPr>
          <w:lang w:eastAsia="fr-CH"/>
        </w:rPr>
        <w:t>Mercury-containing thermometers and sphygmomanometers</w:t>
      </w:r>
    </w:p>
    <w:p w14:paraId="40E67080" w14:textId="128754AF" w:rsidR="00B43CA2" w:rsidRPr="00C0279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eastAsia="fr-CH"/>
        </w:rPr>
      </w:pPr>
      <w:r w:rsidRPr="00C0279E">
        <w:rPr>
          <w:rFonts w:asciiTheme="majorBidi" w:hAnsiTheme="majorBidi" w:cstheme="majorBidi"/>
          <w:color w:val="000000" w:themeColor="text1"/>
          <w:lang w:eastAsia="fr-CH"/>
        </w:rPr>
        <w:t xml:space="preserve">WHO is partnering in the GEF project </w:t>
      </w:r>
      <w:r w:rsidR="00E27C08" w:rsidRPr="00C0279E">
        <w:rPr>
          <w:rFonts w:asciiTheme="majorBidi" w:hAnsiTheme="majorBidi" w:cstheme="majorBidi"/>
          <w:color w:val="000000" w:themeColor="text1"/>
          <w:lang w:eastAsia="fr-CH"/>
        </w:rPr>
        <w:t xml:space="preserve">entitled </w:t>
      </w:r>
      <w:r w:rsidRPr="00C0279E">
        <w:rPr>
          <w:rFonts w:asciiTheme="majorBidi" w:hAnsiTheme="majorBidi" w:cstheme="majorBidi"/>
          <w:color w:val="000000" w:themeColor="text1"/>
          <w:lang w:eastAsia="fr-CH"/>
        </w:rPr>
        <w:t>“Reducing UPOPs and Mercury Releases from the Health Sector in Africa”</w:t>
      </w:r>
      <w:r w:rsidR="00E27C08" w:rsidRPr="00C0279E">
        <w:rPr>
          <w:rFonts w:asciiTheme="majorBidi" w:hAnsiTheme="majorBidi" w:cstheme="majorBidi"/>
          <w:color w:val="000000" w:themeColor="text1"/>
          <w:lang w:eastAsia="fr-CH"/>
        </w:rPr>
        <w:t>,</w:t>
      </w:r>
      <w:r w:rsidRPr="00C0279E">
        <w:rPr>
          <w:rFonts w:asciiTheme="majorBidi" w:hAnsiTheme="majorBidi" w:cstheme="majorBidi"/>
          <w:color w:val="000000" w:themeColor="text1"/>
          <w:lang w:eastAsia="fr-CH"/>
        </w:rPr>
        <w:t xml:space="preserve"> </w:t>
      </w:r>
      <w:r w:rsidR="00E27C08" w:rsidRPr="00C0279E">
        <w:rPr>
          <w:rFonts w:asciiTheme="majorBidi" w:hAnsiTheme="majorBidi" w:cstheme="majorBidi"/>
          <w:color w:val="000000" w:themeColor="text1"/>
          <w:lang w:eastAsia="fr-CH"/>
        </w:rPr>
        <w:t xml:space="preserve">which is being </w:t>
      </w:r>
      <w:r w:rsidRPr="00C0279E">
        <w:rPr>
          <w:rFonts w:asciiTheme="majorBidi" w:hAnsiTheme="majorBidi" w:cstheme="majorBidi"/>
          <w:color w:val="000000" w:themeColor="text1"/>
          <w:lang w:eastAsia="fr-CH"/>
        </w:rPr>
        <w:t xml:space="preserve">implemented by </w:t>
      </w:r>
      <w:r w:rsidR="00E27C08" w:rsidRPr="00C0279E">
        <w:rPr>
          <w:rFonts w:asciiTheme="majorBidi" w:hAnsiTheme="majorBidi" w:cstheme="majorBidi"/>
          <w:color w:val="000000" w:themeColor="text1"/>
          <w:lang w:eastAsia="fr-CH"/>
        </w:rPr>
        <w:t xml:space="preserve">the </w:t>
      </w:r>
      <w:r w:rsidRPr="00C0279E">
        <w:rPr>
          <w:rFonts w:asciiTheme="majorBidi" w:hAnsiTheme="majorBidi" w:cstheme="majorBidi"/>
          <w:color w:val="000000" w:themeColor="text1"/>
          <w:lang w:eastAsia="fr-CH"/>
        </w:rPr>
        <w:t>U</w:t>
      </w:r>
      <w:r w:rsidR="00E27C08" w:rsidRPr="00C0279E">
        <w:rPr>
          <w:rFonts w:asciiTheme="majorBidi" w:hAnsiTheme="majorBidi" w:cstheme="majorBidi"/>
          <w:color w:val="000000" w:themeColor="text1"/>
          <w:lang w:eastAsia="fr-CH"/>
        </w:rPr>
        <w:t xml:space="preserve">nited </w:t>
      </w:r>
      <w:r w:rsidRPr="00C0279E">
        <w:rPr>
          <w:rFonts w:asciiTheme="majorBidi" w:hAnsiTheme="majorBidi" w:cstheme="majorBidi"/>
          <w:color w:val="000000" w:themeColor="text1"/>
          <w:lang w:eastAsia="fr-CH"/>
        </w:rPr>
        <w:t>N</w:t>
      </w:r>
      <w:r w:rsidR="00E27C08" w:rsidRPr="00C0279E">
        <w:rPr>
          <w:rFonts w:asciiTheme="majorBidi" w:hAnsiTheme="majorBidi" w:cstheme="majorBidi"/>
          <w:color w:val="000000" w:themeColor="text1"/>
          <w:lang w:eastAsia="fr-CH"/>
        </w:rPr>
        <w:t xml:space="preserve">ations </w:t>
      </w:r>
      <w:r w:rsidRPr="00C0279E">
        <w:rPr>
          <w:rFonts w:asciiTheme="majorBidi" w:hAnsiTheme="majorBidi" w:cstheme="majorBidi"/>
          <w:color w:val="000000" w:themeColor="text1"/>
          <w:lang w:eastAsia="fr-CH"/>
        </w:rPr>
        <w:t>D</w:t>
      </w:r>
      <w:r w:rsidR="00E27C08" w:rsidRPr="00C0279E">
        <w:rPr>
          <w:rFonts w:asciiTheme="majorBidi" w:hAnsiTheme="majorBidi" w:cstheme="majorBidi"/>
          <w:color w:val="000000" w:themeColor="text1"/>
          <w:lang w:eastAsia="fr-CH"/>
        </w:rPr>
        <w:t xml:space="preserve">evelopment </w:t>
      </w:r>
      <w:r w:rsidRPr="00C0279E">
        <w:rPr>
          <w:rFonts w:asciiTheme="majorBidi" w:hAnsiTheme="majorBidi" w:cstheme="majorBidi"/>
          <w:color w:val="000000" w:themeColor="text1"/>
          <w:lang w:eastAsia="fr-CH"/>
        </w:rPr>
        <w:t>P</w:t>
      </w:r>
      <w:r w:rsidR="00E27C08" w:rsidRPr="00C0279E">
        <w:rPr>
          <w:rFonts w:asciiTheme="majorBidi" w:hAnsiTheme="majorBidi" w:cstheme="majorBidi"/>
          <w:color w:val="000000" w:themeColor="text1"/>
          <w:lang w:eastAsia="fr-CH"/>
        </w:rPr>
        <w:t>rogramme</w:t>
      </w:r>
      <w:r w:rsidRPr="00C0279E">
        <w:rPr>
          <w:rFonts w:asciiTheme="majorBidi" w:hAnsiTheme="majorBidi" w:cstheme="majorBidi"/>
          <w:color w:val="000000" w:themeColor="text1"/>
          <w:lang w:eastAsia="fr-CH"/>
        </w:rPr>
        <w:t xml:space="preserve"> (2016–2019). Th</w:t>
      </w:r>
      <w:r w:rsidR="00E27C08" w:rsidRPr="00C0279E">
        <w:rPr>
          <w:rFonts w:asciiTheme="majorBidi" w:hAnsiTheme="majorBidi" w:cstheme="majorBidi"/>
          <w:color w:val="000000" w:themeColor="text1"/>
          <w:lang w:eastAsia="fr-CH"/>
        </w:rPr>
        <w:t>e</w:t>
      </w:r>
      <w:r w:rsidRPr="00C0279E">
        <w:rPr>
          <w:rFonts w:asciiTheme="majorBidi" w:hAnsiTheme="majorBidi" w:cstheme="majorBidi"/>
          <w:color w:val="000000" w:themeColor="text1"/>
          <w:lang w:eastAsia="fr-CH"/>
        </w:rPr>
        <w:t xml:space="preserve"> project introduces mercury-free thermometers and sphygmomanometers in pilot health facilities </w:t>
      </w:r>
      <w:r w:rsidR="005D3010" w:rsidRPr="00C0279E">
        <w:rPr>
          <w:rFonts w:asciiTheme="majorBidi" w:hAnsiTheme="majorBidi" w:cstheme="majorBidi"/>
          <w:color w:val="000000" w:themeColor="text1"/>
          <w:lang w:eastAsia="fr-CH"/>
        </w:rPr>
        <w:t xml:space="preserve">in </w:t>
      </w:r>
      <w:r w:rsidRPr="00C0279E">
        <w:rPr>
          <w:rFonts w:asciiTheme="majorBidi" w:hAnsiTheme="majorBidi" w:cstheme="majorBidi"/>
          <w:color w:val="000000" w:themeColor="text1"/>
          <w:lang w:eastAsia="fr-CH"/>
        </w:rPr>
        <w:t xml:space="preserve">four </w:t>
      </w:r>
      <w:r w:rsidR="00E11AF3" w:rsidRPr="00C0279E">
        <w:rPr>
          <w:rFonts w:asciiTheme="majorBidi" w:hAnsiTheme="majorBidi" w:cstheme="majorBidi"/>
          <w:color w:val="000000" w:themeColor="text1"/>
          <w:lang w:eastAsia="fr-CH"/>
        </w:rPr>
        <w:t>s</w:t>
      </w:r>
      <w:r w:rsidRPr="00C0279E">
        <w:rPr>
          <w:rFonts w:asciiTheme="majorBidi" w:hAnsiTheme="majorBidi" w:cstheme="majorBidi"/>
          <w:color w:val="000000" w:themeColor="text1"/>
          <w:lang w:eastAsia="fr-CH"/>
        </w:rPr>
        <w:t xml:space="preserve">ub-Saharan African countries (Ghana, Madagascar, </w:t>
      </w:r>
      <w:r w:rsidR="00E11AF3" w:rsidRPr="00C0279E">
        <w:rPr>
          <w:rFonts w:asciiTheme="majorBidi" w:hAnsiTheme="majorBidi" w:cstheme="majorBidi"/>
          <w:color w:val="000000" w:themeColor="text1"/>
          <w:lang w:eastAsia="fr-CH"/>
        </w:rPr>
        <w:t xml:space="preserve">United Republic of </w:t>
      </w:r>
      <w:r w:rsidRPr="00C0279E">
        <w:rPr>
          <w:rFonts w:asciiTheme="majorBidi" w:hAnsiTheme="majorBidi" w:cstheme="majorBidi"/>
          <w:color w:val="000000" w:themeColor="text1"/>
          <w:lang w:eastAsia="fr-CH"/>
        </w:rPr>
        <w:t xml:space="preserve">Tanzania and Zambia). </w:t>
      </w:r>
    </w:p>
    <w:p w14:paraId="4E44BD3A" w14:textId="143C8A7C" w:rsidR="00B43CA2" w:rsidRPr="00C0279E" w:rsidRDefault="00902971" w:rsidP="00902971">
      <w:pPr>
        <w:pStyle w:val="CH3"/>
        <w:rPr>
          <w:rFonts w:asciiTheme="majorBidi" w:hAnsiTheme="majorBidi" w:cstheme="majorBidi"/>
          <w:i/>
          <w:iCs/>
          <w:color w:val="000000" w:themeColor="text1"/>
          <w:lang w:eastAsia="fr-CH"/>
        </w:rPr>
      </w:pPr>
      <w:r w:rsidRPr="00C0279E">
        <w:rPr>
          <w:lang w:eastAsia="fr-CH"/>
        </w:rPr>
        <w:tab/>
      </w:r>
      <w:r w:rsidRPr="00C0279E">
        <w:rPr>
          <w:lang w:eastAsia="fr-CH"/>
        </w:rPr>
        <w:tab/>
      </w:r>
      <w:r w:rsidR="00B43CA2" w:rsidRPr="00C0279E">
        <w:rPr>
          <w:lang w:eastAsia="fr-CH"/>
        </w:rPr>
        <w:t>Mercury and methylmercury in fish</w:t>
      </w:r>
    </w:p>
    <w:p w14:paraId="3E1C28D2" w14:textId="59CED75D" w:rsidR="00B43CA2" w:rsidRPr="00C0279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eastAsia="fr-CH"/>
        </w:rPr>
      </w:pPr>
      <w:r w:rsidRPr="00C0279E">
        <w:rPr>
          <w:rFonts w:asciiTheme="majorBidi" w:hAnsiTheme="majorBidi" w:cstheme="majorBidi"/>
          <w:color w:val="000000" w:themeColor="text1"/>
          <w:lang w:eastAsia="fr-CH"/>
        </w:rPr>
        <w:t xml:space="preserve">The Codex Committee on Contaminants in Foods is continuing its work </w:t>
      </w:r>
      <w:r w:rsidR="00E11AF3" w:rsidRPr="00C0279E">
        <w:rPr>
          <w:rFonts w:asciiTheme="majorBidi" w:hAnsiTheme="majorBidi" w:cstheme="majorBidi"/>
          <w:color w:val="000000" w:themeColor="text1"/>
          <w:lang w:eastAsia="fr-CH"/>
        </w:rPr>
        <w:t>on</w:t>
      </w:r>
      <w:r w:rsidRPr="00C0279E">
        <w:rPr>
          <w:rFonts w:asciiTheme="majorBidi" w:hAnsiTheme="majorBidi" w:cstheme="majorBidi"/>
          <w:color w:val="000000" w:themeColor="text1"/>
          <w:lang w:eastAsia="fr-CH"/>
        </w:rPr>
        <w:t xml:space="preserve"> establish</w:t>
      </w:r>
      <w:r w:rsidR="00E11AF3" w:rsidRPr="00C0279E">
        <w:rPr>
          <w:rFonts w:asciiTheme="majorBidi" w:hAnsiTheme="majorBidi" w:cstheme="majorBidi"/>
          <w:color w:val="000000" w:themeColor="text1"/>
          <w:lang w:eastAsia="fr-CH"/>
        </w:rPr>
        <w:t>ing</w:t>
      </w:r>
      <w:r w:rsidRPr="00C0279E">
        <w:rPr>
          <w:rFonts w:asciiTheme="majorBidi" w:hAnsiTheme="majorBidi" w:cstheme="majorBidi"/>
          <w:color w:val="000000" w:themeColor="text1"/>
          <w:lang w:eastAsia="fr-CH"/>
        </w:rPr>
        <w:t xml:space="preserve"> </w:t>
      </w:r>
      <w:r w:rsidR="00E27C08" w:rsidRPr="00C0279E">
        <w:rPr>
          <w:rFonts w:asciiTheme="majorBidi" w:hAnsiTheme="majorBidi" w:cstheme="majorBidi"/>
          <w:color w:val="000000" w:themeColor="text1"/>
          <w:lang w:eastAsia="fr-CH"/>
        </w:rPr>
        <w:t xml:space="preserve">maximum limits </w:t>
      </w:r>
      <w:r w:rsidRPr="00C0279E">
        <w:rPr>
          <w:rFonts w:asciiTheme="majorBidi" w:hAnsiTheme="majorBidi" w:cstheme="majorBidi"/>
          <w:color w:val="000000" w:themeColor="text1"/>
          <w:lang w:eastAsia="fr-CH"/>
        </w:rPr>
        <w:t>for mercury in fish.</w:t>
      </w:r>
      <w:r w:rsidR="00E27C08" w:rsidRPr="00C0279E">
        <w:rPr>
          <w:rStyle w:val="FootnoteReference"/>
          <w:rFonts w:cstheme="majorBidi"/>
          <w:lang w:eastAsia="fr-CH"/>
        </w:rPr>
        <w:footnoteReference w:id="4"/>
      </w:r>
      <w:r w:rsidRPr="00C0279E">
        <w:rPr>
          <w:rFonts w:asciiTheme="majorBidi" w:hAnsiTheme="majorBidi" w:cstheme="majorBidi"/>
          <w:color w:val="000000" w:themeColor="text1"/>
          <w:lang w:eastAsia="fr-CH"/>
        </w:rPr>
        <w:t xml:space="preserve"> </w:t>
      </w:r>
    </w:p>
    <w:p w14:paraId="736E1BFF" w14:textId="2027E2B1" w:rsidR="00B43CA2" w:rsidRPr="00C0279E" w:rsidRDefault="00902971" w:rsidP="00902971">
      <w:pPr>
        <w:pStyle w:val="CH3"/>
        <w:rPr>
          <w:lang w:eastAsia="fr-CH"/>
        </w:rPr>
      </w:pPr>
      <w:r w:rsidRPr="00C0279E">
        <w:rPr>
          <w:lang w:eastAsia="fr-CH"/>
        </w:rPr>
        <w:tab/>
      </w:r>
      <w:r w:rsidRPr="00C0279E">
        <w:rPr>
          <w:lang w:eastAsia="fr-CH"/>
        </w:rPr>
        <w:tab/>
      </w:r>
      <w:r w:rsidR="00B43CA2" w:rsidRPr="00C0279E">
        <w:rPr>
          <w:lang w:eastAsia="fr-CH"/>
        </w:rPr>
        <w:t xml:space="preserve">Biomonitoring </w:t>
      </w:r>
    </w:p>
    <w:p w14:paraId="22E0EC50" w14:textId="014BC807" w:rsidR="00B43CA2" w:rsidRPr="00C0279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i/>
          <w:iCs/>
          <w:color w:val="000000" w:themeColor="text1"/>
        </w:rPr>
      </w:pPr>
      <w:r w:rsidRPr="00C0279E">
        <w:rPr>
          <w:rFonts w:asciiTheme="majorBidi" w:hAnsiTheme="majorBidi" w:cstheme="majorBidi"/>
          <w:color w:val="000000" w:themeColor="text1"/>
        </w:rPr>
        <w:t xml:space="preserve">WHO, through its Regional Office for Europe, has collaborated with </w:t>
      </w:r>
      <w:r w:rsidR="00E27C08" w:rsidRPr="00C0279E">
        <w:rPr>
          <w:rFonts w:asciiTheme="majorBidi" w:hAnsiTheme="majorBidi" w:cstheme="majorBidi"/>
          <w:color w:val="000000" w:themeColor="text1"/>
        </w:rPr>
        <w:t xml:space="preserve">the </w:t>
      </w:r>
      <w:r w:rsidRPr="00C0279E">
        <w:rPr>
          <w:rFonts w:asciiTheme="majorBidi" w:hAnsiTheme="majorBidi" w:cstheme="majorBidi"/>
          <w:color w:val="000000" w:themeColor="text1"/>
        </w:rPr>
        <w:t>U</w:t>
      </w:r>
      <w:r w:rsidR="00E27C08" w:rsidRPr="00C0279E">
        <w:rPr>
          <w:rFonts w:asciiTheme="majorBidi" w:hAnsiTheme="majorBidi" w:cstheme="majorBidi"/>
          <w:color w:val="000000" w:themeColor="text1"/>
        </w:rPr>
        <w:t xml:space="preserve">nited </w:t>
      </w:r>
      <w:r w:rsidRPr="00C0279E">
        <w:rPr>
          <w:rFonts w:asciiTheme="majorBidi" w:hAnsiTheme="majorBidi" w:cstheme="majorBidi"/>
          <w:color w:val="000000" w:themeColor="text1"/>
        </w:rPr>
        <w:t>N</w:t>
      </w:r>
      <w:r w:rsidR="00E27C08" w:rsidRPr="00C0279E">
        <w:rPr>
          <w:rFonts w:asciiTheme="majorBidi" w:hAnsiTheme="majorBidi" w:cstheme="majorBidi"/>
          <w:color w:val="000000" w:themeColor="text1"/>
        </w:rPr>
        <w:t xml:space="preserve">ations </w:t>
      </w:r>
      <w:r w:rsidRPr="00C0279E">
        <w:rPr>
          <w:rFonts w:asciiTheme="majorBidi" w:hAnsiTheme="majorBidi" w:cstheme="majorBidi"/>
          <w:color w:val="000000" w:themeColor="text1"/>
        </w:rPr>
        <w:t>E</w:t>
      </w:r>
      <w:r w:rsidR="00E27C08" w:rsidRPr="00C0279E">
        <w:rPr>
          <w:rFonts w:asciiTheme="majorBidi" w:hAnsiTheme="majorBidi" w:cstheme="majorBidi"/>
          <w:color w:val="000000" w:themeColor="text1"/>
        </w:rPr>
        <w:t xml:space="preserve">nvironment </w:t>
      </w:r>
      <w:r w:rsidRPr="00C0279E">
        <w:rPr>
          <w:rFonts w:asciiTheme="majorBidi" w:hAnsiTheme="majorBidi" w:cstheme="majorBidi"/>
          <w:color w:val="000000" w:themeColor="text1"/>
        </w:rPr>
        <w:t>P</w:t>
      </w:r>
      <w:r w:rsidR="00E27C08" w:rsidRPr="00C0279E">
        <w:rPr>
          <w:rFonts w:asciiTheme="majorBidi" w:hAnsiTheme="majorBidi" w:cstheme="majorBidi"/>
          <w:color w:val="000000" w:themeColor="text1"/>
        </w:rPr>
        <w:t>rogramme</w:t>
      </w:r>
      <w:r w:rsidRPr="00C0279E">
        <w:rPr>
          <w:rFonts w:asciiTheme="majorBidi" w:hAnsiTheme="majorBidi" w:cstheme="majorBidi"/>
          <w:color w:val="000000" w:themeColor="text1"/>
        </w:rPr>
        <w:t xml:space="preserve"> on the implementation of a GEF </w:t>
      </w:r>
      <w:r w:rsidR="00E27C08" w:rsidRPr="00C0279E">
        <w:rPr>
          <w:rFonts w:asciiTheme="majorBidi" w:hAnsiTheme="majorBidi" w:cstheme="majorBidi"/>
          <w:color w:val="000000" w:themeColor="text1"/>
        </w:rPr>
        <w:t>project en</w:t>
      </w:r>
      <w:r w:rsidRPr="00C0279E">
        <w:rPr>
          <w:rFonts w:asciiTheme="majorBidi" w:hAnsiTheme="majorBidi" w:cstheme="majorBidi"/>
          <w:color w:val="000000" w:themeColor="text1"/>
        </w:rPr>
        <w:t xml:space="preserve">titled </w:t>
      </w:r>
      <w:r w:rsidR="00E27C08" w:rsidRPr="00C0279E">
        <w:rPr>
          <w:rFonts w:asciiTheme="majorBidi" w:hAnsiTheme="majorBidi" w:cstheme="majorBidi"/>
          <w:color w:val="000000" w:themeColor="text1"/>
        </w:rPr>
        <w:t>“</w:t>
      </w:r>
      <w:r w:rsidRPr="00C0279E">
        <w:rPr>
          <w:rFonts w:asciiTheme="majorBidi" w:hAnsiTheme="majorBidi" w:cstheme="majorBidi"/>
          <w:iCs/>
          <w:color w:val="000000" w:themeColor="text1"/>
        </w:rPr>
        <w:t xml:space="preserve">Development of a </w:t>
      </w:r>
      <w:r w:rsidR="00E27C08" w:rsidRPr="00C0279E">
        <w:rPr>
          <w:rFonts w:asciiTheme="majorBidi" w:hAnsiTheme="majorBidi" w:cstheme="majorBidi"/>
          <w:iCs/>
          <w:color w:val="000000" w:themeColor="text1"/>
        </w:rPr>
        <w:t xml:space="preserve">plan </w:t>
      </w:r>
      <w:r w:rsidRPr="00C0279E">
        <w:rPr>
          <w:rFonts w:asciiTheme="majorBidi" w:hAnsiTheme="majorBidi" w:cstheme="majorBidi"/>
          <w:iCs/>
          <w:color w:val="000000" w:themeColor="text1"/>
        </w:rPr>
        <w:t xml:space="preserve">for </w:t>
      </w:r>
      <w:r w:rsidR="00E27C08" w:rsidRPr="00C0279E">
        <w:rPr>
          <w:rFonts w:asciiTheme="majorBidi" w:hAnsiTheme="majorBidi" w:cstheme="majorBidi"/>
          <w:iCs/>
          <w:color w:val="000000" w:themeColor="text1"/>
        </w:rPr>
        <w:t>g</w:t>
      </w:r>
      <w:r w:rsidRPr="00C0279E">
        <w:rPr>
          <w:rFonts w:asciiTheme="majorBidi" w:hAnsiTheme="majorBidi" w:cstheme="majorBidi"/>
          <w:iCs/>
          <w:color w:val="000000" w:themeColor="text1"/>
        </w:rPr>
        <w:t xml:space="preserve">lobal </w:t>
      </w:r>
      <w:r w:rsidR="00E27C08" w:rsidRPr="00C0279E">
        <w:rPr>
          <w:rFonts w:asciiTheme="majorBidi" w:hAnsiTheme="majorBidi" w:cstheme="majorBidi"/>
          <w:iCs/>
          <w:color w:val="000000" w:themeColor="text1"/>
        </w:rPr>
        <w:t>m</w:t>
      </w:r>
      <w:r w:rsidRPr="00C0279E">
        <w:rPr>
          <w:rFonts w:asciiTheme="majorBidi" w:hAnsiTheme="majorBidi" w:cstheme="majorBidi"/>
          <w:iCs/>
          <w:color w:val="000000" w:themeColor="text1"/>
        </w:rPr>
        <w:t xml:space="preserve">onitoring of </w:t>
      </w:r>
      <w:r w:rsidR="00E27C08" w:rsidRPr="00C0279E">
        <w:rPr>
          <w:rFonts w:asciiTheme="majorBidi" w:hAnsiTheme="majorBidi" w:cstheme="majorBidi"/>
          <w:iCs/>
          <w:color w:val="000000" w:themeColor="text1"/>
        </w:rPr>
        <w:t>h</w:t>
      </w:r>
      <w:r w:rsidRPr="00C0279E">
        <w:rPr>
          <w:rFonts w:asciiTheme="majorBidi" w:hAnsiTheme="majorBidi" w:cstheme="majorBidi"/>
          <w:iCs/>
          <w:color w:val="000000" w:themeColor="text1"/>
        </w:rPr>
        <w:t xml:space="preserve">uman </w:t>
      </w:r>
      <w:r w:rsidR="00E27C08" w:rsidRPr="00C0279E">
        <w:rPr>
          <w:rFonts w:asciiTheme="majorBidi" w:hAnsiTheme="majorBidi" w:cstheme="majorBidi"/>
          <w:iCs/>
          <w:color w:val="000000" w:themeColor="text1"/>
        </w:rPr>
        <w:t>e</w:t>
      </w:r>
      <w:r w:rsidRPr="00C0279E">
        <w:rPr>
          <w:rFonts w:asciiTheme="majorBidi" w:hAnsiTheme="majorBidi" w:cstheme="majorBidi"/>
          <w:iCs/>
          <w:color w:val="000000" w:themeColor="text1"/>
        </w:rPr>
        <w:t xml:space="preserve">xposure to and </w:t>
      </w:r>
      <w:r w:rsidR="00E27C08" w:rsidRPr="00C0279E">
        <w:rPr>
          <w:rFonts w:asciiTheme="majorBidi" w:hAnsiTheme="majorBidi" w:cstheme="majorBidi"/>
          <w:iCs/>
          <w:color w:val="000000" w:themeColor="text1"/>
        </w:rPr>
        <w:t>e</w:t>
      </w:r>
      <w:r w:rsidRPr="00C0279E">
        <w:rPr>
          <w:rFonts w:asciiTheme="majorBidi" w:hAnsiTheme="majorBidi" w:cstheme="majorBidi"/>
          <w:iCs/>
          <w:color w:val="000000" w:themeColor="text1"/>
        </w:rPr>
        <w:t xml:space="preserve">nvironmental </w:t>
      </w:r>
      <w:r w:rsidR="00E27C08" w:rsidRPr="00C0279E">
        <w:rPr>
          <w:rFonts w:asciiTheme="majorBidi" w:hAnsiTheme="majorBidi" w:cstheme="majorBidi"/>
          <w:iCs/>
          <w:color w:val="000000" w:themeColor="text1"/>
        </w:rPr>
        <w:t>c</w:t>
      </w:r>
      <w:r w:rsidRPr="00C0279E">
        <w:rPr>
          <w:rFonts w:asciiTheme="majorBidi" w:hAnsiTheme="majorBidi" w:cstheme="majorBidi"/>
          <w:iCs/>
          <w:color w:val="000000" w:themeColor="text1"/>
        </w:rPr>
        <w:t xml:space="preserve">oncentrations of </w:t>
      </w:r>
      <w:r w:rsidR="00E27C08" w:rsidRPr="00C0279E">
        <w:rPr>
          <w:rFonts w:asciiTheme="majorBidi" w:hAnsiTheme="majorBidi" w:cstheme="majorBidi"/>
          <w:iCs/>
          <w:color w:val="000000" w:themeColor="text1"/>
        </w:rPr>
        <w:t>m</w:t>
      </w:r>
      <w:r w:rsidRPr="00C0279E">
        <w:rPr>
          <w:rFonts w:asciiTheme="majorBidi" w:hAnsiTheme="majorBidi" w:cstheme="majorBidi"/>
          <w:iCs/>
          <w:color w:val="000000" w:themeColor="text1"/>
        </w:rPr>
        <w:t>ercury</w:t>
      </w:r>
      <w:r w:rsidR="00E27C08" w:rsidRPr="00C0279E">
        <w:rPr>
          <w:rFonts w:asciiTheme="majorBidi" w:hAnsiTheme="majorBidi" w:cstheme="majorBidi"/>
          <w:iCs/>
          <w:color w:val="000000" w:themeColor="text1"/>
        </w:rPr>
        <w:t>”</w:t>
      </w:r>
      <w:r w:rsidRPr="00C0279E">
        <w:rPr>
          <w:rFonts w:asciiTheme="majorBidi" w:hAnsiTheme="majorBidi" w:cstheme="majorBidi"/>
          <w:color w:val="000000" w:themeColor="text1"/>
        </w:rPr>
        <w:t>.</w:t>
      </w:r>
      <w:r w:rsidR="00E96087" w:rsidRPr="00C0279E">
        <w:rPr>
          <w:rFonts w:asciiTheme="majorBidi" w:hAnsiTheme="majorBidi" w:cstheme="majorBidi"/>
          <w:color w:val="000000" w:themeColor="text1"/>
        </w:rPr>
        <w:t xml:space="preserve"> </w:t>
      </w:r>
      <w:r w:rsidRPr="00C0279E">
        <w:rPr>
          <w:rFonts w:asciiTheme="majorBidi" w:hAnsiTheme="majorBidi" w:cstheme="majorBidi"/>
          <w:color w:val="000000" w:themeColor="text1"/>
        </w:rPr>
        <w:t xml:space="preserve">A harmonized approach to the assessment of prenatal exposure to mercury has been developed, including a </w:t>
      </w:r>
      <w:r w:rsidRPr="00CF51F6">
        <w:rPr>
          <w:rFonts w:asciiTheme="majorBidi" w:hAnsiTheme="majorBidi" w:cstheme="majorBidi"/>
          <w:color w:val="000000" w:themeColor="text1"/>
        </w:rPr>
        <w:t>WHO</w:t>
      </w:r>
      <w:r w:rsidRPr="00C0279E">
        <w:rPr>
          <w:rFonts w:asciiTheme="majorBidi" w:hAnsiTheme="majorBidi" w:cstheme="majorBidi"/>
          <w:color w:val="000000" w:themeColor="text1"/>
        </w:rPr>
        <w:t xml:space="preserve"> </w:t>
      </w:r>
      <w:r w:rsidR="00E27C08" w:rsidRPr="00C0279E">
        <w:rPr>
          <w:rFonts w:asciiTheme="majorBidi" w:hAnsiTheme="majorBidi" w:cstheme="majorBidi"/>
          <w:color w:val="000000" w:themeColor="text1"/>
        </w:rPr>
        <w:t>s</w:t>
      </w:r>
      <w:r w:rsidRPr="00C0279E">
        <w:rPr>
          <w:rFonts w:asciiTheme="majorBidi" w:hAnsiTheme="majorBidi" w:cstheme="majorBidi"/>
          <w:color w:val="000000" w:themeColor="text1"/>
        </w:rPr>
        <w:t xml:space="preserve">urvey </w:t>
      </w:r>
      <w:r w:rsidR="00E27C08" w:rsidRPr="00C0279E">
        <w:rPr>
          <w:rFonts w:asciiTheme="majorBidi" w:hAnsiTheme="majorBidi" w:cstheme="majorBidi"/>
          <w:color w:val="000000" w:themeColor="text1"/>
        </w:rPr>
        <w:t>p</w:t>
      </w:r>
      <w:r w:rsidRPr="00C0279E">
        <w:rPr>
          <w:rFonts w:asciiTheme="majorBidi" w:hAnsiTheme="majorBidi" w:cstheme="majorBidi"/>
          <w:color w:val="000000" w:themeColor="text1"/>
        </w:rPr>
        <w:t xml:space="preserve">rotocol and a series of standard operating procedures for sampling and analysis. Data on exposure to mercury from </w:t>
      </w:r>
      <w:r w:rsidR="00E27C08" w:rsidRPr="00C0279E">
        <w:rPr>
          <w:rFonts w:asciiTheme="majorBidi" w:hAnsiTheme="majorBidi" w:cstheme="majorBidi"/>
          <w:color w:val="000000" w:themeColor="text1"/>
        </w:rPr>
        <w:t xml:space="preserve">seven </w:t>
      </w:r>
      <w:r w:rsidRPr="00C0279E">
        <w:rPr>
          <w:rFonts w:asciiTheme="majorBidi" w:hAnsiTheme="majorBidi" w:cstheme="majorBidi"/>
          <w:color w:val="000000" w:themeColor="text1"/>
        </w:rPr>
        <w:t xml:space="preserve">countries has been collected and will be published in a scientific journal. </w:t>
      </w:r>
    </w:p>
    <w:p w14:paraId="22CF5324" w14:textId="28B7395D" w:rsidR="00B43CA2" w:rsidRPr="00C0279E" w:rsidRDefault="00902971" w:rsidP="00902971">
      <w:pPr>
        <w:pStyle w:val="CH3"/>
        <w:rPr>
          <w:lang w:eastAsia="fr-CH"/>
        </w:rPr>
      </w:pPr>
      <w:r w:rsidRPr="00C0279E">
        <w:rPr>
          <w:lang w:eastAsia="fr-CH"/>
        </w:rPr>
        <w:tab/>
      </w:r>
      <w:r w:rsidRPr="00C0279E">
        <w:rPr>
          <w:lang w:eastAsia="fr-CH"/>
        </w:rPr>
        <w:tab/>
      </w:r>
      <w:r w:rsidR="00B43CA2" w:rsidRPr="00C0279E">
        <w:rPr>
          <w:lang w:eastAsia="fr-CH"/>
        </w:rPr>
        <w:t xml:space="preserve">Intersessional </w:t>
      </w:r>
      <w:r w:rsidR="00E27C08" w:rsidRPr="00C0279E">
        <w:rPr>
          <w:lang w:eastAsia="fr-CH"/>
        </w:rPr>
        <w:t xml:space="preserve">work </w:t>
      </w:r>
      <w:r w:rsidR="00B43CA2" w:rsidRPr="00C0279E">
        <w:rPr>
          <w:lang w:eastAsia="fr-CH"/>
        </w:rPr>
        <w:t>of the C</w:t>
      </w:r>
      <w:r w:rsidR="00E27C08" w:rsidRPr="00C0279E">
        <w:rPr>
          <w:lang w:eastAsia="fr-CH"/>
        </w:rPr>
        <w:t xml:space="preserve">onference of the </w:t>
      </w:r>
      <w:r w:rsidR="00B43CA2" w:rsidRPr="00C0279E">
        <w:rPr>
          <w:lang w:eastAsia="fr-CH"/>
        </w:rPr>
        <w:t>P</w:t>
      </w:r>
      <w:r w:rsidR="00E27C08" w:rsidRPr="00C0279E">
        <w:rPr>
          <w:lang w:eastAsia="fr-CH"/>
        </w:rPr>
        <w:t>arties</w:t>
      </w:r>
    </w:p>
    <w:p w14:paraId="76E027E1" w14:textId="56ED8C9B" w:rsidR="00B43CA2" w:rsidRPr="00C0279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lang w:eastAsia="fr-CH"/>
        </w:rPr>
      </w:pPr>
      <w:r w:rsidRPr="00C0279E">
        <w:rPr>
          <w:rFonts w:asciiTheme="majorBidi" w:hAnsiTheme="majorBidi" w:cstheme="majorBidi"/>
          <w:color w:val="000000" w:themeColor="text1"/>
          <w:lang w:eastAsia="fr-CH"/>
        </w:rPr>
        <w:t xml:space="preserve">WHO contributed to the work of the ad hoc group of experts on the arrangements for providing the Conference of the Parties with comparable monitoring data, and elements of an effectiveness evaluation framework under </w:t>
      </w:r>
      <w:r w:rsidR="00E27C08" w:rsidRPr="00C0279E">
        <w:rPr>
          <w:rFonts w:asciiTheme="majorBidi" w:hAnsiTheme="majorBidi" w:cstheme="majorBidi"/>
          <w:color w:val="000000" w:themeColor="text1"/>
          <w:lang w:eastAsia="fr-CH"/>
        </w:rPr>
        <w:t xml:space="preserve">article </w:t>
      </w:r>
      <w:r w:rsidRPr="00C0279E">
        <w:rPr>
          <w:rFonts w:asciiTheme="majorBidi" w:hAnsiTheme="majorBidi" w:cstheme="majorBidi"/>
          <w:color w:val="000000" w:themeColor="text1"/>
          <w:lang w:eastAsia="fr-CH"/>
        </w:rPr>
        <w:t>22</w:t>
      </w:r>
      <w:r w:rsidR="004D38EC">
        <w:rPr>
          <w:rFonts w:asciiTheme="majorBidi" w:hAnsiTheme="majorBidi" w:cstheme="majorBidi"/>
          <w:color w:val="000000" w:themeColor="text1"/>
          <w:lang w:eastAsia="fr-CH"/>
        </w:rPr>
        <w:t xml:space="preserve"> of the Convention</w:t>
      </w:r>
      <w:r w:rsidRPr="00C0279E">
        <w:rPr>
          <w:rFonts w:asciiTheme="majorBidi" w:hAnsiTheme="majorBidi" w:cstheme="majorBidi"/>
          <w:color w:val="000000" w:themeColor="text1"/>
          <w:lang w:eastAsia="fr-CH"/>
        </w:rPr>
        <w:t>.</w:t>
      </w:r>
      <w:r w:rsidR="00E96087" w:rsidRPr="00C0279E">
        <w:rPr>
          <w:rFonts w:asciiTheme="majorBidi" w:hAnsiTheme="majorBidi" w:cstheme="majorBidi"/>
          <w:color w:val="000000" w:themeColor="text1"/>
          <w:lang w:eastAsia="fr-CH"/>
        </w:rPr>
        <w:t xml:space="preserve"> </w:t>
      </w:r>
      <w:r w:rsidRPr="00CF51F6">
        <w:rPr>
          <w:rFonts w:asciiTheme="majorBidi" w:hAnsiTheme="majorBidi" w:cstheme="majorBidi"/>
          <w:color w:val="000000" w:themeColor="text1"/>
        </w:rPr>
        <w:t>WHO</w:t>
      </w:r>
      <w:r w:rsidRPr="00C0279E">
        <w:rPr>
          <w:rFonts w:asciiTheme="majorBidi" w:hAnsiTheme="majorBidi" w:cstheme="majorBidi"/>
          <w:color w:val="000000" w:themeColor="text1"/>
          <w:lang w:eastAsia="fr-CH"/>
        </w:rPr>
        <w:t xml:space="preserve"> participated in the meeting of the group, </w:t>
      </w:r>
      <w:r w:rsidR="005D3010" w:rsidRPr="00C0279E">
        <w:rPr>
          <w:rFonts w:asciiTheme="majorBidi" w:hAnsiTheme="majorBidi" w:cstheme="majorBidi"/>
          <w:color w:val="000000" w:themeColor="text1"/>
          <w:lang w:eastAsia="fr-CH"/>
        </w:rPr>
        <w:t xml:space="preserve">held in Ottawa </w:t>
      </w:r>
      <w:r w:rsidRPr="00C0279E">
        <w:rPr>
          <w:rFonts w:asciiTheme="majorBidi" w:hAnsiTheme="majorBidi" w:cstheme="majorBidi"/>
          <w:color w:val="000000" w:themeColor="text1"/>
          <w:lang w:eastAsia="fr-CH"/>
        </w:rPr>
        <w:t xml:space="preserve">from 5 </w:t>
      </w:r>
      <w:r w:rsidR="00E27C08" w:rsidRPr="00C0279E">
        <w:rPr>
          <w:rFonts w:asciiTheme="majorBidi" w:hAnsiTheme="majorBidi" w:cstheme="majorBidi"/>
          <w:color w:val="000000" w:themeColor="text1"/>
          <w:lang w:eastAsia="fr-CH"/>
        </w:rPr>
        <w:t>to</w:t>
      </w:r>
      <w:r w:rsidRPr="00C0279E">
        <w:rPr>
          <w:rFonts w:asciiTheme="majorBidi" w:hAnsiTheme="majorBidi" w:cstheme="majorBidi"/>
          <w:color w:val="000000" w:themeColor="text1"/>
          <w:lang w:eastAsia="fr-CH"/>
        </w:rPr>
        <w:t xml:space="preserve"> 9 March 2018.</w:t>
      </w:r>
      <w:r w:rsidR="00E96087" w:rsidRPr="00C0279E">
        <w:rPr>
          <w:rFonts w:asciiTheme="majorBidi" w:hAnsiTheme="majorBidi" w:cstheme="majorBidi"/>
          <w:color w:val="000000" w:themeColor="text1"/>
          <w:lang w:eastAsia="fr-CH"/>
        </w:rPr>
        <w:t xml:space="preserve"> </w:t>
      </w:r>
      <w:r w:rsidRPr="00C0279E">
        <w:rPr>
          <w:rFonts w:asciiTheme="majorBidi" w:hAnsiTheme="majorBidi" w:cstheme="majorBidi"/>
          <w:color w:val="000000" w:themeColor="text1"/>
          <w:lang w:eastAsia="fr-CH"/>
        </w:rPr>
        <w:t xml:space="preserve">WHO </w:t>
      </w:r>
      <w:r w:rsidR="00F105C7" w:rsidRPr="00C0279E">
        <w:rPr>
          <w:rFonts w:asciiTheme="majorBidi" w:hAnsiTheme="majorBidi" w:cstheme="majorBidi"/>
          <w:color w:val="000000" w:themeColor="text1"/>
          <w:lang w:eastAsia="fr-CH"/>
        </w:rPr>
        <w:t xml:space="preserve">also </w:t>
      </w:r>
      <w:r w:rsidRPr="00C0279E">
        <w:rPr>
          <w:rFonts w:asciiTheme="majorBidi" w:hAnsiTheme="majorBidi" w:cstheme="majorBidi"/>
          <w:color w:val="000000" w:themeColor="text1"/>
          <w:lang w:eastAsia="fr-CH"/>
        </w:rPr>
        <w:t xml:space="preserve">provided comments on the first draft of </w:t>
      </w:r>
      <w:r w:rsidR="00F105C7" w:rsidRPr="00C0279E">
        <w:rPr>
          <w:rFonts w:asciiTheme="majorBidi" w:hAnsiTheme="majorBidi" w:cstheme="majorBidi"/>
          <w:color w:val="000000" w:themeColor="text1"/>
          <w:lang w:eastAsia="fr-CH"/>
        </w:rPr>
        <w:t xml:space="preserve">the </w:t>
      </w:r>
      <w:r w:rsidRPr="00C0279E">
        <w:rPr>
          <w:rFonts w:asciiTheme="majorBidi" w:hAnsiTheme="majorBidi" w:cstheme="majorBidi"/>
          <w:color w:val="000000" w:themeColor="text1"/>
          <w:lang w:eastAsia="fr-CH"/>
        </w:rPr>
        <w:t>guidance on the management of contaminated sites.</w:t>
      </w:r>
    </w:p>
    <w:p w14:paraId="53234BA5" w14:textId="1245F949" w:rsidR="00B43CA2" w:rsidRPr="00C0279E" w:rsidRDefault="00902971" w:rsidP="00902971">
      <w:pPr>
        <w:pStyle w:val="CH3"/>
      </w:pPr>
      <w:r w:rsidRPr="00C0279E">
        <w:tab/>
      </w:r>
      <w:r w:rsidRPr="00C0279E">
        <w:tab/>
      </w:r>
      <w:r w:rsidR="00B43CA2" w:rsidRPr="00C0279E">
        <w:t>Global mercury assessment</w:t>
      </w:r>
    </w:p>
    <w:p w14:paraId="54ACC05B" w14:textId="63B61B04" w:rsidR="00B43CA2" w:rsidRPr="00C0279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color w:val="000000" w:themeColor="text1"/>
        </w:rPr>
      </w:pPr>
      <w:r w:rsidRPr="00C0279E">
        <w:rPr>
          <w:rFonts w:asciiTheme="majorBidi" w:hAnsiTheme="majorBidi" w:cstheme="majorBidi"/>
          <w:color w:val="000000" w:themeColor="text1"/>
        </w:rPr>
        <w:t>WHO has led the development of a chapter on human biomonitoring of mercury for the 2018 Global Mercury Assessment</w:t>
      </w:r>
      <w:r w:rsidR="00EC366F" w:rsidRPr="00C0279E">
        <w:rPr>
          <w:rFonts w:asciiTheme="majorBidi" w:hAnsiTheme="majorBidi" w:cstheme="majorBidi"/>
          <w:color w:val="000000" w:themeColor="text1"/>
        </w:rPr>
        <w:t xml:space="preserve">, which </w:t>
      </w:r>
      <w:r w:rsidRPr="00C0279E">
        <w:rPr>
          <w:rFonts w:asciiTheme="majorBidi" w:hAnsiTheme="majorBidi" w:cstheme="majorBidi"/>
          <w:color w:val="000000" w:themeColor="text1"/>
        </w:rPr>
        <w:t xml:space="preserve">presents global data on mercury exposure, shows trends over time and identifies data gaps. </w:t>
      </w:r>
    </w:p>
    <w:p w14:paraId="277976A7" w14:textId="1E424D78" w:rsidR="00B43CA2" w:rsidRPr="00C0279E" w:rsidRDefault="00902971" w:rsidP="00902971">
      <w:pPr>
        <w:pStyle w:val="CH3"/>
        <w:rPr>
          <w:lang w:eastAsia="fr-CH"/>
        </w:rPr>
      </w:pPr>
      <w:r w:rsidRPr="00C0279E">
        <w:rPr>
          <w:lang w:eastAsia="fr-CH"/>
        </w:rPr>
        <w:tab/>
      </w:r>
      <w:r w:rsidRPr="00C0279E">
        <w:rPr>
          <w:lang w:eastAsia="fr-CH"/>
        </w:rPr>
        <w:tab/>
      </w:r>
      <w:r w:rsidR="00B43CA2" w:rsidRPr="00C0279E">
        <w:rPr>
          <w:lang w:eastAsia="fr-CH"/>
        </w:rPr>
        <w:t>World Health Assembly</w:t>
      </w:r>
    </w:p>
    <w:p w14:paraId="46D8C0DD" w14:textId="6A98DC98" w:rsidR="00B43CA2" w:rsidRPr="00C0279E" w:rsidRDefault="00B43CA2" w:rsidP="00902971">
      <w:pPr>
        <w:pStyle w:val="Normalnumber"/>
        <w:numPr>
          <w:ilvl w:val="0"/>
          <w:numId w:val="7"/>
        </w:numPr>
        <w:tabs>
          <w:tab w:val="clear" w:pos="1247"/>
          <w:tab w:val="clear" w:pos="1814"/>
          <w:tab w:val="clear" w:pos="2381"/>
          <w:tab w:val="clear" w:pos="2948"/>
          <w:tab w:val="clear" w:pos="3515"/>
          <w:tab w:val="clear" w:pos="4082"/>
          <w:tab w:val="left" w:pos="624"/>
        </w:tabs>
        <w:ind w:left="1247" w:firstLine="0"/>
        <w:rPr>
          <w:rFonts w:asciiTheme="majorBidi" w:hAnsiTheme="majorBidi" w:cstheme="majorBidi"/>
        </w:rPr>
      </w:pPr>
      <w:r w:rsidRPr="00C0279E">
        <w:rPr>
          <w:rFonts w:asciiTheme="majorBidi" w:hAnsiTheme="majorBidi" w:cstheme="majorBidi"/>
          <w:lang w:eastAsia="fr-CH"/>
        </w:rPr>
        <w:t xml:space="preserve">As requested during the </w:t>
      </w:r>
      <w:r w:rsidR="00E11AF3" w:rsidRPr="00C0279E">
        <w:rPr>
          <w:rFonts w:asciiTheme="majorBidi" w:hAnsiTheme="majorBidi" w:cstheme="majorBidi"/>
          <w:lang w:eastAsia="fr-CH"/>
        </w:rPr>
        <w:t>seventieth</w:t>
      </w:r>
      <w:r w:rsidR="00E27C08" w:rsidRPr="00C0279E">
        <w:rPr>
          <w:rFonts w:asciiTheme="majorBidi" w:hAnsiTheme="majorBidi" w:cstheme="majorBidi"/>
          <w:lang w:eastAsia="fr-CH"/>
        </w:rPr>
        <w:t xml:space="preserve"> </w:t>
      </w:r>
      <w:r w:rsidRPr="00C0279E">
        <w:rPr>
          <w:rFonts w:asciiTheme="majorBidi" w:hAnsiTheme="majorBidi" w:cstheme="majorBidi"/>
          <w:lang w:eastAsia="fr-CH"/>
        </w:rPr>
        <w:t xml:space="preserve">World Health Assembly, the WHO Secretariat will report to the </w:t>
      </w:r>
      <w:r w:rsidR="00E11AF3" w:rsidRPr="00C0279E">
        <w:rPr>
          <w:rFonts w:asciiTheme="majorBidi" w:hAnsiTheme="majorBidi" w:cstheme="majorBidi"/>
          <w:lang w:eastAsia="fr-CH"/>
        </w:rPr>
        <w:t xml:space="preserve">seventy-second World Health Assembly and the seventy-fourth </w:t>
      </w:r>
      <w:r w:rsidRPr="00C0279E">
        <w:rPr>
          <w:rFonts w:asciiTheme="majorBidi" w:hAnsiTheme="majorBidi" w:cstheme="majorBidi"/>
          <w:lang w:eastAsia="fr-CH"/>
        </w:rPr>
        <w:t xml:space="preserve">World Health Assembly </w:t>
      </w:r>
      <w:r w:rsidRPr="00CF51F6">
        <w:rPr>
          <w:rFonts w:asciiTheme="majorBidi" w:hAnsiTheme="majorBidi" w:cstheme="majorBidi"/>
          <w:color w:val="000000" w:themeColor="text1"/>
        </w:rPr>
        <w:t>on</w:t>
      </w:r>
      <w:r w:rsidRPr="00C0279E">
        <w:rPr>
          <w:rFonts w:asciiTheme="majorBidi" w:hAnsiTheme="majorBidi" w:cstheme="majorBidi"/>
          <w:lang w:eastAsia="fr-CH"/>
        </w:rPr>
        <w:t xml:space="preserve"> </w:t>
      </w:r>
      <w:r w:rsidR="00E11AF3" w:rsidRPr="00C0279E">
        <w:rPr>
          <w:rFonts w:asciiTheme="majorBidi" w:hAnsiTheme="majorBidi" w:cstheme="majorBidi"/>
          <w:lang w:eastAsia="fr-CH"/>
        </w:rPr>
        <w:t xml:space="preserve">the </w:t>
      </w:r>
      <w:r w:rsidRPr="00C0279E">
        <w:rPr>
          <w:rFonts w:asciiTheme="majorBidi" w:hAnsiTheme="majorBidi" w:cstheme="majorBidi"/>
          <w:lang w:eastAsia="fr-CH"/>
        </w:rPr>
        <w:t xml:space="preserve">implementation of </w:t>
      </w:r>
      <w:r w:rsidR="00E27C08" w:rsidRPr="00C0279E">
        <w:rPr>
          <w:rFonts w:asciiTheme="majorBidi" w:hAnsiTheme="majorBidi" w:cstheme="majorBidi"/>
          <w:lang w:eastAsia="fr-CH"/>
        </w:rPr>
        <w:t xml:space="preserve">resolution </w:t>
      </w:r>
      <w:r w:rsidRPr="00C0279E">
        <w:rPr>
          <w:rFonts w:asciiTheme="majorBidi" w:hAnsiTheme="majorBidi" w:cstheme="majorBidi"/>
          <w:lang w:eastAsia="fr-CH"/>
        </w:rPr>
        <w:t xml:space="preserve">WHA67.11.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02971" w:rsidRPr="00CF51F6" w14:paraId="429581A3" w14:textId="77777777" w:rsidTr="00902971">
        <w:tc>
          <w:tcPr>
            <w:tcW w:w="1897" w:type="dxa"/>
          </w:tcPr>
          <w:p w14:paraId="18AEBF48" w14:textId="77777777" w:rsidR="00902971" w:rsidRPr="00C0279E" w:rsidRDefault="00902971" w:rsidP="00902971">
            <w:pPr>
              <w:pStyle w:val="Normal-pool"/>
              <w:spacing w:before="520"/>
            </w:pPr>
          </w:p>
        </w:tc>
        <w:tc>
          <w:tcPr>
            <w:tcW w:w="1897" w:type="dxa"/>
          </w:tcPr>
          <w:p w14:paraId="02ECDBD7" w14:textId="77777777" w:rsidR="00902971" w:rsidRPr="00C0279E" w:rsidRDefault="00902971" w:rsidP="00902971">
            <w:pPr>
              <w:pStyle w:val="Normal-pool"/>
              <w:spacing w:before="520"/>
            </w:pPr>
          </w:p>
        </w:tc>
        <w:tc>
          <w:tcPr>
            <w:tcW w:w="1897" w:type="dxa"/>
            <w:tcBorders>
              <w:bottom w:val="single" w:sz="4" w:space="0" w:color="auto"/>
            </w:tcBorders>
          </w:tcPr>
          <w:p w14:paraId="53BA80CD" w14:textId="77777777" w:rsidR="00902971" w:rsidRPr="00C0279E" w:rsidRDefault="00902971" w:rsidP="00902971">
            <w:pPr>
              <w:pStyle w:val="Normal-pool"/>
              <w:spacing w:before="520"/>
            </w:pPr>
          </w:p>
        </w:tc>
        <w:tc>
          <w:tcPr>
            <w:tcW w:w="1897" w:type="dxa"/>
          </w:tcPr>
          <w:p w14:paraId="34EC0D12" w14:textId="77777777" w:rsidR="00902971" w:rsidRPr="00C0279E" w:rsidRDefault="00902971" w:rsidP="00902971">
            <w:pPr>
              <w:pStyle w:val="Normal-pool"/>
              <w:spacing w:before="520"/>
            </w:pPr>
          </w:p>
        </w:tc>
        <w:tc>
          <w:tcPr>
            <w:tcW w:w="1898" w:type="dxa"/>
          </w:tcPr>
          <w:p w14:paraId="5EBE38CA" w14:textId="77777777" w:rsidR="00902971" w:rsidRPr="00C0279E" w:rsidRDefault="00902971" w:rsidP="00902971">
            <w:pPr>
              <w:pStyle w:val="Normal-pool"/>
              <w:spacing w:before="520"/>
            </w:pPr>
          </w:p>
        </w:tc>
      </w:tr>
    </w:tbl>
    <w:p w14:paraId="046BC7B7" w14:textId="77777777" w:rsidR="00B43CA2" w:rsidRPr="00C0279E" w:rsidRDefault="00B43CA2" w:rsidP="00902971">
      <w:pPr>
        <w:pStyle w:val="Normal-pool"/>
      </w:pPr>
    </w:p>
    <w:sectPr w:rsidR="00B43CA2" w:rsidRPr="00C0279E"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D027" w14:textId="77777777" w:rsidR="001F566E" w:rsidRDefault="001F566E">
      <w:r>
        <w:separator/>
      </w:r>
    </w:p>
  </w:endnote>
  <w:endnote w:type="continuationSeparator" w:id="0">
    <w:p w14:paraId="5D7D54A1" w14:textId="77777777" w:rsidR="001F566E" w:rsidRDefault="001F566E">
      <w:r>
        <w:continuationSeparator/>
      </w:r>
    </w:p>
  </w:endnote>
  <w:endnote w:type="continuationNotice" w:id="1">
    <w:p w14:paraId="13143FE4" w14:textId="77777777" w:rsidR="001F566E" w:rsidRDefault="001F5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1B0EBA51"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813B7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078485C8"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13B7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6E08" w14:textId="47CC3890" w:rsidR="00B14A4A" w:rsidRPr="00B14A4A" w:rsidRDefault="00902971" w:rsidP="00A03C49">
    <w:pPr>
      <w:pStyle w:val="Normal-pool"/>
      <w:rPr>
        <w:lang w:val="fr-FR"/>
      </w:rPr>
    </w:pPr>
    <w:r w:rsidRPr="00902971">
      <w:rPr>
        <w:lang w:val="fr-FR"/>
      </w:rPr>
      <w:t>K1802168</w:t>
    </w:r>
    <w:r w:rsidRPr="00902971">
      <w:rPr>
        <w:lang w:val="fr-FR"/>
      </w:rPr>
      <w:tab/>
    </w:r>
    <w:r w:rsidR="00C0279E">
      <w:rPr>
        <w:lang w:val="fr-FR"/>
      </w:rPr>
      <w:t>0510</w:t>
    </w:r>
    <w:r w:rsidRPr="00902971">
      <w:rPr>
        <w:lang w:val="fr-FR"/>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73D0A" w14:textId="77777777" w:rsidR="001F566E" w:rsidRDefault="001F566E" w:rsidP="00902971">
      <w:pPr>
        <w:spacing w:before="60"/>
        <w:ind w:left="624"/>
      </w:pPr>
      <w:r>
        <w:separator/>
      </w:r>
    </w:p>
  </w:footnote>
  <w:footnote w:type="continuationSeparator" w:id="0">
    <w:p w14:paraId="59019322" w14:textId="77777777" w:rsidR="001F566E" w:rsidRDefault="001F566E">
      <w:r>
        <w:continuationSeparator/>
      </w:r>
    </w:p>
  </w:footnote>
  <w:footnote w:type="continuationNotice" w:id="1">
    <w:p w14:paraId="54177529" w14:textId="77777777" w:rsidR="001F566E" w:rsidRDefault="001F566E"/>
  </w:footnote>
  <w:footnote w:id="2">
    <w:p w14:paraId="51864388" w14:textId="2C3F87F9" w:rsidR="00E54866" w:rsidRPr="00C0279E" w:rsidRDefault="00E54866" w:rsidP="00E54866">
      <w:pPr>
        <w:tabs>
          <w:tab w:val="left" w:pos="624"/>
        </w:tabs>
        <w:spacing w:before="20" w:after="40"/>
        <w:ind w:left="1247"/>
        <w:rPr>
          <w:sz w:val="18"/>
          <w:szCs w:val="18"/>
        </w:rPr>
      </w:pPr>
      <w:r w:rsidRPr="00C0279E">
        <w:rPr>
          <w:sz w:val="18"/>
          <w:szCs w:val="18"/>
        </w:rPr>
        <w:t>* UNEP/MC/COP.2/1.</w:t>
      </w:r>
    </w:p>
  </w:footnote>
  <w:footnote w:id="3">
    <w:p w14:paraId="21F2874F" w14:textId="0E5A0BD8" w:rsidR="0086307B" w:rsidRPr="00C0279E" w:rsidRDefault="0086307B">
      <w:pPr>
        <w:pStyle w:val="FootnoteText"/>
        <w:rPr>
          <w:szCs w:val="18"/>
          <w:lang w:val="en-GB"/>
        </w:rPr>
      </w:pPr>
      <w:r w:rsidRPr="00C0279E">
        <w:rPr>
          <w:rStyle w:val="FootnoteReference"/>
          <w:sz w:val="18"/>
        </w:rPr>
        <w:footnoteRef/>
      </w:r>
      <w:r w:rsidRPr="00C0279E">
        <w:rPr>
          <w:szCs w:val="18"/>
          <w:lang w:val="en-GB"/>
        </w:rPr>
        <w:t xml:space="preserve"> http://www.who.int/bulletin/volumes/96/6/17-203141.pdf.</w:t>
      </w:r>
    </w:p>
  </w:footnote>
  <w:footnote w:id="4">
    <w:p w14:paraId="7FBD4445" w14:textId="12FF119B" w:rsidR="00E27C08" w:rsidRPr="00C0279E" w:rsidRDefault="00E27C08">
      <w:pPr>
        <w:pStyle w:val="FootnoteText"/>
        <w:rPr>
          <w:szCs w:val="18"/>
          <w:lang w:val="en-US"/>
        </w:rPr>
      </w:pPr>
      <w:r w:rsidRPr="00C0279E">
        <w:rPr>
          <w:rStyle w:val="FootnoteReference"/>
          <w:sz w:val="18"/>
        </w:rPr>
        <w:footnoteRef/>
      </w:r>
      <w:r w:rsidRPr="00C0279E">
        <w:rPr>
          <w:szCs w:val="18"/>
          <w:lang w:val="en-GB"/>
        </w:rPr>
        <w:t xml:space="preserve"> </w:t>
      </w:r>
      <w:hyperlink r:id="rId1" w:history="1">
        <w:r w:rsidRPr="00C0279E">
          <w:rPr>
            <w:rStyle w:val="Hyperlink"/>
            <w:rFonts w:asciiTheme="majorBidi" w:hAnsiTheme="majorBidi" w:cstheme="majorBidi"/>
            <w:color w:val="000000" w:themeColor="text1"/>
            <w:sz w:val="18"/>
            <w:szCs w:val="18"/>
            <w:lang w:val="en-US" w:eastAsia="fr-CH"/>
          </w:rPr>
          <w:t>http://www.fao.org/fao-who-codexalimentarius/meetings-reports/en/</w:t>
        </w:r>
      </w:hyperlink>
      <w:r w:rsidRPr="00C0279E">
        <w:rPr>
          <w:rStyle w:val="Hyperlink"/>
          <w:rFonts w:asciiTheme="majorBidi" w:hAnsiTheme="majorBidi" w:cstheme="majorBidi"/>
          <w:color w:val="000000" w:themeColor="text1"/>
          <w:sz w:val="18"/>
          <w:szCs w:val="18"/>
          <w:lang w:val="en-US" w:eastAsia="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0B9377D5" w:rsidR="006111FE" w:rsidRPr="00CA5CA9" w:rsidRDefault="006111F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621E0B">
      <w:rPr>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3368D2D0" w:rsidR="006111FE" w:rsidRPr="00CA5CA9" w:rsidRDefault="006111F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50EF3">
      <w:rPr>
        <w:szCs w:val="18"/>
      </w:rPr>
      <w:t>2</w:t>
    </w:r>
    <w:r w:rsidRPr="00CA5CA9">
      <w:rPr>
        <w:szCs w:val="18"/>
      </w:rPr>
      <w:t>/</w:t>
    </w:r>
    <w:r w:rsidR="00621E0B">
      <w:rPr>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079A" w14:textId="590ABA21" w:rsidR="00A03C49" w:rsidRDefault="00A03C49" w:rsidP="00A03C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BD7CC7A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C6748BF"/>
    <w:multiLevelType w:val="hybridMultilevel"/>
    <w:tmpl w:val="EDFEF358"/>
    <w:lvl w:ilvl="0" w:tplc="33D0FA5C">
      <w:start w:val="1"/>
      <w:numFmt w:val="decimal"/>
      <w:lvlText w:val="%1."/>
      <w:lvlJc w:val="left"/>
      <w:pPr>
        <w:ind w:left="360" w:hanging="360"/>
      </w:pPr>
      <w:rPr>
        <w:rFonts w:asciiTheme="majorBidi" w:hAnsiTheme="majorBidi" w:cstheme="majorBidi" w:hint="default"/>
        <w:i w:val="0"/>
        <w:iCs w:val="0"/>
        <w:color w:val="auto"/>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3"/>
    <w:lvlOverride w:ilvl="0">
      <w:lvl w:ilvl="0">
        <w:start w:val="1"/>
        <w:numFmt w:val="decimal"/>
        <w:pStyle w:val="Normalnumber"/>
        <w:lvlText w:val="%1."/>
        <w:lvlJc w:val="left"/>
        <w:pPr>
          <w:tabs>
            <w:tab w:val="num" w:pos="1134"/>
          </w:tabs>
          <w:ind w:left="1247" w:firstLine="0"/>
        </w:pPr>
        <w:rPr>
          <w:rFonts w:hint="default"/>
          <w:b w:val="0"/>
        </w:rPr>
      </w:lvl>
    </w:lvlOverride>
  </w:num>
  <w:num w:numId="5">
    <w:abstractNumId w:val="1"/>
  </w:num>
  <w:num w:numId="6">
    <w:abstractNumId w:val="1"/>
    <w:lvlOverride w:ilvl="0">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GB" w:vendorID="64" w:dllVersion="131078" w:nlCheck="1" w:checkStyle="0"/>
  <w:activeWritingStyle w:appName="MSWord" w:lang="en-US"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3"/>
    <w:rsid w:val="00035EDE"/>
    <w:rsid w:val="000418A7"/>
    <w:rsid w:val="000509B4"/>
    <w:rsid w:val="0006035B"/>
    <w:rsid w:val="0006096F"/>
    <w:rsid w:val="00064883"/>
    <w:rsid w:val="000649C5"/>
    <w:rsid w:val="00071886"/>
    <w:rsid w:val="000742BC"/>
    <w:rsid w:val="00076CC6"/>
    <w:rsid w:val="00082A0C"/>
    <w:rsid w:val="00083504"/>
    <w:rsid w:val="00086D4F"/>
    <w:rsid w:val="0009640C"/>
    <w:rsid w:val="000B22A2"/>
    <w:rsid w:val="000B541B"/>
    <w:rsid w:val="000B6A26"/>
    <w:rsid w:val="000B73F9"/>
    <w:rsid w:val="000C2A52"/>
    <w:rsid w:val="000C2A88"/>
    <w:rsid w:val="000D283C"/>
    <w:rsid w:val="000D33C0"/>
    <w:rsid w:val="000D4CF6"/>
    <w:rsid w:val="000D6941"/>
    <w:rsid w:val="000F38EF"/>
    <w:rsid w:val="000F3DCD"/>
    <w:rsid w:val="000F4829"/>
    <w:rsid w:val="000F51C1"/>
    <w:rsid w:val="000F681D"/>
    <w:rsid w:val="000F6B21"/>
    <w:rsid w:val="00102EFB"/>
    <w:rsid w:val="001202E3"/>
    <w:rsid w:val="001227FF"/>
    <w:rsid w:val="00123699"/>
    <w:rsid w:val="001241FB"/>
    <w:rsid w:val="0013059D"/>
    <w:rsid w:val="001314BD"/>
    <w:rsid w:val="00136187"/>
    <w:rsid w:val="00141A55"/>
    <w:rsid w:val="0014293F"/>
    <w:rsid w:val="001432D5"/>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19E1"/>
    <w:rsid w:val="001D3874"/>
    <w:rsid w:val="001D7E75"/>
    <w:rsid w:val="001E0D73"/>
    <w:rsid w:val="001E45BD"/>
    <w:rsid w:val="001E5528"/>
    <w:rsid w:val="001E56D2"/>
    <w:rsid w:val="001E7D56"/>
    <w:rsid w:val="001F5186"/>
    <w:rsid w:val="001F566E"/>
    <w:rsid w:val="001F683A"/>
    <w:rsid w:val="001F75DE"/>
    <w:rsid w:val="00200D58"/>
    <w:rsid w:val="002011C1"/>
    <w:rsid w:val="002013BE"/>
    <w:rsid w:val="00201EDC"/>
    <w:rsid w:val="00204C2E"/>
    <w:rsid w:val="0020513E"/>
    <w:rsid w:val="002063A4"/>
    <w:rsid w:val="0021145B"/>
    <w:rsid w:val="00220C23"/>
    <w:rsid w:val="002247F6"/>
    <w:rsid w:val="00225E21"/>
    <w:rsid w:val="00225E44"/>
    <w:rsid w:val="00225FD2"/>
    <w:rsid w:val="00234E78"/>
    <w:rsid w:val="00243D36"/>
    <w:rsid w:val="002460D7"/>
    <w:rsid w:val="00246151"/>
    <w:rsid w:val="00246B29"/>
    <w:rsid w:val="00247707"/>
    <w:rsid w:val="00252456"/>
    <w:rsid w:val="0026018E"/>
    <w:rsid w:val="00286740"/>
    <w:rsid w:val="00291719"/>
    <w:rsid w:val="00291EAE"/>
    <w:rsid w:val="002929D8"/>
    <w:rsid w:val="00293562"/>
    <w:rsid w:val="002A237D"/>
    <w:rsid w:val="002A4C53"/>
    <w:rsid w:val="002B0672"/>
    <w:rsid w:val="002B0677"/>
    <w:rsid w:val="002B247F"/>
    <w:rsid w:val="002B50D4"/>
    <w:rsid w:val="002B58BF"/>
    <w:rsid w:val="002B5C5E"/>
    <w:rsid w:val="002B71AE"/>
    <w:rsid w:val="002C145D"/>
    <w:rsid w:val="002C2C3E"/>
    <w:rsid w:val="002C533E"/>
    <w:rsid w:val="002C54E3"/>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36A10"/>
    <w:rsid w:val="00350EF3"/>
    <w:rsid w:val="0035277E"/>
    <w:rsid w:val="00355EA9"/>
    <w:rsid w:val="003578DE"/>
    <w:rsid w:val="00361688"/>
    <w:rsid w:val="0036598C"/>
    <w:rsid w:val="00367FD2"/>
    <w:rsid w:val="00380921"/>
    <w:rsid w:val="003833A7"/>
    <w:rsid w:val="003877D5"/>
    <w:rsid w:val="003929B8"/>
    <w:rsid w:val="00393432"/>
    <w:rsid w:val="00396257"/>
    <w:rsid w:val="00397EB8"/>
    <w:rsid w:val="003A0ACF"/>
    <w:rsid w:val="003A4FD0"/>
    <w:rsid w:val="003A69D1"/>
    <w:rsid w:val="003A7705"/>
    <w:rsid w:val="003A77F1"/>
    <w:rsid w:val="003B1545"/>
    <w:rsid w:val="003C3219"/>
    <w:rsid w:val="003C409D"/>
    <w:rsid w:val="003C4544"/>
    <w:rsid w:val="003C5583"/>
    <w:rsid w:val="003C5BA6"/>
    <w:rsid w:val="003C74CF"/>
    <w:rsid w:val="003D3752"/>
    <w:rsid w:val="003E1DD8"/>
    <w:rsid w:val="003E20F5"/>
    <w:rsid w:val="003E35DA"/>
    <w:rsid w:val="003E455D"/>
    <w:rsid w:val="003F0E85"/>
    <w:rsid w:val="00400D8A"/>
    <w:rsid w:val="00410C55"/>
    <w:rsid w:val="004156A7"/>
    <w:rsid w:val="00416854"/>
    <w:rsid w:val="00417725"/>
    <w:rsid w:val="0042266F"/>
    <w:rsid w:val="00424C56"/>
    <w:rsid w:val="00434321"/>
    <w:rsid w:val="00437F26"/>
    <w:rsid w:val="00444097"/>
    <w:rsid w:val="00445487"/>
    <w:rsid w:val="00447E0D"/>
    <w:rsid w:val="00452D6F"/>
    <w:rsid w:val="00453EA8"/>
    <w:rsid w:val="00454769"/>
    <w:rsid w:val="00464DF6"/>
    <w:rsid w:val="00466991"/>
    <w:rsid w:val="0047064C"/>
    <w:rsid w:val="00473375"/>
    <w:rsid w:val="00480343"/>
    <w:rsid w:val="004822B7"/>
    <w:rsid w:val="0048449A"/>
    <w:rsid w:val="0049469E"/>
    <w:rsid w:val="004A2217"/>
    <w:rsid w:val="004A24F9"/>
    <w:rsid w:val="004A42E1"/>
    <w:rsid w:val="004B162C"/>
    <w:rsid w:val="004B2ABE"/>
    <w:rsid w:val="004C3DBE"/>
    <w:rsid w:val="004C5C96"/>
    <w:rsid w:val="004D06A4"/>
    <w:rsid w:val="004D38EC"/>
    <w:rsid w:val="004F1A81"/>
    <w:rsid w:val="004F5D88"/>
    <w:rsid w:val="00501354"/>
    <w:rsid w:val="005050D2"/>
    <w:rsid w:val="0051281A"/>
    <w:rsid w:val="005218D9"/>
    <w:rsid w:val="00536186"/>
    <w:rsid w:val="005362E8"/>
    <w:rsid w:val="00544CBB"/>
    <w:rsid w:val="00551B65"/>
    <w:rsid w:val="00556704"/>
    <w:rsid w:val="005656D7"/>
    <w:rsid w:val="0057315F"/>
    <w:rsid w:val="00576104"/>
    <w:rsid w:val="00586418"/>
    <w:rsid w:val="00591A7A"/>
    <w:rsid w:val="00592B21"/>
    <w:rsid w:val="005B2DF4"/>
    <w:rsid w:val="005B44BF"/>
    <w:rsid w:val="005C67C8"/>
    <w:rsid w:val="005D0249"/>
    <w:rsid w:val="005D18FA"/>
    <w:rsid w:val="005D3010"/>
    <w:rsid w:val="005D4FD4"/>
    <w:rsid w:val="005D6E8C"/>
    <w:rsid w:val="005E3004"/>
    <w:rsid w:val="005F100C"/>
    <w:rsid w:val="005F2AF3"/>
    <w:rsid w:val="005F68DA"/>
    <w:rsid w:val="005F7419"/>
    <w:rsid w:val="006006C2"/>
    <w:rsid w:val="00601BC9"/>
    <w:rsid w:val="0060773B"/>
    <w:rsid w:val="006111FE"/>
    <w:rsid w:val="00611C95"/>
    <w:rsid w:val="00613FD6"/>
    <w:rsid w:val="006157B5"/>
    <w:rsid w:val="00617224"/>
    <w:rsid w:val="00621E0B"/>
    <w:rsid w:val="00626FC6"/>
    <w:rsid w:val="006303B4"/>
    <w:rsid w:val="00630ADC"/>
    <w:rsid w:val="00633D3D"/>
    <w:rsid w:val="00641703"/>
    <w:rsid w:val="006431A6"/>
    <w:rsid w:val="00643E3A"/>
    <w:rsid w:val="006459F6"/>
    <w:rsid w:val="006501AD"/>
    <w:rsid w:val="006503B7"/>
    <w:rsid w:val="00651BFA"/>
    <w:rsid w:val="00654475"/>
    <w:rsid w:val="00656DF0"/>
    <w:rsid w:val="0066214E"/>
    <w:rsid w:val="00665A4B"/>
    <w:rsid w:val="00670FAE"/>
    <w:rsid w:val="00690C5E"/>
    <w:rsid w:val="00692E2A"/>
    <w:rsid w:val="0069496A"/>
    <w:rsid w:val="00696C1C"/>
    <w:rsid w:val="006A1A8B"/>
    <w:rsid w:val="006A69F1"/>
    <w:rsid w:val="006A76F2"/>
    <w:rsid w:val="006B7D29"/>
    <w:rsid w:val="006C08E4"/>
    <w:rsid w:val="006D19D4"/>
    <w:rsid w:val="006D5644"/>
    <w:rsid w:val="006D7EFB"/>
    <w:rsid w:val="006E6672"/>
    <w:rsid w:val="006E6722"/>
    <w:rsid w:val="006F7AFF"/>
    <w:rsid w:val="007027B9"/>
    <w:rsid w:val="007066B5"/>
    <w:rsid w:val="00711E75"/>
    <w:rsid w:val="007145DA"/>
    <w:rsid w:val="00715E88"/>
    <w:rsid w:val="00716698"/>
    <w:rsid w:val="00716D8B"/>
    <w:rsid w:val="00725623"/>
    <w:rsid w:val="00734CAA"/>
    <w:rsid w:val="00735E98"/>
    <w:rsid w:val="00740EE2"/>
    <w:rsid w:val="007419C5"/>
    <w:rsid w:val="00742680"/>
    <w:rsid w:val="0075533C"/>
    <w:rsid w:val="00755A18"/>
    <w:rsid w:val="00757581"/>
    <w:rsid w:val="007602F5"/>
    <w:rsid w:val="00760D36"/>
    <w:rsid w:val="007611A0"/>
    <w:rsid w:val="00772574"/>
    <w:rsid w:val="00773959"/>
    <w:rsid w:val="00773E54"/>
    <w:rsid w:val="00784941"/>
    <w:rsid w:val="00787688"/>
    <w:rsid w:val="007935E6"/>
    <w:rsid w:val="00796D3F"/>
    <w:rsid w:val="00796FAE"/>
    <w:rsid w:val="007A1683"/>
    <w:rsid w:val="007A5C12"/>
    <w:rsid w:val="007A7CB0"/>
    <w:rsid w:val="007B68A3"/>
    <w:rsid w:val="007C2541"/>
    <w:rsid w:val="007C4DBF"/>
    <w:rsid w:val="007C7D86"/>
    <w:rsid w:val="007D66A8"/>
    <w:rsid w:val="007E003F"/>
    <w:rsid w:val="007F0CF8"/>
    <w:rsid w:val="007F1798"/>
    <w:rsid w:val="007F3C02"/>
    <w:rsid w:val="007F5E1B"/>
    <w:rsid w:val="007F62CB"/>
    <w:rsid w:val="0080081E"/>
    <w:rsid w:val="00813B7E"/>
    <w:rsid w:val="008142EC"/>
    <w:rsid w:val="008164F2"/>
    <w:rsid w:val="00821395"/>
    <w:rsid w:val="00826976"/>
    <w:rsid w:val="008302A2"/>
    <w:rsid w:val="00830E26"/>
    <w:rsid w:val="00834368"/>
    <w:rsid w:val="0083441A"/>
    <w:rsid w:val="00843576"/>
    <w:rsid w:val="00843B64"/>
    <w:rsid w:val="00844FDB"/>
    <w:rsid w:val="00845261"/>
    <w:rsid w:val="008472A7"/>
    <w:rsid w:val="008478FC"/>
    <w:rsid w:val="00851C51"/>
    <w:rsid w:val="008538F7"/>
    <w:rsid w:val="0086307B"/>
    <w:rsid w:val="00867BFF"/>
    <w:rsid w:val="00871542"/>
    <w:rsid w:val="00872BF6"/>
    <w:rsid w:val="00881940"/>
    <w:rsid w:val="00883086"/>
    <w:rsid w:val="0088480A"/>
    <w:rsid w:val="0088757A"/>
    <w:rsid w:val="0089431B"/>
    <w:rsid w:val="00895668"/>
    <w:rsid w:val="008957DD"/>
    <w:rsid w:val="00897D98"/>
    <w:rsid w:val="00897E15"/>
    <w:rsid w:val="008A07E6"/>
    <w:rsid w:val="008A40F4"/>
    <w:rsid w:val="008A6DF2"/>
    <w:rsid w:val="008A7807"/>
    <w:rsid w:val="008B0A34"/>
    <w:rsid w:val="008B4CC9"/>
    <w:rsid w:val="008C0B15"/>
    <w:rsid w:val="008D75E4"/>
    <w:rsid w:val="008D7C99"/>
    <w:rsid w:val="008E0FCB"/>
    <w:rsid w:val="008F6DFE"/>
    <w:rsid w:val="00902971"/>
    <w:rsid w:val="00902B1D"/>
    <w:rsid w:val="0090529F"/>
    <w:rsid w:val="0092178C"/>
    <w:rsid w:val="009226D3"/>
    <w:rsid w:val="00930B88"/>
    <w:rsid w:val="00935376"/>
    <w:rsid w:val="00940DCC"/>
    <w:rsid w:val="0094179A"/>
    <w:rsid w:val="0094459E"/>
    <w:rsid w:val="00944DBC"/>
    <w:rsid w:val="00950977"/>
    <w:rsid w:val="00951A7B"/>
    <w:rsid w:val="00955512"/>
    <w:rsid w:val="00956093"/>
    <w:rsid w:val="009564A6"/>
    <w:rsid w:val="00957EF8"/>
    <w:rsid w:val="0096264C"/>
    <w:rsid w:val="00966A53"/>
    <w:rsid w:val="00967621"/>
    <w:rsid w:val="00967E6A"/>
    <w:rsid w:val="009907B9"/>
    <w:rsid w:val="00990918"/>
    <w:rsid w:val="009955D3"/>
    <w:rsid w:val="009A3A83"/>
    <w:rsid w:val="009B10AF"/>
    <w:rsid w:val="009B4A0F"/>
    <w:rsid w:val="009C11D2"/>
    <w:rsid w:val="009C6C70"/>
    <w:rsid w:val="009C7B0A"/>
    <w:rsid w:val="009D0B63"/>
    <w:rsid w:val="009D5CB8"/>
    <w:rsid w:val="009E307E"/>
    <w:rsid w:val="00A03C49"/>
    <w:rsid w:val="00A07870"/>
    <w:rsid w:val="00A07C54"/>
    <w:rsid w:val="00A07F19"/>
    <w:rsid w:val="00A124BB"/>
    <w:rsid w:val="00A1348D"/>
    <w:rsid w:val="00A13C99"/>
    <w:rsid w:val="00A17FBF"/>
    <w:rsid w:val="00A232EE"/>
    <w:rsid w:val="00A4175F"/>
    <w:rsid w:val="00A44411"/>
    <w:rsid w:val="00A469FA"/>
    <w:rsid w:val="00A47A6E"/>
    <w:rsid w:val="00A5331C"/>
    <w:rsid w:val="00A53662"/>
    <w:rsid w:val="00A55B01"/>
    <w:rsid w:val="00A56B5B"/>
    <w:rsid w:val="00A603FF"/>
    <w:rsid w:val="00A619B6"/>
    <w:rsid w:val="00A646A5"/>
    <w:rsid w:val="00A648CA"/>
    <w:rsid w:val="00A657DD"/>
    <w:rsid w:val="00A66313"/>
    <w:rsid w:val="00A666A6"/>
    <w:rsid w:val="00A675FD"/>
    <w:rsid w:val="00A72437"/>
    <w:rsid w:val="00A8048B"/>
    <w:rsid w:val="00A80611"/>
    <w:rsid w:val="00AA5BF4"/>
    <w:rsid w:val="00AB5340"/>
    <w:rsid w:val="00AC0A89"/>
    <w:rsid w:val="00AC7C96"/>
    <w:rsid w:val="00AD3593"/>
    <w:rsid w:val="00AE0812"/>
    <w:rsid w:val="00AE10B0"/>
    <w:rsid w:val="00AE237D"/>
    <w:rsid w:val="00AE502A"/>
    <w:rsid w:val="00AE54CB"/>
    <w:rsid w:val="00AF0010"/>
    <w:rsid w:val="00AF1AA8"/>
    <w:rsid w:val="00AF2C1F"/>
    <w:rsid w:val="00AF7C07"/>
    <w:rsid w:val="00B06C64"/>
    <w:rsid w:val="00B07D8E"/>
    <w:rsid w:val="00B11CAC"/>
    <w:rsid w:val="00B14A4A"/>
    <w:rsid w:val="00B15A29"/>
    <w:rsid w:val="00B17527"/>
    <w:rsid w:val="00B22C93"/>
    <w:rsid w:val="00B27589"/>
    <w:rsid w:val="00B373A3"/>
    <w:rsid w:val="00B405B7"/>
    <w:rsid w:val="00B43CA2"/>
    <w:rsid w:val="00B468C0"/>
    <w:rsid w:val="00B47A15"/>
    <w:rsid w:val="00B50FE9"/>
    <w:rsid w:val="00B51C43"/>
    <w:rsid w:val="00B52222"/>
    <w:rsid w:val="00B531DA"/>
    <w:rsid w:val="00B54895"/>
    <w:rsid w:val="00B54FE7"/>
    <w:rsid w:val="00B647C6"/>
    <w:rsid w:val="00B655F9"/>
    <w:rsid w:val="00B66901"/>
    <w:rsid w:val="00B66F60"/>
    <w:rsid w:val="00B71E6D"/>
    <w:rsid w:val="00B72070"/>
    <w:rsid w:val="00B779E1"/>
    <w:rsid w:val="00B81E3A"/>
    <w:rsid w:val="00B84E3E"/>
    <w:rsid w:val="00B85CFB"/>
    <w:rsid w:val="00B87461"/>
    <w:rsid w:val="00B914E9"/>
    <w:rsid w:val="00B91EE1"/>
    <w:rsid w:val="00B94602"/>
    <w:rsid w:val="00BA0090"/>
    <w:rsid w:val="00BA1A67"/>
    <w:rsid w:val="00BA4934"/>
    <w:rsid w:val="00BA6A80"/>
    <w:rsid w:val="00BB4ABB"/>
    <w:rsid w:val="00BC62BA"/>
    <w:rsid w:val="00BE12BB"/>
    <w:rsid w:val="00BE5B5F"/>
    <w:rsid w:val="00BE7993"/>
    <w:rsid w:val="00BF726B"/>
    <w:rsid w:val="00C0279E"/>
    <w:rsid w:val="00C11971"/>
    <w:rsid w:val="00C179DE"/>
    <w:rsid w:val="00C26F55"/>
    <w:rsid w:val="00C30C63"/>
    <w:rsid w:val="00C30FF3"/>
    <w:rsid w:val="00C34D5C"/>
    <w:rsid w:val="00C36B8B"/>
    <w:rsid w:val="00C415C1"/>
    <w:rsid w:val="00C47DBF"/>
    <w:rsid w:val="00C552FF"/>
    <w:rsid w:val="00C558DA"/>
    <w:rsid w:val="00C55AF3"/>
    <w:rsid w:val="00C72E49"/>
    <w:rsid w:val="00C771A9"/>
    <w:rsid w:val="00C82943"/>
    <w:rsid w:val="00C84728"/>
    <w:rsid w:val="00C84759"/>
    <w:rsid w:val="00C93096"/>
    <w:rsid w:val="00CA2F0C"/>
    <w:rsid w:val="00CA5B7E"/>
    <w:rsid w:val="00CA5CA9"/>
    <w:rsid w:val="00CA6C7F"/>
    <w:rsid w:val="00CB007D"/>
    <w:rsid w:val="00CB60CA"/>
    <w:rsid w:val="00CC0FC7"/>
    <w:rsid w:val="00CC10A6"/>
    <w:rsid w:val="00CD5EB8"/>
    <w:rsid w:val="00CD7044"/>
    <w:rsid w:val="00CE08B9"/>
    <w:rsid w:val="00CE3515"/>
    <w:rsid w:val="00CE4844"/>
    <w:rsid w:val="00CE524C"/>
    <w:rsid w:val="00CF141F"/>
    <w:rsid w:val="00CF4777"/>
    <w:rsid w:val="00CF51F6"/>
    <w:rsid w:val="00CF65C8"/>
    <w:rsid w:val="00D013F5"/>
    <w:rsid w:val="00D05E3F"/>
    <w:rsid w:val="00D067BB"/>
    <w:rsid w:val="00D1352A"/>
    <w:rsid w:val="00D1638E"/>
    <w:rsid w:val="00D169AF"/>
    <w:rsid w:val="00D200EF"/>
    <w:rsid w:val="00D25175"/>
    <w:rsid w:val="00D25249"/>
    <w:rsid w:val="00D26854"/>
    <w:rsid w:val="00D27DAD"/>
    <w:rsid w:val="00D34A59"/>
    <w:rsid w:val="00D36C41"/>
    <w:rsid w:val="00D44172"/>
    <w:rsid w:val="00D47BE3"/>
    <w:rsid w:val="00D63B8C"/>
    <w:rsid w:val="00D739CC"/>
    <w:rsid w:val="00D806F9"/>
    <w:rsid w:val="00D8093D"/>
    <w:rsid w:val="00D8108C"/>
    <w:rsid w:val="00D842AE"/>
    <w:rsid w:val="00D91EAE"/>
    <w:rsid w:val="00D9211C"/>
    <w:rsid w:val="00D92DE0"/>
    <w:rsid w:val="00D92FEF"/>
    <w:rsid w:val="00D931F9"/>
    <w:rsid w:val="00D93A0F"/>
    <w:rsid w:val="00DA1BCA"/>
    <w:rsid w:val="00DA3663"/>
    <w:rsid w:val="00DB10A3"/>
    <w:rsid w:val="00DC1792"/>
    <w:rsid w:val="00DC274A"/>
    <w:rsid w:val="00DC46FF"/>
    <w:rsid w:val="00DC5254"/>
    <w:rsid w:val="00DC569D"/>
    <w:rsid w:val="00DD1A4F"/>
    <w:rsid w:val="00DD3107"/>
    <w:rsid w:val="00DD7C2C"/>
    <w:rsid w:val="00DE5BDA"/>
    <w:rsid w:val="00DF433C"/>
    <w:rsid w:val="00DF519F"/>
    <w:rsid w:val="00E0035A"/>
    <w:rsid w:val="00E06797"/>
    <w:rsid w:val="00E11AF3"/>
    <w:rsid w:val="00E1265B"/>
    <w:rsid w:val="00E12E09"/>
    <w:rsid w:val="00E13B48"/>
    <w:rsid w:val="00E13EC3"/>
    <w:rsid w:val="00E1404F"/>
    <w:rsid w:val="00E17E15"/>
    <w:rsid w:val="00E21C83"/>
    <w:rsid w:val="00E24ADA"/>
    <w:rsid w:val="00E27C08"/>
    <w:rsid w:val="00E32F59"/>
    <w:rsid w:val="00E41908"/>
    <w:rsid w:val="00E46D9A"/>
    <w:rsid w:val="00E54866"/>
    <w:rsid w:val="00E565FF"/>
    <w:rsid w:val="00E65388"/>
    <w:rsid w:val="00E743AA"/>
    <w:rsid w:val="00E7741D"/>
    <w:rsid w:val="00E808CD"/>
    <w:rsid w:val="00E8348F"/>
    <w:rsid w:val="00E85B7D"/>
    <w:rsid w:val="00E9121B"/>
    <w:rsid w:val="00E9302E"/>
    <w:rsid w:val="00E96087"/>
    <w:rsid w:val="00E963A6"/>
    <w:rsid w:val="00E96971"/>
    <w:rsid w:val="00E976AB"/>
    <w:rsid w:val="00EA0AE2"/>
    <w:rsid w:val="00EA39E5"/>
    <w:rsid w:val="00EA45C6"/>
    <w:rsid w:val="00EA57A3"/>
    <w:rsid w:val="00EC2813"/>
    <w:rsid w:val="00EC366F"/>
    <w:rsid w:val="00EC5A46"/>
    <w:rsid w:val="00EC63E2"/>
    <w:rsid w:val="00ED0225"/>
    <w:rsid w:val="00ED366A"/>
    <w:rsid w:val="00ED6BB7"/>
    <w:rsid w:val="00EF22B3"/>
    <w:rsid w:val="00EF3124"/>
    <w:rsid w:val="00F03B69"/>
    <w:rsid w:val="00F07A50"/>
    <w:rsid w:val="00F105C7"/>
    <w:rsid w:val="00F113DA"/>
    <w:rsid w:val="00F15578"/>
    <w:rsid w:val="00F266FC"/>
    <w:rsid w:val="00F3037A"/>
    <w:rsid w:val="00F3465A"/>
    <w:rsid w:val="00F37DC8"/>
    <w:rsid w:val="00F40A30"/>
    <w:rsid w:val="00F439B3"/>
    <w:rsid w:val="00F650C3"/>
    <w:rsid w:val="00F65D85"/>
    <w:rsid w:val="00F6700B"/>
    <w:rsid w:val="00F7137B"/>
    <w:rsid w:val="00F75514"/>
    <w:rsid w:val="00F8091E"/>
    <w:rsid w:val="00F84F30"/>
    <w:rsid w:val="00F8615C"/>
    <w:rsid w:val="00F969E5"/>
    <w:rsid w:val="00F979F2"/>
    <w:rsid w:val="00FA4972"/>
    <w:rsid w:val="00FA60F4"/>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9DC3155B-53E3-4869-9D8B-392BDBA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DefaultParagraphFont"/>
    <w:uiPriority w:val="99"/>
    <w:semiHidden/>
    <w:unhideWhenUsed/>
    <w:rsid w:val="00956093"/>
    <w:rPr>
      <w:color w:val="808080"/>
      <w:shd w:val="clear" w:color="auto" w:fill="E6E6E6"/>
    </w:rPr>
  </w:style>
  <w:style w:type="character" w:customStyle="1" w:styleId="NormalnumberChar">
    <w:name w:val="Normal_number Char"/>
    <w:link w:val="Normalnumber"/>
    <w:locked/>
    <w:rsid w:val="00D34A59"/>
    <w:rPr>
      <w:lang w:eastAsia="en-US"/>
    </w:rPr>
  </w:style>
  <w:style w:type="numbering" w:customStyle="1" w:styleId="WWNum25">
    <w:name w:val="WWNum25"/>
    <w:basedOn w:val="NoList"/>
    <w:rsid w:val="00D34A59"/>
    <w:pPr>
      <w:numPr>
        <w:numId w:val="5"/>
      </w:numPr>
    </w:pPr>
  </w:style>
  <w:style w:type="paragraph" w:styleId="NormalWeb">
    <w:name w:val="Normal (Web)"/>
    <w:basedOn w:val="Normal"/>
    <w:uiPriority w:val="99"/>
    <w:unhideWhenUsed/>
    <w:rsid w:val="005362E8"/>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ao-who-codexalimentarius/meetings-repor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7B81-54F4-4245-8643-496D7D66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9292</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2018-09-17T05:49:00Z</cp:lastPrinted>
  <dcterms:created xsi:type="dcterms:W3CDTF">2018-10-09T16:08:00Z</dcterms:created>
  <dcterms:modified xsi:type="dcterms:W3CDTF">2018-10-09T16:08:00Z</dcterms:modified>
</cp:coreProperties>
</file>