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3E69A0" w:rsidRPr="003E69A0" w14:paraId="3F230045" w14:textId="77777777" w:rsidTr="001923C7">
        <w:trPr>
          <w:cantSplit/>
          <w:trHeight w:val="850"/>
          <w:jc w:val="right"/>
        </w:trPr>
        <w:tc>
          <w:tcPr>
            <w:tcW w:w="1550" w:type="dxa"/>
          </w:tcPr>
          <w:p w14:paraId="54F95708" w14:textId="77777777" w:rsidR="003E69A0" w:rsidRPr="003E69A0" w:rsidRDefault="003E69A0" w:rsidP="003E69A0">
            <w:pPr>
              <w:spacing w:after="0" w:line="240" w:lineRule="auto"/>
              <w:jc w:val="left"/>
              <w:rPr>
                <w:rFonts w:ascii="SimHei" w:eastAsia="SimHei" w:hAnsi="SimHei"/>
                <w:b/>
                <w:noProof/>
                <w:sz w:val="32"/>
                <w:szCs w:val="32"/>
                <w:lang w:val="en-GB"/>
              </w:rPr>
            </w:pPr>
            <w:bookmarkStart w:id="0" w:name="_GoBack"/>
            <w:bookmarkEnd w:id="0"/>
            <w:r w:rsidRPr="003E69A0">
              <w:rPr>
                <w:rFonts w:ascii="SimHei" w:eastAsia="SimHei" w:hAnsi="SimHei" w:cs="Arial" w:hint="eastAsia"/>
                <w:b/>
                <w:noProof/>
                <w:sz w:val="32"/>
                <w:szCs w:val="32"/>
                <w:lang w:val="en-GB"/>
              </w:rPr>
              <w:t>联合国</w:t>
            </w:r>
          </w:p>
        </w:tc>
        <w:tc>
          <w:tcPr>
            <w:tcW w:w="4751" w:type="dxa"/>
          </w:tcPr>
          <w:p w14:paraId="7C8CA412" w14:textId="77777777" w:rsidR="003E69A0" w:rsidRPr="003E69A0" w:rsidRDefault="003E69A0" w:rsidP="003E69A0">
            <w:pPr>
              <w:spacing w:after="0" w:line="240" w:lineRule="auto"/>
              <w:jc w:val="left"/>
              <w:rPr>
                <w:rFonts w:ascii="Univers" w:eastAsiaTheme="minorEastAsia" w:hAnsi="Univers"/>
                <w:b/>
                <w:sz w:val="27"/>
                <w:szCs w:val="27"/>
                <w:lang w:val="en-GB" w:eastAsia="en-US"/>
              </w:rPr>
            </w:pPr>
          </w:p>
        </w:tc>
        <w:tc>
          <w:tcPr>
            <w:tcW w:w="3411" w:type="dxa"/>
          </w:tcPr>
          <w:p w14:paraId="3A7F4265" w14:textId="77777777" w:rsidR="003E69A0" w:rsidRPr="003E69A0" w:rsidRDefault="003E69A0" w:rsidP="003E69A0">
            <w:pPr>
              <w:spacing w:after="0" w:line="240" w:lineRule="auto"/>
              <w:jc w:val="right"/>
              <w:rPr>
                <w:rFonts w:ascii="Arial" w:eastAsiaTheme="minorEastAsia" w:hAnsi="Arial" w:cs="Arial"/>
                <w:b/>
                <w:sz w:val="64"/>
                <w:szCs w:val="64"/>
                <w:lang w:val="en-GB" w:eastAsia="en-US"/>
              </w:rPr>
            </w:pPr>
            <w:r w:rsidRPr="003E69A0">
              <w:rPr>
                <w:rFonts w:ascii="Arial" w:eastAsiaTheme="minorEastAsia" w:hAnsi="Arial" w:cs="Arial"/>
                <w:b/>
                <w:sz w:val="64"/>
                <w:szCs w:val="64"/>
                <w:lang w:val="en-GB" w:eastAsia="en-US"/>
              </w:rPr>
              <w:t>MC</w:t>
            </w:r>
          </w:p>
        </w:tc>
      </w:tr>
      <w:tr w:rsidR="003E69A0" w:rsidRPr="003E69A0" w14:paraId="6FBDA9B2" w14:textId="77777777" w:rsidTr="001923C7">
        <w:trPr>
          <w:cantSplit/>
          <w:trHeight w:val="281"/>
          <w:jc w:val="right"/>
        </w:trPr>
        <w:tc>
          <w:tcPr>
            <w:tcW w:w="1550" w:type="dxa"/>
            <w:tcBorders>
              <w:bottom w:val="single" w:sz="4" w:space="0" w:color="auto"/>
            </w:tcBorders>
          </w:tcPr>
          <w:p w14:paraId="3CCE4044" w14:textId="77777777" w:rsidR="003E69A0" w:rsidRPr="003E69A0" w:rsidRDefault="003E69A0" w:rsidP="003E69A0">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4F844B71" w14:textId="77777777" w:rsidR="003E69A0" w:rsidRPr="003E69A0" w:rsidRDefault="003E69A0" w:rsidP="003E69A0">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214F069E" w14:textId="500A803A" w:rsidR="003E69A0" w:rsidRPr="003E69A0" w:rsidRDefault="003E69A0" w:rsidP="003E69A0">
            <w:pPr>
              <w:spacing w:after="0" w:line="240" w:lineRule="auto"/>
              <w:ind w:left="269"/>
              <w:jc w:val="left"/>
              <w:rPr>
                <w:rFonts w:eastAsiaTheme="minorEastAsia"/>
                <w:noProof/>
                <w:sz w:val="18"/>
                <w:szCs w:val="18"/>
                <w:lang w:val="en-GB" w:eastAsia="en-US"/>
              </w:rPr>
            </w:pPr>
            <w:r w:rsidRPr="003E69A0">
              <w:rPr>
                <w:rFonts w:eastAsiaTheme="minorEastAsia"/>
                <w:b/>
                <w:bCs/>
                <w:sz w:val="28"/>
                <w:szCs w:val="20"/>
                <w:lang w:val="en-GB" w:eastAsia="en-US"/>
              </w:rPr>
              <w:t>UNEP</w:t>
            </w:r>
            <w:bookmarkStart w:id="1" w:name="OLE_LINK1"/>
            <w:bookmarkStart w:id="2" w:name="OLE_LINK2"/>
            <w:r w:rsidRPr="003E69A0">
              <w:rPr>
                <w:rFonts w:eastAsiaTheme="minorEastAsia"/>
                <w:b/>
                <w:bCs/>
                <w:sz w:val="28"/>
                <w:szCs w:val="20"/>
                <w:lang w:val="en-GB" w:eastAsia="en-US"/>
              </w:rPr>
              <w:t>/</w:t>
            </w:r>
            <w:r w:rsidRPr="003E69A0">
              <w:rPr>
                <w:rFonts w:eastAsiaTheme="minorEastAsia"/>
                <w:sz w:val="20"/>
                <w:szCs w:val="20"/>
                <w:lang w:val="en-GB" w:eastAsia="en-US"/>
              </w:rPr>
              <w:t>MC/</w:t>
            </w:r>
            <w:bookmarkEnd w:id="1"/>
            <w:bookmarkEnd w:id="2"/>
            <w:r w:rsidRPr="003E69A0">
              <w:rPr>
                <w:rFonts w:eastAsiaTheme="minorEastAsia"/>
                <w:sz w:val="20"/>
                <w:szCs w:val="20"/>
                <w:lang w:val="en-GB" w:eastAsia="en-US"/>
              </w:rPr>
              <w:t>COP.</w:t>
            </w:r>
            <w:r w:rsidR="00C81602">
              <w:rPr>
                <w:rFonts w:eastAsiaTheme="minorEastAsia"/>
                <w:sz w:val="20"/>
                <w:szCs w:val="20"/>
                <w:lang w:val="en-GB" w:eastAsia="en-US"/>
              </w:rPr>
              <w:t>2</w:t>
            </w:r>
            <w:r w:rsidR="0009682F">
              <w:rPr>
                <w:rFonts w:eastAsiaTheme="minorEastAsia"/>
                <w:sz w:val="20"/>
                <w:szCs w:val="20"/>
                <w:lang w:val="en-GB" w:eastAsia="en-US"/>
              </w:rPr>
              <w:t>/5</w:t>
            </w:r>
          </w:p>
        </w:tc>
      </w:tr>
      <w:bookmarkStart w:id="3" w:name="_MON_1021710482"/>
      <w:bookmarkEnd w:id="3"/>
      <w:bookmarkStart w:id="4" w:name="_MON_1021710510"/>
      <w:bookmarkEnd w:id="4"/>
      <w:tr w:rsidR="003E69A0" w:rsidRPr="003E69A0" w14:paraId="2EBA9997" w14:textId="77777777" w:rsidTr="001923C7">
        <w:trPr>
          <w:cantSplit/>
          <w:trHeight w:val="2549"/>
          <w:jc w:val="right"/>
        </w:trPr>
        <w:tc>
          <w:tcPr>
            <w:tcW w:w="1550" w:type="dxa"/>
            <w:tcBorders>
              <w:top w:val="single" w:sz="4" w:space="0" w:color="auto"/>
              <w:bottom w:val="single" w:sz="24" w:space="0" w:color="auto"/>
            </w:tcBorders>
          </w:tcPr>
          <w:p w14:paraId="5A240ABF" w14:textId="77777777" w:rsidR="003E69A0" w:rsidRPr="003E69A0" w:rsidRDefault="003E69A0" w:rsidP="003E69A0">
            <w:pPr>
              <w:spacing w:after="0" w:line="240" w:lineRule="auto"/>
              <w:jc w:val="left"/>
              <w:rPr>
                <w:rFonts w:eastAsiaTheme="minorEastAsia"/>
                <w:noProof/>
                <w:sz w:val="20"/>
                <w:szCs w:val="20"/>
                <w:lang w:val="en-GB" w:eastAsia="en-US"/>
              </w:rPr>
            </w:pPr>
            <w:r w:rsidRPr="003E69A0">
              <w:rPr>
                <w:rFonts w:eastAsiaTheme="minorEastAsia"/>
                <w:noProof/>
                <w:sz w:val="20"/>
                <w:szCs w:val="20"/>
                <w:lang w:val="en-GB" w:eastAsia="en-US"/>
              </w:rPr>
              <w:object w:dxaOrig="1831" w:dyaOrig="1726" w14:anchorId="404C9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2.15pt" o:ole="" fillcolor="window">
                  <v:imagedata r:id="rId8" o:title=""/>
                </v:shape>
                <o:OLEObject Type="Embed" ProgID="Word.Picture.8" ShapeID="_x0000_i1025" DrawAspect="Content" ObjectID="_1601739148" r:id="rId9"/>
              </w:object>
            </w:r>
            <w:r w:rsidRPr="003E69A0">
              <w:rPr>
                <w:rFonts w:eastAsiaTheme="minorEastAsia"/>
                <w:noProof/>
                <w:sz w:val="20"/>
                <w:szCs w:val="20"/>
                <w:lang w:val="fr-FR"/>
              </w:rPr>
              <w:drawing>
                <wp:inline distT="0" distB="0" distL="0" distR="0" wp14:anchorId="66AA2EEB" wp14:editId="29D6DEE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33BD2F9B" w14:textId="77777777" w:rsidR="003E69A0" w:rsidRPr="003E69A0" w:rsidRDefault="003E69A0" w:rsidP="003E69A0">
            <w:pPr>
              <w:spacing w:after="0" w:line="240" w:lineRule="auto"/>
              <w:jc w:val="left"/>
              <w:rPr>
                <w:rFonts w:ascii="Arial" w:eastAsiaTheme="minorEastAsia" w:hAnsi="Arial" w:cs="Arial"/>
                <w:b/>
                <w:sz w:val="32"/>
                <w:szCs w:val="32"/>
                <w:lang w:val="en-GB"/>
              </w:rPr>
            </w:pPr>
          </w:p>
          <w:p w14:paraId="7BD82E90" w14:textId="77777777" w:rsidR="003E69A0" w:rsidRPr="003E69A0" w:rsidRDefault="003E69A0" w:rsidP="003E69A0">
            <w:pPr>
              <w:spacing w:after="0" w:line="240" w:lineRule="auto"/>
              <w:jc w:val="left"/>
              <w:rPr>
                <w:rFonts w:ascii="Arial" w:eastAsiaTheme="minorEastAsia" w:hAnsi="Arial" w:cs="Arial"/>
                <w:b/>
                <w:sz w:val="32"/>
                <w:szCs w:val="32"/>
                <w:lang w:val="en-GB"/>
              </w:rPr>
            </w:pPr>
          </w:p>
          <w:p w14:paraId="2F7F41AD" w14:textId="77777777" w:rsidR="003E69A0" w:rsidRPr="003E69A0" w:rsidRDefault="003E69A0" w:rsidP="003E69A0">
            <w:pPr>
              <w:spacing w:after="0" w:line="240" w:lineRule="auto"/>
              <w:jc w:val="left"/>
              <w:rPr>
                <w:rFonts w:ascii="Arial" w:eastAsiaTheme="minorEastAsia" w:hAnsi="Arial" w:cs="Arial"/>
                <w:b/>
                <w:sz w:val="32"/>
                <w:szCs w:val="32"/>
                <w:lang w:val="en-GB"/>
              </w:rPr>
            </w:pPr>
          </w:p>
          <w:p w14:paraId="40074AF6" w14:textId="77777777" w:rsidR="003E69A0" w:rsidRPr="003E69A0" w:rsidRDefault="003E69A0" w:rsidP="003E69A0">
            <w:pPr>
              <w:spacing w:after="0" w:line="240" w:lineRule="auto"/>
              <w:jc w:val="left"/>
              <w:rPr>
                <w:rFonts w:ascii="SimHei" w:eastAsia="SimHei" w:hAnsi="SimHei" w:cs="Arial"/>
                <w:b/>
                <w:sz w:val="32"/>
                <w:szCs w:val="32"/>
                <w:lang w:val="en-GB"/>
              </w:rPr>
            </w:pPr>
          </w:p>
          <w:p w14:paraId="72D39349" w14:textId="77777777" w:rsidR="003E69A0" w:rsidRPr="003E69A0" w:rsidRDefault="003E69A0" w:rsidP="003E69A0">
            <w:pPr>
              <w:spacing w:after="0" w:line="240" w:lineRule="auto"/>
              <w:jc w:val="left"/>
              <w:rPr>
                <w:rFonts w:ascii="SimHei" w:eastAsia="SimHei" w:hAnsi="SimHei" w:cs="Arial"/>
                <w:b/>
                <w:sz w:val="32"/>
                <w:szCs w:val="32"/>
                <w:lang w:val="en-GB"/>
              </w:rPr>
            </w:pPr>
            <w:r w:rsidRPr="003E69A0">
              <w:rPr>
                <w:rFonts w:ascii="SimHei" w:eastAsia="SimHei" w:hAnsi="SimHei" w:cs="Arial" w:hint="eastAsia"/>
                <w:b/>
                <w:sz w:val="32"/>
                <w:szCs w:val="32"/>
                <w:lang w:val="en-GB"/>
              </w:rPr>
              <w:t>联合国</w:t>
            </w:r>
          </w:p>
          <w:p w14:paraId="39C64225" w14:textId="77777777" w:rsidR="003E69A0" w:rsidRPr="003E69A0" w:rsidRDefault="003E69A0" w:rsidP="003E69A0">
            <w:pPr>
              <w:spacing w:after="0" w:line="240" w:lineRule="auto"/>
              <w:jc w:val="left"/>
              <w:rPr>
                <w:rFonts w:ascii="Arial" w:eastAsiaTheme="minorEastAsia" w:hAnsi="Arial" w:cs="Arial"/>
                <w:b/>
                <w:sz w:val="28"/>
                <w:szCs w:val="20"/>
                <w:lang w:val="en-GB"/>
              </w:rPr>
            </w:pPr>
            <w:r w:rsidRPr="003E69A0">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5E44B34" w14:textId="1FA46FCC" w:rsidR="003E69A0" w:rsidRPr="003E69A0" w:rsidRDefault="003E69A0" w:rsidP="003E69A0">
            <w:pPr>
              <w:spacing w:before="120"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Distr.: General</w:t>
            </w:r>
            <w:r w:rsidRPr="003E69A0">
              <w:rPr>
                <w:rFonts w:eastAsiaTheme="minorEastAsia"/>
                <w:sz w:val="20"/>
                <w:szCs w:val="20"/>
                <w:lang w:val="en-GB" w:eastAsia="en-US"/>
              </w:rPr>
              <w:br w:type="textWrapping" w:clear="all"/>
            </w:r>
            <w:r w:rsidR="0009682F">
              <w:rPr>
                <w:rFonts w:eastAsiaTheme="minorEastAsia"/>
                <w:sz w:val="20"/>
                <w:szCs w:val="20"/>
                <w:lang w:val="en-GB" w:eastAsia="en-US"/>
              </w:rPr>
              <w:t>1</w:t>
            </w:r>
            <w:r w:rsidR="00C81602" w:rsidRPr="00C81602">
              <w:rPr>
                <w:rFonts w:eastAsiaTheme="minorEastAsia"/>
                <w:sz w:val="20"/>
                <w:szCs w:val="20"/>
                <w:lang w:val="en-GB" w:eastAsia="en-US"/>
              </w:rPr>
              <w:t xml:space="preserve"> </w:t>
            </w:r>
            <w:r w:rsidR="0009682F">
              <w:rPr>
                <w:rFonts w:eastAsiaTheme="minorEastAsia"/>
                <w:sz w:val="20"/>
                <w:szCs w:val="20"/>
                <w:lang w:val="en-GB" w:eastAsia="en-US"/>
              </w:rPr>
              <w:t>August</w:t>
            </w:r>
            <w:r w:rsidR="00C81602" w:rsidRPr="00C81602">
              <w:rPr>
                <w:rFonts w:eastAsiaTheme="minorEastAsia"/>
                <w:sz w:val="20"/>
                <w:szCs w:val="20"/>
                <w:lang w:val="en-GB" w:eastAsia="en-US"/>
              </w:rPr>
              <w:t xml:space="preserve"> 2018</w:t>
            </w:r>
          </w:p>
          <w:p w14:paraId="2225C17D" w14:textId="77777777" w:rsidR="003E69A0" w:rsidRPr="003E69A0" w:rsidRDefault="003E69A0" w:rsidP="003E69A0">
            <w:pPr>
              <w:spacing w:after="0" w:line="240" w:lineRule="auto"/>
              <w:ind w:left="269"/>
              <w:jc w:val="left"/>
              <w:rPr>
                <w:rFonts w:eastAsiaTheme="minorEastAsia"/>
                <w:sz w:val="20"/>
                <w:szCs w:val="20"/>
                <w:lang w:val="en-GB"/>
              </w:rPr>
            </w:pPr>
          </w:p>
          <w:p w14:paraId="1D7CA9B6" w14:textId="77777777" w:rsidR="003E69A0" w:rsidRPr="003E69A0" w:rsidRDefault="003E69A0" w:rsidP="003E69A0">
            <w:pPr>
              <w:spacing w:after="0" w:line="240" w:lineRule="auto"/>
              <w:ind w:left="269"/>
              <w:jc w:val="left"/>
              <w:rPr>
                <w:rFonts w:eastAsiaTheme="minorEastAsia"/>
                <w:sz w:val="20"/>
                <w:szCs w:val="20"/>
                <w:lang w:val="en-GB"/>
              </w:rPr>
            </w:pPr>
            <w:r w:rsidRPr="003E69A0">
              <w:rPr>
                <w:rFonts w:eastAsiaTheme="minorEastAsia" w:hint="eastAsia"/>
                <w:sz w:val="20"/>
                <w:szCs w:val="20"/>
                <w:lang w:val="en-GB"/>
              </w:rPr>
              <w:t>Chinese</w:t>
            </w:r>
          </w:p>
          <w:p w14:paraId="528761AA" w14:textId="77777777" w:rsidR="003E69A0" w:rsidRPr="003E69A0" w:rsidRDefault="003E69A0" w:rsidP="003E69A0">
            <w:pPr>
              <w:spacing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Original: English</w:t>
            </w:r>
          </w:p>
        </w:tc>
      </w:tr>
    </w:tbl>
    <w:p w14:paraId="47A2FFBC" w14:textId="77777777" w:rsidR="003E69A0" w:rsidRPr="003E69A0" w:rsidRDefault="003E69A0" w:rsidP="00D67CEE">
      <w:pPr>
        <w:tabs>
          <w:tab w:val="left" w:pos="4082"/>
        </w:tabs>
        <w:suppressAutoHyphens/>
        <w:spacing w:after="0" w:line="240" w:lineRule="auto"/>
        <w:ind w:left="120" w:right="5103" w:hanging="120"/>
        <w:jc w:val="left"/>
        <w:rPr>
          <w:rFonts w:ascii="SimHei" w:eastAsia="SimHei" w:hAnsi="SimHei"/>
          <w:b/>
          <w:sz w:val="24"/>
          <w:szCs w:val="24"/>
          <w:lang w:val="zh-CN"/>
        </w:rPr>
      </w:pPr>
      <w:r w:rsidRPr="003E69A0">
        <w:rPr>
          <w:rFonts w:ascii="SimHei" w:eastAsia="SimHei" w:hAnsi="SimHei"/>
          <w:b/>
          <w:sz w:val="24"/>
          <w:szCs w:val="24"/>
          <w:lang w:val="zh-CN"/>
        </w:rPr>
        <w:t>关于汞的水俣公约缔约方大会</w:t>
      </w:r>
    </w:p>
    <w:p w14:paraId="5339ACE2" w14:textId="1CE7B35D" w:rsidR="003E69A0" w:rsidRDefault="003E69A0" w:rsidP="00D67CEE">
      <w:pPr>
        <w:tabs>
          <w:tab w:val="left" w:pos="4082"/>
        </w:tabs>
        <w:suppressAutoHyphens/>
        <w:spacing w:after="0" w:line="240" w:lineRule="auto"/>
        <w:ind w:left="120" w:right="5103" w:hanging="120"/>
        <w:jc w:val="left"/>
        <w:rPr>
          <w:rFonts w:ascii="SimHei" w:eastAsia="SimHei" w:hAnsi="SimHei"/>
          <w:b/>
          <w:sz w:val="24"/>
          <w:szCs w:val="24"/>
          <w:lang w:val="zh-CN"/>
        </w:rPr>
      </w:pPr>
      <w:r w:rsidRPr="003E69A0">
        <w:rPr>
          <w:rFonts w:ascii="SimHei" w:eastAsia="SimHei" w:hAnsi="SimHei"/>
          <w:b/>
          <w:sz w:val="24"/>
          <w:szCs w:val="24"/>
          <w:lang w:val="zh-CN"/>
        </w:rPr>
        <w:t>第</w:t>
      </w:r>
      <w:r>
        <w:rPr>
          <w:rFonts w:ascii="SimHei" w:eastAsia="SimHei" w:hAnsi="SimHei" w:hint="eastAsia"/>
          <w:b/>
          <w:sz w:val="24"/>
          <w:szCs w:val="24"/>
          <w:lang w:val="zh-CN"/>
        </w:rPr>
        <w:t>二</w:t>
      </w:r>
      <w:r w:rsidRPr="003E69A0">
        <w:rPr>
          <w:rFonts w:ascii="SimHei" w:eastAsia="SimHei" w:hAnsi="SimHei"/>
          <w:b/>
          <w:sz w:val="24"/>
          <w:szCs w:val="24"/>
          <w:lang w:val="zh-CN"/>
        </w:rPr>
        <w:t>次会议</w:t>
      </w:r>
    </w:p>
    <w:p w14:paraId="67B82F12" w14:textId="644F542C" w:rsidR="00787688" w:rsidRDefault="00787688" w:rsidP="00D67CEE">
      <w:pPr>
        <w:keepNext/>
        <w:keepLines/>
        <w:tabs>
          <w:tab w:val="left" w:pos="4082"/>
        </w:tabs>
        <w:suppressAutoHyphens/>
        <w:spacing w:after="0" w:line="240" w:lineRule="auto"/>
        <w:ind w:left="120" w:right="5098" w:hanging="120"/>
        <w:rPr>
          <w:sz w:val="24"/>
          <w:szCs w:val="24"/>
          <w:lang w:val="zh-CN"/>
        </w:rPr>
      </w:pPr>
      <w:r w:rsidRPr="003E69A0">
        <w:rPr>
          <w:sz w:val="24"/>
          <w:szCs w:val="24"/>
          <w:lang w:val="zh-CN"/>
        </w:rPr>
        <w:t>2018</w:t>
      </w:r>
      <w:r w:rsidRPr="003E69A0">
        <w:rPr>
          <w:sz w:val="24"/>
          <w:szCs w:val="24"/>
          <w:lang w:val="zh-CN"/>
        </w:rPr>
        <w:t>年</w:t>
      </w:r>
      <w:r w:rsidRPr="003E69A0">
        <w:rPr>
          <w:sz w:val="24"/>
          <w:szCs w:val="24"/>
          <w:lang w:val="zh-CN"/>
        </w:rPr>
        <w:t>11</w:t>
      </w:r>
      <w:r w:rsidRPr="003E69A0">
        <w:rPr>
          <w:sz w:val="24"/>
          <w:szCs w:val="24"/>
          <w:lang w:val="zh-CN"/>
        </w:rPr>
        <w:t>月</w:t>
      </w:r>
      <w:r w:rsidRPr="003E69A0">
        <w:rPr>
          <w:sz w:val="24"/>
          <w:szCs w:val="24"/>
          <w:lang w:val="zh-CN"/>
        </w:rPr>
        <w:t>19</w:t>
      </w:r>
      <w:r w:rsidRPr="003E69A0">
        <w:rPr>
          <w:sz w:val="24"/>
          <w:szCs w:val="24"/>
          <w:lang w:val="zh-CN"/>
        </w:rPr>
        <w:t>日至</w:t>
      </w:r>
      <w:r w:rsidRPr="003E69A0">
        <w:rPr>
          <w:sz w:val="24"/>
          <w:szCs w:val="24"/>
          <w:lang w:val="zh-CN"/>
        </w:rPr>
        <w:t>23</w:t>
      </w:r>
      <w:r w:rsidRPr="003E69A0">
        <w:rPr>
          <w:sz w:val="24"/>
          <w:szCs w:val="24"/>
          <w:lang w:val="zh-CN"/>
        </w:rPr>
        <w:t>日，日内瓦</w:t>
      </w:r>
    </w:p>
    <w:p w14:paraId="525CFCB7" w14:textId="10C0BDFC" w:rsidR="00EA65CE" w:rsidRDefault="00EA65CE" w:rsidP="00D67CEE">
      <w:pPr>
        <w:keepNext/>
        <w:keepLines/>
        <w:tabs>
          <w:tab w:val="left" w:pos="4082"/>
        </w:tabs>
        <w:suppressAutoHyphens/>
        <w:spacing w:after="0" w:line="240" w:lineRule="auto"/>
        <w:ind w:left="120" w:right="5098" w:hanging="120"/>
        <w:rPr>
          <w:sz w:val="24"/>
          <w:szCs w:val="24"/>
        </w:rPr>
      </w:pPr>
      <w:r>
        <w:rPr>
          <w:rFonts w:hint="eastAsia"/>
          <w:sz w:val="24"/>
          <w:szCs w:val="24"/>
        </w:rPr>
        <w:t>临时议程</w:t>
      </w:r>
      <w:r w:rsidRPr="001050F2">
        <w:rPr>
          <w:rFonts w:eastAsiaTheme="minorEastAsia"/>
          <w:sz w:val="24"/>
          <w:szCs w:val="24"/>
        </w:rPr>
        <w:footnoteReference w:customMarkFollows="1" w:id="1"/>
        <w:t>*</w:t>
      </w:r>
      <w:r>
        <w:rPr>
          <w:rFonts w:hint="eastAsia"/>
          <w:sz w:val="24"/>
          <w:szCs w:val="24"/>
        </w:rPr>
        <w:t>项目</w:t>
      </w:r>
      <w:r>
        <w:rPr>
          <w:rFonts w:hint="eastAsia"/>
          <w:sz w:val="24"/>
          <w:szCs w:val="24"/>
        </w:rPr>
        <w:t>5</w:t>
      </w:r>
      <w:r>
        <w:rPr>
          <w:rFonts w:hint="eastAsia"/>
          <w:sz w:val="24"/>
          <w:szCs w:val="24"/>
        </w:rPr>
        <w:t>（</w:t>
      </w:r>
      <w:r>
        <w:rPr>
          <w:rFonts w:hint="eastAsia"/>
          <w:sz w:val="24"/>
          <w:szCs w:val="24"/>
        </w:rPr>
        <w:t>b</w:t>
      </w:r>
      <w:r>
        <w:rPr>
          <w:rFonts w:hint="eastAsia"/>
          <w:sz w:val="24"/>
          <w:szCs w:val="24"/>
        </w:rPr>
        <w:t>）</w:t>
      </w:r>
    </w:p>
    <w:p w14:paraId="75B17DF4" w14:textId="35839EAA" w:rsidR="0009682F" w:rsidRPr="0009682F" w:rsidRDefault="0009682F" w:rsidP="00697DD9">
      <w:pPr>
        <w:keepNext/>
        <w:keepLines/>
        <w:tabs>
          <w:tab w:val="left" w:pos="4082"/>
        </w:tabs>
        <w:suppressAutoHyphens/>
        <w:spacing w:before="60" w:after="0" w:line="240" w:lineRule="auto"/>
        <w:ind w:right="5103"/>
        <w:rPr>
          <w:rFonts w:ascii="SimHei" w:eastAsia="SimHei" w:hAnsi="SimHei"/>
          <w:b/>
          <w:sz w:val="24"/>
          <w:szCs w:val="24"/>
        </w:rPr>
      </w:pPr>
      <w:r w:rsidRPr="0009682F">
        <w:rPr>
          <w:rFonts w:ascii="SimHei" w:eastAsia="SimHei" w:hAnsi="SimHei"/>
          <w:b/>
          <w:sz w:val="24"/>
          <w:szCs w:val="24"/>
          <w:lang w:val="zh-CN"/>
        </w:rPr>
        <w:t>供缔约方大会审议或采取行动的事项：</w:t>
      </w:r>
      <w:r w:rsidR="00D67CEE">
        <w:rPr>
          <w:rFonts w:ascii="SimHei" w:eastAsia="SimHei" w:hAnsi="SimHei"/>
          <w:b/>
          <w:sz w:val="24"/>
          <w:szCs w:val="24"/>
          <w:lang w:val="zh-CN"/>
        </w:rPr>
        <w:br/>
      </w:r>
      <w:r w:rsidRPr="0009682F">
        <w:rPr>
          <w:rFonts w:ascii="SimHei" w:eastAsia="SimHei" w:hAnsi="SimHei"/>
          <w:b/>
          <w:sz w:val="24"/>
          <w:szCs w:val="24"/>
          <w:lang w:val="zh-CN"/>
        </w:rPr>
        <w:t>汞废物以外的汞的无害环境临时储存</w:t>
      </w:r>
    </w:p>
    <w:p w14:paraId="39803B56" w14:textId="7E6E60D5" w:rsidR="0009682F" w:rsidRPr="0009682F" w:rsidRDefault="0009682F" w:rsidP="00D33A45">
      <w:pPr>
        <w:pStyle w:val="BBTitle"/>
        <w:ind w:right="142"/>
        <w:rPr>
          <w:rFonts w:ascii="SimHei" w:eastAsia="SimHei" w:hAnsi="SimHei"/>
          <w:sz w:val="32"/>
          <w:szCs w:val="32"/>
          <w:lang w:eastAsia="zh-CN"/>
        </w:rPr>
      </w:pPr>
      <w:bookmarkStart w:id="5" w:name="_Hlk517786179"/>
      <w:r w:rsidRPr="0009682F">
        <w:rPr>
          <w:rFonts w:ascii="SimHei" w:eastAsia="SimHei" w:hAnsi="SimHei"/>
          <w:sz w:val="32"/>
          <w:szCs w:val="32"/>
          <w:lang w:val="zh-CN" w:eastAsia="zh-CN"/>
        </w:rPr>
        <w:t>关于汞废物以外的汞</w:t>
      </w:r>
      <w:r w:rsidR="009D31A2">
        <w:rPr>
          <w:rFonts w:ascii="SimHei" w:eastAsia="SimHei" w:hAnsi="SimHei" w:hint="eastAsia"/>
          <w:sz w:val="32"/>
          <w:szCs w:val="32"/>
          <w:lang w:val="zh-CN" w:eastAsia="zh-CN"/>
        </w:rPr>
        <w:t>的</w:t>
      </w:r>
      <w:r w:rsidR="001C174F">
        <w:rPr>
          <w:rFonts w:ascii="SimHei" w:eastAsia="SimHei" w:hAnsi="SimHei"/>
          <w:sz w:val="32"/>
          <w:szCs w:val="32"/>
          <w:lang w:val="zh-CN" w:eastAsia="zh-CN"/>
        </w:rPr>
        <w:t>无害环境临时储存的指导准则</w:t>
      </w:r>
    </w:p>
    <w:p w14:paraId="0771353A" w14:textId="77777777" w:rsidR="0009682F" w:rsidRPr="0009682F" w:rsidRDefault="0009682F" w:rsidP="0009682F">
      <w:pPr>
        <w:pStyle w:val="CH2"/>
        <w:rPr>
          <w:rFonts w:ascii="SimHei" w:eastAsia="SimHei" w:hAnsi="SimHei"/>
          <w:lang w:val="zh-CN" w:eastAsia="zh-CN"/>
        </w:rPr>
      </w:pPr>
      <w:r>
        <w:rPr>
          <w:lang w:val="zh-CN" w:eastAsia="zh-CN"/>
        </w:rPr>
        <w:tab/>
      </w:r>
      <w:r>
        <w:rPr>
          <w:lang w:val="zh-CN" w:eastAsia="zh-CN"/>
        </w:rPr>
        <w:tab/>
      </w:r>
      <w:bookmarkStart w:id="6" w:name="_Toc526252793"/>
      <w:r w:rsidRPr="0009682F">
        <w:rPr>
          <w:rFonts w:ascii="SimHei" w:eastAsia="SimHei" w:hAnsi="SimHei"/>
          <w:lang w:val="zh-CN" w:eastAsia="zh-CN"/>
        </w:rPr>
        <w:t>秘书处的说明</w:t>
      </w:r>
      <w:bookmarkStart w:id="7" w:name="_Toc524009400"/>
      <w:bookmarkEnd w:id="6"/>
      <w:bookmarkEnd w:id="7"/>
    </w:p>
    <w:p w14:paraId="1D13A387" w14:textId="4028A25D" w:rsidR="0009682F" w:rsidRPr="00D33A45" w:rsidRDefault="0009682F" w:rsidP="00D33A45">
      <w:pPr>
        <w:pStyle w:val="Normalnumber"/>
        <w:numPr>
          <w:ilvl w:val="0"/>
          <w:numId w:val="37"/>
        </w:numPr>
        <w:tabs>
          <w:tab w:val="clear" w:pos="1247"/>
          <w:tab w:val="clear" w:pos="1814"/>
          <w:tab w:val="clear" w:pos="2381"/>
          <w:tab w:val="clear" w:pos="2948"/>
          <w:tab w:val="clear" w:pos="3515"/>
          <w:tab w:val="clear" w:pos="4082"/>
          <w:tab w:val="left" w:pos="624"/>
        </w:tabs>
        <w:suppressAutoHyphens/>
        <w:autoSpaceDN w:val="0"/>
        <w:ind w:left="1253" w:firstLine="0"/>
        <w:jc w:val="both"/>
        <w:textAlignment w:val="baseline"/>
        <w:rPr>
          <w:rFonts w:ascii="SimSun" w:hAnsi="SimSun"/>
          <w:iCs/>
          <w:sz w:val="24"/>
          <w:szCs w:val="24"/>
          <w:lang w:eastAsia="zh-CN"/>
        </w:rPr>
      </w:pPr>
      <w:r w:rsidRPr="00665495">
        <w:rPr>
          <w:rFonts w:ascii="SimSun" w:hAnsi="SimSun"/>
          <w:spacing w:val="-6"/>
          <w:sz w:val="24"/>
          <w:szCs w:val="24"/>
          <w:lang w:val="zh-CN" w:eastAsia="zh-CN"/>
        </w:rPr>
        <w:t>关于汞的水俣公约缔约方大会第一次会议</w:t>
      </w:r>
      <w:r w:rsidR="00A23284" w:rsidRPr="00665495">
        <w:rPr>
          <w:rFonts w:ascii="SimSun" w:hAnsi="SimSun"/>
          <w:spacing w:val="-6"/>
          <w:sz w:val="24"/>
          <w:szCs w:val="24"/>
          <w:lang w:val="zh-CN" w:eastAsia="zh-CN"/>
        </w:rPr>
        <w:t>审议了</w:t>
      </w:r>
      <w:r w:rsidRPr="00665495">
        <w:rPr>
          <w:rFonts w:ascii="SimSun" w:hAnsi="SimSun"/>
          <w:spacing w:val="-6"/>
          <w:sz w:val="24"/>
          <w:szCs w:val="24"/>
          <w:lang w:val="zh-CN" w:eastAsia="zh-CN"/>
        </w:rPr>
        <w:t>根据</w:t>
      </w:r>
      <w:r w:rsidR="00EA65CE" w:rsidRPr="00665495">
        <w:rPr>
          <w:rFonts w:ascii="SimSun" w:hAnsi="SimSun" w:hint="eastAsia"/>
          <w:spacing w:val="-6"/>
          <w:sz w:val="24"/>
          <w:szCs w:val="24"/>
          <w:lang w:val="zh-CN" w:eastAsia="zh-CN"/>
        </w:rPr>
        <w:t>《公约》</w:t>
      </w:r>
      <w:r w:rsidRPr="00665495">
        <w:rPr>
          <w:spacing w:val="-6"/>
          <w:sz w:val="24"/>
          <w:szCs w:val="24"/>
          <w:lang w:val="zh-CN" w:eastAsia="zh-CN"/>
        </w:rPr>
        <w:t>第</w:t>
      </w:r>
      <w:r w:rsidRPr="00665495">
        <w:rPr>
          <w:spacing w:val="-6"/>
          <w:sz w:val="24"/>
          <w:szCs w:val="24"/>
          <w:lang w:val="zh-CN" w:eastAsia="zh-CN"/>
        </w:rPr>
        <w:t>10</w:t>
      </w:r>
      <w:r w:rsidRPr="00665495">
        <w:rPr>
          <w:spacing w:val="-6"/>
          <w:sz w:val="24"/>
          <w:szCs w:val="24"/>
          <w:lang w:val="zh-CN" w:eastAsia="zh-CN"/>
        </w:rPr>
        <w:t>条第</w:t>
      </w:r>
      <w:r w:rsidRPr="00665495">
        <w:rPr>
          <w:spacing w:val="-6"/>
          <w:sz w:val="24"/>
          <w:szCs w:val="24"/>
          <w:lang w:val="zh-CN" w:eastAsia="zh-CN"/>
        </w:rPr>
        <w:t>3</w:t>
      </w:r>
      <w:r w:rsidRPr="00665495">
        <w:rPr>
          <w:spacing w:val="-6"/>
          <w:sz w:val="24"/>
          <w:szCs w:val="24"/>
          <w:lang w:val="zh-CN" w:eastAsia="zh-CN"/>
        </w:rPr>
        <w:t>款的要求</w:t>
      </w:r>
      <w:r w:rsidR="00A23284" w:rsidRPr="00665495">
        <w:rPr>
          <w:spacing w:val="-6"/>
          <w:sz w:val="24"/>
          <w:szCs w:val="24"/>
          <w:lang w:val="zh-CN" w:eastAsia="zh-CN"/>
        </w:rPr>
        <w:t>制定</w:t>
      </w:r>
      <w:r w:rsidRPr="00665495">
        <w:rPr>
          <w:spacing w:val="-6"/>
          <w:sz w:val="24"/>
          <w:szCs w:val="24"/>
          <w:lang w:val="zh-CN" w:eastAsia="zh-CN"/>
        </w:rPr>
        <w:t>有关汞释放的指导准则的工作</w:t>
      </w:r>
      <w:r w:rsidRPr="00665495">
        <w:rPr>
          <w:sz w:val="24"/>
          <w:szCs w:val="24"/>
          <w:lang w:val="zh-CN" w:eastAsia="zh-CN"/>
        </w:rPr>
        <w:t>。缔约方大会在</w:t>
      </w:r>
      <w:r w:rsidRPr="00665495">
        <w:rPr>
          <w:sz w:val="24"/>
          <w:szCs w:val="24"/>
          <w:lang w:val="zh-CN" w:eastAsia="zh-CN"/>
        </w:rPr>
        <w:t>MC-1/18</w:t>
      </w:r>
      <w:r w:rsidRPr="00665495">
        <w:rPr>
          <w:sz w:val="24"/>
          <w:szCs w:val="24"/>
          <w:lang w:val="zh-CN" w:eastAsia="zh-CN"/>
        </w:rPr>
        <w:t>号决定中请秘书处进一步修订提交给第一次会议的指导准则草案，征求相关专家的技术意见</w:t>
      </w:r>
      <w:r w:rsidRPr="00D33A45">
        <w:rPr>
          <w:rFonts w:ascii="SimSun" w:hAnsi="SimSun"/>
          <w:sz w:val="24"/>
          <w:szCs w:val="24"/>
          <w:lang w:val="zh-CN" w:eastAsia="zh-CN"/>
        </w:rPr>
        <w:t>，修改指导准则并将修订稿公布在水俣公约网站上，</w:t>
      </w:r>
      <w:r w:rsidR="007B47CF">
        <w:rPr>
          <w:rFonts w:ascii="SimSun" w:hAnsi="SimSun" w:hint="eastAsia"/>
          <w:sz w:val="24"/>
          <w:szCs w:val="24"/>
          <w:lang w:val="zh-CN" w:eastAsia="zh-CN"/>
        </w:rPr>
        <w:t>让</w:t>
      </w:r>
      <w:r w:rsidRPr="00D33A45">
        <w:rPr>
          <w:rFonts w:ascii="SimSun" w:hAnsi="SimSun"/>
          <w:sz w:val="24"/>
          <w:szCs w:val="24"/>
          <w:lang w:val="zh-CN" w:eastAsia="zh-CN"/>
        </w:rPr>
        <w:t>专家、缔约方及其他各方</w:t>
      </w:r>
      <w:r w:rsidR="007B47CF">
        <w:rPr>
          <w:rFonts w:ascii="SimSun" w:hAnsi="SimSun" w:hint="eastAsia"/>
          <w:sz w:val="24"/>
          <w:szCs w:val="24"/>
          <w:lang w:val="zh-CN" w:eastAsia="zh-CN"/>
        </w:rPr>
        <w:t>提出</w:t>
      </w:r>
      <w:r w:rsidRPr="00D33A45">
        <w:rPr>
          <w:rFonts w:ascii="SimSun" w:hAnsi="SimSun"/>
          <w:sz w:val="24"/>
          <w:szCs w:val="24"/>
          <w:lang w:val="zh-CN" w:eastAsia="zh-CN"/>
        </w:rPr>
        <w:t>意见，并根据收到的意见进一步修订指导准则。</w:t>
      </w:r>
    </w:p>
    <w:p w14:paraId="15752107" w14:textId="2C1178F8" w:rsidR="0009682F" w:rsidRPr="00D33A45" w:rsidRDefault="0009682F" w:rsidP="00D33A45">
      <w:pPr>
        <w:pStyle w:val="Normalnumber"/>
        <w:numPr>
          <w:ilvl w:val="0"/>
          <w:numId w:val="37"/>
        </w:numPr>
        <w:tabs>
          <w:tab w:val="clear" w:pos="1247"/>
          <w:tab w:val="clear" w:pos="1814"/>
          <w:tab w:val="clear" w:pos="2381"/>
          <w:tab w:val="clear" w:pos="2948"/>
          <w:tab w:val="clear" w:pos="3515"/>
          <w:tab w:val="clear" w:pos="4082"/>
          <w:tab w:val="left" w:pos="624"/>
        </w:tabs>
        <w:suppressAutoHyphens/>
        <w:autoSpaceDN w:val="0"/>
        <w:ind w:left="1253" w:firstLine="0"/>
        <w:jc w:val="both"/>
        <w:textAlignment w:val="baseline"/>
        <w:rPr>
          <w:rFonts w:ascii="SimSun" w:hAnsi="SimSun"/>
          <w:sz w:val="24"/>
          <w:szCs w:val="24"/>
          <w:lang w:eastAsia="zh-CN"/>
        </w:rPr>
      </w:pPr>
      <w:r w:rsidRPr="00D33A45">
        <w:rPr>
          <w:rFonts w:ascii="SimSun" w:hAnsi="SimSun"/>
          <w:sz w:val="24"/>
          <w:szCs w:val="24"/>
          <w:lang w:val="zh-CN" w:eastAsia="zh-CN"/>
        </w:rPr>
        <w:t>秘书处已根据要求进行了修订，</w:t>
      </w:r>
      <w:r w:rsidR="001427E6" w:rsidRPr="00D33A45">
        <w:rPr>
          <w:rFonts w:ascii="SimSun" w:hAnsi="SimSun" w:hint="eastAsia"/>
          <w:sz w:val="24"/>
          <w:szCs w:val="24"/>
          <w:lang w:val="zh-CN" w:eastAsia="zh-CN"/>
        </w:rPr>
        <w:t>并</w:t>
      </w:r>
      <w:r w:rsidRPr="00D33A45">
        <w:rPr>
          <w:rFonts w:ascii="SimSun" w:hAnsi="SimSun"/>
          <w:sz w:val="24"/>
          <w:szCs w:val="24"/>
          <w:lang w:val="zh-CN" w:eastAsia="zh-CN"/>
        </w:rPr>
        <w:t>将指导准则草案修订稿提交缔约方大会进一步审议和酌情通过。本说明附件一</w:t>
      </w:r>
      <w:r w:rsidR="004D7684">
        <w:rPr>
          <w:rFonts w:ascii="SimSun" w:hAnsi="SimSun" w:hint="eastAsia"/>
          <w:sz w:val="24"/>
          <w:szCs w:val="24"/>
          <w:lang w:val="zh-CN" w:eastAsia="zh-CN"/>
        </w:rPr>
        <w:t>列</w:t>
      </w:r>
      <w:r w:rsidRPr="00D33A45">
        <w:rPr>
          <w:rFonts w:ascii="SimSun" w:hAnsi="SimSun"/>
          <w:sz w:val="24"/>
          <w:szCs w:val="24"/>
          <w:lang w:val="zh-CN" w:eastAsia="zh-CN"/>
        </w:rPr>
        <w:t>有</w:t>
      </w:r>
      <w:r w:rsidR="001427E6" w:rsidRPr="00D33A45">
        <w:rPr>
          <w:rFonts w:ascii="SimSun" w:hAnsi="SimSun" w:hint="eastAsia"/>
          <w:sz w:val="24"/>
          <w:szCs w:val="24"/>
          <w:lang w:val="zh-CN" w:eastAsia="zh-CN"/>
        </w:rPr>
        <w:t>关于</w:t>
      </w:r>
      <w:r w:rsidRPr="00D33A45">
        <w:rPr>
          <w:rFonts w:ascii="SimSun" w:hAnsi="SimSun"/>
          <w:sz w:val="24"/>
          <w:szCs w:val="24"/>
          <w:lang w:val="zh-CN" w:eastAsia="zh-CN"/>
        </w:rPr>
        <w:t>此事的决定草案，附件二列有准则草案修订稿。</w:t>
      </w:r>
    </w:p>
    <w:p w14:paraId="4980B8BF" w14:textId="77777777" w:rsidR="0009682F" w:rsidRPr="0009682F" w:rsidRDefault="0009682F" w:rsidP="00D82766">
      <w:pPr>
        <w:pStyle w:val="CH2"/>
        <w:rPr>
          <w:rFonts w:ascii="SimHei" w:eastAsia="SimHei" w:hAnsi="SimHei"/>
          <w:lang w:val="zh-CN" w:eastAsia="zh-CN"/>
        </w:rPr>
      </w:pPr>
      <w:r>
        <w:rPr>
          <w:lang w:val="zh-CN" w:eastAsia="zh-CN"/>
        </w:rPr>
        <w:tab/>
      </w:r>
      <w:r>
        <w:rPr>
          <w:lang w:val="zh-CN" w:eastAsia="zh-CN"/>
        </w:rPr>
        <w:tab/>
      </w:r>
      <w:bookmarkStart w:id="8" w:name="_Toc526252794"/>
      <w:r w:rsidRPr="0009682F">
        <w:rPr>
          <w:rFonts w:ascii="SimHei" w:eastAsia="SimHei" w:hAnsi="SimHei"/>
          <w:lang w:val="zh-CN" w:eastAsia="zh-CN"/>
        </w:rPr>
        <w:t>建议缔约方大会采取的行动</w:t>
      </w:r>
      <w:bookmarkStart w:id="9" w:name="_Toc524009401"/>
      <w:bookmarkEnd w:id="8"/>
      <w:bookmarkEnd w:id="9"/>
    </w:p>
    <w:p w14:paraId="6A3C61DC" w14:textId="457EACE9" w:rsidR="0009682F" w:rsidRPr="00D33A45" w:rsidRDefault="0009682F" w:rsidP="0009682F">
      <w:pPr>
        <w:pStyle w:val="Normalnumber"/>
        <w:numPr>
          <w:ilvl w:val="0"/>
          <w:numId w:val="37"/>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rFonts w:ascii="SimSun" w:hAnsi="SimSun"/>
          <w:sz w:val="24"/>
          <w:szCs w:val="24"/>
          <w:lang w:val="zh-CN" w:eastAsia="zh-CN"/>
        </w:rPr>
      </w:pPr>
      <w:r w:rsidRPr="00D33A45">
        <w:rPr>
          <w:rFonts w:ascii="SimSun" w:hAnsi="SimSun"/>
          <w:sz w:val="24"/>
          <w:szCs w:val="24"/>
          <w:lang w:val="zh-CN" w:eastAsia="zh-CN"/>
        </w:rPr>
        <w:t>缔约方大会不妨审议关于汞废物以外的汞</w:t>
      </w:r>
      <w:r w:rsidR="003D7177">
        <w:rPr>
          <w:rFonts w:ascii="SimSun" w:hAnsi="SimSun" w:hint="eastAsia"/>
          <w:sz w:val="24"/>
          <w:szCs w:val="24"/>
          <w:lang w:val="zh-CN" w:eastAsia="zh-CN"/>
        </w:rPr>
        <w:t>的</w:t>
      </w:r>
      <w:r w:rsidRPr="00D33A45">
        <w:rPr>
          <w:rFonts w:ascii="SimSun" w:hAnsi="SimSun"/>
          <w:sz w:val="24"/>
          <w:szCs w:val="24"/>
          <w:lang w:val="zh-CN" w:eastAsia="zh-CN"/>
        </w:rPr>
        <w:t>临时储存的指导准则草案修订稿，并</w:t>
      </w:r>
      <w:r w:rsidR="001427E6" w:rsidRPr="00D33A45">
        <w:rPr>
          <w:rFonts w:ascii="SimSun" w:hAnsi="SimSun" w:hint="eastAsia"/>
          <w:sz w:val="24"/>
          <w:szCs w:val="24"/>
          <w:lang w:val="zh-CN" w:eastAsia="zh-CN"/>
        </w:rPr>
        <w:t>予以</w:t>
      </w:r>
      <w:r w:rsidRPr="00D33A45">
        <w:rPr>
          <w:rFonts w:ascii="SimSun" w:hAnsi="SimSun"/>
          <w:sz w:val="24"/>
          <w:szCs w:val="24"/>
          <w:lang w:val="zh-CN" w:eastAsia="zh-CN"/>
        </w:rPr>
        <w:t>通过以供使用。</w:t>
      </w:r>
    </w:p>
    <w:p w14:paraId="29831309" w14:textId="77777777" w:rsidR="0009682F" w:rsidRDefault="0009682F" w:rsidP="0009682F">
      <w:pPr>
        <w:pStyle w:val="Normal-pool"/>
        <w:rPr>
          <w:lang w:eastAsia="zh-CN"/>
        </w:rPr>
        <w:sectPr w:rsidR="0009682F"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rsidRPr="00E12844">
        <w:rPr>
          <w:lang w:eastAsia="zh-CN"/>
        </w:rPr>
        <w:br w:type="page"/>
      </w:r>
    </w:p>
    <w:p w14:paraId="247DF924" w14:textId="63A781CD" w:rsidR="0009682F" w:rsidRPr="00F426CA" w:rsidRDefault="0009682F" w:rsidP="00665495">
      <w:pPr>
        <w:pStyle w:val="ZZAnxheader"/>
        <w:ind w:hanging="284"/>
        <w:rPr>
          <w:rFonts w:ascii="SimHei" w:eastAsia="SimHei" w:hAnsi="SimHei"/>
          <w:sz w:val="32"/>
          <w:szCs w:val="32"/>
          <w:lang w:eastAsia="zh-CN"/>
        </w:rPr>
      </w:pPr>
      <w:r>
        <w:rPr>
          <w:lang w:val="en-US" w:eastAsia="zh-CN"/>
        </w:rPr>
        <w:lastRenderedPageBreak/>
        <w:tab/>
      </w:r>
      <w:r w:rsidRPr="00F426CA">
        <w:rPr>
          <w:rFonts w:ascii="SimHei" w:eastAsia="SimHei" w:hAnsi="SimHei"/>
          <w:sz w:val="32"/>
          <w:szCs w:val="32"/>
          <w:lang w:val="zh-CN" w:eastAsia="zh-CN"/>
        </w:rPr>
        <w:t>附件一</w:t>
      </w:r>
    </w:p>
    <w:p w14:paraId="0FCBAEC0" w14:textId="418D8A64" w:rsidR="0009682F" w:rsidRPr="00F426CA" w:rsidRDefault="0009682F" w:rsidP="00D33A45">
      <w:pPr>
        <w:pStyle w:val="ZZAnxtitle"/>
        <w:spacing w:before="240"/>
        <w:rPr>
          <w:rFonts w:eastAsia="SimHei"/>
          <w:sz w:val="32"/>
          <w:szCs w:val="32"/>
          <w:lang w:val="zh-CN" w:eastAsia="zh-CN"/>
        </w:rPr>
      </w:pPr>
      <w:r w:rsidRPr="00F426CA">
        <w:rPr>
          <w:rFonts w:eastAsia="SimHei"/>
          <w:sz w:val="32"/>
          <w:szCs w:val="32"/>
          <w:lang w:val="zh-CN" w:eastAsia="zh-CN"/>
        </w:rPr>
        <w:t>决定草案</w:t>
      </w:r>
      <w:r w:rsidRPr="00F426CA">
        <w:rPr>
          <w:rFonts w:eastAsia="SimHei"/>
          <w:sz w:val="32"/>
          <w:szCs w:val="32"/>
          <w:lang w:val="zh-CN" w:eastAsia="zh-CN"/>
        </w:rPr>
        <w:t>MC-2/[ XX]</w:t>
      </w:r>
      <w:r w:rsidRPr="00F426CA">
        <w:rPr>
          <w:rFonts w:eastAsia="SimHei"/>
          <w:sz w:val="32"/>
          <w:szCs w:val="32"/>
          <w:lang w:val="zh-CN" w:eastAsia="zh-CN"/>
        </w:rPr>
        <w:t>：关于汞废物以外的汞</w:t>
      </w:r>
      <w:r w:rsidR="003D7177" w:rsidRPr="00F426CA">
        <w:rPr>
          <w:rFonts w:eastAsia="SimHei" w:hint="eastAsia"/>
          <w:sz w:val="32"/>
          <w:szCs w:val="32"/>
          <w:lang w:val="zh-CN" w:eastAsia="zh-CN"/>
        </w:rPr>
        <w:t>的</w:t>
      </w:r>
      <w:r w:rsidRPr="00F426CA">
        <w:rPr>
          <w:rFonts w:eastAsia="SimHei"/>
          <w:sz w:val="32"/>
          <w:szCs w:val="32"/>
          <w:lang w:val="zh-CN" w:eastAsia="zh-CN"/>
        </w:rPr>
        <w:t>无害环境</w:t>
      </w:r>
      <w:r w:rsidR="00F426CA">
        <w:rPr>
          <w:rFonts w:eastAsia="SimHei"/>
          <w:sz w:val="32"/>
          <w:szCs w:val="32"/>
          <w:lang w:val="zh-CN" w:eastAsia="zh-CN"/>
        </w:rPr>
        <w:br/>
      </w:r>
      <w:r w:rsidRPr="00F426CA">
        <w:rPr>
          <w:rFonts w:eastAsia="SimHei"/>
          <w:sz w:val="32"/>
          <w:szCs w:val="32"/>
          <w:lang w:val="zh-CN" w:eastAsia="zh-CN"/>
        </w:rPr>
        <w:t>临时储存的指导准则</w:t>
      </w:r>
    </w:p>
    <w:p w14:paraId="13FBB8F8" w14:textId="77777777" w:rsidR="0009682F" w:rsidRPr="00D33A45" w:rsidRDefault="0009682F" w:rsidP="00D33A45">
      <w:pPr>
        <w:pStyle w:val="NormalNonumber"/>
        <w:tabs>
          <w:tab w:val="clear" w:pos="1247"/>
          <w:tab w:val="clear" w:pos="1814"/>
          <w:tab w:val="clear" w:pos="2381"/>
          <w:tab w:val="clear" w:pos="2948"/>
          <w:tab w:val="clear" w:pos="3515"/>
          <w:tab w:val="clear" w:pos="4082"/>
          <w:tab w:val="left" w:pos="624"/>
        </w:tabs>
        <w:ind w:firstLine="624"/>
        <w:jc w:val="both"/>
        <w:rPr>
          <w:rFonts w:ascii="SimSun" w:hAnsi="SimSun"/>
          <w:sz w:val="24"/>
          <w:szCs w:val="24"/>
          <w:lang w:val="zh-CN" w:eastAsia="zh-CN"/>
        </w:rPr>
      </w:pPr>
      <w:r w:rsidRPr="00D33A45">
        <w:rPr>
          <w:rFonts w:ascii="KaiTi" w:eastAsia="KaiTi" w:hAnsi="KaiTi"/>
          <w:sz w:val="24"/>
          <w:szCs w:val="24"/>
          <w:lang w:val="zh-CN" w:eastAsia="zh-CN"/>
        </w:rPr>
        <w:t>缔约方大会</w:t>
      </w:r>
      <w:r w:rsidRPr="00D33A45">
        <w:rPr>
          <w:rFonts w:ascii="SimSun" w:hAnsi="SimSun"/>
          <w:sz w:val="24"/>
          <w:szCs w:val="24"/>
          <w:lang w:val="zh-CN" w:eastAsia="zh-CN"/>
        </w:rPr>
        <w:t>，</w:t>
      </w:r>
    </w:p>
    <w:p w14:paraId="3AF3C4EE" w14:textId="2B2A47CD" w:rsidR="0009682F" w:rsidRPr="00D33A45" w:rsidRDefault="0009682F" w:rsidP="00D33A45">
      <w:pPr>
        <w:pStyle w:val="NormalNonumber"/>
        <w:tabs>
          <w:tab w:val="clear" w:pos="1247"/>
          <w:tab w:val="clear" w:pos="1814"/>
          <w:tab w:val="clear" w:pos="2381"/>
          <w:tab w:val="clear" w:pos="2948"/>
          <w:tab w:val="clear" w:pos="3515"/>
          <w:tab w:val="clear" w:pos="4082"/>
          <w:tab w:val="left" w:pos="624"/>
        </w:tabs>
        <w:ind w:firstLine="624"/>
        <w:jc w:val="both"/>
        <w:rPr>
          <w:rFonts w:ascii="SimSun" w:hAnsi="SimSun"/>
          <w:sz w:val="24"/>
          <w:szCs w:val="24"/>
          <w:lang w:val="zh-CN" w:eastAsia="zh-CN"/>
        </w:rPr>
      </w:pPr>
      <w:r w:rsidRPr="00D33A45">
        <w:rPr>
          <w:rFonts w:ascii="KaiTi" w:eastAsia="KaiTi" w:hAnsi="KaiTi"/>
          <w:sz w:val="24"/>
          <w:szCs w:val="24"/>
          <w:lang w:val="zh-CN" w:eastAsia="zh-CN"/>
        </w:rPr>
        <w:t>确认</w:t>
      </w:r>
      <w:r w:rsidRPr="00D33A45">
        <w:rPr>
          <w:rFonts w:ascii="SimSun" w:hAnsi="SimSun"/>
          <w:sz w:val="24"/>
          <w:szCs w:val="24"/>
          <w:lang w:val="zh-CN" w:eastAsia="zh-CN"/>
        </w:rPr>
        <w:t>需要提供指导准则来协助缔约方以无害环境的方式临时储存汞废物以外的汞</w:t>
      </w:r>
      <w:r w:rsidR="00C1666E">
        <w:rPr>
          <w:rFonts w:ascii="SimSun" w:hAnsi="SimSun" w:hint="eastAsia"/>
          <w:sz w:val="24"/>
          <w:szCs w:val="24"/>
          <w:lang w:val="zh-CN" w:eastAsia="zh-CN"/>
        </w:rPr>
        <w:t>，</w:t>
      </w:r>
    </w:p>
    <w:p w14:paraId="34D6B933" w14:textId="18F71657" w:rsidR="0009682F" w:rsidRPr="00D33A45" w:rsidRDefault="001427E6" w:rsidP="00D33A45">
      <w:pPr>
        <w:pStyle w:val="Normalnumber"/>
        <w:numPr>
          <w:ilvl w:val="0"/>
          <w:numId w:val="41"/>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rFonts w:ascii="SimSun" w:hAnsi="SimSun"/>
          <w:sz w:val="24"/>
          <w:szCs w:val="24"/>
          <w:lang w:val="zh-CN" w:eastAsia="zh-CN"/>
        </w:rPr>
      </w:pPr>
      <w:r w:rsidRPr="00C1666E">
        <w:rPr>
          <w:rFonts w:ascii="KaiTi" w:eastAsia="KaiTi" w:hAnsi="KaiTi"/>
          <w:sz w:val="24"/>
          <w:szCs w:val="24"/>
          <w:lang w:val="zh-CN" w:eastAsia="zh-CN"/>
        </w:rPr>
        <w:t>通过</w:t>
      </w:r>
      <w:r w:rsidRPr="00D33A45">
        <w:rPr>
          <w:rFonts w:ascii="SimSun" w:hAnsi="SimSun"/>
          <w:sz w:val="24"/>
          <w:szCs w:val="24"/>
          <w:lang w:val="zh-CN" w:eastAsia="zh-CN"/>
        </w:rPr>
        <w:t>关于汞废物以外的汞</w:t>
      </w:r>
      <w:r w:rsidR="000966E9">
        <w:rPr>
          <w:rFonts w:ascii="SimSun" w:hAnsi="SimSun" w:hint="eastAsia"/>
          <w:sz w:val="24"/>
          <w:szCs w:val="24"/>
          <w:lang w:val="zh-CN" w:eastAsia="zh-CN"/>
        </w:rPr>
        <w:t>的</w:t>
      </w:r>
      <w:r w:rsidRPr="00D33A45">
        <w:rPr>
          <w:rFonts w:ascii="SimSun" w:hAnsi="SimSun"/>
          <w:sz w:val="24"/>
          <w:szCs w:val="24"/>
          <w:lang w:val="zh-CN" w:eastAsia="zh-CN"/>
        </w:rPr>
        <w:t>无害环境临时储存的指导</w:t>
      </w:r>
      <w:r w:rsidRPr="00D33A45">
        <w:rPr>
          <w:rFonts w:ascii="SimSun" w:hAnsi="SimSun" w:hint="eastAsia"/>
          <w:sz w:val="24"/>
          <w:szCs w:val="24"/>
          <w:lang w:val="zh-CN" w:eastAsia="zh-CN"/>
        </w:rPr>
        <w:t>准则</w:t>
      </w:r>
      <w:r w:rsidRPr="00D33A45">
        <w:rPr>
          <w:rFonts w:ascii="SimSun" w:hAnsi="SimSun"/>
          <w:sz w:val="24"/>
          <w:szCs w:val="24"/>
          <w:lang w:val="zh-CN" w:eastAsia="zh-CN"/>
        </w:rPr>
        <w:t>，吁请《关于汞的水俣公约》缔约方在履行义务时考虑到这些指导</w:t>
      </w:r>
      <w:r w:rsidRPr="00D33A45">
        <w:rPr>
          <w:rFonts w:ascii="SimSun" w:hAnsi="SimSun" w:hint="eastAsia"/>
          <w:sz w:val="24"/>
          <w:szCs w:val="24"/>
          <w:lang w:val="zh-CN" w:eastAsia="zh-CN"/>
        </w:rPr>
        <w:t>准则</w:t>
      </w:r>
      <w:r w:rsidR="0009682F" w:rsidRPr="00D33A45">
        <w:rPr>
          <w:rFonts w:ascii="SimSun" w:hAnsi="SimSun"/>
          <w:sz w:val="24"/>
          <w:szCs w:val="24"/>
          <w:lang w:val="zh-CN" w:eastAsia="zh-CN"/>
        </w:rPr>
        <w:t>，</w:t>
      </w:r>
      <w:r w:rsidR="000966E9">
        <w:rPr>
          <w:rFonts w:ascii="SimSun" w:hAnsi="SimSun" w:hint="eastAsia"/>
          <w:sz w:val="24"/>
          <w:szCs w:val="24"/>
          <w:lang w:val="zh-CN" w:eastAsia="zh-CN"/>
        </w:rPr>
        <w:t>采取措施</w:t>
      </w:r>
      <w:r w:rsidR="0009682F" w:rsidRPr="00D33A45">
        <w:rPr>
          <w:rFonts w:ascii="SimSun" w:hAnsi="SimSun"/>
          <w:sz w:val="24"/>
          <w:szCs w:val="24"/>
          <w:lang w:val="zh-CN" w:eastAsia="zh-CN"/>
        </w:rPr>
        <w:t>确保以无害环境的方式临时储存</w:t>
      </w:r>
      <w:r w:rsidR="0087715E">
        <w:rPr>
          <w:rFonts w:ascii="SimSun" w:hAnsi="SimSun" w:hint="eastAsia"/>
          <w:sz w:val="24"/>
          <w:szCs w:val="24"/>
          <w:lang w:val="zh-CN" w:eastAsia="zh-CN"/>
        </w:rPr>
        <w:t>用于</w:t>
      </w:r>
      <w:r w:rsidR="0009682F" w:rsidRPr="00D33A45">
        <w:rPr>
          <w:rFonts w:ascii="SimSun" w:hAnsi="SimSun"/>
          <w:sz w:val="24"/>
          <w:szCs w:val="24"/>
          <w:lang w:val="zh-CN" w:eastAsia="zh-CN"/>
        </w:rPr>
        <w:t>《公约》允许缔约方使用的</w:t>
      </w:r>
      <w:r w:rsidR="0087715E">
        <w:rPr>
          <w:rFonts w:ascii="SimSun" w:hAnsi="SimSun" w:hint="eastAsia"/>
          <w:sz w:val="24"/>
          <w:szCs w:val="24"/>
          <w:lang w:val="zh-CN" w:eastAsia="zh-CN"/>
        </w:rPr>
        <w:t>用途的</w:t>
      </w:r>
      <w:r w:rsidR="0009682F" w:rsidRPr="00D33A45">
        <w:rPr>
          <w:rFonts w:ascii="SimSun" w:hAnsi="SimSun"/>
          <w:sz w:val="24"/>
          <w:szCs w:val="24"/>
          <w:lang w:val="zh-CN" w:eastAsia="zh-CN"/>
        </w:rPr>
        <w:t>汞和汞化合物；</w:t>
      </w:r>
    </w:p>
    <w:p w14:paraId="2C8BB218" w14:textId="6F1FFCE0" w:rsidR="0009682F" w:rsidRPr="00D33A45" w:rsidRDefault="0009682F" w:rsidP="00D33A45">
      <w:pPr>
        <w:pStyle w:val="Normalnumber"/>
        <w:numPr>
          <w:ilvl w:val="0"/>
          <w:numId w:val="41"/>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rFonts w:ascii="SimSun" w:hAnsi="SimSun"/>
          <w:sz w:val="24"/>
          <w:szCs w:val="24"/>
          <w:lang w:val="zh-CN" w:eastAsia="zh-CN"/>
        </w:rPr>
      </w:pPr>
      <w:r w:rsidRPr="00C1666E">
        <w:rPr>
          <w:rFonts w:ascii="KaiTi" w:eastAsia="KaiTi" w:hAnsi="KaiTi"/>
          <w:sz w:val="24"/>
          <w:szCs w:val="24"/>
          <w:lang w:val="zh-CN" w:eastAsia="zh-CN"/>
        </w:rPr>
        <w:t>注意</w:t>
      </w:r>
      <w:r w:rsidRPr="00D33A45">
        <w:rPr>
          <w:rFonts w:ascii="SimSun" w:hAnsi="SimSun"/>
          <w:sz w:val="24"/>
          <w:szCs w:val="24"/>
          <w:lang w:val="zh-CN" w:eastAsia="zh-CN"/>
        </w:rPr>
        <w:t>到今后可能需要修订指导准则，以确保</w:t>
      </w:r>
      <w:r w:rsidR="004B116D">
        <w:rPr>
          <w:rFonts w:ascii="SimSun" w:hAnsi="SimSun" w:hint="eastAsia"/>
          <w:sz w:val="24"/>
          <w:szCs w:val="24"/>
          <w:lang w:val="zh-CN" w:eastAsia="zh-CN"/>
        </w:rPr>
        <w:t>其反映</w:t>
      </w:r>
      <w:r w:rsidRPr="00D33A45">
        <w:rPr>
          <w:rFonts w:ascii="SimSun" w:hAnsi="SimSun"/>
          <w:sz w:val="24"/>
          <w:szCs w:val="24"/>
          <w:lang w:val="zh-CN" w:eastAsia="zh-CN"/>
        </w:rPr>
        <w:t>最佳做法。</w:t>
      </w:r>
    </w:p>
    <w:p w14:paraId="063C1106" w14:textId="77777777" w:rsidR="0009682F" w:rsidRPr="00E12844" w:rsidRDefault="0009682F" w:rsidP="00D33A45">
      <w:pPr>
        <w:tabs>
          <w:tab w:val="clear" w:pos="1247"/>
          <w:tab w:val="clear" w:pos="1814"/>
          <w:tab w:val="clear" w:pos="2381"/>
          <w:tab w:val="clear" w:pos="2948"/>
          <w:tab w:val="clear" w:pos="3515"/>
        </w:tabs>
      </w:pPr>
    </w:p>
    <w:p w14:paraId="4965BF89" w14:textId="77777777" w:rsidR="0009682F" w:rsidRPr="00E12844" w:rsidRDefault="0009682F" w:rsidP="0009682F">
      <w:pPr>
        <w:tabs>
          <w:tab w:val="clear" w:pos="1247"/>
          <w:tab w:val="clear" w:pos="1814"/>
          <w:tab w:val="clear" w:pos="2381"/>
          <w:tab w:val="clear" w:pos="2948"/>
          <w:tab w:val="clear" w:pos="3515"/>
        </w:tabs>
        <w:sectPr w:rsidR="0009682F" w:rsidRPr="00E12844" w:rsidSect="001923C7">
          <w:headerReference w:type="even" r:id="rId17"/>
          <w:headerReference w:type="default" r:id="rId18"/>
          <w:headerReference w:type="first" r:id="rId19"/>
          <w:footerReference w:type="first" r:id="rId20"/>
          <w:pgSz w:w="11906" w:h="16838" w:code="9"/>
          <w:pgMar w:top="907" w:right="992" w:bottom="1418" w:left="1418" w:header="539" w:footer="975" w:gutter="0"/>
          <w:cols w:space="539"/>
          <w:titlePg/>
          <w:docGrid w:linePitch="360"/>
        </w:sectPr>
      </w:pPr>
    </w:p>
    <w:p w14:paraId="3658D275" w14:textId="77777777" w:rsidR="002E5C67" w:rsidRDefault="0009682F" w:rsidP="0009682F">
      <w:pPr>
        <w:pStyle w:val="ZZAnxheader"/>
        <w:rPr>
          <w:lang w:val="en-US" w:eastAsia="zh-CN"/>
        </w:rPr>
      </w:pPr>
      <w:r>
        <w:rPr>
          <w:lang w:val="en-US" w:eastAsia="zh-CN"/>
        </w:rPr>
        <w:tab/>
      </w:r>
    </w:p>
    <w:p w14:paraId="658A7139" w14:textId="77777777" w:rsidR="002E5C67" w:rsidRDefault="002E5C67">
      <w:pPr>
        <w:tabs>
          <w:tab w:val="clear" w:pos="1247"/>
          <w:tab w:val="clear" w:pos="1814"/>
          <w:tab w:val="clear" w:pos="2381"/>
          <w:tab w:val="clear" w:pos="2948"/>
          <w:tab w:val="clear" w:pos="3515"/>
        </w:tabs>
        <w:spacing w:after="0" w:line="240" w:lineRule="auto"/>
        <w:jc w:val="left"/>
        <w:rPr>
          <w:b/>
          <w:bCs/>
          <w:sz w:val="28"/>
          <w:szCs w:val="22"/>
        </w:rPr>
      </w:pPr>
      <w:r>
        <w:br w:type="page"/>
      </w:r>
    </w:p>
    <w:p w14:paraId="5F71D8FD" w14:textId="088EB38A" w:rsidR="0009682F" w:rsidRPr="00697DD9" w:rsidRDefault="0009682F" w:rsidP="0009682F">
      <w:pPr>
        <w:pStyle w:val="ZZAnxheader"/>
        <w:rPr>
          <w:sz w:val="32"/>
          <w:szCs w:val="32"/>
          <w:lang w:eastAsia="zh-CN"/>
        </w:rPr>
      </w:pPr>
      <w:r w:rsidRPr="00697DD9">
        <w:rPr>
          <w:rFonts w:ascii="SimHei" w:eastAsia="SimHei" w:hAnsi="SimHei"/>
          <w:sz w:val="32"/>
          <w:szCs w:val="32"/>
          <w:lang w:val="zh-CN" w:eastAsia="zh-CN"/>
        </w:rPr>
        <w:lastRenderedPageBreak/>
        <w:t>附件二</w:t>
      </w:r>
    </w:p>
    <w:p w14:paraId="2D9E432B" w14:textId="24A142C9" w:rsidR="0009682F" w:rsidRPr="00697DD9" w:rsidRDefault="0009682F" w:rsidP="0009682F">
      <w:pPr>
        <w:pStyle w:val="ZZAnxtitle"/>
        <w:spacing w:after="240"/>
        <w:rPr>
          <w:rFonts w:ascii="SimHei" w:eastAsia="SimHei" w:hAnsi="SimHei"/>
          <w:sz w:val="32"/>
          <w:szCs w:val="32"/>
          <w:lang w:val="zh-CN" w:eastAsia="zh-CN"/>
        </w:rPr>
      </w:pPr>
      <w:r w:rsidRPr="00697DD9">
        <w:rPr>
          <w:rFonts w:ascii="SimHei" w:eastAsia="SimHei" w:hAnsi="SimHei"/>
          <w:sz w:val="32"/>
          <w:szCs w:val="32"/>
          <w:lang w:val="zh-CN" w:eastAsia="zh-CN"/>
        </w:rPr>
        <w:t>关于汞废物以外的汞</w:t>
      </w:r>
      <w:r w:rsidR="009D31A2" w:rsidRPr="00697DD9">
        <w:rPr>
          <w:rFonts w:ascii="SimHei" w:eastAsia="SimHei" w:hAnsi="SimHei" w:hint="eastAsia"/>
          <w:sz w:val="32"/>
          <w:szCs w:val="32"/>
          <w:lang w:val="zh-CN" w:eastAsia="zh-CN"/>
        </w:rPr>
        <w:t>的</w:t>
      </w:r>
      <w:r w:rsidRPr="00697DD9">
        <w:rPr>
          <w:rFonts w:ascii="SimHei" w:eastAsia="SimHei" w:hAnsi="SimHei"/>
          <w:sz w:val="32"/>
          <w:szCs w:val="32"/>
          <w:lang w:val="zh-CN" w:eastAsia="zh-CN"/>
        </w:rPr>
        <w:t>无害环境临时储存的指导准则草案修订稿</w:t>
      </w:r>
    </w:p>
    <w:p w14:paraId="31CB13ED" w14:textId="77777777" w:rsidR="00D82766" w:rsidRPr="00D82766" w:rsidRDefault="0009682F" w:rsidP="00D82766">
      <w:pPr>
        <w:pStyle w:val="CH2"/>
        <w:spacing w:before="0"/>
        <w:rPr>
          <w:noProof/>
          <w:sz w:val="28"/>
          <w:szCs w:val="28"/>
        </w:rPr>
      </w:pPr>
      <w:r>
        <w:rPr>
          <w:lang w:val="zh-CN" w:eastAsia="zh-CN"/>
        </w:rPr>
        <w:tab/>
      </w:r>
      <w:r>
        <w:rPr>
          <w:lang w:val="zh-CN" w:eastAsia="zh-CN"/>
        </w:rPr>
        <w:tab/>
      </w:r>
      <w:bookmarkStart w:id="10" w:name="_Toc526252795"/>
      <w:r w:rsidRPr="00D82766">
        <w:rPr>
          <w:rFonts w:ascii="SimHei" w:eastAsia="SimHei" w:hAnsi="SimHei"/>
          <w:sz w:val="28"/>
          <w:szCs w:val="28"/>
          <w:lang w:val="zh-CN"/>
        </w:rPr>
        <w:t>目录</w:t>
      </w:r>
      <w:bookmarkEnd w:id="10"/>
      <w:r w:rsidRPr="00D82766">
        <w:rPr>
          <w:sz w:val="28"/>
          <w:szCs w:val="28"/>
          <w:lang w:val="zh-CN"/>
        </w:rPr>
        <w:fldChar w:fldCharType="begin"/>
      </w:r>
      <w:r w:rsidRPr="00D82766">
        <w:rPr>
          <w:sz w:val="28"/>
          <w:szCs w:val="28"/>
          <w:lang w:val="zh-CN"/>
        </w:rPr>
        <w:instrText xml:space="preserve"> TOC \h \z \t "CH1,1,CH2,2" </w:instrText>
      </w:r>
      <w:r w:rsidRPr="00D82766">
        <w:rPr>
          <w:sz w:val="28"/>
          <w:szCs w:val="28"/>
          <w:lang w:val="zh-CN"/>
        </w:rPr>
        <w:fldChar w:fldCharType="separate"/>
      </w:r>
    </w:p>
    <w:p w14:paraId="71730A8D" w14:textId="73186468" w:rsidR="00D82766" w:rsidRPr="00D82766" w:rsidRDefault="00BC4E0A" w:rsidP="00D82766">
      <w:pPr>
        <w:pStyle w:val="TM1"/>
        <w:spacing w:before="0" w:after="120"/>
        <w:rPr>
          <w:bCs w:val="0"/>
          <w:noProof/>
          <w:sz w:val="24"/>
          <w:szCs w:val="24"/>
          <w:lang w:val="en-GB" w:eastAsia="zh-CN"/>
        </w:rPr>
      </w:pPr>
      <w:hyperlink w:anchor="_Toc526252796" w:history="1">
        <w:r w:rsidR="00D82766" w:rsidRPr="00D82766">
          <w:rPr>
            <w:rStyle w:val="Lienhypertexte"/>
            <w:noProof/>
            <w:sz w:val="24"/>
            <w:szCs w:val="24"/>
          </w:rPr>
          <w:t>一、</w:t>
        </w:r>
        <w:r w:rsidR="00D82766" w:rsidRPr="00D82766">
          <w:rPr>
            <w:bCs w:val="0"/>
            <w:noProof/>
            <w:sz w:val="24"/>
            <w:szCs w:val="24"/>
            <w:lang w:val="en-GB" w:eastAsia="zh-CN"/>
          </w:rPr>
          <w:tab/>
        </w:r>
        <w:r w:rsidR="00D82766" w:rsidRPr="00D82766">
          <w:rPr>
            <w:rStyle w:val="Lienhypertexte"/>
            <w:noProof/>
            <w:sz w:val="24"/>
            <w:szCs w:val="24"/>
            <w:lang w:val="zh-CN" w:eastAsia="zh-CN"/>
          </w:rPr>
          <w:t>导言</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_Toc526252796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4</w:t>
        </w:r>
        <w:r w:rsidR="00D82766" w:rsidRPr="00D82766">
          <w:rPr>
            <w:noProof/>
            <w:webHidden/>
            <w:sz w:val="24"/>
            <w:szCs w:val="24"/>
          </w:rPr>
          <w:fldChar w:fldCharType="end"/>
        </w:r>
      </w:hyperlink>
    </w:p>
    <w:p w14:paraId="6568C4EC" w14:textId="1E77A009" w:rsidR="00D82766" w:rsidRPr="00D82766" w:rsidRDefault="00BC4E0A" w:rsidP="00D82766">
      <w:pPr>
        <w:pStyle w:val="TM1"/>
        <w:spacing w:before="0" w:after="120"/>
        <w:rPr>
          <w:bCs w:val="0"/>
          <w:noProof/>
          <w:sz w:val="24"/>
          <w:szCs w:val="24"/>
          <w:lang w:val="en-GB" w:eastAsia="zh-CN"/>
        </w:rPr>
      </w:pPr>
      <w:hyperlink w:anchor="_Toc526252797" w:history="1">
        <w:r w:rsidR="00D82766" w:rsidRPr="00D82766">
          <w:rPr>
            <w:rStyle w:val="Lienhypertexte"/>
            <w:noProof/>
            <w:sz w:val="24"/>
            <w:szCs w:val="24"/>
            <w:lang w:val="zh-CN" w:eastAsia="zh-CN"/>
          </w:rPr>
          <w:t>二、</w:t>
        </w:r>
        <w:r w:rsidR="00D82766" w:rsidRPr="00D82766">
          <w:rPr>
            <w:bCs w:val="0"/>
            <w:noProof/>
            <w:sz w:val="24"/>
            <w:szCs w:val="24"/>
            <w:lang w:val="en-GB" w:eastAsia="zh-CN"/>
          </w:rPr>
          <w:tab/>
        </w:r>
        <w:r w:rsidR="00D82766" w:rsidRPr="00D82766">
          <w:rPr>
            <w:rStyle w:val="Lienhypertexte"/>
            <w:noProof/>
            <w:sz w:val="24"/>
            <w:szCs w:val="24"/>
            <w:lang w:val="zh-CN" w:eastAsia="zh-CN"/>
          </w:rPr>
          <w:t>指导准则的范围</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_Toc526252797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4</w:t>
        </w:r>
        <w:r w:rsidR="00D82766" w:rsidRPr="00D82766">
          <w:rPr>
            <w:noProof/>
            <w:webHidden/>
            <w:sz w:val="24"/>
            <w:szCs w:val="24"/>
          </w:rPr>
          <w:fldChar w:fldCharType="end"/>
        </w:r>
      </w:hyperlink>
    </w:p>
    <w:p w14:paraId="7F577BC1" w14:textId="232C60A5" w:rsidR="00D82766" w:rsidRPr="00D82766" w:rsidRDefault="00BC4E0A" w:rsidP="00D82766">
      <w:pPr>
        <w:pStyle w:val="TM1"/>
        <w:spacing w:before="0" w:after="120"/>
        <w:rPr>
          <w:bCs w:val="0"/>
          <w:noProof/>
          <w:sz w:val="24"/>
          <w:szCs w:val="24"/>
          <w:lang w:val="en-GB" w:eastAsia="zh-CN"/>
        </w:rPr>
      </w:pPr>
      <w:hyperlink w:anchor="_Toc526252798" w:history="1">
        <w:r w:rsidR="00D82766" w:rsidRPr="00D82766">
          <w:rPr>
            <w:rStyle w:val="Lienhypertexte"/>
            <w:noProof/>
            <w:sz w:val="24"/>
            <w:szCs w:val="24"/>
            <w:lang w:val="zh-CN" w:eastAsia="zh-CN"/>
          </w:rPr>
          <w:t>三、</w:t>
        </w:r>
        <w:r w:rsidR="00D82766" w:rsidRPr="00D82766">
          <w:rPr>
            <w:bCs w:val="0"/>
            <w:noProof/>
            <w:sz w:val="24"/>
            <w:szCs w:val="24"/>
            <w:lang w:val="en-GB" w:eastAsia="zh-CN"/>
          </w:rPr>
          <w:tab/>
        </w:r>
        <w:r w:rsidR="00D82766" w:rsidRPr="00D82766">
          <w:rPr>
            <w:rStyle w:val="Lienhypertexte"/>
            <w:noProof/>
            <w:sz w:val="24"/>
            <w:szCs w:val="24"/>
            <w:lang w:val="zh-CN" w:eastAsia="zh-CN"/>
          </w:rPr>
          <w:t>总体管理</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_Toc526252798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6</w:t>
        </w:r>
        <w:r w:rsidR="00D82766" w:rsidRPr="00D82766">
          <w:rPr>
            <w:noProof/>
            <w:webHidden/>
            <w:sz w:val="24"/>
            <w:szCs w:val="24"/>
          </w:rPr>
          <w:fldChar w:fldCharType="end"/>
        </w:r>
      </w:hyperlink>
    </w:p>
    <w:p w14:paraId="5A339C23" w14:textId="0A83268B" w:rsidR="00D82766" w:rsidRPr="00D82766" w:rsidRDefault="00BC4E0A" w:rsidP="00D82766">
      <w:pPr>
        <w:pStyle w:val="TM1"/>
        <w:spacing w:before="0" w:after="120"/>
        <w:rPr>
          <w:bCs w:val="0"/>
          <w:noProof/>
          <w:sz w:val="24"/>
          <w:szCs w:val="24"/>
          <w:lang w:val="en-GB" w:eastAsia="zh-CN"/>
        </w:rPr>
      </w:pPr>
      <w:hyperlink w:anchor="_Toc526252799" w:history="1">
        <w:r w:rsidR="00D82766" w:rsidRPr="00D82766">
          <w:rPr>
            <w:rStyle w:val="Lienhypertexte"/>
            <w:noProof/>
            <w:sz w:val="24"/>
            <w:szCs w:val="24"/>
            <w:lang w:val="zh-CN" w:eastAsia="zh-CN"/>
          </w:rPr>
          <w:t>四、</w:t>
        </w:r>
        <w:r w:rsidR="00D82766" w:rsidRPr="00D82766">
          <w:rPr>
            <w:bCs w:val="0"/>
            <w:noProof/>
            <w:sz w:val="24"/>
            <w:szCs w:val="24"/>
            <w:lang w:val="en-GB" w:eastAsia="zh-CN"/>
          </w:rPr>
          <w:tab/>
        </w:r>
        <w:r w:rsidR="00D82766" w:rsidRPr="00D82766">
          <w:rPr>
            <w:rStyle w:val="Lienhypertexte"/>
            <w:noProof/>
            <w:sz w:val="24"/>
            <w:szCs w:val="24"/>
            <w:lang w:val="zh-CN" w:eastAsia="zh-CN"/>
          </w:rPr>
          <w:t>无害环境的临时储存</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_Toc526252799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7</w:t>
        </w:r>
        <w:r w:rsidR="00D82766" w:rsidRPr="00D82766">
          <w:rPr>
            <w:noProof/>
            <w:webHidden/>
            <w:sz w:val="24"/>
            <w:szCs w:val="24"/>
          </w:rPr>
          <w:fldChar w:fldCharType="end"/>
        </w:r>
      </w:hyperlink>
    </w:p>
    <w:p w14:paraId="08F9E2D4" w14:textId="5C321CFE" w:rsidR="00D82766" w:rsidRPr="00D82766" w:rsidRDefault="00BC4E0A" w:rsidP="00D82766">
      <w:pPr>
        <w:pStyle w:val="TM2"/>
        <w:spacing w:after="120"/>
        <w:rPr>
          <w:noProof/>
          <w:sz w:val="24"/>
          <w:szCs w:val="24"/>
          <w:lang w:val="en-GB" w:eastAsia="zh-CN"/>
        </w:rPr>
      </w:pPr>
      <w:hyperlink w:anchor="_Toc526252800" w:history="1">
        <w:r w:rsidR="00D82766" w:rsidRPr="00D82766">
          <w:rPr>
            <w:rStyle w:val="Lienhypertexte"/>
            <w:noProof/>
            <w:sz w:val="24"/>
            <w:szCs w:val="24"/>
            <w:lang w:val="zh-CN" w:eastAsia="zh-CN"/>
          </w:rPr>
          <w:t>A.</w:t>
        </w:r>
        <w:r w:rsidR="00D82766" w:rsidRPr="00D82766">
          <w:rPr>
            <w:noProof/>
            <w:sz w:val="24"/>
            <w:szCs w:val="24"/>
            <w:lang w:val="en-GB" w:eastAsia="zh-CN"/>
          </w:rPr>
          <w:tab/>
        </w:r>
        <w:r w:rsidR="00D82766" w:rsidRPr="00D82766">
          <w:rPr>
            <w:rStyle w:val="Lienhypertexte"/>
            <w:noProof/>
            <w:sz w:val="24"/>
            <w:szCs w:val="24"/>
            <w:lang w:val="zh-CN" w:eastAsia="zh-CN"/>
          </w:rPr>
          <w:t>地点</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_Toc526252800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7</w:t>
        </w:r>
        <w:r w:rsidR="00D82766" w:rsidRPr="00D82766">
          <w:rPr>
            <w:noProof/>
            <w:webHidden/>
            <w:sz w:val="24"/>
            <w:szCs w:val="24"/>
          </w:rPr>
          <w:fldChar w:fldCharType="end"/>
        </w:r>
      </w:hyperlink>
    </w:p>
    <w:p w14:paraId="757F9902" w14:textId="5407C8E9" w:rsidR="00D82766" w:rsidRPr="00D82766" w:rsidRDefault="00BC4E0A" w:rsidP="00D82766">
      <w:pPr>
        <w:pStyle w:val="TM2"/>
        <w:spacing w:after="120"/>
        <w:rPr>
          <w:noProof/>
          <w:sz w:val="24"/>
          <w:szCs w:val="24"/>
          <w:lang w:val="en-GB" w:eastAsia="zh-CN"/>
        </w:rPr>
      </w:pPr>
      <w:hyperlink w:anchor="_Toc526252801" w:history="1">
        <w:r w:rsidR="00D82766" w:rsidRPr="00D82766">
          <w:rPr>
            <w:rStyle w:val="Lienhypertexte"/>
            <w:noProof/>
            <w:sz w:val="24"/>
            <w:szCs w:val="24"/>
            <w:lang w:val="zh-CN" w:eastAsia="zh-CN"/>
          </w:rPr>
          <w:t>B.</w:t>
        </w:r>
        <w:r w:rsidR="00D82766" w:rsidRPr="00D82766">
          <w:rPr>
            <w:noProof/>
            <w:sz w:val="24"/>
            <w:szCs w:val="24"/>
            <w:lang w:val="en-GB" w:eastAsia="zh-CN"/>
          </w:rPr>
          <w:tab/>
        </w:r>
        <w:r w:rsidR="00D82766" w:rsidRPr="00D82766">
          <w:rPr>
            <w:rStyle w:val="Lienhypertexte"/>
            <w:noProof/>
            <w:sz w:val="24"/>
            <w:szCs w:val="24"/>
            <w:lang w:val="zh-CN" w:eastAsia="zh-CN"/>
          </w:rPr>
          <w:t>建造临时储存设施，包括设置屏障</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_Toc526252801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7</w:t>
        </w:r>
        <w:r w:rsidR="00D82766" w:rsidRPr="00D82766">
          <w:rPr>
            <w:noProof/>
            <w:webHidden/>
            <w:sz w:val="24"/>
            <w:szCs w:val="24"/>
          </w:rPr>
          <w:fldChar w:fldCharType="end"/>
        </w:r>
      </w:hyperlink>
    </w:p>
    <w:p w14:paraId="3B1DD232" w14:textId="034A233D" w:rsidR="00D82766" w:rsidRPr="00D82766" w:rsidRDefault="00BC4E0A" w:rsidP="00D82766">
      <w:pPr>
        <w:pStyle w:val="TM2"/>
        <w:spacing w:after="120"/>
        <w:rPr>
          <w:noProof/>
          <w:sz w:val="24"/>
          <w:szCs w:val="24"/>
          <w:lang w:val="en-GB" w:eastAsia="zh-CN"/>
        </w:rPr>
      </w:pPr>
      <w:hyperlink w:anchor="_Toc526252802" w:history="1">
        <w:r w:rsidR="00D82766" w:rsidRPr="00D82766">
          <w:rPr>
            <w:rStyle w:val="Lienhypertexte"/>
            <w:noProof/>
            <w:sz w:val="24"/>
            <w:szCs w:val="24"/>
            <w:lang w:val="zh-CN" w:eastAsia="zh-CN"/>
          </w:rPr>
          <w:t>C.</w:t>
        </w:r>
        <w:r w:rsidR="00D82766" w:rsidRPr="00D82766">
          <w:rPr>
            <w:noProof/>
            <w:sz w:val="24"/>
            <w:szCs w:val="24"/>
            <w:lang w:val="en-GB" w:eastAsia="zh-CN"/>
          </w:rPr>
          <w:tab/>
        </w:r>
        <w:r w:rsidR="00D82766" w:rsidRPr="00D82766">
          <w:rPr>
            <w:rStyle w:val="Lienhypertexte"/>
            <w:noProof/>
            <w:sz w:val="24"/>
            <w:szCs w:val="24"/>
            <w:lang w:val="zh-CN" w:eastAsia="zh-CN"/>
          </w:rPr>
          <w:t>储存汞的容器，包括二级容器</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_Toc526252802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9</w:t>
        </w:r>
        <w:r w:rsidR="00D82766" w:rsidRPr="00D82766">
          <w:rPr>
            <w:noProof/>
            <w:webHidden/>
            <w:sz w:val="24"/>
            <w:szCs w:val="24"/>
          </w:rPr>
          <w:fldChar w:fldCharType="end"/>
        </w:r>
      </w:hyperlink>
    </w:p>
    <w:p w14:paraId="0215945F" w14:textId="2071F937" w:rsidR="00D82766" w:rsidRPr="00D82766" w:rsidRDefault="00BC4E0A" w:rsidP="00D82766">
      <w:pPr>
        <w:pStyle w:val="TM2"/>
        <w:spacing w:after="120"/>
        <w:rPr>
          <w:noProof/>
          <w:sz w:val="24"/>
          <w:szCs w:val="24"/>
          <w:lang w:val="en-GB" w:eastAsia="zh-CN"/>
        </w:rPr>
      </w:pPr>
      <w:hyperlink w:anchor="_Toc526252803" w:history="1">
        <w:r w:rsidR="00D82766" w:rsidRPr="00D82766">
          <w:rPr>
            <w:rStyle w:val="Lienhypertexte"/>
            <w:noProof/>
            <w:sz w:val="24"/>
            <w:szCs w:val="24"/>
            <w:lang w:val="zh-CN" w:eastAsia="zh-CN"/>
          </w:rPr>
          <w:t>D.</w:t>
        </w:r>
        <w:r w:rsidR="00D82766" w:rsidRPr="00D82766">
          <w:rPr>
            <w:noProof/>
            <w:sz w:val="24"/>
            <w:szCs w:val="24"/>
            <w:lang w:val="en-GB" w:eastAsia="zh-CN"/>
          </w:rPr>
          <w:tab/>
        </w:r>
        <w:r w:rsidR="00D82766" w:rsidRPr="00D82766">
          <w:rPr>
            <w:rStyle w:val="Lienhypertexte"/>
            <w:noProof/>
            <w:sz w:val="24"/>
            <w:szCs w:val="24"/>
            <w:lang w:val="zh-CN" w:eastAsia="zh-CN"/>
          </w:rPr>
          <w:t>汞或汞化合物的移动</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_Toc526252803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10</w:t>
        </w:r>
        <w:r w:rsidR="00D82766" w:rsidRPr="00D82766">
          <w:rPr>
            <w:noProof/>
            <w:webHidden/>
            <w:sz w:val="24"/>
            <w:szCs w:val="24"/>
          </w:rPr>
          <w:fldChar w:fldCharType="end"/>
        </w:r>
      </w:hyperlink>
    </w:p>
    <w:p w14:paraId="10E9A993" w14:textId="7643E078" w:rsidR="00D82766" w:rsidRPr="00D82766" w:rsidRDefault="00BC4E0A" w:rsidP="00D82766">
      <w:pPr>
        <w:pStyle w:val="TM2"/>
        <w:spacing w:after="120"/>
        <w:rPr>
          <w:noProof/>
          <w:sz w:val="24"/>
          <w:szCs w:val="24"/>
          <w:lang w:val="en-GB" w:eastAsia="zh-CN"/>
        </w:rPr>
      </w:pPr>
      <w:hyperlink w:anchor="_Toc526252804" w:history="1">
        <w:r w:rsidR="00D82766" w:rsidRPr="00D82766">
          <w:rPr>
            <w:rStyle w:val="Lienhypertexte"/>
            <w:noProof/>
            <w:sz w:val="24"/>
            <w:szCs w:val="24"/>
            <w:lang w:val="zh-CN" w:eastAsia="zh-CN"/>
          </w:rPr>
          <w:t>E.</w:t>
        </w:r>
        <w:r w:rsidR="00D82766" w:rsidRPr="00D82766">
          <w:rPr>
            <w:noProof/>
            <w:sz w:val="24"/>
            <w:szCs w:val="24"/>
            <w:lang w:val="en-GB" w:eastAsia="zh-CN"/>
          </w:rPr>
          <w:tab/>
        </w:r>
        <w:r w:rsidR="00D82766" w:rsidRPr="00D82766">
          <w:rPr>
            <w:rStyle w:val="Lienhypertexte"/>
            <w:noProof/>
            <w:sz w:val="24"/>
            <w:szCs w:val="24"/>
            <w:lang w:val="zh-CN" w:eastAsia="zh-CN"/>
          </w:rPr>
          <w:t>工作人员的教育和培训</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_Toc526252804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10</w:t>
        </w:r>
        <w:r w:rsidR="00D82766" w:rsidRPr="00D82766">
          <w:rPr>
            <w:noProof/>
            <w:webHidden/>
            <w:sz w:val="24"/>
            <w:szCs w:val="24"/>
          </w:rPr>
          <w:fldChar w:fldCharType="end"/>
        </w:r>
      </w:hyperlink>
    </w:p>
    <w:p w14:paraId="6F1B348F" w14:textId="2667D223" w:rsidR="00D82766" w:rsidRPr="00D82766" w:rsidRDefault="00BC4E0A" w:rsidP="00D82766">
      <w:pPr>
        <w:pStyle w:val="TM2"/>
        <w:spacing w:after="120"/>
        <w:rPr>
          <w:noProof/>
          <w:sz w:val="24"/>
          <w:szCs w:val="24"/>
          <w:lang w:val="en-GB" w:eastAsia="zh-CN"/>
        </w:rPr>
      </w:pPr>
      <w:hyperlink w:anchor="_Toc526252805" w:history="1">
        <w:r w:rsidR="00D82766" w:rsidRPr="00D82766">
          <w:rPr>
            <w:rStyle w:val="Lienhypertexte"/>
            <w:noProof/>
            <w:sz w:val="24"/>
            <w:szCs w:val="24"/>
            <w:lang w:val="zh-CN" w:eastAsia="zh-CN"/>
          </w:rPr>
          <w:t>F.</w:t>
        </w:r>
        <w:r w:rsidR="00D82766" w:rsidRPr="00D82766">
          <w:rPr>
            <w:noProof/>
            <w:sz w:val="24"/>
            <w:szCs w:val="24"/>
            <w:lang w:val="en-GB" w:eastAsia="zh-CN"/>
          </w:rPr>
          <w:tab/>
        </w:r>
        <w:r w:rsidR="00D82766" w:rsidRPr="00D82766">
          <w:rPr>
            <w:rStyle w:val="Lienhypertexte"/>
            <w:noProof/>
            <w:sz w:val="24"/>
            <w:szCs w:val="24"/>
            <w:lang w:val="zh-CN" w:eastAsia="zh-CN"/>
          </w:rPr>
          <w:t>修理、监测和维修时间表</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_Toc526252805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11</w:t>
        </w:r>
        <w:r w:rsidR="00D82766" w:rsidRPr="00D82766">
          <w:rPr>
            <w:noProof/>
            <w:webHidden/>
            <w:sz w:val="24"/>
            <w:szCs w:val="24"/>
          </w:rPr>
          <w:fldChar w:fldCharType="end"/>
        </w:r>
      </w:hyperlink>
    </w:p>
    <w:p w14:paraId="01BC3FB9" w14:textId="18AAF79A" w:rsidR="00D82766" w:rsidRPr="00D82766" w:rsidRDefault="00BC4E0A" w:rsidP="00D82766">
      <w:pPr>
        <w:pStyle w:val="TM2"/>
        <w:spacing w:after="120"/>
        <w:rPr>
          <w:noProof/>
          <w:sz w:val="24"/>
          <w:szCs w:val="24"/>
          <w:lang w:val="en-GB" w:eastAsia="zh-CN"/>
        </w:rPr>
      </w:pPr>
      <w:hyperlink w:anchor="_Toc526252806" w:history="1">
        <w:r w:rsidR="00D82766" w:rsidRPr="00D82766">
          <w:rPr>
            <w:rStyle w:val="Lienhypertexte"/>
            <w:noProof/>
            <w:sz w:val="24"/>
            <w:szCs w:val="24"/>
            <w:lang w:val="zh-CN" w:eastAsia="zh-CN"/>
          </w:rPr>
          <w:t>G.</w:t>
        </w:r>
        <w:r w:rsidR="00D82766" w:rsidRPr="00D82766">
          <w:rPr>
            <w:noProof/>
            <w:sz w:val="24"/>
            <w:szCs w:val="24"/>
            <w:lang w:val="en-GB" w:eastAsia="zh-CN"/>
          </w:rPr>
          <w:tab/>
        </w:r>
        <w:r w:rsidR="00D82766" w:rsidRPr="00D82766">
          <w:rPr>
            <w:rStyle w:val="Lienhypertexte"/>
            <w:noProof/>
            <w:sz w:val="24"/>
            <w:szCs w:val="24"/>
            <w:lang w:val="zh-CN" w:eastAsia="zh-CN"/>
          </w:rPr>
          <w:t>应急措施，包括个人防护设备</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_Toc526252806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12</w:t>
        </w:r>
        <w:r w:rsidR="00D82766" w:rsidRPr="00D82766">
          <w:rPr>
            <w:noProof/>
            <w:webHidden/>
            <w:sz w:val="24"/>
            <w:szCs w:val="24"/>
          </w:rPr>
          <w:fldChar w:fldCharType="end"/>
        </w:r>
      </w:hyperlink>
    </w:p>
    <w:p w14:paraId="2DE553BB" w14:textId="273FEF45" w:rsidR="00D82766" w:rsidRPr="00D82766" w:rsidRDefault="00BC4E0A" w:rsidP="00D82766">
      <w:pPr>
        <w:pStyle w:val="TM1"/>
        <w:spacing w:before="0" w:after="120"/>
        <w:rPr>
          <w:bCs w:val="0"/>
          <w:noProof/>
          <w:sz w:val="24"/>
          <w:szCs w:val="24"/>
          <w:lang w:val="en-GB" w:eastAsia="zh-CN"/>
        </w:rPr>
      </w:pPr>
      <w:hyperlink w:anchor="_Toc526252807" w:history="1">
        <w:r w:rsidR="00D82766" w:rsidRPr="00D82766">
          <w:rPr>
            <w:rStyle w:val="Lienhypertexte"/>
            <w:noProof/>
            <w:sz w:val="24"/>
            <w:szCs w:val="24"/>
            <w:lang w:eastAsia="zh-CN"/>
          </w:rPr>
          <w:t>五、</w:t>
        </w:r>
        <w:r w:rsidR="00D82766" w:rsidRPr="00D82766">
          <w:rPr>
            <w:bCs w:val="0"/>
            <w:noProof/>
            <w:sz w:val="24"/>
            <w:szCs w:val="24"/>
            <w:lang w:val="en-GB" w:eastAsia="zh-CN"/>
          </w:rPr>
          <w:tab/>
        </w:r>
        <w:r w:rsidR="00D82766" w:rsidRPr="00D82766">
          <w:rPr>
            <w:rStyle w:val="Lienhypertexte"/>
            <w:noProof/>
            <w:sz w:val="24"/>
            <w:szCs w:val="24"/>
            <w:lang w:val="zh-CN" w:eastAsia="zh-CN"/>
          </w:rPr>
          <w:t>有关健康和安全的一般性指导意见</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_Toc526252807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13</w:t>
        </w:r>
        <w:r w:rsidR="00D82766" w:rsidRPr="00D82766">
          <w:rPr>
            <w:noProof/>
            <w:webHidden/>
            <w:sz w:val="24"/>
            <w:szCs w:val="24"/>
          </w:rPr>
          <w:fldChar w:fldCharType="end"/>
        </w:r>
      </w:hyperlink>
    </w:p>
    <w:p w14:paraId="51C9F744" w14:textId="357959F6" w:rsidR="00D82766" w:rsidRPr="00D82766" w:rsidRDefault="00BC4E0A" w:rsidP="00D82766">
      <w:pPr>
        <w:pStyle w:val="TM2"/>
        <w:spacing w:after="120"/>
        <w:rPr>
          <w:noProof/>
          <w:sz w:val="24"/>
          <w:szCs w:val="24"/>
          <w:lang w:val="en-GB" w:eastAsia="zh-CN"/>
        </w:rPr>
      </w:pPr>
      <w:hyperlink w:anchor="_Toc526252808" w:history="1">
        <w:r w:rsidR="00D82766" w:rsidRPr="00D82766">
          <w:rPr>
            <w:rStyle w:val="Lienhypertexte"/>
            <w:noProof/>
            <w:sz w:val="24"/>
            <w:szCs w:val="24"/>
            <w:lang w:val="zh-CN"/>
          </w:rPr>
          <w:t>A.</w:t>
        </w:r>
        <w:r w:rsidR="00D82766" w:rsidRPr="00D82766">
          <w:rPr>
            <w:noProof/>
            <w:sz w:val="24"/>
            <w:szCs w:val="24"/>
            <w:lang w:val="en-GB" w:eastAsia="zh-CN"/>
          </w:rPr>
          <w:tab/>
        </w:r>
        <w:r w:rsidR="00D82766" w:rsidRPr="00D82766">
          <w:rPr>
            <w:rStyle w:val="Lienhypertexte"/>
            <w:noProof/>
            <w:sz w:val="24"/>
            <w:szCs w:val="24"/>
            <w:lang w:val="zh-CN"/>
          </w:rPr>
          <w:t>公共健康和安全</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_Toc526252808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13</w:t>
        </w:r>
        <w:r w:rsidR="00D82766" w:rsidRPr="00D82766">
          <w:rPr>
            <w:noProof/>
            <w:webHidden/>
            <w:sz w:val="24"/>
            <w:szCs w:val="24"/>
          </w:rPr>
          <w:fldChar w:fldCharType="end"/>
        </w:r>
      </w:hyperlink>
    </w:p>
    <w:p w14:paraId="4C1FBD60" w14:textId="53AC8891" w:rsidR="00D82766" w:rsidRPr="00D82766" w:rsidRDefault="00BC4E0A" w:rsidP="00D82766">
      <w:pPr>
        <w:pStyle w:val="TM2"/>
        <w:spacing w:after="120"/>
        <w:rPr>
          <w:noProof/>
          <w:sz w:val="24"/>
          <w:szCs w:val="24"/>
          <w:lang w:val="en-GB" w:eastAsia="zh-CN"/>
        </w:rPr>
      </w:pPr>
      <w:hyperlink w:anchor="_Toc526252809" w:history="1">
        <w:r w:rsidR="00D82766" w:rsidRPr="00D82766">
          <w:rPr>
            <w:rStyle w:val="Lienhypertexte"/>
            <w:noProof/>
            <w:sz w:val="24"/>
            <w:szCs w:val="24"/>
            <w:lang w:val="zh-CN" w:eastAsia="zh-CN"/>
          </w:rPr>
          <w:t>B.</w:t>
        </w:r>
        <w:r w:rsidR="00D82766" w:rsidRPr="00D82766">
          <w:rPr>
            <w:noProof/>
            <w:sz w:val="24"/>
            <w:szCs w:val="24"/>
            <w:lang w:val="en-GB" w:eastAsia="zh-CN"/>
          </w:rPr>
          <w:tab/>
        </w:r>
        <w:r w:rsidR="00D82766" w:rsidRPr="00D82766">
          <w:rPr>
            <w:rStyle w:val="Lienhypertexte"/>
            <w:noProof/>
            <w:sz w:val="24"/>
            <w:szCs w:val="24"/>
            <w:lang w:val="zh-CN" w:eastAsia="zh-CN"/>
          </w:rPr>
          <w:t>工作人员的健康和安全</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_Toc526252809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14</w:t>
        </w:r>
        <w:r w:rsidR="00D82766" w:rsidRPr="00D82766">
          <w:rPr>
            <w:noProof/>
            <w:webHidden/>
            <w:sz w:val="24"/>
            <w:szCs w:val="24"/>
          </w:rPr>
          <w:fldChar w:fldCharType="end"/>
        </w:r>
      </w:hyperlink>
    </w:p>
    <w:p w14:paraId="78B0E543" w14:textId="26D9FF59" w:rsidR="00D82766" w:rsidRPr="00D82766" w:rsidRDefault="00BC4E0A" w:rsidP="00D82766">
      <w:pPr>
        <w:pStyle w:val="TM1"/>
        <w:spacing w:before="0" w:after="120"/>
        <w:rPr>
          <w:bCs w:val="0"/>
          <w:noProof/>
          <w:sz w:val="24"/>
          <w:szCs w:val="24"/>
          <w:lang w:val="en-GB" w:eastAsia="zh-CN"/>
        </w:rPr>
      </w:pPr>
      <w:hyperlink w:anchor="_Toc526252810" w:history="1">
        <w:r w:rsidR="00D82766" w:rsidRPr="00D82766">
          <w:rPr>
            <w:rStyle w:val="Lienhypertexte"/>
            <w:noProof/>
            <w:sz w:val="24"/>
            <w:szCs w:val="24"/>
            <w:lang w:val="zh-CN" w:eastAsia="zh-CN"/>
          </w:rPr>
          <w:t>六、</w:t>
        </w:r>
        <w:r w:rsidR="00D82766" w:rsidRPr="00D82766">
          <w:rPr>
            <w:bCs w:val="0"/>
            <w:noProof/>
            <w:sz w:val="24"/>
            <w:szCs w:val="24"/>
            <w:lang w:val="en-GB" w:eastAsia="zh-CN"/>
          </w:rPr>
          <w:tab/>
        </w:r>
        <w:r w:rsidR="00D82766" w:rsidRPr="00D82766">
          <w:rPr>
            <w:rStyle w:val="Lienhypertexte"/>
            <w:noProof/>
            <w:sz w:val="24"/>
            <w:szCs w:val="24"/>
            <w:lang w:val="zh-CN" w:eastAsia="zh-CN"/>
          </w:rPr>
          <w:t>通报风险</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_Toc526252810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14</w:t>
        </w:r>
        <w:r w:rsidR="00D82766" w:rsidRPr="00D82766">
          <w:rPr>
            <w:noProof/>
            <w:webHidden/>
            <w:sz w:val="24"/>
            <w:szCs w:val="24"/>
          </w:rPr>
          <w:fldChar w:fldCharType="end"/>
        </w:r>
      </w:hyperlink>
    </w:p>
    <w:p w14:paraId="35582FEE" w14:textId="057D0633" w:rsidR="00D82766" w:rsidRPr="00D82766" w:rsidRDefault="00BC4E0A" w:rsidP="00D82766">
      <w:pPr>
        <w:pStyle w:val="TM1"/>
        <w:spacing w:before="0" w:after="120"/>
        <w:rPr>
          <w:bCs w:val="0"/>
          <w:noProof/>
          <w:sz w:val="24"/>
          <w:szCs w:val="24"/>
          <w:lang w:val="en-GB" w:eastAsia="zh-CN"/>
        </w:rPr>
      </w:pPr>
      <w:hyperlink w:anchor="_Toc526252811" w:history="1">
        <w:r w:rsidR="00D82766" w:rsidRPr="00D82766">
          <w:rPr>
            <w:rStyle w:val="Lienhypertexte"/>
            <w:noProof/>
            <w:sz w:val="24"/>
            <w:szCs w:val="24"/>
            <w:lang w:val="zh-CN" w:eastAsia="zh-CN"/>
          </w:rPr>
          <w:t>七、</w:t>
        </w:r>
        <w:r w:rsidR="00D82766" w:rsidRPr="00D82766">
          <w:rPr>
            <w:bCs w:val="0"/>
            <w:noProof/>
            <w:sz w:val="24"/>
            <w:szCs w:val="24"/>
            <w:lang w:val="en-GB" w:eastAsia="zh-CN"/>
          </w:rPr>
          <w:tab/>
        </w:r>
        <w:r w:rsidR="00D82766" w:rsidRPr="00D82766">
          <w:rPr>
            <w:rStyle w:val="Lienhypertexte"/>
            <w:noProof/>
            <w:sz w:val="24"/>
            <w:szCs w:val="24"/>
            <w:lang w:val="zh-CN" w:eastAsia="zh-CN"/>
          </w:rPr>
          <w:t>关闭设施</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_Toc526252811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15</w:t>
        </w:r>
        <w:r w:rsidR="00D82766" w:rsidRPr="00D82766">
          <w:rPr>
            <w:noProof/>
            <w:webHidden/>
            <w:sz w:val="24"/>
            <w:szCs w:val="24"/>
          </w:rPr>
          <w:fldChar w:fldCharType="end"/>
        </w:r>
      </w:hyperlink>
    </w:p>
    <w:p w14:paraId="13338937" w14:textId="0FBF0784" w:rsidR="00D82766" w:rsidRPr="00D82766" w:rsidRDefault="00BC4E0A" w:rsidP="00D82766">
      <w:pPr>
        <w:pStyle w:val="TM1"/>
        <w:spacing w:before="0" w:after="120"/>
        <w:rPr>
          <w:bCs w:val="0"/>
          <w:noProof/>
          <w:sz w:val="24"/>
          <w:szCs w:val="24"/>
          <w:lang w:val="en-GB" w:eastAsia="zh-CN"/>
        </w:rPr>
      </w:pPr>
      <w:hyperlink w:anchor="_Toc526252812" w:history="1">
        <w:r w:rsidR="00D82766" w:rsidRPr="00D82766">
          <w:rPr>
            <w:rStyle w:val="Lienhypertexte"/>
            <w:noProof/>
            <w:sz w:val="24"/>
            <w:szCs w:val="24"/>
            <w:lang w:eastAsia="zh-CN"/>
          </w:rPr>
          <w:t>八、</w:t>
        </w:r>
        <w:r w:rsidR="00D82766" w:rsidRPr="00D82766">
          <w:rPr>
            <w:bCs w:val="0"/>
            <w:noProof/>
            <w:sz w:val="24"/>
            <w:szCs w:val="24"/>
            <w:lang w:val="en-GB" w:eastAsia="zh-CN"/>
          </w:rPr>
          <w:tab/>
        </w:r>
        <w:r w:rsidR="00D82766" w:rsidRPr="00D82766">
          <w:rPr>
            <w:rStyle w:val="Lienhypertexte"/>
            <w:noProof/>
            <w:sz w:val="24"/>
            <w:szCs w:val="24"/>
            <w:lang w:val="zh-CN" w:eastAsia="zh-CN"/>
          </w:rPr>
          <w:t>汞和汞化合物运输的信息</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_Toc526252812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15</w:t>
        </w:r>
        <w:r w:rsidR="00D82766" w:rsidRPr="00D82766">
          <w:rPr>
            <w:noProof/>
            <w:webHidden/>
            <w:sz w:val="24"/>
            <w:szCs w:val="24"/>
          </w:rPr>
          <w:fldChar w:fldCharType="end"/>
        </w:r>
      </w:hyperlink>
    </w:p>
    <w:p w14:paraId="3B23CEF5" w14:textId="69FC9178" w:rsidR="00D82766" w:rsidRPr="00D82766" w:rsidRDefault="00BC4E0A" w:rsidP="00D82766">
      <w:pPr>
        <w:pStyle w:val="TM1"/>
        <w:spacing w:before="0" w:after="120"/>
        <w:rPr>
          <w:bCs w:val="0"/>
          <w:noProof/>
          <w:sz w:val="24"/>
          <w:szCs w:val="24"/>
          <w:lang w:val="en-GB" w:eastAsia="zh-CN"/>
        </w:rPr>
      </w:pPr>
      <w:hyperlink w:anchor="_Toc526252813" w:history="1">
        <w:r w:rsidR="00D82766" w:rsidRPr="00D82766">
          <w:rPr>
            <w:rStyle w:val="Lienhypertexte"/>
            <w:noProof/>
            <w:sz w:val="24"/>
            <w:szCs w:val="24"/>
            <w:lang w:val="zh-CN" w:eastAsia="zh-CN"/>
          </w:rPr>
          <w:t>参考文献及其他资料来源</w:t>
        </w:r>
        <w:r w:rsidR="00D82766" w:rsidRPr="00D82766">
          <w:rPr>
            <w:noProof/>
            <w:webHidden/>
            <w:sz w:val="24"/>
            <w:szCs w:val="24"/>
          </w:rPr>
          <w:tab/>
        </w:r>
        <w:r w:rsidR="00D82766" w:rsidRPr="00D82766">
          <w:rPr>
            <w:noProof/>
            <w:webHidden/>
            <w:sz w:val="24"/>
            <w:szCs w:val="24"/>
          </w:rPr>
          <w:fldChar w:fldCharType="begin"/>
        </w:r>
        <w:r w:rsidR="00D82766" w:rsidRPr="00D82766">
          <w:rPr>
            <w:noProof/>
            <w:webHidden/>
            <w:sz w:val="24"/>
            <w:szCs w:val="24"/>
          </w:rPr>
          <w:instrText xml:space="preserve"> PAGEREF _Toc526252813 \h </w:instrText>
        </w:r>
        <w:r w:rsidR="00D82766" w:rsidRPr="00D82766">
          <w:rPr>
            <w:noProof/>
            <w:webHidden/>
            <w:sz w:val="24"/>
            <w:szCs w:val="24"/>
          </w:rPr>
        </w:r>
        <w:r w:rsidR="00D82766" w:rsidRPr="00D82766">
          <w:rPr>
            <w:noProof/>
            <w:webHidden/>
            <w:sz w:val="24"/>
            <w:szCs w:val="24"/>
          </w:rPr>
          <w:fldChar w:fldCharType="separate"/>
        </w:r>
        <w:r w:rsidR="0029723E">
          <w:rPr>
            <w:noProof/>
            <w:webHidden/>
            <w:sz w:val="24"/>
            <w:szCs w:val="24"/>
          </w:rPr>
          <w:t>17</w:t>
        </w:r>
        <w:r w:rsidR="00D82766" w:rsidRPr="00D82766">
          <w:rPr>
            <w:noProof/>
            <w:webHidden/>
            <w:sz w:val="24"/>
            <w:szCs w:val="24"/>
          </w:rPr>
          <w:fldChar w:fldCharType="end"/>
        </w:r>
      </w:hyperlink>
    </w:p>
    <w:p w14:paraId="791C0AC2" w14:textId="716E64B8" w:rsidR="0009682F" w:rsidRPr="00E12844" w:rsidRDefault="0009682F" w:rsidP="00D82766">
      <w:pPr>
        <w:pStyle w:val="Normal-pool"/>
        <w:spacing w:after="120"/>
        <w:rPr>
          <w:lang w:eastAsia="zh-CN"/>
        </w:rPr>
      </w:pPr>
      <w:r w:rsidRPr="00D82766">
        <w:rPr>
          <w:b/>
          <w:sz w:val="24"/>
          <w:szCs w:val="24"/>
        </w:rPr>
        <w:fldChar w:fldCharType="end"/>
      </w:r>
      <w:r w:rsidRPr="00E12844">
        <w:rPr>
          <w:lang w:eastAsia="zh-CN"/>
        </w:rPr>
        <w:br w:type="page"/>
      </w:r>
    </w:p>
    <w:p w14:paraId="43D5B50E" w14:textId="3A251B0E" w:rsidR="0009682F" w:rsidRPr="00D33A45" w:rsidRDefault="0009682F" w:rsidP="00D33A45">
      <w:pPr>
        <w:pStyle w:val="CH1"/>
        <w:numPr>
          <w:ilvl w:val="0"/>
          <w:numId w:val="47"/>
        </w:numPr>
        <w:ind w:left="1151" w:hanging="584"/>
        <w:rPr>
          <w:rFonts w:ascii="SimHei" w:eastAsia="SimHei" w:hAnsi="SimHei"/>
        </w:rPr>
      </w:pPr>
      <w:bookmarkStart w:id="11" w:name="_Toc526252796"/>
      <w:r w:rsidRPr="00D33A45">
        <w:rPr>
          <w:rFonts w:ascii="SimHei" w:eastAsia="SimHei" w:hAnsi="SimHei"/>
          <w:bCs/>
          <w:szCs w:val="22"/>
          <w:lang w:val="zh-CN" w:eastAsia="zh-CN"/>
        </w:rPr>
        <w:lastRenderedPageBreak/>
        <w:t>导言</w:t>
      </w:r>
      <w:bookmarkStart w:id="12" w:name="_Toc520380776"/>
      <w:bookmarkEnd w:id="11"/>
    </w:p>
    <w:p w14:paraId="788FA83C" w14:textId="5B8FF78C"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《关于汞的水俣公约》是一项具有法律约束力的全球性文书，旨在保护人类健康和环境免受汞和汞化合物人为排放和释放的危害。汞和汞化合物的生命周期</w:t>
      </w:r>
      <w:r w:rsidR="00945938" w:rsidRPr="00D33A45">
        <w:rPr>
          <w:sz w:val="24"/>
          <w:szCs w:val="24"/>
          <w:lang w:val="zh-CN" w:eastAsia="zh-CN"/>
        </w:rPr>
        <w:t>包</w:t>
      </w:r>
      <w:r w:rsidRPr="00D33A45">
        <w:rPr>
          <w:sz w:val="24"/>
          <w:szCs w:val="24"/>
          <w:lang w:val="zh-CN" w:eastAsia="zh-CN"/>
        </w:rPr>
        <w:t>括供应、贸易、使用、废物和污染场地等各个阶段，《公约》规定了与这些阶段的汞和汞化合物排放和释放有关的义务。《公约》第</w:t>
      </w:r>
      <w:r w:rsidRPr="00D33A45">
        <w:rPr>
          <w:sz w:val="24"/>
          <w:szCs w:val="24"/>
          <w:lang w:val="zh-CN" w:eastAsia="zh-CN"/>
        </w:rPr>
        <w:t>10</w:t>
      </w:r>
      <w:r w:rsidRPr="00D33A45">
        <w:rPr>
          <w:sz w:val="24"/>
          <w:szCs w:val="24"/>
          <w:lang w:val="zh-CN" w:eastAsia="zh-CN"/>
        </w:rPr>
        <w:t>条规定了与汞废物以外的汞和汞化合物无害环境临时储存有关的具体义务。这些义务与第</w:t>
      </w:r>
      <w:r w:rsidRPr="00D33A45">
        <w:rPr>
          <w:sz w:val="24"/>
          <w:szCs w:val="24"/>
          <w:lang w:val="zh-CN" w:eastAsia="zh-CN"/>
        </w:rPr>
        <w:t>11</w:t>
      </w:r>
      <w:r w:rsidRPr="00D33A45">
        <w:rPr>
          <w:sz w:val="24"/>
          <w:szCs w:val="24"/>
          <w:lang w:val="zh-CN" w:eastAsia="zh-CN"/>
        </w:rPr>
        <w:t>条规定的以无害环境方式管理汞废物的义务不同。</w:t>
      </w:r>
    </w:p>
    <w:p w14:paraId="3A35F0F2" w14:textId="40029BA0"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《公约》第</w:t>
      </w:r>
      <w:r w:rsidRPr="00D33A45">
        <w:rPr>
          <w:sz w:val="24"/>
          <w:szCs w:val="24"/>
          <w:lang w:val="zh-CN" w:eastAsia="zh-CN"/>
        </w:rPr>
        <w:t>10</w:t>
      </w:r>
      <w:r w:rsidRPr="00D33A45">
        <w:rPr>
          <w:sz w:val="24"/>
          <w:szCs w:val="24"/>
          <w:lang w:val="zh-CN" w:eastAsia="zh-CN"/>
        </w:rPr>
        <w:t>条规定，水俣公约缔约方大会</w:t>
      </w:r>
      <w:r w:rsidR="00945938" w:rsidRPr="00D33A45">
        <w:rPr>
          <w:sz w:val="24"/>
          <w:szCs w:val="24"/>
          <w:lang w:val="zh-CN" w:eastAsia="zh-CN"/>
        </w:rPr>
        <w:t>应在考虑根据《控制危险废物越境转移及其处置巴塞尔公约》制定的相关指导准则及其他相关指导意见的同时，</w:t>
      </w:r>
      <w:r w:rsidRPr="00D33A45">
        <w:rPr>
          <w:sz w:val="24"/>
          <w:szCs w:val="24"/>
          <w:lang w:val="zh-CN" w:eastAsia="zh-CN"/>
        </w:rPr>
        <w:t>通过关于汞和汞化合物无害环境临时储存的指导准则。本指导准则就是据此拟订的。</w:t>
      </w:r>
    </w:p>
    <w:p w14:paraId="4269442A" w14:textId="01B8EB79"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准则并没有作出强制性规定，也不试图增加或减少《公约》为缔约方规定的义务，尤其是第</w:t>
      </w:r>
      <w:r w:rsidRPr="00D33A45">
        <w:rPr>
          <w:sz w:val="24"/>
          <w:szCs w:val="24"/>
          <w:lang w:val="zh-CN" w:eastAsia="zh-CN"/>
        </w:rPr>
        <w:t>10</w:t>
      </w:r>
      <w:r w:rsidRPr="00D33A45">
        <w:rPr>
          <w:sz w:val="24"/>
          <w:szCs w:val="24"/>
          <w:lang w:val="zh-CN" w:eastAsia="zh-CN"/>
        </w:rPr>
        <w:t>条</w:t>
      </w:r>
      <w:r w:rsidR="001C174F">
        <w:rPr>
          <w:rFonts w:hint="eastAsia"/>
          <w:sz w:val="24"/>
          <w:szCs w:val="24"/>
          <w:lang w:val="zh-CN" w:eastAsia="zh-CN"/>
        </w:rPr>
        <w:t xml:space="preserve"> </w:t>
      </w:r>
      <w:r w:rsidRPr="00D33A45">
        <w:rPr>
          <w:sz w:val="24"/>
          <w:szCs w:val="24"/>
          <w:lang w:val="zh-CN" w:eastAsia="zh-CN"/>
        </w:rPr>
        <w:t>规定的义务。但是，缔约国必须采取措施确保以无害环境</w:t>
      </w:r>
      <w:r w:rsidR="00945938" w:rsidRPr="00D33A45">
        <w:rPr>
          <w:sz w:val="24"/>
          <w:szCs w:val="24"/>
          <w:lang w:val="zh-CN" w:eastAsia="zh-CN"/>
        </w:rPr>
        <w:t>的</w:t>
      </w:r>
      <w:r w:rsidRPr="00D33A45">
        <w:rPr>
          <w:sz w:val="24"/>
          <w:szCs w:val="24"/>
          <w:lang w:val="zh-CN" w:eastAsia="zh-CN"/>
        </w:rPr>
        <w:t>方式临时储存汞和汞化合物，并在这样做的过程中，考虑到缔约方大会通过的指导准则</w:t>
      </w:r>
      <w:r w:rsidR="000138F6">
        <w:rPr>
          <w:rFonts w:hint="eastAsia"/>
          <w:sz w:val="24"/>
          <w:szCs w:val="24"/>
          <w:lang w:val="zh-CN" w:eastAsia="zh-CN"/>
        </w:rPr>
        <w:t>以及</w:t>
      </w:r>
      <w:r w:rsidRPr="00D33A45">
        <w:rPr>
          <w:sz w:val="24"/>
          <w:szCs w:val="24"/>
          <w:lang w:val="zh-CN" w:eastAsia="zh-CN"/>
        </w:rPr>
        <w:t>缔约方大会可能决定就临时储存问题通过</w:t>
      </w:r>
      <w:r w:rsidR="000138F6">
        <w:rPr>
          <w:rFonts w:hint="eastAsia"/>
          <w:sz w:val="24"/>
          <w:szCs w:val="24"/>
          <w:lang w:val="zh-CN" w:eastAsia="zh-CN"/>
        </w:rPr>
        <w:t>并</w:t>
      </w:r>
      <w:r w:rsidRPr="00D33A45">
        <w:rPr>
          <w:sz w:val="24"/>
          <w:szCs w:val="24"/>
          <w:lang w:val="zh-CN" w:eastAsia="zh-CN"/>
        </w:rPr>
        <w:t>根据第</w:t>
      </w:r>
      <w:r w:rsidRPr="00D33A45">
        <w:rPr>
          <w:sz w:val="24"/>
          <w:szCs w:val="24"/>
          <w:lang w:val="zh-CN" w:eastAsia="zh-CN"/>
        </w:rPr>
        <w:t>27</w:t>
      </w:r>
      <w:r w:rsidRPr="00D33A45">
        <w:rPr>
          <w:sz w:val="24"/>
          <w:szCs w:val="24"/>
          <w:lang w:val="zh-CN" w:eastAsia="zh-CN"/>
        </w:rPr>
        <w:t>条增列为《公约》附件的</w:t>
      </w:r>
      <w:r w:rsidR="00945938" w:rsidRPr="00D33A45">
        <w:rPr>
          <w:sz w:val="24"/>
          <w:szCs w:val="24"/>
          <w:lang w:val="zh-CN" w:eastAsia="zh-CN"/>
        </w:rPr>
        <w:t>各项规定。</w:t>
      </w:r>
      <w:r w:rsidR="00AB3927" w:rsidRPr="00D33A45">
        <w:rPr>
          <w:sz w:val="24"/>
          <w:szCs w:val="24"/>
          <w:lang w:val="zh-CN" w:eastAsia="zh-CN"/>
        </w:rPr>
        <w:t>这</w:t>
      </w:r>
      <w:r w:rsidRPr="00D33A45">
        <w:rPr>
          <w:sz w:val="24"/>
          <w:szCs w:val="24"/>
          <w:lang w:val="zh-CN" w:eastAsia="zh-CN"/>
        </w:rPr>
        <w:t>包括</w:t>
      </w:r>
      <w:r w:rsidR="00AB3927" w:rsidRPr="00D33A45">
        <w:rPr>
          <w:sz w:val="24"/>
          <w:szCs w:val="24"/>
          <w:lang w:val="zh-CN" w:eastAsia="zh-CN"/>
        </w:rPr>
        <w:t>使用各国在本指导准则通过前作出的安排：</w:t>
      </w:r>
      <w:r w:rsidR="00C42992" w:rsidRPr="00D33A45">
        <w:rPr>
          <w:sz w:val="24"/>
          <w:szCs w:val="24"/>
          <w:lang w:val="zh-CN" w:eastAsia="zh-CN"/>
        </w:rPr>
        <w:t>考虑到</w:t>
      </w:r>
      <w:r w:rsidRPr="00D33A45">
        <w:rPr>
          <w:sz w:val="24"/>
          <w:szCs w:val="24"/>
          <w:lang w:val="zh-CN" w:eastAsia="zh-CN"/>
        </w:rPr>
        <w:t>缔约方的</w:t>
      </w:r>
      <w:r w:rsidR="000138F6">
        <w:rPr>
          <w:rFonts w:hint="eastAsia"/>
          <w:sz w:val="24"/>
          <w:szCs w:val="24"/>
          <w:lang w:val="zh-CN" w:eastAsia="zh-CN"/>
        </w:rPr>
        <w:t>自</w:t>
      </w:r>
      <w:r w:rsidR="00AB3927" w:rsidRPr="00D33A45">
        <w:rPr>
          <w:sz w:val="24"/>
          <w:szCs w:val="24"/>
          <w:lang w:val="zh-CN" w:eastAsia="zh-CN"/>
        </w:rPr>
        <w:t>然</w:t>
      </w:r>
      <w:r w:rsidRPr="00D33A45">
        <w:rPr>
          <w:sz w:val="24"/>
          <w:szCs w:val="24"/>
          <w:lang w:val="zh-CN" w:eastAsia="zh-CN"/>
        </w:rPr>
        <w:t>和社会条件，这些安排为汞和汞化合物的无害环境临时储存提供了同等或更好的</w:t>
      </w:r>
      <w:r w:rsidR="00C01C72">
        <w:rPr>
          <w:rFonts w:hint="eastAsia"/>
          <w:sz w:val="24"/>
          <w:szCs w:val="24"/>
          <w:lang w:val="zh-CN" w:eastAsia="zh-CN"/>
        </w:rPr>
        <w:t>机制</w:t>
      </w:r>
      <w:r w:rsidRPr="00D33A45">
        <w:rPr>
          <w:sz w:val="24"/>
          <w:szCs w:val="24"/>
          <w:lang w:val="zh-CN" w:eastAsia="zh-CN"/>
        </w:rPr>
        <w:t>，而且可以适用本指导准则的</w:t>
      </w:r>
      <w:r w:rsidR="00225384">
        <w:rPr>
          <w:rFonts w:hint="eastAsia"/>
          <w:sz w:val="24"/>
          <w:szCs w:val="24"/>
          <w:lang w:val="zh-CN" w:eastAsia="zh-CN"/>
        </w:rPr>
        <w:t>具体</w:t>
      </w:r>
      <w:r w:rsidRPr="00D33A45">
        <w:rPr>
          <w:sz w:val="24"/>
          <w:szCs w:val="24"/>
          <w:lang w:val="zh-CN" w:eastAsia="zh-CN"/>
        </w:rPr>
        <w:t>规定，只要它们是可行</w:t>
      </w:r>
      <w:r w:rsidR="00C42992" w:rsidRPr="00D33A45">
        <w:rPr>
          <w:sz w:val="24"/>
          <w:szCs w:val="24"/>
          <w:lang w:val="zh-CN" w:eastAsia="zh-CN"/>
        </w:rPr>
        <w:t>并与之相符</w:t>
      </w:r>
      <w:r w:rsidRPr="00D33A45">
        <w:rPr>
          <w:sz w:val="24"/>
          <w:szCs w:val="24"/>
          <w:lang w:val="zh-CN" w:eastAsia="zh-CN"/>
        </w:rPr>
        <w:t>的。</w:t>
      </w:r>
    </w:p>
    <w:p w14:paraId="5B68C756" w14:textId="2435214D" w:rsidR="0009682F" w:rsidRPr="00D33A45" w:rsidRDefault="0009682F" w:rsidP="00D33A45">
      <w:pPr>
        <w:pStyle w:val="CH1"/>
        <w:numPr>
          <w:ilvl w:val="0"/>
          <w:numId w:val="47"/>
        </w:numPr>
        <w:ind w:left="1151" w:hanging="584"/>
        <w:rPr>
          <w:rFonts w:ascii="SimHei" w:eastAsia="SimHei" w:hAnsi="SimHei"/>
          <w:bCs/>
          <w:szCs w:val="22"/>
          <w:lang w:val="zh-CN" w:eastAsia="zh-CN"/>
        </w:rPr>
      </w:pPr>
      <w:r w:rsidRPr="00D33A45">
        <w:rPr>
          <w:bCs/>
          <w:szCs w:val="22"/>
          <w:lang w:val="zh-CN" w:eastAsia="zh-CN"/>
        </w:rPr>
        <w:tab/>
      </w:r>
      <w:bookmarkStart w:id="13" w:name="_Toc526252797"/>
      <w:r w:rsidRPr="00D33A45">
        <w:rPr>
          <w:rFonts w:ascii="SimHei" w:eastAsia="SimHei" w:hAnsi="SimHei"/>
          <w:bCs/>
          <w:szCs w:val="22"/>
          <w:lang w:val="zh-CN" w:eastAsia="zh-CN"/>
        </w:rPr>
        <w:t>指导准则的范围</w:t>
      </w:r>
      <w:bookmarkEnd w:id="13"/>
    </w:p>
    <w:p w14:paraId="5DB42467" w14:textId="2BB3B533" w:rsidR="0009682F" w:rsidRPr="00D33A45" w:rsidRDefault="00F1228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本指导准则旨在为采用</w:t>
      </w:r>
      <w:r w:rsidR="0009682F" w:rsidRPr="00D33A45">
        <w:rPr>
          <w:sz w:val="24"/>
          <w:szCs w:val="24"/>
          <w:lang w:val="zh-CN" w:eastAsia="zh-CN"/>
        </w:rPr>
        <w:t>无害环境方式临时储存</w:t>
      </w:r>
      <w:r w:rsidRPr="00D33A45">
        <w:rPr>
          <w:sz w:val="24"/>
          <w:szCs w:val="24"/>
          <w:lang w:val="zh-CN" w:eastAsia="zh-CN"/>
        </w:rPr>
        <w:t>用于《公约》允许缔约方使用的用途的汞和汞化合物提供指导意见。</w:t>
      </w:r>
      <w:r w:rsidR="0009682F" w:rsidRPr="00D33A45">
        <w:rPr>
          <w:sz w:val="24"/>
          <w:szCs w:val="24"/>
          <w:lang w:val="zh-CN" w:eastAsia="zh-CN"/>
        </w:rPr>
        <w:t>指导意见是对有关汞废物无害环境管理的各项规定的补充。《公约》规定，在某个特定日期后，汞和汞化合物不得用于某些用途（例如，在《公约》</w:t>
      </w:r>
      <w:r w:rsidRPr="00D33A45">
        <w:rPr>
          <w:sz w:val="24"/>
          <w:szCs w:val="24"/>
          <w:lang w:val="zh-CN" w:eastAsia="zh-CN"/>
        </w:rPr>
        <w:t>附件</w:t>
      </w:r>
      <w:r w:rsidRPr="00D33A45">
        <w:rPr>
          <w:sz w:val="24"/>
          <w:szCs w:val="24"/>
          <w:lang w:val="zh-CN" w:eastAsia="zh-CN"/>
        </w:rPr>
        <w:t>A</w:t>
      </w:r>
      <w:r w:rsidRPr="00D33A45">
        <w:rPr>
          <w:sz w:val="24"/>
          <w:szCs w:val="24"/>
          <w:lang w:val="zh-CN" w:eastAsia="zh-CN"/>
        </w:rPr>
        <w:t>根据</w:t>
      </w:r>
      <w:r w:rsidR="0009682F" w:rsidRPr="00D33A45">
        <w:rPr>
          <w:sz w:val="24"/>
          <w:szCs w:val="24"/>
          <w:lang w:val="zh-CN" w:eastAsia="zh-CN"/>
        </w:rPr>
        <w:t>第</w:t>
      </w:r>
      <w:r w:rsidR="0009682F" w:rsidRPr="00D33A45">
        <w:rPr>
          <w:sz w:val="24"/>
          <w:szCs w:val="24"/>
          <w:lang w:val="zh-CN" w:eastAsia="zh-CN"/>
        </w:rPr>
        <w:t>4</w:t>
      </w:r>
      <w:r w:rsidR="0009682F" w:rsidRPr="00D33A45">
        <w:rPr>
          <w:sz w:val="24"/>
          <w:szCs w:val="24"/>
          <w:lang w:val="zh-CN" w:eastAsia="zh-CN"/>
        </w:rPr>
        <w:t>条明确规定的淘汰日期后，不得使用某些添加汞的产品）。所有未被《公约》规定不得使用的汞的用途均被视为《公约》允许缔约方使用</w:t>
      </w:r>
      <w:r w:rsidRPr="00D33A45">
        <w:rPr>
          <w:sz w:val="24"/>
          <w:szCs w:val="24"/>
          <w:lang w:val="zh-CN" w:eastAsia="zh-CN"/>
        </w:rPr>
        <w:t>的用途。还宜根据本指导准则来确定优先行动，特别是如果当事方认定</w:t>
      </w:r>
      <w:r w:rsidR="0009682F" w:rsidRPr="00D33A45">
        <w:rPr>
          <w:sz w:val="24"/>
          <w:szCs w:val="24"/>
          <w:lang w:val="zh-CN" w:eastAsia="zh-CN"/>
        </w:rPr>
        <w:t>其领土内的手工和小规模</w:t>
      </w:r>
      <w:r w:rsidRPr="00D33A45">
        <w:rPr>
          <w:sz w:val="24"/>
          <w:szCs w:val="24"/>
          <w:lang w:val="zh-CN" w:eastAsia="zh-CN"/>
        </w:rPr>
        <w:t>金矿</w:t>
      </w:r>
      <w:r w:rsidR="0009682F" w:rsidRPr="00D33A45">
        <w:rPr>
          <w:sz w:val="24"/>
          <w:szCs w:val="24"/>
          <w:lang w:val="zh-CN" w:eastAsia="zh-CN"/>
        </w:rPr>
        <w:t>开采和加工活动已超过微不足道的水平。正在制定或已经制定</w:t>
      </w:r>
      <w:r w:rsidRPr="00D33A45">
        <w:rPr>
          <w:sz w:val="24"/>
          <w:szCs w:val="24"/>
          <w:lang w:val="zh-CN" w:eastAsia="zh-CN"/>
        </w:rPr>
        <w:t>关于</w:t>
      </w:r>
      <w:r w:rsidR="0009682F" w:rsidRPr="00D33A45">
        <w:rPr>
          <w:sz w:val="24"/>
          <w:szCs w:val="24"/>
          <w:lang w:val="zh-CN" w:eastAsia="zh-CN"/>
        </w:rPr>
        <w:t>手工和小规模金矿开采</w:t>
      </w:r>
      <w:r w:rsidRPr="00D33A45">
        <w:rPr>
          <w:sz w:val="24"/>
          <w:szCs w:val="24"/>
          <w:lang w:val="zh-CN" w:eastAsia="zh-CN"/>
        </w:rPr>
        <w:t>的</w:t>
      </w:r>
      <w:r w:rsidR="0009682F" w:rsidRPr="00D33A45">
        <w:rPr>
          <w:sz w:val="24"/>
          <w:szCs w:val="24"/>
          <w:lang w:val="zh-CN" w:eastAsia="zh-CN"/>
        </w:rPr>
        <w:t>国家行动计划的缔约方</w:t>
      </w:r>
      <w:r w:rsidRPr="00D33A45">
        <w:rPr>
          <w:sz w:val="24"/>
          <w:szCs w:val="24"/>
          <w:lang w:val="zh-CN" w:eastAsia="zh-CN"/>
        </w:rPr>
        <w:t>，</w:t>
      </w:r>
      <w:r w:rsidR="0009682F" w:rsidRPr="00D33A45">
        <w:rPr>
          <w:sz w:val="24"/>
          <w:szCs w:val="24"/>
          <w:lang w:val="zh-CN" w:eastAsia="zh-CN"/>
        </w:rPr>
        <w:t>除了考虑缔约方大会第一次会议通过的关于制订在手工和小规模金矿开采过程中减少并在可行时停止使用汞的国家行动计划的指导意见（环境规划署，</w:t>
      </w:r>
      <w:r w:rsidR="00430E74">
        <w:rPr>
          <w:rFonts w:hint="eastAsia"/>
          <w:sz w:val="24"/>
          <w:szCs w:val="24"/>
          <w:lang w:val="zh-CN" w:eastAsia="zh-CN"/>
        </w:rPr>
        <w:t>2</w:t>
      </w:r>
      <w:r w:rsidR="00430E74">
        <w:rPr>
          <w:sz w:val="24"/>
          <w:szCs w:val="24"/>
          <w:lang w:val="zh-CN" w:eastAsia="zh-CN"/>
        </w:rPr>
        <w:t>017</w:t>
      </w:r>
      <w:r w:rsidR="00430E74">
        <w:rPr>
          <w:rFonts w:hint="eastAsia"/>
          <w:sz w:val="24"/>
          <w:szCs w:val="24"/>
          <w:lang w:val="zh-CN" w:eastAsia="zh-CN"/>
        </w:rPr>
        <w:t>年</w:t>
      </w:r>
      <w:r w:rsidR="0009682F" w:rsidRPr="00D33A45">
        <w:rPr>
          <w:sz w:val="24"/>
          <w:szCs w:val="24"/>
          <w:lang w:val="zh-CN" w:eastAsia="zh-CN"/>
        </w:rPr>
        <w:t>a</w:t>
      </w:r>
      <w:r w:rsidR="0009682F" w:rsidRPr="00D33A45">
        <w:rPr>
          <w:sz w:val="24"/>
          <w:szCs w:val="24"/>
          <w:lang w:val="zh-CN" w:eastAsia="zh-CN"/>
        </w:rPr>
        <w:t>）外，也不妨优先考虑本指导准则中有助于采取《公约》附件</w:t>
      </w:r>
      <w:r w:rsidR="0009682F" w:rsidRPr="00D33A45">
        <w:rPr>
          <w:sz w:val="24"/>
          <w:szCs w:val="24"/>
          <w:lang w:val="zh-CN" w:eastAsia="zh-CN"/>
        </w:rPr>
        <w:t>C</w:t>
      </w:r>
      <w:r w:rsidR="0009682F" w:rsidRPr="00D33A45">
        <w:rPr>
          <w:sz w:val="24"/>
          <w:szCs w:val="24"/>
          <w:lang w:val="zh-CN" w:eastAsia="zh-CN"/>
        </w:rPr>
        <w:t>第</w:t>
      </w:r>
      <w:r w:rsidR="0009682F" w:rsidRPr="00D33A45">
        <w:rPr>
          <w:sz w:val="24"/>
          <w:szCs w:val="24"/>
          <w:lang w:val="zh-CN" w:eastAsia="zh-CN"/>
        </w:rPr>
        <w:t>1</w:t>
      </w:r>
      <w:r w:rsidR="0009682F" w:rsidRPr="00D33A45">
        <w:rPr>
          <w:sz w:val="24"/>
          <w:szCs w:val="24"/>
          <w:lang w:val="zh-CN" w:eastAsia="zh-CN"/>
        </w:rPr>
        <w:t>段规定的行动的章节。</w:t>
      </w:r>
    </w:p>
    <w:bookmarkEnd w:id="12"/>
    <w:p w14:paraId="62E56E6A" w14:textId="7F26D96E"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本指导准则不考虑汞的最终或永久储存或稳定</w:t>
      </w:r>
      <w:r w:rsidR="00A5028F">
        <w:rPr>
          <w:rFonts w:hint="eastAsia"/>
          <w:sz w:val="24"/>
          <w:szCs w:val="24"/>
          <w:lang w:val="zh-CN" w:eastAsia="zh-CN"/>
        </w:rPr>
        <w:t>化</w:t>
      </w:r>
      <w:r w:rsidRPr="00D33A45">
        <w:rPr>
          <w:sz w:val="24"/>
          <w:szCs w:val="24"/>
          <w:lang w:val="zh-CN" w:eastAsia="zh-CN"/>
        </w:rPr>
        <w:t>或固</w:t>
      </w:r>
      <w:r w:rsidR="008320F2">
        <w:rPr>
          <w:rFonts w:hint="eastAsia"/>
          <w:sz w:val="24"/>
          <w:szCs w:val="24"/>
          <w:lang w:val="zh-CN" w:eastAsia="zh-CN"/>
        </w:rPr>
        <w:t>化</w:t>
      </w:r>
      <w:r w:rsidRPr="00D33A45">
        <w:rPr>
          <w:sz w:val="24"/>
          <w:szCs w:val="24"/>
          <w:lang w:val="zh-CN" w:eastAsia="zh-CN"/>
        </w:rPr>
        <w:t>的备选办法。这些备选办法与汞废物无害环境管理有关，并列入了根据《巴塞尔公约》</w:t>
      </w:r>
      <w:r w:rsidRPr="001C174F">
        <w:rPr>
          <w:spacing w:val="-6"/>
          <w:sz w:val="24"/>
          <w:szCs w:val="24"/>
          <w:lang w:val="zh-CN" w:eastAsia="zh-CN"/>
        </w:rPr>
        <w:t>制定的含汞或汞化合物或受其污染废物</w:t>
      </w:r>
      <w:r w:rsidR="00F1228F" w:rsidRPr="001C174F">
        <w:rPr>
          <w:spacing w:val="-6"/>
          <w:sz w:val="24"/>
          <w:szCs w:val="24"/>
          <w:lang w:val="zh-CN" w:eastAsia="zh-CN"/>
        </w:rPr>
        <w:t>的</w:t>
      </w:r>
      <w:r w:rsidRPr="001C174F">
        <w:rPr>
          <w:spacing w:val="-6"/>
          <w:sz w:val="24"/>
          <w:szCs w:val="24"/>
          <w:lang w:val="zh-CN" w:eastAsia="zh-CN"/>
        </w:rPr>
        <w:t>无害环境管理技术指导准则</w:t>
      </w:r>
      <w:r w:rsidR="00F1228F" w:rsidRPr="001C174F">
        <w:rPr>
          <w:spacing w:val="-6"/>
          <w:sz w:val="24"/>
          <w:szCs w:val="24"/>
          <w:lang w:val="zh-CN" w:eastAsia="zh-CN"/>
        </w:rPr>
        <w:t xml:space="preserve"> (</w:t>
      </w:r>
      <w:r w:rsidR="00F1228F" w:rsidRPr="001C174F">
        <w:rPr>
          <w:spacing w:val="-6"/>
          <w:sz w:val="24"/>
          <w:szCs w:val="24"/>
          <w:lang w:val="zh-CN" w:eastAsia="zh-CN"/>
        </w:rPr>
        <w:t>环境署</w:t>
      </w:r>
      <w:r w:rsidR="004C15D3" w:rsidRPr="001C174F">
        <w:rPr>
          <w:rFonts w:hint="eastAsia"/>
          <w:spacing w:val="-6"/>
          <w:sz w:val="24"/>
          <w:szCs w:val="24"/>
          <w:lang w:val="zh-CN" w:eastAsia="zh-CN"/>
        </w:rPr>
        <w:t>，</w:t>
      </w:r>
      <w:r w:rsidRPr="001C174F">
        <w:rPr>
          <w:spacing w:val="-6"/>
          <w:sz w:val="24"/>
          <w:szCs w:val="24"/>
          <w:lang w:val="zh-CN" w:eastAsia="zh-CN"/>
        </w:rPr>
        <w:t>2015</w:t>
      </w:r>
      <w:r w:rsidRPr="001C174F">
        <w:rPr>
          <w:spacing w:val="-6"/>
          <w:sz w:val="24"/>
          <w:szCs w:val="24"/>
          <w:lang w:val="zh-CN" w:eastAsia="zh-CN"/>
        </w:rPr>
        <w:t>年</w:t>
      </w:r>
      <w:r w:rsidRPr="001C174F">
        <w:rPr>
          <w:spacing w:val="-6"/>
          <w:sz w:val="24"/>
          <w:szCs w:val="24"/>
          <w:lang w:val="zh-CN" w:eastAsia="zh-CN"/>
        </w:rPr>
        <w:t>)</w:t>
      </w:r>
      <w:r w:rsidRPr="00D33A45">
        <w:rPr>
          <w:sz w:val="24"/>
          <w:szCs w:val="24"/>
          <w:lang w:val="zh-CN" w:eastAsia="zh-CN"/>
        </w:rPr>
        <w:t>。应指出，虽然这些技术指导准则是公开的，但水俣公约</w:t>
      </w:r>
      <w:r w:rsidR="00F1228F" w:rsidRPr="00D33A45">
        <w:rPr>
          <w:sz w:val="24"/>
          <w:szCs w:val="24"/>
          <w:lang w:val="zh-CN" w:eastAsia="zh-CN"/>
        </w:rPr>
        <w:t>的</w:t>
      </w:r>
      <w:r w:rsidRPr="00D33A45">
        <w:rPr>
          <w:sz w:val="24"/>
          <w:szCs w:val="24"/>
          <w:lang w:val="zh-CN" w:eastAsia="zh-CN"/>
        </w:rPr>
        <w:t>缔约方并不一定</w:t>
      </w:r>
      <w:r w:rsidR="004C15D3">
        <w:rPr>
          <w:rFonts w:hint="eastAsia"/>
          <w:sz w:val="24"/>
          <w:szCs w:val="24"/>
          <w:lang w:val="zh-CN" w:eastAsia="zh-CN"/>
        </w:rPr>
        <w:t>都</w:t>
      </w:r>
      <w:r w:rsidRPr="00D33A45">
        <w:rPr>
          <w:sz w:val="24"/>
          <w:szCs w:val="24"/>
          <w:lang w:val="zh-CN" w:eastAsia="zh-CN"/>
        </w:rPr>
        <w:t>是巴塞尔公约的缔约方。</w:t>
      </w:r>
    </w:p>
    <w:p w14:paraId="16C9C109" w14:textId="0C5209C4"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《水俣公约》第</w:t>
      </w:r>
      <w:r w:rsidRPr="00D33A45">
        <w:rPr>
          <w:sz w:val="24"/>
          <w:szCs w:val="24"/>
          <w:lang w:val="zh-CN" w:eastAsia="zh-CN"/>
        </w:rPr>
        <w:t>10</w:t>
      </w:r>
      <w:r w:rsidRPr="00D33A45">
        <w:rPr>
          <w:sz w:val="24"/>
          <w:szCs w:val="24"/>
          <w:lang w:val="zh-CN" w:eastAsia="zh-CN"/>
        </w:rPr>
        <w:t>条适用于《公约》第</w:t>
      </w:r>
      <w:r w:rsidRPr="00D33A45">
        <w:rPr>
          <w:sz w:val="24"/>
          <w:szCs w:val="24"/>
          <w:lang w:val="zh-CN" w:eastAsia="zh-CN"/>
        </w:rPr>
        <w:t>3</w:t>
      </w:r>
      <w:r w:rsidRPr="00D33A45">
        <w:rPr>
          <w:sz w:val="24"/>
          <w:szCs w:val="24"/>
          <w:lang w:val="zh-CN" w:eastAsia="zh-CN"/>
        </w:rPr>
        <w:t>条界定的、不在第</w:t>
      </w:r>
      <w:r w:rsidRPr="00D33A45">
        <w:rPr>
          <w:sz w:val="24"/>
          <w:szCs w:val="24"/>
          <w:lang w:val="zh-CN" w:eastAsia="zh-CN"/>
        </w:rPr>
        <w:t>11</w:t>
      </w:r>
      <w:r w:rsidRPr="00D33A45">
        <w:rPr>
          <w:sz w:val="24"/>
          <w:szCs w:val="24"/>
          <w:lang w:val="zh-CN" w:eastAsia="zh-CN"/>
        </w:rPr>
        <w:t>条所述汞废物的定义范围内的汞和汞化合物的临时储存。因此，第</w:t>
      </w:r>
      <w:r w:rsidRPr="00D33A45">
        <w:rPr>
          <w:sz w:val="24"/>
          <w:szCs w:val="24"/>
          <w:lang w:val="zh-CN" w:eastAsia="zh-CN"/>
        </w:rPr>
        <w:t>10</w:t>
      </w:r>
      <w:r w:rsidRPr="00D33A45">
        <w:rPr>
          <w:sz w:val="24"/>
          <w:szCs w:val="24"/>
          <w:lang w:val="zh-CN" w:eastAsia="zh-CN"/>
        </w:rPr>
        <w:t>条涵盖（</w:t>
      </w:r>
      <w:r w:rsidRPr="00D33A45">
        <w:rPr>
          <w:sz w:val="24"/>
          <w:szCs w:val="24"/>
          <w:lang w:val="zh-CN" w:eastAsia="zh-CN"/>
        </w:rPr>
        <w:t>a</w:t>
      </w:r>
      <w:r w:rsidRPr="00D33A45">
        <w:rPr>
          <w:sz w:val="24"/>
          <w:szCs w:val="24"/>
          <w:lang w:val="zh-CN" w:eastAsia="zh-CN"/>
        </w:rPr>
        <w:t>）汞</w:t>
      </w:r>
      <w:r w:rsidR="00FD56D4" w:rsidRPr="00D33A45">
        <w:rPr>
          <w:sz w:val="24"/>
          <w:szCs w:val="24"/>
          <w:lang w:val="zh-CN" w:eastAsia="zh-CN"/>
        </w:rPr>
        <w:t>（单质）</w:t>
      </w:r>
      <w:r w:rsidRPr="00D33A45">
        <w:rPr>
          <w:sz w:val="24"/>
          <w:szCs w:val="24"/>
          <w:lang w:val="zh-CN" w:eastAsia="zh-CN"/>
        </w:rPr>
        <w:t>；</w:t>
      </w:r>
      <w:r w:rsidRPr="00D33A45">
        <w:rPr>
          <w:sz w:val="24"/>
          <w:szCs w:val="24"/>
          <w:lang w:val="zh-CN" w:eastAsia="zh-CN"/>
        </w:rPr>
        <w:t xml:space="preserve">(b) </w:t>
      </w:r>
      <w:r w:rsidRPr="00D33A45">
        <w:rPr>
          <w:sz w:val="24"/>
          <w:szCs w:val="24"/>
          <w:lang w:val="zh-CN" w:eastAsia="zh-CN"/>
        </w:rPr>
        <w:t>汞与其他物质的混合物，包括汞含量按重量计算至少为</w:t>
      </w:r>
      <w:r w:rsidRPr="00D33A45">
        <w:rPr>
          <w:sz w:val="24"/>
          <w:szCs w:val="24"/>
          <w:lang w:val="zh-CN" w:eastAsia="zh-CN"/>
        </w:rPr>
        <w:t>95%</w:t>
      </w:r>
      <w:r w:rsidR="00FD56D4">
        <w:rPr>
          <w:rFonts w:hint="eastAsia"/>
          <w:sz w:val="24"/>
          <w:szCs w:val="24"/>
          <w:lang w:val="zh-CN" w:eastAsia="zh-CN"/>
        </w:rPr>
        <w:t>的</w:t>
      </w:r>
      <w:r w:rsidR="00FD56D4" w:rsidRPr="00D33A45">
        <w:rPr>
          <w:sz w:val="24"/>
          <w:szCs w:val="24"/>
          <w:lang w:val="zh-CN" w:eastAsia="zh-CN"/>
        </w:rPr>
        <w:t>汞合金</w:t>
      </w:r>
      <w:r w:rsidRPr="00D33A45">
        <w:rPr>
          <w:sz w:val="24"/>
          <w:szCs w:val="24"/>
          <w:lang w:val="zh-CN" w:eastAsia="zh-CN"/>
        </w:rPr>
        <w:t>；</w:t>
      </w:r>
      <w:r w:rsidRPr="00D33A45">
        <w:rPr>
          <w:sz w:val="24"/>
          <w:szCs w:val="24"/>
          <w:lang w:val="zh-CN" w:eastAsia="zh-CN"/>
        </w:rPr>
        <w:t xml:space="preserve">(c) </w:t>
      </w:r>
      <w:r w:rsidRPr="00D33A45">
        <w:rPr>
          <w:sz w:val="24"/>
          <w:szCs w:val="24"/>
          <w:lang w:val="zh-CN" w:eastAsia="zh-CN"/>
        </w:rPr>
        <w:t>汞化合物，即氯化亚汞</w:t>
      </w:r>
      <w:r w:rsidRPr="00D33A45">
        <w:rPr>
          <w:sz w:val="24"/>
          <w:szCs w:val="24"/>
          <w:lang w:val="zh-CN" w:eastAsia="zh-CN"/>
        </w:rPr>
        <w:t>(I)</w:t>
      </w:r>
      <w:r w:rsidRPr="00D33A45">
        <w:rPr>
          <w:sz w:val="24"/>
          <w:szCs w:val="24"/>
          <w:lang w:val="zh-CN" w:eastAsia="zh-CN"/>
        </w:rPr>
        <w:t>（亦称甘汞）、氧化汞</w:t>
      </w:r>
      <w:r w:rsidRPr="00D33A45">
        <w:rPr>
          <w:sz w:val="24"/>
          <w:szCs w:val="24"/>
          <w:lang w:val="zh-CN" w:eastAsia="zh-CN"/>
        </w:rPr>
        <w:t>(II)</w:t>
      </w:r>
      <w:r w:rsidRPr="00D33A45">
        <w:rPr>
          <w:sz w:val="24"/>
          <w:szCs w:val="24"/>
          <w:lang w:val="zh-CN" w:eastAsia="zh-CN"/>
        </w:rPr>
        <w:t>、硫酸汞</w:t>
      </w:r>
      <w:r w:rsidRPr="00D33A45">
        <w:rPr>
          <w:sz w:val="24"/>
          <w:szCs w:val="24"/>
          <w:lang w:val="zh-CN" w:eastAsia="zh-CN"/>
        </w:rPr>
        <w:t>(II)</w:t>
      </w:r>
      <w:r w:rsidRPr="00D33A45">
        <w:rPr>
          <w:sz w:val="24"/>
          <w:szCs w:val="24"/>
          <w:lang w:val="zh-CN" w:eastAsia="zh-CN"/>
        </w:rPr>
        <w:t>、硝酸汞</w:t>
      </w:r>
      <w:r w:rsidRPr="00D33A45">
        <w:rPr>
          <w:sz w:val="24"/>
          <w:szCs w:val="24"/>
          <w:lang w:val="zh-CN" w:eastAsia="zh-CN"/>
        </w:rPr>
        <w:t>(II)</w:t>
      </w:r>
      <w:r w:rsidRPr="00D33A45">
        <w:rPr>
          <w:sz w:val="24"/>
          <w:szCs w:val="24"/>
          <w:lang w:val="zh-CN" w:eastAsia="zh-CN"/>
        </w:rPr>
        <w:t>、朱砂矿石和硫化汞。</w:t>
      </w:r>
    </w:p>
    <w:p w14:paraId="54FF38A8" w14:textId="252B483C"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lastRenderedPageBreak/>
        <w:t>此外，由于《公约》第</w:t>
      </w:r>
      <w:r w:rsidRPr="00D33A45">
        <w:rPr>
          <w:sz w:val="24"/>
          <w:szCs w:val="24"/>
          <w:lang w:val="zh-CN" w:eastAsia="zh-CN"/>
        </w:rPr>
        <w:t>10</w:t>
      </w:r>
      <w:r w:rsidRPr="00D33A45">
        <w:rPr>
          <w:sz w:val="24"/>
          <w:szCs w:val="24"/>
          <w:lang w:val="zh-CN" w:eastAsia="zh-CN"/>
        </w:rPr>
        <w:t>条不涵盖属于第</w:t>
      </w:r>
      <w:r w:rsidRPr="00D33A45">
        <w:rPr>
          <w:sz w:val="24"/>
          <w:szCs w:val="24"/>
          <w:lang w:val="zh-CN" w:eastAsia="zh-CN"/>
        </w:rPr>
        <w:t>11</w:t>
      </w:r>
      <w:r w:rsidRPr="00D33A45">
        <w:rPr>
          <w:sz w:val="24"/>
          <w:szCs w:val="24"/>
          <w:lang w:val="zh-CN" w:eastAsia="zh-CN"/>
        </w:rPr>
        <w:t>条汞废物定义范围的汞和汞化合物，因此该条不涵盖</w:t>
      </w:r>
      <w:r w:rsidR="006734D2" w:rsidRPr="00D33A45">
        <w:rPr>
          <w:sz w:val="24"/>
          <w:szCs w:val="24"/>
          <w:lang w:val="zh-CN" w:eastAsia="zh-CN"/>
        </w:rPr>
        <w:t>已处置、准备处置或按本国法律或《水俣公约》规定</w:t>
      </w:r>
      <w:r w:rsidR="00DA67F2">
        <w:rPr>
          <w:rFonts w:hint="eastAsia"/>
          <w:sz w:val="24"/>
          <w:szCs w:val="24"/>
          <w:lang w:val="zh-CN" w:eastAsia="zh-CN"/>
        </w:rPr>
        <w:t>应予</w:t>
      </w:r>
      <w:r w:rsidR="006734D2" w:rsidRPr="00D33A45">
        <w:rPr>
          <w:sz w:val="24"/>
          <w:szCs w:val="24"/>
          <w:lang w:val="zh-CN" w:eastAsia="zh-CN"/>
        </w:rPr>
        <w:t>处置的</w:t>
      </w:r>
      <w:r w:rsidR="00C57419">
        <w:rPr>
          <w:rFonts w:hint="eastAsia"/>
          <w:sz w:val="24"/>
          <w:szCs w:val="24"/>
          <w:lang w:val="zh-CN" w:eastAsia="zh-CN"/>
        </w:rPr>
        <w:t>以下情况</w:t>
      </w:r>
      <w:r w:rsidRPr="00D33A45">
        <w:rPr>
          <w:sz w:val="24"/>
          <w:szCs w:val="24"/>
          <w:lang w:val="zh-CN" w:eastAsia="zh-CN"/>
        </w:rPr>
        <w:t>物质或物品</w:t>
      </w:r>
      <w:r w:rsidR="006734D2">
        <w:rPr>
          <w:rFonts w:hint="eastAsia"/>
          <w:sz w:val="24"/>
          <w:szCs w:val="24"/>
          <w:lang w:val="zh-CN" w:eastAsia="zh-CN"/>
        </w:rPr>
        <w:t>：</w:t>
      </w:r>
      <w:r w:rsidRPr="00D33A45">
        <w:rPr>
          <w:sz w:val="24"/>
          <w:szCs w:val="24"/>
          <w:lang w:val="zh-CN" w:eastAsia="zh-CN"/>
        </w:rPr>
        <w:t>（</w:t>
      </w:r>
      <w:r w:rsidRPr="00D33A45">
        <w:rPr>
          <w:sz w:val="24"/>
          <w:szCs w:val="24"/>
          <w:lang w:val="zh-CN" w:eastAsia="zh-CN"/>
        </w:rPr>
        <w:t>a</w:t>
      </w:r>
      <w:r w:rsidRPr="00D33A45">
        <w:rPr>
          <w:sz w:val="24"/>
          <w:szCs w:val="24"/>
          <w:lang w:val="zh-CN" w:eastAsia="zh-CN"/>
        </w:rPr>
        <w:t>）由汞或汞化合物构成；（</w:t>
      </w:r>
      <w:r w:rsidRPr="00D33A45">
        <w:rPr>
          <w:sz w:val="24"/>
          <w:szCs w:val="24"/>
          <w:lang w:val="zh-CN" w:eastAsia="zh-CN"/>
        </w:rPr>
        <w:t>b</w:t>
      </w:r>
      <w:r w:rsidRPr="00D33A45">
        <w:rPr>
          <w:sz w:val="24"/>
          <w:szCs w:val="24"/>
          <w:lang w:val="zh-CN" w:eastAsia="zh-CN"/>
        </w:rPr>
        <w:t>）</w:t>
      </w:r>
      <w:r w:rsidRPr="001C174F">
        <w:rPr>
          <w:spacing w:val="-6"/>
          <w:sz w:val="24"/>
          <w:szCs w:val="24"/>
          <w:lang w:val="zh-CN" w:eastAsia="zh-CN"/>
        </w:rPr>
        <w:t>含有汞或汞化合物；或者</w:t>
      </w:r>
      <w:r w:rsidRPr="001C174F">
        <w:rPr>
          <w:spacing w:val="-6"/>
          <w:sz w:val="24"/>
          <w:szCs w:val="24"/>
          <w:lang w:val="zh-CN" w:eastAsia="zh-CN"/>
        </w:rPr>
        <w:t xml:space="preserve">(c) </w:t>
      </w:r>
      <w:r w:rsidR="00EA70F8" w:rsidRPr="001C174F">
        <w:rPr>
          <w:spacing w:val="-6"/>
          <w:sz w:val="24"/>
          <w:szCs w:val="24"/>
          <w:lang w:val="zh-CN" w:eastAsia="zh-CN"/>
        </w:rPr>
        <w:t>被汞或汞化合物污染</w:t>
      </w:r>
      <w:r w:rsidR="00EA70F8" w:rsidRPr="001C174F">
        <w:rPr>
          <w:rFonts w:hint="eastAsia"/>
          <w:spacing w:val="-6"/>
          <w:sz w:val="24"/>
          <w:szCs w:val="24"/>
          <w:lang w:val="zh-CN" w:eastAsia="zh-CN"/>
        </w:rPr>
        <w:t>且</w:t>
      </w:r>
      <w:r w:rsidRPr="001C174F">
        <w:rPr>
          <w:spacing w:val="-6"/>
          <w:sz w:val="24"/>
          <w:szCs w:val="24"/>
          <w:lang w:val="zh-CN" w:eastAsia="zh-CN"/>
        </w:rPr>
        <w:t>数量超过缔约方大会协同《巴塞尔公约》</w:t>
      </w:r>
      <w:r w:rsidRPr="00D33A45">
        <w:rPr>
          <w:sz w:val="24"/>
          <w:szCs w:val="24"/>
          <w:lang w:val="zh-CN" w:eastAsia="zh-CN"/>
        </w:rPr>
        <w:t>有关机构统一界定的阈值</w:t>
      </w:r>
      <w:r w:rsidR="00AE2E5C" w:rsidRPr="00D33A45">
        <w:rPr>
          <w:sz w:val="24"/>
          <w:szCs w:val="24"/>
          <w:lang w:val="zh-CN" w:eastAsia="zh-CN"/>
        </w:rPr>
        <w:t>。这一定义不涵盖源于</w:t>
      </w:r>
      <w:r w:rsidRPr="00D33A45">
        <w:rPr>
          <w:sz w:val="24"/>
          <w:szCs w:val="24"/>
          <w:lang w:val="zh-CN" w:eastAsia="zh-CN"/>
        </w:rPr>
        <w:t>除原生汞矿开采以外的采矿作业中的表层土、废岩石和尾矿石，除非它们含有高于缔约方大会界定的阈值的汞或汞化合物。</w:t>
      </w:r>
    </w:p>
    <w:p w14:paraId="5E2D5C52" w14:textId="087EED22"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《公约》规定，每一缔约方均应采取措施，</w:t>
      </w:r>
      <w:r w:rsidRPr="00D33A45">
        <w:rPr>
          <w:rFonts w:ascii="SimSun" w:hAnsi="SimSun"/>
          <w:sz w:val="24"/>
          <w:szCs w:val="24"/>
          <w:lang w:val="zh-CN" w:eastAsia="zh-CN"/>
        </w:rPr>
        <w:t>确保在顾及指导准则和依循通过的规定的情况下，以无害环境的方式临时储存拟用于《公约》允许缔约方使用的用途的汞和汞化合物。《公约》没有界定“临时”一词的定义。英文中的“临时”一词通常被理解为“在一段时期或在特定时期内；暂时或短期”（《牛津英语词典》的定义）。因此，就《水俣公约</w:t>
      </w:r>
      <w:r w:rsidRPr="00D33A45">
        <w:rPr>
          <w:sz w:val="24"/>
          <w:szCs w:val="24"/>
          <w:lang w:val="zh-CN" w:eastAsia="zh-CN"/>
        </w:rPr>
        <w:t>》而言，它适用于从生产或购置汞或汞化合物到将其用于《公约》允许缔约方使用的用途之间的一段时间。本</w:t>
      </w:r>
      <w:r w:rsidR="00AE2E5C" w:rsidRPr="00D33A45">
        <w:rPr>
          <w:sz w:val="24"/>
          <w:szCs w:val="24"/>
          <w:lang w:val="zh-CN" w:eastAsia="zh-CN"/>
        </w:rPr>
        <w:t>准则有一</w:t>
      </w:r>
      <w:r w:rsidRPr="00D33A45">
        <w:rPr>
          <w:sz w:val="24"/>
          <w:szCs w:val="24"/>
          <w:lang w:val="zh-CN" w:eastAsia="zh-CN"/>
        </w:rPr>
        <w:t>个关于运输汞和汞化合物的章节</w:t>
      </w:r>
      <w:r w:rsidR="009A322F">
        <w:rPr>
          <w:rFonts w:hint="eastAsia"/>
          <w:sz w:val="24"/>
          <w:szCs w:val="24"/>
          <w:lang w:val="zh-CN" w:eastAsia="zh-CN"/>
        </w:rPr>
        <w:t>，以供</w:t>
      </w:r>
      <w:r w:rsidR="009A322F" w:rsidRPr="00D33A45">
        <w:rPr>
          <w:sz w:val="24"/>
          <w:szCs w:val="24"/>
          <w:lang w:val="zh-CN" w:eastAsia="zh-CN"/>
        </w:rPr>
        <w:t>参考</w:t>
      </w:r>
      <w:r w:rsidRPr="00D33A45">
        <w:rPr>
          <w:sz w:val="24"/>
          <w:szCs w:val="24"/>
          <w:lang w:val="zh-CN" w:eastAsia="zh-CN"/>
        </w:rPr>
        <w:t>。</w:t>
      </w:r>
    </w:p>
    <w:p w14:paraId="0D3BA716" w14:textId="00542C09"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《巴塞尔公约》第</w:t>
      </w:r>
      <w:r w:rsidRPr="00D33A45">
        <w:rPr>
          <w:sz w:val="24"/>
          <w:szCs w:val="24"/>
          <w:lang w:val="zh-CN" w:eastAsia="zh-CN"/>
        </w:rPr>
        <w:t>2</w:t>
      </w:r>
      <w:r w:rsidRPr="00D33A45">
        <w:rPr>
          <w:sz w:val="24"/>
          <w:szCs w:val="24"/>
          <w:lang w:val="zh-CN" w:eastAsia="zh-CN"/>
        </w:rPr>
        <w:t>条第</w:t>
      </w:r>
      <w:r w:rsidRPr="00D33A45">
        <w:rPr>
          <w:sz w:val="24"/>
          <w:szCs w:val="24"/>
          <w:lang w:val="zh-CN" w:eastAsia="zh-CN"/>
        </w:rPr>
        <w:t>8</w:t>
      </w:r>
      <w:r w:rsidRPr="00D33A45">
        <w:rPr>
          <w:sz w:val="24"/>
          <w:szCs w:val="24"/>
          <w:lang w:val="zh-CN" w:eastAsia="zh-CN"/>
        </w:rPr>
        <w:t>款将</w:t>
      </w:r>
      <w:r w:rsidRPr="00494B59">
        <w:rPr>
          <w:rFonts w:ascii="SimSun" w:hAnsi="SimSun"/>
          <w:sz w:val="24"/>
          <w:szCs w:val="24"/>
          <w:lang w:val="zh-CN" w:eastAsia="zh-CN"/>
        </w:rPr>
        <w:t>“危险废物或其他废物的环境无害管理”界定为“采取一切可行步骤，确保危险废物或其他废物的管理方式将能保护人类健康和环境，使其免受这类废物可能产生的不利后果”</w:t>
      </w:r>
      <w:r w:rsidRPr="00D33A45">
        <w:rPr>
          <w:sz w:val="24"/>
          <w:szCs w:val="24"/>
          <w:lang w:val="zh-CN" w:eastAsia="zh-CN"/>
        </w:rPr>
        <w:t>。</w:t>
      </w:r>
    </w:p>
    <w:p w14:paraId="44859CAE"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根据这一定义，汞废物以外的汞和汞化合物的无害环境储存是一种采用不让人类健康和环境受汞和汞化合物储存可能产生的不利影响的方式对汞进行管理的储存方式。</w:t>
      </w:r>
    </w:p>
    <w:p w14:paraId="54D8A710"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rFonts w:ascii="SimSun" w:hAnsi="SimSun"/>
          <w:sz w:val="24"/>
          <w:szCs w:val="24"/>
          <w:lang w:val="zh-CN" w:eastAsia="zh-CN"/>
        </w:rPr>
      </w:pPr>
      <w:r w:rsidRPr="00D33A45">
        <w:rPr>
          <w:rFonts w:ascii="SimSun" w:hAnsi="SimSun"/>
          <w:sz w:val="24"/>
          <w:szCs w:val="24"/>
          <w:lang w:val="zh-CN" w:eastAsia="zh-CN"/>
        </w:rPr>
        <w:t>尽管没有严格界定“临时储存”的最长储存时间，根据英文“临时”一词通常用来指“暂时”或“短期”的情况，缔约方不妨在国家一级界定“临时”储存的最长储存期限。</w:t>
      </w:r>
    </w:p>
    <w:p w14:paraId="168DE137" w14:textId="386E15AF"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一项具有法律约束力文书的缔约方同意受文书规定的义务的约束。在国家一级，该缔约方可把采取这些义务要求采取的行动的责任交给在其领土内开展业务的实体。由于第</w:t>
      </w:r>
      <w:r w:rsidRPr="00D33A45">
        <w:rPr>
          <w:sz w:val="24"/>
          <w:szCs w:val="24"/>
          <w:lang w:val="zh-CN" w:eastAsia="zh-CN"/>
        </w:rPr>
        <w:t>10</w:t>
      </w:r>
      <w:r w:rsidRPr="00D33A45">
        <w:rPr>
          <w:sz w:val="24"/>
          <w:szCs w:val="24"/>
          <w:lang w:val="zh-CN" w:eastAsia="zh-CN"/>
        </w:rPr>
        <w:t>条涵盖的汞和汞化合物被认为是</w:t>
      </w:r>
      <w:r w:rsidRPr="00D33A45">
        <w:rPr>
          <w:rFonts w:ascii="SimSun" w:hAnsi="SimSun"/>
          <w:sz w:val="24"/>
          <w:szCs w:val="24"/>
          <w:lang w:val="zh-CN" w:eastAsia="zh-CN"/>
        </w:rPr>
        <w:t>“商品”</w:t>
      </w:r>
      <w:r w:rsidRPr="00D33A45">
        <w:rPr>
          <w:sz w:val="24"/>
          <w:szCs w:val="24"/>
          <w:lang w:val="zh-CN" w:eastAsia="zh-CN"/>
        </w:rPr>
        <w:t>物质（用于《公约》允许的用途而不是废物），所以汞或汞化合物的无害环境临时储存的责任在缔约方设立的监管下，由汞的所有者或保管者或者可从汞使用中获取商业利益的实体承担最合适。汞或汞化合物的所有者可能需要同储存设施管理者签订正式协议，以正式移交这一责任。应当注意的是，在国家或区域层面，储存设施可以是私有的，也可以是公有的。临时储存设施的运营许可可由国家相关主管部门批准，并可规定储存汞或汞化合物的数量限额以及相关的设施要求。但应鼓励</w:t>
      </w:r>
      <w:r w:rsidR="00AE2E5C" w:rsidRPr="00D33A45">
        <w:rPr>
          <w:sz w:val="24"/>
          <w:szCs w:val="24"/>
          <w:lang w:val="zh-CN" w:eastAsia="zh-CN"/>
        </w:rPr>
        <w:t>那些</w:t>
      </w:r>
      <w:r w:rsidRPr="00D33A45">
        <w:rPr>
          <w:sz w:val="24"/>
          <w:szCs w:val="24"/>
          <w:lang w:val="zh-CN" w:eastAsia="zh-CN"/>
        </w:rPr>
        <w:t>不在许可安排范围内的实体遵守本准则。</w:t>
      </w:r>
    </w:p>
    <w:p w14:paraId="5C05AAA2" w14:textId="1C847CF3"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《公约》没有规定使用前</w:t>
      </w:r>
      <w:r w:rsidR="001923C7" w:rsidRPr="00D33A45">
        <w:rPr>
          <w:sz w:val="24"/>
          <w:szCs w:val="24"/>
          <w:lang w:val="zh-CN" w:eastAsia="zh-CN"/>
        </w:rPr>
        <w:t>可以储存的汞或汞化合物的数量。在某些司法管辖区中，不管汞的数量</w:t>
      </w:r>
      <w:r w:rsidRPr="00D33A45">
        <w:rPr>
          <w:sz w:val="24"/>
          <w:szCs w:val="24"/>
          <w:lang w:val="zh-CN" w:eastAsia="zh-CN"/>
        </w:rPr>
        <w:t>多少</w:t>
      </w:r>
      <w:r w:rsidR="001923C7" w:rsidRPr="00D33A45">
        <w:rPr>
          <w:sz w:val="24"/>
          <w:szCs w:val="24"/>
          <w:lang w:val="zh-CN" w:eastAsia="zh-CN"/>
        </w:rPr>
        <w:t>，</w:t>
      </w:r>
      <w:r w:rsidRPr="00D33A45">
        <w:rPr>
          <w:sz w:val="24"/>
          <w:szCs w:val="24"/>
          <w:lang w:val="zh-CN" w:eastAsia="zh-CN"/>
        </w:rPr>
        <w:t>都</w:t>
      </w:r>
      <w:r w:rsidR="001923C7" w:rsidRPr="00D33A45">
        <w:rPr>
          <w:sz w:val="24"/>
          <w:szCs w:val="24"/>
          <w:lang w:val="zh-CN" w:eastAsia="zh-CN"/>
        </w:rPr>
        <w:t>要</w:t>
      </w:r>
      <w:r w:rsidRPr="00D33A45">
        <w:rPr>
          <w:sz w:val="24"/>
          <w:szCs w:val="24"/>
          <w:lang w:val="zh-CN" w:eastAsia="zh-CN"/>
        </w:rPr>
        <w:t>适用相同的国家监管措施，但在其他司法管辖区中，视储存的数量多少，适用不同的规则和标准。人们认识到，可能需要根据具体场地的要求灵活适用</w:t>
      </w:r>
      <w:r w:rsidR="001923C7" w:rsidRPr="00D33A45">
        <w:rPr>
          <w:sz w:val="24"/>
          <w:szCs w:val="24"/>
          <w:lang w:val="zh-CN" w:eastAsia="zh-CN"/>
        </w:rPr>
        <w:t>本</w:t>
      </w:r>
      <w:r w:rsidRPr="00D33A45">
        <w:rPr>
          <w:sz w:val="24"/>
          <w:szCs w:val="24"/>
          <w:lang w:val="zh-CN" w:eastAsia="zh-CN"/>
        </w:rPr>
        <w:t>指导准则。《公约》关于汞的供应来源和贸易的第</w:t>
      </w:r>
      <w:r w:rsidRPr="00D33A45">
        <w:rPr>
          <w:sz w:val="24"/>
          <w:szCs w:val="24"/>
          <w:lang w:val="zh-CN" w:eastAsia="zh-CN"/>
        </w:rPr>
        <w:t>3</w:t>
      </w:r>
      <w:r w:rsidRPr="00D33A45">
        <w:rPr>
          <w:sz w:val="24"/>
          <w:szCs w:val="24"/>
          <w:lang w:val="zh-CN" w:eastAsia="zh-CN"/>
        </w:rPr>
        <w:t>条规定，各缔约方均应当努力逐个查明位于其领土内的</w:t>
      </w:r>
      <w:r w:rsidRPr="00D33A45">
        <w:rPr>
          <w:sz w:val="24"/>
          <w:szCs w:val="24"/>
          <w:lang w:val="zh-CN" w:eastAsia="zh-CN"/>
        </w:rPr>
        <w:t>50</w:t>
      </w:r>
      <w:r w:rsidRPr="00D33A45">
        <w:rPr>
          <w:sz w:val="24"/>
          <w:szCs w:val="24"/>
          <w:lang w:val="zh-CN" w:eastAsia="zh-CN"/>
        </w:rPr>
        <w:t>公吨以上的汞或汞化合物库存以及那些每年超过</w:t>
      </w:r>
      <w:r w:rsidRPr="00D33A45">
        <w:rPr>
          <w:sz w:val="24"/>
          <w:szCs w:val="24"/>
          <w:lang w:val="zh-CN" w:eastAsia="zh-CN"/>
        </w:rPr>
        <w:t>10</w:t>
      </w:r>
      <w:r w:rsidRPr="00D33A45">
        <w:rPr>
          <w:sz w:val="24"/>
          <w:szCs w:val="24"/>
          <w:lang w:val="zh-CN" w:eastAsia="zh-CN"/>
        </w:rPr>
        <w:t>公吨的汞供应来源。缔约方会议第一次会议通过的另一份指导意见中有关于查明此类库存和供应来源的指导意见</w:t>
      </w:r>
      <w:r w:rsidR="001D75E2">
        <w:rPr>
          <w:sz w:val="24"/>
          <w:szCs w:val="24"/>
          <w:lang w:val="zh-CN" w:eastAsia="zh-CN"/>
        </w:rPr>
        <w:br/>
      </w:r>
      <w:r w:rsidRPr="00D33A45">
        <w:rPr>
          <w:sz w:val="24"/>
          <w:szCs w:val="24"/>
          <w:lang w:val="zh-CN" w:eastAsia="zh-CN"/>
        </w:rPr>
        <w:t>（环境署，</w:t>
      </w:r>
      <w:r w:rsidRPr="00D33A45">
        <w:rPr>
          <w:sz w:val="24"/>
          <w:szCs w:val="24"/>
          <w:lang w:val="zh-CN" w:eastAsia="zh-CN"/>
        </w:rPr>
        <w:t>2017</w:t>
      </w:r>
      <w:r w:rsidR="001923C7" w:rsidRPr="00D33A45">
        <w:rPr>
          <w:sz w:val="24"/>
          <w:szCs w:val="24"/>
          <w:lang w:val="zh-CN" w:eastAsia="zh-CN"/>
        </w:rPr>
        <w:t>年</w:t>
      </w:r>
      <w:r w:rsidRPr="00D33A45">
        <w:rPr>
          <w:sz w:val="24"/>
          <w:szCs w:val="24"/>
          <w:lang w:val="zh-CN" w:eastAsia="zh-CN"/>
        </w:rPr>
        <w:t xml:space="preserve"> b</w:t>
      </w:r>
      <w:r w:rsidR="001923C7" w:rsidRPr="00D33A45">
        <w:rPr>
          <w:sz w:val="24"/>
          <w:szCs w:val="24"/>
          <w:lang w:val="zh-CN" w:eastAsia="zh-CN"/>
        </w:rPr>
        <w:t>）。汞和汞</w:t>
      </w:r>
      <w:r w:rsidRPr="00D33A45">
        <w:rPr>
          <w:sz w:val="24"/>
          <w:szCs w:val="24"/>
          <w:lang w:val="zh-CN" w:eastAsia="zh-CN"/>
        </w:rPr>
        <w:t>化合物的预计储存数量应与汞的预期用途和缔约方认为满足根据《公约》开展的国内活动的需求所需要的数量相称，无论这些活动是否包括在允许添加汞的产品中使用、采用使用汞的工艺流程，或在手工和小规模金矿开采业中使用汞。</w:t>
      </w:r>
    </w:p>
    <w:p w14:paraId="606FF6C5" w14:textId="085BE1D5"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lastRenderedPageBreak/>
        <w:t>在手工和小规模金矿开采业中，汞和汞化合物的储存量应与基线库存相称，在需要时，也应符合《公约》第</w:t>
      </w:r>
      <w:r w:rsidRPr="00D33A45">
        <w:rPr>
          <w:sz w:val="24"/>
          <w:szCs w:val="24"/>
          <w:lang w:val="zh-CN" w:eastAsia="zh-CN"/>
        </w:rPr>
        <w:t>7</w:t>
      </w:r>
      <w:r w:rsidRPr="00D33A45">
        <w:rPr>
          <w:sz w:val="24"/>
          <w:szCs w:val="24"/>
          <w:lang w:val="zh-CN" w:eastAsia="zh-CN"/>
        </w:rPr>
        <w:t>条所述国家行动计划规定的减少储存量的活动和目标。国家行动计划还可论述手工和小规模金矿开采的活动和场地如何（在考虑到本指导准则的情况下）履行第</w:t>
      </w:r>
      <w:r w:rsidRPr="00D33A45">
        <w:rPr>
          <w:sz w:val="24"/>
          <w:szCs w:val="24"/>
          <w:lang w:val="zh-CN" w:eastAsia="zh-CN"/>
        </w:rPr>
        <w:t>10</w:t>
      </w:r>
      <w:r w:rsidRPr="00D33A45">
        <w:rPr>
          <w:sz w:val="24"/>
          <w:szCs w:val="24"/>
          <w:lang w:val="zh-CN" w:eastAsia="zh-CN"/>
        </w:rPr>
        <w:t>条规定的储存义务。工发组织关于手工和小规模金矿开采业汞管理的技术准则（工发组织，</w:t>
      </w:r>
      <w:r w:rsidRPr="00D33A45">
        <w:rPr>
          <w:sz w:val="24"/>
          <w:szCs w:val="24"/>
          <w:lang w:val="zh-CN" w:eastAsia="zh-CN"/>
        </w:rPr>
        <w:t>2008</w:t>
      </w:r>
      <w:r w:rsidRPr="00D33A45">
        <w:rPr>
          <w:sz w:val="24"/>
          <w:szCs w:val="24"/>
          <w:lang w:val="zh-CN" w:eastAsia="zh-CN"/>
        </w:rPr>
        <w:t>年）建议，单质汞（有时称为金属汞）不使用时要随时用有防止汞挥发的涂层的密封容器</w:t>
      </w:r>
      <w:r w:rsidR="001923C7" w:rsidRPr="00D33A45">
        <w:rPr>
          <w:sz w:val="24"/>
          <w:szCs w:val="24"/>
          <w:lang w:val="zh-CN" w:eastAsia="zh-CN"/>
        </w:rPr>
        <w:t>，</w:t>
      </w:r>
      <w:r w:rsidRPr="00D33A45">
        <w:rPr>
          <w:sz w:val="24"/>
          <w:szCs w:val="24"/>
          <w:lang w:val="zh-CN" w:eastAsia="zh-CN"/>
        </w:rPr>
        <w:t>安全存放在儿童无法进入的安全地点，汞不得存放在住家中。正在制订手工和小规模金矿开采业国家行动计划的国家应参考关于这一议题的指导意见（环境署，</w:t>
      </w:r>
      <w:r w:rsidRPr="00D33A45">
        <w:rPr>
          <w:sz w:val="24"/>
          <w:szCs w:val="24"/>
          <w:lang w:val="zh-CN" w:eastAsia="zh-CN"/>
        </w:rPr>
        <w:t>2017</w:t>
      </w:r>
      <w:r w:rsidRPr="00D33A45">
        <w:rPr>
          <w:sz w:val="24"/>
          <w:szCs w:val="24"/>
          <w:lang w:val="zh-CN" w:eastAsia="zh-CN"/>
        </w:rPr>
        <w:t>年</w:t>
      </w:r>
      <w:r w:rsidRPr="00D33A45">
        <w:rPr>
          <w:sz w:val="24"/>
          <w:szCs w:val="24"/>
          <w:lang w:val="zh-CN" w:eastAsia="zh-CN"/>
        </w:rPr>
        <w:t>a</w:t>
      </w:r>
      <w:r w:rsidRPr="00D33A45">
        <w:rPr>
          <w:sz w:val="24"/>
          <w:szCs w:val="24"/>
          <w:lang w:val="zh-CN" w:eastAsia="zh-CN"/>
        </w:rPr>
        <w:t>）。如汞是作为副产品产生的（如在采矿过程中），可用数量可能与拟使用的数量没有直接关系，但在确定是进行使用还是处置前，可将其存放在临时储存处。</w:t>
      </w:r>
    </w:p>
    <w:p w14:paraId="425ACF50"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本准则的某些规定可能不适用于汞或汞化合物数量相对较小的临时储存。例如，第四（</w:t>
      </w:r>
      <w:r w:rsidRPr="00D33A45">
        <w:rPr>
          <w:sz w:val="24"/>
          <w:szCs w:val="24"/>
          <w:lang w:val="zh-CN" w:eastAsia="zh-CN"/>
        </w:rPr>
        <w:t>A</w:t>
      </w:r>
      <w:r w:rsidRPr="00D33A45">
        <w:rPr>
          <w:sz w:val="24"/>
          <w:szCs w:val="24"/>
          <w:lang w:val="zh-CN" w:eastAsia="zh-CN"/>
        </w:rPr>
        <w:t>）和四（</w:t>
      </w:r>
      <w:r w:rsidRPr="00D33A45">
        <w:rPr>
          <w:sz w:val="24"/>
          <w:szCs w:val="24"/>
          <w:lang w:val="zh-CN" w:eastAsia="zh-CN"/>
        </w:rPr>
        <w:t>B</w:t>
      </w:r>
      <w:r w:rsidRPr="00D33A45">
        <w:rPr>
          <w:sz w:val="24"/>
          <w:szCs w:val="24"/>
          <w:lang w:val="zh-CN" w:eastAsia="zh-CN"/>
        </w:rPr>
        <w:t>）节与专用储存设施密切相关，但可能并不完全适用于大工厂内的小储存区。任何缔约方均可自行酌情对这些小储存区适用指导准则的相关部分。</w:t>
      </w:r>
    </w:p>
    <w:p w14:paraId="30D0118C" w14:textId="299E8D82" w:rsidR="0009682F" w:rsidRPr="00D33A45" w:rsidRDefault="0009682F" w:rsidP="00D33A45">
      <w:pPr>
        <w:pStyle w:val="CH1"/>
        <w:numPr>
          <w:ilvl w:val="0"/>
          <w:numId w:val="47"/>
        </w:numPr>
        <w:ind w:left="1151" w:hanging="584"/>
        <w:rPr>
          <w:rFonts w:ascii="SimHei" w:eastAsia="SimHei" w:hAnsi="SimHei"/>
          <w:bCs/>
          <w:szCs w:val="22"/>
          <w:lang w:val="zh-CN" w:eastAsia="zh-CN"/>
        </w:rPr>
      </w:pPr>
      <w:r w:rsidRPr="00D33A45">
        <w:rPr>
          <w:bCs/>
          <w:szCs w:val="22"/>
          <w:lang w:val="zh-CN" w:eastAsia="zh-CN"/>
        </w:rPr>
        <w:tab/>
      </w:r>
      <w:bookmarkStart w:id="14" w:name="_Toc526252798"/>
      <w:r w:rsidRPr="00D33A45">
        <w:rPr>
          <w:rFonts w:ascii="SimHei" w:eastAsia="SimHei" w:hAnsi="SimHei"/>
          <w:bCs/>
          <w:szCs w:val="22"/>
          <w:lang w:val="zh-CN" w:eastAsia="zh-CN"/>
        </w:rPr>
        <w:t>总体管理</w:t>
      </w:r>
      <w:bookmarkStart w:id="15" w:name="_Toc520380778"/>
      <w:bookmarkEnd w:id="14"/>
      <w:bookmarkEnd w:id="15"/>
    </w:p>
    <w:p w14:paraId="393DE766" w14:textId="6384D9A2"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为处理以无害环境方式管理储存在其领土内的危险物质的问题，缔约方不妨制定和实施环境、劳工和保健等相关行业商定的化学品管理计划。这些计划可包括立法、规章、政策、与工业界的协议、商定的标准或</w:t>
      </w:r>
      <w:r w:rsidR="00981FFC" w:rsidRPr="00D33A45">
        <w:rPr>
          <w:sz w:val="24"/>
          <w:szCs w:val="24"/>
          <w:lang w:val="zh-CN" w:eastAsia="zh-CN"/>
        </w:rPr>
        <w:t>数项兼而有之</w:t>
      </w:r>
      <w:r w:rsidRPr="00D33A45">
        <w:rPr>
          <w:sz w:val="24"/>
          <w:szCs w:val="24"/>
          <w:lang w:val="zh-CN" w:eastAsia="zh-CN"/>
        </w:rPr>
        <w:t>，或其他管理机制。这些管理计划应列入按《公约》第</w:t>
      </w:r>
      <w:r w:rsidRPr="00D33A45">
        <w:rPr>
          <w:sz w:val="24"/>
          <w:szCs w:val="24"/>
          <w:lang w:val="zh-CN" w:eastAsia="zh-CN"/>
        </w:rPr>
        <w:t>10</w:t>
      </w:r>
      <w:r w:rsidRPr="00D33A45">
        <w:rPr>
          <w:sz w:val="24"/>
          <w:szCs w:val="24"/>
          <w:lang w:val="zh-CN" w:eastAsia="zh-CN"/>
        </w:rPr>
        <w:t>条进行的汞和汞化合物储存工作。为了解汞和汞化合物临时储存方面的需求，缔约方宜在规划执行活动期间查明存放在领土内的汞和汞化合物，大致了解每个场地存放的汞和汞化合物的数量，以便于进行安全和适当的储存。此类信息也有助于制定适当的安全措施和进行监管检查，并有助于制定应急计划。</w:t>
      </w:r>
    </w:p>
    <w:p w14:paraId="16E30F18" w14:textId="6FF5F35E"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具体就汞或汞化合物而言，国家汞清单可为《水俣公约》执行工作的各个方面提供有用的信息。如上所述，《公约》第</w:t>
      </w:r>
      <w:r w:rsidRPr="00D33A45">
        <w:rPr>
          <w:sz w:val="24"/>
          <w:szCs w:val="24"/>
          <w:lang w:val="zh-CN" w:eastAsia="zh-CN"/>
        </w:rPr>
        <w:t>3</w:t>
      </w:r>
      <w:r w:rsidRPr="00D33A45">
        <w:rPr>
          <w:sz w:val="24"/>
          <w:szCs w:val="24"/>
          <w:lang w:val="zh-CN" w:eastAsia="zh-CN"/>
        </w:rPr>
        <w:t>条要求各缔约方努力逐个查明位于其领土内的</w:t>
      </w:r>
      <w:r w:rsidRPr="00D33A45">
        <w:rPr>
          <w:sz w:val="24"/>
          <w:szCs w:val="24"/>
          <w:lang w:val="zh-CN" w:eastAsia="zh-CN"/>
        </w:rPr>
        <w:t>50</w:t>
      </w:r>
      <w:r w:rsidRPr="00D33A45">
        <w:rPr>
          <w:sz w:val="24"/>
          <w:szCs w:val="24"/>
          <w:lang w:val="zh-CN" w:eastAsia="zh-CN"/>
        </w:rPr>
        <w:t>公吨以上的汞或汞化合物库存以及那些每年超过</w:t>
      </w:r>
      <w:r w:rsidRPr="00D33A45">
        <w:rPr>
          <w:sz w:val="24"/>
          <w:szCs w:val="24"/>
          <w:lang w:val="zh-CN" w:eastAsia="zh-CN"/>
        </w:rPr>
        <w:t>10</w:t>
      </w:r>
      <w:r w:rsidRPr="00D33A45">
        <w:rPr>
          <w:sz w:val="24"/>
          <w:szCs w:val="24"/>
          <w:lang w:val="zh-CN" w:eastAsia="zh-CN"/>
        </w:rPr>
        <w:t>公吨的汞供应来源。作为汞的总体管理的一部分，缔约方还宜查明较小的汞和汞化合物库存，并将其列入国家清单（如果有清单的话）。还建议在有效和可行时，尽可能将本文件中的指导意见适用于这些较小的库存或供应。查明领土内汞的用途有助于缔约方估算需要进行储存的汞的数量。应当指出，虽然并不总是知道储存的汞的预定用途，但应努力确定和记录</w:t>
      </w:r>
      <w:r w:rsidR="00981FFC" w:rsidRPr="00D33A45">
        <w:rPr>
          <w:sz w:val="24"/>
          <w:szCs w:val="24"/>
          <w:lang w:val="zh-CN" w:eastAsia="zh-CN"/>
        </w:rPr>
        <w:t>所</w:t>
      </w:r>
      <w:r w:rsidRPr="00D33A45">
        <w:rPr>
          <w:sz w:val="24"/>
          <w:szCs w:val="24"/>
          <w:lang w:val="zh-CN" w:eastAsia="zh-CN"/>
        </w:rPr>
        <w:t>储存的汞的预期用途，以确保它不会用于《公约》不允许的用途。除了各国采用的方法外，联合国环境规划署（环境规划署）的汞排放识别与定量工具包（环境署，</w:t>
      </w:r>
      <w:r w:rsidRPr="00D33A45">
        <w:rPr>
          <w:sz w:val="24"/>
          <w:szCs w:val="24"/>
          <w:lang w:val="zh-CN" w:eastAsia="zh-CN"/>
        </w:rPr>
        <w:t>2017</w:t>
      </w:r>
      <w:r w:rsidRPr="00D33A45">
        <w:rPr>
          <w:sz w:val="24"/>
          <w:szCs w:val="24"/>
          <w:lang w:val="zh-CN" w:eastAsia="zh-CN"/>
        </w:rPr>
        <w:t>年</w:t>
      </w:r>
      <w:r w:rsidRPr="00D33A45">
        <w:rPr>
          <w:sz w:val="24"/>
          <w:szCs w:val="24"/>
          <w:lang w:val="zh-CN" w:eastAsia="zh-CN"/>
        </w:rPr>
        <w:t>c</w:t>
      </w:r>
      <w:r w:rsidRPr="00D33A45">
        <w:rPr>
          <w:sz w:val="24"/>
          <w:szCs w:val="24"/>
          <w:lang w:val="zh-CN" w:eastAsia="zh-CN"/>
        </w:rPr>
        <w:t>）也为缔约方提供了更多的资源和信息。虽然工具包主要是用于评估汞排放和释放的，但它也是一个关于汞和汞化合物用途的信息来源，可能对各国有用。</w:t>
      </w:r>
    </w:p>
    <w:p w14:paraId="1FC6D9CC"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可利用缔约方大会第一次会议通过的关于查明库存的指导意见来建立国家一级的信息登记簿，协助进行安全检查和监管检查，以及制定符合国家条例或立法的应急计划。至少需要为获准临时储存汞的场地建立一个登记簿，以确保以无害环境方式进行储存。</w:t>
      </w:r>
    </w:p>
    <w:p w14:paraId="2A9E24ED" w14:textId="5FDCFAD2" w:rsidR="0009682F" w:rsidRPr="00D33A45" w:rsidRDefault="0009682F" w:rsidP="00D33A45">
      <w:pPr>
        <w:pStyle w:val="CH1"/>
        <w:numPr>
          <w:ilvl w:val="0"/>
          <w:numId w:val="47"/>
        </w:numPr>
        <w:ind w:left="1151" w:hanging="584"/>
        <w:rPr>
          <w:bCs/>
          <w:szCs w:val="22"/>
          <w:lang w:val="zh-CN" w:eastAsia="zh-CN"/>
        </w:rPr>
      </w:pPr>
      <w:r w:rsidRPr="00D33A45">
        <w:rPr>
          <w:lang w:val="en-US" w:eastAsia="zh-CN"/>
        </w:rPr>
        <w:lastRenderedPageBreak/>
        <w:tab/>
      </w:r>
      <w:bookmarkStart w:id="16" w:name="_Toc526252799"/>
      <w:r w:rsidRPr="00D33A45">
        <w:rPr>
          <w:rFonts w:ascii="SimHei" w:eastAsia="SimHei" w:hAnsi="SimHei"/>
          <w:bCs/>
          <w:szCs w:val="22"/>
          <w:lang w:val="zh-CN" w:eastAsia="zh-CN"/>
        </w:rPr>
        <w:t>无害环境的临时储存</w:t>
      </w:r>
      <w:bookmarkStart w:id="17" w:name="_Toc520380779"/>
      <w:bookmarkEnd w:id="16"/>
      <w:bookmarkEnd w:id="17"/>
    </w:p>
    <w:p w14:paraId="0FFB6C52" w14:textId="5579FE1C" w:rsidR="0009682F" w:rsidRPr="00D33A45" w:rsidRDefault="0009682F" w:rsidP="00D33A45">
      <w:pPr>
        <w:pStyle w:val="CH2"/>
        <w:jc w:val="both"/>
        <w:rPr>
          <w:rFonts w:ascii="SimHei" w:eastAsia="SimHei" w:hAnsi="SimHei"/>
          <w:lang w:eastAsia="zh-CN"/>
        </w:rPr>
      </w:pPr>
      <w:r w:rsidRPr="00D33A45">
        <w:rPr>
          <w:lang w:val="en-US" w:eastAsia="zh-CN"/>
        </w:rPr>
        <w:tab/>
      </w:r>
      <w:bookmarkStart w:id="18" w:name="_Toc526252800"/>
      <w:r w:rsidRPr="00D33A45">
        <w:rPr>
          <w:lang w:val="zh-CN" w:eastAsia="zh-CN"/>
        </w:rPr>
        <w:t>A.</w:t>
      </w:r>
      <w:r w:rsidRPr="00D33A45">
        <w:rPr>
          <w:lang w:val="zh-CN" w:eastAsia="zh-CN"/>
        </w:rPr>
        <w:tab/>
      </w:r>
      <w:r w:rsidRPr="00D33A45">
        <w:rPr>
          <w:rFonts w:ascii="SimHei" w:eastAsia="SimHei" w:hAnsi="SimHei"/>
          <w:lang w:val="zh-CN" w:eastAsia="zh-CN"/>
        </w:rPr>
        <w:t>地点</w:t>
      </w:r>
      <w:bookmarkStart w:id="19" w:name="_Toc520380780"/>
      <w:bookmarkEnd w:id="18"/>
      <w:bookmarkEnd w:id="19"/>
    </w:p>
    <w:p w14:paraId="3B773F8F" w14:textId="77777777" w:rsidR="0009682F" w:rsidRPr="00D33A45" w:rsidRDefault="0009682F" w:rsidP="00D33A45">
      <w:pPr>
        <w:pStyle w:val="Normalnumber"/>
        <w:keepNext/>
        <w:keepLines/>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在为储存设施选址时，应考虑到一系列环境、技术和社会因素。因此，应进行环境影响评估以及社会、法律和经济评估，以确定最佳的可用场所。</w:t>
      </w:r>
    </w:p>
    <w:p w14:paraId="68CE2C82"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储存设施的选址应参考各种标准，包括但不限于地质、水文、水文地质、生物、生态、气象和政治标准。储存设施应：</w:t>
      </w:r>
    </w:p>
    <w:p w14:paraId="488E7614" w14:textId="77777777" w:rsidR="0009682F" w:rsidRPr="00D33A45" w:rsidRDefault="0009682F" w:rsidP="00D33A45">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位于无永久冻土的区域，或位于解冻稳定的永久冻土层上，以避免解冻对设施的基础设施产生影响，特别是在气候变暖的情况下；</w:t>
      </w:r>
    </w:p>
    <w:p w14:paraId="1C54CAF7" w14:textId="1F948C83" w:rsidR="0009682F" w:rsidRPr="00D33A45" w:rsidRDefault="0009682F" w:rsidP="00D33A45">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远离地质不稳定区域，例如地震活跃地区，以防止设施的基础设施受损，或</w:t>
      </w:r>
      <w:r w:rsidR="00480FA3" w:rsidRPr="00D33A45">
        <w:rPr>
          <w:sz w:val="24"/>
          <w:szCs w:val="24"/>
          <w:lang w:val="zh-CN" w:eastAsia="zh-CN"/>
        </w:rPr>
        <w:t>位于</w:t>
      </w:r>
      <w:r w:rsidRPr="00D33A45">
        <w:rPr>
          <w:sz w:val="24"/>
          <w:szCs w:val="24"/>
          <w:lang w:val="zh-CN" w:eastAsia="zh-CN"/>
        </w:rPr>
        <w:t>有关系统可以承受地震预期负荷的地方；</w:t>
      </w:r>
    </w:p>
    <w:p w14:paraId="7BFB1635" w14:textId="77777777" w:rsidR="0009682F" w:rsidRPr="00D33A45" w:rsidRDefault="0009682F" w:rsidP="00D33A45">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尽可能地远离有敏感动植物、包括受威胁或濒临危险物种的环境敏感地区；</w:t>
      </w:r>
    </w:p>
    <w:p w14:paraId="6A8FDD19" w14:textId="47F36FDC" w:rsidR="0009682F" w:rsidRPr="00D33A45" w:rsidRDefault="0009682F" w:rsidP="00D33A45">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远离敏感地点，例如洪泛平原、水道、地下含水层和湿地；</w:t>
      </w:r>
    </w:p>
    <w:p w14:paraId="2C21ED03" w14:textId="77777777" w:rsidR="0009682F" w:rsidRPr="00D33A45" w:rsidRDefault="0009682F" w:rsidP="00D33A45">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在可行时，远离受武装冲突影响的地区。</w:t>
      </w:r>
    </w:p>
    <w:p w14:paraId="2C8E5944"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但是，如果另外采取工程措施确保存储设施能够承受场地各种限制因素的影响并满足技术设计和法律的要求，可以不适用上述规定。</w:t>
      </w:r>
    </w:p>
    <w:p w14:paraId="6C0362FD"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在为新的储存场地选址时，应考虑到国内的规定，包括分区规定（包括储存设施远离居住区）或其他土地使用限制。</w:t>
      </w:r>
    </w:p>
    <w:p w14:paraId="58F96338" w14:textId="73F0A9F4"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建议安排</w:t>
      </w:r>
      <w:r w:rsidR="00480FA3" w:rsidRPr="00D33A45">
        <w:rPr>
          <w:sz w:val="24"/>
          <w:szCs w:val="24"/>
          <w:lang w:val="zh-CN" w:eastAsia="zh-CN"/>
        </w:rPr>
        <w:t>公众</w:t>
      </w:r>
      <w:r w:rsidRPr="00D33A45">
        <w:rPr>
          <w:sz w:val="24"/>
          <w:szCs w:val="24"/>
          <w:lang w:val="zh-CN" w:eastAsia="zh-CN"/>
        </w:rPr>
        <w:t>咨询，向当地社区通报选址标准和减轻储存汞或汞化合物对人类健康和环境的潜在风险的程序，包括发生事故时使用的应急计划。在某些司法管辖区内，公共咨询流程可能要遵守特定的法律或条例。</w:t>
      </w:r>
    </w:p>
    <w:p w14:paraId="726036FA"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在评估汞和汞化合物储存场地时，国家考虑可能导致采用些某标准并把它们作为</w:t>
      </w:r>
      <w:r w:rsidRPr="001C174F">
        <w:rPr>
          <w:rFonts w:ascii="SimSun" w:hAnsi="SimSun"/>
          <w:sz w:val="24"/>
          <w:szCs w:val="24"/>
          <w:lang w:val="zh-CN" w:eastAsia="zh-CN"/>
        </w:rPr>
        <w:t>“排除标准”。</w:t>
      </w:r>
      <w:r w:rsidRPr="00D33A45">
        <w:rPr>
          <w:sz w:val="24"/>
          <w:szCs w:val="24"/>
          <w:lang w:val="zh-CN" w:eastAsia="zh-CN"/>
        </w:rPr>
        <w:t>例如，某些因素的出现会排除使用某个场地的可能性。其他国家标准可以是积极或消极的，但它们不是将某个场地排除在外的决定因素。在评估不同标准的重要性时，可从国家的角度审视情况，包括确定可以接受的风险。特定标准的权重也可能与场地对储存稳定性的影响有关。因此，应仔细考虑场地位置以及影响场地挑选的其他因素，例如汞或汞化合物的预期储存量或现有的用于安全管理汞或汞化合物的控制措施。</w:t>
      </w:r>
    </w:p>
    <w:p w14:paraId="702A1AA4" w14:textId="6C6845A0"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在考虑汞和汞化合物的储存场地时，可以考虑是否需要有国家储存场地，或者是否可以在用于公约允许一些国家使用的用途前，将汞和汞化合物</w:t>
      </w:r>
      <w:r w:rsidR="000B4DA4" w:rsidRPr="00D33A45">
        <w:rPr>
          <w:sz w:val="24"/>
          <w:szCs w:val="24"/>
          <w:lang w:val="zh-CN" w:eastAsia="zh-CN"/>
        </w:rPr>
        <w:t>储存</w:t>
      </w:r>
      <w:r w:rsidRPr="00D33A45">
        <w:rPr>
          <w:sz w:val="24"/>
          <w:szCs w:val="24"/>
          <w:lang w:val="zh-CN" w:eastAsia="zh-CN"/>
        </w:rPr>
        <w:t>在一个集中储存设施中。这在一些设施在同一地理区域但在不同国家时相关性最强。</w:t>
      </w:r>
    </w:p>
    <w:p w14:paraId="1A4CEF4E" w14:textId="7E991BA6"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此类设施可设在进口地点附近，以便最大限度减少运输需求。场地应有适当的出入通道，以便于接收汞和汞化合物和将其运出使用。应考虑可能影响场地或设施安全的因素。在使用汞或汞化合物的私有设施中，应考虑设施内部储存汞和汞化合物的实际地点，包括</w:t>
      </w:r>
      <w:r w:rsidR="00E11F48" w:rsidRPr="00D33A45">
        <w:rPr>
          <w:sz w:val="24"/>
          <w:szCs w:val="24"/>
          <w:lang w:val="zh-CN" w:eastAsia="zh-CN"/>
        </w:rPr>
        <w:t>搬运</w:t>
      </w:r>
      <w:r w:rsidRPr="00D33A45">
        <w:rPr>
          <w:sz w:val="24"/>
          <w:szCs w:val="24"/>
          <w:lang w:val="zh-CN" w:eastAsia="zh-CN"/>
        </w:rPr>
        <w:t>汞或汞化合物的便利程度。还应考虑场地的安全。</w:t>
      </w:r>
    </w:p>
    <w:p w14:paraId="14854234" w14:textId="44166425" w:rsidR="0009682F" w:rsidRPr="00D33A45" w:rsidRDefault="0009682F" w:rsidP="00D33A45">
      <w:pPr>
        <w:pStyle w:val="CH2"/>
        <w:jc w:val="both"/>
        <w:rPr>
          <w:lang w:eastAsia="zh-CN"/>
        </w:rPr>
      </w:pPr>
      <w:r w:rsidRPr="00D33A45">
        <w:rPr>
          <w:lang w:val="en-US" w:eastAsia="zh-CN"/>
        </w:rPr>
        <w:lastRenderedPageBreak/>
        <w:tab/>
      </w:r>
      <w:bookmarkStart w:id="20" w:name="_Toc526252801"/>
      <w:r w:rsidRPr="00D33A45">
        <w:rPr>
          <w:lang w:val="zh-CN" w:eastAsia="zh-CN"/>
        </w:rPr>
        <w:t>B.</w:t>
      </w:r>
      <w:r w:rsidRPr="00D33A45">
        <w:rPr>
          <w:rFonts w:ascii="SimHei" w:eastAsia="SimHei" w:hAnsi="SimHei"/>
          <w:lang w:val="zh-CN" w:eastAsia="zh-CN"/>
        </w:rPr>
        <w:tab/>
        <w:t>建造临时储存设施，包括设置屏障</w:t>
      </w:r>
      <w:bookmarkStart w:id="21" w:name="_Toc520380781"/>
      <w:bookmarkEnd w:id="20"/>
      <w:bookmarkEnd w:id="21"/>
    </w:p>
    <w:p w14:paraId="57498793" w14:textId="54F7AA62"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该有立法和监管框架，确保临时储存汞或汞化合物的设施充分保护人类健康和环境。应该有对临时储存设施的设计、运行和关闭作出详细规定的法律。储存设施应有一定的密封性，以确保以安全和无害环境的方式临时储存汞和汞化合物（</w:t>
      </w:r>
      <w:r w:rsidR="00CC5F22" w:rsidRPr="00D33A45">
        <w:rPr>
          <w:sz w:val="24"/>
          <w:szCs w:val="24"/>
          <w:lang w:val="zh-CN" w:eastAsia="zh-CN"/>
        </w:rPr>
        <w:t>水银核心小组</w:t>
      </w:r>
      <w:r w:rsidRPr="00D33A45">
        <w:rPr>
          <w:sz w:val="24"/>
          <w:szCs w:val="24"/>
          <w:lang w:val="zh-CN" w:eastAsia="zh-CN"/>
        </w:rPr>
        <w:t>，</w:t>
      </w:r>
      <w:r w:rsidRPr="00D33A45">
        <w:rPr>
          <w:sz w:val="24"/>
          <w:szCs w:val="24"/>
          <w:lang w:val="zh-CN" w:eastAsia="zh-CN"/>
        </w:rPr>
        <w:t>2003</w:t>
      </w:r>
      <w:r w:rsidRPr="00D33A45">
        <w:rPr>
          <w:sz w:val="24"/>
          <w:szCs w:val="24"/>
          <w:lang w:val="zh-CN" w:eastAsia="zh-CN"/>
        </w:rPr>
        <w:t>年）。应仔细考虑保护土壤、地下水和地表水的问题，特别是在建造储存大量汞和汞化合物的设施时。可通过</w:t>
      </w:r>
      <w:r w:rsidR="00E11F48" w:rsidRPr="00D33A45">
        <w:rPr>
          <w:sz w:val="24"/>
          <w:szCs w:val="24"/>
          <w:lang w:val="zh-CN" w:eastAsia="zh-CN"/>
        </w:rPr>
        <w:t>综合</w:t>
      </w:r>
      <w:r w:rsidRPr="00D33A45">
        <w:rPr>
          <w:sz w:val="24"/>
          <w:szCs w:val="24"/>
          <w:lang w:val="zh-CN" w:eastAsia="zh-CN"/>
        </w:rPr>
        <w:t>使用地质屏障与其他防渗透屏障来实现这种保护。例如，欧洲联盟的一个指令要求储存设施有足以保护环境不受汞排放影响的人造或天然屏障，并有</w:t>
      </w:r>
      <w:r w:rsidR="00E11F48" w:rsidRPr="00D33A45">
        <w:rPr>
          <w:sz w:val="24"/>
          <w:szCs w:val="24"/>
          <w:lang w:val="zh-CN" w:eastAsia="zh-CN"/>
        </w:rPr>
        <w:t>可以</w:t>
      </w:r>
      <w:r w:rsidRPr="00D33A45">
        <w:rPr>
          <w:sz w:val="24"/>
          <w:szCs w:val="24"/>
          <w:lang w:val="zh-CN" w:eastAsia="zh-CN"/>
        </w:rPr>
        <w:t>容纳汞储存总量的足够容量（欧盟，</w:t>
      </w:r>
      <w:r w:rsidRPr="00D33A45">
        <w:rPr>
          <w:sz w:val="24"/>
          <w:szCs w:val="24"/>
          <w:lang w:val="zh-CN" w:eastAsia="zh-CN"/>
        </w:rPr>
        <w:t>2011</w:t>
      </w:r>
      <w:r w:rsidRPr="00D33A45">
        <w:rPr>
          <w:sz w:val="24"/>
          <w:szCs w:val="24"/>
          <w:lang w:val="zh-CN" w:eastAsia="zh-CN"/>
        </w:rPr>
        <w:t>年）。储存场地的开发应根据场地的性质、地质情况和其他项目特定因素以及有关岩土工程原理进行。对于旨在储存少量汞或汞化合物的场地而言，这些因素可能不那么重要。</w:t>
      </w:r>
    </w:p>
    <w:p w14:paraId="3AE30591"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在建造新设施或改造现有设施时，应考虑设施的规模、布局和设计、地面强度要求、表面涂层、管道和下水道、空气流通和通风，以及储存单质汞可接受的温度范围。设施的规模将取决于目前和今后所需要的储存空间和储存方法。</w:t>
      </w:r>
    </w:p>
    <w:p w14:paraId="32596C7C" w14:textId="1C96FAA4"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这些设施的设计应能为</w:t>
      </w:r>
      <w:r w:rsidR="00594ED1" w:rsidRPr="00D33A45">
        <w:rPr>
          <w:sz w:val="24"/>
          <w:szCs w:val="24"/>
          <w:lang w:val="zh-CN" w:eastAsia="zh-CN"/>
        </w:rPr>
        <w:t>容器</w:t>
      </w:r>
      <w:r w:rsidRPr="00D33A45">
        <w:rPr>
          <w:sz w:val="24"/>
          <w:szCs w:val="24"/>
          <w:lang w:val="zh-CN" w:eastAsia="zh-CN"/>
        </w:rPr>
        <w:t>的安全处理提供便利，它们可以设置独立且自成一体的区域，用于</w:t>
      </w:r>
      <w:r w:rsidR="00594ED1" w:rsidRPr="00D33A45">
        <w:rPr>
          <w:sz w:val="24"/>
          <w:szCs w:val="24"/>
          <w:lang w:val="zh-CN" w:eastAsia="zh-CN"/>
        </w:rPr>
        <w:t>容器</w:t>
      </w:r>
      <w:r w:rsidRPr="00D33A45">
        <w:rPr>
          <w:sz w:val="24"/>
          <w:szCs w:val="24"/>
          <w:lang w:val="zh-CN" w:eastAsia="zh-CN"/>
        </w:rPr>
        <w:t>的运输与接收和用于进行包装，因为这些活动最易发生事故和汞和汞化合物的溢漏。在大型汞储存设施中，储存区的通道应足够宽敞，便于检查小组和应急设备通行。应考虑到装卸活动的安全。设施内用于把把汞和汞化合物移入和移出</w:t>
      </w:r>
      <w:r w:rsidR="00594ED1" w:rsidRPr="00D33A45">
        <w:rPr>
          <w:sz w:val="24"/>
          <w:szCs w:val="24"/>
          <w:lang w:val="zh-CN" w:eastAsia="zh-CN"/>
        </w:rPr>
        <w:t>容器</w:t>
      </w:r>
      <w:r w:rsidRPr="00D33A45">
        <w:rPr>
          <w:sz w:val="24"/>
          <w:szCs w:val="24"/>
          <w:lang w:val="zh-CN" w:eastAsia="zh-CN"/>
        </w:rPr>
        <w:t>的装运区应有负压环境，防止汞排放到建筑物外。在把室内空气排放到外面时，缔约方应考虑装运和储存区的汞和汞化合物浓度是否要求用活性炭或其他汞采集系统来进行排气。</w:t>
      </w:r>
    </w:p>
    <w:p w14:paraId="2BA39E99" w14:textId="4FBA0F48"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储存场地应有消防系统（欧盟，</w:t>
      </w:r>
      <w:r w:rsidRPr="00D33A45">
        <w:rPr>
          <w:sz w:val="24"/>
          <w:szCs w:val="24"/>
          <w:lang w:val="zh-CN" w:eastAsia="zh-CN"/>
        </w:rPr>
        <w:t>2011</w:t>
      </w:r>
      <w:r w:rsidRPr="00D33A45">
        <w:rPr>
          <w:sz w:val="24"/>
          <w:szCs w:val="24"/>
          <w:lang w:val="zh-CN" w:eastAsia="zh-CN"/>
        </w:rPr>
        <w:t>年）。应协同当地消防部门制定应急计划，确保相关人员充分了解情况、经过充分</w:t>
      </w:r>
      <w:r w:rsidR="00594ED1" w:rsidRPr="00D33A45">
        <w:rPr>
          <w:sz w:val="24"/>
          <w:szCs w:val="24"/>
          <w:lang w:val="zh-CN" w:eastAsia="zh-CN"/>
        </w:rPr>
        <w:t>的</w:t>
      </w:r>
      <w:r w:rsidRPr="00D33A45">
        <w:rPr>
          <w:sz w:val="24"/>
          <w:szCs w:val="24"/>
          <w:lang w:val="zh-CN" w:eastAsia="zh-CN"/>
        </w:rPr>
        <w:t>培训、有足够的装备和做好安全</w:t>
      </w:r>
      <w:r w:rsidR="00594ED1" w:rsidRPr="00D33A45">
        <w:rPr>
          <w:sz w:val="24"/>
          <w:szCs w:val="24"/>
          <w:lang w:val="zh-CN" w:eastAsia="zh-CN"/>
        </w:rPr>
        <w:t>处理</w:t>
      </w:r>
      <w:r w:rsidRPr="00D33A45">
        <w:rPr>
          <w:sz w:val="24"/>
          <w:szCs w:val="24"/>
          <w:lang w:val="zh-CN" w:eastAsia="zh-CN"/>
        </w:rPr>
        <w:t>设施火灾的准备。为减少火灾风险，设施应当用不燃材料建造，货盘、储物架和其他室内陈设也应使用不燃材料。为进一步最大限度地减少火灾危险，建议在储存设施内用电池驱动的电动叉车运送汞或汞化合物。</w:t>
      </w:r>
    </w:p>
    <w:p w14:paraId="3F082D59" w14:textId="0D0098BD"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可在场地内安装用于排放和收集储存场地排</w:t>
      </w:r>
      <w:r w:rsidR="00594ED1" w:rsidRPr="00D33A45">
        <w:rPr>
          <w:sz w:val="24"/>
          <w:szCs w:val="24"/>
          <w:lang w:val="zh-CN" w:eastAsia="zh-CN"/>
        </w:rPr>
        <w:t>放的</w:t>
      </w:r>
      <w:r w:rsidRPr="00D33A45">
        <w:rPr>
          <w:sz w:val="24"/>
          <w:szCs w:val="24"/>
          <w:lang w:val="zh-CN" w:eastAsia="zh-CN"/>
        </w:rPr>
        <w:t>水的系统，以便对汞进行监测，确保汞和汞化合物没有排放到水系统中。</w:t>
      </w:r>
    </w:p>
    <w:p w14:paraId="37C07A09" w14:textId="61172FB3"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储存设施地面的设计应能承受参照设施实际情况计算出的重量。一个简</w:t>
      </w:r>
      <w:r w:rsidR="00594ED1" w:rsidRPr="00D33A45">
        <w:rPr>
          <w:sz w:val="24"/>
          <w:szCs w:val="24"/>
          <w:lang w:val="zh-CN" w:eastAsia="zh-CN"/>
        </w:rPr>
        <w:t>单的</w:t>
      </w:r>
      <w:r w:rsidRPr="00D33A45">
        <w:rPr>
          <w:sz w:val="24"/>
          <w:szCs w:val="24"/>
          <w:lang w:val="zh-CN" w:eastAsia="zh-CN"/>
        </w:rPr>
        <w:t>方法是设计能够承受超过所储存的汞或汞化合物总重</w:t>
      </w:r>
      <w:r w:rsidRPr="00D33A45">
        <w:rPr>
          <w:sz w:val="24"/>
          <w:szCs w:val="24"/>
          <w:lang w:val="zh-CN" w:eastAsia="zh-CN"/>
        </w:rPr>
        <w:t>50%</w:t>
      </w:r>
      <w:r w:rsidRPr="00D33A45">
        <w:rPr>
          <w:sz w:val="24"/>
          <w:szCs w:val="24"/>
          <w:lang w:val="zh-CN" w:eastAsia="zh-CN"/>
        </w:rPr>
        <w:t>的地面。储存设施的地面不应有任何排水沟或管道。应使用斜坡和有四分之一圆边缘的开放式排水沟来避免汞或汞化合物积存在排水沟盖板下面，并便于收集溢出物。储存设施的地面应涂有环氧树脂基涂层等抗汞材料。地面最好是浅色的，以便于发现滴漏的汞。应经常检查地面及其涂层，确保地面没有裂缝和涂层完好无损。墙壁应用不吸收汞蒸气的材料来建造</w:t>
      </w:r>
      <w:r w:rsidR="00594ED1" w:rsidRPr="00D33A45">
        <w:rPr>
          <w:sz w:val="24"/>
          <w:szCs w:val="24"/>
          <w:lang w:val="zh-CN" w:eastAsia="zh-CN"/>
        </w:rPr>
        <w:t>，</w:t>
      </w:r>
      <w:r w:rsidRPr="00D33A45">
        <w:rPr>
          <w:sz w:val="24"/>
          <w:szCs w:val="24"/>
          <w:lang w:val="zh-CN" w:eastAsia="zh-CN"/>
        </w:rPr>
        <w:t>应避免使用木材</w:t>
      </w:r>
      <w:r w:rsidR="00594ED1" w:rsidRPr="00D33A45">
        <w:rPr>
          <w:sz w:val="24"/>
          <w:szCs w:val="24"/>
          <w:lang w:val="zh-CN" w:eastAsia="zh-CN"/>
        </w:rPr>
        <w:t>一类的</w:t>
      </w:r>
      <w:r w:rsidRPr="00D33A45">
        <w:rPr>
          <w:sz w:val="24"/>
          <w:szCs w:val="24"/>
          <w:lang w:val="zh-CN" w:eastAsia="zh-CN"/>
        </w:rPr>
        <w:t>多孔材料。必须通过提供能够处理意外事件的二次封存等冗余系统，开展监测活动和采取措施不让工作人员和公众接触，来最大限度地减少对环境和健康的影响。（美国环保局，</w:t>
      </w:r>
      <w:r w:rsidRPr="00D33A45">
        <w:rPr>
          <w:sz w:val="24"/>
          <w:szCs w:val="24"/>
          <w:lang w:val="zh-CN" w:eastAsia="zh-CN"/>
        </w:rPr>
        <w:t>2009</w:t>
      </w:r>
      <w:r w:rsidRPr="00D33A45">
        <w:rPr>
          <w:sz w:val="24"/>
          <w:szCs w:val="24"/>
          <w:lang w:val="zh-CN" w:eastAsia="zh-CN"/>
        </w:rPr>
        <w:t>年；</w:t>
      </w:r>
      <w:r w:rsidRPr="00D33A45">
        <w:rPr>
          <w:sz w:val="24"/>
          <w:szCs w:val="24"/>
          <w:lang w:val="zh-CN" w:eastAsia="zh-CN"/>
        </w:rPr>
        <w:t>Euro Chlor, 2007</w:t>
      </w:r>
      <w:r w:rsidR="006044E0">
        <w:rPr>
          <w:rFonts w:hint="eastAsia"/>
          <w:sz w:val="24"/>
          <w:szCs w:val="24"/>
          <w:lang w:val="zh-CN" w:eastAsia="zh-CN"/>
        </w:rPr>
        <w:t>年</w:t>
      </w:r>
      <w:r w:rsidRPr="00D33A45">
        <w:rPr>
          <w:sz w:val="24"/>
          <w:szCs w:val="24"/>
          <w:lang w:val="zh-CN" w:eastAsia="zh-CN"/>
        </w:rPr>
        <w:t>)</w:t>
      </w:r>
      <w:r w:rsidRPr="00D33A45">
        <w:rPr>
          <w:sz w:val="24"/>
          <w:szCs w:val="24"/>
          <w:lang w:val="zh-CN" w:eastAsia="zh-CN"/>
        </w:rPr>
        <w:t>。其他相关资料可查阅世界氯理事会网站（见本指导准则结尾处的参考文献清单）。应把</w:t>
      </w:r>
      <w:r w:rsidR="00D034F9" w:rsidRPr="00D33A45">
        <w:rPr>
          <w:sz w:val="24"/>
          <w:szCs w:val="24"/>
          <w:lang w:val="zh-CN" w:eastAsia="zh-CN"/>
        </w:rPr>
        <w:t>蒸汽增加</w:t>
      </w:r>
      <w:r w:rsidRPr="00D33A45">
        <w:rPr>
          <w:sz w:val="24"/>
          <w:szCs w:val="24"/>
          <w:lang w:val="zh-CN" w:eastAsia="zh-CN"/>
        </w:rPr>
        <w:t>的可能性较大</w:t>
      </w:r>
      <w:r w:rsidR="00D034F9" w:rsidRPr="00D33A45">
        <w:rPr>
          <w:sz w:val="24"/>
          <w:szCs w:val="24"/>
          <w:lang w:val="zh-CN" w:eastAsia="zh-CN"/>
        </w:rPr>
        <w:t>并有相应风险</w:t>
      </w:r>
      <w:r w:rsidRPr="00D33A45">
        <w:rPr>
          <w:sz w:val="24"/>
          <w:szCs w:val="24"/>
          <w:lang w:val="zh-CN" w:eastAsia="zh-CN"/>
        </w:rPr>
        <w:t>的装卸区的温度保持在尽可能低的水平上（环境署，</w:t>
      </w:r>
      <w:r w:rsidRPr="00D33A45">
        <w:rPr>
          <w:sz w:val="24"/>
          <w:szCs w:val="24"/>
          <w:lang w:val="zh-CN" w:eastAsia="zh-CN"/>
        </w:rPr>
        <w:t>2015</w:t>
      </w:r>
      <w:r w:rsidRPr="00D33A45">
        <w:rPr>
          <w:sz w:val="24"/>
          <w:szCs w:val="24"/>
          <w:lang w:val="zh-CN" w:eastAsia="zh-CN"/>
        </w:rPr>
        <w:t>年）。储存区应有明显的警告牌（</w:t>
      </w:r>
      <w:r w:rsidR="006044E0">
        <w:rPr>
          <w:rFonts w:hint="eastAsia"/>
          <w:sz w:val="24"/>
          <w:szCs w:val="24"/>
          <w:lang w:val="zh-CN" w:eastAsia="zh-CN"/>
        </w:rPr>
        <w:t>粮农组织，</w:t>
      </w:r>
      <w:r w:rsidR="006044E0">
        <w:rPr>
          <w:rFonts w:hint="eastAsia"/>
          <w:sz w:val="24"/>
          <w:szCs w:val="24"/>
          <w:lang w:val="zh-CN" w:eastAsia="zh-CN"/>
        </w:rPr>
        <w:t>1</w:t>
      </w:r>
      <w:r w:rsidR="006044E0">
        <w:rPr>
          <w:sz w:val="24"/>
          <w:szCs w:val="24"/>
          <w:lang w:val="zh-CN" w:eastAsia="zh-CN"/>
        </w:rPr>
        <w:t>985</w:t>
      </w:r>
      <w:r w:rsidR="006044E0">
        <w:rPr>
          <w:rFonts w:hint="eastAsia"/>
          <w:sz w:val="24"/>
          <w:szCs w:val="24"/>
          <w:lang w:val="zh-CN" w:eastAsia="zh-CN"/>
        </w:rPr>
        <w:t>年；</w:t>
      </w:r>
      <w:r w:rsidRPr="00D33A45">
        <w:rPr>
          <w:sz w:val="24"/>
          <w:szCs w:val="24"/>
          <w:lang w:val="zh-CN" w:eastAsia="zh-CN"/>
        </w:rPr>
        <w:t>美国环保局，</w:t>
      </w:r>
      <w:r w:rsidRPr="00D33A45">
        <w:rPr>
          <w:sz w:val="24"/>
          <w:szCs w:val="24"/>
          <w:lang w:val="zh-CN" w:eastAsia="zh-CN"/>
        </w:rPr>
        <w:t>2009</w:t>
      </w:r>
      <w:r w:rsidRPr="00D33A45">
        <w:rPr>
          <w:sz w:val="24"/>
          <w:szCs w:val="24"/>
          <w:lang w:val="zh-CN" w:eastAsia="zh-CN"/>
        </w:rPr>
        <w:t>年）</w:t>
      </w:r>
      <w:r w:rsidR="006044E0" w:rsidRPr="00D33A45">
        <w:rPr>
          <w:sz w:val="24"/>
          <w:szCs w:val="24"/>
          <w:lang w:val="zh-CN" w:eastAsia="zh-CN"/>
        </w:rPr>
        <w:t>。</w:t>
      </w:r>
    </w:p>
    <w:p w14:paraId="6E1688C7"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lastRenderedPageBreak/>
        <w:t>汞和汞化合物应尽可能储存在室内。当它们储存在封闭的室外设施中时，应尤其注意采取保护性措施来防止汞和汞化合物排放到土壤、地下水和地表水中。储存的汞和汞化合物不应受到外界因素的影响，以防止容器受损，应定期检查储存容器的完整性。</w:t>
      </w:r>
    </w:p>
    <w:p w14:paraId="718A2E81"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储存设施应有防护措施，防止盗窃和非法进入。此外，应视设施的大小，为储存场地的运营和关闭阶段制订监测程序，以迅速发现储存场地对环境的潜在不利影响并采取适当的措施。</w:t>
      </w:r>
    </w:p>
    <w:p w14:paraId="5D270093" w14:textId="2A0CAF77" w:rsidR="0009682F" w:rsidRPr="00D33A45" w:rsidRDefault="0009682F" w:rsidP="00D33A45">
      <w:pPr>
        <w:pStyle w:val="CH2"/>
        <w:jc w:val="both"/>
        <w:rPr>
          <w:rFonts w:ascii="SimHei" w:eastAsia="SimHei" w:hAnsi="SimHei"/>
          <w:lang w:val="zh-CN" w:eastAsia="zh-CN"/>
        </w:rPr>
      </w:pPr>
      <w:r w:rsidRPr="00D33A45">
        <w:rPr>
          <w:lang w:val="en-US" w:eastAsia="zh-CN"/>
        </w:rPr>
        <w:tab/>
      </w:r>
      <w:bookmarkStart w:id="22" w:name="_Toc526252802"/>
      <w:r w:rsidRPr="00D33A45">
        <w:rPr>
          <w:lang w:val="zh-CN" w:eastAsia="zh-CN"/>
        </w:rPr>
        <w:t>C.</w:t>
      </w:r>
      <w:r w:rsidRPr="00D33A45">
        <w:rPr>
          <w:lang w:val="zh-CN" w:eastAsia="zh-CN"/>
        </w:rPr>
        <w:tab/>
      </w:r>
      <w:r w:rsidRPr="00D33A45">
        <w:rPr>
          <w:rFonts w:ascii="SimHei" w:eastAsia="SimHei" w:hAnsi="SimHei"/>
          <w:lang w:val="zh-CN" w:eastAsia="zh-CN"/>
        </w:rPr>
        <w:t>储存汞的容器，包括二级容器</w:t>
      </w:r>
      <w:bookmarkStart w:id="23" w:name="_Toc520380783"/>
      <w:bookmarkEnd w:id="22"/>
      <w:bookmarkEnd w:id="23"/>
    </w:p>
    <w:p w14:paraId="3C4DEF07" w14:textId="518DCBA1"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rFonts w:ascii="SimHei" w:eastAsia="SimHei" w:hAnsi="SimHei"/>
          <w:b/>
          <w:sz w:val="24"/>
          <w:szCs w:val="24"/>
          <w:lang w:val="zh-CN" w:eastAsia="zh-CN"/>
        </w:rPr>
        <w:t>隔离</w:t>
      </w:r>
      <w:r w:rsidRPr="00D33A45">
        <w:rPr>
          <w:sz w:val="24"/>
          <w:szCs w:val="24"/>
          <w:lang w:val="zh-CN" w:eastAsia="zh-CN"/>
        </w:rPr>
        <w:t>：储存容器的类型取决</w:t>
      </w:r>
      <w:r w:rsidR="00294612">
        <w:rPr>
          <w:rFonts w:hint="eastAsia"/>
          <w:sz w:val="24"/>
          <w:szCs w:val="24"/>
          <w:lang w:val="zh-CN" w:eastAsia="zh-CN"/>
        </w:rPr>
        <w:t>于</w:t>
      </w:r>
      <w:r w:rsidRPr="00D33A45">
        <w:rPr>
          <w:sz w:val="24"/>
          <w:szCs w:val="24"/>
          <w:lang w:val="zh-CN" w:eastAsia="zh-CN"/>
        </w:rPr>
        <w:t>储存的材料是单质汞还是汞化合物。单质汞在室温条件下是液体，而大多数汞化合物是固体。固体和液体需要用不同类型的储存容器来储存。应当避免其他材料受污染的风险。储存汞或汞化合物的容器和包装不应与储存其他物质的容器放在一起。即便是在同一个储存设施内，也应建立彼此分开的储存区。容器和包装应有标识并存放在干燥和安全的地方，如仓库或其他人一般不常去的地方。</w:t>
      </w:r>
    </w:p>
    <w:p w14:paraId="14D7C167"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rFonts w:ascii="SimHei" w:eastAsia="SimHei" w:hAnsi="SimHei"/>
          <w:b/>
          <w:sz w:val="24"/>
          <w:szCs w:val="24"/>
          <w:lang w:val="zh-CN" w:eastAsia="zh-CN"/>
        </w:rPr>
        <w:t>通风</w:t>
      </w:r>
      <w:r w:rsidRPr="00D33A45">
        <w:rPr>
          <w:sz w:val="24"/>
          <w:szCs w:val="24"/>
          <w:lang w:val="zh-CN" w:eastAsia="zh-CN"/>
        </w:rPr>
        <w:t>：用于存储汞或汞化合物的地区不应共用工作或公共地点的通风系统。它们应有自己的通风系统或直接将空气排放到室外。最理想的是，装卸区的通风系统最好有过滤装置或有污染控制设备，以捕获排放出的汞蒸气或灰尘。联合国开发计划署针对医疗设施产生的汞废物制定的指导意见</w:t>
      </w:r>
      <w:r w:rsidRPr="00D33A45">
        <w:rPr>
          <w:sz w:val="24"/>
          <w:szCs w:val="24"/>
          <w:lang w:val="zh-CN" w:eastAsia="zh-CN"/>
        </w:rPr>
        <w:t>(</w:t>
      </w:r>
      <w:r w:rsidRPr="00D33A45">
        <w:rPr>
          <w:sz w:val="24"/>
          <w:szCs w:val="24"/>
          <w:lang w:val="zh-CN" w:eastAsia="zh-CN"/>
        </w:rPr>
        <w:t>开发署</w:t>
      </w:r>
      <w:r w:rsidRPr="00D33A45">
        <w:rPr>
          <w:sz w:val="24"/>
          <w:szCs w:val="24"/>
          <w:lang w:val="zh-CN" w:eastAsia="zh-CN"/>
        </w:rPr>
        <w:t>, 2010</w:t>
      </w:r>
      <w:r w:rsidRPr="00D33A45">
        <w:rPr>
          <w:sz w:val="24"/>
          <w:szCs w:val="24"/>
          <w:lang w:val="zh-CN" w:eastAsia="zh-CN"/>
        </w:rPr>
        <w:t>年</w:t>
      </w:r>
      <w:r w:rsidRPr="00D33A45">
        <w:rPr>
          <w:sz w:val="24"/>
          <w:szCs w:val="24"/>
          <w:lang w:val="zh-CN" w:eastAsia="zh-CN"/>
        </w:rPr>
        <w:t>)</w:t>
      </w:r>
      <w:r w:rsidRPr="00D33A45">
        <w:rPr>
          <w:sz w:val="24"/>
          <w:szCs w:val="24"/>
          <w:lang w:val="zh-CN" w:eastAsia="zh-CN"/>
        </w:rPr>
        <w:t>提出了许多类商业设施都可以采用的详细建议。</w:t>
      </w:r>
    </w:p>
    <w:p w14:paraId="34234870" w14:textId="19DFC773"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1D75E2">
        <w:rPr>
          <w:rFonts w:ascii="SimHei" w:eastAsia="SimHei" w:hAnsi="SimHei"/>
          <w:b/>
          <w:sz w:val="24"/>
          <w:szCs w:val="24"/>
          <w:lang w:val="zh-CN" w:eastAsia="zh-CN"/>
        </w:rPr>
        <w:t>容器</w:t>
      </w:r>
      <w:r w:rsidR="00AE0632" w:rsidRPr="00D33A45">
        <w:rPr>
          <w:sz w:val="24"/>
          <w:szCs w:val="24"/>
          <w:lang w:val="zh-CN" w:eastAsia="zh-CN"/>
        </w:rPr>
        <w:t>：散装单质汞应仔细包装好，盛放在适当的容器中，</w:t>
      </w:r>
      <w:r w:rsidRPr="00D33A45">
        <w:rPr>
          <w:sz w:val="24"/>
          <w:szCs w:val="24"/>
          <w:lang w:val="zh-CN" w:eastAsia="zh-CN"/>
        </w:rPr>
        <w:t>例如</w:t>
      </w:r>
      <w:r w:rsidRPr="001C174F">
        <w:rPr>
          <w:sz w:val="24"/>
          <w:szCs w:val="24"/>
          <w:lang w:val="zh-CN" w:eastAsia="zh-CN"/>
        </w:rPr>
        <w:t>《</w:t>
      </w:r>
      <w:r w:rsidRPr="001C174F">
        <w:rPr>
          <w:rFonts w:ascii="SimSun" w:hAnsi="SimSun" w:hint="eastAsia"/>
          <w:sz w:val="24"/>
          <w:szCs w:val="24"/>
          <w:lang w:val="zh-CN" w:eastAsia="zh-CN"/>
        </w:rPr>
        <w:t>联合国运输危险货物建议书：示范条例</w:t>
      </w:r>
      <w:r w:rsidRPr="001C174F">
        <w:rPr>
          <w:sz w:val="24"/>
          <w:szCs w:val="24"/>
          <w:lang w:val="zh-CN" w:eastAsia="zh-CN"/>
        </w:rPr>
        <w:t>》（联合国，</w:t>
      </w:r>
      <w:r w:rsidRPr="001C174F">
        <w:rPr>
          <w:sz w:val="24"/>
          <w:szCs w:val="24"/>
          <w:lang w:val="zh-CN" w:eastAsia="zh-CN"/>
        </w:rPr>
        <w:t>2017</w:t>
      </w:r>
      <w:r w:rsidRPr="001C174F">
        <w:rPr>
          <w:sz w:val="24"/>
          <w:szCs w:val="24"/>
          <w:lang w:val="zh-CN" w:eastAsia="zh-CN"/>
        </w:rPr>
        <w:t>年）具体规定的容器</w:t>
      </w:r>
      <w:r w:rsidRPr="00D33A45">
        <w:rPr>
          <w:sz w:val="24"/>
          <w:szCs w:val="24"/>
          <w:lang w:val="zh-CN" w:eastAsia="zh-CN"/>
        </w:rPr>
        <w:t>。固体汞化合物应储存在密封容器中，如放置</w:t>
      </w:r>
      <w:r w:rsidR="00642F6C" w:rsidRPr="00D33A45">
        <w:rPr>
          <w:sz w:val="24"/>
          <w:szCs w:val="24"/>
          <w:lang w:val="zh-CN" w:eastAsia="zh-CN"/>
        </w:rPr>
        <w:t>在</w:t>
      </w:r>
      <w:r w:rsidRPr="00D33A45">
        <w:rPr>
          <w:sz w:val="24"/>
          <w:szCs w:val="24"/>
          <w:lang w:val="zh-CN" w:eastAsia="zh-CN"/>
        </w:rPr>
        <w:t>配有密封性好的顶盖的大小圆桶或专门制作的不会释放汞蒸气的容器中。</w:t>
      </w:r>
    </w:p>
    <w:p w14:paraId="489EB71F"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容器应达到以下标准：</w:t>
      </w:r>
    </w:p>
    <w:p w14:paraId="0BE3F037" w14:textId="4AF15996" w:rsidR="0009682F" w:rsidRPr="00D33A45" w:rsidRDefault="0009682F" w:rsidP="00D33A45">
      <w:pPr>
        <w:pStyle w:val="Normalnumber"/>
        <w:numPr>
          <w:ilvl w:val="1"/>
          <w:numId w:val="42"/>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未被之前储存的材料损害，也没有储存过会与汞发生不良反应的</w:t>
      </w:r>
      <w:r w:rsidR="001D75E2">
        <w:rPr>
          <w:sz w:val="24"/>
          <w:szCs w:val="24"/>
          <w:lang w:val="zh-CN" w:eastAsia="zh-CN"/>
        </w:rPr>
        <w:br/>
      </w:r>
      <w:r w:rsidRPr="00D33A45">
        <w:rPr>
          <w:sz w:val="24"/>
          <w:szCs w:val="24"/>
          <w:lang w:val="zh-CN" w:eastAsia="zh-CN"/>
        </w:rPr>
        <w:t>材料；</w:t>
      </w:r>
    </w:p>
    <w:p w14:paraId="42831A30" w14:textId="47C9C504" w:rsidR="0009682F" w:rsidRPr="00D33A45" w:rsidRDefault="0009682F" w:rsidP="00D33A45">
      <w:pPr>
        <w:pStyle w:val="Normalnumber"/>
        <w:numPr>
          <w:ilvl w:val="1"/>
          <w:numId w:val="42"/>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结构保持完好</w:t>
      </w:r>
      <w:r w:rsidR="00CD11C7">
        <w:rPr>
          <w:rFonts w:hint="eastAsia"/>
          <w:sz w:val="24"/>
          <w:szCs w:val="24"/>
          <w:lang w:val="zh-CN" w:eastAsia="zh-CN"/>
        </w:rPr>
        <w:t>；</w:t>
      </w:r>
    </w:p>
    <w:p w14:paraId="3A9083B9" w14:textId="22980904" w:rsidR="0009682F" w:rsidRPr="00D33A45" w:rsidRDefault="00D343AE" w:rsidP="00D33A45">
      <w:pPr>
        <w:pStyle w:val="Normalnumber"/>
        <w:numPr>
          <w:ilvl w:val="1"/>
          <w:numId w:val="42"/>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没有</w:t>
      </w:r>
      <w:r w:rsidR="0009682F" w:rsidRPr="00D33A45">
        <w:rPr>
          <w:sz w:val="24"/>
          <w:szCs w:val="24"/>
          <w:lang w:val="zh-CN" w:eastAsia="zh-CN"/>
        </w:rPr>
        <w:t>太多的腐蚀</w:t>
      </w:r>
      <w:r w:rsidR="00CD11C7">
        <w:rPr>
          <w:rFonts w:hint="eastAsia"/>
          <w:sz w:val="24"/>
          <w:szCs w:val="24"/>
          <w:lang w:val="zh-CN" w:eastAsia="zh-CN"/>
        </w:rPr>
        <w:t>；</w:t>
      </w:r>
    </w:p>
    <w:p w14:paraId="551A1358" w14:textId="3D9E9AC5" w:rsidR="0009682F" w:rsidRPr="00D33A45" w:rsidRDefault="0009682F" w:rsidP="00D33A45">
      <w:pPr>
        <w:pStyle w:val="Normalnumber"/>
        <w:numPr>
          <w:ilvl w:val="1"/>
          <w:numId w:val="42"/>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应有防止腐蚀的保护性涂层（涂料）</w:t>
      </w:r>
      <w:r w:rsidR="00CD11C7">
        <w:rPr>
          <w:rFonts w:hint="eastAsia"/>
          <w:sz w:val="24"/>
          <w:szCs w:val="24"/>
          <w:lang w:val="zh-CN" w:eastAsia="zh-CN"/>
        </w:rPr>
        <w:t>；</w:t>
      </w:r>
    </w:p>
    <w:p w14:paraId="6464E737" w14:textId="77777777" w:rsidR="0009682F" w:rsidRPr="00D33A45" w:rsidRDefault="0009682F" w:rsidP="00D33A45">
      <w:pPr>
        <w:pStyle w:val="Normalnumber"/>
        <w:numPr>
          <w:ilvl w:val="1"/>
          <w:numId w:val="42"/>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应防漏气和漏液。</w:t>
      </w:r>
    </w:p>
    <w:p w14:paraId="0E07176E" w14:textId="793C5C66"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汞容器的适当材料为碳钢（至少为</w:t>
      </w:r>
      <w:r w:rsidRPr="00D33A45">
        <w:rPr>
          <w:sz w:val="24"/>
          <w:szCs w:val="24"/>
          <w:lang w:val="zh-CN" w:eastAsia="zh-CN"/>
        </w:rPr>
        <w:t>ASTM</w:t>
      </w:r>
      <w:r w:rsidR="001C174F">
        <w:rPr>
          <w:sz w:val="24"/>
          <w:szCs w:val="24"/>
          <w:lang w:eastAsia="zh-CN"/>
        </w:rPr>
        <w:t xml:space="preserve"> </w:t>
      </w:r>
      <w:r w:rsidRPr="00D33A45">
        <w:rPr>
          <w:sz w:val="24"/>
          <w:szCs w:val="24"/>
          <w:lang w:val="zh-CN" w:eastAsia="zh-CN"/>
        </w:rPr>
        <w:t>A36</w:t>
      </w:r>
      <w:r w:rsidRPr="00D33A45">
        <w:rPr>
          <w:sz w:val="24"/>
          <w:szCs w:val="24"/>
          <w:lang w:val="zh-CN" w:eastAsia="zh-CN"/>
        </w:rPr>
        <w:t>）或不锈钢（</w:t>
      </w:r>
      <w:r w:rsidRPr="00D33A45">
        <w:rPr>
          <w:sz w:val="24"/>
          <w:szCs w:val="24"/>
          <w:lang w:val="zh-CN" w:eastAsia="zh-CN"/>
        </w:rPr>
        <w:t>AISI 304</w:t>
      </w:r>
      <w:r w:rsidRPr="00D33A45">
        <w:rPr>
          <w:sz w:val="24"/>
          <w:szCs w:val="24"/>
          <w:lang w:val="zh-CN" w:eastAsia="zh-CN"/>
        </w:rPr>
        <w:t>或</w:t>
      </w:r>
      <w:r w:rsidRPr="00D33A45">
        <w:rPr>
          <w:sz w:val="24"/>
          <w:szCs w:val="24"/>
          <w:lang w:val="zh-CN" w:eastAsia="zh-CN"/>
        </w:rPr>
        <w:t>316L</w:t>
      </w:r>
      <w:r w:rsidRPr="00D33A45">
        <w:rPr>
          <w:sz w:val="24"/>
          <w:szCs w:val="24"/>
          <w:lang w:val="zh-CN" w:eastAsia="zh-CN"/>
        </w:rPr>
        <w:t>）</w:t>
      </w:r>
      <w:r w:rsidR="001C174F">
        <w:rPr>
          <w:rFonts w:hint="eastAsia"/>
          <w:sz w:val="24"/>
          <w:szCs w:val="24"/>
          <w:lang w:val="zh-CN" w:eastAsia="zh-CN"/>
        </w:rPr>
        <w:t>（欧盟，</w:t>
      </w:r>
      <w:r w:rsidR="001C174F">
        <w:rPr>
          <w:rFonts w:hint="eastAsia"/>
          <w:sz w:val="24"/>
          <w:szCs w:val="24"/>
          <w:lang w:val="zh-CN" w:eastAsia="zh-CN"/>
        </w:rPr>
        <w:t>2010</w:t>
      </w:r>
      <w:r w:rsidR="001C174F">
        <w:rPr>
          <w:rFonts w:hint="eastAsia"/>
          <w:sz w:val="24"/>
          <w:szCs w:val="24"/>
          <w:lang w:val="zh-CN" w:eastAsia="zh-CN"/>
        </w:rPr>
        <w:t>年）</w:t>
      </w:r>
      <w:r w:rsidRPr="00D33A45">
        <w:rPr>
          <w:sz w:val="24"/>
          <w:szCs w:val="24"/>
          <w:lang w:val="zh-CN" w:eastAsia="zh-CN"/>
        </w:rPr>
        <w:t>，这些材料在环境温度下不会与汞发生反应</w:t>
      </w:r>
      <w:r w:rsidR="00D343AE" w:rsidRPr="00D33A45">
        <w:rPr>
          <w:sz w:val="24"/>
          <w:szCs w:val="24"/>
          <w:lang w:val="zh-CN" w:eastAsia="zh-CN"/>
        </w:rPr>
        <w:t>。</w:t>
      </w:r>
      <w:r w:rsidRPr="00D33A45">
        <w:rPr>
          <w:sz w:val="24"/>
          <w:szCs w:val="24"/>
          <w:lang w:val="zh-CN" w:eastAsia="zh-CN"/>
        </w:rPr>
        <w:t>只要</w:t>
      </w:r>
      <w:r w:rsidR="00D343AE" w:rsidRPr="00D33A45">
        <w:rPr>
          <w:sz w:val="24"/>
          <w:szCs w:val="24"/>
          <w:lang w:val="zh-CN" w:eastAsia="zh-CN"/>
        </w:rPr>
        <w:t>待</w:t>
      </w:r>
      <w:r w:rsidRPr="00D33A45">
        <w:rPr>
          <w:sz w:val="24"/>
          <w:szCs w:val="24"/>
          <w:lang w:val="zh-CN" w:eastAsia="zh-CN"/>
        </w:rPr>
        <w:t>储存的汞符合单质汞储存的纯度标准，而且容器中没有水</w:t>
      </w:r>
      <w:r w:rsidR="00D343AE" w:rsidRPr="00D33A45">
        <w:rPr>
          <w:sz w:val="24"/>
          <w:szCs w:val="24"/>
          <w:lang w:val="zh-CN" w:eastAsia="zh-CN"/>
        </w:rPr>
        <w:t>，容器内壁表面不需要有保护涂层</w:t>
      </w:r>
      <w:r w:rsidRPr="00D33A45">
        <w:rPr>
          <w:sz w:val="24"/>
          <w:szCs w:val="24"/>
          <w:lang w:val="zh-CN" w:eastAsia="zh-CN"/>
        </w:rPr>
        <w:t>。所有碳钢容器的外部表面都应有保护性涂层（例如环氧树脂涂料或电镀），确保钢</w:t>
      </w:r>
      <w:r w:rsidR="00D343AE" w:rsidRPr="00D33A45">
        <w:rPr>
          <w:sz w:val="24"/>
          <w:szCs w:val="24"/>
          <w:lang w:val="zh-CN" w:eastAsia="zh-CN"/>
        </w:rPr>
        <w:t>质</w:t>
      </w:r>
      <w:r w:rsidRPr="00D33A45">
        <w:rPr>
          <w:sz w:val="24"/>
          <w:szCs w:val="24"/>
          <w:lang w:val="zh-CN" w:eastAsia="zh-CN"/>
        </w:rPr>
        <w:t>表面</w:t>
      </w:r>
      <w:r w:rsidR="00D343AE" w:rsidRPr="00D33A45">
        <w:rPr>
          <w:sz w:val="24"/>
          <w:szCs w:val="24"/>
          <w:lang w:val="zh-CN" w:eastAsia="zh-CN"/>
        </w:rPr>
        <w:t>的</w:t>
      </w:r>
      <w:r w:rsidRPr="00D33A45">
        <w:rPr>
          <w:sz w:val="24"/>
          <w:szCs w:val="24"/>
          <w:lang w:val="zh-CN" w:eastAsia="zh-CN"/>
        </w:rPr>
        <w:t>任何部分不会暴露在空气中。涂层刷涂料时应尽量避免起泡、脱皮或开裂。汞蒸气可</w:t>
      </w:r>
      <w:r w:rsidR="00D343AE" w:rsidRPr="00D33A45">
        <w:rPr>
          <w:sz w:val="24"/>
          <w:szCs w:val="24"/>
          <w:lang w:val="zh-CN" w:eastAsia="zh-CN"/>
        </w:rPr>
        <w:t>以</w:t>
      </w:r>
      <w:r w:rsidRPr="00D33A45">
        <w:rPr>
          <w:sz w:val="24"/>
          <w:szCs w:val="24"/>
          <w:lang w:val="zh-CN" w:eastAsia="zh-CN"/>
        </w:rPr>
        <w:t>透过高密度聚乙烯等一些塑料，因此应避免使用此类塑料。建议使用无缝的瓶子和容器，以消除沿缝泄漏的风险</w:t>
      </w:r>
      <w:r w:rsidR="001C174F">
        <w:rPr>
          <w:sz w:val="24"/>
          <w:szCs w:val="24"/>
          <w:lang w:val="zh-CN" w:eastAsia="zh-CN"/>
        </w:rPr>
        <w:br/>
      </w:r>
      <w:r w:rsidRPr="00D33A45">
        <w:rPr>
          <w:sz w:val="24"/>
          <w:szCs w:val="24"/>
          <w:lang w:val="zh-CN" w:eastAsia="zh-CN"/>
        </w:rPr>
        <w:t>（水银核心小组，</w:t>
      </w:r>
      <w:r w:rsidRPr="00D33A45">
        <w:rPr>
          <w:sz w:val="24"/>
          <w:szCs w:val="24"/>
          <w:lang w:val="zh-CN" w:eastAsia="zh-CN"/>
        </w:rPr>
        <w:t>2003</w:t>
      </w:r>
      <w:r w:rsidRPr="00D33A45">
        <w:rPr>
          <w:sz w:val="24"/>
          <w:szCs w:val="24"/>
          <w:lang w:val="zh-CN" w:eastAsia="zh-CN"/>
        </w:rPr>
        <w:t>年）。</w:t>
      </w:r>
    </w:p>
    <w:p w14:paraId="411A8066" w14:textId="07FBA47A"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lastRenderedPageBreak/>
        <w:t>国际上批准的储存和运输汞的容器主要有两大类：</w:t>
      </w:r>
      <w:r w:rsidR="00336ADD">
        <w:rPr>
          <w:rFonts w:hint="eastAsia"/>
          <w:sz w:val="24"/>
          <w:szCs w:val="24"/>
          <w:lang w:val="zh-CN" w:eastAsia="zh-CN"/>
        </w:rPr>
        <w:t>3</w:t>
      </w:r>
      <w:r w:rsidR="00336ADD">
        <w:rPr>
          <w:sz w:val="24"/>
          <w:szCs w:val="24"/>
          <w:lang w:val="zh-CN" w:eastAsia="zh-CN"/>
        </w:rPr>
        <w:t>4.5</w:t>
      </w:r>
      <w:r w:rsidR="00336ADD">
        <w:rPr>
          <w:rFonts w:hint="eastAsia"/>
          <w:sz w:val="24"/>
          <w:szCs w:val="24"/>
          <w:lang w:val="zh-CN" w:eastAsia="zh-CN"/>
        </w:rPr>
        <w:t>公斤</w:t>
      </w:r>
      <w:r w:rsidRPr="00D33A45">
        <w:rPr>
          <w:sz w:val="24"/>
          <w:szCs w:val="24"/>
          <w:lang w:val="zh-CN" w:eastAsia="zh-CN"/>
        </w:rPr>
        <w:t>的无缝瓶和</w:t>
      </w:r>
      <w:r w:rsidR="001C174F">
        <w:rPr>
          <w:sz w:val="24"/>
          <w:szCs w:val="24"/>
          <w:lang w:val="zh-CN" w:eastAsia="zh-CN"/>
        </w:rPr>
        <w:br/>
      </w:r>
      <w:r w:rsidRPr="00D33A45">
        <w:rPr>
          <w:sz w:val="24"/>
          <w:szCs w:val="24"/>
          <w:lang w:val="zh-CN" w:eastAsia="zh-CN"/>
        </w:rPr>
        <w:t>1</w:t>
      </w:r>
      <w:r w:rsidRPr="00D33A45">
        <w:rPr>
          <w:sz w:val="24"/>
          <w:szCs w:val="24"/>
          <w:lang w:val="zh-CN" w:eastAsia="zh-CN"/>
        </w:rPr>
        <w:t>公吨运输容器</w:t>
      </w:r>
      <w:r w:rsidR="001C174F" w:rsidRPr="00D33A45">
        <w:rPr>
          <w:sz w:val="24"/>
          <w:szCs w:val="24"/>
          <w:lang w:val="zh-CN" w:eastAsia="zh-CN"/>
        </w:rPr>
        <w:t>（水银核心小组，</w:t>
      </w:r>
      <w:r w:rsidR="001C174F" w:rsidRPr="00D33A45">
        <w:rPr>
          <w:sz w:val="24"/>
          <w:szCs w:val="24"/>
          <w:lang w:val="zh-CN" w:eastAsia="zh-CN"/>
        </w:rPr>
        <w:t>2003</w:t>
      </w:r>
      <w:r w:rsidR="001C174F" w:rsidRPr="00D33A45">
        <w:rPr>
          <w:sz w:val="24"/>
          <w:szCs w:val="24"/>
          <w:lang w:val="zh-CN" w:eastAsia="zh-CN"/>
        </w:rPr>
        <w:t>年）</w:t>
      </w:r>
      <w:r w:rsidRPr="00D33A45">
        <w:rPr>
          <w:sz w:val="24"/>
          <w:szCs w:val="24"/>
          <w:lang w:val="zh-CN" w:eastAsia="zh-CN"/>
        </w:rPr>
        <w:t>。容器的设计型号应能通过《联合国运输危险货物建议书：试验与标准手册》第</w:t>
      </w:r>
      <w:r w:rsidRPr="00D33A45">
        <w:rPr>
          <w:sz w:val="24"/>
          <w:szCs w:val="24"/>
          <w:lang w:val="zh-CN" w:eastAsia="zh-CN"/>
        </w:rPr>
        <w:t>6.1.5.3</w:t>
      </w:r>
      <w:r w:rsidRPr="00D33A45">
        <w:rPr>
          <w:sz w:val="24"/>
          <w:szCs w:val="24"/>
          <w:lang w:val="zh-CN" w:eastAsia="zh-CN"/>
        </w:rPr>
        <w:t>和第</w:t>
      </w:r>
      <w:r w:rsidRPr="00D33A45">
        <w:rPr>
          <w:sz w:val="24"/>
          <w:szCs w:val="24"/>
          <w:lang w:val="zh-CN" w:eastAsia="zh-CN"/>
        </w:rPr>
        <w:t>6.1.5.4</w:t>
      </w:r>
      <w:r w:rsidRPr="00D33A45">
        <w:rPr>
          <w:sz w:val="24"/>
          <w:szCs w:val="24"/>
          <w:lang w:val="zh-CN" w:eastAsia="zh-CN"/>
        </w:rPr>
        <w:t>章所述的跌落测试和密封性测试（欧盟，</w:t>
      </w:r>
      <w:r w:rsidRPr="00D33A45">
        <w:rPr>
          <w:sz w:val="24"/>
          <w:szCs w:val="24"/>
          <w:lang w:val="zh-CN" w:eastAsia="zh-CN"/>
        </w:rPr>
        <w:t>2011</w:t>
      </w:r>
      <w:r w:rsidRPr="00D33A45">
        <w:rPr>
          <w:sz w:val="24"/>
          <w:szCs w:val="24"/>
          <w:lang w:val="zh-CN" w:eastAsia="zh-CN"/>
        </w:rPr>
        <w:t>年）。在运输较少量的汞时，通常使用其他规</w:t>
      </w:r>
      <w:r w:rsidRPr="001D75E2">
        <w:rPr>
          <w:spacing w:val="-10"/>
          <w:sz w:val="24"/>
          <w:szCs w:val="24"/>
          <w:lang w:val="zh-CN" w:eastAsia="zh-CN"/>
        </w:rPr>
        <w:t>格（例如</w:t>
      </w:r>
      <w:r w:rsidRPr="001D75E2">
        <w:rPr>
          <w:spacing w:val="-10"/>
          <w:sz w:val="24"/>
          <w:szCs w:val="24"/>
          <w:lang w:val="zh-CN" w:eastAsia="zh-CN"/>
        </w:rPr>
        <w:t>1-16</w:t>
      </w:r>
      <w:r w:rsidRPr="001D75E2">
        <w:rPr>
          <w:spacing w:val="-10"/>
          <w:sz w:val="24"/>
          <w:szCs w:val="24"/>
          <w:lang w:val="zh-CN" w:eastAsia="zh-CN"/>
        </w:rPr>
        <w:t>磅）和类型（例如聚乙烯、玻璃）的容器（水银核心小组，</w:t>
      </w:r>
      <w:r w:rsidRPr="001D75E2">
        <w:rPr>
          <w:spacing w:val="-10"/>
          <w:sz w:val="24"/>
          <w:szCs w:val="24"/>
          <w:lang w:val="zh-CN" w:eastAsia="zh-CN"/>
        </w:rPr>
        <w:t>2003</w:t>
      </w:r>
      <w:r w:rsidR="001C174F" w:rsidRPr="001D75E2">
        <w:rPr>
          <w:spacing w:val="-10"/>
          <w:sz w:val="24"/>
          <w:szCs w:val="24"/>
          <w:lang w:val="zh-CN" w:eastAsia="zh-CN"/>
        </w:rPr>
        <w:t>年</w:t>
      </w:r>
      <w:r w:rsidRPr="001D75E2">
        <w:rPr>
          <w:spacing w:val="-10"/>
          <w:sz w:val="24"/>
          <w:szCs w:val="24"/>
          <w:lang w:val="zh-CN" w:eastAsia="zh-CN"/>
        </w:rPr>
        <w:t>）</w:t>
      </w:r>
      <w:r w:rsidR="001C174F" w:rsidRPr="001D75E2">
        <w:rPr>
          <w:rFonts w:hint="eastAsia"/>
          <w:spacing w:val="-10"/>
          <w:sz w:val="24"/>
          <w:szCs w:val="24"/>
          <w:lang w:val="zh-CN" w:eastAsia="zh-CN"/>
        </w:rPr>
        <w:t>；</w:t>
      </w:r>
      <w:r w:rsidRPr="00D33A45">
        <w:rPr>
          <w:sz w:val="24"/>
          <w:szCs w:val="24"/>
          <w:lang w:val="zh-CN" w:eastAsia="zh-CN"/>
        </w:rPr>
        <w:t>但是，应考虑到这些容器提供保护的程度。</w:t>
      </w:r>
    </w:p>
    <w:p w14:paraId="30BC8DB1" w14:textId="7AE3E85E"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如果用容器储存汞，必须为汞的热膨胀留出一些</w:t>
      </w:r>
      <w:r w:rsidRPr="001C174F">
        <w:rPr>
          <w:rFonts w:ascii="SimSun" w:hAnsi="SimSun"/>
          <w:sz w:val="24"/>
          <w:szCs w:val="24"/>
          <w:lang w:val="zh-CN" w:eastAsia="zh-CN"/>
        </w:rPr>
        <w:t>“顶部空间”。</w:t>
      </w:r>
      <w:r w:rsidRPr="00D33A45">
        <w:rPr>
          <w:sz w:val="24"/>
          <w:szCs w:val="24"/>
          <w:lang w:val="zh-CN" w:eastAsia="zh-CN"/>
        </w:rPr>
        <w:t>在欧洲联盟的指导意见中，最大填充率为容器体积的</w:t>
      </w:r>
      <w:r w:rsidRPr="00D33A45">
        <w:rPr>
          <w:sz w:val="24"/>
          <w:szCs w:val="24"/>
          <w:lang w:val="zh-CN" w:eastAsia="zh-CN"/>
        </w:rPr>
        <w:t>80%</w:t>
      </w:r>
      <w:r w:rsidRPr="00D33A45">
        <w:rPr>
          <w:sz w:val="24"/>
          <w:szCs w:val="24"/>
          <w:lang w:val="zh-CN" w:eastAsia="zh-CN"/>
        </w:rPr>
        <w:t>，因此顶部空间至少应占</w:t>
      </w:r>
      <w:r w:rsidRPr="00D33A45">
        <w:rPr>
          <w:sz w:val="24"/>
          <w:szCs w:val="24"/>
          <w:lang w:val="zh-CN" w:eastAsia="zh-CN"/>
        </w:rPr>
        <w:t>20%</w:t>
      </w:r>
      <w:r w:rsidRPr="00D33A45">
        <w:rPr>
          <w:sz w:val="24"/>
          <w:szCs w:val="24"/>
          <w:lang w:val="zh-CN" w:eastAsia="zh-CN"/>
        </w:rPr>
        <w:t>（欧盟，</w:t>
      </w:r>
      <w:r w:rsidRPr="00D33A45">
        <w:rPr>
          <w:sz w:val="24"/>
          <w:szCs w:val="24"/>
          <w:lang w:val="zh-CN" w:eastAsia="zh-CN"/>
        </w:rPr>
        <w:t>2011</w:t>
      </w:r>
      <w:r w:rsidR="003F4AF4">
        <w:rPr>
          <w:rFonts w:hint="eastAsia"/>
          <w:sz w:val="24"/>
          <w:szCs w:val="24"/>
          <w:lang w:val="zh-CN" w:eastAsia="zh-CN"/>
        </w:rPr>
        <w:t>年</w:t>
      </w:r>
      <w:r w:rsidRPr="00D33A45">
        <w:rPr>
          <w:sz w:val="24"/>
          <w:szCs w:val="24"/>
          <w:lang w:val="zh-CN" w:eastAsia="zh-CN"/>
        </w:rPr>
        <w:t>）。其他一些司法管辖区规定最大的充填率为</w:t>
      </w:r>
      <w:r w:rsidRPr="00D33A45">
        <w:rPr>
          <w:sz w:val="24"/>
          <w:szCs w:val="24"/>
          <w:lang w:val="zh-CN" w:eastAsia="zh-CN"/>
        </w:rPr>
        <w:t>85%</w:t>
      </w:r>
      <w:r w:rsidRPr="00D33A45">
        <w:rPr>
          <w:sz w:val="24"/>
          <w:szCs w:val="24"/>
          <w:lang w:val="zh-CN" w:eastAsia="zh-CN"/>
        </w:rPr>
        <w:t>，为顶部空间留出</w:t>
      </w:r>
      <w:r w:rsidRPr="00D33A45">
        <w:rPr>
          <w:sz w:val="24"/>
          <w:szCs w:val="24"/>
          <w:lang w:val="zh-CN" w:eastAsia="zh-CN"/>
        </w:rPr>
        <w:t>15%</w:t>
      </w:r>
      <w:r w:rsidRPr="00D33A45">
        <w:rPr>
          <w:sz w:val="24"/>
          <w:szCs w:val="24"/>
          <w:lang w:val="zh-CN" w:eastAsia="zh-CN"/>
        </w:rPr>
        <w:t>。</w:t>
      </w:r>
    </w:p>
    <w:p w14:paraId="4C948176" w14:textId="7DB2E2F3"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在储存汞时，汞的纯度尽可能高，以避免化学反应和容器降解。建议汞含量占重量的</w:t>
      </w:r>
      <w:r w:rsidRPr="00D33A45">
        <w:rPr>
          <w:sz w:val="24"/>
          <w:szCs w:val="24"/>
          <w:lang w:val="zh-CN" w:eastAsia="zh-CN"/>
        </w:rPr>
        <w:t>99.9%</w:t>
      </w:r>
      <w:r w:rsidRPr="00D33A45">
        <w:rPr>
          <w:sz w:val="24"/>
          <w:szCs w:val="24"/>
          <w:lang w:val="zh-CN" w:eastAsia="zh-CN"/>
        </w:rPr>
        <w:t>以上。对于纯度较低的汞（占重量的</w:t>
      </w:r>
      <w:r w:rsidRPr="00D33A45">
        <w:rPr>
          <w:sz w:val="24"/>
          <w:szCs w:val="24"/>
          <w:lang w:val="zh-CN" w:eastAsia="zh-CN"/>
        </w:rPr>
        <w:t>95%</w:t>
      </w:r>
      <w:r w:rsidRPr="00D33A45">
        <w:rPr>
          <w:sz w:val="24"/>
          <w:szCs w:val="24"/>
          <w:lang w:val="zh-CN" w:eastAsia="zh-CN"/>
        </w:rPr>
        <w:t>至</w:t>
      </w:r>
      <w:r w:rsidRPr="00D33A45">
        <w:rPr>
          <w:sz w:val="24"/>
          <w:szCs w:val="24"/>
          <w:lang w:val="zh-CN" w:eastAsia="zh-CN"/>
        </w:rPr>
        <w:t>99.9%</w:t>
      </w:r>
      <w:r w:rsidRPr="00D33A45">
        <w:rPr>
          <w:sz w:val="24"/>
          <w:szCs w:val="24"/>
          <w:lang w:val="zh-CN" w:eastAsia="zh-CN"/>
        </w:rPr>
        <w:t>）来说，可能需要监测容器状况，以便发现一段时间后是否</w:t>
      </w:r>
      <w:r w:rsidR="009271CB" w:rsidRPr="00D33A45">
        <w:rPr>
          <w:sz w:val="24"/>
          <w:szCs w:val="24"/>
          <w:lang w:val="zh-CN" w:eastAsia="zh-CN"/>
        </w:rPr>
        <w:t>出现</w:t>
      </w:r>
      <w:r w:rsidRPr="00D33A45">
        <w:rPr>
          <w:sz w:val="24"/>
          <w:szCs w:val="24"/>
          <w:lang w:val="zh-CN" w:eastAsia="zh-CN"/>
        </w:rPr>
        <w:t>降解。</w:t>
      </w:r>
    </w:p>
    <w:p w14:paraId="7837749D"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单质汞的容器应离开地面垂直置放在货盘上，容器外表上没有汞或汞化合物。或者，可将其放置在保护性外包装中，例如盒子或板条箱。货盘应避免使用木材或其他多孔材料，因为这些材料在使用后很难清洗干净。用容器盛放的单质汞应放置在储存设施的防漏托盘或防漏区内，托盘或防漏区的周边最好有围沿，限制汞在角落聚积的可能性，阻止外溢。考虑到储存在阻隔区的物品占据的空间，液体阻隔容积至少应是最大液体体积的</w:t>
      </w:r>
      <w:r w:rsidRPr="00D33A45">
        <w:rPr>
          <w:sz w:val="24"/>
          <w:szCs w:val="24"/>
          <w:lang w:val="zh-CN" w:eastAsia="zh-CN"/>
        </w:rPr>
        <w:t>125%</w:t>
      </w:r>
      <w:r w:rsidRPr="00D33A45">
        <w:rPr>
          <w:sz w:val="24"/>
          <w:szCs w:val="24"/>
          <w:lang w:val="zh-CN" w:eastAsia="zh-CN"/>
        </w:rPr>
        <w:t>。</w:t>
      </w:r>
    </w:p>
    <w:p w14:paraId="0281A8B2" w14:textId="46BA15DE"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1C174F">
        <w:rPr>
          <w:rFonts w:ascii="SimHei" w:eastAsia="SimHei" w:hAnsi="SimHei"/>
          <w:b/>
          <w:sz w:val="24"/>
          <w:szCs w:val="24"/>
          <w:lang w:val="zh-CN" w:eastAsia="zh-CN"/>
        </w:rPr>
        <w:t>标签</w:t>
      </w:r>
      <w:r w:rsidRPr="00D33A45">
        <w:rPr>
          <w:sz w:val="24"/>
          <w:szCs w:val="24"/>
          <w:lang w:val="zh-CN" w:eastAsia="zh-CN"/>
        </w:rPr>
        <w:t>：每个容器上都应该张贴有以下信息的标签：汞供应商的名称、汞的原产地（如果知道的话）、汞的浓度和纯度、容器编号、毛重和净重、装入汞的日期；并应贴有表明容器内装有腐蚀材料的</w:t>
      </w:r>
      <w:r w:rsidRPr="00D33A45">
        <w:rPr>
          <w:sz w:val="24"/>
          <w:szCs w:val="24"/>
          <w:lang w:val="zh-CN" w:eastAsia="zh-CN"/>
        </w:rPr>
        <w:t>“</w:t>
      </w:r>
      <w:r w:rsidRPr="00D33A45">
        <w:rPr>
          <w:sz w:val="24"/>
          <w:szCs w:val="24"/>
          <w:lang w:val="zh-CN" w:eastAsia="zh-CN"/>
        </w:rPr>
        <w:t>腐蚀物</w:t>
      </w:r>
      <w:r w:rsidRPr="00D33A45">
        <w:rPr>
          <w:sz w:val="24"/>
          <w:szCs w:val="24"/>
          <w:lang w:val="zh-CN" w:eastAsia="zh-CN"/>
        </w:rPr>
        <w:t>”</w:t>
      </w:r>
      <w:r w:rsidRPr="00D33A45">
        <w:rPr>
          <w:sz w:val="24"/>
          <w:szCs w:val="24"/>
          <w:lang w:val="zh-CN" w:eastAsia="zh-CN"/>
        </w:rPr>
        <w:t>标签（美国能源部，</w:t>
      </w:r>
      <w:r w:rsidRPr="00D33A45">
        <w:rPr>
          <w:sz w:val="24"/>
          <w:szCs w:val="24"/>
          <w:lang w:val="zh-CN" w:eastAsia="zh-CN"/>
        </w:rPr>
        <w:t>2009</w:t>
      </w:r>
      <w:r w:rsidRPr="00D33A45">
        <w:rPr>
          <w:sz w:val="24"/>
          <w:szCs w:val="24"/>
          <w:lang w:val="zh-CN" w:eastAsia="zh-CN"/>
        </w:rPr>
        <w:t>年）。应注意，要使用符合全球化学品统一分类和标签制度的标签（联合国，</w:t>
      </w:r>
      <w:r w:rsidRPr="00D33A45">
        <w:rPr>
          <w:sz w:val="24"/>
          <w:szCs w:val="24"/>
          <w:lang w:val="zh-CN" w:eastAsia="zh-CN"/>
        </w:rPr>
        <w:t>2015</w:t>
      </w:r>
      <w:r w:rsidR="00D90AB4">
        <w:rPr>
          <w:rFonts w:hint="eastAsia"/>
          <w:sz w:val="24"/>
          <w:szCs w:val="24"/>
          <w:lang w:val="zh-CN" w:eastAsia="zh-CN"/>
        </w:rPr>
        <w:t>年</w:t>
      </w:r>
      <w:r w:rsidRPr="00D33A45">
        <w:rPr>
          <w:sz w:val="24"/>
          <w:szCs w:val="24"/>
          <w:lang w:val="zh-CN" w:eastAsia="zh-CN"/>
        </w:rPr>
        <w:t>）。此外，还应为同汞打交道的人提供信息表明，有关容器在以下方面符合相关的国家和国际技术标准：密封性、压力稳定性、抗冲击性和接触热</w:t>
      </w:r>
      <w:r w:rsidR="00174F45" w:rsidRPr="00D33A45">
        <w:rPr>
          <w:sz w:val="24"/>
          <w:szCs w:val="24"/>
          <w:lang w:val="zh-CN" w:eastAsia="zh-CN"/>
        </w:rPr>
        <w:t>后</w:t>
      </w:r>
      <w:r w:rsidRPr="00D33A45">
        <w:rPr>
          <w:sz w:val="24"/>
          <w:szCs w:val="24"/>
          <w:lang w:val="zh-CN" w:eastAsia="zh-CN"/>
        </w:rPr>
        <w:t>的表现。</w:t>
      </w:r>
    </w:p>
    <w:p w14:paraId="4331594E" w14:textId="43B441C5" w:rsidR="0009682F" w:rsidRPr="00D33A45" w:rsidRDefault="0009682F" w:rsidP="00D33A45">
      <w:pPr>
        <w:pStyle w:val="CH2"/>
        <w:jc w:val="both"/>
        <w:rPr>
          <w:rFonts w:ascii="SimHei" w:eastAsia="SimHei" w:hAnsi="SimHei"/>
        </w:rPr>
      </w:pPr>
      <w:r w:rsidRPr="00D33A45">
        <w:rPr>
          <w:lang w:val="en-US" w:eastAsia="zh-CN"/>
        </w:rPr>
        <w:tab/>
      </w:r>
      <w:bookmarkStart w:id="24" w:name="_Toc526252803"/>
      <w:r w:rsidRPr="00D33A45">
        <w:rPr>
          <w:lang w:val="zh-CN" w:eastAsia="zh-CN"/>
        </w:rPr>
        <w:t>D.</w:t>
      </w:r>
      <w:r w:rsidRPr="00D33A45">
        <w:rPr>
          <w:lang w:val="zh-CN" w:eastAsia="zh-CN"/>
        </w:rPr>
        <w:tab/>
      </w:r>
      <w:r w:rsidRPr="00D33A45">
        <w:rPr>
          <w:rFonts w:ascii="SimHei" w:eastAsia="SimHei" w:hAnsi="SimHei"/>
          <w:lang w:val="zh-CN" w:eastAsia="zh-CN"/>
        </w:rPr>
        <w:t>汞或汞化合物的移动</w:t>
      </w:r>
      <w:bookmarkStart w:id="25" w:name="_Toc520380784"/>
      <w:bookmarkEnd w:id="24"/>
      <w:bookmarkEnd w:id="25"/>
    </w:p>
    <w:p w14:paraId="573BD85C" w14:textId="49E0F1CF"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应建立保存在储存场所的汞和汞化合物清单，并根据汞运入设施、使用、运出设施或依照《水俣公约》第</w:t>
      </w:r>
      <w:r w:rsidRPr="00D33A45">
        <w:rPr>
          <w:sz w:val="24"/>
          <w:szCs w:val="24"/>
          <w:lang w:val="zh-CN" w:eastAsia="zh-CN"/>
        </w:rPr>
        <w:t>11</w:t>
      </w:r>
      <w:r w:rsidRPr="00D33A45">
        <w:rPr>
          <w:sz w:val="24"/>
          <w:szCs w:val="24"/>
          <w:lang w:val="zh-CN" w:eastAsia="zh-CN"/>
        </w:rPr>
        <w:t>条处置的情况，对清单进行更新。应定期</w:t>
      </w:r>
      <w:r w:rsidR="00CC5F22" w:rsidRPr="00D33A45">
        <w:rPr>
          <w:sz w:val="24"/>
          <w:szCs w:val="24"/>
          <w:lang w:val="zh-CN" w:eastAsia="zh-CN"/>
        </w:rPr>
        <w:t>比照</w:t>
      </w:r>
      <w:r w:rsidRPr="00D33A45">
        <w:rPr>
          <w:sz w:val="24"/>
          <w:szCs w:val="24"/>
          <w:lang w:val="zh-CN" w:eastAsia="zh-CN"/>
        </w:rPr>
        <w:t>存放在设施内的容器</w:t>
      </w:r>
      <w:r w:rsidR="00CC5F22" w:rsidRPr="00D33A45">
        <w:rPr>
          <w:sz w:val="24"/>
          <w:szCs w:val="24"/>
          <w:lang w:val="zh-CN" w:eastAsia="zh-CN"/>
        </w:rPr>
        <w:t>来</w:t>
      </w:r>
      <w:r w:rsidRPr="00D33A45">
        <w:rPr>
          <w:sz w:val="24"/>
          <w:szCs w:val="24"/>
          <w:lang w:val="zh-CN" w:eastAsia="zh-CN"/>
        </w:rPr>
        <w:t>检查清单，确保清单始终是准确的。应记录汞或汞化合物的装运，同时考虑到《公约》第</w:t>
      </w:r>
      <w:r w:rsidRPr="00D33A45">
        <w:rPr>
          <w:sz w:val="24"/>
          <w:szCs w:val="24"/>
          <w:lang w:val="zh-CN" w:eastAsia="zh-CN"/>
        </w:rPr>
        <w:t>3</w:t>
      </w:r>
      <w:r w:rsidRPr="00D33A45">
        <w:rPr>
          <w:sz w:val="24"/>
          <w:szCs w:val="24"/>
          <w:lang w:val="zh-CN" w:eastAsia="zh-CN"/>
        </w:rPr>
        <w:t>条关于各国进出口汞的规定。保</w:t>
      </w:r>
      <w:r w:rsidR="00CC5F22" w:rsidRPr="00D33A45">
        <w:rPr>
          <w:sz w:val="24"/>
          <w:szCs w:val="24"/>
          <w:lang w:val="zh-CN" w:eastAsia="zh-CN"/>
        </w:rPr>
        <w:t>留</w:t>
      </w:r>
      <w:r w:rsidRPr="00D33A45">
        <w:rPr>
          <w:sz w:val="24"/>
          <w:szCs w:val="24"/>
          <w:lang w:val="zh-CN" w:eastAsia="zh-CN"/>
        </w:rPr>
        <w:t>跟踪记录有助于对设施进行审计，并有助于根据第</w:t>
      </w:r>
      <w:r w:rsidRPr="00D33A45">
        <w:rPr>
          <w:sz w:val="24"/>
          <w:szCs w:val="24"/>
          <w:lang w:val="zh-CN" w:eastAsia="zh-CN"/>
        </w:rPr>
        <w:t>3</w:t>
      </w:r>
      <w:r w:rsidRPr="00D33A45">
        <w:rPr>
          <w:sz w:val="24"/>
          <w:szCs w:val="24"/>
          <w:lang w:val="zh-CN" w:eastAsia="zh-CN"/>
        </w:rPr>
        <w:t>条报告数量超过</w:t>
      </w:r>
      <w:r w:rsidRPr="00D33A45">
        <w:rPr>
          <w:sz w:val="24"/>
          <w:szCs w:val="24"/>
          <w:lang w:val="zh-CN" w:eastAsia="zh-CN"/>
        </w:rPr>
        <w:t>50</w:t>
      </w:r>
      <w:r w:rsidRPr="00D33A45">
        <w:rPr>
          <w:sz w:val="24"/>
          <w:szCs w:val="24"/>
          <w:lang w:val="zh-CN" w:eastAsia="zh-CN"/>
        </w:rPr>
        <w:t>公吨的汞和汞化合物库存。还可以考虑定期</w:t>
      </w:r>
      <w:r w:rsidR="00CC5F22" w:rsidRPr="00D33A45">
        <w:rPr>
          <w:sz w:val="24"/>
          <w:szCs w:val="24"/>
          <w:lang w:val="zh-CN" w:eastAsia="zh-CN"/>
        </w:rPr>
        <w:t>上</w:t>
      </w:r>
      <w:r w:rsidRPr="00D33A45">
        <w:rPr>
          <w:sz w:val="24"/>
          <w:szCs w:val="24"/>
          <w:lang w:val="zh-CN" w:eastAsia="zh-CN"/>
        </w:rPr>
        <w:t>报关于所储存或使用的汞和汞化合物数量的信息，以获得</w:t>
      </w:r>
      <w:r w:rsidR="00CC5F22" w:rsidRPr="00D33A45">
        <w:rPr>
          <w:sz w:val="24"/>
          <w:szCs w:val="24"/>
          <w:lang w:val="zh-CN" w:eastAsia="zh-CN"/>
        </w:rPr>
        <w:t>按</w:t>
      </w:r>
      <w:r w:rsidRPr="00D33A45">
        <w:rPr>
          <w:sz w:val="24"/>
          <w:szCs w:val="24"/>
          <w:lang w:val="zh-CN" w:eastAsia="zh-CN"/>
        </w:rPr>
        <w:t>第</w:t>
      </w:r>
      <w:r w:rsidRPr="00D33A45">
        <w:rPr>
          <w:sz w:val="24"/>
          <w:szCs w:val="24"/>
          <w:lang w:val="zh-CN" w:eastAsia="zh-CN"/>
        </w:rPr>
        <w:t>3</w:t>
      </w:r>
      <w:r w:rsidRPr="00D33A45">
        <w:rPr>
          <w:sz w:val="24"/>
          <w:szCs w:val="24"/>
          <w:lang w:val="zh-CN" w:eastAsia="zh-CN"/>
        </w:rPr>
        <w:t>条提交报告所需要的数据。《水俣公约》网站上</w:t>
      </w:r>
      <w:r w:rsidR="00CC5F22" w:rsidRPr="00D33A45">
        <w:rPr>
          <w:sz w:val="24"/>
          <w:szCs w:val="24"/>
          <w:lang w:val="zh-CN" w:eastAsia="zh-CN"/>
        </w:rPr>
        <w:t>有用于</w:t>
      </w:r>
      <w:r w:rsidRPr="00D33A45">
        <w:rPr>
          <w:sz w:val="24"/>
          <w:szCs w:val="24"/>
          <w:lang w:val="zh-CN" w:eastAsia="zh-CN"/>
        </w:rPr>
        <w:t>确定这类库存的指导意见（环境署，</w:t>
      </w:r>
      <w:r w:rsidRPr="00D33A45">
        <w:rPr>
          <w:sz w:val="24"/>
          <w:szCs w:val="24"/>
          <w:lang w:val="zh-CN" w:eastAsia="zh-CN"/>
        </w:rPr>
        <w:t>2017</w:t>
      </w:r>
      <w:r w:rsidRPr="00D33A45">
        <w:rPr>
          <w:sz w:val="24"/>
          <w:szCs w:val="24"/>
          <w:lang w:val="zh-CN" w:eastAsia="zh-CN"/>
        </w:rPr>
        <w:t>年</w:t>
      </w:r>
      <w:r w:rsidRPr="00D33A45">
        <w:rPr>
          <w:sz w:val="24"/>
          <w:szCs w:val="24"/>
          <w:lang w:val="zh-CN" w:eastAsia="zh-CN"/>
        </w:rPr>
        <w:t>b</w:t>
      </w:r>
      <w:r w:rsidRPr="00D33A45">
        <w:rPr>
          <w:sz w:val="24"/>
          <w:szCs w:val="24"/>
          <w:lang w:val="zh-CN" w:eastAsia="zh-CN"/>
        </w:rPr>
        <w:t>）。</w:t>
      </w:r>
    </w:p>
    <w:p w14:paraId="2DE815CB" w14:textId="77777777" w:rsidR="0009682F" w:rsidRPr="001C174F"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pacing w:val="-4"/>
          <w:sz w:val="24"/>
          <w:szCs w:val="24"/>
          <w:lang w:val="zh-CN" w:eastAsia="zh-CN"/>
        </w:rPr>
      </w:pPr>
      <w:r w:rsidRPr="001C174F">
        <w:rPr>
          <w:spacing w:val="-4"/>
          <w:sz w:val="24"/>
          <w:szCs w:val="24"/>
          <w:lang w:val="zh-CN" w:eastAsia="zh-CN"/>
        </w:rPr>
        <w:t>应定期对储存场地进行检查和审计，尤其重点关注破损、溢漏和退化情况。应迅速开展清洗和净化工作，同时应通知相关主管部门（粮农组织，</w:t>
      </w:r>
      <w:r w:rsidRPr="001C174F">
        <w:rPr>
          <w:spacing w:val="-4"/>
          <w:sz w:val="24"/>
          <w:szCs w:val="24"/>
          <w:lang w:val="zh-CN" w:eastAsia="zh-CN"/>
        </w:rPr>
        <w:t>1985</w:t>
      </w:r>
      <w:r w:rsidRPr="001C174F">
        <w:rPr>
          <w:spacing w:val="-4"/>
          <w:sz w:val="24"/>
          <w:szCs w:val="24"/>
          <w:lang w:val="zh-CN" w:eastAsia="zh-CN"/>
        </w:rPr>
        <w:t>年）。</w:t>
      </w:r>
    </w:p>
    <w:p w14:paraId="3B98D474" w14:textId="62F0F473"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所有内有容器证书、汞临时储存后的离库和调度记录、汞的去向和预定用途等必要信息的文件，应当在储存终止后按国家规定的时间保留</w:t>
      </w:r>
      <w:r w:rsidR="00CC5F22" w:rsidRPr="00D33A45">
        <w:rPr>
          <w:sz w:val="24"/>
          <w:szCs w:val="24"/>
          <w:lang w:val="zh-CN" w:eastAsia="zh-CN"/>
        </w:rPr>
        <w:t>起来</w:t>
      </w:r>
      <w:r w:rsidRPr="00D33A45">
        <w:rPr>
          <w:sz w:val="24"/>
          <w:szCs w:val="24"/>
          <w:lang w:val="zh-CN" w:eastAsia="zh-CN"/>
        </w:rPr>
        <w:t>。一些缔约方认为，宜至少保留三年。</w:t>
      </w:r>
    </w:p>
    <w:p w14:paraId="711B3975" w14:textId="754BFEBA" w:rsidR="0009682F" w:rsidRPr="00D33A45" w:rsidRDefault="0009682F" w:rsidP="00D33A45">
      <w:pPr>
        <w:pStyle w:val="CH2"/>
        <w:jc w:val="both"/>
        <w:rPr>
          <w:rFonts w:ascii="SimHei" w:eastAsia="SimHei" w:hAnsi="SimHei"/>
          <w:lang w:val="zh-CN" w:eastAsia="zh-CN"/>
        </w:rPr>
      </w:pPr>
      <w:r w:rsidRPr="00D33A45">
        <w:rPr>
          <w:lang w:val="en-US" w:eastAsia="zh-CN"/>
        </w:rPr>
        <w:lastRenderedPageBreak/>
        <w:tab/>
      </w:r>
      <w:bookmarkStart w:id="26" w:name="_Toc526252804"/>
      <w:r w:rsidRPr="00D33A45">
        <w:rPr>
          <w:lang w:val="zh-CN" w:eastAsia="zh-CN"/>
        </w:rPr>
        <w:t>E.</w:t>
      </w:r>
      <w:r w:rsidRPr="00D33A45">
        <w:rPr>
          <w:lang w:val="zh-CN" w:eastAsia="zh-CN"/>
        </w:rPr>
        <w:tab/>
      </w:r>
      <w:r w:rsidRPr="00D33A45">
        <w:rPr>
          <w:rFonts w:ascii="SimHei" w:eastAsia="SimHei" w:hAnsi="SimHei"/>
          <w:lang w:val="zh-CN" w:eastAsia="zh-CN"/>
        </w:rPr>
        <w:t>工作人员的教育和培训</w:t>
      </w:r>
      <w:bookmarkEnd w:id="26"/>
    </w:p>
    <w:p w14:paraId="3C783D1B" w14:textId="78FE136E"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参加处理或储存汞或汞化合物的人员应充分接受适当的培训。不参与处理储存区的汞或汞化合物、但有可能因意外排放而接触汞的人也应了解汞和汞化合物的风险与危害，并熟悉设施的应急计划（水银核心小组，</w:t>
      </w:r>
      <w:r w:rsidRPr="00D33A45">
        <w:rPr>
          <w:sz w:val="24"/>
          <w:szCs w:val="24"/>
          <w:lang w:val="zh-CN" w:eastAsia="zh-CN"/>
        </w:rPr>
        <w:t>2003</w:t>
      </w:r>
      <w:r w:rsidRPr="00D33A45">
        <w:rPr>
          <w:sz w:val="24"/>
          <w:szCs w:val="24"/>
          <w:lang w:val="zh-CN" w:eastAsia="zh-CN"/>
        </w:rPr>
        <w:t>年）。只有受过充分训练、包括识别汞的特定危害和</w:t>
      </w:r>
      <w:r w:rsidR="00CC5F22" w:rsidRPr="00D33A45">
        <w:rPr>
          <w:sz w:val="24"/>
          <w:szCs w:val="24"/>
          <w:lang w:val="zh-CN" w:eastAsia="zh-CN"/>
        </w:rPr>
        <w:t>处理</w:t>
      </w:r>
      <w:r w:rsidRPr="00D33A45">
        <w:rPr>
          <w:sz w:val="24"/>
          <w:szCs w:val="24"/>
          <w:lang w:val="zh-CN" w:eastAsia="zh-CN"/>
        </w:rPr>
        <w:t>汞和汞化合物训练的人才能进入储存区。</w:t>
      </w:r>
    </w:p>
    <w:p w14:paraId="6BCD1B88"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应对雇员进行无害环境管理及工作场所健康与安全的培训，确保雇员在设施内不受汞释放、接触和意外受伤的危害。</w:t>
      </w:r>
    </w:p>
    <w:p w14:paraId="36A631BC" w14:textId="0DEA60A6" w:rsidR="0009682F" w:rsidRPr="00D33A45" w:rsidRDefault="0009682F" w:rsidP="00D33A45">
      <w:pPr>
        <w:pStyle w:val="Normalnumber"/>
        <w:keepNext/>
        <w:keepLines/>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雇员应</w:t>
      </w:r>
      <w:r w:rsidR="00CA7527" w:rsidRPr="00D33A45">
        <w:rPr>
          <w:sz w:val="24"/>
          <w:szCs w:val="24"/>
          <w:lang w:val="zh-CN" w:eastAsia="zh-CN"/>
        </w:rPr>
        <w:t>有</w:t>
      </w:r>
      <w:r w:rsidRPr="00D33A45">
        <w:rPr>
          <w:sz w:val="24"/>
          <w:szCs w:val="24"/>
          <w:lang w:val="zh-CN" w:eastAsia="zh-CN"/>
        </w:rPr>
        <w:t>以下基本知识：</w:t>
      </w:r>
    </w:p>
    <w:p w14:paraId="20CEC08E" w14:textId="77777777"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汞的化学性能和有害影响；</w:t>
      </w:r>
    </w:p>
    <w:p w14:paraId="36BDD776" w14:textId="77777777"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如何识别汞并将其同其他有害物质分开；</w:t>
      </w:r>
    </w:p>
    <w:p w14:paraId="2BFF9579" w14:textId="77777777"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与汞和汞化合物有关的职业安全标准；</w:t>
      </w:r>
    </w:p>
    <w:p w14:paraId="07160100" w14:textId="77777777"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如何使用雇主提供的个人防护装备，例如防护衣、眼部和面部保护装置、手套和呼吸保护装置，包括如何处理和处置这些装备；</w:t>
      </w:r>
    </w:p>
    <w:p w14:paraId="72311FC2" w14:textId="77777777"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适于设施或同类设施的标识和储存标准、容器兼容性和到期日期的规定及密闭容器要求。</w:t>
      </w:r>
    </w:p>
    <w:p w14:paraId="619C4F9C" w14:textId="77777777"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如何用设施现有的设备安全处理汞和汞化合物；</w:t>
      </w:r>
    </w:p>
    <w:p w14:paraId="44A6F082" w14:textId="77777777"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如何利用工程控制来最大限度减少接触；</w:t>
      </w:r>
    </w:p>
    <w:p w14:paraId="53658716" w14:textId="609EFD2C"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汞发生意外溢漏时如何应对；</w:t>
      </w:r>
    </w:p>
    <w:p w14:paraId="78FC4B5A" w14:textId="4B172786" w:rsidR="0009682F" w:rsidRPr="00D33A45" w:rsidRDefault="0009682F" w:rsidP="00D33A45">
      <w:pPr>
        <w:pStyle w:val="Normalnumber"/>
        <w:numPr>
          <w:ilvl w:val="1"/>
          <w:numId w:val="43"/>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如何利用汞蒸气监测装置识别设施中汞浓度增加的潜在来源，并为工作人员提供确保自身安全所需要的信息（例如，在需要有呼吸保护时）</w:t>
      </w:r>
      <w:r w:rsidR="006D0387">
        <w:rPr>
          <w:rFonts w:hint="eastAsia"/>
          <w:sz w:val="24"/>
          <w:szCs w:val="24"/>
          <w:lang w:val="zh-CN" w:eastAsia="zh-CN"/>
        </w:rPr>
        <w:t>。</w:t>
      </w:r>
    </w:p>
    <w:p w14:paraId="01E3BF46"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必须按国家法律的要求为工人购买保险和购买雇主责任保险。</w:t>
      </w:r>
    </w:p>
    <w:p w14:paraId="192D9269" w14:textId="2777FBA1" w:rsidR="0009682F" w:rsidRPr="00D33A45" w:rsidRDefault="00CA7527"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对</w:t>
      </w:r>
      <w:r w:rsidR="0009682F" w:rsidRPr="00D33A45">
        <w:rPr>
          <w:sz w:val="24"/>
          <w:szCs w:val="24"/>
          <w:lang w:val="zh-CN" w:eastAsia="zh-CN"/>
        </w:rPr>
        <w:t>雇员</w:t>
      </w:r>
      <w:r w:rsidRPr="00D33A45">
        <w:rPr>
          <w:sz w:val="24"/>
          <w:szCs w:val="24"/>
          <w:lang w:val="zh-CN" w:eastAsia="zh-CN"/>
        </w:rPr>
        <w:t>进行</w:t>
      </w:r>
      <w:r w:rsidR="0009682F" w:rsidRPr="00D33A45">
        <w:rPr>
          <w:sz w:val="24"/>
          <w:szCs w:val="24"/>
          <w:lang w:val="zh-CN" w:eastAsia="zh-CN"/>
        </w:rPr>
        <w:t>培训的有用材料包括提高对汞的认识的整套材料，例如环境署编制的材料（</w:t>
      </w:r>
      <w:r w:rsidR="0009682F" w:rsidRPr="00D33A45">
        <w:rPr>
          <w:sz w:val="24"/>
          <w:szCs w:val="24"/>
          <w:lang w:val="zh-CN" w:eastAsia="zh-CN"/>
        </w:rPr>
        <w:t>2008</w:t>
      </w:r>
      <w:r w:rsidR="001C174F">
        <w:rPr>
          <w:rFonts w:hint="eastAsia"/>
          <w:sz w:val="24"/>
          <w:szCs w:val="24"/>
          <w:lang w:val="zh-CN" w:eastAsia="zh-CN"/>
        </w:rPr>
        <w:t>年</w:t>
      </w:r>
      <w:r w:rsidR="0009682F" w:rsidRPr="00D33A45">
        <w:rPr>
          <w:sz w:val="24"/>
          <w:szCs w:val="24"/>
          <w:lang w:val="zh-CN" w:eastAsia="zh-CN"/>
        </w:rPr>
        <w:t>）和水俣公约网站上的环境署出版物</w:t>
      </w:r>
      <w:r w:rsidR="0009682F" w:rsidRPr="00D33A45">
        <w:rPr>
          <w:sz w:val="24"/>
          <w:szCs w:val="24"/>
          <w:lang w:val="zh-CN" w:eastAsia="zh-CN"/>
        </w:rPr>
        <w:t>(http://mercuryconvention.org/Resources/Information/Publications/tabid/3429/language/en-US/Default.aspx)</w:t>
      </w:r>
      <w:r w:rsidR="0009682F" w:rsidRPr="00D33A45">
        <w:rPr>
          <w:sz w:val="24"/>
          <w:szCs w:val="24"/>
          <w:lang w:val="zh-CN" w:eastAsia="zh-CN"/>
        </w:rPr>
        <w:t>。所有培训材料都应译成当地语言，并提供给雇员。</w:t>
      </w:r>
    </w:p>
    <w:p w14:paraId="04567F8C" w14:textId="7F780F71" w:rsidR="0009682F" w:rsidRPr="00D33A45" w:rsidRDefault="0009682F" w:rsidP="00D33A45">
      <w:pPr>
        <w:pStyle w:val="CH2"/>
        <w:jc w:val="both"/>
        <w:rPr>
          <w:rFonts w:ascii="SimHei" w:eastAsia="SimHei" w:hAnsi="SimHei"/>
          <w:lang w:eastAsia="zh-CN"/>
        </w:rPr>
      </w:pPr>
      <w:r w:rsidRPr="00D33A45">
        <w:rPr>
          <w:lang w:val="en-US" w:eastAsia="zh-CN"/>
        </w:rPr>
        <w:tab/>
      </w:r>
      <w:bookmarkStart w:id="27" w:name="_Toc526252805"/>
      <w:r w:rsidRPr="00D33A45">
        <w:rPr>
          <w:lang w:val="zh-CN" w:eastAsia="zh-CN"/>
        </w:rPr>
        <w:t>F.</w:t>
      </w:r>
      <w:r w:rsidRPr="00D33A45">
        <w:rPr>
          <w:lang w:val="zh-CN" w:eastAsia="zh-CN"/>
        </w:rPr>
        <w:tab/>
      </w:r>
      <w:r w:rsidRPr="00D33A45">
        <w:rPr>
          <w:rFonts w:ascii="SimHei" w:eastAsia="SimHei" w:hAnsi="SimHei"/>
          <w:lang w:val="zh-CN" w:eastAsia="zh-CN"/>
        </w:rPr>
        <w:t>修理、监测和维修时间表</w:t>
      </w:r>
      <w:bookmarkStart w:id="28" w:name="_Toc520380786"/>
      <w:bookmarkEnd w:id="27"/>
      <w:bookmarkEnd w:id="28"/>
    </w:p>
    <w:p w14:paraId="0567C739"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进行定期检查，确保设施、包括所有设备保持良好的状态。这种检查应包括对容器、溢漏收集区、地面和墙壁的检查，确保未发生汞释放，设备和涂层完好无损。应检查场地安保情况。可根据国家法规或指示确定检查时间表，或由设施管理人员确定。设施开始运营前应有一个制定定期监测和修理时间表的明确计划。应进行例行的维修评估，保留详细的检查和维修记录。</w:t>
      </w:r>
    </w:p>
    <w:p w14:paraId="7952935F" w14:textId="35A56820"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应考虑对室内空气进行监测，以</w:t>
      </w:r>
      <w:r w:rsidR="00CA7527" w:rsidRPr="00D33A45">
        <w:rPr>
          <w:sz w:val="24"/>
          <w:szCs w:val="24"/>
          <w:lang w:val="zh-CN" w:eastAsia="zh-CN"/>
        </w:rPr>
        <w:t>便于</w:t>
      </w:r>
      <w:r w:rsidRPr="00D33A45">
        <w:rPr>
          <w:sz w:val="24"/>
          <w:szCs w:val="24"/>
          <w:lang w:val="zh-CN" w:eastAsia="zh-CN"/>
        </w:rPr>
        <w:t>查找泄露和保护场地的工人。国家或地方立法可能要求进行这种监测。可以安装一个在地表和头顶高度安装传感器的不断监测室内空气的系统来尽早发现泄露，并安装目视和声响警</w:t>
      </w:r>
      <w:r w:rsidR="00CA7527" w:rsidRPr="00D33A45">
        <w:rPr>
          <w:sz w:val="24"/>
          <w:szCs w:val="24"/>
          <w:lang w:val="zh-CN" w:eastAsia="zh-CN"/>
        </w:rPr>
        <w:t>报</w:t>
      </w:r>
      <w:r w:rsidRPr="00D33A45">
        <w:rPr>
          <w:sz w:val="24"/>
          <w:szCs w:val="24"/>
          <w:lang w:val="zh-CN" w:eastAsia="zh-CN"/>
        </w:rPr>
        <w:t>系统。可以买到一些对汞进行持续测量的系统</w:t>
      </w:r>
      <w:r w:rsidR="00CA7527" w:rsidRPr="00D33A45">
        <w:rPr>
          <w:sz w:val="24"/>
          <w:szCs w:val="24"/>
          <w:lang w:val="zh-CN" w:eastAsia="zh-CN"/>
        </w:rPr>
        <w:t>来进行某些类别的汞监测</w:t>
      </w:r>
      <w:r w:rsidRPr="00D33A45">
        <w:rPr>
          <w:sz w:val="24"/>
          <w:szCs w:val="24"/>
          <w:lang w:val="zh-CN" w:eastAsia="zh-CN"/>
        </w:rPr>
        <w:t>。或者可以通过</w:t>
      </w:r>
      <w:r w:rsidR="00CA7527" w:rsidRPr="00D33A45">
        <w:rPr>
          <w:sz w:val="24"/>
          <w:szCs w:val="24"/>
          <w:lang w:val="zh-CN" w:eastAsia="zh-CN"/>
        </w:rPr>
        <w:t>对</w:t>
      </w:r>
      <w:r w:rsidRPr="00D33A45">
        <w:rPr>
          <w:sz w:val="24"/>
          <w:szCs w:val="24"/>
          <w:lang w:val="zh-CN" w:eastAsia="zh-CN"/>
        </w:rPr>
        <w:t>场地环境</w:t>
      </w:r>
      <w:r w:rsidR="00CA7527" w:rsidRPr="00D33A45">
        <w:rPr>
          <w:sz w:val="24"/>
          <w:szCs w:val="24"/>
          <w:lang w:val="zh-CN" w:eastAsia="zh-CN"/>
        </w:rPr>
        <w:t>进行</w:t>
      </w:r>
      <w:r w:rsidRPr="00D33A45">
        <w:rPr>
          <w:sz w:val="24"/>
          <w:szCs w:val="24"/>
          <w:lang w:val="zh-CN" w:eastAsia="zh-CN"/>
        </w:rPr>
        <w:t>采样来进行适当的监测。发现泄露时，运营者应立即采取一切必要行动，避免发生任何汞释放（欧盟，</w:t>
      </w:r>
      <w:r w:rsidRPr="00D33A45">
        <w:rPr>
          <w:sz w:val="24"/>
          <w:szCs w:val="24"/>
          <w:lang w:val="zh-CN" w:eastAsia="zh-CN"/>
        </w:rPr>
        <w:t>2011</w:t>
      </w:r>
      <w:r w:rsidRPr="00D33A45">
        <w:rPr>
          <w:sz w:val="24"/>
          <w:szCs w:val="24"/>
          <w:lang w:val="zh-CN" w:eastAsia="zh-CN"/>
        </w:rPr>
        <w:t>年）。</w:t>
      </w:r>
    </w:p>
    <w:p w14:paraId="6FEC9028"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lastRenderedPageBreak/>
        <w:t>通过监测获得的信息可用于确定储存的汞和汞化合物是否得到妥善管理，发现可能释放或排放或接触汞的潜在问题，并帮助评估管理方法的改变是否得当。监测方案会有助于设施管理人员发现问题和采取适当措施补救。所有设备，包括监测设备，应进行例行维护，包括进行测试，确保它得到正确校准和运行正常。也应在边缘地区进行监测以发现任何潜在的影响。如果结果表明有高于具体限度的情况，应采取行动和</w:t>
      </w:r>
      <w:r w:rsidRPr="00D33A45">
        <w:rPr>
          <w:sz w:val="24"/>
          <w:szCs w:val="24"/>
          <w:lang w:val="zh-CN" w:eastAsia="zh-CN"/>
        </w:rPr>
        <w:t>/</w:t>
      </w:r>
      <w:r w:rsidRPr="00D33A45">
        <w:rPr>
          <w:sz w:val="24"/>
          <w:szCs w:val="24"/>
          <w:lang w:val="zh-CN" w:eastAsia="zh-CN"/>
        </w:rPr>
        <w:t>或补救措施。应该有应急计划。</w:t>
      </w:r>
    </w:p>
    <w:p w14:paraId="6163370E" w14:textId="2D8A6AED"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应向相关政府当局报告所有的业绩监测结果。各国政府可以要求</w:t>
      </w:r>
      <w:r w:rsidR="00CA7527" w:rsidRPr="00D33A45">
        <w:rPr>
          <w:sz w:val="24"/>
          <w:szCs w:val="24"/>
          <w:lang w:val="zh-CN" w:eastAsia="zh-CN"/>
        </w:rPr>
        <w:t>上</w:t>
      </w:r>
      <w:r w:rsidRPr="00D33A45">
        <w:rPr>
          <w:sz w:val="24"/>
          <w:szCs w:val="24"/>
          <w:lang w:val="zh-CN" w:eastAsia="zh-CN"/>
        </w:rPr>
        <w:t>报检查、监测和补救措施的结果。此外，应该编制一份年度报告，阐述监测方案的结果、对这些结果进行</w:t>
      </w:r>
      <w:r w:rsidR="00CA7527" w:rsidRPr="00D33A45">
        <w:rPr>
          <w:sz w:val="24"/>
          <w:szCs w:val="24"/>
          <w:lang w:val="zh-CN" w:eastAsia="zh-CN"/>
        </w:rPr>
        <w:t>的</w:t>
      </w:r>
      <w:r w:rsidRPr="00D33A45">
        <w:rPr>
          <w:sz w:val="24"/>
          <w:szCs w:val="24"/>
          <w:lang w:val="zh-CN" w:eastAsia="zh-CN"/>
        </w:rPr>
        <w:t>评估、采取的纠正行动和纠正行动的相对成功</w:t>
      </w:r>
      <w:r w:rsidR="00CA7527" w:rsidRPr="00D33A45">
        <w:rPr>
          <w:sz w:val="24"/>
          <w:szCs w:val="24"/>
          <w:lang w:val="zh-CN" w:eastAsia="zh-CN"/>
        </w:rPr>
        <w:t>程度</w:t>
      </w:r>
      <w:r w:rsidRPr="00D33A45">
        <w:rPr>
          <w:sz w:val="24"/>
          <w:szCs w:val="24"/>
          <w:lang w:val="zh-CN" w:eastAsia="zh-CN"/>
        </w:rPr>
        <w:t>。数据应在商定的时间内进行保留。</w:t>
      </w:r>
    </w:p>
    <w:p w14:paraId="3643FCE9" w14:textId="3BF55537" w:rsidR="0009682F" w:rsidRPr="00D33A45" w:rsidRDefault="0009682F" w:rsidP="00D33A45">
      <w:pPr>
        <w:pStyle w:val="CH2"/>
        <w:jc w:val="both"/>
        <w:rPr>
          <w:lang w:val="zh-CN" w:eastAsia="zh-CN"/>
        </w:rPr>
      </w:pPr>
      <w:r w:rsidRPr="00D33A45">
        <w:rPr>
          <w:lang w:val="en-US" w:eastAsia="zh-CN"/>
        </w:rPr>
        <w:tab/>
      </w:r>
      <w:bookmarkStart w:id="29" w:name="_Toc526252806"/>
      <w:r w:rsidRPr="00D33A45">
        <w:rPr>
          <w:lang w:val="zh-CN" w:eastAsia="zh-CN"/>
        </w:rPr>
        <w:t>G.</w:t>
      </w:r>
      <w:r w:rsidRPr="00D33A45">
        <w:rPr>
          <w:lang w:val="zh-CN" w:eastAsia="zh-CN"/>
        </w:rPr>
        <w:tab/>
      </w:r>
      <w:r w:rsidRPr="00D33A45">
        <w:rPr>
          <w:rFonts w:ascii="SimHei" w:eastAsia="SimHei" w:hAnsi="SimHei"/>
          <w:lang w:val="zh-CN" w:eastAsia="zh-CN"/>
        </w:rPr>
        <w:t>应急措施，包括个人防护设备</w:t>
      </w:r>
      <w:bookmarkStart w:id="30" w:name="_Toc520380787"/>
      <w:bookmarkEnd w:id="29"/>
      <w:bookmarkEnd w:id="30"/>
    </w:p>
    <w:p w14:paraId="694A54E7" w14:textId="78982D8F"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针对具体场地制定计划和程序，以根据国家标准，在政府相关的安全和环境管理部门批准后，落实为储存汞和汞化合物提出的安全要求。可行的应急计划应包括在发生恐怖主义、火灾和其他灾难性事件时疏散公众和疏散</w:t>
      </w:r>
      <w:r w:rsidR="00CA7527" w:rsidRPr="00D33A45">
        <w:rPr>
          <w:sz w:val="24"/>
          <w:szCs w:val="24"/>
          <w:lang w:val="zh-CN" w:eastAsia="zh-CN"/>
        </w:rPr>
        <w:t>时</w:t>
      </w:r>
      <w:r w:rsidRPr="00D33A45">
        <w:rPr>
          <w:sz w:val="24"/>
          <w:szCs w:val="24"/>
          <w:lang w:val="zh-CN" w:eastAsia="zh-CN"/>
        </w:rPr>
        <w:t>要遵守的程序，因为这些事件可能在设施内和设施外引起重大汞释放。应该有这一计划，并在发生意外溢漏或其他紧急情况时立即执行（水银核心小组，</w:t>
      </w:r>
      <w:r w:rsidR="001C174F">
        <w:rPr>
          <w:sz w:val="24"/>
          <w:szCs w:val="24"/>
          <w:lang w:val="zh-CN" w:eastAsia="zh-CN"/>
        </w:rPr>
        <w:br/>
      </w:r>
      <w:r w:rsidRPr="00D33A45">
        <w:rPr>
          <w:sz w:val="24"/>
          <w:szCs w:val="24"/>
          <w:lang w:val="zh-CN" w:eastAsia="zh-CN"/>
        </w:rPr>
        <w:t>2003</w:t>
      </w:r>
      <w:r w:rsidRPr="00D33A45">
        <w:rPr>
          <w:sz w:val="24"/>
          <w:szCs w:val="24"/>
          <w:lang w:val="zh-CN" w:eastAsia="zh-CN"/>
        </w:rPr>
        <w:t>年）。邻近的社区应该知道应急计划，并知道如何遵守计划的程序。应指定一人负责批准对安全程序作出</w:t>
      </w:r>
      <w:r w:rsidR="00CA7527" w:rsidRPr="00D33A45">
        <w:rPr>
          <w:sz w:val="24"/>
          <w:szCs w:val="24"/>
          <w:lang w:val="zh-CN" w:eastAsia="zh-CN"/>
        </w:rPr>
        <w:t>的</w:t>
      </w:r>
      <w:r w:rsidRPr="00D33A45">
        <w:rPr>
          <w:sz w:val="24"/>
          <w:szCs w:val="24"/>
          <w:lang w:val="zh-CN" w:eastAsia="zh-CN"/>
        </w:rPr>
        <w:t>必要改动，以便协助应急人员在紧急情况下开展工作。应确保可在受影响地区适当通行。</w:t>
      </w:r>
    </w:p>
    <w:p w14:paraId="63A80F16" w14:textId="3700A496"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应急计划或程序应遵守地方、区域和国家的规定，并有为消防人员、应急人员、救护车人员等救护人员和地方医院制订的程序（水银核心小组，</w:t>
      </w:r>
      <w:r w:rsidR="001C174F">
        <w:rPr>
          <w:sz w:val="24"/>
          <w:szCs w:val="24"/>
          <w:lang w:val="zh-CN" w:eastAsia="zh-CN"/>
        </w:rPr>
        <w:br/>
      </w:r>
      <w:r w:rsidRPr="00D33A45">
        <w:rPr>
          <w:sz w:val="24"/>
          <w:szCs w:val="24"/>
          <w:lang w:val="zh-CN" w:eastAsia="zh-CN"/>
        </w:rPr>
        <w:t>2003</w:t>
      </w:r>
      <w:r w:rsidRPr="00D33A45">
        <w:rPr>
          <w:sz w:val="24"/>
          <w:szCs w:val="24"/>
          <w:lang w:val="zh-CN" w:eastAsia="zh-CN"/>
        </w:rPr>
        <w:t>年）。计划可因场地的实际和社会状况而异，但应急计划的主要内容包括：识别潜在危险；与应急计划相关的立法；在紧急情况下要采取的行动，包括缓解措施；人员培训计划；发生紧急情况时</w:t>
      </w:r>
      <w:r w:rsidR="00CA7527" w:rsidRPr="00D33A45">
        <w:rPr>
          <w:sz w:val="24"/>
          <w:szCs w:val="24"/>
          <w:lang w:val="zh-CN" w:eastAsia="zh-CN"/>
        </w:rPr>
        <w:t>要</w:t>
      </w:r>
      <w:r w:rsidRPr="00D33A45">
        <w:rPr>
          <w:sz w:val="24"/>
          <w:szCs w:val="24"/>
          <w:lang w:val="zh-CN" w:eastAsia="zh-CN"/>
        </w:rPr>
        <w:t>通报</w:t>
      </w:r>
      <w:r w:rsidR="00CA7527" w:rsidRPr="00D33A45">
        <w:rPr>
          <w:sz w:val="24"/>
          <w:szCs w:val="24"/>
          <w:lang w:val="zh-CN" w:eastAsia="zh-CN"/>
        </w:rPr>
        <w:t>的</w:t>
      </w:r>
      <w:r w:rsidRPr="00D33A45">
        <w:rPr>
          <w:sz w:val="24"/>
          <w:szCs w:val="24"/>
          <w:lang w:val="zh-CN" w:eastAsia="zh-CN"/>
        </w:rPr>
        <w:t>对象（消防局、警察、周边社区、地方政府等）和通报方法；以及应急设备的测试方法和时间安排。应该演练应急</w:t>
      </w:r>
      <w:r w:rsidR="00CA7527" w:rsidRPr="00D33A45">
        <w:rPr>
          <w:sz w:val="24"/>
          <w:szCs w:val="24"/>
          <w:lang w:val="zh-CN" w:eastAsia="zh-CN"/>
        </w:rPr>
        <w:t>方法</w:t>
      </w:r>
      <w:r w:rsidRPr="00D33A45">
        <w:rPr>
          <w:sz w:val="24"/>
          <w:szCs w:val="24"/>
          <w:lang w:val="zh-CN" w:eastAsia="zh-CN"/>
        </w:rPr>
        <w:t>。</w:t>
      </w:r>
    </w:p>
    <w:p w14:paraId="4157B1C8"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应急计划或程序应涵盖多种不同情况，包括但不应限于：</w:t>
      </w:r>
    </w:p>
    <w:p w14:paraId="5C4C29FC" w14:textId="30DCD680" w:rsidR="0009682F" w:rsidRPr="00D33A45" w:rsidRDefault="0009682F" w:rsidP="00D33A45">
      <w:pPr>
        <w:pStyle w:val="Normalnumber"/>
        <w:numPr>
          <w:ilvl w:val="1"/>
          <w:numId w:val="44"/>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储存容器在处理过程中</w:t>
      </w:r>
      <w:r w:rsidR="00A66EFF" w:rsidRPr="00D33A45">
        <w:rPr>
          <w:sz w:val="24"/>
          <w:szCs w:val="24"/>
          <w:lang w:val="zh-CN" w:eastAsia="zh-CN"/>
        </w:rPr>
        <w:t>出现</w:t>
      </w:r>
      <w:r w:rsidRPr="00D33A45">
        <w:rPr>
          <w:sz w:val="24"/>
          <w:szCs w:val="24"/>
          <w:lang w:val="zh-CN" w:eastAsia="zh-CN"/>
        </w:rPr>
        <w:t>破损，</w:t>
      </w:r>
      <w:r w:rsidR="00A66EFF" w:rsidRPr="00D33A45">
        <w:rPr>
          <w:sz w:val="24"/>
          <w:szCs w:val="24"/>
          <w:lang w:val="zh-CN" w:eastAsia="zh-CN"/>
        </w:rPr>
        <w:t>包括</w:t>
      </w:r>
      <w:r w:rsidRPr="00D33A45">
        <w:rPr>
          <w:sz w:val="24"/>
          <w:szCs w:val="24"/>
          <w:lang w:val="zh-CN" w:eastAsia="zh-CN"/>
        </w:rPr>
        <w:t>轻微破损和严重破损（例如，容器封口完全无法做到密封）</w:t>
      </w:r>
      <w:r w:rsidR="00A66EFF" w:rsidRPr="00D33A45">
        <w:rPr>
          <w:sz w:val="24"/>
          <w:szCs w:val="24"/>
          <w:lang w:val="zh-CN" w:eastAsia="zh-CN"/>
        </w:rPr>
        <w:t>的区</w:t>
      </w:r>
      <w:r w:rsidRPr="00D33A45">
        <w:rPr>
          <w:sz w:val="24"/>
          <w:szCs w:val="24"/>
          <w:lang w:val="zh-CN" w:eastAsia="zh-CN"/>
        </w:rPr>
        <w:t>分；</w:t>
      </w:r>
    </w:p>
    <w:p w14:paraId="70F38AB3" w14:textId="77777777" w:rsidR="0009682F" w:rsidRPr="00D33A45" w:rsidRDefault="0009682F" w:rsidP="00D33A45">
      <w:pPr>
        <w:pStyle w:val="Normalnumber"/>
        <w:numPr>
          <w:ilvl w:val="1"/>
          <w:numId w:val="44"/>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日常检查期间发现容器泄露；</w:t>
      </w:r>
    </w:p>
    <w:p w14:paraId="4A1CF348" w14:textId="4E63798B" w:rsidR="0009682F" w:rsidRPr="00D33A45" w:rsidRDefault="0009682F" w:rsidP="00D33A45">
      <w:pPr>
        <w:pStyle w:val="Normalnumber"/>
        <w:numPr>
          <w:ilvl w:val="1"/>
          <w:numId w:val="44"/>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重新包装作业过程中发生释放；</w:t>
      </w:r>
    </w:p>
    <w:p w14:paraId="53ADED8B" w14:textId="3B173AB7" w:rsidR="0009682F" w:rsidRPr="00D33A45" w:rsidRDefault="0009682F" w:rsidP="00D33A45">
      <w:pPr>
        <w:pStyle w:val="Normalnumber"/>
        <w:numPr>
          <w:ilvl w:val="1"/>
          <w:numId w:val="44"/>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储存设施本身</w:t>
      </w:r>
      <w:r w:rsidR="00A66EFF" w:rsidRPr="00D33A45">
        <w:rPr>
          <w:sz w:val="24"/>
          <w:szCs w:val="24"/>
          <w:lang w:val="zh-CN" w:eastAsia="zh-CN"/>
        </w:rPr>
        <w:t>出现</w:t>
      </w:r>
      <w:r w:rsidRPr="00D33A45">
        <w:rPr>
          <w:sz w:val="24"/>
          <w:szCs w:val="24"/>
          <w:lang w:val="zh-CN" w:eastAsia="zh-CN"/>
        </w:rPr>
        <w:t>损坏（例如，洪水、火灾、</w:t>
      </w:r>
      <w:r w:rsidR="00593542">
        <w:rPr>
          <w:rFonts w:hint="eastAsia"/>
          <w:sz w:val="24"/>
          <w:szCs w:val="24"/>
          <w:lang w:val="zh-CN" w:eastAsia="zh-CN"/>
        </w:rPr>
        <w:t>严重</w:t>
      </w:r>
      <w:r w:rsidRPr="00D33A45">
        <w:rPr>
          <w:sz w:val="24"/>
          <w:szCs w:val="24"/>
          <w:lang w:val="zh-CN" w:eastAsia="zh-CN"/>
        </w:rPr>
        <w:t>恶劣天气、严重事故或人为破坏对设施的物理完整性的损坏）。</w:t>
      </w:r>
    </w:p>
    <w:p w14:paraId="527EC5E9"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对于各种情况，应急指导意见应确定：</w:t>
      </w:r>
    </w:p>
    <w:p w14:paraId="647B625F"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处理有关释放和有关类别的汞和汞化合物所需要的设备和程序；</w:t>
      </w:r>
    </w:p>
    <w:p w14:paraId="6C79B179"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处理医疗紧急情况的急救人员和</w:t>
      </w:r>
      <w:r w:rsidRPr="00D33A45">
        <w:rPr>
          <w:sz w:val="24"/>
          <w:szCs w:val="24"/>
          <w:lang w:val="zh-CN" w:eastAsia="zh-CN"/>
        </w:rPr>
        <w:t>/</w:t>
      </w:r>
      <w:r w:rsidRPr="00D33A45">
        <w:rPr>
          <w:sz w:val="24"/>
          <w:szCs w:val="24"/>
          <w:lang w:val="zh-CN" w:eastAsia="zh-CN"/>
        </w:rPr>
        <w:t>或官方急救人员；</w:t>
      </w:r>
    </w:p>
    <w:p w14:paraId="139A5C6E"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负责在现场监督情况评估（即是少量释放还是大量释放）并指导工作人员处理有关释放或事故的官员；</w:t>
      </w:r>
    </w:p>
    <w:p w14:paraId="23D8A9FA"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通知设施内其他工作人员（尤其是通知必须穿戴个人防护设备）的程序；</w:t>
      </w:r>
    </w:p>
    <w:p w14:paraId="49FD9045"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lastRenderedPageBreak/>
        <w:t>何时通知地方应急人员增援；</w:t>
      </w:r>
    </w:p>
    <w:p w14:paraId="1F94869A"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何时拨打国家环境热线（如果有的话）；</w:t>
      </w:r>
    </w:p>
    <w:p w14:paraId="1FFC8C20"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何时通知公众并告知公众应采取的行动；</w:t>
      </w:r>
    </w:p>
    <w:p w14:paraId="36987AB9" w14:textId="05344CDC"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何时是非必要工作人员撤离设施的适当时机；</w:t>
      </w:r>
    </w:p>
    <w:p w14:paraId="12A8CF8B" w14:textId="77777777" w:rsidR="0009682F" w:rsidRPr="00D33A45" w:rsidRDefault="0009682F" w:rsidP="00D33A45">
      <w:pPr>
        <w:pStyle w:val="Normalnumber"/>
        <w:numPr>
          <w:ilvl w:val="1"/>
          <w:numId w:val="45"/>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何时要将所有工作人员撤离设施。</w:t>
      </w:r>
    </w:p>
    <w:p w14:paraId="712ED425"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现场应配备处理汞或汞化合物溢漏或释放需要的所有设备，设备应保持良好工作状态。所需设备的类型取决于设施的规模。此类设备可包括吸油材料、可用来解决单质汞溢漏以减少其流动的化学试剂产品、铲子和收拾溢漏材料的其他工具，以及用于置放清理材料的其他的桶或容器。可使用（出气口装有碳过滤器的）专用吸尘器。设施还应有能力妥善存放和管理可能产生的受到污染的冲洗用水。</w:t>
      </w:r>
    </w:p>
    <w:p w14:paraId="2C8D88AD" w14:textId="238D93BF"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发生紧急情况时，</w:t>
      </w:r>
      <w:r w:rsidR="00641C1B" w:rsidRPr="00D33A45">
        <w:rPr>
          <w:sz w:val="24"/>
          <w:szCs w:val="24"/>
          <w:lang w:val="zh-CN" w:eastAsia="zh-CN"/>
        </w:rPr>
        <w:t>第一</w:t>
      </w:r>
      <w:r w:rsidRPr="00D33A45">
        <w:rPr>
          <w:sz w:val="24"/>
          <w:szCs w:val="24"/>
          <w:lang w:val="zh-CN" w:eastAsia="zh-CN"/>
        </w:rPr>
        <w:t>步是进行场地调查，确保溢漏地点附近的所有人都安全无恙和得到必要的医治。第二步是通报有关当局，保障场地安全，直至有关官员认为场地安全和可以进行调查。负责现场人应穿戴适当的个人防护用具，从上风谨慎地接近场地，确保现场的安全并查明危险。标牌、容器标签、货运凭单、安全数据表、车辆识别图表以及在现场的熟悉情况的人都是宝贵的信息来源。应评估是否需要</w:t>
      </w:r>
      <w:r w:rsidR="00805AD6">
        <w:rPr>
          <w:rFonts w:hint="eastAsia"/>
          <w:sz w:val="24"/>
          <w:szCs w:val="24"/>
          <w:lang w:val="zh-CN" w:eastAsia="zh-CN"/>
        </w:rPr>
        <w:t>疏散</w:t>
      </w:r>
      <w:r w:rsidRPr="00D33A45">
        <w:rPr>
          <w:sz w:val="24"/>
          <w:szCs w:val="24"/>
          <w:lang w:val="zh-CN" w:eastAsia="zh-CN"/>
        </w:rPr>
        <w:t>、有无人力资源和设备以及马上可以采取</w:t>
      </w:r>
      <w:r w:rsidR="00641C1B" w:rsidRPr="00D33A45">
        <w:rPr>
          <w:sz w:val="24"/>
          <w:szCs w:val="24"/>
          <w:lang w:val="zh-CN" w:eastAsia="zh-CN"/>
        </w:rPr>
        <w:t>哪些</w:t>
      </w:r>
      <w:r w:rsidRPr="00D33A45">
        <w:rPr>
          <w:sz w:val="24"/>
          <w:szCs w:val="24"/>
          <w:lang w:val="zh-CN" w:eastAsia="zh-CN"/>
        </w:rPr>
        <w:t>的行动。为了确保公众的安全，应拨打应急机构的电话，还应隔绝漏溢或泄漏点周边至少</w:t>
      </w:r>
      <w:r w:rsidRPr="00D33A45">
        <w:rPr>
          <w:sz w:val="24"/>
          <w:szCs w:val="24"/>
          <w:lang w:val="zh-CN" w:eastAsia="zh-CN"/>
        </w:rPr>
        <w:t>50</w:t>
      </w:r>
      <w:r w:rsidRPr="00D33A45">
        <w:rPr>
          <w:sz w:val="24"/>
          <w:szCs w:val="24"/>
          <w:lang w:val="zh-CN" w:eastAsia="zh-CN"/>
        </w:rPr>
        <w:t>米的区域，作为即刻防范措施。</w:t>
      </w:r>
    </w:p>
    <w:p w14:paraId="4CC12ACA" w14:textId="283B25FD"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发生火灾时，工人应首先穿戴个人防护用具。应使用适用于四周火情的灭火剂。建议储存设施配置干管（供水）灭火系统和应急设备。欲了解更多信息，</w:t>
      </w:r>
      <w:r w:rsidR="00641C1B" w:rsidRPr="00D33A45">
        <w:rPr>
          <w:sz w:val="24"/>
          <w:szCs w:val="24"/>
          <w:lang w:val="zh-CN" w:eastAsia="zh-CN"/>
        </w:rPr>
        <w:t>《</w:t>
      </w:r>
      <w:r w:rsidRPr="00D33A45">
        <w:rPr>
          <w:sz w:val="24"/>
          <w:szCs w:val="24"/>
          <w:lang w:val="zh-CN" w:eastAsia="zh-CN"/>
        </w:rPr>
        <w:t>紧急反应手册</w:t>
      </w:r>
      <w:r w:rsidR="00641C1B" w:rsidRPr="00D33A45">
        <w:rPr>
          <w:sz w:val="24"/>
          <w:szCs w:val="24"/>
          <w:lang w:val="zh-CN" w:eastAsia="zh-CN"/>
        </w:rPr>
        <w:t>》</w:t>
      </w:r>
      <w:r w:rsidRPr="00D33A45">
        <w:rPr>
          <w:sz w:val="24"/>
          <w:szCs w:val="24"/>
          <w:lang w:val="zh-CN" w:eastAsia="zh-CN"/>
        </w:rPr>
        <w:t>（美国交通部</w:t>
      </w:r>
      <w:r w:rsidR="00C2504B">
        <w:rPr>
          <w:rFonts w:hint="eastAsia"/>
          <w:sz w:val="24"/>
          <w:szCs w:val="24"/>
          <w:lang w:val="zh-CN" w:eastAsia="zh-CN"/>
        </w:rPr>
        <w:t>及</w:t>
      </w:r>
      <w:r w:rsidRPr="00D33A45">
        <w:rPr>
          <w:sz w:val="24"/>
          <w:szCs w:val="24"/>
          <w:lang w:val="zh-CN" w:eastAsia="zh-CN"/>
        </w:rPr>
        <w:t>其他，</w:t>
      </w:r>
      <w:r w:rsidRPr="00D33A45">
        <w:rPr>
          <w:sz w:val="24"/>
          <w:szCs w:val="24"/>
          <w:lang w:val="zh-CN" w:eastAsia="zh-CN"/>
        </w:rPr>
        <w:t>2016</w:t>
      </w:r>
      <w:r w:rsidRPr="00D33A45">
        <w:rPr>
          <w:sz w:val="24"/>
          <w:szCs w:val="24"/>
          <w:lang w:val="zh-CN" w:eastAsia="zh-CN"/>
        </w:rPr>
        <w:t>年）是一个有用的资源。如果火灾仅限于某一处，应非常小心谨慎地将汞和汞化合物储存容器搬离着火处。在火被扑灭后，可能需要用水喷洒汞和汞化合物的储存容器，直至充分冷却（</w:t>
      </w:r>
      <w:r w:rsidR="00CC5F22" w:rsidRPr="00D33A45">
        <w:rPr>
          <w:sz w:val="24"/>
          <w:szCs w:val="24"/>
          <w:lang w:val="zh-CN" w:eastAsia="zh-CN"/>
        </w:rPr>
        <w:t>水银核心小组</w:t>
      </w:r>
      <w:r w:rsidRPr="00D33A45">
        <w:rPr>
          <w:sz w:val="24"/>
          <w:szCs w:val="24"/>
          <w:lang w:val="zh-CN" w:eastAsia="zh-CN"/>
        </w:rPr>
        <w:t>，</w:t>
      </w:r>
      <w:r w:rsidRPr="00D33A45">
        <w:rPr>
          <w:sz w:val="24"/>
          <w:szCs w:val="24"/>
          <w:lang w:val="zh-CN" w:eastAsia="zh-CN"/>
        </w:rPr>
        <w:t>2003</w:t>
      </w:r>
      <w:r w:rsidRPr="00D33A45">
        <w:rPr>
          <w:sz w:val="24"/>
          <w:szCs w:val="24"/>
          <w:lang w:val="zh-CN" w:eastAsia="zh-CN"/>
        </w:rPr>
        <w:t>年）。</w:t>
      </w:r>
    </w:p>
    <w:p w14:paraId="29936E56" w14:textId="3B8200EB"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任何汞或汞化合物溢漏，即便数量很少，也应视为</w:t>
      </w:r>
      <w:r w:rsidR="00641C1B" w:rsidRPr="00D33A45">
        <w:rPr>
          <w:sz w:val="24"/>
          <w:szCs w:val="24"/>
          <w:lang w:val="zh-CN" w:eastAsia="zh-CN"/>
        </w:rPr>
        <w:t>有</w:t>
      </w:r>
      <w:r w:rsidRPr="00D33A45">
        <w:rPr>
          <w:sz w:val="24"/>
          <w:szCs w:val="24"/>
          <w:lang w:val="zh-CN" w:eastAsia="zh-CN"/>
        </w:rPr>
        <w:t>危险，</w:t>
      </w:r>
      <w:r w:rsidR="00641C1B" w:rsidRPr="00D33A45">
        <w:rPr>
          <w:sz w:val="24"/>
          <w:szCs w:val="24"/>
          <w:lang w:val="zh-CN" w:eastAsia="zh-CN"/>
        </w:rPr>
        <w:t>要</w:t>
      </w:r>
      <w:r w:rsidRPr="00D33A45">
        <w:rPr>
          <w:sz w:val="24"/>
          <w:szCs w:val="24"/>
          <w:lang w:val="zh-CN" w:eastAsia="zh-CN"/>
        </w:rPr>
        <w:t>谨慎地进行清理。应向管理层报告溢漏事件，溢漏的日期、时间和地点、汞或汞化合物的大致数量都应有记录，并应保存这类事件的记录（</w:t>
      </w:r>
      <w:r w:rsidR="00CC5F22" w:rsidRPr="00D33A45">
        <w:rPr>
          <w:sz w:val="24"/>
          <w:szCs w:val="24"/>
          <w:lang w:val="zh-CN" w:eastAsia="zh-CN"/>
        </w:rPr>
        <w:t>水银核心小组</w:t>
      </w:r>
      <w:r w:rsidRPr="00D33A45">
        <w:rPr>
          <w:sz w:val="24"/>
          <w:szCs w:val="24"/>
          <w:lang w:val="zh-CN" w:eastAsia="zh-CN"/>
        </w:rPr>
        <w:t>，</w:t>
      </w:r>
      <w:r w:rsidRPr="00D33A45">
        <w:rPr>
          <w:sz w:val="24"/>
          <w:szCs w:val="24"/>
          <w:lang w:val="zh-CN" w:eastAsia="zh-CN"/>
        </w:rPr>
        <w:t>2003</w:t>
      </w:r>
      <w:r w:rsidRPr="00D33A45">
        <w:rPr>
          <w:sz w:val="24"/>
          <w:szCs w:val="24"/>
          <w:lang w:val="zh-CN" w:eastAsia="zh-CN"/>
        </w:rPr>
        <w:t>年）。评价溢漏的汞或该化合物的类别</w:t>
      </w:r>
      <w:r w:rsidR="004D3013" w:rsidRPr="00D33A45">
        <w:rPr>
          <w:sz w:val="24"/>
          <w:szCs w:val="24"/>
          <w:lang w:val="zh-CN" w:eastAsia="zh-CN"/>
        </w:rPr>
        <w:t>、</w:t>
      </w:r>
      <w:r w:rsidRPr="00D33A45">
        <w:rPr>
          <w:sz w:val="24"/>
          <w:szCs w:val="24"/>
          <w:lang w:val="zh-CN" w:eastAsia="zh-CN"/>
        </w:rPr>
        <w:t>溢漏的规模和扩散</w:t>
      </w:r>
      <w:r w:rsidR="004D3013" w:rsidRPr="00D33A45">
        <w:rPr>
          <w:sz w:val="24"/>
          <w:szCs w:val="24"/>
          <w:lang w:val="zh-CN" w:eastAsia="zh-CN"/>
        </w:rPr>
        <w:t>、</w:t>
      </w:r>
      <w:r w:rsidRPr="00D33A45">
        <w:rPr>
          <w:sz w:val="24"/>
          <w:szCs w:val="24"/>
          <w:lang w:val="zh-CN" w:eastAsia="zh-CN"/>
        </w:rPr>
        <w:t>溢漏地点距居民和环境敏感地区多远以及是否有必要的清理资源和专门知识，对决定采取适当对策处理汞和汞化合物溢漏至关重要。如果溢漏量小且发生在无细孔的表层（如油毡）上，可由设施人员或工人进行清理并采用无害环境的方式予以处置。如果溢漏量大或从裂缝或缝隙溢出，可能需要雇用经过</w:t>
      </w:r>
      <w:r w:rsidR="004D3013" w:rsidRPr="00D33A45">
        <w:rPr>
          <w:sz w:val="24"/>
          <w:szCs w:val="24"/>
          <w:lang w:val="zh-CN" w:eastAsia="zh-CN"/>
        </w:rPr>
        <w:t>有关</w:t>
      </w:r>
      <w:r w:rsidRPr="00D33A45">
        <w:rPr>
          <w:sz w:val="24"/>
          <w:szCs w:val="24"/>
          <w:lang w:val="zh-CN" w:eastAsia="zh-CN"/>
        </w:rPr>
        <w:t>专业培训的人，如果设施没有这类人员的话。在发生汞和汞化合物溢漏数量超过普通家用产品中汞的数量的大规模溢漏时，应报告有关主管部门。</w:t>
      </w:r>
      <w:r w:rsidRPr="00805AD6">
        <w:rPr>
          <w:rFonts w:ascii="SimSun" w:hAnsi="SimSun"/>
          <w:sz w:val="24"/>
          <w:szCs w:val="24"/>
          <w:lang w:val="zh-CN" w:eastAsia="zh-CN"/>
        </w:rPr>
        <w:t>如果无法确定溢漏是否是“大规模”</w:t>
      </w:r>
      <w:r w:rsidRPr="00D33A45">
        <w:rPr>
          <w:sz w:val="24"/>
          <w:szCs w:val="24"/>
          <w:lang w:val="zh-CN" w:eastAsia="zh-CN"/>
        </w:rPr>
        <w:t>的，应联系有关主管部门。在应急计划提到的某些情况下，无论溢漏规模大小，最好寻求有资质的专业清理或空气监测人员的帮助。</w:t>
      </w:r>
    </w:p>
    <w:p w14:paraId="17FCA2C0"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加拿大环境和气候变化部和美国环境保护局（美国环保局）的网站上有关于清理住家溢漏的指导意见（见本指导准则尾部的参考文献清单），可在调整后用于其他情况。商业活动中和家庭中发生的单质汞溢漏有可能使工人和一般公众接触有害的汞蒸气。此外，溢漏扰乱生活，清理成本高昂。美国环保局的网站上有汞和汞化合物小规模溢漏的清理程序。</w:t>
      </w:r>
    </w:p>
    <w:p w14:paraId="51FC5A7E" w14:textId="63FF70CF" w:rsidR="0009682F" w:rsidRPr="00D33A45" w:rsidRDefault="0009682F" w:rsidP="00D33A45">
      <w:pPr>
        <w:pStyle w:val="CH1"/>
        <w:numPr>
          <w:ilvl w:val="0"/>
          <w:numId w:val="47"/>
        </w:numPr>
        <w:ind w:left="1151" w:hanging="584"/>
        <w:rPr>
          <w:lang w:eastAsia="zh-CN"/>
        </w:rPr>
      </w:pPr>
      <w:r w:rsidRPr="00D33A45">
        <w:rPr>
          <w:lang w:val="en-US" w:eastAsia="zh-CN"/>
        </w:rPr>
        <w:lastRenderedPageBreak/>
        <w:tab/>
      </w:r>
      <w:bookmarkStart w:id="31" w:name="_Toc526252807"/>
      <w:r w:rsidRPr="00D33A45">
        <w:rPr>
          <w:rFonts w:ascii="SimHei" w:eastAsia="SimHei" w:hAnsi="SimHei"/>
          <w:bCs/>
          <w:szCs w:val="22"/>
          <w:lang w:val="zh-CN" w:eastAsia="zh-CN"/>
        </w:rPr>
        <w:t>有关健康和安全的一般性指导意见</w:t>
      </w:r>
      <w:bookmarkStart w:id="32" w:name="_Toc520380789"/>
      <w:bookmarkEnd w:id="31"/>
      <w:bookmarkEnd w:id="32"/>
    </w:p>
    <w:p w14:paraId="59287D32"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制定和开展公共健康和安全活动以及工人健康和安全活动，以防止和最大限度地减少对汞和汞化合物的接触，是采用无害环境方式储存汞和汞化合物的关键。</w:t>
      </w:r>
    </w:p>
    <w:p w14:paraId="0157D6D0" w14:textId="32AE95CE" w:rsidR="0009682F" w:rsidRPr="00D33A45" w:rsidRDefault="0009682F" w:rsidP="00D33A45">
      <w:pPr>
        <w:pStyle w:val="CH2"/>
        <w:jc w:val="both"/>
        <w:rPr>
          <w:rFonts w:ascii="SimHei" w:eastAsia="SimHei" w:hAnsi="SimHei"/>
        </w:rPr>
      </w:pPr>
      <w:r w:rsidRPr="00D33A45">
        <w:rPr>
          <w:lang w:val="en-US" w:eastAsia="zh-CN"/>
        </w:rPr>
        <w:tab/>
      </w:r>
      <w:bookmarkStart w:id="33" w:name="_Toc526252808"/>
      <w:r w:rsidRPr="00D33A45">
        <w:rPr>
          <w:lang w:val="zh-CN"/>
        </w:rPr>
        <w:t>A.</w:t>
      </w:r>
      <w:r w:rsidRPr="00D33A45">
        <w:rPr>
          <w:lang w:val="zh-CN"/>
        </w:rPr>
        <w:tab/>
      </w:r>
      <w:r w:rsidRPr="00D33A45">
        <w:rPr>
          <w:rFonts w:ascii="SimHei" w:eastAsia="SimHei" w:hAnsi="SimHei"/>
          <w:lang w:val="zh-CN"/>
        </w:rPr>
        <w:t>公共健康和安全</w:t>
      </w:r>
      <w:bookmarkStart w:id="34" w:name="_Toc520380791"/>
      <w:bookmarkEnd w:id="33"/>
      <w:bookmarkEnd w:id="34"/>
    </w:p>
    <w:p w14:paraId="21D88F67" w14:textId="37BF7308"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lang w:eastAsia="zh-CN"/>
        </w:rPr>
      </w:pPr>
      <w:r w:rsidRPr="00D33A45">
        <w:rPr>
          <w:sz w:val="24"/>
          <w:szCs w:val="24"/>
          <w:lang w:val="zh-CN" w:eastAsia="zh-CN"/>
        </w:rPr>
        <w:t>保障公共安全取决于设施经营者妥善报告汞的正常释放和意外释放。要向地方主管部门及时报告此类信息，就必须在设施开始运营之前，明确制定用于向民政部门和地方紧急救援机构等部门报告汞释放的正常程序和紧急程序。在储存设施附近居住和工作的人也可能面临环境、健康和事故风险。这些风险主要与设施内的工作所产生的排放和释放以及进出设施的货物运输有关。需要采取适当措施来防止和最大限度减少对人类健康和环境的影响。监测方案可帮助查明问题和采取适当措施加以补救。此类方案可包括监测设施外是否有汞或汞化合物的排放或释放，以确定当地民众是否接触到汞或汞化合物。设施运营</w:t>
      </w:r>
      <w:r w:rsidR="00641C1B" w:rsidRPr="00D33A45">
        <w:rPr>
          <w:sz w:val="24"/>
          <w:szCs w:val="24"/>
          <w:lang w:val="zh-CN" w:eastAsia="zh-CN"/>
        </w:rPr>
        <w:t>者</w:t>
      </w:r>
      <w:r w:rsidRPr="00D33A45">
        <w:rPr>
          <w:sz w:val="24"/>
          <w:szCs w:val="24"/>
          <w:lang w:val="zh-CN" w:eastAsia="zh-CN"/>
        </w:rPr>
        <w:t>不妨主办社区提高认识论坛，答复关于设施选址、运营和应急计划等问题。</w:t>
      </w:r>
    </w:p>
    <w:p w14:paraId="0C0231D9" w14:textId="6EB5D57A" w:rsidR="0009682F" w:rsidRPr="00D33A45" w:rsidRDefault="0009682F" w:rsidP="00D33A45">
      <w:pPr>
        <w:pStyle w:val="CH2"/>
        <w:jc w:val="both"/>
        <w:rPr>
          <w:rFonts w:ascii="SimHei" w:eastAsia="SimHei" w:hAnsi="SimHei"/>
          <w:lang w:val="zh-CN" w:eastAsia="zh-CN"/>
        </w:rPr>
      </w:pPr>
      <w:r w:rsidRPr="00D33A45">
        <w:rPr>
          <w:lang w:val="en-US" w:eastAsia="zh-CN"/>
        </w:rPr>
        <w:tab/>
      </w:r>
      <w:bookmarkStart w:id="35" w:name="_Toc526252809"/>
      <w:r w:rsidRPr="00D33A45">
        <w:rPr>
          <w:lang w:val="zh-CN" w:eastAsia="zh-CN"/>
        </w:rPr>
        <w:t>B.</w:t>
      </w:r>
      <w:r w:rsidRPr="00D33A45">
        <w:rPr>
          <w:lang w:val="zh-CN" w:eastAsia="zh-CN"/>
        </w:rPr>
        <w:tab/>
      </w:r>
      <w:r w:rsidRPr="00D33A45">
        <w:rPr>
          <w:rFonts w:ascii="SimHei" w:eastAsia="SimHei" w:hAnsi="SimHei"/>
          <w:lang w:val="zh-CN" w:eastAsia="zh-CN"/>
        </w:rPr>
        <w:t>工作人员的健康和安全</w:t>
      </w:r>
      <w:bookmarkStart w:id="36" w:name="_Toc520380792"/>
      <w:bookmarkEnd w:id="35"/>
      <w:bookmarkEnd w:id="36"/>
    </w:p>
    <w:p w14:paraId="4B3EFF20" w14:textId="4E72D11C"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雇主应保障所有雇员上班时的健康和安全。可对直接接触汞或汞化合物的雇员进行接触情况评估，进行适当的监测和培养工业卫生习惯。这类接触情况综合评估和监测计划需要有比色徽章和</w:t>
      </w:r>
      <w:r w:rsidRPr="00D33A45">
        <w:rPr>
          <w:sz w:val="24"/>
          <w:szCs w:val="24"/>
          <w:lang w:val="zh-CN" w:eastAsia="zh-CN"/>
        </w:rPr>
        <w:t>/</w:t>
      </w:r>
      <w:r w:rsidRPr="00D33A45">
        <w:rPr>
          <w:sz w:val="24"/>
          <w:szCs w:val="24"/>
          <w:lang w:val="zh-CN" w:eastAsia="zh-CN"/>
        </w:rPr>
        <w:t>或个人监测设备（蒸汽取样装置）。</w:t>
      </w:r>
      <w:r w:rsidR="004D3013" w:rsidRPr="00D33A45">
        <w:rPr>
          <w:sz w:val="24"/>
          <w:szCs w:val="24"/>
          <w:lang w:val="zh-CN" w:eastAsia="zh-CN"/>
        </w:rPr>
        <w:t>进行</w:t>
      </w:r>
      <w:r w:rsidRPr="00D33A45">
        <w:rPr>
          <w:sz w:val="24"/>
          <w:szCs w:val="24"/>
          <w:lang w:val="zh-CN" w:eastAsia="zh-CN"/>
        </w:rPr>
        <w:t>就职前体检是为</w:t>
      </w:r>
      <w:r w:rsidR="004D3013" w:rsidRPr="00D33A45">
        <w:rPr>
          <w:sz w:val="24"/>
          <w:szCs w:val="24"/>
          <w:lang w:val="zh-CN" w:eastAsia="zh-CN"/>
        </w:rPr>
        <w:t>了</w:t>
      </w:r>
      <w:r w:rsidR="0048407A" w:rsidRPr="00D33A45">
        <w:rPr>
          <w:sz w:val="24"/>
          <w:szCs w:val="24"/>
          <w:lang w:val="zh-CN" w:eastAsia="zh-CN"/>
        </w:rPr>
        <w:t>获得</w:t>
      </w:r>
      <w:r w:rsidRPr="00D33A45">
        <w:rPr>
          <w:sz w:val="24"/>
          <w:szCs w:val="24"/>
          <w:lang w:val="zh-CN" w:eastAsia="zh-CN"/>
        </w:rPr>
        <w:t>一个用于确定人体背景汞含量的基准值，确保雇员</w:t>
      </w:r>
      <w:r w:rsidR="004D3013" w:rsidRPr="00D33A45">
        <w:rPr>
          <w:sz w:val="24"/>
          <w:szCs w:val="24"/>
          <w:lang w:val="zh-CN" w:eastAsia="zh-CN"/>
        </w:rPr>
        <w:t>的人体化学是</w:t>
      </w:r>
      <w:r w:rsidRPr="00D33A45">
        <w:rPr>
          <w:sz w:val="24"/>
          <w:szCs w:val="24"/>
          <w:lang w:val="zh-CN" w:eastAsia="zh-CN"/>
        </w:rPr>
        <w:t>正常的</w:t>
      </w:r>
      <w:r w:rsidR="0048407A" w:rsidRPr="00D33A45">
        <w:rPr>
          <w:sz w:val="24"/>
          <w:szCs w:val="24"/>
          <w:lang w:val="zh-CN" w:eastAsia="zh-CN"/>
        </w:rPr>
        <w:t>，</w:t>
      </w:r>
      <w:r w:rsidR="004D3013" w:rsidRPr="00D33A45">
        <w:rPr>
          <w:sz w:val="24"/>
          <w:szCs w:val="24"/>
          <w:lang w:val="zh-CN" w:eastAsia="zh-CN"/>
        </w:rPr>
        <w:t>以</w:t>
      </w:r>
      <w:r w:rsidR="0048407A" w:rsidRPr="00D33A45">
        <w:rPr>
          <w:sz w:val="24"/>
          <w:szCs w:val="24"/>
          <w:lang w:val="zh-CN" w:eastAsia="zh-CN"/>
        </w:rPr>
        <w:t>便</w:t>
      </w:r>
      <w:r w:rsidRPr="00D33A45">
        <w:rPr>
          <w:sz w:val="24"/>
          <w:szCs w:val="24"/>
          <w:lang w:val="zh-CN" w:eastAsia="zh-CN"/>
        </w:rPr>
        <w:t>排汞。雇员也可能有应逐案处理的其他考虑因素。医疗监测方案还应包括定期检查身体（例如一至三年一次）、定期验血和定期作尿分析。应考虑为怀孕或哺乳女工提供从事其他工作的机会。</w:t>
      </w:r>
    </w:p>
    <w:p w14:paraId="4ACE540A" w14:textId="0197C573"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按照国家法律规定，每个雇主都应购买和持有保险，保单应由</w:t>
      </w:r>
      <w:r w:rsidR="000C2F98" w:rsidRPr="00D33A45">
        <w:rPr>
          <w:sz w:val="24"/>
          <w:szCs w:val="24"/>
          <w:lang w:val="zh-CN" w:eastAsia="zh-CN"/>
        </w:rPr>
        <w:t>获得</w:t>
      </w:r>
      <w:r w:rsidRPr="00D33A45">
        <w:rPr>
          <w:sz w:val="24"/>
          <w:szCs w:val="24"/>
          <w:lang w:val="zh-CN" w:eastAsia="zh-CN"/>
        </w:rPr>
        <w:t>授权的保险商批核，有足够的理赔金额在雇员因工作或在工作期间生病或受伤而产生责任时（包括要求进行赔偿的责任），进行理赔。所有处理汞或汞化合物的设施都应该有</w:t>
      </w:r>
      <w:r w:rsidR="000C2F98" w:rsidRPr="00D33A45">
        <w:rPr>
          <w:sz w:val="24"/>
          <w:szCs w:val="24"/>
          <w:lang w:val="zh-CN" w:eastAsia="zh-CN"/>
        </w:rPr>
        <w:t>涉及</w:t>
      </w:r>
      <w:r w:rsidRPr="00D33A45">
        <w:rPr>
          <w:sz w:val="24"/>
          <w:szCs w:val="24"/>
          <w:lang w:val="zh-CN" w:eastAsia="zh-CN"/>
        </w:rPr>
        <w:t>具体设施的健康和安全计划，确保设施内和附近的每个人都得到保护。这些计划应由有管理汞的健康风险的经验并经过培训的健康和安全专业人员制定。</w:t>
      </w:r>
    </w:p>
    <w:p w14:paraId="687AEAE2"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可通过以下方式来保护处理汞或汞化合物的工人和一般公众：</w:t>
      </w:r>
    </w:p>
    <w:p w14:paraId="4E91C57B" w14:textId="77777777" w:rsidR="0009682F" w:rsidRPr="00D33A45" w:rsidRDefault="0009682F" w:rsidP="00D33A45">
      <w:pPr>
        <w:pStyle w:val="Normalnumber"/>
        <w:numPr>
          <w:ilvl w:val="1"/>
          <w:numId w:val="46"/>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只有获准人员才能进入设施；</w:t>
      </w:r>
    </w:p>
    <w:p w14:paraId="4951D04E" w14:textId="77777777" w:rsidR="0009682F" w:rsidRPr="00D33A45" w:rsidRDefault="0009682F" w:rsidP="00D33A45">
      <w:pPr>
        <w:pStyle w:val="Normalnumber"/>
        <w:numPr>
          <w:ilvl w:val="1"/>
          <w:numId w:val="46"/>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通过保证所有人都使用适当的防护设备，确保不超过有害物质的职业接触限值；</w:t>
      </w:r>
    </w:p>
    <w:p w14:paraId="62B12B42" w14:textId="002D162F" w:rsidR="0009682F" w:rsidRPr="00D33A45" w:rsidRDefault="0009682F" w:rsidP="00D33A45">
      <w:pPr>
        <w:pStyle w:val="Normalnumber"/>
        <w:numPr>
          <w:ilvl w:val="1"/>
          <w:numId w:val="46"/>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确保设施内适当通风，尽可能减少接触挥发性物质或空气传播物质的风险；</w:t>
      </w:r>
    </w:p>
    <w:p w14:paraId="41D56489" w14:textId="77777777" w:rsidR="0009682F" w:rsidRPr="00D33A45" w:rsidRDefault="0009682F" w:rsidP="00D33A45">
      <w:pPr>
        <w:pStyle w:val="Normalnumber"/>
        <w:numPr>
          <w:ilvl w:val="1"/>
          <w:numId w:val="46"/>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D33A45">
        <w:rPr>
          <w:sz w:val="24"/>
          <w:szCs w:val="24"/>
          <w:lang w:val="zh-CN" w:eastAsia="zh-CN"/>
        </w:rPr>
        <w:t>确保设施遵守所有关于工作场所健康与安全的国家和区域法律。</w:t>
      </w:r>
    </w:p>
    <w:p w14:paraId="327EA247" w14:textId="5CB8B02F"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805AD6">
        <w:rPr>
          <w:spacing w:val="-4"/>
          <w:sz w:val="24"/>
          <w:szCs w:val="24"/>
          <w:lang w:val="zh-CN" w:eastAsia="zh-CN"/>
        </w:rPr>
        <w:t>世界卫生组织（世卫组织）制定的饮用水和环境空气中的汞浓度指导值分别为</w:t>
      </w:r>
      <w:r w:rsidRPr="00805AD6">
        <w:rPr>
          <w:spacing w:val="-4"/>
          <w:sz w:val="24"/>
          <w:szCs w:val="24"/>
          <w:lang w:val="zh-CN" w:eastAsia="zh-CN"/>
        </w:rPr>
        <w:t xml:space="preserve"> 6</w:t>
      </w:r>
      <w:r w:rsidRPr="00805AD6">
        <w:rPr>
          <w:spacing w:val="-4"/>
          <w:sz w:val="24"/>
          <w:szCs w:val="24"/>
          <w:lang w:val="zh-CN" w:eastAsia="zh-CN"/>
        </w:rPr>
        <w:t>微克</w:t>
      </w:r>
      <w:r w:rsidRPr="00805AD6">
        <w:rPr>
          <w:spacing w:val="-4"/>
          <w:sz w:val="24"/>
          <w:szCs w:val="24"/>
          <w:lang w:val="zh-CN" w:eastAsia="zh-CN"/>
        </w:rPr>
        <w:t>/</w:t>
      </w:r>
      <w:r w:rsidRPr="00805AD6">
        <w:rPr>
          <w:spacing w:val="-4"/>
          <w:sz w:val="24"/>
          <w:szCs w:val="24"/>
          <w:lang w:val="zh-CN" w:eastAsia="zh-CN"/>
        </w:rPr>
        <w:t>升（无机汞）和</w:t>
      </w:r>
      <w:r w:rsidRPr="00805AD6">
        <w:rPr>
          <w:spacing w:val="-4"/>
          <w:sz w:val="24"/>
          <w:szCs w:val="24"/>
          <w:lang w:val="zh-CN" w:eastAsia="zh-CN"/>
        </w:rPr>
        <w:t xml:space="preserve"> 1 </w:t>
      </w:r>
      <w:r w:rsidRPr="00805AD6">
        <w:rPr>
          <w:spacing w:val="-4"/>
          <w:sz w:val="24"/>
          <w:szCs w:val="24"/>
          <w:lang w:val="zh-CN" w:eastAsia="zh-CN"/>
        </w:rPr>
        <w:t>微克</w:t>
      </w:r>
      <w:r w:rsidRPr="00805AD6">
        <w:rPr>
          <w:spacing w:val="-4"/>
          <w:sz w:val="24"/>
          <w:szCs w:val="24"/>
          <w:lang w:val="zh-CN" w:eastAsia="zh-CN"/>
        </w:rPr>
        <w:t>/</w:t>
      </w:r>
      <w:r w:rsidRPr="00805AD6">
        <w:rPr>
          <w:spacing w:val="-4"/>
          <w:sz w:val="24"/>
          <w:szCs w:val="24"/>
          <w:lang w:val="zh-CN" w:eastAsia="zh-CN"/>
        </w:rPr>
        <w:t>立方米（无机汞蒸气）（世卫组织，</w:t>
      </w:r>
      <w:r w:rsidRPr="00805AD6">
        <w:rPr>
          <w:spacing w:val="-4"/>
          <w:sz w:val="24"/>
          <w:szCs w:val="24"/>
          <w:lang w:val="zh-CN" w:eastAsia="zh-CN"/>
        </w:rPr>
        <w:t>2008</w:t>
      </w:r>
      <w:r w:rsidRPr="00805AD6">
        <w:rPr>
          <w:spacing w:val="-4"/>
          <w:sz w:val="24"/>
          <w:szCs w:val="24"/>
          <w:lang w:val="zh-CN" w:eastAsia="zh-CN"/>
        </w:rPr>
        <w:t>年</w:t>
      </w:r>
      <w:r w:rsidR="00ED6CE1">
        <w:rPr>
          <w:rFonts w:hint="eastAsia"/>
          <w:sz w:val="24"/>
          <w:szCs w:val="24"/>
          <w:lang w:val="zh-CN" w:eastAsia="zh-CN"/>
        </w:rPr>
        <w:t>；</w:t>
      </w:r>
      <w:r w:rsidRPr="00D33A45">
        <w:rPr>
          <w:sz w:val="24"/>
          <w:szCs w:val="24"/>
          <w:lang w:val="zh-CN" w:eastAsia="zh-CN"/>
        </w:rPr>
        <w:t>世卫组织欧洲区域办事处，</w:t>
      </w:r>
      <w:r w:rsidRPr="00D33A45">
        <w:rPr>
          <w:sz w:val="24"/>
          <w:szCs w:val="24"/>
          <w:lang w:val="zh-CN" w:eastAsia="zh-CN"/>
        </w:rPr>
        <w:t>2000</w:t>
      </w:r>
      <w:r w:rsidRPr="00D33A45">
        <w:rPr>
          <w:sz w:val="24"/>
          <w:szCs w:val="24"/>
          <w:lang w:val="zh-CN" w:eastAsia="zh-CN"/>
        </w:rPr>
        <w:t>年）。鼓励各国政府监测空气和水，尤其是在有使用汞活动的场地附近的地方。一些国家制定了工作环境的汞容许量（例如在日本，无机汞（硫化汞除外）的容许量为</w:t>
      </w:r>
      <w:r w:rsidRPr="00D33A45">
        <w:rPr>
          <w:sz w:val="24"/>
          <w:szCs w:val="24"/>
          <w:lang w:val="zh-CN" w:eastAsia="zh-CN"/>
        </w:rPr>
        <w:t xml:space="preserve"> 0.025 </w:t>
      </w:r>
      <w:r w:rsidRPr="00D33A45">
        <w:rPr>
          <w:sz w:val="24"/>
          <w:szCs w:val="24"/>
          <w:lang w:val="zh-CN" w:eastAsia="zh-CN"/>
        </w:rPr>
        <w:t>毫克</w:t>
      </w:r>
      <w:r w:rsidRPr="00D33A45">
        <w:rPr>
          <w:sz w:val="24"/>
          <w:szCs w:val="24"/>
          <w:lang w:val="zh-CN" w:eastAsia="zh-CN"/>
        </w:rPr>
        <w:t>/</w:t>
      </w:r>
      <w:r w:rsidRPr="00D33A45">
        <w:rPr>
          <w:sz w:val="24"/>
          <w:szCs w:val="24"/>
          <w:lang w:val="zh-CN" w:eastAsia="zh-CN"/>
        </w:rPr>
        <w:t>立方米，烷基汞化合物</w:t>
      </w:r>
      <w:r w:rsidRPr="00D33A45">
        <w:rPr>
          <w:sz w:val="24"/>
          <w:szCs w:val="24"/>
          <w:lang w:val="zh-CN" w:eastAsia="zh-CN"/>
        </w:rPr>
        <w:lastRenderedPageBreak/>
        <w:t>的容许量为</w:t>
      </w:r>
      <w:r w:rsidRPr="00D33A45">
        <w:rPr>
          <w:sz w:val="24"/>
          <w:szCs w:val="24"/>
          <w:lang w:val="zh-CN" w:eastAsia="zh-CN"/>
        </w:rPr>
        <w:t xml:space="preserve"> 0.01 </w:t>
      </w:r>
      <w:r w:rsidRPr="00D33A45">
        <w:rPr>
          <w:sz w:val="24"/>
          <w:szCs w:val="24"/>
          <w:lang w:val="zh-CN" w:eastAsia="zh-CN"/>
        </w:rPr>
        <w:t>毫克</w:t>
      </w:r>
      <w:r w:rsidRPr="00D33A45">
        <w:rPr>
          <w:sz w:val="24"/>
          <w:szCs w:val="24"/>
          <w:lang w:val="zh-CN" w:eastAsia="zh-CN"/>
        </w:rPr>
        <w:t>/</w:t>
      </w:r>
      <w:r w:rsidRPr="00D33A45">
        <w:rPr>
          <w:sz w:val="24"/>
          <w:szCs w:val="24"/>
          <w:lang w:val="zh-CN" w:eastAsia="zh-CN"/>
        </w:rPr>
        <w:t>立方米）。应开展管理工作，以满足关于工作环境汞容许量的适用规定，并应在技术可行时采用尽可能减少将汞排入环境的方式</w:t>
      </w:r>
      <w:r w:rsidR="000C2F98" w:rsidRPr="00D33A45">
        <w:rPr>
          <w:sz w:val="24"/>
          <w:szCs w:val="24"/>
          <w:lang w:val="zh-CN" w:eastAsia="zh-CN"/>
        </w:rPr>
        <w:t>来</w:t>
      </w:r>
      <w:r w:rsidRPr="00D33A45">
        <w:rPr>
          <w:sz w:val="24"/>
          <w:szCs w:val="24"/>
          <w:lang w:val="zh-CN" w:eastAsia="zh-CN"/>
        </w:rPr>
        <w:t>设计和经营</w:t>
      </w:r>
      <w:r w:rsidR="0048407A" w:rsidRPr="00D33A45">
        <w:rPr>
          <w:sz w:val="24"/>
          <w:szCs w:val="24"/>
          <w:lang w:val="zh-CN" w:eastAsia="zh-CN"/>
        </w:rPr>
        <w:t>有</w:t>
      </w:r>
      <w:r w:rsidRPr="00D33A45">
        <w:rPr>
          <w:sz w:val="24"/>
          <w:szCs w:val="24"/>
          <w:lang w:val="zh-CN" w:eastAsia="zh-CN"/>
        </w:rPr>
        <w:t>这类活动的设施。</w:t>
      </w:r>
    </w:p>
    <w:p w14:paraId="3F2454B6" w14:textId="54E2A6A9" w:rsidR="0009682F" w:rsidRPr="00D33A45" w:rsidRDefault="0009682F" w:rsidP="00D33A45">
      <w:pPr>
        <w:pStyle w:val="CH1"/>
        <w:numPr>
          <w:ilvl w:val="0"/>
          <w:numId w:val="47"/>
        </w:numPr>
        <w:ind w:left="1151" w:hanging="584"/>
        <w:rPr>
          <w:rFonts w:ascii="SimHei" w:eastAsia="SimHei" w:hAnsi="SimHei"/>
          <w:bCs/>
          <w:szCs w:val="22"/>
          <w:lang w:val="zh-CN" w:eastAsia="zh-CN"/>
        </w:rPr>
      </w:pPr>
      <w:r w:rsidRPr="00D33A45">
        <w:rPr>
          <w:lang w:val="zh-CN"/>
        </w:rPr>
        <w:tab/>
      </w:r>
      <w:bookmarkStart w:id="37" w:name="_Toc526252810"/>
      <w:r w:rsidRPr="00D33A45">
        <w:rPr>
          <w:rFonts w:ascii="SimHei" w:eastAsia="SimHei" w:hAnsi="SimHei"/>
          <w:bCs/>
          <w:szCs w:val="22"/>
          <w:lang w:val="zh-CN" w:eastAsia="zh-CN"/>
        </w:rPr>
        <w:t>通报风险</w:t>
      </w:r>
      <w:bookmarkEnd w:id="37"/>
    </w:p>
    <w:p w14:paraId="6FD29891" w14:textId="1733AAF6"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各国政府、企业界、消费者、专家、非政府组织和其他利益攸关方需要共同努力，促进</w:t>
      </w:r>
      <w:r w:rsidR="00582298" w:rsidRPr="00D33A45">
        <w:rPr>
          <w:sz w:val="24"/>
          <w:szCs w:val="24"/>
          <w:lang w:val="zh-CN" w:eastAsia="zh-CN"/>
        </w:rPr>
        <w:t>平稳</w:t>
      </w:r>
      <w:r w:rsidRPr="00D33A45">
        <w:rPr>
          <w:sz w:val="24"/>
          <w:szCs w:val="24"/>
          <w:lang w:val="zh-CN" w:eastAsia="zh-CN"/>
        </w:rPr>
        <w:t>有效地减少环境风险。了解风险和彼此的观点是必不可少的，因此，通报风险非常重要。例如，通报临时储存汞和汞化合物的风险包括：分享储存设施的选址、运营和关闭以及汞和汞化合物运输情况的信息和转达利益攸关方对相关风险的了解，促进采取合理的行动。为了协助通报风险，让利益攸关方进一步了解风险是</w:t>
      </w:r>
      <w:r w:rsidR="00582298" w:rsidRPr="00D33A45">
        <w:rPr>
          <w:sz w:val="24"/>
          <w:szCs w:val="24"/>
          <w:lang w:val="zh-CN" w:eastAsia="zh-CN"/>
        </w:rPr>
        <w:t>一个</w:t>
      </w:r>
      <w:r w:rsidRPr="00D33A45">
        <w:rPr>
          <w:sz w:val="24"/>
          <w:szCs w:val="24"/>
          <w:lang w:val="zh-CN" w:eastAsia="zh-CN"/>
        </w:rPr>
        <w:t>概率的</w:t>
      </w:r>
      <w:r w:rsidR="00582298" w:rsidRPr="00D33A45">
        <w:rPr>
          <w:sz w:val="24"/>
          <w:szCs w:val="24"/>
          <w:lang w:val="zh-CN" w:eastAsia="zh-CN"/>
        </w:rPr>
        <w:t>观念</w:t>
      </w:r>
      <w:r w:rsidRPr="00D33A45">
        <w:rPr>
          <w:sz w:val="24"/>
          <w:szCs w:val="24"/>
          <w:lang w:val="zh-CN" w:eastAsia="zh-CN"/>
        </w:rPr>
        <w:t>非常重要，以便在风险评估的每一个阶段及时提供信息，有一个互动的沟通系统。</w:t>
      </w:r>
    </w:p>
    <w:p w14:paraId="7D33D354" w14:textId="060A9C03" w:rsidR="0009682F" w:rsidRPr="00D33A45" w:rsidRDefault="0009682F" w:rsidP="00D33A45">
      <w:pPr>
        <w:pStyle w:val="CH1"/>
        <w:numPr>
          <w:ilvl w:val="0"/>
          <w:numId w:val="47"/>
        </w:numPr>
        <w:ind w:left="1151" w:hanging="584"/>
        <w:rPr>
          <w:rFonts w:ascii="SimHei" w:eastAsia="SimHei" w:hAnsi="SimHei"/>
          <w:bCs/>
          <w:szCs w:val="22"/>
          <w:lang w:val="zh-CN" w:eastAsia="zh-CN"/>
        </w:rPr>
      </w:pPr>
      <w:r w:rsidRPr="00D33A45">
        <w:rPr>
          <w:lang w:val="zh-CN"/>
        </w:rPr>
        <w:tab/>
      </w:r>
      <w:bookmarkStart w:id="38" w:name="_Toc526252811"/>
      <w:r w:rsidRPr="00D33A45">
        <w:rPr>
          <w:rFonts w:ascii="SimHei" w:eastAsia="SimHei" w:hAnsi="SimHei"/>
          <w:bCs/>
          <w:szCs w:val="22"/>
          <w:lang w:val="zh-CN" w:eastAsia="zh-CN"/>
        </w:rPr>
        <w:t>关闭设施</w:t>
      </w:r>
      <w:bookmarkEnd w:id="38"/>
    </w:p>
    <w:p w14:paraId="483F4A02"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在临时设施的设计阶段就制订关闭计划。应定期更新计划，反映场地情况从设计阶段到关闭阶段发生的变化。在设施使用寿命结束时，所有汞、汞化合物和被汞污染的材料都应在关闭过程中搬走。应对空气、设备和土壤进行测量，证实已采用无害环境方式关闭了场地。如果有污染，应将场地视为污染场地。</w:t>
      </w:r>
    </w:p>
    <w:p w14:paraId="3F06F862" w14:textId="4CCC30FF" w:rsidR="0009682F" w:rsidRPr="00D33A45" w:rsidRDefault="0009682F" w:rsidP="00D33A45">
      <w:pPr>
        <w:pStyle w:val="CH1"/>
        <w:numPr>
          <w:ilvl w:val="0"/>
          <w:numId w:val="47"/>
        </w:numPr>
        <w:ind w:left="1151" w:hanging="584"/>
        <w:rPr>
          <w:lang w:eastAsia="zh-CN"/>
        </w:rPr>
      </w:pPr>
      <w:bookmarkStart w:id="39" w:name="_Toc520380794"/>
      <w:r w:rsidRPr="00D33A45">
        <w:rPr>
          <w:lang w:val="en-US" w:eastAsia="zh-CN"/>
        </w:rPr>
        <w:tab/>
      </w:r>
      <w:bookmarkStart w:id="40" w:name="_Toc526252812"/>
      <w:r w:rsidRPr="00D33A45">
        <w:rPr>
          <w:rFonts w:ascii="SimHei" w:eastAsia="SimHei" w:hAnsi="SimHei"/>
          <w:bCs/>
          <w:szCs w:val="22"/>
          <w:lang w:val="zh-CN" w:eastAsia="zh-CN"/>
        </w:rPr>
        <w:t>汞和汞化合物运输的信息</w:t>
      </w:r>
      <w:bookmarkEnd w:id="39"/>
      <w:bookmarkEnd w:id="40"/>
    </w:p>
    <w:p w14:paraId="09739049"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应查阅下列文件的最新版本，以确定关于汞和汞化合物的运输和越境转移的具体规定：</w:t>
      </w:r>
    </w:p>
    <w:p w14:paraId="3172FB57" w14:textId="77777777" w:rsidR="0009682F" w:rsidRPr="00D33A45" w:rsidRDefault="0009682F" w:rsidP="00D33A45">
      <w:pPr>
        <w:pStyle w:val="Normalnumber"/>
        <w:numPr>
          <w:ilvl w:val="0"/>
          <w:numId w:val="40"/>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805AD6">
        <w:rPr>
          <w:rFonts w:ascii="SimSun" w:hAnsi="SimSun"/>
          <w:sz w:val="24"/>
          <w:szCs w:val="24"/>
          <w:lang w:val="zh-CN" w:eastAsia="zh-CN"/>
        </w:rPr>
        <w:t>《</w:t>
      </w:r>
      <w:r w:rsidRPr="00805AD6">
        <w:rPr>
          <w:rFonts w:ascii="SimSun" w:hAnsi="SimSun" w:hint="eastAsia"/>
          <w:sz w:val="24"/>
          <w:szCs w:val="24"/>
          <w:lang w:val="zh-CN" w:eastAsia="zh-CN"/>
        </w:rPr>
        <w:t>国际海洋危险品准则</w:t>
      </w:r>
      <w:r w:rsidRPr="00805AD6">
        <w:rPr>
          <w:rFonts w:ascii="SimSun" w:hAnsi="SimSun"/>
          <w:sz w:val="24"/>
          <w:szCs w:val="24"/>
          <w:lang w:val="zh-CN" w:eastAsia="zh-CN"/>
        </w:rPr>
        <w:t>》（</w:t>
      </w:r>
      <w:r w:rsidRPr="00D33A45">
        <w:rPr>
          <w:sz w:val="24"/>
          <w:szCs w:val="24"/>
          <w:lang w:val="zh-CN" w:eastAsia="zh-CN"/>
        </w:rPr>
        <w:t>国际海事组织）；</w:t>
      </w:r>
    </w:p>
    <w:p w14:paraId="232102A3" w14:textId="77777777" w:rsidR="0009682F" w:rsidRPr="00D33A45" w:rsidRDefault="0009682F" w:rsidP="00D33A45">
      <w:pPr>
        <w:pStyle w:val="Normalnumber"/>
        <w:numPr>
          <w:ilvl w:val="0"/>
          <w:numId w:val="40"/>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805AD6">
        <w:rPr>
          <w:rFonts w:ascii="SimSun" w:hAnsi="SimSun"/>
          <w:sz w:val="24"/>
          <w:szCs w:val="24"/>
          <w:lang w:val="zh-CN" w:eastAsia="zh-CN"/>
        </w:rPr>
        <w:t>《</w:t>
      </w:r>
      <w:r w:rsidRPr="00805AD6">
        <w:rPr>
          <w:rFonts w:ascii="SimSun" w:hAnsi="SimSun" w:hint="eastAsia"/>
          <w:sz w:val="24"/>
          <w:szCs w:val="24"/>
          <w:lang w:val="zh-CN" w:eastAsia="zh-CN"/>
        </w:rPr>
        <w:t>危险品安全空运技术指令</w:t>
      </w:r>
      <w:r w:rsidRPr="00805AD6">
        <w:rPr>
          <w:rFonts w:ascii="SimSun" w:hAnsi="SimSun"/>
          <w:sz w:val="24"/>
          <w:szCs w:val="24"/>
          <w:lang w:val="zh-CN" w:eastAsia="zh-CN"/>
        </w:rPr>
        <w:t>》（</w:t>
      </w:r>
      <w:r w:rsidRPr="00D33A45">
        <w:rPr>
          <w:sz w:val="24"/>
          <w:szCs w:val="24"/>
          <w:lang w:val="zh-CN" w:eastAsia="zh-CN"/>
        </w:rPr>
        <w:t>国际民用航空组织）；</w:t>
      </w:r>
    </w:p>
    <w:p w14:paraId="446EEC60" w14:textId="344BF43C" w:rsidR="0009682F" w:rsidRPr="00D33A45" w:rsidRDefault="0009682F" w:rsidP="00D33A45">
      <w:pPr>
        <w:pStyle w:val="Normalnumber"/>
        <w:numPr>
          <w:ilvl w:val="0"/>
          <w:numId w:val="40"/>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805AD6">
        <w:rPr>
          <w:rFonts w:ascii="SimSun" w:hAnsi="SimSun"/>
          <w:sz w:val="24"/>
          <w:szCs w:val="24"/>
          <w:lang w:val="zh-CN" w:eastAsia="zh-CN"/>
        </w:rPr>
        <w:t>《</w:t>
      </w:r>
      <w:r w:rsidRPr="00805AD6">
        <w:rPr>
          <w:rFonts w:ascii="SimSun" w:hAnsi="SimSun" w:hint="eastAsia"/>
          <w:sz w:val="24"/>
          <w:szCs w:val="24"/>
          <w:lang w:val="zh-CN" w:eastAsia="zh-CN"/>
        </w:rPr>
        <w:t>危险货物条例</w:t>
      </w:r>
      <w:r w:rsidRPr="00805AD6">
        <w:rPr>
          <w:rFonts w:ascii="SimSun" w:hAnsi="SimSun"/>
          <w:sz w:val="24"/>
          <w:szCs w:val="24"/>
          <w:lang w:val="zh-CN" w:eastAsia="zh-CN"/>
        </w:rPr>
        <w:t>》（国际航空运输协会</w:t>
      </w:r>
      <w:r w:rsidRPr="00D33A45">
        <w:rPr>
          <w:sz w:val="24"/>
          <w:szCs w:val="24"/>
          <w:lang w:val="zh-CN" w:eastAsia="zh-CN"/>
        </w:rPr>
        <w:t>，</w:t>
      </w:r>
      <w:r w:rsidRPr="00D33A45">
        <w:rPr>
          <w:sz w:val="24"/>
          <w:szCs w:val="24"/>
          <w:lang w:val="zh-CN" w:eastAsia="zh-CN"/>
        </w:rPr>
        <w:t>2016</w:t>
      </w:r>
      <w:r w:rsidRPr="00D33A45">
        <w:rPr>
          <w:sz w:val="24"/>
          <w:szCs w:val="24"/>
          <w:lang w:val="zh-CN" w:eastAsia="zh-CN"/>
        </w:rPr>
        <w:t>年）；</w:t>
      </w:r>
    </w:p>
    <w:p w14:paraId="6E6EEB73" w14:textId="5D3795F5" w:rsidR="0009682F" w:rsidRPr="00D33A45" w:rsidRDefault="0009682F" w:rsidP="00D33A45">
      <w:pPr>
        <w:pStyle w:val="Normalnumber"/>
        <w:numPr>
          <w:ilvl w:val="0"/>
          <w:numId w:val="40"/>
        </w:numPr>
        <w:tabs>
          <w:tab w:val="clear" w:pos="1247"/>
          <w:tab w:val="clear" w:pos="1814"/>
          <w:tab w:val="clear" w:pos="2381"/>
          <w:tab w:val="clear" w:pos="2948"/>
          <w:tab w:val="clear" w:pos="3515"/>
          <w:tab w:val="clear" w:pos="4082"/>
          <w:tab w:val="left" w:pos="624"/>
        </w:tabs>
        <w:suppressAutoHyphens/>
        <w:autoSpaceDN w:val="0"/>
        <w:ind w:left="1247" w:firstLine="624"/>
        <w:jc w:val="both"/>
        <w:textAlignment w:val="baseline"/>
        <w:rPr>
          <w:sz w:val="24"/>
          <w:szCs w:val="24"/>
          <w:lang w:val="zh-CN" w:eastAsia="zh-CN"/>
        </w:rPr>
      </w:pPr>
      <w:r w:rsidRPr="00805AD6">
        <w:rPr>
          <w:rFonts w:ascii="SimSun" w:hAnsi="SimSun"/>
          <w:sz w:val="24"/>
          <w:szCs w:val="24"/>
          <w:lang w:val="zh-CN" w:eastAsia="zh-CN"/>
        </w:rPr>
        <w:t>《</w:t>
      </w:r>
      <w:r w:rsidRPr="00805AD6">
        <w:rPr>
          <w:rFonts w:ascii="SimSun" w:hAnsi="SimSun" w:hint="eastAsia"/>
          <w:sz w:val="24"/>
          <w:szCs w:val="24"/>
          <w:lang w:val="zh-CN" w:eastAsia="zh-CN"/>
        </w:rPr>
        <w:t>联合国运输危险货物建议书：示范条例</w:t>
      </w:r>
      <w:r w:rsidRPr="00D33A45">
        <w:rPr>
          <w:sz w:val="24"/>
          <w:szCs w:val="24"/>
          <w:lang w:val="zh-CN" w:eastAsia="zh-CN"/>
        </w:rPr>
        <w:t>》（联合国，</w:t>
      </w:r>
      <w:r w:rsidRPr="00D33A45">
        <w:rPr>
          <w:sz w:val="24"/>
          <w:szCs w:val="24"/>
          <w:lang w:val="zh-CN" w:eastAsia="zh-CN"/>
        </w:rPr>
        <w:t>201</w:t>
      </w:r>
      <w:r w:rsidR="00805AD6">
        <w:rPr>
          <w:sz w:val="24"/>
          <w:szCs w:val="24"/>
          <w:lang w:val="zh-CN" w:eastAsia="zh-CN"/>
        </w:rPr>
        <w:t>7</w:t>
      </w:r>
      <w:r w:rsidRPr="00D33A45">
        <w:rPr>
          <w:sz w:val="24"/>
          <w:szCs w:val="24"/>
          <w:lang w:val="zh-CN" w:eastAsia="zh-CN"/>
        </w:rPr>
        <w:t>年）。</w:t>
      </w:r>
    </w:p>
    <w:p w14:paraId="304B8D0B" w14:textId="2F19A263"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应以安全和无害环境的方式运输汞和汞化合物，避免出现意外溢漏；在运输过程中，应对其进行追踪直至到达最终目的地。应在交运之前制定应急计划，最大限度减少车辆事故、溢漏、火灾和其他可能发生的紧急状况对环境产生的影响。在运输过程中，应根据各国通常依循《联合国运输危险货物建议书》的示范</w:t>
      </w:r>
      <w:r w:rsidR="00582298" w:rsidRPr="00D33A45">
        <w:rPr>
          <w:sz w:val="24"/>
          <w:szCs w:val="24"/>
          <w:lang w:val="zh-CN" w:eastAsia="zh-CN"/>
        </w:rPr>
        <w:t>条例</w:t>
      </w:r>
      <w:r w:rsidRPr="00D33A45">
        <w:rPr>
          <w:sz w:val="24"/>
          <w:szCs w:val="24"/>
          <w:lang w:val="zh-CN" w:eastAsia="zh-CN"/>
        </w:rPr>
        <w:t>制订的关于危险货物运输的规章，对汞和汞化合物进行识别、包装和运输（联合国，</w:t>
      </w:r>
      <w:r w:rsidRPr="00D33A45">
        <w:rPr>
          <w:sz w:val="24"/>
          <w:szCs w:val="24"/>
          <w:lang w:val="zh-CN" w:eastAsia="zh-CN"/>
        </w:rPr>
        <w:t>2017</w:t>
      </w:r>
      <w:r w:rsidRPr="00D33A45">
        <w:rPr>
          <w:sz w:val="24"/>
          <w:szCs w:val="24"/>
          <w:lang w:val="zh-CN" w:eastAsia="zh-CN"/>
        </w:rPr>
        <w:t>年）。本指导准则现阶段未列入详细的运输规定，要获取此类信息，最好查阅相关的主要信息来源。</w:t>
      </w:r>
    </w:p>
    <w:p w14:paraId="5D6EB8FC" w14:textId="38F122C8"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在本国境内运输汞或汞化合物的公司应持有运输危险货物的授权，公司人员应有根据适用的国家和地方规则和条例处理危险物品的资质或证书。运输人员应对汞和汞化合物进行管理，防止容器破损、防止汞释放到环境中，并防止受潮。国家关于运输危险物质或危险货物的立法常常对国家一级运输的包装和标签实行监管。如果没有国家一级的指导意见，可以参考跨境运输危险货物</w:t>
      </w:r>
      <w:r w:rsidR="00A10F15">
        <w:rPr>
          <w:rFonts w:hint="eastAsia"/>
          <w:sz w:val="24"/>
          <w:szCs w:val="24"/>
          <w:lang w:val="zh-CN" w:eastAsia="zh-CN"/>
        </w:rPr>
        <w:t>的</w:t>
      </w:r>
      <w:r w:rsidRPr="00D33A45">
        <w:rPr>
          <w:sz w:val="24"/>
          <w:szCs w:val="24"/>
          <w:lang w:val="zh-CN" w:eastAsia="zh-CN"/>
        </w:rPr>
        <w:t>参考资料</w:t>
      </w:r>
      <w:r w:rsidR="00EE21E6" w:rsidRPr="00D33A45">
        <w:rPr>
          <w:sz w:val="24"/>
          <w:szCs w:val="24"/>
          <w:lang w:val="zh-CN" w:eastAsia="zh-CN"/>
        </w:rPr>
        <w:t>（列</w:t>
      </w:r>
      <w:r w:rsidR="00EE21E6">
        <w:rPr>
          <w:rFonts w:hint="eastAsia"/>
          <w:sz w:val="24"/>
          <w:szCs w:val="24"/>
          <w:lang w:val="zh-CN" w:eastAsia="zh-CN"/>
        </w:rPr>
        <w:t>于上文</w:t>
      </w:r>
      <w:r w:rsidR="00EE21E6" w:rsidRPr="00D33A45">
        <w:rPr>
          <w:sz w:val="24"/>
          <w:szCs w:val="24"/>
          <w:lang w:val="zh-CN" w:eastAsia="zh-CN"/>
        </w:rPr>
        <w:t>第</w:t>
      </w:r>
      <w:r w:rsidR="00EE21E6" w:rsidRPr="00D33A45">
        <w:rPr>
          <w:sz w:val="24"/>
          <w:szCs w:val="24"/>
          <w:lang w:val="zh-CN" w:eastAsia="zh-CN"/>
        </w:rPr>
        <w:t>74</w:t>
      </w:r>
      <w:r w:rsidR="00EE21E6" w:rsidRPr="00D33A45">
        <w:rPr>
          <w:sz w:val="24"/>
          <w:szCs w:val="24"/>
          <w:lang w:val="zh-CN" w:eastAsia="zh-CN"/>
        </w:rPr>
        <w:t>段）</w:t>
      </w:r>
      <w:r w:rsidRPr="00D33A45">
        <w:rPr>
          <w:sz w:val="24"/>
          <w:szCs w:val="24"/>
          <w:lang w:val="zh-CN" w:eastAsia="zh-CN"/>
        </w:rPr>
        <w:t>。还应适当考虑《全球化学品统一分类和标签制度》（联合国，</w:t>
      </w:r>
      <w:r w:rsidRPr="00D33A45">
        <w:rPr>
          <w:sz w:val="24"/>
          <w:szCs w:val="24"/>
          <w:lang w:val="zh-CN" w:eastAsia="zh-CN"/>
        </w:rPr>
        <w:t>2015</w:t>
      </w:r>
      <w:r w:rsidRPr="00D33A45">
        <w:rPr>
          <w:sz w:val="24"/>
          <w:szCs w:val="24"/>
          <w:lang w:val="zh-CN" w:eastAsia="zh-CN"/>
        </w:rPr>
        <w:t>年）。运输文件应有紧急响应电话号码和货物符合所有</w:t>
      </w:r>
      <w:r w:rsidRPr="00D33A45">
        <w:rPr>
          <w:sz w:val="24"/>
          <w:szCs w:val="24"/>
          <w:lang w:val="zh-CN" w:eastAsia="zh-CN"/>
        </w:rPr>
        <w:lastRenderedPageBreak/>
        <w:t>规章的证明。此外，承运人应在容器上张贴适当的标志，包括指定的标签、正确的运输名称和联合国编号。汞的规定标签是</w:t>
      </w:r>
      <w:r w:rsidRPr="00D33A45">
        <w:rPr>
          <w:rFonts w:ascii="SimSun" w:hAnsi="SimSun"/>
          <w:sz w:val="24"/>
          <w:szCs w:val="24"/>
          <w:lang w:val="zh-CN" w:eastAsia="zh-CN"/>
        </w:rPr>
        <w:t>“腐蚀性”，正确运输名称“汞”，</w:t>
      </w:r>
      <w:r w:rsidRPr="00D33A45">
        <w:rPr>
          <w:sz w:val="24"/>
          <w:szCs w:val="24"/>
          <w:lang w:val="zh-CN" w:eastAsia="zh-CN"/>
        </w:rPr>
        <w:t>联合国编号是</w:t>
      </w:r>
      <w:r w:rsidRPr="001D75E2">
        <w:rPr>
          <w:rFonts w:ascii="SimSun" w:hAnsi="SimSun"/>
          <w:sz w:val="24"/>
          <w:szCs w:val="24"/>
          <w:lang w:val="zh-CN" w:eastAsia="zh-CN"/>
        </w:rPr>
        <w:t>“</w:t>
      </w:r>
      <w:r w:rsidRPr="00D33A45">
        <w:rPr>
          <w:sz w:val="24"/>
          <w:szCs w:val="24"/>
          <w:lang w:val="zh-CN" w:eastAsia="zh-CN"/>
        </w:rPr>
        <w:t>UN</w:t>
      </w:r>
      <w:r w:rsidR="00805AD6">
        <w:rPr>
          <w:sz w:val="24"/>
          <w:szCs w:val="24"/>
          <w:lang w:val="zh-CN" w:eastAsia="zh-CN"/>
        </w:rPr>
        <w:t xml:space="preserve"> </w:t>
      </w:r>
      <w:r w:rsidRPr="00D33A45">
        <w:rPr>
          <w:sz w:val="24"/>
          <w:szCs w:val="24"/>
          <w:lang w:val="zh-CN" w:eastAsia="zh-CN"/>
        </w:rPr>
        <w:t>2809</w:t>
      </w:r>
      <w:r w:rsidRPr="001D75E2">
        <w:rPr>
          <w:rFonts w:ascii="SimSun" w:hAnsi="SimSun"/>
          <w:sz w:val="24"/>
          <w:szCs w:val="24"/>
          <w:lang w:val="zh-CN" w:eastAsia="zh-CN"/>
        </w:rPr>
        <w:t>”</w:t>
      </w:r>
      <w:r w:rsidRPr="00D33A45">
        <w:rPr>
          <w:sz w:val="24"/>
          <w:szCs w:val="24"/>
          <w:lang w:val="zh-CN" w:eastAsia="zh-CN"/>
        </w:rPr>
        <w:t>（</w:t>
      </w:r>
      <w:r w:rsidR="00CC5F22" w:rsidRPr="00D33A45">
        <w:rPr>
          <w:sz w:val="24"/>
          <w:szCs w:val="24"/>
          <w:lang w:val="zh-CN" w:eastAsia="zh-CN"/>
        </w:rPr>
        <w:t>水银核心小组</w:t>
      </w:r>
      <w:r w:rsidRPr="00D33A45">
        <w:rPr>
          <w:sz w:val="24"/>
          <w:szCs w:val="24"/>
          <w:lang w:val="zh-CN" w:eastAsia="zh-CN"/>
        </w:rPr>
        <w:t>，</w:t>
      </w:r>
      <w:r w:rsidRPr="00D33A45">
        <w:rPr>
          <w:sz w:val="24"/>
          <w:szCs w:val="24"/>
          <w:lang w:val="zh-CN" w:eastAsia="zh-CN"/>
        </w:rPr>
        <w:t>2003</w:t>
      </w:r>
      <w:r w:rsidRPr="00D33A45">
        <w:rPr>
          <w:sz w:val="24"/>
          <w:szCs w:val="24"/>
          <w:lang w:val="zh-CN" w:eastAsia="zh-CN"/>
        </w:rPr>
        <w:t>年）。</w:t>
      </w:r>
    </w:p>
    <w:p w14:paraId="7BBB7B27" w14:textId="7777777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汞的运输应附有化学分析报告，显示汞的纯度并标出污染物。</w:t>
      </w:r>
    </w:p>
    <w:p w14:paraId="62707EAD" w14:textId="59B7A0E7" w:rsidR="0009682F"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运输车辆抵达后，应目视检查是否有明显的泄漏、溢漏、液滴或其他游离单质汞液体滩，所有疑似汞来源应记录在案并报告给管理层。在检查基础上，</w:t>
      </w:r>
      <w:r w:rsidR="00582298" w:rsidRPr="00D33A45">
        <w:rPr>
          <w:sz w:val="24"/>
          <w:szCs w:val="24"/>
          <w:lang w:val="zh-CN" w:eastAsia="zh-CN"/>
        </w:rPr>
        <w:t>按合规接收</w:t>
      </w:r>
      <w:r w:rsidRPr="00D33A45">
        <w:rPr>
          <w:sz w:val="24"/>
          <w:szCs w:val="24"/>
          <w:lang w:val="zh-CN" w:eastAsia="zh-CN"/>
        </w:rPr>
        <w:t>货物，或按不合规拒收；设施应保留一份有所有相关信息的书面报告（</w:t>
      </w:r>
      <w:r w:rsidR="00CC5F22" w:rsidRPr="00D33A45">
        <w:rPr>
          <w:sz w:val="24"/>
          <w:szCs w:val="24"/>
          <w:lang w:val="zh-CN" w:eastAsia="zh-CN"/>
        </w:rPr>
        <w:t>水银核心小组</w:t>
      </w:r>
      <w:r w:rsidRPr="00D33A45">
        <w:rPr>
          <w:sz w:val="24"/>
          <w:szCs w:val="24"/>
          <w:lang w:val="zh-CN" w:eastAsia="zh-CN"/>
        </w:rPr>
        <w:t>，</w:t>
      </w:r>
      <w:r w:rsidRPr="00D33A45">
        <w:rPr>
          <w:sz w:val="24"/>
          <w:szCs w:val="24"/>
          <w:lang w:val="zh-CN" w:eastAsia="zh-CN"/>
        </w:rPr>
        <w:t>2003</w:t>
      </w:r>
      <w:r w:rsidRPr="00D33A45">
        <w:rPr>
          <w:sz w:val="24"/>
          <w:szCs w:val="24"/>
          <w:lang w:val="zh-CN" w:eastAsia="zh-CN"/>
        </w:rPr>
        <w:t>年）。在拒收货物时，设施经营者应确保已经采取了应急计划规定的所有行动且没有在设施外造成进一步渗漏。</w:t>
      </w:r>
    </w:p>
    <w:p w14:paraId="10B8A843" w14:textId="3B860DAA" w:rsidR="00582298" w:rsidRPr="00D33A45" w:rsidRDefault="0009682F" w:rsidP="00D33A45">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D33A45">
        <w:rPr>
          <w:sz w:val="24"/>
          <w:szCs w:val="24"/>
          <w:lang w:val="zh-CN" w:eastAsia="zh-CN"/>
        </w:rPr>
        <w:t>为确保尽可能减少汞或汞化合物在处理和运输过程中的释放，必须提高相关各方（例如运输人员、回收人员和进行处理者）对汞的风险的认识。可以通过举办研讨会等培训活动来提高认识，因为这些活动能提供关于新的系统和规章的信息，并提供交流信息、编制和分发手册及利用互联网传播信息的机会。</w:t>
      </w:r>
    </w:p>
    <w:p w14:paraId="20C705EE" w14:textId="77777777" w:rsidR="00582298" w:rsidRDefault="00582298">
      <w:pPr>
        <w:tabs>
          <w:tab w:val="clear" w:pos="1247"/>
          <w:tab w:val="clear" w:pos="1814"/>
          <w:tab w:val="clear" w:pos="2381"/>
          <w:tab w:val="clear" w:pos="2948"/>
          <w:tab w:val="clear" w:pos="3515"/>
        </w:tabs>
        <w:spacing w:after="0" w:line="240" w:lineRule="auto"/>
        <w:jc w:val="left"/>
        <w:rPr>
          <w:rFonts w:asciiTheme="majorEastAsia" w:eastAsiaTheme="majorEastAsia" w:hAnsiTheme="majorEastAsia"/>
          <w:sz w:val="24"/>
          <w:szCs w:val="24"/>
          <w:lang w:val="zh-CN"/>
        </w:rPr>
      </w:pPr>
      <w:r>
        <w:rPr>
          <w:rFonts w:asciiTheme="majorEastAsia" w:eastAsiaTheme="majorEastAsia" w:hAnsiTheme="majorEastAsia"/>
          <w:sz w:val="24"/>
          <w:szCs w:val="24"/>
          <w:lang w:val="zh-CN"/>
        </w:rPr>
        <w:br w:type="page"/>
      </w:r>
    </w:p>
    <w:p w14:paraId="171BDE05" w14:textId="77777777" w:rsidR="0009682F" w:rsidRPr="00E12844" w:rsidRDefault="0009682F" w:rsidP="00D33A45">
      <w:pPr>
        <w:pStyle w:val="CH1"/>
        <w:rPr>
          <w:lang w:eastAsia="zh-CN"/>
        </w:rPr>
      </w:pPr>
      <w:r>
        <w:rPr>
          <w:lang w:val="zh-CN" w:eastAsia="zh-CN"/>
        </w:rPr>
        <w:lastRenderedPageBreak/>
        <w:tab/>
      </w:r>
      <w:r>
        <w:rPr>
          <w:lang w:val="zh-CN" w:eastAsia="zh-CN"/>
        </w:rPr>
        <w:tab/>
      </w:r>
      <w:bookmarkStart w:id="41" w:name="_Toc526252813"/>
      <w:r w:rsidRPr="00156B98">
        <w:rPr>
          <w:rFonts w:ascii="SimHei" w:eastAsia="SimHei" w:hAnsi="SimHei"/>
          <w:bCs/>
          <w:szCs w:val="22"/>
          <w:lang w:val="zh-CN" w:eastAsia="zh-CN"/>
        </w:rPr>
        <w:t>参考文献及其他资料来源</w:t>
      </w:r>
      <w:bookmarkStart w:id="42" w:name="_Toc520380795"/>
      <w:bookmarkStart w:id="43" w:name="_Toc524009419"/>
      <w:bookmarkEnd w:id="41"/>
      <w:bookmarkEnd w:id="42"/>
      <w:bookmarkEnd w:id="43"/>
    </w:p>
    <w:p w14:paraId="65B3B0B6" w14:textId="77777777" w:rsidR="006A5BF7"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Canadian Centre for Occupational Health and Safety (undated). </w:t>
      </w:r>
      <w:r w:rsidRPr="00E12844">
        <w:rPr>
          <w:i/>
        </w:rPr>
        <w:t>OHS Fact Sheets: Mercury</w:t>
      </w:r>
      <w:r w:rsidRPr="00E12844">
        <w:t xml:space="preserve">. Available at </w:t>
      </w:r>
      <w:hyperlink r:id="rId21" w:history="1">
        <w:r w:rsidRPr="00E12844">
          <w:rPr>
            <w:rStyle w:val="Lienhypertexte"/>
            <w:lang w:val="en-GB"/>
          </w:rPr>
          <w:t>http://www.ccohs.ca/oshanswers/chemicals/chem_profiles/mercury.html</w:t>
        </w:r>
      </w:hyperlink>
      <w:r w:rsidRPr="00E12844">
        <w:t>.</w:t>
      </w:r>
    </w:p>
    <w:p w14:paraId="398F277C"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t xml:space="preserve">Environment and Climate Change Canada. “Cleaning up small mercury spills” (website). Available at </w:t>
      </w:r>
      <w:r w:rsidRPr="003038EE">
        <w:t>https://www.ec.gc.ca/mercure-mercury/default.asp?lang=En&amp;n=D2B2AD47-1</w:t>
      </w:r>
      <w:r>
        <w:t>.</w:t>
      </w:r>
    </w:p>
    <w:p w14:paraId="43EA9311"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rPr>
          <w:rStyle w:val="Lienhypertexte"/>
          <w:lang w:val="en-GB"/>
        </w:rPr>
      </w:pPr>
      <w:r w:rsidRPr="00E12844">
        <w:t xml:space="preserve">Euro Chlor (2007). </w:t>
      </w:r>
      <w:r w:rsidRPr="00E12844">
        <w:rPr>
          <w:i/>
        </w:rPr>
        <w:t>Guidelines for the preparation for permanent storage of metallic mercury above ground or in underground mines</w:t>
      </w:r>
      <w:r w:rsidRPr="00E12844">
        <w:t xml:space="preserve">. Available at </w:t>
      </w:r>
      <w:hyperlink r:id="rId22" w:history="1">
        <w:r w:rsidRPr="00E12844">
          <w:rPr>
            <w:rStyle w:val="Lienhypertexte"/>
            <w:lang w:val="en-GB"/>
          </w:rPr>
          <w:t>http://www.worldchlorine.org/wp-content/uploads/2015/08/Env-Prot-19-Edition-1.pdf</w:t>
        </w:r>
      </w:hyperlink>
      <w:r>
        <w:rPr>
          <w:rStyle w:val="Lienhypertexte"/>
          <w:lang w:val="en-GB"/>
        </w:rPr>
        <w:t>.</w:t>
      </w:r>
    </w:p>
    <w:p w14:paraId="1918D6E8"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European Union (EU) (2010). </w:t>
      </w:r>
      <w:r w:rsidRPr="00E12844">
        <w:rPr>
          <w:i/>
        </w:rPr>
        <w:t>Extended summary on possible storage options for liquid and solidified mercury and the corresponding acceptance criteria and facility</w:t>
      </w:r>
      <w:r>
        <w:rPr>
          <w:i/>
        </w:rPr>
        <w:t>-</w:t>
      </w:r>
      <w:r w:rsidRPr="00E12844">
        <w:rPr>
          <w:i/>
        </w:rPr>
        <w:t>related requirements</w:t>
      </w:r>
      <w:r w:rsidRPr="00E12844">
        <w:t xml:space="preserve">. Available at </w:t>
      </w:r>
      <w:hyperlink r:id="rId23" w:history="1">
        <w:r w:rsidRPr="00E12844">
          <w:rPr>
            <w:rStyle w:val="Lienhypertexte"/>
            <w:lang w:val="en-GB"/>
          </w:rPr>
          <w:t>http://ec.europa.eu/environment/chemicals/mercury/pdf/bipro_study20100416_sum.pdf</w:t>
        </w:r>
      </w:hyperlink>
      <w:r w:rsidRPr="00E12844">
        <w:t xml:space="preserve">. </w:t>
      </w:r>
    </w:p>
    <w:p w14:paraId="68F9530D" w14:textId="77777777" w:rsidR="006A5BF7" w:rsidRPr="00E12844" w:rsidRDefault="00BC4E0A" w:rsidP="006A5BF7">
      <w:pPr>
        <w:pStyle w:val="Normal-pool"/>
        <w:tabs>
          <w:tab w:val="clear" w:pos="1247"/>
          <w:tab w:val="clear" w:pos="1814"/>
          <w:tab w:val="clear" w:pos="2381"/>
          <w:tab w:val="clear" w:pos="2948"/>
          <w:tab w:val="clear" w:pos="3515"/>
          <w:tab w:val="clear" w:pos="4082"/>
        </w:tabs>
        <w:spacing w:after="120"/>
        <w:ind w:left="1247"/>
      </w:pPr>
      <w:hyperlink w:history="1"/>
      <w:r w:rsidR="006A5BF7" w:rsidRPr="00E12844">
        <w:t xml:space="preserve">European Union (EU) (2011). Council Directive 2011/97/EU of 5 December 2011 amending Directive 1999/31/EC as regards specific criteria for the storage of metallic mercury considered as waste. </w:t>
      </w:r>
      <w:r w:rsidR="006A5BF7" w:rsidRPr="00E12844">
        <w:rPr>
          <w:i/>
        </w:rPr>
        <w:t>Official Journal of the European Union</w:t>
      </w:r>
      <w:r w:rsidR="006A5BF7" w:rsidRPr="00E12844">
        <w:t xml:space="preserve">, L 328, 10/12/2011, p. 49. Available at </w:t>
      </w:r>
      <w:hyperlink r:id="rId24" w:history="1">
        <w:r w:rsidR="006A5BF7" w:rsidRPr="00E12844">
          <w:rPr>
            <w:rStyle w:val="Lienhypertexte"/>
            <w:lang w:val="en-GB"/>
          </w:rPr>
          <w:t>http://eur-lex.europa.eu/LexUriServ/LexUriServ.do?uri=OJ:L:2011:328:0049:0052:EN:PDF</w:t>
        </w:r>
      </w:hyperlink>
      <w:r w:rsidR="006A5BF7" w:rsidRPr="00E12844">
        <w:t>.</w:t>
      </w:r>
    </w:p>
    <w:p w14:paraId="3FF41295"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Food and Agriculture Organization of the United Nations (FAO) (1985). </w:t>
      </w:r>
      <w:r w:rsidRPr="00E12844">
        <w:rPr>
          <w:i/>
        </w:rPr>
        <w:t xml:space="preserve">Guidelines for the </w:t>
      </w:r>
      <w:r>
        <w:rPr>
          <w:i/>
        </w:rPr>
        <w:t>p</w:t>
      </w:r>
      <w:r w:rsidRPr="00E12844">
        <w:rPr>
          <w:i/>
        </w:rPr>
        <w:t xml:space="preserve">ackaging and </w:t>
      </w:r>
      <w:r>
        <w:rPr>
          <w:i/>
        </w:rPr>
        <w:t>s</w:t>
      </w:r>
      <w:r w:rsidRPr="00E12844">
        <w:rPr>
          <w:i/>
        </w:rPr>
        <w:t xml:space="preserve">torage of </w:t>
      </w:r>
      <w:r>
        <w:rPr>
          <w:i/>
        </w:rPr>
        <w:t>p</w:t>
      </w:r>
      <w:r w:rsidRPr="00E12844">
        <w:rPr>
          <w:i/>
        </w:rPr>
        <w:t>esticides</w:t>
      </w:r>
      <w:r w:rsidRPr="00E12844">
        <w:t xml:space="preserve">. Available at </w:t>
      </w:r>
      <w:hyperlink r:id="rId25" w:history="1">
        <w:r w:rsidRPr="00E12844">
          <w:rPr>
            <w:rStyle w:val="Lienhypertexte"/>
            <w:lang w:val="en-GB"/>
          </w:rPr>
          <w:t>http://www.bvsde.paho.org/bvstox/i/fulltext/fao12/fao12.pdf</w:t>
        </w:r>
      </w:hyperlink>
      <w:r w:rsidRPr="00E12844">
        <w:t xml:space="preserve">. </w:t>
      </w:r>
    </w:p>
    <w:p w14:paraId="1179B772"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International Air Transport Association (2016). </w:t>
      </w:r>
      <w:r w:rsidRPr="00E12844">
        <w:rPr>
          <w:i/>
        </w:rPr>
        <w:t>Dangerous Goods Regulations</w:t>
      </w:r>
      <w:r w:rsidRPr="00E12844">
        <w:t xml:space="preserve">. </w:t>
      </w:r>
    </w:p>
    <w:p w14:paraId="057F57AD"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International Civil Aviation Organization.</w:t>
      </w:r>
      <w:r w:rsidRPr="00E12844" w:rsidDel="00E60C49">
        <w:t xml:space="preserve"> </w:t>
      </w:r>
      <w:r w:rsidRPr="00E12844">
        <w:rPr>
          <w:i/>
        </w:rPr>
        <w:t>Technical Instructions for the Safe Transport of Dangerous Goods by Air</w:t>
      </w:r>
      <w:r w:rsidRPr="00E12844">
        <w:t xml:space="preserve">. Latest version available at </w:t>
      </w:r>
      <w:hyperlink r:id="rId26" w:history="1">
        <w:r w:rsidRPr="00E12844">
          <w:rPr>
            <w:rStyle w:val="Lienhypertexte"/>
            <w:lang w:val="en-GB"/>
          </w:rPr>
          <w:t>https://www.icao.int/safety/DangerousGoods/Pages/technical-instructions.aspx</w:t>
        </w:r>
      </w:hyperlink>
      <w:r w:rsidRPr="00E12844">
        <w:t>.</w:t>
      </w:r>
    </w:p>
    <w:p w14:paraId="0153315D"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International Labour Organization</w:t>
      </w:r>
      <w:r>
        <w:t xml:space="preserve">, </w:t>
      </w:r>
      <w:r w:rsidRPr="00E12844">
        <w:t xml:space="preserve">International Occupational Safety and Health Information Centre (2001). </w:t>
      </w:r>
      <w:r w:rsidRPr="00E12844">
        <w:rPr>
          <w:i/>
        </w:rPr>
        <w:t>Mercuric Oxide</w:t>
      </w:r>
      <w:r>
        <w:t>.</w:t>
      </w:r>
      <w:r w:rsidRPr="00E12844">
        <w:t xml:space="preserve"> </w:t>
      </w:r>
    </w:p>
    <w:p w14:paraId="6F996206"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International Maritime Organization. </w:t>
      </w:r>
      <w:r w:rsidRPr="00E12844">
        <w:rPr>
          <w:i/>
        </w:rPr>
        <w:t>International Maritime Dangerous Goods Code</w:t>
      </w:r>
      <w:r w:rsidRPr="00E12844">
        <w:t xml:space="preserve">. Latest version available at </w:t>
      </w:r>
      <w:hyperlink r:id="rId27" w:history="1">
        <w:r w:rsidRPr="00E12844">
          <w:rPr>
            <w:rStyle w:val="Lienhypertexte"/>
            <w:lang w:val="en-GB"/>
          </w:rPr>
          <w:t>http://www.imo.org/en/Publications/IMDGCode/Pages/Default.aspx</w:t>
        </w:r>
      </w:hyperlink>
      <w:r w:rsidRPr="00E12844">
        <w:t>.</w:t>
      </w:r>
    </w:p>
    <w:p w14:paraId="6A526495"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Organization for Economic Cooperation and Development (2001). </w:t>
      </w:r>
      <w:r w:rsidRPr="00E12844">
        <w:rPr>
          <w:i/>
        </w:rPr>
        <w:t>Harmonised Integrated Classification System for Human Health and Environmental Hazards of Chemical Substances and Mixtures</w:t>
      </w:r>
      <w:r w:rsidRPr="00E12844">
        <w:t>.</w:t>
      </w:r>
      <w:r w:rsidRPr="00E12844">
        <w:rPr>
          <w:rFonts w:ascii="Roboto" w:hAnsi="Roboto"/>
          <w:color w:val="7F7F7F"/>
          <w:sz w:val="21"/>
          <w:szCs w:val="21"/>
          <w:shd w:val="clear" w:color="auto" w:fill="FFFFFF"/>
        </w:rPr>
        <w:t xml:space="preserve"> </w:t>
      </w:r>
      <w:r w:rsidRPr="00E12844">
        <w:t>OECD Series on Testing and Assessment, No. 33, OECD Publishing, Paris. Available at </w:t>
      </w:r>
      <w:hyperlink r:id="rId28" w:history="1">
        <w:r w:rsidRPr="00E12844">
          <w:rPr>
            <w:rStyle w:val="Lienhypertexte"/>
            <w:lang w:val="en-GB"/>
          </w:rPr>
          <w:t>https://doi.org/10.1787/9789264078475-en</w:t>
        </w:r>
      </w:hyperlink>
      <w:r w:rsidRPr="00E12844">
        <w:t>.</w:t>
      </w:r>
    </w:p>
    <w:p w14:paraId="75E99CCA"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Quicksilver Caucus (QSC) (2003). </w:t>
      </w:r>
      <w:r w:rsidRPr="00E12844">
        <w:rPr>
          <w:i/>
        </w:rPr>
        <w:t>Mercury Stewardship Best Management Practices</w:t>
      </w:r>
      <w:r w:rsidRPr="00E12844">
        <w:t>, October (available on request).</w:t>
      </w:r>
    </w:p>
    <w:p w14:paraId="1E30EA78"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United Nations (2015). </w:t>
      </w:r>
      <w:r w:rsidRPr="00E12844">
        <w:rPr>
          <w:i/>
        </w:rPr>
        <w:t>Globally Harmonized System of Classification and Labelling of Chemicals</w:t>
      </w:r>
      <w:r>
        <w:t>, 6</w:t>
      </w:r>
      <w:r w:rsidRPr="00E12844">
        <w:t>th rev</w:t>
      </w:r>
      <w:r>
        <w:t>.</w:t>
      </w:r>
      <w:r w:rsidRPr="00E12844">
        <w:t xml:space="preserve"> ed</w:t>
      </w:r>
      <w:r>
        <w:t>.</w:t>
      </w:r>
      <w:r w:rsidRPr="00E12844">
        <w:t xml:space="preserve"> (United Nations publication, Sales No. E.15.II.E.5)</w:t>
      </w:r>
      <w:r>
        <w:t>.</w:t>
      </w:r>
      <w:r w:rsidRPr="00E12844">
        <w:t xml:space="preserve"> Available at https://www.unece.org/fileadmin/DAM/trans/danger/publi/ghs/ghs_rev06/English/ST-SG-AC10-30-Rev6e.pdf.</w:t>
      </w:r>
    </w:p>
    <w:p w14:paraId="559FC573"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United Nations (2017). </w:t>
      </w:r>
      <w:r w:rsidRPr="00E12844">
        <w:rPr>
          <w:i/>
        </w:rPr>
        <w:t>United Nations Recommendations on the Transport of Dangerous Goods: Model Regulations</w:t>
      </w:r>
      <w:r>
        <w:t xml:space="preserve">, </w:t>
      </w:r>
      <w:r w:rsidRPr="00E12844">
        <w:t>20th rev</w:t>
      </w:r>
      <w:r>
        <w:t>.</w:t>
      </w:r>
      <w:r w:rsidRPr="00E12844">
        <w:t xml:space="preserve"> ed</w:t>
      </w:r>
      <w:r>
        <w:t>.</w:t>
      </w:r>
      <w:r w:rsidRPr="00E12844">
        <w:t xml:space="preserve"> (United Nations publication, Sales No. E.17.VIII.1). Available at https://www.unece.org/trans/danger/publi/unrec/rev20/20files_e.html.</w:t>
      </w:r>
    </w:p>
    <w:p w14:paraId="6D66AE08"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rPr>
          <w:b/>
          <w:lang w:eastAsia="ja-JP"/>
        </w:rPr>
      </w:pPr>
      <w:r w:rsidRPr="00E12844">
        <w:rPr>
          <w:lang w:eastAsia="ja-JP"/>
        </w:rPr>
        <w:t xml:space="preserve">United </w:t>
      </w:r>
      <w:r w:rsidRPr="00E12844">
        <w:t>Nations</w:t>
      </w:r>
      <w:r w:rsidRPr="00E12844">
        <w:rPr>
          <w:lang w:eastAsia="ja-JP"/>
        </w:rPr>
        <w:t xml:space="preserve"> Development Programme (UNDP) (2010). </w:t>
      </w:r>
      <w:r w:rsidRPr="00E12844">
        <w:rPr>
          <w:i/>
        </w:rPr>
        <w:t xml:space="preserve">UNDP GEF Global Healthcare Waste Project: Guidance on the </w:t>
      </w:r>
      <w:r>
        <w:rPr>
          <w:i/>
        </w:rPr>
        <w:t>c</w:t>
      </w:r>
      <w:r w:rsidRPr="00E12844">
        <w:rPr>
          <w:i/>
        </w:rPr>
        <w:t xml:space="preserve">leanup, </w:t>
      </w:r>
      <w:r>
        <w:rPr>
          <w:i/>
        </w:rPr>
        <w:t>t</w:t>
      </w:r>
      <w:r w:rsidRPr="00E12844">
        <w:rPr>
          <w:i/>
        </w:rPr>
        <w:t xml:space="preserve">emporary or </w:t>
      </w:r>
      <w:r>
        <w:rPr>
          <w:i/>
        </w:rPr>
        <w:t>i</w:t>
      </w:r>
      <w:r w:rsidRPr="00E12844">
        <w:rPr>
          <w:i/>
        </w:rPr>
        <w:t xml:space="preserve">ntermediate </w:t>
      </w:r>
      <w:r>
        <w:rPr>
          <w:i/>
        </w:rPr>
        <w:t>s</w:t>
      </w:r>
      <w:r w:rsidRPr="00E12844">
        <w:rPr>
          <w:i/>
        </w:rPr>
        <w:t xml:space="preserve">torage, and </w:t>
      </w:r>
      <w:r>
        <w:rPr>
          <w:i/>
        </w:rPr>
        <w:t>t</w:t>
      </w:r>
      <w:r w:rsidRPr="00E12844">
        <w:rPr>
          <w:i/>
        </w:rPr>
        <w:t xml:space="preserve">ransport of </w:t>
      </w:r>
      <w:r>
        <w:rPr>
          <w:i/>
        </w:rPr>
        <w:t>m</w:t>
      </w:r>
      <w:r w:rsidRPr="00E12844">
        <w:rPr>
          <w:i/>
        </w:rPr>
        <w:t xml:space="preserve">ercury </w:t>
      </w:r>
      <w:r>
        <w:rPr>
          <w:i/>
        </w:rPr>
        <w:t>w</w:t>
      </w:r>
      <w:r w:rsidRPr="00E12844">
        <w:rPr>
          <w:i/>
        </w:rPr>
        <w:t xml:space="preserve">aste from </w:t>
      </w:r>
      <w:r>
        <w:rPr>
          <w:i/>
        </w:rPr>
        <w:t>h</w:t>
      </w:r>
      <w:r w:rsidRPr="00E12844">
        <w:rPr>
          <w:i/>
        </w:rPr>
        <w:t>ealth</w:t>
      </w:r>
      <w:r>
        <w:rPr>
          <w:i/>
        </w:rPr>
        <w:t>-c</w:t>
      </w:r>
      <w:r w:rsidRPr="00E12844">
        <w:rPr>
          <w:i/>
        </w:rPr>
        <w:t xml:space="preserve">are </w:t>
      </w:r>
      <w:r>
        <w:rPr>
          <w:i/>
        </w:rPr>
        <w:t>f</w:t>
      </w:r>
      <w:r w:rsidRPr="00E12844">
        <w:rPr>
          <w:i/>
        </w:rPr>
        <w:t>acilities</w:t>
      </w:r>
      <w:r w:rsidRPr="00E12844">
        <w:rPr>
          <w:lang w:eastAsia="ja-JP"/>
        </w:rPr>
        <w:t xml:space="preserve">. Available at </w:t>
      </w:r>
      <w:hyperlink r:id="rId29" w:history="1">
        <w:r w:rsidRPr="00E12844">
          <w:rPr>
            <w:rStyle w:val="Lienhypertexte"/>
            <w:lang w:val="en-GB"/>
          </w:rPr>
          <w:t>https://noharm-global.org/sites/default/files/documents-files/1030/GEF_Guidance_Cleanup_Storage_Transport_Mercury.pdf</w:t>
        </w:r>
      </w:hyperlink>
      <w:r w:rsidRPr="00E12844">
        <w:rPr>
          <w:lang w:eastAsia="ja-JP"/>
        </w:rPr>
        <w:t>.</w:t>
      </w:r>
      <w:r w:rsidRPr="00E12844">
        <w:rPr>
          <w:b/>
          <w:lang w:eastAsia="ja-JP"/>
        </w:rPr>
        <w:t xml:space="preserve"> </w:t>
      </w:r>
    </w:p>
    <w:p w14:paraId="172F6045" w14:textId="77777777" w:rsidR="006A5BF7" w:rsidRDefault="006A5BF7" w:rsidP="006A5BF7">
      <w:pPr>
        <w:pStyle w:val="Normal-pool"/>
        <w:tabs>
          <w:tab w:val="clear" w:pos="1247"/>
          <w:tab w:val="clear" w:pos="1814"/>
          <w:tab w:val="clear" w:pos="2381"/>
          <w:tab w:val="clear" w:pos="2948"/>
          <w:tab w:val="clear" w:pos="3515"/>
        </w:tabs>
        <w:spacing w:after="120"/>
        <w:ind w:left="1247"/>
        <w:rPr>
          <w:bCs/>
          <w:lang w:eastAsia="ja-JP"/>
        </w:rPr>
      </w:pPr>
      <w:r w:rsidRPr="00E12844">
        <w:rPr>
          <w:bCs/>
          <w:lang w:eastAsia="ja-JP"/>
        </w:rPr>
        <w:t>United Nations Environment Programme (UNEP) (2015)</w:t>
      </w:r>
      <w:r>
        <w:rPr>
          <w:bCs/>
          <w:lang w:eastAsia="ja-JP"/>
        </w:rPr>
        <w:t>.</w:t>
      </w:r>
      <w:r w:rsidRPr="00E12844">
        <w:rPr>
          <w:bCs/>
          <w:lang w:eastAsia="ja-JP"/>
        </w:rPr>
        <w:t xml:space="preserve"> </w:t>
      </w:r>
      <w:r w:rsidRPr="00E12844">
        <w:rPr>
          <w:bCs/>
          <w:i/>
          <w:lang w:eastAsia="ja-JP"/>
        </w:rPr>
        <w:t>Technical guidelines on the environmentally sound management of wastes consisting of, containing or contaminated with mercury or mercury compounds: Note by the secretariat</w:t>
      </w:r>
      <w:r w:rsidRPr="00E12844">
        <w:rPr>
          <w:bCs/>
          <w:lang w:eastAsia="ja-JP"/>
        </w:rPr>
        <w:t xml:space="preserve">. UNEP/CHW.12/INF/8. Available at </w:t>
      </w:r>
      <w:hyperlink r:id="rId30" w:history="1">
        <w:r w:rsidRPr="00F5476B">
          <w:rPr>
            <w:rStyle w:val="Lienhypertexte"/>
            <w:bCs/>
            <w:lang w:val="en-GB" w:eastAsia="ja-JP"/>
          </w:rPr>
          <w:t>http://www.basel.int/TheConvention/ConferenceoftheParties/Meetings/COP12/tabid/4248/mctl/ViewDetails/EventModID/8051/EventID/542/xmid/13027/Default.aspx</w:t>
        </w:r>
      </w:hyperlink>
      <w:r>
        <w:rPr>
          <w:bCs/>
          <w:lang w:eastAsia="ja-JP"/>
        </w:rPr>
        <w:t>.</w:t>
      </w:r>
    </w:p>
    <w:p w14:paraId="0F8CF82F" w14:textId="77777777" w:rsidR="006A5BF7" w:rsidRPr="00E12844" w:rsidRDefault="006A5BF7" w:rsidP="006A5BF7">
      <w:pPr>
        <w:pStyle w:val="Normal-pool"/>
        <w:tabs>
          <w:tab w:val="clear" w:pos="1247"/>
          <w:tab w:val="clear" w:pos="1814"/>
          <w:tab w:val="clear" w:pos="2381"/>
          <w:tab w:val="clear" w:pos="2948"/>
          <w:tab w:val="clear" w:pos="3515"/>
        </w:tabs>
        <w:spacing w:after="120"/>
        <w:ind w:left="1247"/>
        <w:rPr>
          <w:bCs/>
          <w:lang w:eastAsia="ja-JP"/>
        </w:rPr>
      </w:pPr>
      <w:r w:rsidRPr="00E12844">
        <w:rPr>
          <w:bCs/>
          <w:lang w:eastAsia="ja-JP"/>
        </w:rPr>
        <w:t>United Nations Environment Programme (UNEP)</w:t>
      </w:r>
      <w:r>
        <w:rPr>
          <w:bCs/>
          <w:lang w:eastAsia="ja-JP"/>
        </w:rPr>
        <w:t xml:space="preserve"> (2017a). </w:t>
      </w:r>
      <w:r w:rsidRPr="00650148">
        <w:rPr>
          <w:bCs/>
          <w:i/>
          <w:lang w:eastAsia="ja-JP"/>
        </w:rPr>
        <w:t>Guidance Document:</w:t>
      </w:r>
      <w:r>
        <w:rPr>
          <w:bCs/>
          <w:lang w:eastAsia="ja-JP"/>
        </w:rPr>
        <w:t xml:space="preserve"> </w:t>
      </w:r>
      <w:r w:rsidRPr="00E12844">
        <w:rPr>
          <w:i/>
        </w:rPr>
        <w:t xml:space="preserve">Developing a National Action Plan to Reduce and, Where Feasible, Eliminate Mercury Use in Artisanal and </w:t>
      </w:r>
      <w:r>
        <w:rPr>
          <w:i/>
        </w:rPr>
        <w:br/>
      </w:r>
      <w:r w:rsidRPr="00E12844">
        <w:rPr>
          <w:i/>
        </w:rPr>
        <w:t>Small-Scale Gold Mining</w:t>
      </w:r>
      <w:r w:rsidRPr="00E12844">
        <w:t>.</w:t>
      </w:r>
      <w:r w:rsidRPr="00E12844">
        <w:rPr>
          <w:bCs/>
          <w:lang w:eastAsia="ja-JP"/>
        </w:rPr>
        <w:t xml:space="preserve"> Available at </w:t>
      </w:r>
      <w:hyperlink r:id="rId31" w:history="1">
        <w:r w:rsidRPr="00E12844">
          <w:rPr>
            <w:rStyle w:val="Lienhypertexte"/>
            <w:bCs/>
            <w:lang w:val="en-GB" w:eastAsia="ja-JP"/>
          </w:rPr>
          <w:t>http://wedocs.unep.org/xmlui/bitstream/handle/20.500.11822/25473/NAP_guidance2018_EN.pdf?sequence=1&amp;isAllowed=y</w:t>
        </w:r>
      </w:hyperlink>
      <w:r>
        <w:rPr>
          <w:bCs/>
          <w:lang w:eastAsia="ja-JP"/>
        </w:rPr>
        <w:t>.</w:t>
      </w:r>
    </w:p>
    <w:p w14:paraId="2E19D0A2" w14:textId="77777777" w:rsidR="006A5BF7" w:rsidRPr="000853CA" w:rsidRDefault="006A5BF7" w:rsidP="006A5BF7">
      <w:pPr>
        <w:pStyle w:val="Normal-pool"/>
        <w:tabs>
          <w:tab w:val="clear" w:pos="1247"/>
          <w:tab w:val="clear" w:pos="1814"/>
          <w:tab w:val="clear" w:pos="2381"/>
          <w:tab w:val="clear" w:pos="2948"/>
          <w:tab w:val="clear" w:pos="3515"/>
        </w:tabs>
        <w:spacing w:after="120"/>
        <w:ind w:left="1247"/>
        <w:rPr>
          <w:bCs/>
          <w:lang w:eastAsia="ja-JP"/>
        </w:rPr>
      </w:pPr>
      <w:r w:rsidRPr="00C773C9">
        <w:rPr>
          <w:bCs/>
          <w:lang w:eastAsia="ja-JP"/>
        </w:rPr>
        <w:lastRenderedPageBreak/>
        <w:t>United Nations Environment Programme (UNEP) (2017</w:t>
      </w:r>
      <w:r w:rsidRPr="00650148">
        <w:rPr>
          <w:bCs/>
          <w:lang w:eastAsia="ja-JP"/>
        </w:rPr>
        <w:t>b</w:t>
      </w:r>
      <w:r w:rsidRPr="00C773C9">
        <w:rPr>
          <w:bCs/>
          <w:lang w:eastAsia="ja-JP"/>
        </w:rPr>
        <w:t>)</w:t>
      </w:r>
      <w:r w:rsidRPr="00650148">
        <w:rPr>
          <w:bCs/>
          <w:i/>
          <w:lang w:eastAsia="ja-JP"/>
        </w:rPr>
        <w:t xml:space="preserve">. </w:t>
      </w:r>
      <w:r w:rsidRPr="00650148">
        <w:rPr>
          <w:i/>
        </w:rPr>
        <w:t xml:space="preserve">Guidance on the identification of individual stocks of mercury or mercury compounds exceeding 50 metric tons and sources of mercury supply generating stocks exceeding 10 metric tons per year. </w:t>
      </w:r>
      <w:r w:rsidRPr="000853CA">
        <w:rPr>
          <w:bCs/>
          <w:lang w:eastAsia="ja-JP"/>
        </w:rPr>
        <w:t>Available at http://mercuryconvention.org/Convention/Formsandguidance/tabid/5527/language/en-US/Default.aspx.</w:t>
      </w:r>
    </w:p>
    <w:p w14:paraId="2F659B1D" w14:textId="77777777" w:rsidR="006A5BF7" w:rsidRPr="00E12844" w:rsidRDefault="006A5BF7" w:rsidP="006A5BF7">
      <w:pPr>
        <w:pStyle w:val="Normal-pool"/>
        <w:tabs>
          <w:tab w:val="clear" w:pos="1247"/>
          <w:tab w:val="clear" w:pos="1814"/>
          <w:tab w:val="clear" w:pos="2381"/>
          <w:tab w:val="clear" w:pos="2948"/>
          <w:tab w:val="clear" w:pos="3515"/>
        </w:tabs>
        <w:spacing w:after="120"/>
        <w:ind w:left="1247"/>
        <w:rPr>
          <w:bCs/>
          <w:lang w:eastAsia="ja-JP"/>
        </w:rPr>
      </w:pPr>
      <w:r w:rsidRPr="003E3875">
        <w:rPr>
          <w:bCs/>
          <w:lang w:eastAsia="ja-JP"/>
        </w:rPr>
        <w:t>United Nations Environment Programme (UNEP</w:t>
      </w:r>
      <w:r w:rsidRPr="00650148">
        <w:rPr>
          <w:bCs/>
          <w:lang w:eastAsia="ja-JP"/>
        </w:rPr>
        <w:t>)</w:t>
      </w:r>
      <w:r w:rsidRPr="00650148">
        <w:t xml:space="preserve"> (2017c</w:t>
      </w:r>
      <w:r w:rsidRPr="003E3875">
        <w:t xml:space="preserve">). </w:t>
      </w:r>
      <w:r w:rsidRPr="003E3875">
        <w:rPr>
          <w:i/>
        </w:rPr>
        <w:t>Toolkit</w:t>
      </w:r>
      <w:r w:rsidRPr="00E12844">
        <w:rPr>
          <w:i/>
        </w:rPr>
        <w:t xml:space="preserve"> for </w:t>
      </w:r>
      <w:r>
        <w:rPr>
          <w:i/>
        </w:rPr>
        <w:t>i</w:t>
      </w:r>
      <w:r w:rsidRPr="00E12844">
        <w:rPr>
          <w:i/>
        </w:rPr>
        <w:t xml:space="preserve">dentification and </w:t>
      </w:r>
      <w:r>
        <w:rPr>
          <w:i/>
        </w:rPr>
        <w:t>q</w:t>
      </w:r>
      <w:r w:rsidRPr="00E12844">
        <w:rPr>
          <w:i/>
        </w:rPr>
        <w:t xml:space="preserve">uantification of </w:t>
      </w:r>
      <w:r>
        <w:rPr>
          <w:i/>
        </w:rPr>
        <w:t>m</w:t>
      </w:r>
      <w:r w:rsidRPr="00E12844">
        <w:rPr>
          <w:i/>
        </w:rPr>
        <w:t xml:space="preserve">ercury </w:t>
      </w:r>
      <w:r>
        <w:rPr>
          <w:i/>
        </w:rPr>
        <w:t>s</w:t>
      </w:r>
      <w:r w:rsidRPr="00E12844">
        <w:rPr>
          <w:i/>
        </w:rPr>
        <w:t xml:space="preserve">ources, </w:t>
      </w:r>
      <w:r>
        <w:rPr>
          <w:i/>
        </w:rPr>
        <w:t>g</w:t>
      </w:r>
      <w:r w:rsidRPr="00E12844">
        <w:rPr>
          <w:i/>
        </w:rPr>
        <w:t xml:space="preserve">uideline for </w:t>
      </w:r>
      <w:r>
        <w:rPr>
          <w:i/>
        </w:rPr>
        <w:t>i</w:t>
      </w:r>
      <w:r w:rsidRPr="00E12844">
        <w:rPr>
          <w:i/>
        </w:rPr>
        <w:t xml:space="preserve">nventory </w:t>
      </w:r>
      <w:r>
        <w:rPr>
          <w:i/>
        </w:rPr>
        <w:t>l</w:t>
      </w:r>
      <w:r w:rsidRPr="00E12844">
        <w:rPr>
          <w:i/>
        </w:rPr>
        <w:t xml:space="preserve">evel 1, </w:t>
      </w:r>
      <w:r>
        <w:rPr>
          <w:i/>
        </w:rPr>
        <w:t>v</w:t>
      </w:r>
      <w:r w:rsidRPr="00E12844">
        <w:rPr>
          <w:i/>
        </w:rPr>
        <w:t>ersion 2.0</w:t>
      </w:r>
      <w:r w:rsidRPr="00E12844">
        <w:t>. UN Environment Chemicals Branch, Geneva, Switzerland. Available at https://wedocs.unep.org/bitstream/handle/20.500.11822/14777/Hg-Toolkit-Guideline-IL1-January2017.pdf?sequence=1&amp;isAllowed=y.</w:t>
      </w:r>
      <w:r w:rsidRPr="00E12844">
        <w:rPr>
          <w:bCs/>
          <w:lang w:eastAsia="ja-JP"/>
        </w:rPr>
        <w:t xml:space="preserve"> </w:t>
      </w:r>
    </w:p>
    <w:p w14:paraId="67FC6D37"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rPr>
          <w:lang w:eastAsia="ja-JP"/>
        </w:rPr>
      </w:pPr>
      <w:r w:rsidRPr="00E12844">
        <w:t xml:space="preserve">United Nations Industrial Development Organization (UNIDO) (2008). </w:t>
      </w:r>
      <w:r w:rsidRPr="00E12844">
        <w:rPr>
          <w:i/>
        </w:rPr>
        <w:t>UNIDO Technical Guidelines on Mercury Management in Artisanal and Small-Scale Gold Mining</w:t>
      </w:r>
      <w:r w:rsidRPr="00E12844">
        <w:t xml:space="preserve">. Available at </w:t>
      </w:r>
      <w:hyperlink r:id="rId32" w:history="1">
        <w:r w:rsidRPr="00E12844">
          <w:rPr>
            <w:rStyle w:val="Lienhypertexte"/>
            <w:lang w:val="en-GB"/>
          </w:rPr>
          <w:t>http://wedocs.unep.org/bitstream/handle/20.500.11822/11525/UNIDO_Guidelines_on_Mercury_Management_April08.pdf?sequence=1&amp;isAllowed=y</w:t>
        </w:r>
      </w:hyperlink>
      <w:r>
        <w:rPr>
          <w:rStyle w:val="Lienhypertexte"/>
          <w:lang w:val="en-GB"/>
        </w:rPr>
        <w:t>.</w:t>
      </w:r>
    </w:p>
    <w:p w14:paraId="59F6D456"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rPr>
          <w:b/>
          <w:lang w:eastAsia="ja-JP"/>
        </w:rPr>
      </w:pPr>
      <w:r w:rsidRPr="00E12844">
        <w:rPr>
          <w:lang w:eastAsia="ja-JP"/>
        </w:rPr>
        <w:t xml:space="preserve">United </w:t>
      </w:r>
      <w:r w:rsidRPr="00E12844">
        <w:t>States</w:t>
      </w:r>
      <w:r w:rsidRPr="00E12844">
        <w:rPr>
          <w:lang w:eastAsia="ja-JP"/>
        </w:rPr>
        <w:t xml:space="preserve"> Department of Energy (US DOE) (2009). </w:t>
      </w:r>
      <w:r w:rsidRPr="00E12844">
        <w:rPr>
          <w:i/>
          <w:lang w:eastAsia="ja-JP"/>
        </w:rPr>
        <w:t>US Department of Energy Interim Guidance on Packaging, Transportation, Receipt, Management, and Long-Term Storage of Elemental Mercury</w:t>
      </w:r>
      <w:r w:rsidRPr="00E12844">
        <w:rPr>
          <w:lang w:eastAsia="ja-JP"/>
        </w:rPr>
        <w:t xml:space="preserve">. Available at </w:t>
      </w:r>
      <w:hyperlink r:id="rId33" w:history="1">
        <w:r w:rsidRPr="00E12844">
          <w:rPr>
            <w:rStyle w:val="Lienhypertexte"/>
            <w:lang w:val="en-GB"/>
          </w:rPr>
          <w:t>https://energy.gov/sites/prod/files/2014/05/f15/Elementalmercurystorage%20Interim%20Guidance%20%28dated%202009-11-13%29.pdf</w:t>
        </w:r>
      </w:hyperlink>
      <w:r w:rsidRPr="00E12844">
        <w:rPr>
          <w:b/>
          <w:lang w:eastAsia="ja-JP"/>
        </w:rPr>
        <w:t xml:space="preserve">. </w:t>
      </w:r>
    </w:p>
    <w:p w14:paraId="6D3CBCA8" w14:textId="77777777" w:rsidR="006A5BF7" w:rsidRPr="00E12844"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United States Department of Transportation, Transport Canada and Secretariat of Communications and Transportation of Mexico (2016). </w:t>
      </w:r>
      <w:r w:rsidRPr="00E12844">
        <w:rPr>
          <w:i/>
        </w:rPr>
        <w:t>Emergency Response Guidebook</w:t>
      </w:r>
      <w:r w:rsidRPr="00E12844">
        <w:t xml:space="preserve">. Available at </w:t>
      </w:r>
      <w:hyperlink r:id="rId34" w:history="1">
        <w:r w:rsidRPr="00E12844">
          <w:t>https://www.tc.gc.ca/eng/canutec/guide-menu-227.htm</w:t>
        </w:r>
      </w:hyperlink>
      <w:r w:rsidRPr="00E12844">
        <w:t>.</w:t>
      </w:r>
    </w:p>
    <w:p w14:paraId="4E1E7BEE" w14:textId="77777777" w:rsidR="006A5BF7" w:rsidRPr="00E12844" w:rsidRDefault="006A5BF7" w:rsidP="006A5BF7">
      <w:pPr>
        <w:pStyle w:val="Normal-pool"/>
        <w:tabs>
          <w:tab w:val="clear" w:pos="1247"/>
          <w:tab w:val="clear" w:pos="1814"/>
          <w:tab w:val="clear" w:pos="2381"/>
          <w:tab w:val="clear" w:pos="2948"/>
          <w:tab w:val="clear" w:pos="3515"/>
        </w:tabs>
        <w:spacing w:after="120"/>
        <w:ind w:left="1247"/>
        <w:rPr>
          <w:lang w:eastAsia="ja-JP"/>
        </w:rPr>
      </w:pPr>
      <w:r w:rsidRPr="00E12844">
        <w:rPr>
          <w:lang w:eastAsia="ja-JP"/>
        </w:rPr>
        <w:t>United States Environment Protection Agency (US EPA). “Mercury in your environment”</w:t>
      </w:r>
      <w:r>
        <w:rPr>
          <w:lang w:eastAsia="ja-JP"/>
        </w:rPr>
        <w:t xml:space="preserve"> (website)</w:t>
      </w:r>
      <w:r w:rsidRPr="00E12844">
        <w:rPr>
          <w:lang w:eastAsia="ja-JP"/>
        </w:rPr>
        <w:t xml:space="preserve">. Available at </w:t>
      </w:r>
      <w:hyperlink r:id="rId35" w:history="1">
        <w:r w:rsidRPr="00E12844">
          <w:rPr>
            <w:rStyle w:val="Lienhypertexte"/>
            <w:lang w:val="en-GB" w:eastAsia="ja-JP"/>
          </w:rPr>
          <w:t>https://www.epa.gov/mercury</w:t>
        </w:r>
      </w:hyperlink>
      <w:r w:rsidRPr="00AC1820">
        <w:rPr>
          <w:lang w:eastAsia="ja-JP"/>
        </w:rPr>
        <w:t xml:space="preserve">. </w:t>
      </w:r>
    </w:p>
    <w:p w14:paraId="02853FE4" w14:textId="77777777" w:rsidR="006A5BF7"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United States Environment </w:t>
      </w:r>
      <w:r>
        <w:t>Protection Agency (US EPA)</w:t>
      </w:r>
      <w:r w:rsidRPr="00E12844">
        <w:t>. “</w:t>
      </w:r>
      <w:r w:rsidRPr="00DD5313">
        <w:t xml:space="preserve">What </w:t>
      </w:r>
      <w:r>
        <w:t>to do if a mercury thermometer b</w:t>
      </w:r>
      <w:r w:rsidRPr="00DD5313">
        <w:t>reaks</w:t>
      </w:r>
      <w:r w:rsidRPr="00E12844">
        <w:t>”</w:t>
      </w:r>
      <w:r>
        <w:t xml:space="preserve"> (website)</w:t>
      </w:r>
      <w:r w:rsidRPr="00E12844">
        <w:t xml:space="preserve">. Available at </w:t>
      </w:r>
      <w:hyperlink r:id="rId36" w:history="1">
        <w:r w:rsidRPr="00807075">
          <w:t>https://www.epa.gov/mercury/what-do-if-mercury-thermometer-breaks</w:t>
        </w:r>
      </w:hyperlink>
      <w:r>
        <w:t>.</w:t>
      </w:r>
    </w:p>
    <w:p w14:paraId="4CF0CCEB" w14:textId="77777777" w:rsidR="006A5BF7"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World Chlorine Council</w:t>
      </w:r>
      <w:r>
        <w:t xml:space="preserve"> </w:t>
      </w:r>
      <w:hyperlink r:id="rId37" w:history="1">
        <w:r w:rsidRPr="00807075">
          <w:t>www.worldchlorine.org</w:t>
        </w:r>
      </w:hyperlink>
      <w:r>
        <w:t>) – information on specific mercury-related topics can be accessed using the search function.</w:t>
      </w:r>
    </w:p>
    <w:p w14:paraId="4CF22AF7" w14:textId="77777777" w:rsidR="006A5BF7" w:rsidRPr="00807075"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World Health Organization </w:t>
      </w:r>
      <w:r>
        <w:t xml:space="preserve">(WHO) </w:t>
      </w:r>
      <w:r w:rsidRPr="00E12844">
        <w:t xml:space="preserve">(2008). </w:t>
      </w:r>
      <w:r w:rsidRPr="00807075">
        <w:t xml:space="preserve">Guidelines for Drinking-Water Quality, </w:t>
      </w:r>
      <w:r>
        <w:t>3</w:t>
      </w:r>
      <w:r w:rsidRPr="00E34C9C">
        <w:t>rd</w:t>
      </w:r>
      <w:r>
        <w:t xml:space="preserve"> ed., </w:t>
      </w:r>
      <w:r w:rsidRPr="00807075">
        <w:t>vol. 1</w:t>
      </w:r>
      <w:r w:rsidRPr="00D66695">
        <w:t xml:space="preserve">. </w:t>
      </w:r>
      <w:r w:rsidRPr="00E12844">
        <w:t>Available at http://www.who.int/water_sanitation_health/publications/gdwq3rev/en/.</w:t>
      </w:r>
      <w:r w:rsidRPr="00807075">
        <w:t xml:space="preserve"> </w:t>
      </w:r>
    </w:p>
    <w:p w14:paraId="01671D2D" w14:textId="77777777" w:rsidR="006A5BF7" w:rsidRDefault="006A5BF7" w:rsidP="006A5BF7">
      <w:pPr>
        <w:pStyle w:val="Normal-pool"/>
        <w:tabs>
          <w:tab w:val="clear" w:pos="1247"/>
          <w:tab w:val="clear" w:pos="1814"/>
          <w:tab w:val="clear" w:pos="2381"/>
          <w:tab w:val="clear" w:pos="2948"/>
          <w:tab w:val="clear" w:pos="3515"/>
          <w:tab w:val="clear" w:pos="4082"/>
        </w:tabs>
        <w:spacing w:after="120"/>
        <w:ind w:left="1247"/>
      </w:pPr>
      <w:r w:rsidRPr="00E12844">
        <w:t xml:space="preserve">World Health Organization (WHO) Regional Office for Europe (2000). “Mercury”, in </w:t>
      </w:r>
      <w:r w:rsidRPr="00807075">
        <w:t>Air Quality Guidelines, 2nd ed</w:t>
      </w:r>
      <w:r w:rsidRPr="00E34C9C">
        <w:t>.</w:t>
      </w:r>
      <w:r>
        <w:t xml:space="preserve"> </w:t>
      </w:r>
      <w:r w:rsidRPr="00E12844">
        <w:t xml:space="preserve">Available at </w:t>
      </w:r>
      <w:hyperlink r:id="rId38" w:history="1">
        <w:r w:rsidRPr="00807075">
          <w:t>http://www.euro.who.int/__data/assets/pdf_file/0004/123079/AQG2ndEd_6_9Mercury.PDF</w:t>
        </w:r>
      </w:hyperlink>
      <w:r w:rsidRPr="00E12844">
        <w:t>.</w:t>
      </w:r>
    </w:p>
    <w:p w14:paraId="63976D4A" w14:textId="77777777" w:rsidR="0009682F" w:rsidRPr="00442F76" w:rsidRDefault="0009682F" w:rsidP="0009682F">
      <w:pPr>
        <w:pStyle w:val="Normal-pool"/>
      </w:pPr>
    </w:p>
    <w:p w14:paraId="215C4E95" w14:textId="1FCA58D4" w:rsidR="00D013F5" w:rsidRPr="00C81602" w:rsidRDefault="00D013F5" w:rsidP="0009682F">
      <w:pPr>
        <w:pStyle w:val="Normalnumber"/>
        <w:numPr>
          <w:ilvl w:val="0"/>
          <w:numId w:val="0"/>
        </w:numPr>
        <w:tabs>
          <w:tab w:val="clear" w:pos="1814"/>
          <w:tab w:val="clear" w:pos="2381"/>
          <w:tab w:val="clear" w:pos="2948"/>
          <w:tab w:val="clear" w:pos="3515"/>
          <w:tab w:val="clear" w:pos="4082"/>
          <w:tab w:val="left" w:pos="624"/>
          <w:tab w:val="left" w:pos="1871"/>
          <w:tab w:val="left" w:pos="2495"/>
        </w:tabs>
        <w:jc w:val="both"/>
        <w:rPr>
          <w:sz w:val="24"/>
          <w:szCs w:val="24"/>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E976AB" w:rsidRPr="00D25175" w14:paraId="6DB0CABC" w14:textId="77777777" w:rsidTr="00C6607F">
        <w:trPr>
          <w:jc w:val="center"/>
        </w:trPr>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pPr>
          </w:p>
        </w:tc>
      </w:tr>
      <w:bookmarkEnd w:id="5"/>
    </w:tbl>
    <w:p w14:paraId="325E8270"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EA7AB" w14:textId="77777777" w:rsidR="00BC4E0A" w:rsidRDefault="00BC4E0A">
      <w:r>
        <w:separator/>
      </w:r>
    </w:p>
  </w:endnote>
  <w:endnote w:type="continuationSeparator" w:id="0">
    <w:p w14:paraId="48A5BCA9" w14:textId="77777777" w:rsidR="00BC4E0A" w:rsidRDefault="00BC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KaiTi">
    <w:altName w:val="Arial Unicode MS"/>
    <w:charset w:val="86"/>
    <w:family w:val="modern"/>
    <w:pitch w:val="fixed"/>
    <w:sig w:usb0="00000000" w:usb1="38CF7CFA" w:usb2="00000016" w:usb3="00000000" w:csb0="00040001"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6B57" w14:textId="77777777" w:rsidR="001923C7" w:rsidRDefault="001923C7">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14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D62B" w14:textId="77777777" w:rsidR="001923C7" w:rsidRDefault="001923C7"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16CC" w14:textId="28F7DF40" w:rsidR="001923C7" w:rsidRPr="00D33A45" w:rsidRDefault="001923C7" w:rsidP="001923C7">
    <w:pPr>
      <w:pStyle w:val="Normal-pool"/>
      <w:rPr>
        <w:b/>
      </w:rPr>
    </w:pPr>
    <w:r w:rsidRPr="00D33A45">
      <w:rPr>
        <w:b/>
      </w:rPr>
      <w:t>K180189</w:t>
    </w:r>
    <w:r w:rsidR="00D33A45" w:rsidRPr="00D33A45">
      <w:rPr>
        <w:b/>
      </w:rPr>
      <w:t>0</w:t>
    </w:r>
    <w:r w:rsidRPr="00D33A45">
      <w:rPr>
        <w:b/>
      </w:rPr>
      <w:tab/>
    </w:r>
    <w:r w:rsidR="001C174F">
      <w:rPr>
        <w:b/>
      </w:rPr>
      <w:t>10</w:t>
    </w:r>
    <w:r w:rsidR="00D33A45" w:rsidRPr="00D33A45">
      <w:rPr>
        <w:b/>
      </w:rPr>
      <w:t>10</w:t>
    </w:r>
    <w:r w:rsidRPr="00D33A45">
      <w:rPr>
        <w:b/>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4307736"/>
      <w:docPartObj>
        <w:docPartGallery w:val="Page Numbers (Bottom of Page)"/>
        <w:docPartUnique/>
      </w:docPartObj>
    </w:sdtPr>
    <w:sdtEndPr>
      <w:rPr>
        <w:b/>
        <w:noProof/>
        <w:sz w:val="20"/>
        <w:szCs w:val="20"/>
      </w:rPr>
    </w:sdtEndPr>
    <w:sdtContent>
      <w:p w14:paraId="69115DDD" w14:textId="4212EF6A" w:rsidR="001923C7" w:rsidRPr="00D33A45" w:rsidRDefault="001923C7" w:rsidP="001923C7">
        <w:pPr>
          <w:pStyle w:val="Normal-pool"/>
          <w:rPr>
            <w:b/>
          </w:rPr>
        </w:pPr>
        <w:r w:rsidRPr="00D33A45">
          <w:rPr>
            <w:b/>
          </w:rPr>
          <w:fldChar w:fldCharType="begin"/>
        </w:r>
        <w:r w:rsidRPr="00D33A45">
          <w:rPr>
            <w:b/>
          </w:rPr>
          <w:instrText xml:space="preserve"> PAGE   \* MERGEFORMAT </w:instrText>
        </w:r>
        <w:r w:rsidRPr="00D33A45">
          <w:rPr>
            <w:b/>
          </w:rPr>
          <w:fldChar w:fldCharType="separate"/>
        </w:r>
        <w:r w:rsidR="0032680A">
          <w:rPr>
            <w:b/>
            <w:noProof/>
          </w:rPr>
          <w:t>2</w:t>
        </w:r>
        <w:r w:rsidRPr="00D33A45">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C6E91EA" w:rsidR="001923C7" w:rsidRPr="00C6607F" w:rsidRDefault="001923C7">
    <w:pPr>
      <w:pStyle w:val="Pieddepage"/>
      <w:rPr>
        <w:sz w:val="20"/>
        <w:szCs w:val="20"/>
      </w:rPr>
    </w:pPr>
    <w:r w:rsidRPr="00C6607F">
      <w:rPr>
        <w:rStyle w:val="Numrodepage"/>
        <w:b/>
        <w:sz w:val="20"/>
        <w:szCs w:val="20"/>
      </w:rPr>
      <w:fldChar w:fldCharType="begin"/>
    </w:r>
    <w:r w:rsidRPr="00C6607F">
      <w:rPr>
        <w:rStyle w:val="Numrodepage"/>
        <w:b/>
        <w:sz w:val="20"/>
        <w:szCs w:val="20"/>
      </w:rPr>
      <w:instrText xml:space="preserve"> PAGE </w:instrText>
    </w:r>
    <w:r w:rsidRPr="00C6607F">
      <w:rPr>
        <w:rStyle w:val="Numrodepage"/>
        <w:b/>
        <w:sz w:val="20"/>
        <w:szCs w:val="20"/>
      </w:rPr>
      <w:fldChar w:fldCharType="separate"/>
    </w:r>
    <w:r w:rsidR="0032680A">
      <w:rPr>
        <w:rStyle w:val="Numrodepage"/>
        <w:b/>
        <w:sz w:val="20"/>
        <w:szCs w:val="20"/>
      </w:rPr>
      <w:t>18</w:t>
    </w:r>
    <w:r w:rsidRPr="00C6607F">
      <w:rPr>
        <w:rStyle w:val="Numrodepage"/>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FE44057" w:rsidR="001923C7" w:rsidRPr="00D33A45" w:rsidRDefault="001923C7" w:rsidP="00035EDE">
    <w:pPr>
      <w:pStyle w:val="Pieddepage"/>
      <w:jc w:val="right"/>
      <w:rPr>
        <w:b w:val="0"/>
        <w:sz w:val="20"/>
        <w:szCs w:val="20"/>
      </w:rPr>
    </w:pPr>
    <w:r w:rsidRPr="00D33A45">
      <w:rPr>
        <w:rStyle w:val="Numrodepage"/>
        <w:b/>
        <w:sz w:val="20"/>
        <w:szCs w:val="20"/>
      </w:rPr>
      <w:fldChar w:fldCharType="begin"/>
    </w:r>
    <w:r w:rsidRPr="00D33A45">
      <w:rPr>
        <w:rStyle w:val="Numrodepage"/>
        <w:b/>
        <w:sz w:val="20"/>
        <w:szCs w:val="20"/>
      </w:rPr>
      <w:instrText xml:space="preserve"> PAGE </w:instrText>
    </w:r>
    <w:r w:rsidRPr="00D33A45">
      <w:rPr>
        <w:rStyle w:val="Numrodepage"/>
        <w:b/>
        <w:sz w:val="20"/>
        <w:szCs w:val="20"/>
      </w:rPr>
      <w:fldChar w:fldCharType="separate"/>
    </w:r>
    <w:r w:rsidR="0032680A">
      <w:rPr>
        <w:rStyle w:val="Numrodepage"/>
        <w:b/>
        <w:sz w:val="20"/>
        <w:szCs w:val="20"/>
      </w:rPr>
      <w:t>17</w:t>
    </w:r>
    <w:r w:rsidRPr="00D33A45">
      <w:rPr>
        <w:rStyle w:val="Numrodepage"/>
        <w:b/>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0B7F263E" w:rsidR="001923C7" w:rsidRPr="00C6607F" w:rsidRDefault="001923C7">
    <w:pPr>
      <w:pStyle w:val="Pieddepage"/>
      <w:rPr>
        <w:sz w:val="20"/>
        <w:szCs w:val="20"/>
      </w:rPr>
    </w:pPr>
    <w:r w:rsidRPr="00C6607F">
      <w:rPr>
        <w:sz w:val="20"/>
        <w:szCs w:val="20"/>
      </w:rPr>
      <w:t>K1801400</w:t>
    </w:r>
    <w:r w:rsidRPr="00C6607F">
      <w:rPr>
        <w:sz w:val="20"/>
        <w:szCs w:val="20"/>
      </w:rPr>
      <w:tab/>
    </w:r>
    <w:r>
      <w:rPr>
        <w:sz w:val="20"/>
        <w:szCs w:val="20"/>
      </w:rPr>
      <w:t>09</w:t>
    </w:r>
    <w:r w:rsidRPr="00C6607F">
      <w:rPr>
        <w:sz w:val="20"/>
        <w:szCs w:val="20"/>
      </w:rPr>
      <w:t>0</w:t>
    </w:r>
    <w:r>
      <w:rPr>
        <w:sz w:val="20"/>
        <w:szCs w:val="20"/>
      </w:rPr>
      <w:t>7</w:t>
    </w:r>
    <w:r w:rsidRPr="00C6607F">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34EA" w14:textId="77777777" w:rsidR="00BC4E0A" w:rsidRDefault="00BC4E0A" w:rsidP="00D92DE0">
      <w:pPr>
        <w:ind w:left="624"/>
      </w:pPr>
      <w:r>
        <w:separator/>
      </w:r>
    </w:p>
  </w:footnote>
  <w:footnote w:type="continuationSeparator" w:id="0">
    <w:p w14:paraId="4F108377" w14:textId="77777777" w:rsidR="00BC4E0A" w:rsidRDefault="00BC4E0A">
      <w:r>
        <w:continuationSeparator/>
      </w:r>
    </w:p>
  </w:footnote>
  <w:footnote w:id="1">
    <w:p w14:paraId="4D452B7C" w14:textId="77777777" w:rsidR="00EA65CE" w:rsidRPr="00A74E07" w:rsidRDefault="00EA65CE" w:rsidP="00697DD9">
      <w:pPr>
        <w:tabs>
          <w:tab w:val="left" w:pos="624"/>
        </w:tabs>
        <w:spacing w:before="20" w:after="40" w:line="240" w:lineRule="auto"/>
        <w:ind w:left="1247"/>
        <w:rPr>
          <w:sz w:val="20"/>
          <w:szCs w:val="20"/>
        </w:rPr>
      </w:pPr>
      <w:r w:rsidRPr="00A74E07">
        <w:rPr>
          <w:sz w:val="20"/>
          <w:szCs w:val="20"/>
        </w:rPr>
        <w:t>* UNEP/MC/COP.2/1</w:t>
      </w:r>
      <w:r w:rsidRPr="00A74E07">
        <w:rPr>
          <w:rFonts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642B" w14:textId="5AE006A4" w:rsidR="001923C7" w:rsidRPr="00CA5CA9" w:rsidRDefault="001923C7"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7D9D" w14:textId="5F6BADB3" w:rsidR="001923C7" w:rsidRPr="00CA5CA9" w:rsidRDefault="001923C7"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06C7" w14:textId="36C912B9" w:rsidR="001923C7" w:rsidRDefault="001923C7"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142A" w14:textId="5A018035" w:rsidR="001923C7" w:rsidRDefault="007A7E01" w:rsidP="001923C7">
    <w:pPr>
      <w:pStyle w:val="En-tte"/>
      <w:jc w:val="right"/>
    </w:pPr>
    <w:r>
      <w:rPr>
        <w:lang w:val="fr-FR"/>
      </w:rPr>
      <mc:AlternateContent>
        <mc:Choice Requires="wps">
          <w:drawing>
            <wp:anchor distT="0" distB="0" distL="114300" distR="114300" simplePos="0" relativeHeight="251665408" behindDoc="1" locked="0" layoutInCell="0" allowOverlap="1" wp14:anchorId="2BC01648" wp14:editId="2FEF3048">
              <wp:simplePos x="0" y="0"/>
              <wp:positionH relativeFrom="margin">
                <wp:align>center</wp:align>
              </wp:positionH>
              <wp:positionV relativeFrom="margin">
                <wp:align>center</wp:align>
              </wp:positionV>
              <wp:extent cx="6612255" cy="1889125"/>
              <wp:effectExtent l="0" t="1828800" r="0" b="176847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88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06A98" w14:textId="77777777" w:rsidR="007A7E01" w:rsidRDefault="007A7E01" w:rsidP="007A7E01">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2BC01648" id="_x0000_t202" coordsize="21600,21600" o:spt="202" path="m,l,21600r21600,l21600,xe">
              <v:stroke joinstyle="miter"/>
              <v:path gradientshapeok="t" o:connecttype="rect"/>
            </v:shapetype>
            <v:shape id="WordArt 7" o:spid="_x0000_s1026" type="#_x0000_t202" style="position:absolute;left:0;text-align:left;margin-left:0;margin-top:0;width:520.65pt;height:148.7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ClhgIAAPwE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AP&#10;lCjWokQPONEr48i5H06nbY459xqzXL+CHkUOjVp9C+V3SxSsa6b24soY6GrBOJJLEGoMhxa2J424&#10;IboVvbvhEnVIPHz0Cn8oZn2lXfcJOL7CDg5Ctb4yLTHgX1tksf+FMM6PICMU9vQsJhYgJQbn82Q6&#10;nc0oKfFZslhkyXQWSrLco3mxtLHuo4CW+E1BDbolwLLjrXWe3UuKT0dkjI+7Qd1HRE3j1TSbbOaL&#10;80m6SWeT7DxeTOIkW2XzOM3S681PD5qkeS05F+pWKvHktCT9OyVHzw8eCV4jXUGzGXbk6VhoJN/I&#10;pgkHs9+tG0OOzFt+mNXQy5s0AwfFMc5yL9rNuHdMNsM+ess4DAMH8PQfBhHU84IN0rl+1yOil3QH&#10;/IQ6dnixCmp/HJgR6IlDuwYkhUaoDLSjz/zZ0/AabPsHZvQoh8Nyd83TxQqa+Lw9H33K+DcEahu8&#10;r9grmQVXDJ2OyaN+A2qYjb5CR21kEPeF5+hDvGKhvfFz4O/w63PIevloLX8BAAD//wMAUEsDBBQA&#10;BgAIAAAAIQDW5bsD3AAAAAYBAAAPAAAAZHJzL2Rvd25yZXYueG1sTI/BTsMwEETvSPyDtUjcqNMW&#10;aAnZVIiIQ49tEWc33iYBex1ip0n5etxe4LLSaEYzb7PVaI04UucbxwjTSQKCuHS64Qrhffd2twTh&#10;g2KtjGNCOJGHVX59lalUu4E3dNyGSsQS9qlCqENoUyl9WZNVfuJa4ugdXGdViLKrpO7UEMutkbMk&#10;eZRWNRwXatXSa03l17a3CPrncGrnw7BbrzdF/22aoqCPT8Tbm/HlGUSgMfyF4Ywf0SGPTHvXs/bC&#10;IMRHwuWeveR+OgexR5g9LR5A5pn8j5//AgAA//8DAFBLAQItABQABgAIAAAAIQC2gziS/gAAAOEB&#10;AAATAAAAAAAAAAAAAAAAAAAAAABbQ29udGVudF9UeXBlc10ueG1sUEsBAi0AFAAGAAgAAAAhADj9&#10;If/WAAAAlAEAAAsAAAAAAAAAAAAAAAAALwEAAF9yZWxzLy5yZWxzUEsBAi0AFAAGAAgAAAAhAJ+9&#10;EKWGAgAA/AQAAA4AAAAAAAAAAAAAAAAALgIAAGRycy9lMm9Eb2MueG1sUEsBAi0AFAAGAAgAAAAh&#10;ANbluwPcAAAABgEAAA8AAAAAAAAAAAAAAAAA4AQAAGRycy9kb3ducmV2LnhtbFBLBQYAAAAABAAE&#10;APMAAADpBQAAAAA=&#10;" o:allowincell="f" filled="f" stroked="f">
              <v:stroke joinstyle="round"/>
              <o:lock v:ext="edit" shapetype="t"/>
              <v:textbox style="mso-fit-shape-to-text:t">
                <w:txbxContent>
                  <w:p w14:paraId="7A206A98" w14:textId="77777777" w:rsidR="007A7E01" w:rsidRDefault="007A7E01" w:rsidP="007A7E01">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r w:rsidR="001923C7" w:rsidRPr="00F20536">
      <w:rPr>
        <w:bCs/>
      </w:rPr>
      <w:t>UNEP/</w:t>
    </w:r>
    <w:r w:rsidR="001923C7">
      <w:t>MC/COP.2/5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8150E" w14:textId="06A04E2B" w:rsidR="001923C7" w:rsidRDefault="007A7E01" w:rsidP="001923C7">
    <w:pPr>
      <w:pStyle w:val="En-tte"/>
      <w:jc w:val="right"/>
    </w:pPr>
    <w:r>
      <w:rPr>
        <w:lang w:val="fr-FR"/>
      </w:rPr>
      <mc:AlternateContent>
        <mc:Choice Requires="wps">
          <w:drawing>
            <wp:anchor distT="0" distB="0" distL="114300" distR="114300" simplePos="0" relativeHeight="251666432" behindDoc="1" locked="0" layoutInCell="0" allowOverlap="1" wp14:anchorId="0481398F" wp14:editId="5C0ED90B">
              <wp:simplePos x="0" y="0"/>
              <wp:positionH relativeFrom="margin">
                <wp:align>center</wp:align>
              </wp:positionH>
              <wp:positionV relativeFrom="margin">
                <wp:align>center</wp:align>
              </wp:positionV>
              <wp:extent cx="6612255" cy="1889125"/>
              <wp:effectExtent l="0" t="1828800" r="0" b="176847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88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15CB25" w14:textId="77777777" w:rsidR="007A7E01" w:rsidRDefault="007A7E01" w:rsidP="007A7E01">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0481398F" id="_x0000_t202" coordsize="21600,21600" o:spt="202" path="m,l,21600r21600,l21600,xe">
              <v:stroke joinstyle="miter"/>
              <v:path gradientshapeok="t" o:connecttype="rect"/>
            </v:shapetype>
            <v:shape id="WordArt 8" o:spid="_x0000_s1027" type="#_x0000_t202" style="position:absolute;left:0;text-align:left;margin-left:0;margin-top:0;width:520.65pt;height:148.7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2nhQIAAAMFAAAOAAAAZHJzL2Uyb0RvYy54bWysVMtu2zAQvBfoPxC8O5IM2ZGEyEFe7iVt&#10;A8RFzrRIWWzFR0naklH037uk6DzaS1HUB5pcrWZ3doa6uBxFjw7MWK5kjbOzFCMmG0W53NX4y2Y9&#10;KzCyjkhKeiVZjY/M4svV+3cXg67YXHWqp8wgAJG2GnSNO+d0lSS26Zgg9kxpJuFhq4wgDo5ml1BD&#10;BkAXfTJP02UyKEO1UQ2zFqK300O8Cvhtyxr3uW0tc6ivMfTmwmrCuvVrsrog1c4Q3fEmtkH+oQtB&#10;uISiz1C3xBG0N/wPKMEbo6xq3VmjRKLaljcscAA2Wfobm8eOaBa4wHCsfh6T/X+wzafDg0GcgnYY&#10;SSJAoieY6JVxqPDDGbStIOdRQ5Ybr9XoEz1Rq+9V880iqW46Infsyhg1dIxQaM5DxXCgsDlqwA3R&#10;DRvdHeWgQ+bhk1f4UzHrK22Hj4rCK2TvVKg2tkYgo/xrRZn6XwjD/BB0BMIen8WEAqiB4HKZzeeL&#10;BUYNPMuKoszmi1CSVB7Nc9DGug9MCeQ3NTbglgBLDvfW+e5eUnw6IEM87iZ1fwBqnl7Py9l6WZzP&#10;8nW+mJXnaTFLs/K6XKZ5md+uf3rQLK86TimT91yyk9Oy/O+UjJ6fPBK8hoYalwtg5Nuxqud0zfs+&#10;HMxue9MbdCDe8tOsJi5v0ozaSwpxUnnR7uLeEd5P++Rtx2EYMIDTfxhEUM8LNknnxu0YrQTAXtmt&#10;okeQc4D7VWP7fU8MA2vsxY2C3sAPrVEi2s2ffTdeis34RIyOqjio+tCf7leQxuftaLQroV8BSPRw&#10;bYEyWgRzTIRjcpRxQg0j0ldgrDUPGr/0Ge0INy2wjF8Ff5Vfn0PWy7dr9QsAAP//AwBQSwMEFAAG&#10;AAgAAAAhANbluwPcAAAABgEAAA8AAABkcnMvZG93bnJldi54bWxMj8FOwzAQRO9I/IO1SNyo0xZo&#10;CdlUiIhDj20RZzfeJgF7HWKnSfl63F7gstJoRjNvs9VojThS5xvHCNNJAoK4dLrhCuF993a3BOGD&#10;Yq2MY0I4kYdVfn2VqVS7gTd03IZKxBL2qUKoQ2hTKX1Zk1V+4lri6B1cZ1WIsquk7tQQy62RsyR5&#10;lFY1HBdq1dJrTeXXtrcI+udwaufDsFuvN0X/bZqioI9PxNub8eUZRKAx/IXhjB/RIY9Me9ez9sIg&#10;xEfC5Z695H46B7FHmD0tHkDmmfyPn/8CAAD//wMAUEsBAi0AFAAGAAgAAAAhALaDOJL+AAAA4QEA&#10;ABMAAAAAAAAAAAAAAAAAAAAAAFtDb250ZW50X1R5cGVzXS54bWxQSwECLQAUAAYACAAAACEAOP0h&#10;/9YAAACUAQAACwAAAAAAAAAAAAAAAAAvAQAAX3JlbHMvLnJlbHNQSwECLQAUAAYACAAAACEApdId&#10;p4UCAAADBQAADgAAAAAAAAAAAAAAAAAuAgAAZHJzL2Uyb0RvYy54bWxQSwECLQAUAAYACAAAACEA&#10;1uW7A9wAAAAGAQAADwAAAAAAAAAAAAAAAADfBAAAZHJzL2Rvd25yZXYueG1sUEsFBgAAAAAEAAQA&#10;8wAAAOgFAAAAAA==&#10;" o:allowincell="f" filled="f" stroked="f">
              <v:stroke joinstyle="round"/>
              <o:lock v:ext="edit" shapetype="t"/>
              <v:textbox style="mso-fit-shape-to-text:t">
                <w:txbxContent>
                  <w:p w14:paraId="6D15CB25" w14:textId="77777777" w:rsidR="007A7E01" w:rsidRDefault="007A7E01" w:rsidP="007A7E01">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r w:rsidR="001923C7" w:rsidRPr="00F20536">
      <w:rPr>
        <w:bCs/>
      </w:rPr>
      <w:t>UNEP/</w:t>
    </w:r>
    <w:r w:rsidR="001923C7">
      <w:t>MC/COP.2/5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0004" w14:textId="40F389FD" w:rsidR="001923C7" w:rsidRPr="00D33A45" w:rsidRDefault="001923C7" w:rsidP="001923C7">
    <w:pPr>
      <w:pStyle w:val="En-tte"/>
      <w:rPr>
        <w:sz w:val="20"/>
        <w:szCs w:val="20"/>
      </w:rPr>
    </w:pPr>
    <w:r w:rsidRPr="00D33A45">
      <w:rPr>
        <w:bCs/>
        <w:sz w:val="20"/>
        <w:szCs w:val="20"/>
      </w:rPr>
      <w:t>UNEP/</w:t>
    </w:r>
    <w:r w:rsidRPr="00D33A45">
      <w:rPr>
        <w:sz w:val="20"/>
        <w:szCs w:val="20"/>
      </w:rPr>
      <w:t>MC/COP.2/5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41EF701" w:rsidR="001923C7" w:rsidRPr="00C6607F" w:rsidRDefault="001923C7" w:rsidP="00434321">
    <w:pPr>
      <w:pStyle w:val="En-tte"/>
      <w:rPr>
        <w:sz w:val="20"/>
        <w:szCs w:val="20"/>
      </w:rPr>
    </w:pPr>
    <w:r w:rsidRPr="00C6607F">
      <w:rPr>
        <w:bCs/>
        <w:sz w:val="20"/>
        <w:szCs w:val="20"/>
      </w:rPr>
      <w:t>UNEP</w:t>
    </w:r>
    <w:r>
      <w:rPr>
        <w:sz w:val="20"/>
        <w:szCs w:val="20"/>
      </w:rPr>
      <w:t>/MC/COP.2/5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232A5C6" w:rsidR="001923C7" w:rsidRPr="00D33A45" w:rsidRDefault="001923C7" w:rsidP="00F7137B">
    <w:pPr>
      <w:pStyle w:val="En-tte"/>
      <w:jc w:val="right"/>
      <w:rPr>
        <w:sz w:val="20"/>
        <w:szCs w:val="20"/>
      </w:rPr>
    </w:pPr>
    <w:r w:rsidRPr="00D33A45">
      <w:rPr>
        <w:bCs/>
        <w:sz w:val="20"/>
        <w:szCs w:val="20"/>
      </w:rPr>
      <w:t>UNEP</w:t>
    </w:r>
    <w:r w:rsidRPr="00D33A45">
      <w:rPr>
        <w:sz w:val="20"/>
        <w:szCs w:val="20"/>
      </w:rPr>
      <w:t>/MC/COP.2/5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BB7CB56" w:rsidR="001923C7" w:rsidRDefault="001923C7"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1B6"/>
    <w:multiLevelType w:val="hybridMultilevel"/>
    <w:tmpl w:val="53B812D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15:restartNumberingAfterBreak="0">
    <w:nsid w:val="199926A8"/>
    <w:multiLevelType w:val="hybridMultilevel"/>
    <w:tmpl w:val="9B8006B8"/>
    <w:lvl w:ilvl="0" w:tplc="FDFAFCC0">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3" w15:restartNumberingAfterBreak="0">
    <w:nsid w:val="1DDD565F"/>
    <w:multiLevelType w:val="hybridMultilevel"/>
    <w:tmpl w:val="969E960A"/>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F6A3A4">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1F163FA0"/>
    <w:multiLevelType w:val="hybridMultilevel"/>
    <w:tmpl w:val="5D1A049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201C7F90"/>
    <w:multiLevelType w:val="hybridMultilevel"/>
    <w:tmpl w:val="2946BBA2"/>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A9E3A1C"/>
    <w:multiLevelType w:val="hybridMultilevel"/>
    <w:tmpl w:val="52CCBEEA"/>
    <w:lvl w:ilvl="0" w:tplc="B78E67C6">
      <w:start w:val="1"/>
      <w:numFmt w:val="chineseCountingThousand"/>
      <w:lvlText w:val="%1、"/>
      <w:lvlJc w:val="left"/>
      <w:pPr>
        <w:ind w:left="1149" w:hanging="360"/>
      </w:pPr>
      <w:rPr>
        <w:rFonts w:ascii="SimHei" w:eastAsia="SimHei" w:hAnsi="SimHei" w:hint="default"/>
      </w:r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8"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9" w15:restartNumberingAfterBreak="0">
    <w:nsid w:val="3C682D8B"/>
    <w:multiLevelType w:val="hybridMultilevel"/>
    <w:tmpl w:val="883267E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803FEC">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3C8B5616"/>
    <w:multiLevelType w:val="hybridMultilevel"/>
    <w:tmpl w:val="1A04600E"/>
    <w:lvl w:ilvl="0" w:tplc="D1AC5F86">
      <w:start w:val="1"/>
      <w:numFmt w:val="japaneseCounting"/>
      <w:lvlText w:val="%1."/>
      <w:lvlJc w:val="left"/>
      <w:pPr>
        <w:ind w:left="1248" w:hanging="840"/>
      </w:pPr>
      <w:rPr>
        <w:rFonts w:ascii="SimHei" w:eastAsia="SimHei" w:hAnsi="SimHei"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7BC34F6"/>
    <w:multiLevelType w:val="hybridMultilevel"/>
    <w:tmpl w:val="466289A6"/>
    <w:lvl w:ilvl="0" w:tplc="3E662C88">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3" w15:restartNumberingAfterBreak="0">
    <w:nsid w:val="7D5E4E74"/>
    <w:multiLevelType w:val="hybridMultilevel"/>
    <w:tmpl w:val="DC4A901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11"/>
  </w:num>
  <w:num w:numId="2">
    <w:abstractNumId w:val="2"/>
  </w:num>
  <w:num w:numId="3">
    <w:abstractNumId w:val="8"/>
  </w:num>
  <w:num w:numId="4">
    <w:abstractNumId w:val="11"/>
  </w:num>
  <w:num w:numId="5">
    <w:abstractNumId w:val="11"/>
    <w:lvlOverride w:ilvl="0">
      <w:lvl w:ilvl="0">
        <w:start w:val="1"/>
        <w:numFmt w:val="decimal"/>
        <w:pStyle w:val="Normalnumber"/>
        <w:lvlText w:val="%1."/>
        <w:lvlJc w:val="left"/>
        <w:pPr>
          <w:tabs>
            <w:tab w:val="num" w:pos="1134"/>
          </w:tabs>
          <w:ind w:left="1247" w:firstLine="0"/>
        </w:pPr>
        <w:rPr>
          <w:rFonts w:hint="default"/>
        </w:rPr>
      </w:lvl>
    </w:lvlOverride>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5"/>
    <w:lvlOverride w:ilvl="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5"/>
    <w:lvlOverride w:ilvl="0">
      <w:startOverride w:val="1"/>
    </w:lvlOverride>
  </w:num>
  <w:num w:numId="39">
    <w:abstractNumId w:val="12"/>
  </w:num>
  <w:num w:numId="40">
    <w:abstractNumId w:val="1"/>
  </w:num>
  <w:num w:numId="41">
    <w:abstractNumId w:val="5"/>
    <w:lvlOverride w:ilvl="0">
      <w:startOverride w:val="1"/>
    </w:lvlOverride>
  </w:num>
  <w:num w:numId="42">
    <w:abstractNumId w:val="13"/>
  </w:num>
  <w:num w:numId="43">
    <w:abstractNumId w:val="3"/>
  </w:num>
  <w:num w:numId="44">
    <w:abstractNumId w:val="4"/>
  </w:num>
  <w:num w:numId="45">
    <w:abstractNumId w:val="9"/>
  </w:num>
  <w:num w:numId="46">
    <w:abstractNumId w:val="0"/>
  </w:num>
  <w:num w:numId="47">
    <w:abstractNumId w:val="7"/>
  </w:num>
  <w:num w:numId="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activeWritingStyle w:appName="MSWord" w:lang="en-GB" w:vendorID="64" w:dllVersion="131078" w:nlCheck="1" w:checkStyle="0"/>
  <w:activeWritingStyle w:appName="MSWord" w:lang="en-US"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38F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966E9"/>
    <w:rsid w:val="0009682F"/>
    <w:rsid w:val="000B22A2"/>
    <w:rsid w:val="000B4DA4"/>
    <w:rsid w:val="000B541B"/>
    <w:rsid w:val="000B73F9"/>
    <w:rsid w:val="000C2A52"/>
    <w:rsid w:val="000C2A88"/>
    <w:rsid w:val="000C2F98"/>
    <w:rsid w:val="000D33C0"/>
    <w:rsid w:val="000D4CF6"/>
    <w:rsid w:val="000D6941"/>
    <w:rsid w:val="000F3DCD"/>
    <w:rsid w:val="000F4829"/>
    <w:rsid w:val="000F5567"/>
    <w:rsid w:val="000F6B21"/>
    <w:rsid w:val="00102EFB"/>
    <w:rsid w:val="001202E3"/>
    <w:rsid w:val="00123699"/>
    <w:rsid w:val="001241FB"/>
    <w:rsid w:val="0013059D"/>
    <w:rsid w:val="00136187"/>
    <w:rsid w:val="0013739D"/>
    <w:rsid w:val="00141A55"/>
    <w:rsid w:val="001427E6"/>
    <w:rsid w:val="0014293F"/>
    <w:rsid w:val="0014397D"/>
    <w:rsid w:val="001446A3"/>
    <w:rsid w:val="00152B6B"/>
    <w:rsid w:val="00155395"/>
    <w:rsid w:val="00155A2F"/>
    <w:rsid w:val="00156B6B"/>
    <w:rsid w:val="00156B98"/>
    <w:rsid w:val="00160D74"/>
    <w:rsid w:val="001646EA"/>
    <w:rsid w:val="00167D02"/>
    <w:rsid w:val="00174F45"/>
    <w:rsid w:val="001759D8"/>
    <w:rsid w:val="00177D7F"/>
    <w:rsid w:val="00180C3F"/>
    <w:rsid w:val="00181EC8"/>
    <w:rsid w:val="00184349"/>
    <w:rsid w:val="001923C7"/>
    <w:rsid w:val="00195F33"/>
    <w:rsid w:val="001A47E5"/>
    <w:rsid w:val="001B1617"/>
    <w:rsid w:val="001B504B"/>
    <w:rsid w:val="001B6F98"/>
    <w:rsid w:val="001C174F"/>
    <w:rsid w:val="001C191A"/>
    <w:rsid w:val="001C40C7"/>
    <w:rsid w:val="001D3874"/>
    <w:rsid w:val="001D75E2"/>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0C7A"/>
    <w:rsid w:val="002247F6"/>
    <w:rsid w:val="00225384"/>
    <w:rsid w:val="00225E21"/>
    <w:rsid w:val="00225E44"/>
    <w:rsid w:val="00234E78"/>
    <w:rsid w:val="00243D36"/>
    <w:rsid w:val="00246151"/>
    <w:rsid w:val="00247707"/>
    <w:rsid w:val="00252456"/>
    <w:rsid w:val="0026018E"/>
    <w:rsid w:val="002736DD"/>
    <w:rsid w:val="00286740"/>
    <w:rsid w:val="00291EAE"/>
    <w:rsid w:val="002929D8"/>
    <w:rsid w:val="00294612"/>
    <w:rsid w:val="0029723E"/>
    <w:rsid w:val="002A237D"/>
    <w:rsid w:val="002A3468"/>
    <w:rsid w:val="002A4C53"/>
    <w:rsid w:val="002B0672"/>
    <w:rsid w:val="002B247F"/>
    <w:rsid w:val="002B3C64"/>
    <w:rsid w:val="002B50D4"/>
    <w:rsid w:val="002B58BF"/>
    <w:rsid w:val="002C145D"/>
    <w:rsid w:val="002C2C3E"/>
    <w:rsid w:val="002C533E"/>
    <w:rsid w:val="002D027F"/>
    <w:rsid w:val="002D3E15"/>
    <w:rsid w:val="002D7A85"/>
    <w:rsid w:val="002D7B60"/>
    <w:rsid w:val="002E5C67"/>
    <w:rsid w:val="002F4761"/>
    <w:rsid w:val="002F5C79"/>
    <w:rsid w:val="002F68EE"/>
    <w:rsid w:val="003019E2"/>
    <w:rsid w:val="00310BEB"/>
    <w:rsid w:val="0031413F"/>
    <w:rsid w:val="00314854"/>
    <w:rsid w:val="003148BB"/>
    <w:rsid w:val="00317976"/>
    <w:rsid w:val="00320F2F"/>
    <w:rsid w:val="0032457E"/>
    <w:rsid w:val="00325D38"/>
    <w:rsid w:val="0032680A"/>
    <w:rsid w:val="00336ADD"/>
    <w:rsid w:val="0035277E"/>
    <w:rsid w:val="00355EA9"/>
    <w:rsid w:val="003578DE"/>
    <w:rsid w:val="00361688"/>
    <w:rsid w:val="0036265B"/>
    <w:rsid w:val="00365374"/>
    <w:rsid w:val="00367FD2"/>
    <w:rsid w:val="00370268"/>
    <w:rsid w:val="00380921"/>
    <w:rsid w:val="003877D5"/>
    <w:rsid w:val="003929B8"/>
    <w:rsid w:val="00393432"/>
    <w:rsid w:val="00396257"/>
    <w:rsid w:val="00397EB8"/>
    <w:rsid w:val="003A4FD0"/>
    <w:rsid w:val="003A69D1"/>
    <w:rsid w:val="003A7705"/>
    <w:rsid w:val="003A77F1"/>
    <w:rsid w:val="003B1545"/>
    <w:rsid w:val="003B7E0C"/>
    <w:rsid w:val="003C3219"/>
    <w:rsid w:val="003C390C"/>
    <w:rsid w:val="003C409D"/>
    <w:rsid w:val="003C4544"/>
    <w:rsid w:val="003C5583"/>
    <w:rsid w:val="003C5BA6"/>
    <w:rsid w:val="003C74CF"/>
    <w:rsid w:val="003D3752"/>
    <w:rsid w:val="003D7177"/>
    <w:rsid w:val="003E35DA"/>
    <w:rsid w:val="003E455D"/>
    <w:rsid w:val="003E69A0"/>
    <w:rsid w:val="003F0E85"/>
    <w:rsid w:val="003F4AF4"/>
    <w:rsid w:val="00405DE0"/>
    <w:rsid w:val="00410C55"/>
    <w:rsid w:val="00416854"/>
    <w:rsid w:val="00417725"/>
    <w:rsid w:val="0042266F"/>
    <w:rsid w:val="00430E74"/>
    <w:rsid w:val="00434321"/>
    <w:rsid w:val="00437F26"/>
    <w:rsid w:val="00444097"/>
    <w:rsid w:val="00445487"/>
    <w:rsid w:val="004455F3"/>
    <w:rsid w:val="00447E0D"/>
    <w:rsid w:val="00453EA8"/>
    <w:rsid w:val="00454769"/>
    <w:rsid w:val="00466991"/>
    <w:rsid w:val="0047064C"/>
    <w:rsid w:val="00480FA3"/>
    <w:rsid w:val="004822B7"/>
    <w:rsid w:val="0048407A"/>
    <w:rsid w:val="00487EB9"/>
    <w:rsid w:val="0049469E"/>
    <w:rsid w:val="00494B59"/>
    <w:rsid w:val="004A2217"/>
    <w:rsid w:val="004A24F9"/>
    <w:rsid w:val="004A42E1"/>
    <w:rsid w:val="004B116D"/>
    <w:rsid w:val="004B162C"/>
    <w:rsid w:val="004B2ABE"/>
    <w:rsid w:val="004B37A7"/>
    <w:rsid w:val="004C15D3"/>
    <w:rsid w:val="004C3DBE"/>
    <w:rsid w:val="004C5C96"/>
    <w:rsid w:val="004D06A4"/>
    <w:rsid w:val="004D3013"/>
    <w:rsid w:val="004D7684"/>
    <w:rsid w:val="004F1A81"/>
    <w:rsid w:val="004F4804"/>
    <w:rsid w:val="004F5D88"/>
    <w:rsid w:val="00501354"/>
    <w:rsid w:val="005050D2"/>
    <w:rsid w:val="005218D9"/>
    <w:rsid w:val="00527980"/>
    <w:rsid w:val="00536186"/>
    <w:rsid w:val="00540E53"/>
    <w:rsid w:val="00544CBB"/>
    <w:rsid w:val="00551B65"/>
    <w:rsid w:val="00556704"/>
    <w:rsid w:val="005656D7"/>
    <w:rsid w:val="0057315F"/>
    <w:rsid w:val="0057433C"/>
    <w:rsid w:val="00576104"/>
    <w:rsid w:val="00582298"/>
    <w:rsid w:val="00586418"/>
    <w:rsid w:val="00592B21"/>
    <w:rsid w:val="00593542"/>
    <w:rsid w:val="00594ED1"/>
    <w:rsid w:val="00597111"/>
    <w:rsid w:val="005B2DF4"/>
    <w:rsid w:val="005B44BF"/>
    <w:rsid w:val="005C67C8"/>
    <w:rsid w:val="005D0249"/>
    <w:rsid w:val="005D18FA"/>
    <w:rsid w:val="005D4FD4"/>
    <w:rsid w:val="005D6E8C"/>
    <w:rsid w:val="005E3004"/>
    <w:rsid w:val="005F100C"/>
    <w:rsid w:val="005F3F58"/>
    <w:rsid w:val="005F68DA"/>
    <w:rsid w:val="005F7419"/>
    <w:rsid w:val="00601BC9"/>
    <w:rsid w:val="006044E0"/>
    <w:rsid w:val="0060773B"/>
    <w:rsid w:val="006111FE"/>
    <w:rsid w:val="00613FD6"/>
    <w:rsid w:val="006157B5"/>
    <w:rsid w:val="00617224"/>
    <w:rsid w:val="00620E1F"/>
    <w:rsid w:val="00626FC6"/>
    <w:rsid w:val="006303B4"/>
    <w:rsid w:val="00630ADC"/>
    <w:rsid w:val="00630DC9"/>
    <w:rsid w:val="00633D3D"/>
    <w:rsid w:val="00636B70"/>
    <w:rsid w:val="00641703"/>
    <w:rsid w:val="00641C1B"/>
    <w:rsid w:val="00642F6C"/>
    <w:rsid w:val="006431A6"/>
    <w:rsid w:val="00643E3A"/>
    <w:rsid w:val="006459F6"/>
    <w:rsid w:val="006501AD"/>
    <w:rsid w:val="00651BFA"/>
    <w:rsid w:val="00654475"/>
    <w:rsid w:val="00656DF0"/>
    <w:rsid w:val="00665495"/>
    <w:rsid w:val="00665A4B"/>
    <w:rsid w:val="00670FAE"/>
    <w:rsid w:val="006734D2"/>
    <w:rsid w:val="00692E2A"/>
    <w:rsid w:val="0069496A"/>
    <w:rsid w:val="00696C1C"/>
    <w:rsid w:val="00697DD9"/>
    <w:rsid w:val="006A5BF7"/>
    <w:rsid w:val="006A76F2"/>
    <w:rsid w:val="006B7D29"/>
    <w:rsid w:val="006D0387"/>
    <w:rsid w:val="006D19D4"/>
    <w:rsid w:val="006D5644"/>
    <w:rsid w:val="006D7EFB"/>
    <w:rsid w:val="006E6672"/>
    <w:rsid w:val="006E6722"/>
    <w:rsid w:val="006F57B3"/>
    <w:rsid w:val="006F7AFF"/>
    <w:rsid w:val="007027B9"/>
    <w:rsid w:val="007066B5"/>
    <w:rsid w:val="007145DA"/>
    <w:rsid w:val="00715E88"/>
    <w:rsid w:val="00716D8B"/>
    <w:rsid w:val="00733426"/>
    <w:rsid w:val="00734CAA"/>
    <w:rsid w:val="00740EE2"/>
    <w:rsid w:val="00742680"/>
    <w:rsid w:val="0075533C"/>
    <w:rsid w:val="00755A18"/>
    <w:rsid w:val="00757581"/>
    <w:rsid w:val="007602F5"/>
    <w:rsid w:val="00760528"/>
    <w:rsid w:val="00760D36"/>
    <w:rsid w:val="007611A0"/>
    <w:rsid w:val="00762BE3"/>
    <w:rsid w:val="00772574"/>
    <w:rsid w:val="00773E54"/>
    <w:rsid w:val="00787688"/>
    <w:rsid w:val="007935E6"/>
    <w:rsid w:val="00796D3F"/>
    <w:rsid w:val="007A1683"/>
    <w:rsid w:val="007A297A"/>
    <w:rsid w:val="007A5C12"/>
    <w:rsid w:val="007A617B"/>
    <w:rsid w:val="007A7CB0"/>
    <w:rsid w:val="007A7E01"/>
    <w:rsid w:val="007B47CF"/>
    <w:rsid w:val="007B68A3"/>
    <w:rsid w:val="007B7E50"/>
    <w:rsid w:val="007C2541"/>
    <w:rsid w:val="007D06C3"/>
    <w:rsid w:val="007D66A8"/>
    <w:rsid w:val="007E003F"/>
    <w:rsid w:val="007F0CF8"/>
    <w:rsid w:val="007F5E1B"/>
    <w:rsid w:val="007F62CB"/>
    <w:rsid w:val="00805AD6"/>
    <w:rsid w:val="008142EC"/>
    <w:rsid w:val="008164F2"/>
    <w:rsid w:val="00821395"/>
    <w:rsid w:val="00830E26"/>
    <w:rsid w:val="008320F2"/>
    <w:rsid w:val="00834368"/>
    <w:rsid w:val="0083441A"/>
    <w:rsid w:val="00843576"/>
    <w:rsid w:val="00843B64"/>
    <w:rsid w:val="00845261"/>
    <w:rsid w:val="008478FC"/>
    <w:rsid w:val="00851C51"/>
    <w:rsid w:val="008538F7"/>
    <w:rsid w:val="00867BFF"/>
    <w:rsid w:val="00871542"/>
    <w:rsid w:val="00872BF6"/>
    <w:rsid w:val="00874046"/>
    <w:rsid w:val="0087715E"/>
    <w:rsid w:val="0088480A"/>
    <w:rsid w:val="0088757A"/>
    <w:rsid w:val="0089431B"/>
    <w:rsid w:val="00894CA8"/>
    <w:rsid w:val="00895668"/>
    <w:rsid w:val="008957DD"/>
    <w:rsid w:val="00897D98"/>
    <w:rsid w:val="008A6DF2"/>
    <w:rsid w:val="008A7807"/>
    <w:rsid w:val="008B4CC9"/>
    <w:rsid w:val="008C0B15"/>
    <w:rsid w:val="008D75E4"/>
    <w:rsid w:val="008D7C99"/>
    <w:rsid w:val="008E0FCB"/>
    <w:rsid w:val="008E3D87"/>
    <w:rsid w:val="008F6DFE"/>
    <w:rsid w:val="0090529F"/>
    <w:rsid w:val="00920539"/>
    <w:rsid w:val="0092178C"/>
    <w:rsid w:val="009271BD"/>
    <w:rsid w:val="009271CB"/>
    <w:rsid w:val="00930B88"/>
    <w:rsid w:val="00935376"/>
    <w:rsid w:val="00940DCC"/>
    <w:rsid w:val="0094179A"/>
    <w:rsid w:val="0094459E"/>
    <w:rsid w:val="00944DBC"/>
    <w:rsid w:val="00945938"/>
    <w:rsid w:val="0094686B"/>
    <w:rsid w:val="00950977"/>
    <w:rsid w:val="00951A7B"/>
    <w:rsid w:val="00955512"/>
    <w:rsid w:val="009564A6"/>
    <w:rsid w:val="00957EF8"/>
    <w:rsid w:val="00966A53"/>
    <w:rsid w:val="00967621"/>
    <w:rsid w:val="00967E6A"/>
    <w:rsid w:val="00981FFC"/>
    <w:rsid w:val="009860C5"/>
    <w:rsid w:val="009907B9"/>
    <w:rsid w:val="00990918"/>
    <w:rsid w:val="009A322F"/>
    <w:rsid w:val="009A3A83"/>
    <w:rsid w:val="009B4A0F"/>
    <w:rsid w:val="009C11D2"/>
    <w:rsid w:val="009C6C70"/>
    <w:rsid w:val="009C7B0A"/>
    <w:rsid w:val="009D0B63"/>
    <w:rsid w:val="009D31A2"/>
    <w:rsid w:val="009D5CB8"/>
    <w:rsid w:val="009E307E"/>
    <w:rsid w:val="00A0748F"/>
    <w:rsid w:val="00A07870"/>
    <w:rsid w:val="00A07C54"/>
    <w:rsid w:val="00A07F19"/>
    <w:rsid w:val="00A10F15"/>
    <w:rsid w:val="00A1348D"/>
    <w:rsid w:val="00A13C99"/>
    <w:rsid w:val="00A23284"/>
    <w:rsid w:val="00A232EE"/>
    <w:rsid w:val="00A4175F"/>
    <w:rsid w:val="00A44411"/>
    <w:rsid w:val="00A469FA"/>
    <w:rsid w:val="00A47A6E"/>
    <w:rsid w:val="00A47B1F"/>
    <w:rsid w:val="00A5028F"/>
    <w:rsid w:val="00A53662"/>
    <w:rsid w:val="00A55B01"/>
    <w:rsid w:val="00A56B5B"/>
    <w:rsid w:val="00A603FF"/>
    <w:rsid w:val="00A619B6"/>
    <w:rsid w:val="00A648CA"/>
    <w:rsid w:val="00A657DD"/>
    <w:rsid w:val="00A666A6"/>
    <w:rsid w:val="00A66EFF"/>
    <w:rsid w:val="00A675FD"/>
    <w:rsid w:val="00A72437"/>
    <w:rsid w:val="00A8048B"/>
    <w:rsid w:val="00A80611"/>
    <w:rsid w:val="00AA5BF4"/>
    <w:rsid w:val="00AB3927"/>
    <w:rsid w:val="00AB5340"/>
    <w:rsid w:val="00AC0A89"/>
    <w:rsid w:val="00AC7C96"/>
    <w:rsid w:val="00AD3593"/>
    <w:rsid w:val="00AE0632"/>
    <w:rsid w:val="00AE0812"/>
    <w:rsid w:val="00AE237D"/>
    <w:rsid w:val="00AE2E5C"/>
    <w:rsid w:val="00AE502A"/>
    <w:rsid w:val="00AF0010"/>
    <w:rsid w:val="00AF1AA8"/>
    <w:rsid w:val="00AF2C1F"/>
    <w:rsid w:val="00AF7C07"/>
    <w:rsid w:val="00B06C64"/>
    <w:rsid w:val="00B07D8E"/>
    <w:rsid w:val="00B11CAC"/>
    <w:rsid w:val="00B15A29"/>
    <w:rsid w:val="00B22C93"/>
    <w:rsid w:val="00B27589"/>
    <w:rsid w:val="00B405B7"/>
    <w:rsid w:val="00B468C0"/>
    <w:rsid w:val="00B50FE9"/>
    <w:rsid w:val="00B52222"/>
    <w:rsid w:val="00B531DA"/>
    <w:rsid w:val="00B54895"/>
    <w:rsid w:val="00B54FE7"/>
    <w:rsid w:val="00B647C6"/>
    <w:rsid w:val="00B655F9"/>
    <w:rsid w:val="00B66901"/>
    <w:rsid w:val="00B66F60"/>
    <w:rsid w:val="00B71E6D"/>
    <w:rsid w:val="00B72070"/>
    <w:rsid w:val="00B779E1"/>
    <w:rsid w:val="00B80323"/>
    <w:rsid w:val="00B81E3A"/>
    <w:rsid w:val="00B85CFB"/>
    <w:rsid w:val="00B914E9"/>
    <w:rsid w:val="00B91EE1"/>
    <w:rsid w:val="00B94602"/>
    <w:rsid w:val="00BA0090"/>
    <w:rsid w:val="00BA1A67"/>
    <w:rsid w:val="00BA6A80"/>
    <w:rsid w:val="00BB03B0"/>
    <w:rsid w:val="00BB4ABB"/>
    <w:rsid w:val="00BC4E0A"/>
    <w:rsid w:val="00BC62BA"/>
    <w:rsid w:val="00BD2DC6"/>
    <w:rsid w:val="00BE5B5F"/>
    <w:rsid w:val="00BE7993"/>
    <w:rsid w:val="00C01C72"/>
    <w:rsid w:val="00C11971"/>
    <w:rsid w:val="00C1666E"/>
    <w:rsid w:val="00C179DE"/>
    <w:rsid w:val="00C2504B"/>
    <w:rsid w:val="00C26F55"/>
    <w:rsid w:val="00C30C63"/>
    <w:rsid w:val="00C30FF3"/>
    <w:rsid w:val="00C34D5C"/>
    <w:rsid w:val="00C36B8B"/>
    <w:rsid w:val="00C415C1"/>
    <w:rsid w:val="00C42992"/>
    <w:rsid w:val="00C47DBF"/>
    <w:rsid w:val="00C552FF"/>
    <w:rsid w:val="00C558DA"/>
    <w:rsid w:val="00C55AF3"/>
    <w:rsid w:val="00C57419"/>
    <w:rsid w:val="00C605E8"/>
    <w:rsid w:val="00C62CA2"/>
    <w:rsid w:val="00C6607F"/>
    <w:rsid w:val="00C771A9"/>
    <w:rsid w:val="00C81602"/>
    <w:rsid w:val="00C82943"/>
    <w:rsid w:val="00C84759"/>
    <w:rsid w:val="00C93096"/>
    <w:rsid w:val="00CA5916"/>
    <w:rsid w:val="00CA5CA9"/>
    <w:rsid w:val="00CA6C7F"/>
    <w:rsid w:val="00CA7527"/>
    <w:rsid w:val="00CB007D"/>
    <w:rsid w:val="00CB60CA"/>
    <w:rsid w:val="00CC0FC7"/>
    <w:rsid w:val="00CC10A6"/>
    <w:rsid w:val="00CC5F22"/>
    <w:rsid w:val="00CD11C7"/>
    <w:rsid w:val="00CD5EB8"/>
    <w:rsid w:val="00CD7044"/>
    <w:rsid w:val="00CE08B9"/>
    <w:rsid w:val="00CE3515"/>
    <w:rsid w:val="00CE524C"/>
    <w:rsid w:val="00CF141F"/>
    <w:rsid w:val="00CF4777"/>
    <w:rsid w:val="00CF65C8"/>
    <w:rsid w:val="00D013F5"/>
    <w:rsid w:val="00D034F9"/>
    <w:rsid w:val="00D05E3F"/>
    <w:rsid w:val="00D067BB"/>
    <w:rsid w:val="00D1352A"/>
    <w:rsid w:val="00D1638E"/>
    <w:rsid w:val="00D169AF"/>
    <w:rsid w:val="00D200EF"/>
    <w:rsid w:val="00D25175"/>
    <w:rsid w:val="00D25249"/>
    <w:rsid w:val="00D26854"/>
    <w:rsid w:val="00D33A45"/>
    <w:rsid w:val="00D343AE"/>
    <w:rsid w:val="00D44172"/>
    <w:rsid w:val="00D46DDB"/>
    <w:rsid w:val="00D47BE3"/>
    <w:rsid w:val="00D63B8C"/>
    <w:rsid w:val="00D67CEE"/>
    <w:rsid w:val="00D70BD5"/>
    <w:rsid w:val="00D73957"/>
    <w:rsid w:val="00D739CC"/>
    <w:rsid w:val="00D73A1A"/>
    <w:rsid w:val="00D77ACD"/>
    <w:rsid w:val="00D806F9"/>
    <w:rsid w:val="00D8093D"/>
    <w:rsid w:val="00D8108C"/>
    <w:rsid w:val="00D82766"/>
    <w:rsid w:val="00D83208"/>
    <w:rsid w:val="00D842AE"/>
    <w:rsid w:val="00D90AB4"/>
    <w:rsid w:val="00D9211C"/>
    <w:rsid w:val="00D92DE0"/>
    <w:rsid w:val="00D92FEF"/>
    <w:rsid w:val="00D931F9"/>
    <w:rsid w:val="00D93A0F"/>
    <w:rsid w:val="00DA1BCA"/>
    <w:rsid w:val="00DA3663"/>
    <w:rsid w:val="00DA67F2"/>
    <w:rsid w:val="00DC1792"/>
    <w:rsid w:val="00DC274A"/>
    <w:rsid w:val="00DC46FF"/>
    <w:rsid w:val="00DC5254"/>
    <w:rsid w:val="00DC569D"/>
    <w:rsid w:val="00DD1A4F"/>
    <w:rsid w:val="00DD3107"/>
    <w:rsid w:val="00DD7C2C"/>
    <w:rsid w:val="00DE5BDA"/>
    <w:rsid w:val="00DF433C"/>
    <w:rsid w:val="00DF519F"/>
    <w:rsid w:val="00E0035A"/>
    <w:rsid w:val="00E03A89"/>
    <w:rsid w:val="00E0501E"/>
    <w:rsid w:val="00E06797"/>
    <w:rsid w:val="00E11F48"/>
    <w:rsid w:val="00E1265B"/>
    <w:rsid w:val="00E12E09"/>
    <w:rsid w:val="00E13B48"/>
    <w:rsid w:val="00E1404F"/>
    <w:rsid w:val="00E21C83"/>
    <w:rsid w:val="00E24ADA"/>
    <w:rsid w:val="00E32F59"/>
    <w:rsid w:val="00E41908"/>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A65CE"/>
    <w:rsid w:val="00EA70F8"/>
    <w:rsid w:val="00EB129B"/>
    <w:rsid w:val="00EC12C0"/>
    <w:rsid w:val="00EC2813"/>
    <w:rsid w:val="00EC5A46"/>
    <w:rsid w:val="00EC63E2"/>
    <w:rsid w:val="00ED0225"/>
    <w:rsid w:val="00ED3645"/>
    <w:rsid w:val="00ED366A"/>
    <w:rsid w:val="00ED6BB7"/>
    <w:rsid w:val="00ED6CE1"/>
    <w:rsid w:val="00EE21E6"/>
    <w:rsid w:val="00EF22B3"/>
    <w:rsid w:val="00F03B69"/>
    <w:rsid w:val="00F07966"/>
    <w:rsid w:val="00F07A50"/>
    <w:rsid w:val="00F113DA"/>
    <w:rsid w:val="00F1228F"/>
    <w:rsid w:val="00F13122"/>
    <w:rsid w:val="00F266FC"/>
    <w:rsid w:val="00F3037A"/>
    <w:rsid w:val="00F3465A"/>
    <w:rsid w:val="00F37DC8"/>
    <w:rsid w:val="00F426CA"/>
    <w:rsid w:val="00F439B3"/>
    <w:rsid w:val="00F650C3"/>
    <w:rsid w:val="00F65D85"/>
    <w:rsid w:val="00F6700B"/>
    <w:rsid w:val="00F7137B"/>
    <w:rsid w:val="00F8091E"/>
    <w:rsid w:val="00F8615C"/>
    <w:rsid w:val="00F969E5"/>
    <w:rsid w:val="00FA4972"/>
    <w:rsid w:val="00FA6BB0"/>
    <w:rsid w:val="00FB2DBD"/>
    <w:rsid w:val="00FB58D1"/>
    <w:rsid w:val="00FD48DF"/>
    <w:rsid w:val="00FD56D4"/>
    <w:rsid w:val="00FD5860"/>
    <w:rsid w:val="00FE352D"/>
    <w:rsid w:val="00FE40EB"/>
    <w:rsid w:val="00FE4D02"/>
    <w:rsid w:val="00FE7D62"/>
    <w:rsid w:val="00FF0DA0"/>
    <w:rsid w:val="00FF374A"/>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0E1FB23C-A5B5-49C7-A685-FF31C351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uiPriority w:val="99"/>
    <w:rsid w:val="000D6941"/>
    <w:pPr>
      <w:spacing w:before="20" w:after="0" w:line="210" w:lineRule="exact"/>
      <w:ind w:left="475" w:hanging="475"/>
      <w:jc w:val="left"/>
    </w:pPr>
    <w:rPr>
      <w:noProof/>
      <w:spacing w:val="5"/>
      <w:w w:val="104"/>
      <w:kern w:val="14"/>
      <w:sz w:val="18"/>
      <w:szCs w:val="20"/>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682F"/>
    <w:rPr>
      <w:b/>
      <w:sz w:val="28"/>
      <w:szCs w:val="28"/>
      <w:lang w:eastAsia="en-US"/>
    </w:rPr>
  </w:style>
  <w:style w:type="character" w:customStyle="1" w:styleId="ZZAnxtitleChar">
    <w:name w:val="ZZ_Anx_title Char"/>
    <w:link w:val="ZZAnxtitle"/>
    <w:rsid w:val="0009682F"/>
    <w:rPr>
      <w:b/>
      <w:bCs/>
      <w:sz w:val="28"/>
      <w:szCs w:val="26"/>
      <w:lang w:eastAsia="en-US"/>
    </w:rPr>
  </w:style>
  <w:style w:type="character" w:customStyle="1" w:styleId="CH2Char">
    <w:name w:val="CH2 Char"/>
    <w:link w:val="CH2"/>
    <w:locked/>
    <w:rsid w:val="0009682F"/>
    <w:rPr>
      <w:b/>
      <w:sz w:val="24"/>
      <w:szCs w:val="24"/>
      <w:lang w:eastAsia="en-US"/>
    </w:rPr>
  </w:style>
  <w:style w:type="character" w:customStyle="1" w:styleId="NormalNonumberChar">
    <w:name w:val="Normal_No_number Char"/>
    <w:link w:val="NormalNonumber"/>
    <w:locked/>
    <w:rsid w:val="0009682F"/>
    <w:rPr>
      <w:lang w:eastAsia="en-US"/>
    </w:rPr>
  </w:style>
  <w:style w:type="character" w:customStyle="1" w:styleId="ZZAnxheaderChar">
    <w:name w:val="ZZ_Anx_header Char"/>
    <w:link w:val="ZZAnxheader"/>
    <w:rsid w:val="0009682F"/>
    <w:rPr>
      <w:b/>
      <w:bCs/>
      <w:sz w:val="28"/>
      <w:szCs w:val="22"/>
      <w:lang w:eastAsia="en-US"/>
    </w:rPr>
  </w:style>
  <w:style w:type="character" w:customStyle="1" w:styleId="Normal-poolChar">
    <w:name w:val="Normal-pool Char"/>
    <w:link w:val="Normal-pool"/>
    <w:rsid w:val="0009682F"/>
    <w:rPr>
      <w:lang w:eastAsia="en-US"/>
    </w:rPr>
  </w:style>
  <w:style w:type="character" w:customStyle="1" w:styleId="NormalnumberChar">
    <w:name w:val="Normal_number Char"/>
    <w:link w:val="Normalnumber"/>
    <w:locked/>
    <w:rsid w:val="0009682F"/>
    <w:rPr>
      <w:lang w:eastAsia="en-US"/>
    </w:rPr>
  </w:style>
  <w:style w:type="character" w:customStyle="1" w:styleId="PieddepageCar">
    <w:name w:val="Pied de page Car"/>
    <w:basedOn w:val="Policepardfaut"/>
    <w:link w:val="Pieddepage"/>
    <w:uiPriority w:val="99"/>
    <w:rsid w:val="0009682F"/>
    <w:rPr>
      <w:rFonts w:eastAsia="PMingLiU"/>
      <w:b/>
      <w:noProof/>
      <w:sz w:val="17"/>
      <w:szCs w:val="10"/>
      <w:lang w:val="en-US" w:eastAsia="zh-CN"/>
    </w:rPr>
  </w:style>
  <w:style w:type="paragraph" w:styleId="NormalWeb">
    <w:name w:val="Normal (Web)"/>
    <w:basedOn w:val="Normal"/>
    <w:uiPriority w:val="99"/>
    <w:semiHidden/>
    <w:unhideWhenUsed/>
    <w:rsid w:val="007A7E01"/>
    <w:pPr>
      <w:tabs>
        <w:tab w:val="clear" w:pos="1247"/>
        <w:tab w:val="clear" w:pos="1814"/>
        <w:tab w:val="clear" w:pos="2381"/>
        <w:tab w:val="clear" w:pos="2948"/>
        <w:tab w:val="clear" w:pos="3515"/>
      </w:tabs>
      <w:spacing w:before="100" w:beforeAutospacing="1" w:after="100" w:afterAutospacing="1" w:line="240" w:lineRule="auto"/>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icao.int/safety/DangerousGoods/Pages/technical-instructions.aspx"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cohs.ca/oshanswers/chemicals/chem_profiles/mercury.html" TargetMode="External"/><Relationship Id="rId34" Type="http://schemas.openxmlformats.org/officeDocument/2006/relationships/hyperlink" Target="https://www.tc.gc.ca/eng/canutec/guide-menu-227.htm"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bvsde.paho.org/bvstox/i/fulltext/fao12/fao12.pdf" TargetMode="External"/><Relationship Id="rId33" Type="http://schemas.openxmlformats.org/officeDocument/2006/relationships/hyperlink" Target="https://energy.gov/sites/prod/files/2014/05/f15/Elementalmercurystorage%20Interim%20Guidance%20%28dated%202009-11-13%29.pdf" TargetMode="External"/><Relationship Id="rId38" Type="http://schemas.openxmlformats.org/officeDocument/2006/relationships/hyperlink" Target="http://www.euro.who.int/__data/assets/pdf_file/0004/123079/AQG2ndEd_6_9Mercury.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noharm-global.org/sites/default/files/documents-files/1030/GEF_Guidance_Cleanup_Storage_Transport_Mercury.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ur-lex.europa.eu/LexUriServ/LexUriServ.do?uri=OJ:L:2011:328:0049:0052:EN:PDF" TargetMode="External"/><Relationship Id="rId32" Type="http://schemas.openxmlformats.org/officeDocument/2006/relationships/hyperlink" Target="http://wedocs.unep.org/bitstream/handle/20.500.11822/11525/UNIDO_Guidelines_on_Mercury_Management_April08.pdf?sequence=1&amp;isAllowed=y" TargetMode="External"/><Relationship Id="rId37" Type="http://schemas.openxmlformats.org/officeDocument/2006/relationships/hyperlink" Target="http://www.worldchlorine.org"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c.europa.eu/environment/chemicals/mercury/pdf/bipro_study20100416_sum.pdf" TargetMode="External"/><Relationship Id="rId28" Type="http://schemas.openxmlformats.org/officeDocument/2006/relationships/hyperlink" Target="https://doi.org/10.1787/9789264078475-en" TargetMode="External"/><Relationship Id="rId36" Type="http://schemas.openxmlformats.org/officeDocument/2006/relationships/hyperlink" Target="https://www.epa.gov/mercury/what-do-if-mercury-thermometer-breaks" TargetMode="Externa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yperlink" Target="http://wedocs.unep.org/xmlui/bitstream/handle/20.500.11822/25473/NAP_guidance2018_EN.pdf?sequence=1&amp;isAllowed=y"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worldchlorine.org/wp-content/uploads/2015/08/Env-Prot-19-Edition-1.pdf" TargetMode="External"/><Relationship Id="rId27" Type="http://schemas.openxmlformats.org/officeDocument/2006/relationships/hyperlink" Target="http://www.imo.org/en/Publications/IMDGCode/Pages/Default.aspx" TargetMode="External"/><Relationship Id="rId30" Type="http://schemas.openxmlformats.org/officeDocument/2006/relationships/hyperlink" Target="http://www.basel.int/TheConvention/ConferenceoftheParties/Meetings/COP12/tabid/4248/mctl/ViewDetails/EventModID/8051/EventID/542/xmid/13027/Default.aspx" TargetMode="External"/><Relationship Id="rId35" Type="http://schemas.openxmlformats.org/officeDocument/2006/relationships/hyperlink" Target="https://www.epa.gov/mercury" TargetMode="Externa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119C-AC54-4D61-BDF7-C4632939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3866</Words>
  <Characters>21264</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2018-10-10T07:52:00Z</cp:lastPrinted>
  <dcterms:created xsi:type="dcterms:W3CDTF">2018-10-22T16:45:00Z</dcterms:created>
  <dcterms:modified xsi:type="dcterms:W3CDTF">2018-10-22T16:45:00Z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7/4/2018 10:57:32 AM</vt:lpwstr>
  </property>
  <property fmtid="{D5CDD505-2E9C-101B-9397-08002B2CF9AE}" pid="5" name="OriginalDocID">
    <vt:lpwstr>ea4b245e-ec16-4d40-a00f-af0c2c5422ea</vt:lpwstr>
  </property>
</Properties>
</file>