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7C20D624" w:rsidR="004B0A17" w:rsidRPr="008405B2"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C60C8B">
              <w:rPr>
                <w:rFonts w:cs="Times New Roman"/>
                <w:szCs w:val="20"/>
              </w:rPr>
              <w:t>4</w:t>
            </w:r>
            <w:r w:rsidR="008405B2" w:rsidRPr="008405B2">
              <w:rPr>
                <w:rFonts w:cs="Times New Roman"/>
                <w:szCs w:val="20"/>
              </w:rPr>
              <w:t>/Rev.1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305AEBEB" w:rsidR="00934FB6" w:rsidRPr="002772B3" w:rsidRDefault="00C60C8B" w:rsidP="00934FB6">
            <w:pPr>
              <w:jc w:val="both"/>
              <w:rPr>
                <w:rFonts w:cs="Times New Roman"/>
                <w:szCs w:val="20"/>
              </w:rPr>
            </w:pPr>
            <w:r>
              <w:rPr>
                <w:rFonts w:cs="Times New Roman"/>
                <w:szCs w:val="20"/>
              </w:rPr>
              <w:t>1</w:t>
            </w:r>
            <w:r w:rsidR="008405B2">
              <w:rPr>
                <w:rFonts w:cs="Times New Roman"/>
                <w:szCs w:val="20"/>
              </w:rPr>
              <w:t>0</w:t>
            </w:r>
            <w:r w:rsidR="00934FB6">
              <w:rPr>
                <w:rFonts w:cs="Times New Roman"/>
                <w:szCs w:val="20"/>
              </w:rPr>
              <w:t xml:space="preserve"> </w:t>
            </w:r>
            <w:r w:rsidR="008405B2">
              <w:rPr>
                <w:rFonts w:cs="Times New Roman"/>
                <w:szCs w:val="20"/>
              </w:rPr>
              <w:t>September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77777777" w:rsidR="00BE3C21" w:rsidRDefault="00BE3C21" w:rsidP="00BE3C21">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(أ)</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62AB47E0" w:rsidR="00BE3C21" w:rsidRPr="00BE3C21" w:rsidRDefault="00BE3C21" w:rsidP="00CC6739">
            <w:pPr>
              <w:bidi/>
              <w:spacing w:line="36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الإطلاقات</w:t>
            </w:r>
          </w:p>
        </w:tc>
      </w:tr>
    </w:tbl>
    <w:p w14:paraId="796D8D26" w14:textId="77777777" w:rsidR="00C60C8B" w:rsidRPr="00F756FF" w:rsidRDefault="00C60C8B" w:rsidP="0047425F">
      <w:pPr>
        <w:tabs>
          <w:tab w:val="left" w:pos="1841"/>
        </w:tabs>
        <w:bidi/>
        <w:spacing w:before="360" w:after="240" w:line="400" w:lineRule="exact"/>
        <w:ind w:left="1134"/>
        <w:jc w:val="both"/>
        <w:rPr>
          <w:b/>
          <w:bCs/>
          <w:sz w:val="34"/>
          <w:szCs w:val="34"/>
          <w:rtl/>
        </w:rPr>
      </w:pPr>
      <w:r>
        <w:rPr>
          <w:rFonts w:ascii="Traditional Arabic" w:hAnsi="Traditional Arabic" w:hint="cs"/>
          <w:bCs/>
          <w:sz w:val="34"/>
          <w:szCs w:val="34"/>
          <w:rtl/>
          <w:lang w:eastAsia="zh-TW"/>
        </w:rPr>
        <w:t>التوجيهات فيما يتعلق بإطلاقات الزئبق</w:t>
      </w:r>
    </w:p>
    <w:p w14:paraId="7ACCD99F" w14:textId="77777777" w:rsidR="00C60C8B" w:rsidRPr="0052405D" w:rsidRDefault="00C60C8B" w:rsidP="0047425F">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1FC59B7B" w14:textId="2D8799E5" w:rsidR="00C60C8B" w:rsidRPr="00020143" w:rsidRDefault="00C60C8B" w:rsidP="000A7260">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20143">
        <w:rPr>
          <w:rFonts w:cs="Traditional Arabic"/>
          <w:sz w:val="30"/>
          <w:szCs w:val="30"/>
          <w:rtl/>
          <w:lang w:eastAsia="zh-TW"/>
        </w:rPr>
        <w:t>نظر مؤتمر الأطراف في اتفاقية ميناماتا بشأن الزئبق في اجتماعه الأول، في وضع توجيهات بشأن إطلاقات الزئبق على النحو المطلوب عملا</w:t>
      </w:r>
      <w:r w:rsidR="0052405D">
        <w:rPr>
          <w:rFonts w:cs="Traditional Arabic" w:hint="cs"/>
          <w:sz w:val="30"/>
          <w:szCs w:val="30"/>
          <w:rtl/>
          <w:lang w:eastAsia="zh-TW"/>
        </w:rPr>
        <w:t>ً</w:t>
      </w:r>
      <w:r w:rsidRPr="00020143">
        <w:rPr>
          <w:rFonts w:cs="Traditional Arabic"/>
          <w:sz w:val="30"/>
          <w:szCs w:val="30"/>
          <w:rtl/>
          <w:lang w:eastAsia="zh-TW"/>
        </w:rPr>
        <w:t xml:space="preserve"> بالفقرة ٧ من المادة ٩. ولتوفير الوضوح بشأن طبيعة هذه الإطلاقات شجع مؤتمر الأطراف، في مقرره ا م-1/17، الأطراف على أن تحدد المصادر الثابتة ذات الصلة على الصعيد الوطني عملاً بالفقرتين ٢ (ب) و٣ من المادة ٩ في أقرب وقت ممكن، وأن تقدم معلومات إلى الأمانة بشأن المصادر ذات الصلة التي ح</w:t>
      </w:r>
      <w:r>
        <w:rPr>
          <w:rFonts w:cs="Traditional Arabic" w:hint="cs"/>
          <w:sz w:val="30"/>
          <w:szCs w:val="30"/>
          <w:rtl/>
          <w:lang w:eastAsia="zh-TW"/>
        </w:rPr>
        <w:t>ُ</w:t>
      </w:r>
      <w:r w:rsidRPr="00020143">
        <w:rPr>
          <w:rFonts w:cs="Traditional Arabic"/>
          <w:sz w:val="30"/>
          <w:szCs w:val="30"/>
          <w:rtl/>
          <w:lang w:eastAsia="zh-TW"/>
        </w:rPr>
        <w:t>ددت</w:t>
      </w:r>
      <w:r w:rsidR="0052405D">
        <w:rPr>
          <w:rFonts w:cs="Traditional Arabic" w:hint="cs"/>
          <w:sz w:val="30"/>
          <w:szCs w:val="30"/>
          <w:rtl/>
          <w:lang w:eastAsia="zh-TW"/>
        </w:rPr>
        <w:t>.</w:t>
      </w:r>
    </w:p>
    <w:p w14:paraId="7AEA74C1" w14:textId="2E37501B" w:rsidR="00C60C8B" w:rsidRPr="00020143" w:rsidRDefault="00C60C8B" w:rsidP="000A7260">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20143">
        <w:rPr>
          <w:rFonts w:cs="Traditional Arabic"/>
          <w:sz w:val="30"/>
          <w:szCs w:val="30"/>
          <w:rtl/>
          <w:lang w:eastAsia="zh-TW"/>
        </w:rPr>
        <w:t xml:space="preserve">وبموجب ذلك المقرر طُلِب إلى الأمانة </w:t>
      </w:r>
      <w:r>
        <w:rPr>
          <w:rFonts w:cs="Traditional Arabic" w:hint="cs"/>
          <w:sz w:val="30"/>
          <w:szCs w:val="30"/>
          <w:rtl/>
          <w:lang w:eastAsia="zh-TW"/>
        </w:rPr>
        <w:t xml:space="preserve">أن </w:t>
      </w:r>
      <w:r w:rsidRPr="00020143">
        <w:rPr>
          <w:rFonts w:cs="Traditional Arabic"/>
          <w:sz w:val="30"/>
          <w:szCs w:val="30"/>
          <w:rtl/>
          <w:lang w:eastAsia="zh-TW"/>
        </w:rPr>
        <w:t xml:space="preserve">تجمع إفادات </w:t>
      </w:r>
      <w:r>
        <w:rPr>
          <w:rFonts w:cs="Traditional Arabic" w:hint="cs"/>
          <w:sz w:val="30"/>
          <w:szCs w:val="30"/>
          <w:rtl/>
          <w:lang w:eastAsia="zh-TW"/>
        </w:rPr>
        <w:t>من</w:t>
      </w:r>
      <w:r w:rsidRPr="00020143">
        <w:rPr>
          <w:rFonts w:cs="Traditional Arabic"/>
          <w:sz w:val="30"/>
          <w:szCs w:val="30"/>
          <w:rtl/>
          <w:lang w:eastAsia="zh-TW"/>
        </w:rPr>
        <w:t xml:space="preserve"> الأطراف و</w:t>
      </w:r>
      <w:r>
        <w:rPr>
          <w:rFonts w:cs="Traditional Arabic" w:hint="cs"/>
          <w:sz w:val="30"/>
          <w:szCs w:val="30"/>
          <w:rtl/>
          <w:lang w:eastAsia="zh-TW"/>
        </w:rPr>
        <w:t xml:space="preserve">أن </w:t>
      </w:r>
      <w:r w:rsidRPr="00020143">
        <w:rPr>
          <w:rFonts w:cs="Traditional Arabic"/>
          <w:sz w:val="30"/>
          <w:szCs w:val="30"/>
          <w:rtl/>
          <w:lang w:eastAsia="zh-TW"/>
        </w:rPr>
        <w:t>تقدم هذه المعلومات إلى مؤتمر الأطراف في اجتماعه الثاني.</w:t>
      </w:r>
    </w:p>
    <w:p w14:paraId="0F8DFD5D" w14:textId="2B196559" w:rsidR="00C60C8B" w:rsidRPr="00020143" w:rsidRDefault="00C60C8B" w:rsidP="000A7260">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20143">
        <w:rPr>
          <w:rFonts w:cs="Traditional Arabic"/>
          <w:sz w:val="30"/>
          <w:szCs w:val="30"/>
          <w:rtl/>
          <w:lang w:eastAsia="zh-TW"/>
        </w:rPr>
        <w:t>وعممت الأمانة دعوةً إلى تقديم إفادات في تشرين الثاني/نوفمبر ٢٠١٧، بما في ذلك ط</w:t>
      </w:r>
      <w:r w:rsidR="0052405D">
        <w:rPr>
          <w:rFonts w:cs="Traditional Arabic" w:hint="cs"/>
          <w:sz w:val="30"/>
          <w:szCs w:val="30"/>
          <w:rtl/>
          <w:lang w:eastAsia="zh-TW"/>
        </w:rPr>
        <w:t>لب</w:t>
      </w:r>
      <w:r w:rsidRPr="00020143">
        <w:rPr>
          <w:rFonts w:cs="Traditional Arabic"/>
          <w:sz w:val="30"/>
          <w:szCs w:val="30"/>
          <w:rtl/>
          <w:lang w:eastAsia="zh-TW"/>
        </w:rPr>
        <w:t xml:space="preserve"> إلى الأطراف بأن تقدم معلومات عن المصادر المحددة ذات الصلة</w:t>
      </w:r>
      <w:r>
        <w:rPr>
          <w:rFonts w:cs="Traditional Arabic" w:hint="cs"/>
          <w:sz w:val="30"/>
          <w:szCs w:val="30"/>
          <w:rtl/>
          <w:lang w:eastAsia="zh-TW"/>
        </w:rPr>
        <w:t>،</w:t>
      </w:r>
      <w:r w:rsidRPr="00020143">
        <w:rPr>
          <w:rFonts w:cs="Traditional Arabic"/>
          <w:sz w:val="30"/>
          <w:szCs w:val="30"/>
          <w:rtl/>
          <w:lang w:eastAsia="zh-TW"/>
        </w:rPr>
        <w:t xml:space="preserve"> وحددت موعداً نهائياً لتقديم الإفادات هو يوم ٣٠ حزيران/</w:t>
      </w:r>
      <w:proofErr w:type="gramStart"/>
      <w:r w:rsidRPr="00020143">
        <w:rPr>
          <w:rFonts w:cs="Traditional Arabic"/>
          <w:sz w:val="30"/>
          <w:szCs w:val="30"/>
          <w:rtl/>
          <w:lang w:eastAsia="zh-TW"/>
        </w:rPr>
        <w:t>يونيه</w:t>
      </w:r>
      <w:proofErr w:type="gramEnd"/>
      <w:r w:rsidRPr="00020143">
        <w:rPr>
          <w:rFonts w:cs="Traditional Arabic"/>
          <w:sz w:val="30"/>
          <w:szCs w:val="30"/>
          <w:rtl/>
          <w:lang w:eastAsia="zh-TW"/>
        </w:rPr>
        <w:t xml:space="preserve"> ٢٠١٨. وع</w:t>
      </w:r>
      <w:r>
        <w:rPr>
          <w:rFonts w:cs="Traditional Arabic" w:hint="cs"/>
          <w:sz w:val="30"/>
          <w:szCs w:val="30"/>
          <w:rtl/>
          <w:lang w:eastAsia="zh-TW"/>
        </w:rPr>
        <w:t>ُ</w:t>
      </w:r>
      <w:r w:rsidRPr="00020143">
        <w:rPr>
          <w:rFonts w:cs="Traditional Arabic"/>
          <w:sz w:val="30"/>
          <w:szCs w:val="30"/>
          <w:rtl/>
          <w:lang w:eastAsia="zh-TW"/>
        </w:rPr>
        <w:t>ممت الدعوة على جميع الأطراف والجهات المعنية الأخرى، ولا سيما تلك التي حضرت الاجتماع الأول. وفي وقت لاحق أ</w:t>
      </w:r>
      <w:r>
        <w:rPr>
          <w:rFonts w:cs="Traditional Arabic" w:hint="cs"/>
          <w:sz w:val="30"/>
          <w:szCs w:val="30"/>
          <w:rtl/>
          <w:lang w:eastAsia="zh-TW"/>
        </w:rPr>
        <w:t>ُ</w:t>
      </w:r>
      <w:r w:rsidRPr="00020143">
        <w:rPr>
          <w:rFonts w:cs="Traditional Arabic"/>
          <w:sz w:val="30"/>
          <w:szCs w:val="30"/>
          <w:rtl/>
          <w:lang w:eastAsia="zh-TW"/>
        </w:rPr>
        <w:t>رسلت رسالة تذكيرية إلى نفس قائمة التوزيع.</w:t>
      </w:r>
    </w:p>
    <w:p w14:paraId="27BE4039" w14:textId="1400EA44" w:rsidR="00AC5772" w:rsidRDefault="00C60C8B" w:rsidP="00AC5772">
      <w:pPr>
        <w:pStyle w:val="Normalnumber"/>
        <w:numPr>
          <w:ilvl w:val="0"/>
          <w:numId w:val="18"/>
        </w:numPr>
        <w:tabs>
          <w:tab w:val="left" w:pos="1841"/>
        </w:tabs>
        <w:autoSpaceDE/>
        <w:autoSpaceDN/>
        <w:bidi/>
        <w:adjustRightInd/>
        <w:spacing w:after="0" w:line="400" w:lineRule="exact"/>
        <w:ind w:left="1134" w:firstLine="0"/>
        <w:jc w:val="both"/>
        <w:textDirection w:val="tbRlV"/>
        <w:rPr>
          <w:rFonts w:cs="Traditional Arabic"/>
          <w:sz w:val="30"/>
          <w:szCs w:val="30"/>
          <w:lang w:eastAsia="zh-TW"/>
        </w:rPr>
      </w:pPr>
      <w:r w:rsidRPr="00AC1D74">
        <w:rPr>
          <w:rFonts w:cs="Traditional Arabic"/>
          <w:sz w:val="30"/>
          <w:szCs w:val="30"/>
          <w:rtl/>
          <w:lang w:eastAsia="zh-TW"/>
        </w:rPr>
        <w:t>وحتى ٩ تموز/يوليه ٢٠١٨، وردت إفاد</w:t>
      </w:r>
      <w:r w:rsidRPr="00AC1D74">
        <w:rPr>
          <w:rFonts w:cs="Traditional Arabic" w:hint="cs"/>
          <w:sz w:val="30"/>
          <w:szCs w:val="30"/>
          <w:rtl/>
          <w:lang w:eastAsia="zh-TW"/>
        </w:rPr>
        <w:t>ا</w:t>
      </w:r>
      <w:r w:rsidRPr="00AC1D74">
        <w:rPr>
          <w:rFonts w:cs="Traditional Arabic"/>
          <w:sz w:val="30"/>
          <w:szCs w:val="30"/>
          <w:rtl/>
          <w:lang w:eastAsia="zh-TW"/>
        </w:rPr>
        <w:t xml:space="preserve">ت من </w:t>
      </w:r>
      <w:r w:rsidR="008F144F" w:rsidRPr="00AC1D74">
        <w:rPr>
          <w:rFonts w:cs="Traditional Arabic" w:hint="cs"/>
          <w:sz w:val="30"/>
          <w:szCs w:val="30"/>
          <w:rtl/>
          <w:lang w:eastAsia="zh-TW"/>
        </w:rPr>
        <w:t>ثلاثة أطراف</w:t>
      </w:r>
      <w:r w:rsidRPr="00AC1D74">
        <w:rPr>
          <w:rFonts w:cs="Traditional Arabic"/>
          <w:sz w:val="30"/>
          <w:szCs w:val="30"/>
          <w:rtl/>
          <w:lang w:eastAsia="zh-TW"/>
        </w:rPr>
        <w:t xml:space="preserve"> في الاتفاقية. وأشار طرف</w:t>
      </w:r>
      <w:r w:rsidR="00450466" w:rsidRPr="00AC1D74">
        <w:rPr>
          <w:rFonts w:cs="Traditional Arabic" w:hint="cs"/>
          <w:sz w:val="30"/>
          <w:szCs w:val="30"/>
          <w:rtl/>
          <w:lang w:eastAsia="zh-TW"/>
        </w:rPr>
        <w:t>ا</w:t>
      </w:r>
      <w:r w:rsidRPr="00AC1D74">
        <w:rPr>
          <w:rFonts w:cs="Traditional Arabic"/>
          <w:sz w:val="30"/>
          <w:szCs w:val="30"/>
          <w:rtl/>
          <w:lang w:eastAsia="zh-TW"/>
        </w:rPr>
        <w:t xml:space="preserve">ن </w:t>
      </w:r>
      <w:r w:rsidR="00450466" w:rsidRPr="00AC1D74">
        <w:rPr>
          <w:rFonts w:cs="Traditional Arabic" w:hint="cs"/>
          <w:sz w:val="30"/>
          <w:szCs w:val="30"/>
          <w:rtl/>
          <w:lang w:eastAsia="zh-TW"/>
        </w:rPr>
        <w:t xml:space="preserve">من هذه الأطراف </w:t>
      </w:r>
      <w:r w:rsidRPr="00AC1D74">
        <w:rPr>
          <w:rFonts w:cs="Traditional Arabic"/>
          <w:sz w:val="30"/>
          <w:szCs w:val="30"/>
          <w:rtl/>
          <w:lang w:eastAsia="zh-TW"/>
        </w:rPr>
        <w:t>في إفاد</w:t>
      </w:r>
      <w:r w:rsidRPr="00AC1D74">
        <w:rPr>
          <w:rFonts w:cs="Traditional Arabic" w:hint="cs"/>
          <w:sz w:val="30"/>
          <w:szCs w:val="30"/>
          <w:rtl/>
          <w:lang w:eastAsia="zh-TW"/>
        </w:rPr>
        <w:t>ا</w:t>
      </w:r>
      <w:r w:rsidRPr="00AC1D74">
        <w:rPr>
          <w:rFonts w:cs="Traditional Arabic"/>
          <w:sz w:val="30"/>
          <w:szCs w:val="30"/>
          <w:rtl/>
          <w:lang w:eastAsia="zh-TW"/>
        </w:rPr>
        <w:t xml:space="preserve">تهما إلى أنهما درسا مصادر إطلاقات الزئبق ومركباته في أراضيهما ولم يحددا أي مصادر تقع ضمن التعريف الوارد في الفقرة ٢ (ب) من المادة ٩ من الاتفاقية، وهو </w:t>
      </w:r>
      <w:proofErr w:type="gramStart"/>
      <w:r w:rsidRPr="00AC1D74">
        <w:rPr>
          <w:rFonts w:cs="Traditional Arabic"/>
          <w:sz w:val="30"/>
          <w:szCs w:val="30"/>
          <w:rtl/>
          <w:lang w:eastAsia="zh-TW"/>
        </w:rPr>
        <w:t>’’أي</w:t>
      </w:r>
      <w:proofErr w:type="gramEnd"/>
      <w:r w:rsidRPr="00AC1D74">
        <w:rPr>
          <w:rFonts w:cs="Traditional Arabic"/>
          <w:sz w:val="30"/>
          <w:szCs w:val="30"/>
          <w:rtl/>
          <w:lang w:eastAsia="zh-TW"/>
        </w:rPr>
        <w:t xml:space="preserve"> مصدر ثابت هام بشري المنشأ للإطلاق حسبما </w:t>
      </w:r>
      <w:r w:rsidRPr="00AC1D74">
        <w:rPr>
          <w:rFonts w:cs="Traditional Arabic"/>
          <w:sz w:val="30"/>
          <w:szCs w:val="30"/>
          <w:rtl/>
          <w:lang w:eastAsia="zh-TW"/>
        </w:rPr>
        <w:lastRenderedPageBreak/>
        <w:t>يحدده طرف ما ولم يعالج في أحكام أخرى‘‘ من الاتفاقية</w:t>
      </w:r>
      <w:r w:rsidR="00882C45" w:rsidRPr="00AC1D74">
        <w:rPr>
          <w:rFonts w:cs="Traditional Arabic" w:hint="cs"/>
          <w:sz w:val="30"/>
          <w:szCs w:val="30"/>
          <w:rtl/>
          <w:lang w:eastAsia="zh-TW"/>
        </w:rPr>
        <w:t>.</w:t>
      </w:r>
      <w:r w:rsidR="00AC5772" w:rsidRPr="00AC5772">
        <w:rPr>
          <w:rFonts w:cs="Traditional Arabic" w:hint="cs"/>
          <w:color w:val="000000" w:themeColor="text1"/>
          <w:sz w:val="30"/>
          <w:szCs w:val="30"/>
          <w:rtl/>
          <w:lang w:eastAsia="zh-TW"/>
        </w:rPr>
        <w:t xml:space="preserve"> </w:t>
      </w:r>
      <w:r w:rsidR="00AC1D74" w:rsidRPr="00AC1D74">
        <w:rPr>
          <w:rFonts w:ascii="Traditional Arabic" w:hAnsi="Traditional Arabic" w:cs="Traditional Arabic"/>
          <w:sz w:val="30"/>
          <w:szCs w:val="30"/>
          <w:rtl/>
          <w:lang w:eastAsia="zh-TW"/>
        </w:rPr>
        <w:t>وقدم أحد الأطراف قائمة بالمصادر الوطنية الحالية للزئبق، وكلها خفضت بشكل كبير من انبعاثات الزئبق، بما لا يزيد عن ٢ كغم سنويا</w:t>
      </w:r>
      <w:r w:rsidR="00AC5772">
        <w:rPr>
          <w:rFonts w:ascii="Traditional Arabic" w:hAnsi="Traditional Arabic" w:cs="Traditional Arabic" w:hint="cs"/>
          <w:sz w:val="30"/>
          <w:szCs w:val="30"/>
          <w:rtl/>
          <w:lang w:eastAsia="zh-TW"/>
        </w:rPr>
        <w:t>ً</w:t>
      </w:r>
      <w:r w:rsidR="00AC1D74" w:rsidRPr="00AC1D74">
        <w:rPr>
          <w:rFonts w:ascii="Traditional Arabic" w:hAnsi="Traditional Arabic" w:cs="Traditional Arabic"/>
          <w:sz w:val="30"/>
          <w:szCs w:val="30"/>
          <w:rtl/>
          <w:lang w:eastAsia="zh-TW"/>
        </w:rPr>
        <w:t xml:space="preserve"> لكل مصنع، على النحو التالي: إنتاج ثاني أكسيد التيتانيوم؛ وصناعة اللباب والورق؛ وتكرير النفط ومعالجة الغاز الطبيعي؛ وإنتاج فلوريد الألومنيوم؛ وإنتاج خبث ثاني أكسيد التيتانيوم والحديد الزهر؛ وإنتاج الزنك والكادميوم؛ وإنتاج سبائك الحديد والمنغنيز/السيليكون والمنغنيز؛ وحرق النفايات؛ والنفايات السائلة البلدية؛ ومدافن القمامة. ولاحظ الطرف نفسه أنه، إضافةً إلى المعلومات التي جمعت عن المصادر الوطنية لإطلاقات الزئبق في المياه فإن التقييم العالمي القادم للزئبق لعام ٢٠١٨ سيكون مصدراً جيداً للمعلومات عن المصادر الرئيسية للإطلاقات إلى المياه، وأشار إلى المصادر المحتملة التالية ذات الصلة: إنتاج الفلزات غير الحديدية؛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 xml:space="preserve">إنتاج عنصر الزئبق؛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 xml:space="preserve">إنتاج الذهب من التعدين الواسع النطاق؛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 xml:space="preserve">تكرير النفط؛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 xml:space="preserve">مياه الصرف الصحي؛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 xml:space="preserve">محطات توليد الطاقة التي تعمل بالفحم الحجري؛ </w:t>
      </w:r>
      <w:r w:rsidR="006F765A">
        <w:rPr>
          <w:rFonts w:ascii="Traditional Arabic" w:hAnsi="Traditional Arabic" w:cs="Traditional Arabic" w:hint="cs"/>
          <w:sz w:val="30"/>
          <w:szCs w:val="30"/>
          <w:rtl/>
          <w:lang w:eastAsia="zh-TW"/>
        </w:rPr>
        <w:t>و</w:t>
      </w:r>
      <w:r w:rsidR="00AC1D74" w:rsidRPr="00AC1D74">
        <w:rPr>
          <w:rFonts w:ascii="Traditional Arabic" w:hAnsi="Traditional Arabic" w:cs="Traditional Arabic"/>
          <w:sz w:val="30"/>
          <w:szCs w:val="30"/>
          <w:rtl/>
          <w:lang w:eastAsia="zh-TW"/>
        </w:rPr>
        <w:t>غسل الفحم</w:t>
      </w:r>
      <w:r w:rsidR="00AC1D74" w:rsidRPr="00AC1D74">
        <w:rPr>
          <w:rFonts w:hint="cs"/>
          <w:sz w:val="30"/>
          <w:szCs w:val="30"/>
          <w:rtl/>
          <w:lang w:eastAsia="zh-TW"/>
        </w:rPr>
        <w:t>‬</w:t>
      </w:r>
      <w:r w:rsidR="00AC1D74" w:rsidRPr="00AC1D74">
        <w:rPr>
          <w:rFonts w:ascii="Traditional Arabic" w:hAnsi="Traditional Arabic" w:cs="Traditional Arabic"/>
          <w:sz w:val="30"/>
          <w:szCs w:val="30"/>
          <w:rtl/>
          <w:lang w:eastAsia="zh-TW"/>
        </w:rPr>
        <w:t xml:space="preserve">. </w:t>
      </w:r>
      <w:r w:rsidRPr="00020143">
        <w:rPr>
          <w:rFonts w:cs="Traditional Arabic"/>
          <w:sz w:val="30"/>
          <w:szCs w:val="30"/>
          <w:rtl/>
          <w:lang w:eastAsia="zh-TW"/>
        </w:rPr>
        <w:t xml:space="preserve">ويمكن الاطلاع على </w:t>
      </w:r>
      <w:r>
        <w:rPr>
          <w:rFonts w:cs="Traditional Arabic" w:hint="cs"/>
          <w:sz w:val="30"/>
          <w:szCs w:val="30"/>
          <w:rtl/>
          <w:lang w:eastAsia="zh-TW"/>
        </w:rPr>
        <w:t xml:space="preserve">هذه </w:t>
      </w:r>
      <w:r w:rsidRPr="00020143">
        <w:rPr>
          <w:rFonts w:cs="Traditional Arabic"/>
          <w:sz w:val="30"/>
          <w:szCs w:val="30"/>
          <w:rtl/>
          <w:lang w:eastAsia="zh-TW"/>
        </w:rPr>
        <w:t>الإفاد</w:t>
      </w:r>
      <w:r>
        <w:rPr>
          <w:rFonts w:cs="Traditional Arabic" w:hint="cs"/>
          <w:sz w:val="30"/>
          <w:szCs w:val="30"/>
          <w:rtl/>
          <w:lang w:eastAsia="zh-TW"/>
        </w:rPr>
        <w:t>ا</w:t>
      </w:r>
      <w:r w:rsidRPr="00020143">
        <w:rPr>
          <w:rFonts w:cs="Traditional Arabic"/>
          <w:sz w:val="30"/>
          <w:szCs w:val="30"/>
          <w:rtl/>
          <w:lang w:eastAsia="zh-TW"/>
        </w:rPr>
        <w:t>ت في الموقع الشبكي للاتفاقية على الرابط</w:t>
      </w:r>
      <w:r w:rsidR="00864268">
        <w:rPr>
          <w:rFonts w:cs="Traditional Arabic" w:hint="cs"/>
          <w:sz w:val="30"/>
          <w:szCs w:val="30"/>
          <w:rtl/>
          <w:lang w:eastAsia="zh-TW"/>
        </w:rPr>
        <w:t>:</w:t>
      </w:r>
      <w:bookmarkStart w:id="0" w:name="_GoBack"/>
      <w:bookmarkEnd w:id="0"/>
    </w:p>
    <w:p w14:paraId="6DD7DCE9" w14:textId="74238F66" w:rsidR="00AC5772" w:rsidRPr="00AC5772" w:rsidRDefault="001415CF" w:rsidP="00AC5772">
      <w:pPr>
        <w:pStyle w:val="Normalnumber"/>
        <w:numPr>
          <w:ilvl w:val="0"/>
          <w:numId w:val="0"/>
        </w:numPr>
        <w:tabs>
          <w:tab w:val="left" w:pos="1841"/>
        </w:tabs>
        <w:autoSpaceDE/>
        <w:autoSpaceDN/>
        <w:bidi/>
        <w:adjustRightInd/>
        <w:spacing w:line="340" w:lineRule="exact"/>
        <w:ind w:left="1134"/>
        <w:jc w:val="both"/>
        <w:textDirection w:val="tbRlV"/>
        <w:rPr>
          <w:rFonts w:asciiTheme="majorBidi" w:hAnsiTheme="majorBidi" w:cstheme="majorBidi"/>
          <w:sz w:val="18"/>
          <w:szCs w:val="18"/>
          <w:rtl/>
          <w:lang w:eastAsia="zh-TW"/>
        </w:rPr>
      </w:pPr>
      <w:r>
        <w:rPr>
          <w:rStyle w:val="Hyperlink"/>
          <w:rFonts w:asciiTheme="majorBidi" w:hAnsiTheme="majorBidi" w:cstheme="majorBidi"/>
          <w:sz w:val="18"/>
          <w:szCs w:val="18"/>
          <w:u w:val="none"/>
          <w:lang w:eastAsia="zh-TW"/>
        </w:rPr>
        <w:fldChar w:fldCharType="begin"/>
      </w:r>
      <w:r>
        <w:rPr>
          <w:rStyle w:val="Hyperlink"/>
          <w:rFonts w:asciiTheme="majorBidi" w:hAnsiTheme="majorBidi" w:cstheme="majorBidi"/>
          <w:sz w:val="18"/>
          <w:szCs w:val="18"/>
          <w:u w:val="none"/>
          <w:lang w:eastAsia="zh-TW"/>
        </w:rPr>
        <w:instrText xml:space="preserve"> HYPERLINK "http://mercuryconvention.org/Meetings/Intersessionalnbsp;work/ta</w:instrText>
      </w:r>
      <w:r>
        <w:rPr>
          <w:rStyle w:val="Hyperlink"/>
          <w:rFonts w:asciiTheme="majorBidi" w:hAnsiTheme="majorBidi" w:cstheme="majorBidi"/>
          <w:sz w:val="18"/>
          <w:szCs w:val="18"/>
          <w:u w:val="none"/>
          <w:lang w:eastAsia="zh-TW"/>
        </w:rPr>
        <w:instrText xml:space="preserve">bid/6325/language/en-US/Default.aspx" </w:instrText>
      </w:r>
      <w:r>
        <w:rPr>
          <w:rStyle w:val="Hyperlink"/>
          <w:rFonts w:asciiTheme="majorBidi" w:hAnsiTheme="majorBidi" w:cstheme="majorBidi"/>
          <w:sz w:val="18"/>
          <w:szCs w:val="18"/>
          <w:u w:val="none"/>
          <w:lang w:eastAsia="zh-TW"/>
        </w:rPr>
        <w:fldChar w:fldCharType="separate"/>
      </w:r>
      <w:r w:rsidR="00AC5772" w:rsidRPr="00AC5772">
        <w:rPr>
          <w:rStyle w:val="Hyperlink"/>
          <w:rFonts w:asciiTheme="majorBidi" w:hAnsiTheme="majorBidi" w:cstheme="majorBidi"/>
          <w:sz w:val="18"/>
          <w:szCs w:val="18"/>
          <w:u w:val="none"/>
          <w:lang w:eastAsia="zh-TW"/>
        </w:rPr>
        <w:t>http://mercuryconvention.org/Meetings/Intersessionalnbsp;work/tabid/6325/language/en-US/Default.aspx</w:t>
      </w:r>
      <w:r>
        <w:rPr>
          <w:rStyle w:val="Hyperlink"/>
          <w:rFonts w:asciiTheme="majorBidi" w:hAnsiTheme="majorBidi" w:cstheme="majorBidi"/>
          <w:sz w:val="18"/>
          <w:szCs w:val="18"/>
          <w:u w:val="none"/>
          <w:lang w:eastAsia="zh-TW"/>
        </w:rPr>
        <w:fldChar w:fldCharType="end"/>
      </w:r>
      <w:r w:rsidR="00AC5772">
        <w:rPr>
          <w:rFonts w:asciiTheme="majorBidi" w:hAnsiTheme="majorBidi" w:cstheme="majorBidi" w:hint="cs"/>
          <w:sz w:val="18"/>
          <w:szCs w:val="18"/>
          <w:rtl/>
          <w:lang w:eastAsia="zh-TW"/>
        </w:rPr>
        <w:t>.</w:t>
      </w:r>
    </w:p>
    <w:p w14:paraId="344942E0" w14:textId="27256833" w:rsidR="00C60C8B" w:rsidRPr="00020143" w:rsidRDefault="00C60C8B" w:rsidP="000A7260">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20143">
        <w:rPr>
          <w:rFonts w:cs="Traditional Arabic"/>
          <w:sz w:val="30"/>
          <w:szCs w:val="30"/>
          <w:rtl/>
          <w:lang w:eastAsia="zh-TW"/>
        </w:rPr>
        <w:t>وعلى الرغم من أن مؤتمر الأطراف شجع في مقرره الأطراف على تحديد المصادر الثابتة ذات الصلة على الصعيد الوطني عملا</w:t>
      </w:r>
      <w:r w:rsidR="0052405D">
        <w:rPr>
          <w:rFonts w:cs="Traditional Arabic" w:hint="cs"/>
          <w:sz w:val="30"/>
          <w:szCs w:val="30"/>
          <w:rtl/>
          <w:lang w:eastAsia="zh-TW"/>
        </w:rPr>
        <w:t>ً</w:t>
      </w:r>
      <w:r w:rsidRPr="00020143">
        <w:rPr>
          <w:rFonts w:cs="Traditional Arabic"/>
          <w:sz w:val="30"/>
          <w:szCs w:val="30"/>
          <w:rtl/>
          <w:lang w:eastAsia="zh-TW"/>
        </w:rPr>
        <w:t xml:space="preserve"> بالفقرتين ٢ (ب) و٣ من المادة ٩ في أقرب وقت ممكن، إلا أن الالتزام بموجب المادة ٩ ينص على أن تقوم الأطراف بذلك </w:t>
      </w:r>
      <w:proofErr w:type="gramStart"/>
      <w:r w:rsidRPr="00020143">
        <w:rPr>
          <w:rFonts w:cs="Traditional Arabic"/>
          <w:sz w:val="30"/>
          <w:szCs w:val="30"/>
          <w:rtl/>
          <w:lang w:eastAsia="zh-TW"/>
        </w:rPr>
        <w:t>’’</w:t>
      </w:r>
      <w:r w:rsidR="000A7260">
        <w:rPr>
          <w:rFonts w:cs="Traditional Arabic" w:hint="cs"/>
          <w:sz w:val="30"/>
          <w:szCs w:val="30"/>
          <w:rtl/>
          <w:lang w:eastAsia="zh-TW"/>
        </w:rPr>
        <w:t>في</w:t>
      </w:r>
      <w:proofErr w:type="gramEnd"/>
      <w:r w:rsidR="000A7260">
        <w:rPr>
          <w:rFonts w:cs="Traditional Arabic" w:hint="cs"/>
          <w:sz w:val="30"/>
          <w:szCs w:val="30"/>
          <w:rtl/>
          <w:lang w:eastAsia="zh-TW"/>
        </w:rPr>
        <w:t xml:space="preserve"> </w:t>
      </w:r>
      <w:r w:rsidRPr="00020143">
        <w:rPr>
          <w:rFonts w:cs="Traditional Arabic"/>
          <w:sz w:val="30"/>
          <w:szCs w:val="30"/>
          <w:rtl/>
          <w:lang w:eastAsia="zh-TW"/>
        </w:rPr>
        <w:t>موعد لا يتجاوز ثلاث سنوات بعد تاريخ دخول الاتفاقية حيز النفاذ بالنسبة [للطرف المعني] وعلى أساس منتظم بعد ذلك‘‘. علاوةً على ذلك، يتعين على الأطراف إدراج معلومات تتعلق بتنفيذ هذه المادة في التقارير المقدمة عملا</w:t>
      </w:r>
      <w:r w:rsidR="005663A6">
        <w:rPr>
          <w:rFonts w:cs="Traditional Arabic" w:hint="cs"/>
          <w:sz w:val="30"/>
          <w:szCs w:val="30"/>
          <w:rtl/>
          <w:lang w:eastAsia="zh-TW"/>
        </w:rPr>
        <w:t>ً</w:t>
      </w:r>
      <w:r w:rsidRPr="00020143">
        <w:rPr>
          <w:rFonts w:cs="Traditional Arabic"/>
          <w:sz w:val="30"/>
          <w:szCs w:val="30"/>
          <w:rtl/>
          <w:lang w:eastAsia="zh-TW"/>
        </w:rPr>
        <w:t xml:space="preserve"> بالمادة ٢١. وقد قرر مؤتمر الأطراف في مقرره ا م-1/8 أنه يتعين تقديم التقارير الكاملة الأولى بحلول ٣١ كانون الأول/ديسمبر ٢٠٢١. وبحلول ذلك الوقت سيكون حجم الإطلاقات وطبيعتها أكثر وضوحا</w:t>
      </w:r>
      <w:r w:rsidR="0052405D">
        <w:rPr>
          <w:rFonts w:cs="Traditional Arabic" w:hint="cs"/>
          <w:sz w:val="30"/>
          <w:szCs w:val="30"/>
          <w:rtl/>
          <w:lang w:eastAsia="zh-TW"/>
        </w:rPr>
        <w:t>ً</w:t>
      </w:r>
      <w:r w:rsidRPr="00020143">
        <w:rPr>
          <w:rFonts w:cs="Traditional Arabic"/>
          <w:sz w:val="30"/>
          <w:szCs w:val="30"/>
          <w:rtl/>
          <w:lang w:eastAsia="zh-TW"/>
        </w:rPr>
        <w:t xml:space="preserve"> وسيكون مؤتمر الأطراف أكثر قدرةً على وضع توجيهات ذات صلة بشأن إدارتها.</w:t>
      </w:r>
    </w:p>
    <w:p w14:paraId="799765A9" w14:textId="4D1CCA19" w:rsidR="00C60C8B" w:rsidRPr="00533117" w:rsidRDefault="00C60C8B" w:rsidP="000A7260">
      <w:pPr>
        <w:pStyle w:val="CH2"/>
        <w:tabs>
          <w:tab w:val="left" w:pos="1841"/>
        </w:tabs>
        <w:bidi/>
        <w:spacing w:before="0" w:line="400" w:lineRule="exact"/>
        <w:ind w:left="1134" w:right="0" w:firstLine="0"/>
        <w:jc w:val="both"/>
        <w:textDirection w:val="tbRlV"/>
        <w:rPr>
          <w:rFonts w:cs="Traditional Arabic"/>
          <w:b w:val="0"/>
          <w:bCs/>
          <w:sz w:val="30"/>
          <w:szCs w:val="30"/>
          <w:rtl/>
          <w:lang w:eastAsia="zh-TW"/>
        </w:rPr>
      </w:pPr>
      <w:r w:rsidRPr="00533117">
        <w:rPr>
          <w:rFonts w:cs="Traditional Arabic"/>
          <w:b w:val="0"/>
          <w:bCs/>
          <w:sz w:val="30"/>
          <w:szCs w:val="30"/>
          <w:rtl/>
          <w:lang w:eastAsia="zh-TW"/>
        </w:rPr>
        <w:t>الإجراء الذي يُقترح أن يتخذه مؤتمر الأطراف</w:t>
      </w:r>
    </w:p>
    <w:p w14:paraId="4023FFE0" w14:textId="61403AF6" w:rsidR="00C60C8B" w:rsidRPr="00020143" w:rsidRDefault="00C60C8B" w:rsidP="000A7260">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020143">
        <w:rPr>
          <w:rFonts w:cs="Traditional Arabic"/>
          <w:sz w:val="30"/>
          <w:szCs w:val="30"/>
          <w:rtl/>
          <w:lang w:eastAsia="zh-TW"/>
        </w:rPr>
        <w:t>نظراً لأن</w:t>
      </w:r>
      <w:r w:rsidR="005E37BD">
        <w:rPr>
          <w:rFonts w:cs="Traditional Arabic" w:hint="cs"/>
          <w:sz w:val="30"/>
          <w:szCs w:val="30"/>
          <w:rtl/>
          <w:lang w:eastAsia="zh-TW"/>
        </w:rPr>
        <w:t xml:space="preserve"> هناك طرفاً واحداً فقط هو الذي حدد </w:t>
      </w:r>
      <w:r w:rsidRPr="00020143">
        <w:rPr>
          <w:rFonts w:cs="Traditional Arabic"/>
          <w:sz w:val="30"/>
          <w:szCs w:val="30"/>
          <w:rtl/>
          <w:lang w:eastAsia="zh-TW"/>
        </w:rPr>
        <w:t xml:space="preserve">مصادر ذات صلة </w:t>
      </w:r>
      <w:r w:rsidR="005E37BD">
        <w:rPr>
          <w:rFonts w:cs="Traditional Arabic" w:hint="cs"/>
          <w:sz w:val="30"/>
          <w:szCs w:val="30"/>
          <w:rtl/>
          <w:lang w:eastAsia="zh-TW"/>
        </w:rPr>
        <w:t xml:space="preserve">محتملة </w:t>
      </w:r>
      <w:r w:rsidRPr="00020143">
        <w:rPr>
          <w:rFonts w:cs="Traditional Arabic"/>
          <w:sz w:val="30"/>
          <w:szCs w:val="30"/>
          <w:rtl/>
          <w:lang w:eastAsia="zh-TW"/>
        </w:rPr>
        <w:t xml:space="preserve">للإطلاقات بموجب المادة ٩ من الاتفاقية فإن مؤتمر الأطراف قد يرغب في إرجاء أي عمل على صعيد وضع توجيهات بشأن أفضل التقنيات المتاحة وأفضل الممارسات البيئية </w:t>
      </w:r>
      <w:r>
        <w:rPr>
          <w:rFonts w:cs="Traditional Arabic" w:hint="cs"/>
          <w:sz w:val="30"/>
          <w:szCs w:val="30"/>
          <w:rtl/>
          <w:lang w:eastAsia="zh-TW"/>
        </w:rPr>
        <w:t xml:space="preserve">إلى حين </w:t>
      </w:r>
      <w:r w:rsidRPr="00020143">
        <w:rPr>
          <w:rFonts w:cs="Traditional Arabic"/>
          <w:sz w:val="30"/>
          <w:szCs w:val="30"/>
          <w:rtl/>
          <w:lang w:eastAsia="zh-TW"/>
        </w:rPr>
        <w:t>تقديم الأطراف للتقارير الكاملة الأولى بحلول ٣١ كانون الأول/ديسمبر ٢٠٢١. وقد ترغب الأطراف في تقديم معلومات ذات صلة إلى الأمانة عندما تصبح متاحة، وقد يرغب مؤتمر الأطراف في أن يعيد النظر في هذه المسألة في اجتماعه الأول بعد تقديم التقارير الكاملة. ويرد مشروع مقرر في مرفق هذه المذكرة.</w:t>
      </w:r>
    </w:p>
    <w:p w14:paraId="401C1B67" w14:textId="77777777" w:rsidR="00C60C8B" w:rsidRPr="00020143" w:rsidRDefault="00C60C8B" w:rsidP="00C60C8B">
      <w:pPr>
        <w:pStyle w:val="Normal-pool"/>
        <w:bidi/>
        <w:jc w:val="both"/>
        <w:rPr>
          <w:rFonts w:cs="Traditional Arabic"/>
          <w:sz w:val="30"/>
        </w:rPr>
      </w:pPr>
      <w:r w:rsidRPr="00020143">
        <w:rPr>
          <w:rFonts w:cs="Traditional Arabic"/>
          <w:sz w:val="30"/>
        </w:rPr>
        <w:br w:type="page"/>
      </w:r>
    </w:p>
    <w:p w14:paraId="11540EE5" w14:textId="77777777" w:rsidR="00C60C8B" w:rsidRPr="00AB391D" w:rsidRDefault="00C60C8B" w:rsidP="000A7260">
      <w:pPr>
        <w:pStyle w:val="ZZAnxheader"/>
        <w:tabs>
          <w:tab w:val="clear" w:pos="1247"/>
          <w:tab w:val="clear" w:pos="1814"/>
          <w:tab w:val="clear" w:pos="2381"/>
          <w:tab w:val="clear" w:pos="2948"/>
          <w:tab w:val="clear" w:pos="3515"/>
        </w:tabs>
        <w:bidi/>
        <w:spacing w:after="240" w:line="400" w:lineRule="exact"/>
        <w:jc w:val="both"/>
        <w:textDirection w:val="tbRlV"/>
        <w:rPr>
          <w:rFonts w:ascii="Traditional Arabic" w:hAnsi="Traditional Arabic" w:cs="Traditional Arabic"/>
          <w:sz w:val="34"/>
          <w:szCs w:val="34"/>
          <w:rtl/>
          <w:lang w:eastAsia="zh-TW"/>
        </w:rPr>
      </w:pPr>
      <w:r w:rsidRPr="00AB391D">
        <w:rPr>
          <w:rFonts w:ascii="Traditional Arabic" w:hAnsi="Traditional Arabic" w:cs="Traditional Arabic"/>
          <w:sz w:val="34"/>
          <w:szCs w:val="34"/>
          <w:rtl/>
          <w:lang w:eastAsia="zh-TW"/>
        </w:rPr>
        <w:lastRenderedPageBreak/>
        <w:t>المرفق</w:t>
      </w:r>
    </w:p>
    <w:p w14:paraId="60CC1DD0" w14:textId="77EA8803" w:rsidR="00C60C8B" w:rsidRPr="00020143" w:rsidRDefault="00C60C8B" w:rsidP="000A7260">
      <w:pPr>
        <w:pStyle w:val="ZZAnxtitle"/>
        <w:tabs>
          <w:tab w:val="clear" w:pos="1247"/>
          <w:tab w:val="clear" w:pos="1814"/>
          <w:tab w:val="clear" w:pos="2381"/>
          <w:tab w:val="clear" w:pos="2948"/>
          <w:tab w:val="clear" w:pos="3515"/>
          <w:tab w:val="clear" w:pos="4082"/>
        </w:tabs>
        <w:bidi/>
        <w:spacing w:before="0" w:after="240" w:line="400" w:lineRule="exact"/>
        <w:ind w:left="1134"/>
        <w:jc w:val="both"/>
        <w:textDirection w:val="tbRlV"/>
        <w:rPr>
          <w:rFonts w:cs="Traditional Arabic"/>
          <w:sz w:val="30"/>
          <w:szCs w:val="30"/>
          <w:rtl/>
          <w:lang w:eastAsia="zh-TW"/>
        </w:rPr>
      </w:pPr>
      <w:r w:rsidRPr="000A7260">
        <w:rPr>
          <w:rFonts w:cs="Traditional Arabic"/>
          <w:sz w:val="32"/>
          <w:szCs w:val="32"/>
          <w:rtl/>
          <w:lang w:eastAsia="zh-TW"/>
        </w:rPr>
        <w:t>مشروع المقرر ا م-2/</w:t>
      </w:r>
      <w:r w:rsidRPr="000A7260">
        <w:rPr>
          <w:rFonts w:cs="Traditional Arabic"/>
          <w:szCs w:val="28"/>
          <w:rtl/>
          <w:lang w:eastAsia="zh-TW"/>
        </w:rPr>
        <w:t>[XX]</w:t>
      </w:r>
      <w:r w:rsidRPr="00020143">
        <w:rPr>
          <w:rFonts w:cs="Traditional Arabic"/>
          <w:sz w:val="30"/>
          <w:szCs w:val="30"/>
          <w:rtl/>
          <w:lang w:eastAsia="zh-TW"/>
        </w:rPr>
        <w:t>:</w:t>
      </w:r>
      <w:r w:rsidRPr="000A7260">
        <w:rPr>
          <w:rFonts w:cs="Traditional Arabic"/>
          <w:sz w:val="32"/>
          <w:szCs w:val="32"/>
          <w:rtl/>
          <w:lang w:eastAsia="zh-TW"/>
        </w:rPr>
        <w:t xml:space="preserve"> الإطلاقات</w:t>
      </w:r>
    </w:p>
    <w:p w14:paraId="11A09E5D" w14:textId="77777777" w:rsidR="00C60C8B" w:rsidRPr="00533117" w:rsidRDefault="00C60C8B" w:rsidP="000A7260">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iCs/>
          <w:sz w:val="30"/>
          <w:rtl/>
          <w:lang w:eastAsia="zh-TW"/>
        </w:rPr>
      </w:pPr>
      <w:r w:rsidRPr="00533117">
        <w:rPr>
          <w:rFonts w:cs="Traditional Arabic"/>
          <w:i/>
          <w:iCs/>
          <w:sz w:val="30"/>
          <w:rtl/>
          <w:lang w:eastAsia="zh-TW"/>
        </w:rPr>
        <w:t>إن مؤتمر الأطراف،</w:t>
      </w:r>
    </w:p>
    <w:p w14:paraId="59E81B8B" w14:textId="77777777" w:rsidR="00C60C8B" w:rsidRPr="000A7260" w:rsidRDefault="00C60C8B" w:rsidP="000A7260">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sz w:val="30"/>
          <w:rtl/>
          <w:lang w:eastAsia="zh-TW"/>
        </w:rPr>
      </w:pPr>
      <w:r w:rsidRPr="00533117">
        <w:rPr>
          <w:rFonts w:cs="Traditional Arabic"/>
          <w:i/>
          <w:iCs/>
          <w:sz w:val="30"/>
          <w:rtl/>
          <w:lang w:eastAsia="zh-TW"/>
        </w:rPr>
        <w:t>إذ يسلم</w:t>
      </w:r>
      <w:r w:rsidRPr="00020143">
        <w:rPr>
          <w:rFonts w:cs="Traditional Arabic"/>
          <w:sz w:val="30"/>
          <w:rtl/>
          <w:lang w:eastAsia="zh-TW"/>
        </w:rPr>
        <w:t xml:space="preserve"> بأنه يتعين على مؤتمر الأطراف أن يعتمد، في أقرب وقت ممكن عملياً، التوجيهات المتعلقة بأفضل التقنيات المتاحة وأفضل الممارسات البيئية للتحكم في الإطلاقات من المصادر ذات </w:t>
      </w:r>
      <w:r>
        <w:rPr>
          <w:rFonts w:cs="Traditional Arabic" w:hint="cs"/>
          <w:sz w:val="30"/>
          <w:rtl/>
          <w:lang w:eastAsia="zh-TW"/>
        </w:rPr>
        <w:t>الصلة</w:t>
      </w:r>
      <w:r w:rsidRPr="00020143">
        <w:rPr>
          <w:rFonts w:cs="Traditional Arabic"/>
          <w:sz w:val="30"/>
          <w:rtl/>
          <w:lang w:eastAsia="zh-TW"/>
        </w:rPr>
        <w:t>، و</w:t>
      </w:r>
      <w:r>
        <w:rPr>
          <w:rFonts w:cs="Traditional Arabic" w:hint="cs"/>
          <w:sz w:val="30"/>
          <w:rtl/>
          <w:lang w:eastAsia="zh-TW"/>
        </w:rPr>
        <w:t>ب</w:t>
      </w:r>
      <w:r w:rsidRPr="00020143">
        <w:rPr>
          <w:rFonts w:cs="Traditional Arabic"/>
          <w:sz w:val="30"/>
          <w:rtl/>
          <w:lang w:eastAsia="zh-TW"/>
        </w:rPr>
        <w:t>أساليب إعداد قوائم الجرد للإطلاقات من تلك المصادر،</w:t>
      </w:r>
    </w:p>
    <w:p w14:paraId="38758175" w14:textId="54104F05" w:rsidR="00C60C8B" w:rsidRPr="00703DCD" w:rsidRDefault="00C60C8B" w:rsidP="000A7260">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sz w:val="30"/>
          <w:rtl/>
          <w:lang w:eastAsia="zh-TW"/>
        </w:rPr>
      </w:pPr>
      <w:r w:rsidRPr="008F45FD">
        <w:rPr>
          <w:rFonts w:cs="Traditional Arabic"/>
          <w:i/>
          <w:iCs/>
          <w:sz w:val="30"/>
          <w:rtl/>
          <w:lang w:eastAsia="zh-TW"/>
        </w:rPr>
        <w:t>وإذ يلاحظ</w:t>
      </w:r>
      <w:r w:rsidRPr="00020143">
        <w:rPr>
          <w:rFonts w:cs="Traditional Arabic"/>
          <w:sz w:val="30"/>
          <w:rtl/>
          <w:lang w:eastAsia="zh-TW"/>
        </w:rPr>
        <w:t xml:space="preserve"> أن</w:t>
      </w:r>
      <w:r w:rsidR="005E37BD">
        <w:rPr>
          <w:rFonts w:cs="Traditional Arabic" w:hint="cs"/>
          <w:sz w:val="30"/>
          <w:rtl/>
          <w:lang w:eastAsia="zh-TW"/>
        </w:rPr>
        <w:t xml:space="preserve"> هناك طرفاً واحداً فقط</w:t>
      </w:r>
      <w:r w:rsidRPr="00020143">
        <w:rPr>
          <w:rFonts w:cs="Traditional Arabic"/>
          <w:sz w:val="30"/>
          <w:rtl/>
          <w:lang w:eastAsia="zh-TW"/>
        </w:rPr>
        <w:t xml:space="preserve"> قدم حتى الآن معلومات تحدد مصادر ثابتة </w:t>
      </w:r>
      <w:r w:rsidR="005E37BD">
        <w:rPr>
          <w:rFonts w:cs="Traditional Arabic" w:hint="cs"/>
          <w:sz w:val="30"/>
          <w:rtl/>
          <w:lang w:eastAsia="zh-TW"/>
        </w:rPr>
        <w:t xml:space="preserve">محتملة </w:t>
      </w:r>
      <w:r w:rsidRPr="00020143">
        <w:rPr>
          <w:rFonts w:cs="Traditional Arabic"/>
          <w:sz w:val="30"/>
          <w:rtl/>
          <w:lang w:eastAsia="zh-TW"/>
        </w:rPr>
        <w:t>ذات صلة ضمن نطاق المادة ٩،</w:t>
      </w:r>
    </w:p>
    <w:p w14:paraId="0EF436CE" w14:textId="38343C6D" w:rsidR="00C60C8B" w:rsidRPr="00020143" w:rsidRDefault="00C60C8B" w:rsidP="000A7260">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sz w:val="30"/>
          <w:rtl/>
          <w:lang w:eastAsia="zh-TW"/>
        </w:rPr>
      </w:pPr>
      <w:r w:rsidRPr="008F45FD">
        <w:rPr>
          <w:rFonts w:cs="Traditional Arabic"/>
          <w:i/>
          <w:iCs/>
          <w:sz w:val="30"/>
          <w:rtl/>
          <w:lang w:eastAsia="zh-TW"/>
        </w:rPr>
        <w:t>وإذ يسلم</w:t>
      </w:r>
      <w:r w:rsidRPr="00020143">
        <w:rPr>
          <w:rFonts w:cs="Traditional Arabic"/>
          <w:sz w:val="30"/>
          <w:rtl/>
          <w:lang w:eastAsia="zh-TW"/>
        </w:rPr>
        <w:t xml:space="preserve"> بأن الأطراف ستقدم تقارير عن مصادر إطلاقاتها ذات الصلة وعن تدابير للتحكم فيها في تقاريرها عملا</w:t>
      </w:r>
      <w:r w:rsidR="005663A6">
        <w:rPr>
          <w:rFonts w:cs="Traditional Arabic" w:hint="cs"/>
          <w:sz w:val="30"/>
          <w:rtl/>
          <w:lang w:eastAsia="zh-TW"/>
        </w:rPr>
        <w:t>ً</w:t>
      </w:r>
      <w:r w:rsidRPr="00020143">
        <w:rPr>
          <w:rFonts w:cs="Traditional Arabic"/>
          <w:sz w:val="30"/>
          <w:rtl/>
          <w:lang w:eastAsia="zh-TW"/>
        </w:rPr>
        <w:t xml:space="preserve"> بالمادة ٢١،</w:t>
      </w:r>
    </w:p>
    <w:p w14:paraId="49E73362" w14:textId="6385D609" w:rsidR="00C60C8B" w:rsidRPr="00020143" w:rsidRDefault="00C60C8B" w:rsidP="000A7260">
      <w:pPr>
        <w:pStyle w:val="Normal-pool"/>
        <w:numPr>
          <w:ilvl w:val="0"/>
          <w:numId w:val="19"/>
        </w:numPr>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sz w:val="30"/>
          <w:rtl/>
          <w:lang w:eastAsia="zh-TW"/>
        </w:rPr>
      </w:pPr>
      <w:r w:rsidRPr="008F45FD">
        <w:rPr>
          <w:rFonts w:cs="Traditional Arabic"/>
          <w:i/>
          <w:iCs/>
          <w:sz w:val="30"/>
          <w:rtl/>
          <w:lang w:eastAsia="zh-TW"/>
        </w:rPr>
        <w:t>يقرر</w:t>
      </w:r>
      <w:r w:rsidRPr="00020143">
        <w:rPr>
          <w:rFonts w:cs="Traditional Arabic"/>
          <w:sz w:val="30"/>
          <w:rtl/>
          <w:lang w:eastAsia="zh-TW"/>
        </w:rPr>
        <w:t xml:space="preserve"> أن يتخذ إجراءات بشأن وضع توجيهات بشأن أفضل التقنيات المتاحة وأفضل الممارسات البيئية للتحكم في الإطلاقات من المصادر ذات الصلة، بعد النظر في التقارير المقدمة من الأطراف عملاً بالمادة ٢١؛</w:t>
      </w:r>
    </w:p>
    <w:p w14:paraId="45AB196F" w14:textId="2070FDC6" w:rsidR="00C60C8B" w:rsidRPr="00020143" w:rsidRDefault="00C60C8B" w:rsidP="000A7260">
      <w:pPr>
        <w:pStyle w:val="Normal-pool"/>
        <w:numPr>
          <w:ilvl w:val="0"/>
          <w:numId w:val="19"/>
        </w:numPr>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sz w:val="30"/>
          <w:rtl/>
          <w:lang w:eastAsia="zh-TW"/>
        </w:rPr>
      </w:pPr>
      <w:r w:rsidRPr="008F45FD">
        <w:rPr>
          <w:rFonts w:cs="Traditional Arabic"/>
          <w:i/>
          <w:iCs/>
          <w:sz w:val="30"/>
          <w:rtl/>
          <w:lang w:eastAsia="zh-TW"/>
        </w:rPr>
        <w:t>يشجع</w:t>
      </w:r>
      <w:r w:rsidRPr="00020143">
        <w:rPr>
          <w:rFonts w:cs="Traditional Arabic"/>
          <w:sz w:val="30"/>
          <w:rtl/>
          <w:lang w:eastAsia="zh-TW"/>
        </w:rPr>
        <w:t xml:space="preserve"> على تقديم المعلومات المتاحة عن المصادر الثابتة ذات الصلة إلى الأمانة في الفترة الانتقالية لحين تقديم التقارير الكاملة بموجب المادة ٢١؛</w:t>
      </w:r>
    </w:p>
    <w:p w14:paraId="4FFB8134" w14:textId="77777777" w:rsidR="00C60C8B" w:rsidRPr="00020143" w:rsidRDefault="00C60C8B" w:rsidP="005663A6">
      <w:pPr>
        <w:pStyle w:val="Normal-pool"/>
        <w:numPr>
          <w:ilvl w:val="0"/>
          <w:numId w:val="19"/>
        </w:numPr>
        <w:tabs>
          <w:tab w:val="clear" w:pos="1247"/>
          <w:tab w:val="clear" w:pos="1814"/>
          <w:tab w:val="clear" w:pos="2381"/>
          <w:tab w:val="clear" w:pos="2948"/>
          <w:tab w:val="clear" w:pos="3515"/>
          <w:tab w:val="left" w:pos="2408"/>
        </w:tabs>
        <w:bidi/>
        <w:spacing w:after="120" w:line="400" w:lineRule="exact"/>
        <w:ind w:left="1134" w:firstLine="709"/>
        <w:jc w:val="both"/>
        <w:textDirection w:val="tbRlV"/>
        <w:rPr>
          <w:rFonts w:cs="Traditional Arabic"/>
          <w:sz w:val="30"/>
          <w:rtl/>
          <w:lang w:eastAsia="zh-TW"/>
        </w:rPr>
      </w:pPr>
      <w:r w:rsidRPr="008F45FD">
        <w:rPr>
          <w:rFonts w:cs="Traditional Arabic"/>
          <w:i/>
          <w:iCs/>
          <w:sz w:val="30"/>
          <w:rtl/>
          <w:lang w:eastAsia="zh-TW"/>
        </w:rPr>
        <w:t>يطلب</w:t>
      </w:r>
      <w:r w:rsidRPr="00020143">
        <w:rPr>
          <w:rFonts w:cs="Traditional Arabic"/>
          <w:sz w:val="30"/>
          <w:rtl/>
          <w:lang w:eastAsia="zh-TW"/>
        </w:rPr>
        <w:t xml:space="preserve"> إلى الأمانة أن تجمع المعلومات من تقارير الأطراف والمصادر الأخرى، وأن تقدم هذه المعلومات إلى مؤتمر الأطراف في اجتماعه الأول بعد تقديم التقارير الكاملة.</w:t>
      </w:r>
    </w:p>
    <w:p w14:paraId="6A2AE965" w14:textId="7A65E8E2" w:rsidR="00451ABD" w:rsidRPr="005663A6" w:rsidRDefault="005663A6" w:rsidP="005663A6">
      <w:pPr>
        <w:bidi/>
        <w:spacing w:line="400" w:lineRule="exact"/>
        <w:ind w:left="1134"/>
        <w:jc w:val="center"/>
        <w:rPr>
          <w:sz w:val="30"/>
          <w:rtl/>
        </w:rPr>
      </w:pPr>
      <w:r>
        <w:rPr>
          <w:sz w:val="30"/>
        </w:rPr>
        <w:t>______________</w:t>
      </w:r>
    </w:p>
    <w:sectPr w:rsidR="00451ABD" w:rsidRPr="005663A6"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08C2" w14:textId="77777777" w:rsidR="001415CF" w:rsidRDefault="001415CF">
      <w:r>
        <w:separator/>
      </w:r>
    </w:p>
  </w:endnote>
  <w:endnote w:type="continuationSeparator" w:id="0">
    <w:p w14:paraId="1342FB0F" w14:textId="77777777" w:rsidR="001415CF" w:rsidRDefault="001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F787" w14:textId="77777777"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A7BE" w14:textId="77777777"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543" w14:textId="47DBA84F"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9A4A67">
      <w:rPr>
        <w:rStyle w:val="PageNumber"/>
        <w:rFonts w:asciiTheme="majorBidi" w:hAnsiTheme="majorBidi" w:cstheme="majorBidi"/>
        <w:szCs w:val="20"/>
      </w:rPr>
      <w:t>2312</w:t>
    </w:r>
    <w:r w:rsidR="006E1D97">
      <w:rPr>
        <w:rStyle w:val="PageNumber"/>
        <w:rFonts w:asciiTheme="majorBidi" w:hAnsiTheme="majorBidi" w:cstheme="majorBidi" w:hint="cs"/>
        <w:szCs w:val="20"/>
        <w:rtl/>
      </w:rPr>
      <w:tab/>
    </w:r>
    <w:r w:rsidR="00AC5772">
      <w:rPr>
        <w:rStyle w:val="PageNumber"/>
        <w:rFonts w:asciiTheme="majorBidi" w:hAnsiTheme="majorBidi" w:cstheme="majorBidi"/>
        <w:szCs w:val="20"/>
      </w:rPr>
      <w:t>0310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5180" w14:textId="77777777" w:rsidR="001415CF" w:rsidRDefault="001415CF" w:rsidP="008A79DC">
      <w:pPr>
        <w:bidi/>
        <w:ind w:left="720"/>
      </w:pPr>
      <w:r>
        <w:separator/>
      </w:r>
    </w:p>
  </w:footnote>
  <w:footnote w:type="continuationSeparator" w:id="0">
    <w:p w14:paraId="22EBBADC" w14:textId="77777777" w:rsidR="001415CF" w:rsidRDefault="001415CF">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F20E" w14:textId="28C58292"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762BE">
      <w:rPr>
        <w:rFonts w:cs="Times New Roman"/>
        <w:b/>
        <w:bCs/>
        <w:sz w:val="17"/>
        <w:szCs w:val="17"/>
      </w:rPr>
      <w:t>4</w:t>
    </w:r>
    <w:r w:rsidR="009A4A67">
      <w:rPr>
        <w:rFonts w:cs="Times New Roman"/>
        <w:b/>
        <w:bCs/>
        <w:sz w:val="17"/>
        <w:szCs w:val="17"/>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810D" w14:textId="65C52CC9"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762BE">
      <w:rPr>
        <w:rFonts w:cs="Times New Roman"/>
        <w:b/>
        <w:bCs/>
        <w:sz w:val="17"/>
        <w:szCs w:val="17"/>
      </w:rPr>
      <w:t>4</w:t>
    </w:r>
    <w:r w:rsidR="009A4A67">
      <w:rPr>
        <w:b/>
        <w:bCs/>
        <w:sz w:val="17"/>
        <w:szCs w:val="17"/>
        <w:lang w:val="fr-FR"/>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 w:numId="2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15CF"/>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36F1"/>
    <w:rsid w:val="00450466"/>
    <w:rsid w:val="00451081"/>
    <w:rsid w:val="00451ABD"/>
    <w:rsid w:val="004524AB"/>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2405D"/>
    <w:rsid w:val="00530F46"/>
    <w:rsid w:val="00540949"/>
    <w:rsid w:val="005435B2"/>
    <w:rsid w:val="005663A6"/>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37BD"/>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765A"/>
    <w:rsid w:val="006F7F31"/>
    <w:rsid w:val="00703DCD"/>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1F56"/>
    <w:rsid w:val="007A671B"/>
    <w:rsid w:val="007B173A"/>
    <w:rsid w:val="007B431F"/>
    <w:rsid w:val="007B5F59"/>
    <w:rsid w:val="007B7061"/>
    <w:rsid w:val="007B75A1"/>
    <w:rsid w:val="007C62EE"/>
    <w:rsid w:val="007C73F5"/>
    <w:rsid w:val="007D019B"/>
    <w:rsid w:val="007D3018"/>
    <w:rsid w:val="007E0C9A"/>
    <w:rsid w:val="007F304D"/>
    <w:rsid w:val="00802B63"/>
    <w:rsid w:val="00805014"/>
    <w:rsid w:val="00811602"/>
    <w:rsid w:val="00822614"/>
    <w:rsid w:val="008321C1"/>
    <w:rsid w:val="008323B3"/>
    <w:rsid w:val="008405B2"/>
    <w:rsid w:val="008500FB"/>
    <w:rsid w:val="00852F12"/>
    <w:rsid w:val="00864268"/>
    <w:rsid w:val="00873A40"/>
    <w:rsid w:val="00880C90"/>
    <w:rsid w:val="00882C45"/>
    <w:rsid w:val="00887CE8"/>
    <w:rsid w:val="0089216B"/>
    <w:rsid w:val="0089620E"/>
    <w:rsid w:val="008A5EBB"/>
    <w:rsid w:val="008A79DC"/>
    <w:rsid w:val="008B6A62"/>
    <w:rsid w:val="008C23F0"/>
    <w:rsid w:val="008F144F"/>
    <w:rsid w:val="008F1B77"/>
    <w:rsid w:val="008F4416"/>
    <w:rsid w:val="0090002B"/>
    <w:rsid w:val="009017E0"/>
    <w:rsid w:val="0092522D"/>
    <w:rsid w:val="00926C1F"/>
    <w:rsid w:val="00931CC7"/>
    <w:rsid w:val="00933976"/>
    <w:rsid w:val="00934EBC"/>
    <w:rsid w:val="00934FB6"/>
    <w:rsid w:val="00950DD1"/>
    <w:rsid w:val="00952DAB"/>
    <w:rsid w:val="00955980"/>
    <w:rsid w:val="0096449B"/>
    <w:rsid w:val="00980B82"/>
    <w:rsid w:val="009819E2"/>
    <w:rsid w:val="00983518"/>
    <w:rsid w:val="0099049A"/>
    <w:rsid w:val="009A052E"/>
    <w:rsid w:val="009A0564"/>
    <w:rsid w:val="009A11E7"/>
    <w:rsid w:val="009A1FDF"/>
    <w:rsid w:val="009A4A67"/>
    <w:rsid w:val="009A6C71"/>
    <w:rsid w:val="009B2A75"/>
    <w:rsid w:val="009C40AA"/>
    <w:rsid w:val="009C5B71"/>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B391D"/>
    <w:rsid w:val="00AC1D74"/>
    <w:rsid w:val="00AC5772"/>
    <w:rsid w:val="00AC5F19"/>
    <w:rsid w:val="00AE4729"/>
    <w:rsid w:val="00AF0DF6"/>
    <w:rsid w:val="00AF585D"/>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1EBE"/>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C6739"/>
    <w:rsid w:val="00CD25C4"/>
    <w:rsid w:val="00CD399B"/>
    <w:rsid w:val="00CD4572"/>
    <w:rsid w:val="00CD5653"/>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DF652B"/>
    <w:rsid w:val="00E015AC"/>
    <w:rsid w:val="00E0494C"/>
    <w:rsid w:val="00E1515A"/>
    <w:rsid w:val="00E176E7"/>
    <w:rsid w:val="00E2101B"/>
    <w:rsid w:val="00E323C0"/>
    <w:rsid w:val="00E369DB"/>
    <w:rsid w:val="00E36EB2"/>
    <w:rsid w:val="00E37644"/>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character" w:styleId="UnresolvedMention">
    <w:name w:val="Unresolved Mention"/>
    <w:basedOn w:val="DefaultParagraphFont"/>
    <w:uiPriority w:val="99"/>
    <w:semiHidden/>
    <w:unhideWhenUsed/>
    <w:rsid w:val="00AC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7272-97DD-4598-A418-9E428572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3</cp:revision>
  <cp:lastPrinted>2018-10-03T13:50:00Z</cp:lastPrinted>
  <dcterms:created xsi:type="dcterms:W3CDTF">2018-10-03T13:25:00Z</dcterms:created>
  <dcterms:modified xsi:type="dcterms:W3CDTF">2018-10-03T13:51:00Z</dcterms:modified>
</cp:coreProperties>
</file>