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14:paraId="43501267" w14:textId="77777777" w:rsidTr="001E1443">
        <w:trPr>
          <w:cantSplit/>
          <w:trHeight w:val="624"/>
        </w:trPr>
        <w:tc>
          <w:tcPr>
            <w:tcW w:w="3403" w:type="dxa"/>
            <w:tcBorders>
              <w:bottom w:val="nil"/>
            </w:tcBorders>
          </w:tcPr>
          <w:p w14:paraId="315B46E2" w14:textId="77777777" w:rsidR="00DE796A" w:rsidRPr="00934FB6" w:rsidRDefault="00934FB6" w:rsidP="000B1AA7">
            <w:pPr>
              <w:spacing w:after="120" w:line="640" w:lineRule="exact"/>
              <w:rPr>
                <w:rFonts w:ascii="Arial" w:hAnsi="Arial" w:cs="Arial"/>
                <w:b/>
                <w:bCs/>
                <w:sz w:val="64"/>
                <w:szCs w:val="64"/>
              </w:rPr>
            </w:pPr>
            <w:bookmarkStart w:id="0" w:name="_GoBack"/>
            <w:bookmarkEnd w:id="0"/>
            <w:r w:rsidRPr="00934FB6">
              <w:rPr>
                <w:rFonts w:ascii="Arial" w:hAnsi="Arial" w:cs="Arial"/>
                <w:b/>
                <w:bCs/>
                <w:sz w:val="64"/>
                <w:szCs w:val="64"/>
              </w:rPr>
              <w:t>MC</w:t>
            </w:r>
          </w:p>
        </w:tc>
        <w:tc>
          <w:tcPr>
            <w:tcW w:w="6237" w:type="dxa"/>
            <w:gridSpan w:val="2"/>
            <w:tcBorders>
              <w:bottom w:val="nil"/>
            </w:tcBorders>
          </w:tcPr>
          <w:p w14:paraId="15BB08DF" w14:textId="77777777"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14:paraId="6D3BD447" w14:textId="77777777" w:rsidTr="001E1443">
        <w:trPr>
          <w:cantSplit/>
          <w:trHeight w:val="254"/>
        </w:trPr>
        <w:tc>
          <w:tcPr>
            <w:tcW w:w="3403" w:type="dxa"/>
            <w:tcBorders>
              <w:top w:val="nil"/>
              <w:bottom w:val="single" w:sz="4" w:space="0" w:color="auto"/>
            </w:tcBorders>
          </w:tcPr>
          <w:p w14:paraId="71DEC684" w14:textId="017CDF19" w:rsidR="004B0A17" w:rsidRPr="00C60C8B" w:rsidRDefault="00115715" w:rsidP="006D0402">
            <w:pPr>
              <w:rPr>
                <w:rFonts w:cs="Times New Roman"/>
                <w:b/>
                <w:bCs/>
                <w:szCs w:val="20"/>
                <w:lang w:val="en-GB"/>
              </w:rPr>
            </w:pPr>
            <w:r w:rsidRPr="00AB507F">
              <w:rPr>
                <w:rFonts w:cs="Times New Roman"/>
                <w:b/>
                <w:bCs/>
                <w:sz w:val="28"/>
              </w:rPr>
              <w:t>UNEP</w:t>
            </w:r>
            <w:r>
              <w:rPr>
                <w:rFonts w:cs="Times New Roman"/>
              </w:rPr>
              <w:t>/</w:t>
            </w:r>
            <w:r w:rsidR="00934FB6">
              <w:rPr>
                <w:rFonts w:cs="Times New Roman"/>
                <w:szCs w:val="20"/>
              </w:rPr>
              <w:t>MC/COP.</w:t>
            </w:r>
            <w:r w:rsidR="002772B3">
              <w:rPr>
                <w:rFonts w:cs="Times New Roman"/>
                <w:szCs w:val="20"/>
              </w:rPr>
              <w:t>2</w:t>
            </w:r>
            <w:r w:rsidR="00934FB6">
              <w:rPr>
                <w:rFonts w:cs="Times New Roman"/>
                <w:szCs w:val="20"/>
              </w:rPr>
              <w:t>/</w:t>
            </w:r>
            <w:r w:rsidR="00E64BB5">
              <w:rPr>
                <w:rFonts w:cs="Times New Roman"/>
                <w:szCs w:val="20"/>
              </w:rPr>
              <w:t>16</w:t>
            </w:r>
          </w:p>
        </w:tc>
        <w:tc>
          <w:tcPr>
            <w:tcW w:w="6237" w:type="dxa"/>
            <w:gridSpan w:val="2"/>
            <w:tcBorders>
              <w:top w:val="nil"/>
              <w:bottom w:val="single" w:sz="4" w:space="0" w:color="auto"/>
            </w:tcBorders>
          </w:tcPr>
          <w:p w14:paraId="0A72B2A3" w14:textId="77777777" w:rsidR="004B0A17" w:rsidRPr="004B0A17" w:rsidRDefault="004B0A17" w:rsidP="004B0A17">
            <w:pPr>
              <w:jc w:val="both"/>
              <w:rPr>
                <w:rFonts w:cs="Times New Roman"/>
                <w:b/>
                <w:bCs/>
                <w:szCs w:val="20"/>
                <w:rtl/>
              </w:rPr>
            </w:pPr>
          </w:p>
        </w:tc>
      </w:tr>
      <w:tr w:rsidR="00DE796A" w14:paraId="0D8768E6" w14:textId="77777777" w:rsidTr="00CC7B2E">
        <w:trPr>
          <w:cantSplit/>
          <w:trHeight w:val="2317"/>
        </w:trPr>
        <w:tc>
          <w:tcPr>
            <w:tcW w:w="3403" w:type="dxa"/>
            <w:tcBorders>
              <w:top w:val="single" w:sz="4" w:space="0" w:color="auto"/>
              <w:bottom w:val="single" w:sz="24" w:space="0" w:color="auto"/>
            </w:tcBorders>
          </w:tcPr>
          <w:p w14:paraId="2B4BA96C" w14:textId="77777777"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14:paraId="10AF5101" w14:textId="4899BEE8" w:rsidR="00934FB6" w:rsidRPr="002772B3" w:rsidRDefault="00CF5F64" w:rsidP="00934FB6">
            <w:pPr>
              <w:jc w:val="both"/>
              <w:rPr>
                <w:rFonts w:cs="Times New Roman"/>
                <w:szCs w:val="20"/>
              </w:rPr>
            </w:pPr>
            <w:r>
              <w:rPr>
                <w:rFonts w:cs="Times New Roman"/>
                <w:szCs w:val="20"/>
              </w:rPr>
              <w:t>2</w:t>
            </w:r>
            <w:r w:rsidR="00196494">
              <w:rPr>
                <w:rFonts w:cs="Times New Roman"/>
                <w:szCs w:val="20"/>
              </w:rPr>
              <w:t>9</w:t>
            </w:r>
            <w:r>
              <w:rPr>
                <w:rFonts w:cs="Times New Roman"/>
                <w:szCs w:val="20"/>
              </w:rPr>
              <w:t xml:space="preserve"> August</w:t>
            </w:r>
            <w:r w:rsidR="00934FB6" w:rsidRPr="00A969A0">
              <w:rPr>
                <w:rFonts w:cs="Times New Roman"/>
                <w:szCs w:val="20"/>
              </w:rPr>
              <w:t xml:space="preserve"> 20</w:t>
            </w:r>
            <w:r w:rsidR="00934FB6">
              <w:rPr>
                <w:rFonts w:cs="Times New Roman"/>
                <w:szCs w:val="20"/>
              </w:rPr>
              <w:t>1</w:t>
            </w:r>
            <w:r w:rsidR="002772B3">
              <w:rPr>
                <w:rFonts w:cs="Times New Roman"/>
                <w:szCs w:val="20"/>
              </w:rPr>
              <w:t>8</w:t>
            </w:r>
          </w:p>
          <w:p w14:paraId="30C352C1" w14:textId="77777777" w:rsidR="00934FB6" w:rsidRPr="00DA3FB6" w:rsidRDefault="00934FB6" w:rsidP="00E720C8">
            <w:pPr>
              <w:pStyle w:val="Heading5"/>
              <w:spacing w:before="120"/>
              <w:ind w:left="34" w:right="34"/>
              <w:jc w:val="both"/>
              <w:rPr>
                <w:rFonts w:ascii="Times New Roman" w:hAnsi="Times New Roman" w:cs="Times New Roman"/>
                <w:b w:val="0"/>
                <w:bCs w:val="0"/>
                <w:noProof w:val="0"/>
                <w:szCs w:val="20"/>
                <w:lang w:val="en-GB"/>
              </w:rPr>
            </w:pPr>
            <w:r w:rsidRPr="00A969A0">
              <w:rPr>
                <w:rFonts w:ascii="Times New Roman" w:hAnsi="Times New Roman" w:cs="Times New Roman"/>
                <w:b w:val="0"/>
                <w:bCs w:val="0"/>
                <w:noProof w:val="0"/>
                <w:szCs w:val="20"/>
              </w:rPr>
              <w:t>Arabic</w:t>
            </w:r>
          </w:p>
          <w:p w14:paraId="504A8337" w14:textId="77777777" w:rsidR="00DE796A" w:rsidRDefault="00934FB6" w:rsidP="00934FB6">
            <w:pPr>
              <w:ind w:right="34"/>
              <w:jc w:val="both"/>
            </w:pPr>
            <w:r w:rsidRPr="00A969A0">
              <w:rPr>
                <w:rFonts w:cs="Times New Roman"/>
                <w:szCs w:val="20"/>
              </w:rPr>
              <w:t>Original: English</w:t>
            </w:r>
          </w:p>
        </w:tc>
        <w:tc>
          <w:tcPr>
            <w:tcW w:w="4536" w:type="dxa"/>
            <w:tcBorders>
              <w:top w:val="single" w:sz="4" w:space="0" w:color="auto"/>
              <w:bottom w:val="single" w:sz="24" w:space="0" w:color="auto"/>
            </w:tcBorders>
          </w:tcPr>
          <w:p w14:paraId="217CCEE4" w14:textId="77777777" w:rsidR="00317EFB" w:rsidRPr="00643398" w:rsidRDefault="00317EFB" w:rsidP="00E64BB5">
            <w:pPr>
              <w:bidi/>
              <w:spacing w:before="960" w:after="80" w:line="620" w:lineRule="exact"/>
              <w:rPr>
                <w:b/>
                <w:bCs/>
                <w:sz w:val="36"/>
                <w:szCs w:val="36"/>
                <w:rtl/>
              </w:rPr>
            </w:pPr>
            <w:r w:rsidRPr="00E760C7">
              <w:rPr>
                <w:rFonts w:hint="cs"/>
                <w:b/>
                <w:bCs/>
                <w:sz w:val="52"/>
                <w:szCs w:val="52"/>
                <w:rtl/>
              </w:rPr>
              <w:t>برنامج الأمم</w:t>
            </w:r>
          </w:p>
          <w:p w14:paraId="5598AB4C" w14:textId="4C19C1F1" w:rsidR="00DE796A" w:rsidRDefault="00317EFB" w:rsidP="00E64BB5">
            <w:pPr>
              <w:bidi/>
              <w:spacing w:after="120" w:line="620" w:lineRule="exact"/>
              <w:ind w:left="34" w:hanging="17"/>
              <w:rPr>
                <w:rtl/>
              </w:rPr>
            </w:pPr>
            <w:r w:rsidRPr="00E760C7">
              <w:rPr>
                <w:rFonts w:hint="cs"/>
                <w:b/>
                <w:bCs/>
                <w:sz w:val="52"/>
                <w:szCs w:val="52"/>
                <w:rtl/>
              </w:rPr>
              <w:t>المتحدة للبيئة</w:t>
            </w:r>
          </w:p>
        </w:tc>
        <w:tc>
          <w:tcPr>
            <w:tcW w:w="1701" w:type="dxa"/>
            <w:tcBorders>
              <w:top w:val="single" w:sz="4" w:space="0" w:color="auto"/>
              <w:bottom w:val="single" w:sz="24" w:space="0" w:color="auto"/>
            </w:tcBorders>
          </w:tcPr>
          <w:p w14:paraId="5CF0660A" w14:textId="77777777" w:rsidR="00DE796A" w:rsidRDefault="00933976" w:rsidP="007D019B">
            <w:pPr>
              <w:spacing w:line="20" w:lineRule="exact"/>
            </w:pPr>
            <w:r>
              <w:rPr>
                <w:noProof/>
                <w:lang w:val="en-GB" w:eastAsia="zh-CN"/>
              </w:rPr>
              <w:drawing>
                <wp:anchor distT="0" distB="0" distL="114300" distR="114300" simplePos="0" relativeHeight="251657216" behindDoc="1" locked="0" layoutInCell="1" allowOverlap="1" wp14:anchorId="0B48B7CA" wp14:editId="4B675135">
                  <wp:simplePos x="0" y="0"/>
                  <wp:positionH relativeFrom="column">
                    <wp:posOffset>151765</wp:posOffset>
                  </wp:positionH>
                  <wp:positionV relativeFrom="paragraph">
                    <wp:posOffset>20955</wp:posOffset>
                  </wp:positionV>
                  <wp:extent cx="793750" cy="718820"/>
                  <wp:effectExtent l="0" t="0" r="6350" b="5080"/>
                  <wp:wrapTight wrapText="bothSides">
                    <wp:wrapPolygon edited="0">
                      <wp:start x="0" y="0"/>
                      <wp:lineTo x="0" y="21180"/>
                      <wp:lineTo x="21254" y="21180"/>
                      <wp:lineTo x="21254"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zh-CN"/>
              </w:rPr>
              <w:drawing>
                <wp:anchor distT="0" distB="0" distL="114300" distR="114300" simplePos="0" relativeHeight="251658240" behindDoc="0" locked="0" layoutInCell="1" allowOverlap="1" wp14:anchorId="6D45A22E" wp14:editId="236BAFA1">
                  <wp:simplePos x="0" y="0"/>
                  <wp:positionH relativeFrom="column">
                    <wp:posOffset>127635</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E3C21" w14:paraId="6C2C128B" w14:textId="77777777" w:rsidTr="00CC7B2E">
        <w:trPr>
          <w:cantSplit/>
          <w:trHeight w:val="2317"/>
        </w:trPr>
        <w:tc>
          <w:tcPr>
            <w:tcW w:w="3403" w:type="dxa"/>
            <w:tcBorders>
              <w:top w:val="single" w:sz="24" w:space="0" w:color="auto"/>
              <w:bottom w:val="nil"/>
            </w:tcBorders>
          </w:tcPr>
          <w:p w14:paraId="34567B1B" w14:textId="77777777" w:rsidR="00BE3C21" w:rsidRPr="006E5F45" w:rsidRDefault="00BE3C21" w:rsidP="00B42C89">
            <w:pPr>
              <w:spacing w:before="120"/>
              <w:jc w:val="both"/>
              <w:rPr>
                <w:rFonts w:cs="Times New Roman"/>
                <w:szCs w:val="20"/>
                <w:lang w:val="en-GB"/>
              </w:rPr>
            </w:pPr>
          </w:p>
        </w:tc>
        <w:tc>
          <w:tcPr>
            <w:tcW w:w="6237" w:type="dxa"/>
            <w:gridSpan w:val="2"/>
            <w:tcBorders>
              <w:top w:val="single" w:sz="24" w:space="0" w:color="auto"/>
              <w:bottom w:val="nil"/>
            </w:tcBorders>
          </w:tcPr>
          <w:p w14:paraId="42CD49F4" w14:textId="77777777" w:rsidR="00BE3C21" w:rsidRDefault="00BE3C21" w:rsidP="00BE3C21">
            <w:pPr>
              <w:bidi/>
              <w:spacing w:before="60" w:line="360" w:lineRule="exact"/>
              <w:ind w:left="34" w:right="2019"/>
              <w:jc w:val="both"/>
              <w:rPr>
                <w:b/>
                <w:bCs/>
                <w:sz w:val="30"/>
                <w:rtl/>
              </w:rPr>
            </w:pPr>
            <w:r>
              <w:rPr>
                <w:rFonts w:hint="cs"/>
                <w:b/>
                <w:bCs/>
                <w:sz w:val="30"/>
                <w:rtl/>
              </w:rPr>
              <w:t xml:space="preserve">مؤتمر الأطراف في اتفاقية </w:t>
            </w:r>
            <w:proofErr w:type="spellStart"/>
            <w:r>
              <w:rPr>
                <w:rFonts w:hint="cs"/>
                <w:b/>
                <w:bCs/>
                <w:sz w:val="30"/>
                <w:rtl/>
              </w:rPr>
              <w:t>ميناماتا</w:t>
            </w:r>
            <w:proofErr w:type="spellEnd"/>
          </w:p>
          <w:p w14:paraId="589B007D" w14:textId="77777777" w:rsidR="00BE3C21" w:rsidRDefault="00BE3C21" w:rsidP="00BE3C21">
            <w:pPr>
              <w:bidi/>
              <w:spacing w:line="360" w:lineRule="exact"/>
              <w:ind w:left="34" w:right="2019"/>
              <w:jc w:val="both"/>
              <w:rPr>
                <w:b/>
                <w:bCs/>
                <w:sz w:val="30"/>
                <w:rtl/>
              </w:rPr>
            </w:pPr>
            <w:r>
              <w:rPr>
                <w:rFonts w:hint="cs"/>
                <w:b/>
                <w:bCs/>
                <w:sz w:val="30"/>
                <w:rtl/>
              </w:rPr>
              <w:t>بشأن الزئبق</w:t>
            </w:r>
          </w:p>
          <w:p w14:paraId="4D6E95FF" w14:textId="77777777" w:rsidR="00BE3C21" w:rsidRPr="00A579D1" w:rsidRDefault="00BE3C21" w:rsidP="00BE3C21">
            <w:pPr>
              <w:bidi/>
              <w:spacing w:line="360" w:lineRule="exact"/>
              <w:ind w:left="34" w:right="748"/>
              <w:jc w:val="both"/>
              <w:rPr>
                <w:b/>
                <w:bCs/>
                <w:sz w:val="30"/>
                <w:rtl/>
              </w:rPr>
            </w:pPr>
            <w:r>
              <w:rPr>
                <w:rFonts w:hint="cs"/>
                <w:b/>
                <w:bCs/>
                <w:sz w:val="30"/>
                <w:rtl/>
              </w:rPr>
              <w:t>الاجتماع الثاني</w:t>
            </w:r>
          </w:p>
          <w:p w14:paraId="267D48A1" w14:textId="77777777" w:rsidR="00BE3C21" w:rsidRDefault="00BE3C21" w:rsidP="00E64BB5">
            <w:pPr>
              <w:bidi/>
              <w:spacing w:before="40" w:line="340" w:lineRule="exact"/>
              <w:ind w:left="34"/>
              <w:rPr>
                <w:rFonts w:ascii="Traditional Arabic" w:hAnsi="Traditional Arabic"/>
                <w:sz w:val="30"/>
                <w:rtl/>
              </w:rPr>
            </w:pPr>
            <w:r w:rsidRPr="00980B8A">
              <w:rPr>
                <w:rFonts w:ascii="Traditional Arabic" w:hAnsi="Traditional Arabic" w:hint="cs"/>
                <w:sz w:val="30"/>
                <w:rtl/>
              </w:rPr>
              <w:t>جنيف،</w:t>
            </w:r>
            <w:r w:rsidRPr="00980B8A">
              <w:rPr>
                <w:rFonts w:ascii="Traditional Arabic" w:hAnsi="Traditional Arabic"/>
                <w:sz w:val="30"/>
                <w:rtl/>
              </w:rPr>
              <w:t xml:space="preserve"> </w:t>
            </w:r>
            <w:r>
              <w:rPr>
                <w:rFonts w:ascii="Traditional Arabic" w:hAnsi="Traditional Arabic" w:hint="cs"/>
                <w:sz w:val="30"/>
                <w:rtl/>
              </w:rPr>
              <w:t>19</w:t>
            </w:r>
            <w:r w:rsidRPr="00980B8A">
              <w:rPr>
                <w:rFonts w:ascii="Traditional Arabic" w:hAnsi="Traditional Arabic"/>
                <w:sz w:val="30"/>
                <w:rtl/>
              </w:rPr>
              <w:t>-</w:t>
            </w:r>
            <w:r>
              <w:rPr>
                <w:rFonts w:ascii="Traditional Arabic" w:hAnsi="Traditional Arabic" w:hint="cs"/>
                <w:sz w:val="30"/>
                <w:rtl/>
              </w:rPr>
              <w:t>23</w:t>
            </w:r>
            <w:r w:rsidRPr="00980B8A">
              <w:rPr>
                <w:rFonts w:ascii="Traditional Arabic" w:hAnsi="Traditional Arabic"/>
                <w:sz w:val="30"/>
                <w:rtl/>
              </w:rPr>
              <w:t xml:space="preserve"> </w:t>
            </w:r>
            <w:r>
              <w:rPr>
                <w:rFonts w:ascii="Traditional Arabic" w:hAnsi="Traditional Arabic" w:hint="cs"/>
                <w:sz w:val="30"/>
                <w:rtl/>
              </w:rPr>
              <w:t>تشرين الثاني</w:t>
            </w:r>
            <w:r w:rsidRPr="00980B8A">
              <w:rPr>
                <w:rFonts w:ascii="Traditional Arabic" w:hAnsi="Traditional Arabic"/>
                <w:sz w:val="30"/>
                <w:rtl/>
              </w:rPr>
              <w:t>/</w:t>
            </w:r>
            <w:r>
              <w:rPr>
                <w:rFonts w:ascii="Traditional Arabic" w:hAnsi="Traditional Arabic" w:hint="cs"/>
                <w:sz w:val="30"/>
                <w:rtl/>
              </w:rPr>
              <w:t>نوفمب</w:t>
            </w:r>
            <w:r w:rsidRPr="00980B8A">
              <w:rPr>
                <w:rFonts w:ascii="Traditional Arabic" w:hAnsi="Traditional Arabic" w:hint="cs"/>
                <w:sz w:val="30"/>
                <w:rtl/>
              </w:rPr>
              <w:t>ر</w:t>
            </w:r>
            <w:r w:rsidRPr="00980B8A">
              <w:rPr>
                <w:rFonts w:ascii="Traditional Arabic" w:hAnsi="Traditional Arabic"/>
                <w:sz w:val="30"/>
                <w:rtl/>
              </w:rPr>
              <w:t xml:space="preserve"> 201</w:t>
            </w:r>
            <w:r>
              <w:rPr>
                <w:rFonts w:ascii="Traditional Arabic" w:hAnsi="Traditional Arabic" w:hint="cs"/>
                <w:sz w:val="30"/>
                <w:rtl/>
              </w:rPr>
              <w:t>8</w:t>
            </w:r>
          </w:p>
          <w:p w14:paraId="5D3BE128" w14:textId="7AD4729D" w:rsidR="00BE3C21" w:rsidRDefault="00BE3C21" w:rsidP="00E64BB5">
            <w:pPr>
              <w:bidi/>
              <w:spacing w:line="340" w:lineRule="exact"/>
              <w:ind w:left="34"/>
              <w:rPr>
                <w:rFonts w:cs="Times New Roman"/>
                <w:szCs w:val="20"/>
                <w:rtl/>
              </w:rPr>
            </w:pPr>
            <w:r w:rsidRPr="00FF3359">
              <w:rPr>
                <w:rFonts w:ascii="Traditional Arabic" w:hAnsi="Traditional Arabic" w:hint="cs"/>
                <w:sz w:val="28"/>
                <w:rtl/>
              </w:rPr>
              <w:t xml:space="preserve">البند </w:t>
            </w:r>
            <w:r w:rsidR="00E64BB5">
              <w:rPr>
                <w:rFonts w:asciiTheme="minorHAnsi" w:hAnsiTheme="minorHAnsi" w:hint="cs"/>
                <w:sz w:val="28"/>
                <w:rtl/>
              </w:rPr>
              <w:t>5 (ل)</w:t>
            </w:r>
            <w:r w:rsidRPr="00FF3359">
              <w:rPr>
                <w:rFonts w:ascii="Traditional Arabic" w:hAnsi="Traditional Arabic" w:hint="cs"/>
                <w:sz w:val="28"/>
                <w:rtl/>
              </w:rPr>
              <w:t xml:space="preserve"> من جدول الأعمال المؤقت</w:t>
            </w:r>
            <w:r>
              <w:rPr>
                <w:szCs w:val="24"/>
              </w:rPr>
              <w:footnoteReference w:customMarkFollows="1" w:id="1"/>
              <w:t>*</w:t>
            </w:r>
          </w:p>
          <w:p w14:paraId="270B00D7" w14:textId="4AEB5CF6" w:rsidR="00452B9C" w:rsidRPr="00E64BB5" w:rsidRDefault="00E64BB5" w:rsidP="00E64BB5">
            <w:pPr>
              <w:bidi/>
              <w:spacing w:line="340" w:lineRule="exact"/>
              <w:ind w:left="34" w:right="2332"/>
              <w:rPr>
                <w:rFonts w:cs="Times New Roman"/>
                <w:b/>
                <w:bCs/>
                <w:sz w:val="28"/>
                <w:szCs w:val="28"/>
                <w:rtl/>
              </w:rPr>
            </w:pPr>
            <w:r w:rsidRPr="00E64BB5">
              <w:rPr>
                <w:rFonts w:ascii="Traditional Arabic" w:hAnsi="Traditional Arabic" w:hint="cs"/>
                <w:b/>
                <w:bCs/>
                <w:sz w:val="28"/>
                <w:szCs w:val="28"/>
                <w:rtl/>
                <w:lang w:eastAsia="zh-TW"/>
              </w:rPr>
              <w:t xml:space="preserve">مسائل تُعرض على مؤتمر الأطراف لكي ينظر فيها أو يتخذ إجراءً بشأنها: انبعاثات الزئبق الناجمة عن </w:t>
            </w:r>
            <w:r w:rsidR="00994B2F">
              <w:rPr>
                <w:rFonts w:ascii="Traditional Arabic" w:hAnsi="Traditional Arabic" w:hint="cs"/>
                <w:b/>
                <w:bCs/>
                <w:sz w:val="28"/>
                <w:szCs w:val="28"/>
                <w:rtl/>
                <w:lang w:eastAsia="zh-TW"/>
              </w:rPr>
              <w:t>ال</w:t>
            </w:r>
            <w:r w:rsidRPr="00E64BB5">
              <w:rPr>
                <w:rFonts w:ascii="Traditional Arabic" w:hAnsi="Traditional Arabic" w:hint="cs"/>
                <w:b/>
                <w:bCs/>
                <w:sz w:val="28"/>
                <w:szCs w:val="28"/>
                <w:rtl/>
                <w:lang w:eastAsia="zh-TW"/>
              </w:rPr>
              <w:t xml:space="preserve">حرق </w:t>
            </w:r>
            <w:r w:rsidR="00994B2F">
              <w:rPr>
                <w:rFonts w:ascii="Traditional Arabic" w:hAnsi="Traditional Arabic" w:hint="cs"/>
                <w:b/>
                <w:bCs/>
                <w:sz w:val="28"/>
                <w:szCs w:val="28"/>
                <w:rtl/>
                <w:lang w:eastAsia="zh-TW"/>
              </w:rPr>
              <w:t>المكشوف لل</w:t>
            </w:r>
            <w:r w:rsidRPr="00E64BB5">
              <w:rPr>
                <w:rFonts w:ascii="Traditional Arabic" w:hAnsi="Traditional Arabic" w:hint="cs"/>
                <w:b/>
                <w:bCs/>
                <w:sz w:val="28"/>
                <w:szCs w:val="28"/>
                <w:rtl/>
                <w:lang w:eastAsia="zh-TW"/>
              </w:rPr>
              <w:t>نفايات</w:t>
            </w:r>
          </w:p>
        </w:tc>
      </w:tr>
    </w:tbl>
    <w:p w14:paraId="7A16EADF" w14:textId="3BA489F5" w:rsidR="00E64BB5" w:rsidRPr="00CF5F64" w:rsidRDefault="00CC7B2E" w:rsidP="00CF5F64">
      <w:pPr>
        <w:pStyle w:val="BBTitle"/>
        <w:bidi/>
        <w:ind w:right="0"/>
        <w:textDirection w:val="tbRlV"/>
        <w:rPr>
          <w:rFonts w:ascii="Traditional Arabic" w:hAnsi="Traditional Arabic" w:cs="Traditional Arabic"/>
          <w:b w:val="0"/>
          <w:bCs/>
          <w:sz w:val="34"/>
          <w:szCs w:val="34"/>
          <w:rtl/>
          <w:lang w:eastAsia="zh-TW"/>
        </w:rPr>
      </w:pPr>
      <w:r>
        <w:rPr>
          <w:rFonts w:ascii="Traditional Arabic" w:hAnsi="Traditional Arabic" w:cs="Traditional Arabic" w:hint="cs"/>
          <w:b w:val="0"/>
          <w:bCs/>
          <w:sz w:val="34"/>
          <w:szCs w:val="34"/>
          <w:rtl/>
          <w:lang w:eastAsia="zh-TW"/>
        </w:rPr>
        <w:t>ا</w:t>
      </w:r>
      <w:r w:rsidR="00E64BB5" w:rsidRPr="00CF5F64">
        <w:rPr>
          <w:rFonts w:ascii="Traditional Arabic" w:hAnsi="Traditional Arabic" w:cs="Traditional Arabic" w:hint="cs"/>
          <w:b w:val="0"/>
          <w:bCs/>
          <w:sz w:val="34"/>
          <w:szCs w:val="34"/>
          <w:rtl/>
          <w:lang w:eastAsia="zh-TW"/>
        </w:rPr>
        <w:t xml:space="preserve">لمعلومات المتعلقة بانبعاثات الزئبق الناجمة عن </w:t>
      </w:r>
      <w:r w:rsidR="00F670D4" w:rsidRPr="00151227">
        <w:rPr>
          <w:rFonts w:ascii="Traditional Arabic" w:hAnsi="Traditional Arabic" w:cs="Traditional Arabic" w:hint="cs"/>
          <w:b w:val="0"/>
          <w:bCs/>
          <w:sz w:val="34"/>
          <w:szCs w:val="34"/>
          <w:rtl/>
          <w:lang w:eastAsia="zh-TW"/>
        </w:rPr>
        <w:t>ال</w:t>
      </w:r>
      <w:r w:rsidR="00F670D4" w:rsidRPr="00151227">
        <w:rPr>
          <w:rFonts w:ascii="Traditional Arabic" w:hAnsi="Traditional Arabic" w:cs="Traditional Arabic" w:hint="eastAsia"/>
          <w:b w:val="0"/>
          <w:bCs/>
          <w:sz w:val="34"/>
          <w:szCs w:val="34"/>
          <w:rtl/>
          <w:lang w:eastAsia="zh-TW"/>
        </w:rPr>
        <w:t>حرق</w:t>
      </w:r>
      <w:r w:rsidR="00F670D4" w:rsidRPr="00151227">
        <w:rPr>
          <w:rFonts w:ascii="Traditional Arabic" w:hAnsi="Traditional Arabic" w:cs="Traditional Arabic"/>
          <w:b w:val="0"/>
          <w:bCs/>
          <w:sz w:val="34"/>
          <w:szCs w:val="34"/>
          <w:rtl/>
          <w:lang w:eastAsia="zh-TW"/>
        </w:rPr>
        <w:t xml:space="preserve"> </w:t>
      </w:r>
      <w:r w:rsidR="00F670D4" w:rsidRPr="00151227">
        <w:rPr>
          <w:rFonts w:ascii="Traditional Arabic" w:hAnsi="Traditional Arabic" w:cs="Traditional Arabic" w:hint="cs"/>
          <w:b w:val="0"/>
          <w:bCs/>
          <w:sz w:val="34"/>
          <w:szCs w:val="34"/>
          <w:rtl/>
          <w:lang w:eastAsia="zh-TW"/>
        </w:rPr>
        <w:t>المكشوف ل</w:t>
      </w:r>
      <w:r w:rsidR="00F670D4" w:rsidRPr="00151227">
        <w:rPr>
          <w:rFonts w:ascii="Traditional Arabic" w:hAnsi="Traditional Arabic" w:cs="Traditional Arabic" w:hint="eastAsia"/>
          <w:b w:val="0"/>
          <w:bCs/>
          <w:sz w:val="34"/>
          <w:szCs w:val="34"/>
          <w:rtl/>
          <w:lang w:eastAsia="zh-TW"/>
        </w:rPr>
        <w:t>لنفايات</w:t>
      </w:r>
    </w:p>
    <w:p w14:paraId="5C3D723C" w14:textId="31992B4E" w:rsidR="00E64BB5" w:rsidRPr="00CF5F64" w:rsidRDefault="00E64BB5" w:rsidP="00E64BB5">
      <w:pPr>
        <w:pStyle w:val="CH2"/>
        <w:tabs>
          <w:tab w:val="clear" w:pos="851"/>
          <w:tab w:val="clear" w:pos="1247"/>
          <w:tab w:val="clear" w:pos="1814"/>
          <w:tab w:val="clear" w:pos="2381"/>
          <w:tab w:val="clear" w:pos="2948"/>
          <w:tab w:val="clear" w:pos="3515"/>
          <w:tab w:val="clear" w:pos="4082"/>
          <w:tab w:val="left" w:pos="1841"/>
        </w:tabs>
        <w:bidi/>
        <w:spacing w:before="0" w:line="400" w:lineRule="exact"/>
        <w:ind w:left="1134" w:right="0" w:firstLine="0"/>
        <w:jc w:val="both"/>
        <w:textDirection w:val="tbRlV"/>
        <w:rPr>
          <w:rFonts w:cs="Traditional Arabic"/>
          <w:bCs/>
          <w:sz w:val="32"/>
          <w:szCs w:val="32"/>
          <w:rtl/>
          <w:lang w:eastAsia="zh-TW"/>
        </w:rPr>
      </w:pPr>
      <w:r w:rsidRPr="00CF5F64">
        <w:rPr>
          <w:rFonts w:cs="Traditional Arabic" w:hint="cs"/>
          <w:bCs/>
          <w:sz w:val="32"/>
          <w:szCs w:val="32"/>
          <w:rtl/>
          <w:lang w:eastAsia="zh-TW"/>
        </w:rPr>
        <w:t>مذكرة من الأمانة</w:t>
      </w:r>
    </w:p>
    <w:p w14:paraId="3C544023" w14:textId="324D3F84" w:rsidR="00E64BB5" w:rsidRPr="00E64BB5" w:rsidRDefault="00E64BB5" w:rsidP="00E64BB5">
      <w:pPr>
        <w:pStyle w:val="Normalnumber"/>
        <w:numPr>
          <w:ilvl w:val="0"/>
          <w:numId w:val="20"/>
        </w:numPr>
        <w:tabs>
          <w:tab w:val="left" w:pos="1841"/>
        </w:tabs>
        <w:autoSpaceDE/>
        <w:autoSpaceDN/>
        <w:bidi/>
        <w:adjustRightInd/>
        <w:spacing w:line="400" w:lineRule="exact"/>
        <w:ind w:left="1134"/>
        <w:jc w:val="both"/>
        <w:textDirection w:val="tbRlV"/>
        <w:rPr>
          <w:rFonts w:cs="Traditional Arabic"/>
          <w:szCs w:val="30"/>
          <w:rtl/>
          <w:lang w:eastAsia="zh-TW"/>
        </w:rPr>
      </w:pPr>
      <w:r w:rsidRPr="00E64BB5">
        <w:rPr>
          <w:rFonts w:cs="Traditional Arabic" w:hint="cs"/>
          <w:szCs w:val="30"/>
          <w:rtl/>
          <w:lang w:eastAsia="zh-TW"/>
        </w:rPr>
        <w:t xml:space="preserve">نظر مؤتمر الأطراف في اتفاقية </w:t>
      </w:r>
      <w:proofErr w:type="spellStart"/>
      <w:r w:rsidRPr="00E64BB5">
        <w:rPr>
          <w:rFonts w:cs="Traditional Arabic" w:hint="cs"/>
          <w:szCs w:val="30"/>
          <w:rtl/>
          <w:lang w:eastAsia="zh-TW"/>
        </w:rPr>
        <w:t>ميناماتا</w:t>
      </w:r>
      <w:proofErr w:type="spellEnd"/>
      <w:r w:rsidRPr="00E64BB5">
        <w:rPr>
          <w:rFonts w:cs="Traditional Arabic" w:hint="cs"/>
          <w:szCs w:val="30"/>
          <w:rtl/>
          <w:lang w:eastAsia="zh-TW"/>
        </w:rPr>
        <w:t xml:space="preserve"> بشأن الزئبق، خلال اجتماعه الأول المعقود في جنيف في الفترة من ٢٤ إلى ٢٩ أيلول/سبتمبر ٢٠١٧، في مسألة انبعاثات الزئبق الناجمة عن </w:t>
      </w:r>
      <w:r w:rsidR="00F670D4">
        <w:rPr>
          <w:rFonts w:ascii="Traditional Arabic" w:hAnsi="Traditional Arabic" w:cs="Traditional Arabic" w:hint="cs"/>
          <w:sz w:val="30"/>
          <w:szCs w:val="30"/>
          <w:rtl/>
          <w:lang w:eastAsia="zh-TW"/>
        </w:rPr>
        <w:t>ال</w:t>
      </w:r>
      <w:r w:rsidR="00F670D4" w:rsidRPr="00887C28">
        <w:rPr>
          <w:rFonts w:ascii="Traditional Arabic" w:hAnsi="Traditional Arabic" w:cs="Traditional Arabic" w:hint="eastAsia"/>
          <w:sz w:val="30"/>
          <w:szCs w:val="30"/>
          <w:rtl/>
          <w:lang w:eastAsia="zh-TW"/>
        </w:rPr>
        <w:t>حرق</w:t>
      </w:r>
      <w:r w:rsidR="00F670D4" w:rsidRPr="00887C28">
        <w:rPr>
          <w:rFonts w:ascii="Traditional Arabic" w:hAnsi="Traditional Arabic" w:cs="Traditional Arabic"/>
          <w:sz w:val="30"/>
          <w:szCs w:val="30"/>
          <w:rtl/>
          <w:lang w:eastAsia="zh-TW"/>
        </w:rPr>
        <w:t xml:space="preserve"> </w:t>
      </w:r>
      <w:r w:rsidR="00F670D4">
        <w:rPr>
          <w:rFonts w:ascii="Traditional Arabic" w:hAnsi="Traditional Arabic" w:cs="Traditional Arabic" w:hint="cs"/>
          <w:sz w:val="30"/>
          <w:szCs w:val="30"/>
          <w:rtl/>
          <w:lang w:eastAsia="zh-TW"/>
        </w:rPr>
        <w:t>المكشوف ل</w:t>
      </w:r>
      <w:r w:rsidR="00F670D4" w:rsidRPr="00887C28">
        <w:rPr>
          <w:rFonts w:ascii="Traditional Arabic" w:hAnsi="Traditional Arabic" w:cs="Traditional Arabic" w:hint="eastAsia"/>
          <w:sz w:val="30"/>
          <w:szCs w:val="30"/>
          <w:rtl/>
          <w:lang w:eastAsia="zh-TW"/>
        </w:rPr>
        <w:t>لنفايات</w:t>
      </w:r>
      <w:r w:rsidRPr="00E64BB5">
        <w:rPr>
          <w:rFonts w:cs="Traditional Arabic" w:hint="cs"/>
          <w:szCs w:val="30"/>
          <w:rtl/>
          <w:lang w:eastAsia="zh-TW"/>
        </w:rPr>
        <w:t>، واعتمد بهذا الخصوص المقرر ا</w:t>
      </w:r>
      <w:r w:rsidR="00F97D0D">
        <w:rPr>
          <w:rFonts w:cs="Traditional Arabic" w:hint="cs"/>
          <w:szCs w:val="30"/>
          <w:rtl/>
          <w:lang w:eastAsia="zh-TW"/>
        </w:rPr>
        <w:t xml:space="preserve"> </w:t>
      </w:r>
      <w:r w:rsidRPr="00E64BB5">
        <w:rPr>
          <w:rFonts w:cs="Traditional Arabic" w:hint="cs"/>
          <w:szCs w:val="30"/>
          <w:rtl/>
          <w:lang w:eastAsia="zh-TW"/>
        </w:rPr>
        <w:t>م-١/١٤. وأشار مؤتمر الأطراف في ذلك المقرر إلى التقرير الذي أعدته الأمانة استنادا</w:t>
      </w:r>
      <w:r w:rsidR="00196A15">
        <w:rPr>
          <w:rFonts w:cs="Traditional Arabic" w:hint="cs"/>
          <w:szCs w:val="30"/>
          <w:rtl/>
          <w:lang w:eastAsia="zh-TW"/>
        </w:rPr>
        <w:t>ً</w:t>
      </w:r>
      <w:r w:rsidRPr="00E64BB5">
        <w:rPr>
          <w:rFonts w:cs="Traditional Arabic" w:hint="cs"/>
          <w:szCs w:val="30"/>
          <w:rtl/>
          <w:lang w:eastAsia="zh-TW"/>
        </w:rPr>
        <w:t xml:space="preserve"> إلى المعلومات الواردة من الحكومات ومن عدد من الجهات غير الحكومية المعنية، بالإضافة إلى المعلومات المستقاة من مجموعة من المصادر الأخرى، بما في ذلك المنشورات الصادرة عن برنامج الأمم المتحدة للبيئة والبنك الدولي، وعن عدد من منظمات المجتمع المدني (الوثيقة </w:t>
      </w:r>
      <w:r w:rsidRPr="00E64BB5">
        <w:rPr>
          <w:rFonts w:cs="Traditional Arabic" w:hint="cs"/>
          <w:szCs w:val="30"/>
          <w:lang w:eastAsia="zh-TW"/>
        </w:rPr>
        <w:t>UNEP/MC/COP.1/19</w:t>
      </w:r>
      <w:r w:rsidRPr="00E64BB5">
        <w:rPr>
          <w:rFonts w:cs="Traditional Arabic" w:hint="cs"/>
          <w:szCs w:val="30"/>
          <w:rtl/>
          <w:lang w:eastAsia="zh-TW"/>
        </w:rPr>
        <w:t xml:space="preserve">). وقد خلص التقرير إلى أن تحديات </w:t>
      </w:r>
      <w:r w:rsidR="00F670D4">
        <w:rPr>
          <w:rFonts w:ascii="Traditional Arabic" w:hAnsi="Traditional Arabic" w:cs="Traditional Arabic" w:hint="cs"/>
          <w:sz w:val="30"/>
          <w:szCs w:val="30"/>
          <w:rtl/>
          <w:lang w:eastAsia="zh-TW"/>
        </w:rPr>
        <w:t>ال</w:t>
      </w:r>
      <w:r w:rsidR="00F670D4" w:rsidRPr="00887C28">
        <w:rPr>
          <w:rFonts w:ascii="Traditional Arabic" w:hAnsi="Traditional Arabic" w:cs="Traditional Arabic" w:hint="eastAsia"/>
          <w:sz w:val="30"/>
          <w:szCs w:val="30"/>
          <w:rtl/>
          <w:lang w:eastAsia="zh-TW"/>
        </w:rPr>
        <w:t>حرق</w:t>
      </w:r>
      <w:r w:rsidR="00F670D4" w:rsidRPr="00887C28">
        <w:rPr>
          <w:rFonts w:ascii="Traditional Arabic" w:hAnsi="Traditional Arabic" w:cs="Traditional Arabic"/>
          <w:sz w:val="30"/>
          <w:szCs w:val="30"/>
          <w:rtl/>
          <w:lang w:eastAsia="zh-TW"/>
        </w:rPr>
        <w:t xml:space="preserve"> </w:t>
      </w:r>
      <w:r w:rsidR="00F670D4">
        <w:rPr>
          <w:rFonts w:ascii="Traditional Arabic" w:hAnsi="Traditional Arabic" w:cs="Traditional Arabic" w:hint="cs"/>
          <w:sz w:val="30"/>
          <w:szCs w:val="30"/>
          <w:rtl/>
          <w:lang w:eastAsia="zh-TW"/>
        </w:rPr>
        <w:t>المكشوف ل</w:t>
      </w:r>
      <w:r w:rsidR="00F670D4" w:rsidRPr="00887C28">
        <w:rPr>
          <w:rFonts w:ascii="Traditional Arabic" w:hAnsi="Traditional Arabic" w:cs="Traditional Arabic" w:hint="eastAsia"/>
          <w:sz w:val="30"/>
          <w:szCs w:val="30"/>
          <w:rtl/>
          <w:lang w:eastAsia="zh-TW"/>
        </w:rPr>
        <w:t>لنفايات</w:t>
      </w:r>
      <w:r w:rsidRPr="00E64BB5">
        <w:rPr>
          <w:rFonts w:cs="Traditional Arabic" w:hint="cs"/>
          <w:szCs w:val="30"/>
          <w:rtl/>
          <w:lang w:eastAsia="zh-TW"/>
        </w:rPr>
        <w:t xml:space="preserve"> تتجاوز إلى حد بعيد مشكلة انبعاثات الزئبق، وأن هدف القضاء على </w:t>
      </w:r>
      <w:r w:rsidR="00F670D4">
        <w:rPr>
          <w:rFonts w:ascii="Traditional Arabic" w:hAnsi="Traditional Arabic" w:cs="Traditional Arabic" w:hint="cs"/>
          <w:sz w:val="30"/>
          <w:szCs w:val="30"/>
          <w:rtl/>
          <w:lang w:eastAsia="zh-TW"/>
        </w:rPr>
        <w:t>ال</w:t>
      </w:r>
      <w:r w:rsidR="00F670D4" w:rsidRPr="00887C28">
        <w:rPr>
          <w:rFonts w:ascii="Traditional Arabic" w:hAnsi="Traditional Arabic" w:cs="Traditional Arabic" w:hint="eastAsia"/>
          <w:sz w:val="30"/>
          <w:szCs w:val="30"/>
          <w:rtl/>
          <w:lang w:eastAsia="zh-TW"/>
        </w:rPr>
        <w:t>حرق</w:t>
      </w:r>
      <w:r w:rsidR="00F670D4" w:rsidRPr="00887C28">
        <w:rPr>
          <w:rFonts w:ascii="Traditional Arabic" w:hAnsi="Traditional Arabic" w:cs="Traditional Arabic"/>
          <w:sz w:val="30"/>
          <w:szCs w:val="30"/>
          <w:rtl/>
          <w:lang w:eastAsia="zh-TW"/>
        </w:rPr>
        <w:t xml:space="preserve"> </w:t>
      </w:r>
      <w:r w:rsidR="00F670D4">
        <w:rPr>
          <w:rFonts w:ascii="Traditional Arabic" w:hAnsi="Traditional Arabic" w:cs="Traditional Arabic" w:hint="cs"/>
          <w:sz w:val="30"/>
          <w:szCs w:val="30"/>
          <w:rtl/>
          <w:lang w:eastAsia="zh-TW"/>
        </w:rPr>
        <w:t>المكشوف</w:t>
      </w:r>
      <w:r w:rsidRPr="00E64BB5">
        <w:rPr>
          <w:rFonts w:cs="Traditional Arabic" w:hint="cs"/>
          <w:szCs w:val="30"/>
          <w:rtl/>
          <w:lang w:eastAsia="zh-TW"/>
        </w:rPr>
        <w:t>، كجزء من خطة التنمية الشاملة، اعتُبر أولوية من أولويات تحقيق التنمية المستدامة، إذ يساعد على التقليل من طائفة من ملوثات الهواء، ويوفر فوائد اجتماعية واقتصادية.</w:t>
      </w:r>
    </w:p>
    <w:p w14:paraId="072D5E7A" w14:textId="1A6BEC23" w:rsidR="00E64BB5" w:rsidRPr="00E64BB5" w:rsidRDefault="00E64BB5" w:rsidP="00CF5F64">
      <w:pPr>
        <w:pStyle w:val="Normalnumber"/>
        <w:numPr>
          <w:ilvl w:val="0"/>
          <w:numId w:val="20"/>
        </w:numPr>
        <w:tabs>
          <w:tab w:val="left" w:pos="1841"/>
        </w:tabs>
        <w:autoSpaceDE/>
        <w:autoSpaceDN/>
        <w:bidi/>
        <w:adjustRightInd/>
        <w:spacing w:line="400" w:lineRule="exact"/>
        <w:ind w:left="1134"/>
        <w:jc w:val="both"/>
        <w:textDirection w:val="tbRlV"/>
        <w:rPr>
          <w:rFonts w:cs="Traditional Arabic"/>
          <w:szCs w:val="30"/>
          <w:rtl/>
          <w:lang w:eastAsia="zh-TW"/>
        </w:rPr>
      </w:pPr>
      <w:r w:rsidRPr="00E64BB5">
        <w:rPr>
          <w:rFonts w:cs="Traditional Arabic" w:hint="cs"/>
          <w:szCs w:val="30"/>
          <w:rtl/>
          <w:lang w:eastAsia="zh-TW"/>
        </w:rPr>
        <w:t xml:space="preserve">وقد اعترف مؤتمر الأطراف في اجتماعه الأول بأن </w:t>
      </w:r>
      <w:r w:rsidR="00F670D4">
        <w:rPr>
          <w:rFonts w:ascii="Traditional Arabic" w:hAnsi="Traditional Arabic" w:cs="Traditional Arabic" w:hint="cs"/>
          <w:sz w:val="30"/>
          <w:szCs w:val="30"/>
          <w:rtl/>
          <w:lang w:eastAsia="zh-TW"/>
        </w:rPr>
        <w:t>ال</w:t>
      </w:r>
      <w:r w:rsidR="00F670D4" w:rsidRPr="00887C28">
        <w:rPr>
          <w:rFonts w:ascii="Traditional Arabic" w:hAnsi="Traditional Arabic" w:cs="Traditional Arabic" w:hint="eastAsia"/>
          <w:sz w:val="30"/>
          <w:szCs w:val="30"/>
          <w:rtl/>
          <w:lang w:eastAsia="zh-TW"/>
        </w:rPr>
        <w:t>حرق</w:t>
      </w:r>
      <w:r w:rsidR="00F670D4" w:rsidRPr="00887C28">
        <w:rPr>
          <w:rFonts w:ascii="Traditional Arabic" w:hAnsi="Traditional Arabic" w:cs="Traditional Arabic"/>
          <w:sz w:val="30"/>
          <w:szCs w:val="30"/>
          <w:rtl/>
          <w:lang w:eastAsia="zh-TW"/>
        </w:rPr>
        <w:t xml:space="preserve"> </w:t>
      </w:r>
      <w:r w:rsidR="00F670D4">
        <w:rPr>
          <w:rFonts w:ascii="Traditional Arabic" w:hAnsi="Traditional Arabic" w:cs="Traditional Arabic" w:hint="cs"/>
          <w:sz w:val="30"/>
          <w:szCs w:val="30"/>
          <w:rtl/>
          <w:lang w:eastAsia="zh-TW"/>
        </w:rPr>
        <w:t xml:space="preserve">المكشوف </w:t>
      </w:r>
      <w:r w:rsidRPr="00E64BB5">
        <w:rPr>
          <w:rFonts w:cs="Traditional Arabic" w:hint="cs"/>
          <w:szCs w:val="30"/>
          <w:rtl/>
          <w:lang w:eastAsia="zh-TW"/>
        </w:rPr>
        <w:t>قد يكون مصدرا</w:t>
      </w:r>
      <w:r w:rsidR="00EA6D22">
        <w:rPr>
          <w:rFonts w:cs="Traditional Arabic" w:hint="cs"/>
          <w:szCs w:val="30"/>
          <w:rtl/>
          <w:lang w:eastAsia="zh-TW"/>
        </w:rPr>
        <w:t>ً</w:t>
      </w:r>
      <w:r w:rsidRPr="00E64BB5">
        <w:rPr>
          <w:rFonts w:cs="Traditional Arabic" w:hint="cs"/>
          <w:szCs w:val="30"/>
          <w:rtl/>
          <w:lang w:eastAsia="zh-TW"/>
        </w:rPr>
        <w:t xml:space="preserve"> هاما</w:t>
      </w:r>
      <w:r w:rsidR="00EA6D22">
        <w:rPr>
          <w:rFonts w:cs="Traditional Arabic" w:hint="cs"/>
          <w:szCs w:val="30"/>
          <w:rtl/>
          <w:lang w:eastAsia="zh-TW"/>
        </w:rPr>
        <w:t>ً</w:t>
      </w:r>
      <w:r w:rsidRPr="00E64BB5">
        <w:rPr>
          <w:rFonts w:cs="Traditional Arabic" w:hint="cs"/>
          <w:szCs w:val="30"/>
          <w:rtl/>
          <w:lang w:eastAsia="zh-TW"/>
        </w:rPr>
        <w:t xml:space="preserve"> لانبعاثات الزئبق لم يتم تحديده كميا</w:t>
      </w:r>
      <w:r w:rsidR="00EA6D22">
        <w:rPr>
          <w:rFonts w:cs="Traditional Arabic" w:hint="cs"/>
          <w:szCs w:val="30"/>
          <w:rtl/>
          <w:lang w:eastAsia="zh-TW"/>
        </w:rPr>
        <w:t>ً</w:t>
      </w:r>
      <w:r w:rsidRPr="00E64BB5">
        <w:rPr>
          <w:rFonts w:cs="Traditional Arabic" w:hint="cs"/>
          <w:szCs w:val="30"/>
          <w:rtl/>
          <w:lang w:eastAsia="zh-TW"/>
        </w:rPr>
        <w:t xml:space="preserve">، وبأن التوجيهات المتعلقة بأفضل التقنيات المتاحة وأفضل الممارسات البيئية تنص على أن </w:t>
      </w:r>
      <w:r w:rsidR="00F670D4">
        <w:rPr>
          <w:rFonts w:ascii="Traditional Arabic" w:hAnsi="Traditional Arabic" w:cs="Traditional Arabic" w:hint="cs"/>
          <w:sz w:val="30"/>
          <w:szCs w:val="30"/>
          <w:rtl/>
          <w:lang w:eastAsia="zh-TW"/>
        </w:rPr>
        <w:t>ال</w:t>
      </w:r>
      <w:r w:rsidR="00F670D4" w:rsidRPr="00887C28">
        <w:rPr>
          <w:rFonts w:ascii="Traditional Arabic" w:hAnsi="Traditional Arabic" w:cs="Traditional Arabic" w:hint="eastAsia"/>
          <w:sz w:val="30"/>
          <w:szCs w:val="30"/>
          <w:rtl/>
          <w:lang w:eastAsia="zh-TW"/>
        </w:rPr>
        <w:t>حرق</w:t>
      </w:r>
      <w:r w:rsidR="00F670D4" w:rsidRPr="00887C28">
        <w:rPr>
          <w:rFonts w:ascii="Traditional Arabic" w:hAnsi="Traditional Arabic" w:cs="Traditional Arabic"/>
          <w:sz w:val="30"/>
          <w:szCs w:val="30"/>
          <w:rtl/>
          <w:lang w:eastAsia="zh-TW"/>
        </w:rPr>
        <w:t xml:space="preserve"> </w:t>
      </w:r>
      <w:r w:rsidR="00F670D4">
        <w:rPr>
          <w:rFonts w:ascii="Traditional Arabic" w:hAnsi="Traditional Arabic" w:cs="Traditional Arabic" w:hint="cs"/>
          <w:sz w:val="30"/>
          <w:szCs w:val="30"/>
          <w:rtl/>
          <w:lang w:eastAsia="zh-TW"/>
        </w:rPr>
        <w:t>المكشوف ل</w:t>
      </w:r>
      <w:r w:rsidR="00F670D4" w:rsidRPr="00887C28">
        <w:rPr>
          <w:rFonts w:ascii="Traditional Arabic" w:hAnsi="Traditional Arabic" w:cs="Traditional Arabic" w:hint="eastAsia"/>
          <w:sz w:val="30"/>
          <w:szCs w:val="30"/>
          <w:rtl/>
          <w:lang w:eastAsia="zh-TW"/>
        </w:rPr>
        <w:t>لنفايات</w:t>
      </w:r>
      <w:r w:rsidRPr="00E64BB5">
        <w:rPr>
          <w:rFonts w:cs="Traditional Arabic" w:hint="cs"/>
          <w:szCs w:val="30"/>
          <w:rtl/>
          <w:lang w:eastAsia="zh-TW"/>
        </w:rPr>
        <w:t xml:space="preserve"> يُعتبر ممارسة بيئية سيئة ينبغي تثبيطها، ودعا الأطراف والكيانات والمنظمات الأخرى </w:t>
      </w:r>
      <w:r w:rsidRPr="00E64BB5">
        <w:rPr>
          <w:rFonts w:cs="Traditional Arabic" w:hint="cs"/>
          <w:szCs w:val="30"/>
          <w:rtl/>
          <w:lang w:eastAsia="zh-TW"/>
        </w:rPr>
        <w:lastRenderedPageBreak/>
        <w:t xml:space="preserve">المعنية إلى أن تقدم إلى الأمانة معلومات عن انبعاثات الزئبق الناجمة عن </w:t>
      </w:r>
      <w:r w:rsidR="00F670D4">
        <w:rPr>
          <w:rFonts w:ascii="Traditional Arabic" w:hAnsi="Traditional Arabic" w:cs="Traditional Arabic" w:hint="cs"/>
          <w:sz w:val="30"/>
          <w:szCs w:val="30"/>
          <w:rtl/>
          <w:lang w:eastAsia="zh-TW"/>
        </w:rPr>
        <w:t>ال</w:t>
      </w:r>
      <w:r w:rsidR="00F670D4" w:rsidRPr="00887C28">
        <w:rPr>
          <w:rFonts w:ascii="Traditional Arabic" w:hAnsi="Traditional Arabic" w:cs="Traditional Arabic" w:hint="eastAsia"/>
          <w:sz w:val="30"/>
          <w:szCs w:val="30"/>
          <w:rtl/>
          <w:lang w:eastAsia="zh-TW"/>
        </w:rPr>
        <w:t>حرق</w:t>
      </w:r>
      <w:r w:rsidR="00F670D4" w:rsidRPr="00887C28">
        <w:rPr>
          <w:rFonts w:ascii="Traditional Arabic" w:hAnsi="Traditional Arabic" w:cs="Traditional Arabic"/>
          <w:sz w:val="30"/>
          <w:szCs w:val="30"/>
          <w:rtl/>
          <w:lang w:eastAsia="zh-TW"/>
        </w:rPr>
        <w:t xml:space="preserve"> </w:t>
      </w:r>
      <w:r w:rsidR="00F670D4">
        <w:rPr>
          <w:rFonts w:ascii="Traditional Arabic" w:hAnsi="Traditional Arabic" w:cs="Traditional Arabic" w:hint="cs"/>
          <w:sz w:val="30"/>
          <w:szCs w:val="30"/>
          <w:rtl/>
          <w:lang w:eastAsia="zh-TW"/>
        </w:rPr>
        <w:t>المكشوف ل</w:t>
      </w:r>
      <w:r w:rsidR="00F670D4" w:rsidRPr="00887C28">
        <w:rPr>
          <w:rFonts w:ascii="Traditional Arabic" w:hAnsi="Traditional Arabic" w:cs="Traditional Arabic" w:hint="eastAsia"/>
          <w:sz w:val="30"/>
          <w:szCs w:val="30"/>
          <w:rtl/>
          <w:lang w:eastAsia="zh-TW"/>
        </w:rPr>
        <w:t>لنفايات</w:t>
      </w:r>
      <w:r w:rsidRPr="00E64BB5">
        <w:rPr>
          <w:rFonts w:cs="Traditional Arabic" w:hint="cs"/>
          <w:szCs w:val="30"/>
          <w:vertAlign w:val="superscript"/>
          <w:rtl/>
          <w:lang w:eastAsia="zh-TW"/>
        </w:rPr>
        <w:t>(</w:t>
      </w:r>
      <w:r w:rsidRPr="00E64BB5">
        <w:rPr>
          <w:rFonts w:cs="Traditional Arabic" w:hint="cs"/>
          <w:szCs w:val="30"/>
          <w:vertAlign w:val="superscript"/>
          <w:rtl/>
          <w:lang w:eastAsia="zh-TW"/>
        </w:rPr>
        <w:footnoteReference w:id="2"/>
      </w:r>
      <w:r w:rsidRPr="00E64BB5">
        <w:rPr>
          <w:rFonts w:cs="Traditional Arabic" w:hint="cs"/>
          <w:szCs w:val="30"/>
          <w:vertAlign w:val="superscript"/>
          <w:rtl/>
          <w:lang w:eastAsia="zh-TW"/>
        </w:rPr>
        <w:t>)</w:t>
      </w:r>
      <w:r w:rsidRPr="00E64BB5">
        <w:rPr>
          <w:rFonts w:cs="Traditional Arabic" w:hint="cs"/>
          <w:szCs w:val="30"/>
          <w:rtl/>
          <w:lang w:eastAsia="zh-TW"/>
        </w:rPr>
        <w:t xml:space="preserve">. وكذلك طلب إلى الأمانة أن تواصل تجميع المعلومات التي تقدمها الأطراف بشأن هذا الموضوع، ولا سيما منها البلدان النامية والبلدان التي تمر اقتصاداتها بمرحلة انتقالية، بما في ذلك المعلومات المستمدة من قوائم الجرد والتقييمات الأولية </w:t>
      </w:r>
      <w:proofErr w:type="spellStart"/>
      <w:r w:rsidRPr="00E64BB5">
        <w:rPr>
          <w:rFonts w:cs="Traditional Arabic" w:hint="cs"/>
          <w:szCs w:val="30"/>
          <w:rtl/>
          <w:lang w:eastAsia="zh-TW"/>
        </w:rPr>
        <w:t>لميناماتا</w:t>
      </w:r>
      <w:proofErr w:type="spellEnd"/>
      <w:r w:rsidRPr="00E64BB5">
        <w:rPr>
          <w:rFonts w:cs="Traditional Arabic" w:hint="cs"/>
          <w:szCs w:val="30"/>
          <w:rtl/>
          <w:lang w:eastAsia="zh-TW"/>
        </w:rPr>
        <w:t xml:space="preserve">، ومعامِلات الانبعاث والقياسات الحقيقية للانبعاثات التي تقدمها الأطراف، وأية معلومات ذات صلة تحصل عليها مؤتمرات الأطراف في اتفاقية بازل بشأن التحكم في نقل النفايات الخطرة والتخلص منها عبر الحدود، واتفاقية استكهولم بشأن الملوثات العضوية الثابتة، وأن تقدم تلك المعلومات إلى مؤتمر الأطراف في اتفاقية </w:t>
      </w:r>
      <w:proofErr w:type="spellStart"/>
      <w:r w:rsidRPr="00E64BB5">
        <w:rPr>
          <w:rFonts w:cs="Traditional Arabic" w:hint="cs"/>
          <w:szCs w:val="30"/>
          <w:rtl/>
          <w:lang w:eastAsia="zh-TW"/>
        </w:rPr>
        <w:t>ميناماتا</w:t>
      </w:r>
      <w:proofErr w:type="spellEnd"/>
      <w:r w:rsidRPr="00E64BB5">
        <w:rPr>
          <w:rFonts w:cs="Traditional Arabic" w:hint="cs"/>
          <w:szCs w:val="30"/>
          <w:rtl/>
          <w:lang w:eastAsia="zh-TW"/>
        </w:rPr>
        <w:t xml:space="preserve"> لكي ينظر خلال اجتماعه الثاني في ضرورة اتخاذ مزيد من الإجراءات بهذا الشأن.</w:t>
      </w:r>
    </w:p>
    <w:p w14:paraId="50681791" w14:textId="0232CA9C" w:rsidR="00CF5F64" w:rsidRDefault="00E64BB5" w:rsidP="00CF5F64">
      <w:pPr>
        <w:pStyle w:val="Normalnumber"/>
        <w:numPr>
          <w:ilvl w:val="0"/>
          <w:numId w:val="20"/>
        </w:numPr>
        <w:tabs>
          <w:tab w:val="left" w:pos="1841"/>
        </w:tabs>
        <w:autoSpaceDE/>
        <w:autoSpaceDN/>
        <w:bidi/>
        <w:adjustRightInd/>
        <w:spacing w:after="0" w:line="400" w:lineRule="exact"/>
        <w:ind w:left="1134" w:right="284"/>
        <w:jc w:val="both"/>
        <w:textDirection w:val="tbRlV"/>
        <w:rPr>
          <w:rFonts w:cs="Traditional Arabic"/>
          <w:szCs w:val="30"/>
          <w:lang w:eastAsia="zh-TW"/>
        </w:rPr>
      </w:pPr>
      <w:r w:rsidRPr="00E64BB5">
        <w:rPr>
          <w:rFonts w:cs="Traditional Arabic" w:hint="cs"/>
          <w:szCs w:val="30"/>
          <w:rtl/>
          <w:lang w:eastAsia="zh-TW"/>
        </w:rPr>
        <w:t xml:space="preserve">واستجابة للدعوة إلى تقديم المعلومات عن انبعاثات الزئبق الناجمة عن </w:t>
      </w:r>
      <w:r w:rsidR="00742A79">
        <w:rPr>
          <w:rFonts w:ascii="Traditional Arabic" w:hAnsi="Traditional Arabic" w:cs="Traditional Arabic" w:hint="cs"/>
          <w:sz w:val="30"/>
          <w:szCs w:val="30"/>
          <w:rtl/>
          <w:lang w:eastAsia="zh-TW"/>
        </w:rPr>
        <w:t>ال</w:t>
      </w:r>
      <w:r w:rsidR="00742A79" w:rsidRPr="00887C28">
        <w:rPr>
          <w:rFonts w:ascii="Traditional Arabic" w:hAnsi="Traditional Arabic" w:cs="Traditional Arabic" w:hint="eastAsia"/>
          <w:sz w:val="30"/>
          <w:szCs w:val="30"/>
          <w:rtl/>
          <w:lang w:eastAsia="zh-TW"/>
        </w:rPr>
        <w:t>حرق</w:t>
      </w:r>
      <w:r w:rsidR="00742A79" w:rsidRPr="00887C28">
        <w:rPr>
          <w:rFonts w:ascii="Traditional Arabic" w:hAnsi="Traditional Arabic" w:cs="Traditional Arabic"/>
          <w:sz w:val="30"/>
          <w:szCs w:val="30"/>
          <w:rtl/>
          <w:lang w:eastAsia="zh-TW"/>
        </w:rPr>
        <w:t xml:space="preserve"> </w:t>
      </w:r>
      <w:r w:rsidR="00742A79">
        <w:rPr>
          <w:rFonts w:ascii="Traditional Arabic" w:hAnsi="Traditional Arabic" w:cs="Traditional Arabic" w:hint="cs"/>
          <w:sz w:val="30"/>
          <w:szCs w:val="30"/>
          <w:rtl/>
          <w:lang w:eastAsia="zh-TW"/>
        </w:rPr>
        <w:t>المكشوف ل</w:t>
      </w:r>
      <w:r w:rsidR="00742A79" w:rsidRPr="00887C28">
        <w:rPr>
          <w:rFonts w:ascii="Traditional Arabic" w:hAnsi="Traditional Arabic" w:cs="Traditional Arabic" w:hint="eastAsia"/>
          <w:sz w:val="30"/>
          <w:szCs w:val="30"/>
          <w:rtl/>
          <w:lang w:eastAsia="zh-TW"/>
        </w:rPr>
        <w:t>لنفايات</w:t>
      </w:r>
      <w:r w:rsidRPr="00E64BB5">
        <w:rPr>
          <w:rFonts w:cs="Traditional Arabic" w:hint="cs"/>
          <w:szCs w:val="30"/>
          <w:rtl/>
          <w:lang w:eastAsia="zh-TW"/>
        </w:rPr>
        <w:t>، وردت تقارير من طرفين هما جمهورية مولدوفا ونيجيريا، ومن منظمة حكومية دولية واحدة هي معهد الأمم المتحدة للتدريب والبحث (</w:t>
      </w:r>
      <w:proofErr w:type="spellStart"/>
      <w:r w:rsidRPr="00E64BB5">
        <w:rPr>
          <w:rFonts w:cs="Traditional Arabic" w:hint="cs"/>
          <w:szCs w:val="30"/>
          <w:rtl/>
          <w:lang w:eastAsia="zh-TW"/>
        </w:rPr>
        <w:t>اليونيتار</w:t>
      </w:r>
      <w:proofErr w:type="spellEnd"/>
      <w:r w:rsidRPr="00E64BB5">
        <w:rPr>
          <w:rFonts w:cs="Traditional Arabic" w:hint="cs"/>
          <w:szCs w:val="30"/>
          <w:rtl/>
          <w:lang w:eastAsia="zh-TW"/>
        </w:rPr>
        <w:t>)، ومنظمة غير حكومية واحدة هي الشبكة الدولية للتخلص من الملوثات العضوية الثابتة. وقد جُمعت هذه المعلومات في مذكرة الأمانة بشأن هذه المسألة (</w:t>
      </w:r>
      <w:r w:rsidRPr="00E64BB5">
        <w:rPr>
          <w:rFonts w:cs="Traditional Arabic" w:hint="cs"/>
          <w:szCs w:val="30"/>
          <w:lang w:eastAsia="zh-TW"/>
        </w:rPr>
        <w:t>UNEP/MC/COP.2/INF/6</w:t>
      </w:r>
      <w:r w:rsidRPr="00E64BB5">
        <w:rPr>
          <w:rFonts w:cs="Traditional Arabic" w:hint="cs"/>
          <w:szCs w:val="30"/>
          <w:rtl/>
          <w:lang w:eastAsia="zh-TW"/>
        </w:rPr>
        <w:t xml:space="preserve">، المرفق)، وهي متاحة في الموقع الشبكي لاتفاقية </w:t>
      </w:r>
      <w:proofErr w:type="spellStart"/>
      <w:r w:rsidRPr="00E64BB5">
        <w:rPr>
          <w:rFonts w:cs="Traditional Arabic" w:hint="cs"/>
          <w:szCs w:val="30"/>
          <w:rtl/>
          <w:lang w:eastAsia="zh-TW"/>
        </w:rPr>
        <w:t>ميناماتا</w:t>
      </w:r>
      <w:proofErr w:type="spellEnd"/>
      <w:r w:rsidRPr="00E64BB5">
        <w:rPr>
          <w:rFonts w:cs="Traditional Arabic" w:hint="cs"/>
          <w:szCs w:val="30"/>
          <w:rtl/>
          <w:lang w:eastAsia="zh-TW"/>
        </w:rPr>
        <w:t xml:space="preserve"> على العنوان:</w:t>
      </w:r>
    </w:p>
    <w:p w14:paraId="728E270A" w14:textId="291B1FC3" w:rsidR="00E64BB5" w:rsidRPr="00CF5F64" w:rsidRDefault="007907DA" w:rsidP="00CF5F64">
      <w:pPr>
        <w:pStyle w:val="Normalnumber"/>
        <w:numPr>
          <w:ilvl w:val="0"/>
          <w:numId w:val="0"/>
        </w:numPr>
        <w:tabs>
          <w:tab w:val="left" w:pos="1841"/>
        </w:tabs>
        <w:autoSpaceDE/>
        <w:autoSpaceDN/>
        <w:adjustRightInd/>
        <w:spacing w:line="340" w:lineRule="exact"/>
        <w:ind w:left="284" w:right="1276"/>
        <w:jc w:val="both"/>
        <w:textDirection w:val="tbRlV"/>
        <w:rPr>
          <w:rFonts w:cs="Traditional Arabic"/>
          <w:szCs w:val="20"/>
          <w:lang w:val="en-GB" w:eastAsia="zh-TW"/>
        </w:rPr>
      </w:pPr>
      <w:hyperlink r:id="rId10" w:history="1">
        <w:r w:rsidR="00CF5F64" w:rsidRPr="00CF5F64">
          <w:rPr>
            <w:rStyle w:val="Hyperlink"/>
            <w:rFonts w:cs="Traditional Arabic"/>
            <w:szCs w:val="20"/>
            <w:u w:val="none"/>
            <w:lang w:val="en-GB"/>
          </w:rPr>
          <w:t>www.mercuryconvention.org/Meetings/Intersessionalnbsp;work/tabid/6325/language/en-US/Default.aspx</w:t>
        </w:r>
      </w:hyperlink>
      <w:r w:rsidR="00CF5F64" w:rsidRPr="00CF5F64">
        <w:rPr>
          <w:rFonts w:ascii="Traditional Arabic" w:hAnsi="Traditional Arabic" w:cs="Traditional Arabic" w:hint="cs"/>
          <w:sz w:val="30"/>
          <w:szCs w:val="30"/>
          <w:lang w:val="en-GB" w:eastAsia="zh-TW"/>
        </w:rPr>
        <w:t>.</w:t>
      </w:r>
    </w:p>
    <w:p w14:paraId="527C97BA" w14:textId="41A5EE9B" w:rsidR="00E64BB5" w:rsidRPr="00E64BB5" w:rsidRDefault="00E64BB5" w:rsidP="00E64BB5">
      <w:pPr>
        <w:pStyle w:val="Normalnumber"/>
        <w:numPr>
          <w:ilvl w:val="0"/>
          <w:numId w:val="20"/>
        </w:numPr>
        <w:tabs>
          <w:tab w:val="left" w:pos="1841"/>
        </w:tabs>
        <w:autoSpaceDE/>
        <w:autoSpaceDN/>
        <w:bidi/>
        <w:adjustRightInd/>
        <w:spacing w:line="400" w:lineRule="exact"/>
        <w:ind w:left="1134"/>
        <w:jc w:val="both"/>
        <w:textDirection w:val="tbRlV"/>
        <w:rPr>
          <w:rFonts w:cs="Traditional Arabic"/>
          <w:szCs w:val="30"/>
          <w:rtl/>
          <w:lang w:eastAsia="zh-TW"/>
        </w:rPr>
      </w:pPr>
      <w:r w:rsidRPr="00E64BB5">
        <w:rPr>
          <w:rFonts w:cs="Traditional Arabic" w:hint="cs"/>
          <w:szCs w:val="30"/>
          <w:rtl/>
          <w:lang w:eastAsia="zh-TW"/>
        </w:rPr>
        <w:t xml:space="preserve">وقدمت الأطراف معلومات عن انبعاثات الزئبق الناجمة عن </w:t>
      </w:r>
      <w:r w:rsidR="00F670D4">
        <w:rPr>
          <w:rFonts w:ascii="Traditional Arabic" w:hAnsi="Traditional Arabic" w:cs="Traditional Arabic" w:hint="cs"/>
          <w:sz w:val="30"/>
          <w:szCs w:val="30"/>
          <w:rtl/>
          <w:lang w:eastAsia="zh-TW"/>
        </w:rPr>
        <w:t>ال</w:t>
      </w:r>
      <w:r w:rsidR="00F670D4" w:rsidRPr="00887C28">
        <w:rPr>
          <w:rFonts w:ascii="Traditional Arabic" w:hAnsi="Traditional Arabic" w:cs="Traditional Arabic" w:hint="eastAsia"/>
          <w:sz w:val="30"/>
          <w:szCs w:val="30"/>
          <w:rtl/>
          <w:lang w:eastAsia="zh-TW"/>
        </w:rPr>
        <w:t>حرق</w:t>
      </w:r>
      <w:r w:rsidR="00F670D4" w:rsidRPr="00887C28">
        <w:rPr>
          <w:rFonts w:ascii="Traditional Arabic" w:hAnsi="Traditional Arabic" w:cs="Traditional Arabic"/>
          <w:sz w:val="30"/>
          <w:szCs w:val="30"/>
          <w:rtl/>
          <w:lang w:eastAsia="zh-TW"/>
        </w:rPr>
        <w:t xml:space="preserve"> </w:t>
      </w:r>
      <w:r w:rsidR="00F670D4">
        <w:rPr>
          <w:rFonts w:ascii="Traditional Arabic" w:hAnsi="Traditional Arabic" w:cs="Traditional Arabic" w:hint="cs"/>
          <w:sz w:val="30"/>
          <w:szCs w:val="30"/>
          <w:rtl/>
          <w:lang w:eastAsia="zh-TW"/>
        </w:rPr>
        <w:t>المكشوف ل</w:t>
      </w:r>
      <w:r w:rsidR="00F670D4" w:rsidRPr="00887C28">
        <w:rPr>
          <w:rFonts w:ascii="Traditional Arabic" w:hAnsi="Traditional Arabic" w:cs="Traditional Arabic" w:hint="eastAsia"/>
          <w:sz w:val="30"/>
          <w:szCs w:val="30"/>
          <w:rtl/>
          <w:lang w:eastAsia="zh-TW"/>
        </w:rPr>
        <w:t>لنفايات</w:t>
      </w:r>
      <w:r w:rsidRPr="00E64BB5">
        <w:rPr>
          <w:rFonts w:cs="Traditional Arabic" w:hint="cs"/>
          <w:szCs w:val="30"/>
          <w:rtl/>
          <w:lang w:eastAsia="zh-TW"/>
        </w:rPr>
        <w:t xml:space="preserve"> تم تقديرها باستخدام عُدة تحديد الزئبق المتسرِّب وتقدير كميته، المستوى 2، التابعة لبرنامج الأمم المتحدة للبيئة. وأدلى </w:t>
      </w:r>
      <w:proofErr w:type="spellStart"/>
      <w:r w:rsidRPr="00E64BB5">
        <w:rPr>
          <w:rFonts w:cs="Traditional Arabic" w:hint="cs"/>
          <w:szCs w:val="30"/>
          <w:rtl/>
          <w:lang w:eastAsia="zh-TW"/>
        </w:rPr>
        <w:t>اليونيتار</w:t>
      </w:r>
      <w:proofErr w:type="spellEnd"/>
      <w:r w:rsidRPr="00E64BB5">
        <w:rPr>
          <w:rFonts w:cs="Traditional Arabic" w:hint="cs"/>
          <w:szCs w:val="30"/>
          <w:rtl/>
          <w:lang w:eastAsia="zh-TW"/>
        </w:rPr>
        <w:t xml:space="preserve"> بملاحظات بشأن الانبعاثات الناجمة عن </w:t>
      </w:r>
      <w:r w:rsidR="00F670D4">
        <w:rPr>
          <w:rFonts w:ascii="Traditional Arabic" w:hAnsi="Traditional Arabic" w:cs="Traditional Arabic" w:hint="cs"/>
          <w:sz w:val="30"/>
          <w:szCs w:val="30"/>
          <w:rtl/>
          <w:lang w:eastAsia="zh-TW"/>
        </w:rPr>
        <w:t>ال</w:t>
      </w:r>
      <w:r w:rsidR="00F670D4" w:rsidRPr="00887C28">
        <w:rPr>
          <w:rFonts w:ascii="Traditional Arabic" w:hAnsi="Traditional Arabic" w:cs="Traditional Arabic" w:hint="eastAsia"/>
          <w:sz w:val="30"/>
          <w:szCs w:val="30"/>
          <w:rtl/>
          <w:lang w:eastAsia="zh-TW"/>
        </w:rPr>
        <w:t>حرق</w:t>
      </w:r>
      <w:r w:rsidR="00F670D4" w:rsidRPr="00887C28">
        <w:rPr>
          <w:rFonts w:ascii="Traditional Arabic" w:hAnsi="Traditional Arabic" w:cs="Traditional Arabic"/>
          <w:sz w:val="30"/>
          <w:szCs w:val="30"/>
          <w:rtl/>
          <w:lang w:eastAsia="zh-TW"/>
        </w:rPr>
        <w:t xml:space="preserve"> </w:t>
      </w:r>
      <w:r w:rsidR="00F670D4">
        <w:rPr>
          <w:rFonts w:ascii="Traditional Arabic" w:hAnsi="Traditional Arabic" w:cs="Traditional Arabic" w:hint="cs"/>
          <w:sz w:val="30"/>
          <w:szCs w:val="30"/>
          <w:rtl/>
          <w:lang w:eastAsia="zh-TW"/>
        </w:rPr>
        <w:t>المكشوف ل</w:t>
      </w:r>
      <w:r w:rsidR="00F670D4" w:rsidRPr="00887C28">
        <w:rPr>
          <w:rFonts w:ascii="Traditional Arabic" w:hAnsi="Traditional Arabic" w:cs="Traditional Arabic" w:hint="eastAsia"/>
          <w:sz w:val="30"/>
          <w:szCs w:val="30"/>
          <w:rtl/>
          <w:lang w:eastAsia="zh-TW"/>
        </w:rPr>
        <w:t>لنفايات</w:t>
      </w:r>
      <w:r w:rsidRPr="00E64BB5">
        <w:rPr>
          <w:rFonts w:cs="Traditional Arabic" w:hint="cs"/>
          <w:szCs w:val="30"/>
          <w:rtl/>
          <w:lang w:eastAsia="zh-TW"/>
        </w:rPr>
        <w:t xml:space="preserve"> في سياق عمل المعهد، بما في ذلك عمله لدعم إعداد التقييمات الأولية بموجب اتفاقية </w:t>
      </w:r>
      <w:proofErr w:type="spellStart"/>
      <w:r w:rsidRPr="00E64BB5">
        <w:rPr>
          <w:rFonts w:cs="Traditional Arabic" w:hint="cs"/>
          <w:szCs w:val="30"/>
          <w:rtl/>
          <w:lang w:eastAsia="zh-TW"/>
        </w:rPr>
        <w:t>ميناماتا</w:t>
      </w:r>
      <w:proofErr w:type="spellEnd"/>
      <w:r w:rsidRPr="00E64BB5">
        <w:rPr>
          <w:rFonts w:cs="Traditional Arabic" w:hint="cs"/>
          <w:szCs w:val="30"/>
          <w:rtl/>
          <w:lang w:eastAsia="zh-TW"/>
        </w:rPr>
        <w:t>، وأبرز بعض أوجه عدم التيقن، بما في ذلك احتمال المبالغة في تقدير الانبعاثات الناجمة عن هذا الحرق نتيجة لاستخدام العُدة. وقدمت الشبكة الدولية للتخلص من الملوثات العضوية الثابتة تقريرا</w:t>
      </w:r>
      <w:r w:rsidR="00EA6D22">
        <w:rPr>
          <w:rFonts w:cs="Traditional Arabic" w:hint="cs"/>
          <w:szCs w:val="30"/>
          <w:rtl/>
          <w:lang w:eastAsia="zh-TW"/>
        </w:rPr>
        <w:t>ً</w:t>
      </w:r>
      <w:r w:rsidRPr="00E64BB5">
        <w:rPr>
          <w:rFonts w:cs="Traditional Arabic" w:hint="cs"/>
          <w:szCs w:val="30"/>
          <w:rtl/>
          <w:lang w:eastAsia="zh-TW"/>
        </w:rPr>
        <w:t xml:space="preserve"> تجميعيا</w:t>
      </w:r>
      <w:r w:rsidR="00EA6D22">
        <w:rPr>
          <w:rFonts w:cs="Traditional Arabic" w:hint="cs"/>
          <w:szCs w:val="30"/>
          <w:rtl/>
          <w:lang w:eastAsia="zh-TW"/>
        </w:rPr>
        <w:t>ً</w:t>
      </w:r>
      <w:r w:rsidRPr="00E64BB5">
        <w:rPr>
          <w:rFonts w:cs="Traditional Arabic" w:hint="cs"/>
          <w:szCs w:val="30"/>
          <w:rtl/>
          <w:lang w:eastAsia="zh-TW"/>
        </w:rPr>
        <w:t xml:space="preserve"> يتناول بناء القدرات والمساعدة التقنية ونقل التكنولوجيا، فضلا</w:t>
      </w:r>
      <w:r w:rsidR="00EA6D22">
        <w:rPr>
          <w:rFonts w:cs="Traditional Arabic" w:hint="cs"/>
          <w:szCs w:val="30"/>
          <w:rtl/>
          <w:lang w:eastAsia="zh-TW"/>
        </w:rPr>
        <w:t>ً</w:t>
      </w:r>
      <w:r w:rsidRPr="00E64BB5">
        <w:rPr>
          <w:rFonts w:cs="Traditional Arabic" w:hint="cs"/>
          <w:szCs w:val="30"/>
          <w:rtl/>
          <w:lang w:eastAsia="zh-TW"/>
        </w:rPr>
        <w:t xml:space="preserve"> عن انبعاثات الزئبق الناجمة عن </w:t>
      </w:r>
      <w:r w:rsidR="00F670D4">
        <w:rPr>
          <w:rFonts w:ascii="Traditional Arabic" w:hAnsi="Traditional Arabic" w:cs="Traditional Arabic" w:hint="cs"/>
          <w:sz w:val="30"/>
          <w:szCs w:val="30"/>
          <w:rtl/>
          <w:lang w:eastAsia="zh-TW"/>
        </w:rPr>
        <w:t>ال</w:t>
      </w:r>
      <w:r w:rsidR="00F670D4" w:rsidRPr="00887C28">
        <w:rPr>
          <w:rFonts w:ascii="Traditional Arabic" w:hAnsi="Traditional Arabic" w:cs="Traditional Arabic" w:hint="eastAsia"/>
          <w:sz w:val="30"/>
          <w:szCs w:val="30"/>
          <w:rtl/>
          <w:lang w:eastAsia="zh-TW"/>
        </w:rPr>
        <w:t>حرق</w:t>
      </w:r>
      <w:r w:rsidR="00F670D4" w:rsidRPr="00887C28">
        <w:rPr>
          <w:rFonts w:ascii="Traditional Arabic" w:hAnsi="Traditional Arabic" w:cs="Traditional Arabic"/>
          <w:sz w:val="30"/>
          <w:szCs w:val="30"/>
          <w:rtl/>
          <w:lang w:eastAsia="zh-TW"/>
        </w:rPr>
        <w:t xml:space="preserve"> </w:t>
      </w:r>
      <w:r w:rsidR="00F670D4">
        <w:rPr>
          <w:rFonts w:ascii="Traditional Arabic" w:hAnsi="Traditional Arabic" w:cs="Traditional Arabic" w:hint="cs"/>
          <w:sz w:val="30"/>
          <w:szCs w:val="30"/>
          <w:rtl/>
          <w:lang w:eastAsia="zh-TW"/>
        </w:rPr>
        <w:t>المكشوف ل</w:t>
      </w:r>
      <w:r w:rsidR="00F670D4" w:rsidRPr="00887C28">
        <w:rPr>
          <w:rFonts w:ascii="Traditional Arabic" w:hAnsi="Traditional Arabic" w:cs="Traditional Arabic" w:hint="eastAsia"/>
          <w:sz w:val="30"/>
          <w:szCs w:val="30"/>
          <w:rtl/>
          <w:lang w:eastAsia="zh-TW"/>
        </w:rPr>
        <w:t>لنفايات</w:t>
      </w:r>
      <w:r w:rsidRPr="00E64BB5">
        <w:rPr>
          <w:rFonts w:cs="Traditional Arabic" w:hint="cs"/>
          <w:szCs w:val="30"/>
          <w:rtl/>
          <w:lang w:eastAsia="zh-TW"/>
        </w:rPr>
        <w:t>، مؤكدة أهمية نُظم جمع النفايات وفرزها التي تركز على الفصل بين النفايات العضوية والخطرة وبين مجاري النفايات القابلة لإعادة التدوير (مع إبراز مجاري نفايات الزئبق).</w:t>
      </w:r>
    </w:p>
    <w:p w14:paraId="10D5A665" w14:textId="153FD644" w:rsidR="00E64BB5" w:rsidRPr="00E64BB5" w:rsidRDefault="00E64BB5" w:rsidP="00E64BB5">
      <w:pPr>
        <w:pStyle w:val="Normalnumber"/>
        <w:numPr>
          <w:ilvl w:val="0"/>
          <w:numId w:val="20"/>
        </w:numPr>
        <w:tabs>
          <w:tab w:val="left" w:pos="1841"/>
        </w:tabs>
        <w:autoSpaceDE/>
        <w:autoSpaceDN/>
        <w:bidi/>
        <w:adjustRightInd/>
        <w:spacing w:line="400" w:lineRule="exact"/>
        <w:ind w:left="1134"/>
        <w:jc w:val="both"/>
        <w:textDirection w:val="tbRlV"/>
        <w:rPr>
          <w:rFonts w:cs="Traditional Arabic"/>
          <w:szCs w:val="30"/>
          <w:rtl/>
          <w:lang w:eastAsia="zh-TW"/>
        </w:rPr>
      </w:pPr>
      <w:r w:rsidRPr="00E64BB5">
        <w:rPr>
          <w:rFonts w:cs="Traditional Arabic" w:hint="cs"/>
          <w:szCs w:val="30"/>
          <w:rtl/>
          <w:lang w:eastAsia="zh-TW"/>
        </w:rPr>
        <w:t>وقد تم أيضا</w:t>
      </w:r>
      <w:r w:rsidR="00EA6D22">
        <w:rPr>
          <w:rFonts w:cs="Traditional Arabic" w:hint="cs"/>
          <w:szCs w:val="30"/>
          <w:rtl/>
          <w:lang w:eastAsia="zh-TW"/>
        </w:rPr>
        <w:t>ً</w:t>
      </w:r>
      <w:r w:rsidRPr="00E64BB5">
        <w:rPr>
          <w:rFonts w:cs="Traditional Arabic" w:hint="cs"/>
          <w:szCs w:val="30"/>
          <w:rtl/>
          <w:lang w:eastAsia="zh-TW"/>
        </w:rPr>
        <w:t xml:space="preserve"> استقاء معلومات ذات صلة </w:t>
      </w:r>
      <w:r w:rsidR="00F670D4">
        <w:rPr>
          <w:rFonts w:cs="Traditional Arabic" w:hint="cs"/>
          <w:szCs w:val="30"/>
          <w:rtl/>
          <w:lang w:eastAsia="zh-TW"/>
        </w:rPr>
        <w:t>ب</w:t>
      </w:r>
      <w:r w:rsidR="00F670D4">
        <w:rPr>
          <w:rFonts w:ascii="Traditional Arabic" w:hAnsi="Traditional Arabic" w:cs="Traditional Arabic" w:hint="cs"/>
          <w:sz w:val="30"/>
          <w:szCs w:val="30"/>
          <w:rtl/>
          <w:lang w:eastAsia="zh-TW"/>
        </w:rPr>
        <w:t>ال</w:t>
      </w:r>
      <w:r w:rsidR="00F670D4" w:rsidRPr="00887C28">
        <w:rPr>
          <w:rFonts w:ascii="Traditional Arabic" w:hAnsi="Traditional Arabic" w:cs="Traditional Arabic" w:hint="eastAsia"/>
          <w:sz w:val="30"/>
          <w:szCs w:val="30"/>
          <w:rtl/>
          <w:lang w:eastAsia="zh-TW"/>
        </w:rPr>
        <w:t>حرق</w:t>
      </w:r>
      <w:r w:rsidR="00F670D4" w:rsidRPr="00887C28">
        <w:rPr>
          <w:rFonts w:ascii="Traditional Arabic" w:hAnsi="Traditional Arabic" w:cs="Traditional Arabic"/>
          <w:sz w:val="30"/>
          <w:szCs w:val="30"/>
          <w:rtl/>
          <w:lang w:eastAsia="zh-TW"/>
        </w:rPr>
        <w:t xml:space="preserve"> </w:t>
      </w:r>
      <w:r w:rsidR="00F670D4">
        <w:rPr>
          <w:rFonts w:ascii="Traditional Arabic" w:hAnsi="Traditional Arabic" w:cs="Traditional Arabic" w:hint="cs"/>
          <w:sz w:val="30"/>
          <w:szCs w:val="30"/>
          <w:rtl/>
          <w:lang w:eastAsia="zh-TW"/>
        </w:rPr>
        <w:t>المكشوف ل</w:t>
      </w:r>
      <w:r w:rsidR="00F670D4" w:rsidRPr="00887C28">
        <w:rPr>
          <w:rFonts w:ascii="Traditional Arabic" w:hAnsi="Traditional Arabic" w:cs="Traditional Arabic" w:hint="eastAsia"/>
          <w:sz w:val="30"/>
          <w:szCs w:val="30"/>
          <w:rtl/>
          <w:lang w:eastAsia="zh-TW"/>
        </w:rPr>
        <w:t>لنفايات</w:t>
      </w:r>
      <w:r w:rsidRPr="00E64BB5">
        <w:rPr>
          <w:rFonts w:cs="Traditional Arabic" w:hint="cs"/>
          <w:szCs w:val="30"/>
          <w:rtl/>
          <w:lang w:eastAsia="zh-TW"/>
        </w:rPr>
        <w:t xml:space="preserve"> في سياق اتفاقيتي بازل واستكهولم.</w:t>
      </w:r>
    </w:p>
    <w:p w14:paraId="6F5D32C7" w14:textId="604B21C6" w:rsidR="00E64BB5" w:rsidRPr="00E64BB5" w:rsidRDefault="00E64BB5" w:rsidP="00E64BB5">
      <w:pPr>
        <w:pStyle w:val="Normalnumber"/>
        <w:numPr>
          <w:ilvl w:val="0"/>
          <w:numId w:val="20"/>
        </w:numPr>
        <w:tabs>
          <w:tab w:val="left" w:pos="1841"/>
        </w:tabs>
        <w:autoSpaceDE/>
        <w:autoSpaceDN/>
        <w:bidi/>
        <w:adjustRightInd/>
        <w:spacing w:line="400" w:lineRule="exact"/>
        <w:ind w:left="1134"/>
        <w:jc w:val="both"/>
        <w:textDirection w:val="tbRlV"/>
        <w:rPr>
          <w:rFonts w:cs="Traditional Arabic"/>
          <w:szCs w:val="30"/>
          <w:rtl/>
          <w:lang w:eastAsia="zh-TW"/>
        </w:rPr>
      </w:pPr>
      <w:r w:rsidRPr="00E64BB5">
        <w:rPr>
          <w:rFonts w:cs="Traditional Arabic" w:hint="cs"/>
          <w:szCs w:val="30"/>
          <w:rtl/>
          <w:lang w:eastAsia="zh-TW"/>
        </w:rPr>
        <w:t>وأنشأ مؤتمر الأطراف في اتفاقية بازل شراكة النفايات المنزلية في عام ٢٠١٧ بهدف تعزيز الإدارة السليمة بيئيا</w:t>
      </w:r>
      <w:r w:rsidR="00EA6D22">
        <w:rPr>
          <w:rFonts w:cs="Traditional Arabic" w:hint="cs"/>
          <w:szCs w:val="30"/>
          <w:rtl/>
          <w:lang w:eastAsia="zh-TW"/>
        </w:rPr>
        <w:t>ً</w:t>
      </w:r>
      <w:r w:rsidRPr="00E64BB5">
        <w:rPr>
          <w:rFonts w:cs="Traditional Arabic" w:hint="cs"/>
          <w:szCs w:val="30"/>
          <w:rtl/>
          <w:lang w:eastAsia="zh-TW"/>
        </w:rPr>
        <w:t xml:space="preserve"> للنفايات المنزلية، بما في ذلك الحيلولةُ دون إنتاجها والتقلي</w:t>
      </w:r>
      <w:r w:rsidR="00B00619">
        <w:rPr>
          <w:rFonts w:cs="Traditional Arabic" w:hint="cs"/>
          <w:szCs w:val="30"/>
          <w:rtl/>
          <w:lang w:eastAsia="zh-TW"/>
        </w:rPr>
        <w:t>ل</w:t>
      </w:r>
      <w:r w:rsidRPr="00E64BB5">
        <w:rPr>
          <w:rFonts w:cs="Traditional Arabic" w:hint="cs"/>
          <w:szCs w:val="30"/>
          <w:rtl/>
          <w:lang w:eastAsia="zh-TW"/>
        </w:rPr>
        <w:t>ُ منها، وكذلك أهمية الفصل بين النمو الاقتصادي والآثار البيئية المرتبطة بإنتاج النفايات المنزلية وأسلوب تناول الجمهور لها في المراحل الأولى داخل الأسر المعيشية. وقد كُلفت الشراكة بإعداد وثيقة توجيهية بشأن الإدارة السليمة بيئيا</w:t>
      </w:r>
      <w:r w:rsidR="00EA6D22">
        <w:rPr>
          <w:rFonts w:cs="Traditional Arabic" w:hint="cs"/>
          <w:szCs w:val="30"/>
          <w:rtl/>
          <w:lang w:eastAsia="zh-TW"/>
        </w:rPr>
        <w:t>ً</w:t>
      </w:r>
      <w:r w:rsidRPr="00E64BB5">
        <w:rPr>
          <w:rFonts w:cs="Traditional Arabic" w:hint="cs"/>
          <w:szCs w:val="30"/>
          <w:rtl/>
          <w:lang w:eastAsia="zh-TW"/>
        </w:rPr>
        <w:t xml:space="preserve"> للنفايات المنزلية.</w:t>
      </w:r>
    </w:p>
    <w:p w14:paraId="6571DE13" w14:textId="0EA2EB00" w:rsidR="00E64BB5" w:rsidRPr="00E64BB5" w:rsidRDefault="00E64BB5" w:rsidP="00CC7B2E">
      <w:pPr>
        <w:pStyle w:val="Normalnumber"/>
        <w:numPr>
          <w:ilvl w:val="0"/>
          <w:numId w:val="20"/>
        </w:numPr>
        <w:tabs>
          <w:tab w:val="left" w:pos="1841"/>
        </w:tabs>
        <w:autoSpaceDE/>
        <w:autoSpaceDN/>
        <w:bidi/>
        <w:adjustRightInd/>
        <w:spacing w:line="400" w:lineRule="exact"/>
        <w:ind w:left="1134"/>
        <w:jc w:val="both"/>
        <w:textDirection w:val="tbRlV"/>
        <w:rPr>
          <w:rFonts w:cs="Traditional Arabic"/>
          <w:szCs w:val="30"/>
          <w:rtl/>
          <w:lang w:eastAsia="zh-TW"/>
        </w:rPr>
      </w:pPr>
      <w:r w:rsidRPr="00E64BB5">
        <w:rPr>
          <w:rFonts w:cs="Traditional Arabic" w:hint="cs"/>
          <w:szCs w:val="30"/>
          <w:rtl/>
          <w:lang w:eastAsia="zh-TW"/>
        </w:rPr>
        <w:t>وأعد فريق الخبراء العامل المعني بالإدارة السليمة بيئيا</w:t>
      </w:r>
      <w:r w:rsidR="00EA6D22">
        <w:rPr>
          <w:rFonts w:cs="Traditional Arabic" w:hint="cs"/>
          <w:szCs w:val="30"/>
          <w:rtl/>
          <w:lang w:eastAsia="zh-TW"/>
        </w:rPr>
        <w:t>ً</w:t>
      </w:r>
      <w:r w:rsidRPr="00E64BB5">
        <w:rPr>
          <w:rFonts w:cs="Traditional Arabic" w:hint="cs"/>
          <w:szCs w:val="30"/>
          <w:rtl/>
          <w:lang w:eastAsia="zh-TW"/>
        </w:rPr>
        <w:t xml:space="preserve"> للنفايات في إطار اتفاقية بازل مشروع توجيهات بشأن كيفية معالجة الإدارة السليمة بيئيا</w:t>
      </w:r>
      <w:r w:rsidR="00EA6D22">
        <w:rPr>
          <w:rFonts w:cs="Traditional Arabic" w:hint="cs"/>
          <w:szCs w:val="30"/>
          <w:rtl/>
          <w:lang w:eastAsia="zh-TW"/>
        </w:rPr>
        <w:t>ً</w:t>
      </w:r>
      <w:r w:rsidRPr="00E64BB5">
        <w:rPr>
          <w:rFonts w:cs="Traditional Arabic" w:hint="cs"/>
          <w:szCs w:val="30"/>
          <w:rtl/>
          <w:lang w:eastAsia="zh-TW"/>
        </w:rPr>
        <w:t xml:space="preserve"> للنفايات في القطاع غير الرسمي</w:t>
      </w:r>
      <w:r w:rsidR="00CC7B2E">
        <w:rPr>
          <w:rFonts w:cs="Traditional Arabic" w:hint="cs"/>
          <w:szCs w:val="30"/>
          <w:rtl/>
          <w:lang w:eastAsia="zh-TW"/>
        </w:rPr>
        <w:t xml:space="preserve"> (</w:t>
      </w:r>
      <w:r w:rsidR="00CC7B2E" w:rsidRPr="00CC7B2E">
        <w:rPr>
          <w:rFonts w:cs="Traditional Arabic"/>
          <w:szCs w:val="30"/>
          <w:lang w:eastAsia="zh-TW"/>
        </w:rPr>
        <w:t>UNEP/CHW/OEWG.11/INF/6</w:t>
      </w:r>
      <w:r w:rsidR="00CC7B2E">
        <w:rPr>
          <w:rFonts w:cs="Traditional Arabic" w:hint="cs"/>
          <w:szCs w:val="30"/>
          <w:rtl/>
          <w:lang w:eastAsia="zh-TW"/>
        </w:rPr>
        <w:t>)</w:t>
      </w:r>
      <w:r w:rsidRPr="00E64BB5">
        <w:rPr>
          <w:rFonts w:cs="Traditional Arabic" w:hint="cs"/>
          <w:szCs w:val="30"/>
          <w:rtl/>
          <w:lang w:eastAsia="zh-TW"/>
        </w:rPr>
        <w:t xml:space="preserve">. </w:t>
      </w:r>
      <w:r w:rsidR="00CC7B2E">
        <w:rPr>
          <w:rFonts w:cs="Traditional Arabic" w:hint="cs"/>
          <w:szCs w:val="30"/>
          <w:rtl/>
          <w:lang w:eastAsia="zh-TW"/>
        </w:rPr>
        <w:t>ويعترف</w:t>
      </w:r>
      <w:r w:rsidRPr="00E64BB5">
        <w:rPr>
          <w:rFonts w:cs="Traditional Arabic" w:hint="cs"/>
          <w:szCs w:val="30"/>
          <w:rtl/>
          <w:lang w:eastAsia="zh-TW"/>
        </w:rPr>
        <w:t xml:space="preserve"> مشروع التوجيهات </w:t>
      </w:r>
      <w:r w:rsidR="00CC7B2E">
        <w:rPr>
          <w:rFonts w:cs="Traditional Arabic" w:hint="cs"/>
          <w:szCs w:val="30"/>
          <w:rtl/>
          <w:lang w:eastAsia="zh-TW"/>
        </w:rPr>
        <w:t>ب</w:t>
      </w:r>
      <w:r w:rsidRPr="00E64BB5">
        <w:rPr>
          <w:rFonts w:cs="Traditional Arabic" w:hint="cs"/>
          <w:szCs w:val="30"/>
          <w:rtl/>
          <w:lang w:eastAsia="zh-TW"/>
        </w:rPr>
        <w:t xml:space="preserve">الآثار البيئية الضارة </w:t>
      </w:r>
      <w:r w:rsidR="00F670D4">
        <w:rPr>
          <w:rFonts w:ascii="Traditional Arabic" w:hAnsi="Traditional Arabic" w:cs="Traditional Arabic" w:hint="cs"/>
          <w:sz w:val="30"/>
          <w:szCs w:val="30"/>
          <w:rtl/>
          <w:lang w:eastAsia="zh-TW"/>
        </w:rPr>
        <w:t>لل</w:t>
      </w:r>
      <w:r w:rsidR="00F670D4" w:rsidRPr="00887C28">
        <w:rPr>
          <w:rFonts w:ascii="Traditional Arabic" w:hAnsi="Traditional Arabic" w:cs="Traditional Arabic" w:hint="eastAsia"/>
          <w:sz w:val="30"/>
          <w:szCs w:val="30"/>
          <w:rtl/>
          <w:lang w:eastAsia="zh-TW"/>
        </w:rPr>
        <w:t>حرق</w:t>
      </w:r>
      <w:r w:rsidR="00F670D4" w:rsidRPr="00887C28">
        <w:rPr>
          <w:rFonts w:ascii="Traditional Arabic" w:hAnsi="Traditional Arabic" w:cs="Traditional Arabic"/>
          <w:sz w:val="30"/>
          <w:szCs w:val="30"/>
          <w:rtl/>
          <w:lang w:eastAsia="zh-TW"/>
        </w:rPr>
        <w:t xml:space="preserve"> </w:t>
      </w:r>
      <w:r w:rsidR="00F670D4">
        <w:rPr>
          <w:rFonts w:ascii="Traditional Arabic" w:hAnsi="Traditional Arabic" w:cs="Traditional Arabic" w:hint="cs"/>
          <w:sz w:val="30"/>
          <w:szCs w:val="30"/>
          <w:rtl/>
          <w:lang w:eastAsia="zh-TW"/>
        </w:rPr>
        <w:t xml:space="preserve">المكشوف </w:t>
      </w:r>
      <w:r w:rsidRPr="00E64BB5">
        <w:rPr>
          <w:rFonts w:cs="Traditional Arabic" w:hint="cs"/>
          <w:szCs w:val="30"/>
          <w:rtl/>
          <w:lang w:eastAsia="zh-TW"/>
        </w:rPr>
        <w:t>وما</w:t>
      </w:r>
      <w:r w:rsidR="00CF5F64">
        <w:rPr>
          <w:rFonts w:cs="Traditional Arabic" w:hint="cs"/>
          <w:szCs w:val="30"/>
          <w:rtl/>
          <w:lang w:eastAsia="zh-TW"/>
        </w:rPr>
        <w:t xml:space="preserve"> </w:t>
      </w:r>
      <w:r w:rsidRPr="00E64BB5">
        <w:rPr>
          <w:rFonts w:cs="Traditional Arabic" w:hint="cs"/>
          <w:szCs w:val="30"/>
          <w:rtl/>
          <w:lang w:eastAsia="zh-TW"/>
        </w:rPr>
        <w:t xml:space="preserve">يرتبط به من مخاطر صحية، ويوصي بحظر </w:t>
      </w:r>
      <w:r w:rsidR="00F670D4">
        <w:rPr>
          <w:rFonts w:ascii="Traditional Arabic" w:hAnsi="Traditional Arabic" w:cs="Traditional Arabic" w:hint="cs"/>
          <w:sz w:val="30"/>
          <w:szCs w:val="30"/>
          <w:rtl/>
          <w:lang w:eastAsia="zh-TW"/>
        </w:rPr>
        <w:t>ال</w:t>
      </w:r>
      <w:r w:rsidR="00F670D4" w:rsidRPr="00887C28">
        <w:rPr>
          <w:rFonts w:ascii="Traditional Arabic" w:hAnsi="Traditional Arabic" w:cs="Traditional Arabic" w:hint="eastAsia"/>
          <w:sz w:val="30"/>
          <w:szCs w:val="30"/>
          <w:rtl/>
          <w:lang w:eastAsia="zh-TW"/>
        </w:rPr>
        <w:t>حرق</w:t>
      </w:r>
      <w:r w:rsidR="00F670D4" w:rsidRPr="00887C28">
        <w:rPr>
          <w:rFonts w:ascii="Traditional Arabic" w:hAnsi="Traditional Arabic" w:cs="Traditional Arabic"/>
          <w:sz w:val="30"/>
          <w:szCs w:val="30"/>
          <w:rtl/>
          <w:lang w:eastAsia="zh-TW"/>
        </w:rPr>
        <w:t xml:space="preserve"> </w:t>
      </w:r>
      <w:r w:rsidR="00F670D4">
        <w:rPr>
          <w:rFonts w:ascii="Traditional Arabic" w:hAnsi="Traditional Arabic" w:cs="Traditional Arabic" w:hint="cs"/>
          <w:sz w:val="30"/>
          <w:szCs w:val="30"/>
          <w:rtl/>
          <w:lang w:eastAsia="zh-TW"/>
        </w:rPr>
        <w:t>المكشوف ل</w:t>
      </w:r>
      <w:r w:rsidR="00F670D4" w:rsidRPr="00887C28">
        <w:rPr>
          <w:rFonts w:ascii="Traditional Arabic" w:hAnsi="Traditional Arabic" w:cs="Traditional Arabic" w:hint="eastAsia"/>
          <w:sz w:val="30"/>
          <w:szCs w:val="30"/>
          <w:rtl/>
          <w:lang w:eastAsia="zh-TW"/>
        </w:rPr>
        <w:t>لنفايات</w:t>
      </w:r>
      <w:r w:rsidRPr="00E64BB5">
        <w:rPr>
          <w:rFonts w:cs="Traditional Arabic" w:hint="cs"/>
          <w:szCs w:val="30"/>
          <w:rtl/>
          <w:lang w:eastAsia="zh-TW"/>
        </w:rPr>
        <w:t>، ولا سيما النفايات الخطرة</w:t>
      </w:r>
      <w:r w:rsidR="00CC7B2E">
        <w:rPr>
          <w:rFonts w:cs="Traditional Arabic" w:hint="cs"/>
          <w:szCs w:val="30"/>
          <w:rtl/>
          <w:lang w:eastAsia="zh-TW"/>
        </w:rPr>
        <w:t xml:space="preserve">. وبعد النظر في مشروع التوجيهات في الاجتماع الحادي عشر للفريق العامل المفتوح العضوية التابع لاتفاقية بازل، سيقدم نص منقح لمشروع التوجيهات لكي ينظر فيه </w:t>
      </w:r>
      <w:r w:rsidR="00CC7B2E">
        <w:rPr>
          <w:rFonts w:cs="Traditional Arabic" w:hint="cs"/>
          <w:szCs w:val="30"/>
          <w:rtl/>
          <w:lang w:eastAsia="zh-TW"/>
        </w:rPr>
        <w:lastRenderedPageBreak/>
        <w:t>مؤتمر الأطراف في اجتماعه الرابع عشر.</w:t>
      </w:r>
      <w:r w:rsidRPr="00E64BB5">
        <w:rPr>
          <w:rFonts w:cs="Traditional Arabic" w:hint="cs"/>
          <w:szCs w:val="30"/>
          <w:rtl/>
          <w:lang w:eastAsia="zh-TW"/>
        </w:rPr>
        <w:t xml:space="preserve"> وقد أعد فريق الخبراء أيضا</w:t>
      </w:r>
      <w:r w:rsidR="00EA6D22">
        <w:rPr>
          <w:rFonts w:cs="Traditional Arabic" w:hint="cs"/>
          <w:szCs w:val="30"/>
          <w:rtl/>
          <w:lang w:eastAsia="zh-TW"/>
        </w:rPr>
        <w:t>ً</w:t>
      </w:r>
      <w:r w:rsidRPr="00E64BB5">
        <w:rPr>
          <w:rFonts w:cs="Traditional Arabic" w:hint="cs"/>
          <w:szCs w:val="30"/>
          <w:rtl/>
          <w:lang w:eastAsia="zh-TW"/>
        </w:rPr>
        <w:t xml:space="preserve"> صحائف وقائع منقحة تتضمن لمحة عامة عن أهم جوانب الإدارة السليمة بيئيا</w:t>
      </w:r>
      <w:r w:rsidR="00EA6D22">
        <w:rPr>
          <w:rFonts w:cs="Traditional Arabic" w:hint="cs"/>
          <w:szCs w:val="30"/>
          <w:rtl/>
          <w:lang w:eastAsia="zh-TW"/>
        </w:rPr>
        <w:t>ً</w:t>
      </w:r>
      <w:r w:rsidRPr="00E64BB5">
        <w:rPr>
          <w:rFonts w:cs="Traditional Arabic" w:hint="cs"/>
          <w:szCs w:val="30"/>
          <w:rtl/>
          <w:lang w:eastAsia="zh-TW"/>
        </w:rPr>
        <w:t xml:space="preserve"> لمجاري نفايات محددة </w:t>
      </w:r>
      <w:r w:rsidRPr="00CF5F64">
        <w:rPr>
          <w:rFonts w:asciiTheme="majorBidi" w:hAnsiTheme="majorBidi" w:cstheme="majorBidi" w:hint="cs"/>
          <w:szCs w:val="20"/>
          <w:rtl/>
          <w:lang w:eastAsia="zh-TW"/>
        </w:rPr>
        <w:t>(</w:t>
      </w:r>
      <w:r w:rsidRPr="00CF5F64">
        <w:rPr>
          <w:rFonts w:asciiTheme="majorBidi" w:hAnsiTheme="majorBidi" w:cstheme="majorBidi" w:hint="cs"/>
          <w:szCs w:val="20"/>
          <w:lang w:eastAsia="zh-TW"/>
        </w:rPr>
        <w:t>UNEP/CHW</w:t>
      </w:r>
      <w:r w:rsidR="00CC7B2E">
        <w:rPr>
          <w:rFonts w:asciiTheme="majorBidi" w:hAnsiTheme="majorBidi" w:cstheme="majorBidi"/>
          <w:szCs w:val="20"/>
          <w:lang w:val="en-GB" w:eastAsia="zh-TW"/>
        </w:rPr>
        <w:t>.13</w:t>
      </w:r>
      <w:r w:rsidRPr="00CF5F64">
        <w:rPr>
          <w:rFonts w:asciiTheme="majorBidi" w:hAnsiTheme="majorBidi" w:cstheme="majorBidi" w:hint="cs"/>
          <w:szCs w:val="20"/>
          <w:lang w:eastAsia="zh-TW"/>
        </w:rPr>
        <w:t>/INF/7/Rev.1</w:t>
      </w:r>
      <w:r w:rsidRPr="00CF5F64">
        <w:rPr>
          <w:rFonts w:asciiTheme="majorBidi" w:hAnsiTheme="majorBidi" w:cstheme="majorBidi" w:hint="cs"/>
          <w:szCs w:val="20"/>
          <w:rtl/>
          <w:lang w:eastAsia="zh-TW"/>
        </w:rPr>
        <w:t>)</w:t>
      </w:r>
      <w:r w:rsidRPr="00E64BB5">
        <w:rPr>
          <w:rFonts w:cs="Traditional Arabic" w:hint="cs"/>
          <w:szCs w:val="30"/>
          <w:rtl/>
          <w:lang w:eastAsia="zh-TW"/>
        </w:rPr>
        <w:t>، بما في ذلك النفايات الإلكترونية والنفايات من الم</w:t>
      </w:r>
      <w:r w:rsidR="00F47129">
        <w:rPr>
          <w:rFonts w:cs="Traditional Arabic" w:hint="cs"/>
          <w:szCs w:val="30"/>
          <w:rtl/>
          <w:lang w:eastAsia="zh-TW"/>
        </w:rPr>
        <w:t>ـ</w:t>
      </w:r>
      <w:r w:rsidRPr="00E64BB5">
        <w:rPr>
          <w:rFonts w:cs="Traditional Arabic" w:hint="cs"/>
          <w:szCs w:val="30"/>
          <w:rtl/>
          <w:lang w:eastAsia="zh-TW"/>
        </w:rPr>
        <w:t>َركَبات والنفايات الناجمة عن خدمات الرعاية الصحية أو النفايات الطبية، وهي جميعا</w:t>
      </w:r>
      <w:r w:rsidR="00EA6D22">
        <w:rPr>
          <w:rFonts w:cs="Traditional Arabic" w:hint="cs"/>
          <w:szCs w:val="30"/>
          <w:rtl/>
          <w:lang w:eastAsia="zh-TW"/>
        </w:rPr>
        <w:t>ً</w:t>
      </w:r>
      <w:r w:rsidRPr="00E64BB5">
        <w:rPr>
          <w:rFonts w:cs="Traditional Arabic" w:hint="cs"/>
          <w:szCs w:val="30"/>
          <w:rtl/>
          <w:lang w:eastAsia="zh-TW"/>
        </w:rPr>
        <w:t xml:space="preserve"> قد تحتوي على الزئبق أو تكون ملوثة به.</w:t>
      </w:r>
    </w:p>
    <w:p w14:paraId="5C615A63" w14:textId="74BCCFA2" w:rsidR="00E64BB5" w:rsidRPr="00E64BB5" w:rsidRDefault="00E64BB5" w:rsidP="00E64BB5">
      <w:pPr>
        <w:pStyle w:val="Normalnumber"/>
        <w:numPr>
          <w:ilvl w:val="0"/>
          <w:numId w:val="20"/>
        </w:numPr>
        <w:tabs>
          <w:tab w:val="left" w:pos="1841"/>
        </w:tabs>
        <w:autoSpaceDE/>
        <w:autoSpaceDN/>
        <w:bidi/>
        <w:adjustRightInd/>
        <w:spacing w:line="400" w:lineRule="exact"/>
        <w:ind w:left="1134"/>
        <w:jc w:val="both"/>
        <w:textDirection w:val="tbRlV"/>
        <w:rPr>
          <w:rFonts w:cs="Traditional Arabic"/>
          <w:szCs w:val="30"/>
          <w:rtl/>
          <w:lang w:eastAsia="zh-TW"/>
        </w:rPr>
      </w:pPr>
      <w:r w:rsidRPr="00E64BB5">
        <w:rPr>
          <w:rFonts w:cs="Traditional Arabic" w:hint="cs"/>
          <w:szCs w:val="30"/>
          <w:rtl/>
          <w:lang w:eastAsia="zh-TW"/>
        </w:rPr>
        <w:t xml:space="preserve">وتشير استنتاجات برنامج النفايات الإلكترونية في أفريقيا التابع لاتفاقية بازل إلى تفشي ظاهرة </w:t>
      </w:r>
      <w:r w:rsidR="00F670D4">
        <w:rPr>
          <w:rFonts w:ascii="Traditional Arabic" w:hAnsi="Traditional Arabic" w:cs="Traditional Arabic" w:hint="cs"/>
          <w:sz w:val="30"/>
          <w:szCs w:val="30"/>
          <w:rtl/>
          <w:lang w:eastAsia="zh-TW"/>
        </w:rPr>
        <w:t>ال</w:t>
      </w:r>
      <w:r w:rsidR="00F670D4" w:rsidRPr="00887C28">
        <w:rPr>
          <w:rFonts w:ascii="Traditional Arabic" w:hAnsi="Traditional Arabic" w:cs="Traditional Arabic" w:hint="eastAsia"/>
          <w:sz w:val="30"/>
          <w:szCs w:val="30"/>
          <w:rtl/>
          <w:lang w:eastAsia="zh-TW"/>
        </w:rPr>
        <w:t>حرق</w:t>
      </w:r>
      <w:r w:rsidR="00F670D4" w:rsidRPr="00887C28">
        <w:rPr>
          <w:rFonts w:ascii="Traditional Arabic" w:hAnsi="Traditional Arabic" w:cs="Traditional Arabic"/>
          <w:sz w:val="30"/>
          <w:szCs w:val="30"/>
          <w:rtl/>
          <w:lang w:eastAsia="zh-TW"/>
        </w:rPr>
        <w:t xml:space="preserve"> </w:t>
      </w:r>
      <w:r w:rsidR="00F670D4">
        <w:rPr>
          <w:rFonts w:ascii="Traditional Arabic" w:hAnsi="Traditional Arabic" w:cs="Traditional Arabic" w:hint="cs"/>
          <w:sz w:val="30"/>
          <w:szCs w:val="30"/>
          <w:rtl/>
          <w:lang w:eastAsia="zh-TW"/>
        </w:rPr>
        <w:t xml:space="preserve">المكشوف </w:t>
      </w:r>
      <w:r w:rsidRPr="00E64BB5">
        <w:rPr>
          <w:rFonts w:cs="Traditional Arabic" w:hint="cs"/>
          <w:szCs w:val="30"/>
          <w:rtl/>
          <w:lang w:eastAsia="zh-TW"/>
        </w:rPr>
        <w:t>في البلدان المعنية من أجل استعادة المعادن من النفايات الإلكترونية، بما في ذلك النفايات المحتوية على الزئبق أو الملوثة به</w:t>
      </w:r>
      <w:r w:rsidRPr="00E64BB5">
        <w:rPr>
          <w:rFonts w:cs="Traditional Arabic" w:hint="cs"/>
          <w:szCs w:val="30"/>
          <w:vertAlign w:val="superscript"/>
          <w:rtl/>
          <w:lang w:eastAsia="zh-TW"/>
        </w:rPr>
        <w:t>(</w:t>
      </w:r>
      <w:r w:rsidRPr="00E64BB5">
        <w:rPr>
          <w:rFonts w:cs="Traditional Arabic" w:hint="cs"/>
          <w:szCs w:val="30"/>
          <w:vertAlign w:val="superscript"/>
          <w:rtl/>
          <w:lang w:eastAsia="zh-TW"/>
        </w:rPr>
        <w:footnoteReference w:id="3"/>
      </w:r>
      <w:r w:rsidRPr="00E64BB5">
        <w:rPr>
          <w:rFonts w:cs="Traditional Arabic" w:hint="cs"/>
          <w:szCs w:val="30"/>
          <w:vertAlign w:val="superscript"/>
          <w:rtl/>
          <w:lang w:eastAsia="zh-TW"/>
        </w:rPr>
        <w:t>)</w:t>
      </w:r>
      <w:r w:rsidRPr="00E64BB5">
        <w:rPr>
          <w:rFonts w:cs="Traditional Arabic" w:hint="cs"/>
          <w:szCs w:val="30"/>
          <w:rtl/>
          <w:lang w:eastAsia="zh-TW"/>
        </w:rPr>
        <w:t xml:space="preserve">. ويفيد المنشور بأن أنشطة إعادة التدوير التي لها آثار ضارة على صحة الإنسان والبيئة، مثل </w:t>
      </w:r>
      <w:r w:rsidR="00F670D4" w:rsidRPr="00F670D4">
        <w:rPr>
          <w:rFonts w:cs="Traditional Arabic" w:hint="cs"/>
          <w:szCs w:val="30"/>
          <w:rtl/>
          <w:lang w:eastAsia="zh-TW"/>
        </w:rPr>
        <w:t>ال</w:t>
      </w:r>
      <w:r w:rsidRPr="00F670D4">
        <w:rPr>
          <w:rFonts w:cs="Traditional Arabic" w:hint="cs"/>
          <w:szCs w:val="30"/>
          <w:rtl/>
          <w:lang w:eastAsia="zh-TW"/>
        </w:rPr>
        <w:t xml:space="preserve">حرق </w:t>
      </w:r>
      <w:r w:rsidR="00F670D4" w:rsidRPr="00F670D4">
        <w:rPr>
          <w:rFonts w:cs="Traditional Arabic" w:hint="cs"/>
          <w:szCs w:val="30"/>
          <w:rtl/>
          <w:lang w:eastAsia="zh-TW"/>
        </w:rPr>
        <w:t>المكشوف ل</w:t>
      </w:r>
      <w:r w:rsidRPr="00F670D4">
        <w:rPr>
          <w:rFonts w:cs="Traditional Arabic" w:hint="cs"/>
          <w:szCs w:val="30"/>
          <w:rtl/>
          <w:lang w:eastAsia="zh-TW"/>
        </w:rPr>
        <w:t>لكابلات</w:t>
      </w:r>
      <w:r w:rsidRPr="00E64BB5">
        <w:rPr>
          <w:rFonts w:cs="Traditional Arabic" w:hint="cs"/>
          <w:szCs w:val="30"/>
          <w:rtl/>
          <w:lang w:eastAsia="zh-TW"/>
        </w:rPr>
        <w:t>، تتطلب اهتماما</w:t>
      </w:r>
      <w:r w:rsidR="00EA6D22">
        <w:rPr>
          <w:rFonts w:cs="Traditional Arabic" w:hint="cs"/>
          <w:szCs w:val="30"/>
          <w:rtl/>
          <w:lang w:eastAsia="zh-TW"/>
        </w:rPr>
        <w:t>ً</w:t>
      </w:r>
      <w:r w:rsidRPr="00E64BB5">
        <w:rPr>
          <w:rFonts w:cs="Traditional Arabic" w:hint="cs"/>
          <w:szCs w:val="30"/>
          <w:rtl/>
          <w:lang w:eastAsia="zh-TW"/>
        </w:rPr>
        <w:t xml:space="preserve"> فوريا</w:t>
      </w:r>
      <w:r w:rsidR="00EA6D22">
        <w:rPr>
          <w:rFonts w:cs="Traditional Arabic" w:hint="cs"/>
          <w:szCs w:val="30"/>
          <w:rtl/>
          <w:lang w:eastAsia="zh-TW"/>
        </w:rPr>
        <w:t>ً</w:t>
      </w:r>
      <w:r w:rsidRPr="00E64BB5">
        <w:rPr>
          <w:rFonts w:cs="Traditional Arabic" w:hint="cs"/>
          <w:szCs w:val="30"/>
          <w:rtl/>
          <w:lang w:eastAsia="zh-TW"/>
        </w:rPr>
        <w:t xml:space="preserve"> من الحكومات.</w:t>
      </w:r>
    </w:p>
    <w:p w14:paraId="1DD57FDA" w14:textId="6518D5CC" w:rsidR="00E64BB5" w:rsidRPr="00E64BB5" w:rsidRDefault="00E64BB5" w:rsidP="00E64BB5">
      <w:pPr>
        <w:pStyle w:val="Normalnumber"/>
        <w:numPr>
          <w:ilvl w:val="0"/>
          <w:numId w:val="20"/>
        </w:numPr>
        <w:tabs>
          <w:tab w:val="left" w:pos="1841"/>
        </w:tabs>
        <w:autoSpaceDE/>
        <w:autoSpaceDN/>
        <w:bidi/>
        <w:adjustRightInd/>
        <w:spacing w:line="400" w:lineRule="exact"/>
        <w:ind w:left="1134"/>
        <w:jc w:val="both"/>
        <w:textDirection w:val="tbRlV"/>
        <w:rPr>
          <w:rFonts w:cs="Traditional Arabic"/>
          <w:szCs w:val="30"/>
          <w:rtl/>
          <w:lang w:eastAsia="zh-TW"/>
        </w:rPr>
      </w:pPr>
      <w:r w:rsidRPr="006E5F45">
        <w:rPr>
          <w:rFonts w:cs="Traditional Arabic" w:hint="cs"/>
          <w:i/>
          <w:iCs/>
          <w:szCs w:val="30"/>
          <w:rtl/>
          <w:lang w:eastAsia="zh-TW"/>
        </w:rPr>
        <w:t>وتتناول</w:t>
      </w:r>
      <w:r w:rsidR="001B1A96">
        <w:rPr>
          <w:rFonts w:cs="Traditional Arabic" w:hint="cs"/>
          <w:i/>
          <w:iCs/>
          <w:szCs w:val="30"/>
          <w:rtl/>
          <w:lang w:eastAsia="zh-TW"/>
        </w:rPr>
        <w:t xml:space="preserve"> </w:t>
      </w:r>
      <w:r w:rsidRPr="006E5F45">
        <w:rPr>
          <w:rFonts w:cs="Traditional Arabic" w:hint="cs"/>
          <w:i/>
          <w:iCs/>
          <w:szCs w:val="30"/>
          <w:rtl/>
          <w:lang w:eastAsia="zh-TW"/>
        </w:rPr>
        <w:t>المبادئُ التوجيهية عن أفضل التقنيات المتاحة والتوجيهاتُ المؤقتة بشأن أفضل الممارسات البيئية ذات الصلة بالمادة ٥ والمرفق جيم من اتفاقية استكهولم بشأن الملوثات العضوية الثابتة</w:t>
      </w:r>
      <w:r w:rsidRPr="00E64BB5">
        <w:rPr>
          <w:rFonts w:cs="Traditional Arabic" w:hint="cs"/>
          <w:szCs w:val="30"/>
          <w:rtl/>
          <w:lang w:eastAsia="zh-TW"/>
        </w:rPr>
        <w:t xml:space="preserve"> أيضا</w:t>
      </w:r>
      <w:r w:rsidR="00EA6D22">
        <w:rPr>
          <w:rFonts w:cs="Traditional Arabic" w:hint="cs"/>
          <w:szCs w:val="30"/>
          <w:rtl/>
          <w:lang w:eastAsia="zh-TW"/>
        </w:rPr>
        <w:t>ً</w:t>
      </w:r>
      <w:r w:rsidRPr="00E64BB5">
        <w:rPr>
          <w:rFonts w:cs="Traditional Arabic" w:hint="cs"/>
          <w:szCs w:val="30"/>
          <w:rtl/>
          <w:lang w:eastAsia="zh-TW"/>
        </w:rPr>
        <w:t xml:space="preserve"> مسألة </w:t>
      </w:r>
      <w:r w:rsidR="00F670D4">
        <w:rPr>
          <w:rFonts w:ascii="Traditional Arabic" w:hAnsi="Traditional Arabic" w:cs="Traditional Arabic" w:hint="cs"/>
          <w:sz w:val="30"/>
          <w:szCs w:val="30"/>
          <w:rtl/>
          <w:lang w:eastAsia="zh-TW"/>
        </w:rPr>
        <w:t>ال</w:t>
      </w:r>
      <w:r w:rsidR="00F670D4" w:rsidRPr="00887C28">
        <w:rPr>
          <w:rFonts w:ascii="Traditional Arabic" w:hAnsi="Traditional Arabic" w:cs="Traditional Arabic" w:hint="eastAsia"/>
          <w:sz w:val="30"/>
          <w:szCs w:val="30"/>
          <w:rtl/>
          <w:lang w:eastAsia="zh-TW"/>
        </w:rPr>
        <w:t>حرق</w:t>
      </w:r>
      <w:r w:rsidR="00F670D4" w:rsidRPr="00887C28">
        <w:rPr>
          <w:rFonts w:ascii="Traditional Arabic" w:hAnsi="Traditional Arabic" w:cs="Traditional Arabic"/>
          <w:sz w:val="30"/>
          <w:szCs w:val="30"/>
          <w:rtl/>
          <w:lang w:eastAsia="zh-TW"/>
        </w:rPr>
        <w:t xml:space="preserve"> </w:t>
      </w:r>
      <w:r w:rsidR="00F670D4">
        <w:rPr>
          <w:rFonts w:ascii="Traditional Arabic" w:hAnsi="Traditional Arabic" w:cs="Traditional Arabic" w:hint="cs"/>
          <w:sz w:val="30"/>
          <w:szCs w:val="30"/>
          <w:rtl/>
          <w:lang w:eastAsia="zh-TW"/>
        </w:rPr>
        <w:t>المكشوف ل</w:t>
      </w:r>
      <w:r w:rsidR="00F670D4" w:rsidRPr="00887C28">
        <w:rPr>
          <w:rFonts w:ascii="Traditional Arabic" w:hAnsi="Traditional Arabic" w:cs="Traditional Arabic" w:hint="eastAsia"/>
          <w:sz w:val="30"/>
          <w:szCs w:val="30"/>
          <w:rtl/>
          <w:lang w:eastAsia="zh-TW"/>
        </w:rPr>
        <w:t>لنفايات</w:t>
      </w:r>
      <w:r w:rsidRPr="00E64BB5">
        <w:rPr>
          <w:rFonts w:cs="Traditional Arabic" w:hint="cs"/>
          <w:szCs w:val="30"/>
          <w:rtl/>
          <w:lang w:eastAsia="zh-TW"/>
        </w:rPr>
        <w:t>، بما في ذلك حرق مدافن القمامة (الفرع السادس</w:t>
      </w:r>
      <w:r w:rsidR="00126C21">
        <w:rPr>
          <w:rFonts w:cs="Traditional Arabic" w:hint="cs"/>
          <w:szCs w:val="30"/>
          <w:rtl/>
          <w:lang w:eastAsia="zh-TW"/>
        </w:rPr>
        <w:t xml:space="preserve"> المتعلق ب</w:t>
      </w:r>
      <w:r w:rsidRPr="00E64BB5">
        <w:rPr>
          <w:rFonts w:cs="Traditional Arabic" w:hint="cs"/>
          <w:szCs w:val="30"/>
          <w:rtl/>
          <w:lang w:eastAsia="zh-TW"/>
        </w:rPr>
        <w:t xml:space="preserve">فئات المصادر الواردة في الجزء الثالث من المرفق جيم). وتعترف المبادئ التوجيهية بأن مفهوم </w:t>
      </w:r>
      <w:r w:rsidR="00F670D4">
        <w:rPr>
          <w:rFonts w:ascii="Traditional Arabic" w:hAnsi="Traditional Arabic" w:cs="Traditional Arabic" w:hint="cs"/>
          <w:sz w:val="30"/>
          <w:szCs w:val="30"/>
          <w:rtl/>
          <w:lang w:eastAsia="zh-TW"/>
        </w:rPr>
        <w:t>ال</w:t>
      </w:r>
      <w:r w:rsidR="00F670D4" w:rsidRPr="00887C28">
        <w:rPr>
          <w:rFonts w:ascii="Traditional Arabic" w:hAnsi="Traditional Arabic" w:cs="Traditional Arabic" w:hint="eastAsia"/>
          <w:sz w:val="30"/>
          <w:szCs w:val="30"/>
          <w:rtl/>
          <w:lang w:eastAsia="zh-TW"/>
        </w:rPr>
        <w:t>حرق</w:t>
      </w:r>
      <w:r w:rsidR="00F670D4" w:rsidRPr="00887C28">
        <w:rPr>
          <w:rFonts w:ascii="Traditional Arabic" w:hAnsi="Traditional Arabic" w:cs="Traditional Arabic"/>
          <w:sz w:val="30"/>
          <w:szCs w:val="30"/>
          <w:rtl/>
          <w:lang w:eastAsia="zh-TW"/>
        </w:rPr>
        <w:t xml:space="preserve"> </w:t>
      </w:r>
      <w:r w:rsidR="00F670D4">
        <w:rPr>
          <w:rFonts w:ascii="Traditional Arabic" w:hAnsi="Traditional Arabic" w:cs="Traditional Arabic" w:hint="cs"/>
          <w:sz w:val="30"/>
          <w:szCs w:val="30"/>
          <w:rtl/>
          <w:lang w:eastAsia="zh-TW"/>
        </w:rPr>
        <w:t xml:space="preserve">المكشوف </w:t>
      </w:r>
      <w:r w:rsidRPr="00E64BB5">
        <w:rPr>
          <w:rFonts w:cs="Traditional Arabic" w:hint="cs"/>
          <w:szCs w:val="30"/>
          <w:rtl/>
          <w:lang w:eastAsia="zh-TW"/>
        </w:rPr>
        <w:t xml:space="preserve">يغطي مجموعة واسعة من الممارسات المختلفة لحرق النفايات غير المتحكم فيه، بما في ذلك حرق </w:t>
      </w:r>
      <w:proofErr w:type="spellStart"/>
      <w:r w:rsidRPr="00E64BB5">
        <w:rPr>
          <w:rFonts w:cs="Traditional Arabic" w:hint="cs"/>
          <w:szCs w:val="30"/>
          <w:rtl/>
          <w:lang w:eastAsia="zh-TW"/>
        </w:rPr>
        <w:t>مدافق</w:t>
      </w:r>
      <w:proofErr w:type="spellEnd"/>
      <w:r w:rsidRPr="00E64BB5">
        <w:rPr>
          <w:rFonts w:cs="Traditional Arabic" w:hint="cs"/>
          <w:szCs w:val="30"/>
          <w:rtl/>
          <w:lang w:eastAsia="zh-TW"/>
        </w:rPr>
        <w:t xml:space="preserve"> القمامة والحرق في الحُفر والحرق على الأرض والحرق في البراميل، كما تعترف بأن </w:t>
      </w:r>
      <w:r w:rsidR="00F670D4">
        <w:rPr>
          <w:rFonts w:ascii="Traditional Arabic" w:hAnsi="Traditional Arabic" w:cs="Traditional Arabic" w:hint="cs"/>
          <w:sz w:val="30"/>
          <w:szCs w:val="30"/>
          <w:rtl/>
          <w:lang w:eastAsia="zh-TW"/>
        </w:rPr>
        <w:t>ال</w:t>
      </w:r>
      <w:r w:rsidR="00F670D4" w:rsidRPr="00887C28">
        <w:rPr>
          <w:rFonts w:ascii="Traditional Arabic" w:hAnsi="Traditional Arabic" w:cs="Traditional Arabic" w:hint="eastAsia"/>
          <w:sz w:val="30"/>
          <w:szCs w:val="30"/>
          <w:rtl/>
          <w:lang w:eastAsia="zh-TW"/>
        </w:rPr>
        <w:t>حرق</w:t>
      </w:r>
      <w:r w:rsidR="00F670D4" w:rsidRPr="00887C28">
        <w:rPr>
          <w:rFonts w:ascii="Traditional Arabic" w:hAnsi="Traditional Arabic" w:cs="Traditional Arabic"/>
          <w:sz w:val="30"/>
          <w:szCs w:val="30"/>
          <w:rtl/>
          <w:lang w:eastAsia="zh-TW"/>
        </w:rPr>
        <w:t xml:space="preserve"> </w:t>
      </w:r>
      <w:r w:rsidR="00F670D4">
        <w:rPr>
          <w:rFonts w:ascii="Traditional Arabic" w:hAnsi="Traditional Arabic" w:cs="Traditional Arabic" w:hint="cs"/>
          <w:sz w:val="30"/>
          <w:szCs w:val="30"/>
          <w:rtl/>
          <w:lang w:eastAsia="zh-TW"/>
        </w:rPr>
        <w:t xml:space="preserve">المكشوف </w:t>
      </w:r>
      <w:r w:rsidRPr="00E64BB5">
        <w:rPr>
          <w:rFonts w:cs="Traditional Arabic" w:hint="cs"/>
          <w:szCs w:val="30"/>
          <w:rtl/>
          <w:lang w:eastAsia="zh-TW"/>
        </w:rPr>
        <w:t>هو الوسيلة الأقل تكلفة والأيسر والأسلم صحيا</w:t>
      </w:r>
      <w:r w:rsidR="00EA6D22">
        <w:rPr>
          <w:rFonts w:cs="Traditional Arabic" w:hint="cs"/>
          <w:szCs w:val="30"/>
          <w:rtl/>
          <w:lang w:eastAsia="zh-TW"/>
        </w:rPr>
        <w:t>ً</w:t>
      </w:r>
      <w:r w:rsidRPr="00E64BB5">
        <w:rPr>
          <w:rFonts w:cs="Traditional Arabic" w:hint="cs"/>
          <w:szCs w:val="30"/>
          <w:rtl/>
          <w:lang w:eastAsia="zh-TW"/>
        </w:rPr>
        <w:t xml:space="preserve"> المتاحة للسكان في كثير من أنحاء العالم لخفض كميات النفايات القابلة للاحتراق والتخلص منها، ولاسيما السكان الذين لا تتاح لهم ترتيبات منظمة لتناول النفايات، والذين  يضطرون إلى الاعتماد على أنفسهم في التخلص من المواد. وفي حين تُبرز المبادئ التوجيهية المواد التي ينبغي تجنبها وتُقدم تقنيات لتحسين عملية الحرق وتجنب الانبعاثات، فإنها تبين بوضوح أن </w:t>
      </w:r>
      <w:r w:rsidR="00F670D4">
        <w:rPr>
          <w:rFonts w:ascii="Traditional Arabic" w:hAnsi="Traditional Arabic" w:cs="Traditional Arabic" w:hint="cs"/>
          <w:sz w:val="30"/>
          <w:szCs w:val="30"/>
          <w:rtl/>
          <w:lang w:eastAsia="zh-TW"/>
        </w:rPr>
        <w:t>ال</w:t>
      </w:r>
      <w:r w:rsidR="00F670D4" w:rsidRPr="00887C28">
        <w:rPr>
          <w:rFonts w:ascii="Traditional Arabic" w:hAnsi="Traditional Arabic" w:cs="Traditional Arabic" w:hint="eastAsia"/>
          <w:sz w:val="30"/>
          <w:szCs w:val="30"/>
          <w:rtl/>
          <w:lang w:eastAsia="zh-TW"/>
        </w:rPr>
        <w:t>حرق</w:t>
      </w:r>
      <w:r w:rsidR="00F670D4" w:rsidRPr="00887C28">
        <w:rPr>
          <w:rFonts w:ascii="Traditional Arabic" w:hAnsi="Traditional Arabic" w:cs="Traditional Arabic"/>
          <w:sz w:val="30"/>
          <w:szCs w:val="30"/>
          <w:rtl/>
          <w:lang w:eastAsia="zh-TW"/>
        </w:rPr>
        <w:t xml:space="preserve"> </w:t>
      </w:r>
      <w:r w:rsidR="00F670D4">
        <w:rPr>
          <w:rFonts w:ascii="Traditional Arabic" w:hAnsi="Traditional Arabic" w:cs="Traditional Arabic" w:hint="cs"/>
          <w:sz w:val="30"/>
          <w:szCs w:val="30"/>
          <w:rtl/>
          <w:lang w:eastAsia="zh-TW"/>
        </w:rPr>
        <w:t xml:space="preserve">المكشوف </w:t>
      </w:r>
      <w:r w:rsidR="00F670D4">
        <w:rPr>
          <w:rFonts w:cs="Traditional Arabic" w:hint="cs"/>
          <w:szCs w:val="30"/>
          <w:rtl/>
          <w:lang w:eastAsia="zh-TW"/>
        </w:rPr>
        <w:t xml:space="preserve">هو </w:t>
      </w:r>
      <w:r w:rsidRPr="00E64BB5">
        <w:rPr>
          <w:rFonts w:cs="Traditional Arabic" w:hint="cs"/>
          <w:szCs w:val="30"/>
          <w:rtl/>
          <w:lang w:eastAsia="zh-TW"/>
        </w:rPr>
        <w:t>عملية غير مقبولة، وأن أفضل التوجيهات تتمثل في التقليل من كمية المواد المتخلص منها بهذه الطريقة، مع السعي إلى القضاء على الحرق كليا</w:t>
      </w:r>
      <w:r w:rsidR="00CF5F64">
        <w:rPr>
          <w:rFonts w:cs="Traditional Arabic" w:hint="cs"/>
          <w:szCs w:val="30"/>
          <w:rtl/>
          <w:lang w:eastAsia="zh-TW"/>
        </w:rPr>
        <w:t>ً</w:t>
      </w:r>
      <w:r w:rsidRPr="00E64BB5">
        <w:rPr>
          <w:rFonts w:cs="Traditional Arabic" w:hint="cs"/>
          <w:szCs w:val="30"/>
          <w:rtl/>
          <w:lang w:eastAsia="zh-TW"/>
        </w:rPr>
        <w:t>.</w:t>
      </w:r>
    </w:p>
    <w:p w14:paraId="229699A6" w14:textId="77777777" w:rsidR="00E64BB5" w:rsidRPr="00CF5F64" w:rsidRDefault="00E64BB5" w:rsidP="00E64BB5">
      <w:pPr>
        <w:pStyle w:val="CH2"/>
        <w:tabs>
          <w:tab w:val="clear" w:pos="851"/>
          <w:tab w:val="clear" w:pos="1247"/>
          <w:tab w:val="clear" w:pos="1814"/>
          <w:tab w:val="clear" w:pos="2381"/>
          <w:tab w:val="clear" w:pos="2948"/>
          <w:tab w:val="clear" w:pos="3515"/>
          <w:tab w:val="clear" w:pos="4082"/>
          <w:tab w:val="left" w:pos="1841"/>
        </w:tabs>
        <w:bidi/>
        <w:spacing w:before="0" w:line="400" w:lineRule="exact"/>
        <w:ind w:left="1134" w:right="0" w:firstLine="0"/>
        <w:jc w:val="both"/>
        <w:textDirection w:val="tbRlV"/>
        <w:rPr>
          <w:rFonts w:cs="Traditional Arabic"/>
          <w:bCs/>
          <w:sz w:val="32"/>
          <w:szCs w:val="32"/>
          <w:rtl/>
          <w:lang w:eastAsia="zh-TW"/>
        </w:rPr>
      </w:pPr>
      <w:r w:rsidRPr="00CF5F64">
        <w:rPr>
          <w:rFonts w:cs="Traditional Arabic" w:hint="cs"/>
          <w:bCs/>
          <w:sz w:val="32"/>
          <w:szCs w:val="32"/>
          <w:rtl/>
          <w:lang w:eastAsia="zh-TW"/>
        </w:rPr>
        <w:t>الإجراء الذي يُقترح أن يتخذه مؤتمر الأطراف</w:t>
      </w:r>
    </w:p>
    <w:p w14:paraId="06914BC7" w14:textId="527DDEF1" w:rsidR="00E64BB5" w:rsidRPr="00E64BB5" w:rsidRDefault="00E64BB5" w:rsidP="00CF5F64">
      <w:pPr>
        <w:pStyle w:val="Normalnumber"/>
        <w:numPr>
          <w:ilvl w:val="0"/>
          <w:numId w:val="20"/>
        </w:numPr>
        <w:tabs>
          <w:tab w:val="left" w:pos="1841"/>
        </w:tabs>
        <w:autoSpaceDE/>
        <w:autoSpaceDN/>
        <w:bidi/>
        <w:adjustRightInd/>
        <w:spacing w:after="0" w:line="400" w:lineRule="exact"/>
        <w:ind w:left="1134"/>
        <w:jc w:val="both"/>
        <w:textDirection w:val="tbRlV"/>
        <w:rPr>
          <w:rFonts w:cs="Traditional Arabic"/>
          <w:szCs w:val="30"/>
          <w:rtl/>
          <w:lang w:eastAsia="zh-TW"/>
        </w:rPr>
      </w:pPr>
      <w:r w:rsidRPr="00E64BB5">
        <w:rPr>
          <w:rFonts w:cs="Traditional Arabic" w:hint="cs"/>
          <w:szCs w:val="30"/>
          <w:rtl/>
          <w:lang w:eastAsia="zh-TW"/>
        </w:rPr>
        <w:t xml:space="preserve">قد يود مؤتمر الأطراف أن ينظر في المعلومات المقدمة خلال مناقشاته لمسألة الحاجة إلى اتخاذ المزيد من الإجراءات بشأن  انبعاثات الزئبق الناتجة عن </w:t>
      </w:r>
      <w:r w:rsidR="00F670D4">
        <w:rPr>
          <w:rFonts w:ascii="Traditional Arabic" w:hAnsi="Traditional Arabic" w:cs="Traditional Arabic" w:hint="cs"/>
          <w:sz w:val="30"/>
          <w:szCs w:val="30"/>
          <w:rtl/>
          <w:lang w:eastAsia="zh-TW"/>
        </w:rPr>
        <w:t>ال</w:t>
      </w:r>
      <w:r w:rsidR="00F670D4" w:rsidRPr="00887C28">
        <w:rPr>
          <w:rFonts w:ascii="Traditional Arabic" w:hAnsi="Traditional Arabic" w:cs="Traditional Arabic" w:hint="eastAsia"/>
          <w:sz w:val="30"/>
          <w:szCs w:val="30"/>
          <w:rtl/>
          <w:lang w:eastAsia="zh-TW"/>
        </w:rPr>
        <w:t>حرق</w:t>
      </w:r>
      <w:r w:rsidR="00F670D4" w:rsidRPr="00887C28">
        <w:rPr>
          <w:rFonts w:ascii="Traditional Arabic" w:hAnsi="Traditional Arabic" w:cs="Traditional Arabic"/>
          <w:sz w:val="30"/>
          <w:szCs w:val="30"/>
          <w:rtl/>
          <w:lang w:eastAsia="zh-TW"/>
        </w:rPr>
        <w:t xml:space="preserve"> </w:t>
      </w:r>
      <w:r w:rsidR="00F670D4">
        <w:rPr>
          <w:rFonts w:ascii="Traditional Arabic" w:hAnsi="Traditional Arabic" w:cs="Traditional Arabic" w:hint="cs"/>
          <w:sz w:val="30"/>
          <w:szCs w:val="30"/>
          <w:rtl/>
          <w:lang w:eastAsia="zh-TW"/>
        </w:rPr>
        <w:t>المكشوف ل</w:t>
      </w:r>
      <w:r w:rsidR="00F670D4" w:rsidRPr="00887C28">
        <w:rPr>
          <w:rFonts w:ascii="Traditional Arabic" w:hAnsi="Traditional Arabic" w:cs="Traditional Arabic" w:hint="eastAsia"/>
          <w:sz w:val="30"/>
          <w:szCs w:val="30"/>
          <w:rtl/>
          <w:lang w:eastAsia="zh-TW"/>
        </w:rPr>
        <w:t>لنفايات</w:t>
      </w:r>
      <w:r w:rsidRPr="00E64BB5">
        <w:rPr>
          <w:rFonts w:cs="Traditional Arabic" w:hint="cs"/>
          <w:szCs w:val="30"/>
          <w:rtl/>
          <w:lang w:eastAsia="zh-TW"/>
        </w:rPr>
        <w:t>، وأن يطلب إلى الأمانة، باعتبار العدد المحدود من التقارير الواردة بهذا الخصوص، مواصلة تجميع المعلومات عن هذه المسألة من الأطراف والجهات المعنية الأخرى، فضلا</w:t>
      </w:r>
      <w:r w:rsidR="00EA6D22">
        <w:rPr>
          <w:rFonts w:cs="Traditional Arabic" w:hint="cs"/>
          <w:szCs w:val="30"/>
          <w:rtl/>
          <w:lang w:eastAsia="zh-TW"/>
        </w:rPr>
        <w:t>ً</w:t>
      </w:r>
      <w:r w:rsidRPr="00E64BB5">
        <w:rPr>
          <w:rFonts w:cs="Traditional Arabic" w:hint="cs"/>
          <w:szCs w:val="30"/>
          <w:rtl/>
          <w:lang w:eastAsia="zh-TW"/>
        </w:rPr>
        <w:t xml:space="preserve"> عن المعلومات المستقاة من نظر المؤتمر عموما</w:t>
      </w:r>
      <w:r w:rsidR="00EA6D22">
        <w:rPr>
          <w:rFonts w:cs="Traditional Arabic" w:hint="cs"/>
          <w:szCs w:val="30"/>
          <w:rtl/>
          <w:lang w:eastAsia="zh-TW"/>
        </w:rPr>
        <w:t>ً</w:t>
      </w:r>
      <w:r w:rsidRPr="00E64BB5">
        <w:rPr>
          <w:rFonts w:cs="Traditional Arabic" w:hint="cs"/>
          <w:szCs w:val="30"/>
          <w:rtl/>
          <w:lang w:eastAsia="zh-TW"/>
        </w:rPr>
        <w:t xml:space="preserve"> في قوائم الجرد </w:t>
      </w:r>
      <w:r w:rsidR="002D007D">
        <w:rPr>
          <w:rFonts w:cs="Traditional Arabic" w:hint="cs"/>
          <w:szCs w:val="30"/>
          <w:rtl/>
          <w:lang w:eastAsia="zh-TW"/>
        </w:rPr>
        <w:t>المتاحة</w:t>
      </w:r>
      <w:r w:rsidRPr="00E64BB5">
        <w:rPr>
          <w:rFonts w:cs="Traditional Arabic" w:hint="cs"/>
          <w:szCs w:val="30"/>
          <w:rtl/>
          <w:lang w:eastAsia="zh-TW"/>
        </w:rPr>
        <w:t>. وقد يود مؤتمر الأطراف أيضا</w:t>
      </w:r>
      <w:r w:rsidR="00EA6D22">
        <w:rPr>
          <w:rFonts w:cs="Traditional Arabic" w:hint="cs"/>
          <w:szCs w:val="30"/>
          <w:rtl/>
          <w:lang w:eastAsia="zh-TW"/>
        </w:rPr>
        <w:t>ً</w:t>
      </w:r>
      <w:r w:rsidRPr="00E64BB5">
        <w:rPr>
          <w:rFonts w:cs="Traditional Arabic" w:hint="cs"/>
          <w:szCs w:val="30"/>
          <w:rtl/>
          <w:lang w:eastAsia="zh-TW"/>
        </w:rPr>
        <w:t xml:space="preserve"> أن يطلب إلى الأمانة مواصلة التعاون بشأن هذه المسألة مع أمانة اتفاقيات بازل وروتردام واستكهولم، وإفادة المؤتمر بما يستجد من معلومات بهذا الصدد في اجتماعه الثالث.</w:t>
      </w:r>
    </w:p>
    <w:p w14:paraId="6A2AE965" w14:textId="77777777" w:rsidR="00451ABD" w:rsidRDefault="0038322E" w:rsidP="000A7260">
      <w:pPr>
        <w:bidi/>
        <w:spacing w:after="120" w:line="400" w:lineRule="exact"/>
        <w:ind w:left="1134"/>
        <w:jc w:val="center"/>
        <w:rPr>
          <w:sz w:val="30"/>
          <w:rtl/>
        </w:rPr>
      </w:pPr>
      <w:r>
        <w:rPr>
          <w:sz w:val="30"/>
        </w:rPr>
        <w:t>____</w:t>
      </w:r>
      <w:r w:rsidR="00EC3A5F">
        <w:rPr>
          <w:sz w:val="30"/>
        </w:rPr>
        <w:t>________</w:t>
      </w:r>
    </w:p>
    <w:sectPr w:rsidR="00451ABD" w:rsidSect="006F6824">
      <w:headerReference w:type="even" r:id="rId11"/>
      <w:headerReference w:type="default" r:id="rId12"/>
      <w:footerReference w:type="even" r:id="rId13"/>
      <w:footerReference w:type="default" r:id="rId14"/>
      <w:footerReference w:type="first" r:id="rId15"/>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BE5E0" w14:textId="77777777" w:rsidR="0042042E" w:rsidRDefault="0042042E">
      <w:r>
        <w:separator/>
      </w:r>
    </w:p>
  </w:endnote>
  <w:endnote w:type="continuationSeparator" w:id="0">
    <w:p w14:paraId="2889AF2F" w14:textId="77777777" w:rsidR="0042042E" w:rsidRDefault="0042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abic Transparent">
    <w:altName w:val="Calibri"/>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8F787" w14:textId="5F65C05A" w:rsidR="0042042E" w:rsidRPr="007B173A" w:rsidRDefault="0042042E" w:rsidP="00E0494C">
    <w:pPr>
      <w:pStyle w:val="Footer"/>
      <w:tabs>
        <w:tab w:val="clear" w:pos="4153"/>
        <w:tab w:val="clear" w:pos="8306"/>
      </w:tabs>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7907DA">
      <w:rPr>
        <w:rStyle w:val="PageNumber"/>
        <w:rFonts w:ascii="Times New Roman" w:hAnsi="Times New Roman" w:cs="Times New Roman"/>
      </w:rPr>
      <w:t>2</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8A7BE" w14:textId="26CBE163" w:rsidR="0042042E" w:rsidRPr="007B173A" w:rsidRDefault="0042042E" w:rsidP="00E0494C">
    <w:pPr>
      <w:pStyle w:val="Footer"/>
      <w:tabs>
        <w:tab w:val="clear" w:pos="4153"/>
        <w:tab w:val="clear" w:pos="8306"/>
      </w:tabs>
      <w:spacing w:before="40"/>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7907DA">
      <w:rPr>
        <w:rStyle w:val="PageNumber"/>
        <w:rFonts w:ascii="Times New Roman" w:hAnsi="Times New Roman" w:cs="Times New Roman"/>
      </w:rPr>
      <w:t>3</w:t>
    </w:r>
    <w:r w:rsidRPr="007B173A">
      <w:rPr>
        <w:rStyle w:val="PageNumbe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C3543" w14:textId="77D54345" w:rsidR="0042042E" w:rsidRPr="00D80FA4" w:rsidRDefault="00D80FA4" w:rsidP="006E1D97">
    <w:pPr>
      <w:pStyle w:val="Footer"/>
      <w:tabs>
        <w:tab w:val="clear" w:pos="4153"/>
        <w:tab w:val="clear" w:pos="8306"/>
      </w:tabs>
      <w:bidi/>
      <w:jc w:val="left"/>
      <w:rPr>
        <w:rFonts w:asciiTheme="majorBidi" w:hAnsiTheme="majorBidi" w:cstheme="majorBidi"/>
        <w:szCs w:val="20"/>
      </w:rPr>
    </w:pPr>
    <w:r w:rsidRPr="00D80FA4">
      <w:rPr>
        <w:rStyle w:val="PageNumber"/>
        <w:rFonts w:asciiTheme="majorBidi" w:hAnsiTheme="majorBidi" w:cstheme="majorBidi"/>
        <w:szCs w:val="20"/>
      </w:rPr>
      <w:t>K1</w:t>
    </w:r>
    <w:r w:rsidR="002772B3">
      <w:rPr>
        <w:rStyle w:val="PageNumber"/>
        <w:rFonts w:asciiTheme="majorBidi" w:hAnsiTheme="majorBidi" w:cstheme="majorBidi"/>
        <w:szCs w:val="20"/>
      </w:rPr>
      <w:t>8</w:t>
    </w:r>
    <w:r w:rsidRPr="00D80FA4">
      <w:rPr>
        <w:rStyle w:val="PageNumber"/>
        <w:rFonts w:asciiTheme="majorBidi" w:hAnsiTheme="majorBidi" w:cstheme="majorBidi"/>
        <w:szCs w:val="20"/>
      </w:rPr>
      <w:t>0</w:t>
    </w:r>
    <w:r w:rsidR="00E64BB5">
      <w:rPr>
        <w:rStyle w:val="PageNumber"/>
        <w:rFonts w:asciiTheme="majorBidi" w:hAnsiTheme="majorBidi" w:cstheme="majorBidi"/>
        <w:szCs w:val="20"/>
      </w:rPr>
      <w:t>2139</w:t>
    </w:r>
    <w:r w:rsidR="006E1D97">
      <w:rPr>
        <w:rStyle w:val="PageNumber"/>
        <w:rFonts w:asciiTheme="majorBidi" w:hAnsiTheme="majorBidi" w:cstheme="majorBidi" w:hint="cs"/>
        <w:szCs w:val="20"/>
        <w:rtl/>
      </w:rPr>
      <w:tab/>
    </w:r>
    <w:r w:rsidR="00F47129">
      <w:rPr>
        <w:rStyle w:val="PageNumber"/>
        <w:rFonts w:asciiTheme="majorBidi" w:hAnsiTheme="majorBidi" w:cstheme="majorBidi"/>
        <w:szCs w:val="20"/>
      </w:rPr>
      <w:t>0710</w:t>
    </w:r>
    <w:r w:rsidR="006E1D97" w:rsidRPr="00D80FA4">
      <w:rPr>
        <w:rStyle w:val="PageNumber"/>
        <w:rFonts w:asciiTheme="majorBidi" w:hAnsiTheme="majorBidi" w:cstheme="majorBidi"/>
        <w:szCs w:val="20"/>
      </w:rPr>
      <w:t>1</w:t>
    </w:r>
    <w:r w:rsidR="002772B3">
      <w:rPr>
        <w:rStyle w:val="PageNumber"/>
        <w:rFonts w:asciiTheme="majorBidi" w:hAnsiTheme="majorBidi" w:cstheme="majorBidi"/>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D8322" w14:textId="77777777" w:rsidR="0042042E" w:rsidRDefault="0042042E" w:rsidP="008A79DC">
      <w:pPr>
        <w:bidi/>
        <w:ind w:left="720"/>
      </w:pPr>
      <w:r>
        <w:separator/>
      </w:r>
    </w:p>
  </w:footnote>
  <w:footnote w:type="continuationSeparator" w:id="0">
    <w:p w14:paraId="54C346D8" w14:textId="77777777" w:rsidR="0042042E" w:rsidRDefault="0042042E">
      <w:r>
        <w:continuationSeparator/>
      </w:r>
    </w:p>
  </w:footnote>
  <w:footnote w:id="1">
    <w:p w14:paraId="5FF151A3" w14:textId="77777777" w:rsidR="00BE3C21" w:rsidRPr="00C762BE" w:rsidRDefault="00BE3C21" w:rsidP="00CF5F64">
      <w:pPr>
        <w:bidi/>
        <w:spacing w:before="20" w:after="40"/>
        <w:ind w:left="1132"/>
        <w:jc w:val="both"/>
        <w:rPr>
          <w:rFonts w:asciiTheme="majorBidi" w:hAnsiTheme="majorBidi" w:cstheme="majorBidi"/>
          <w:bCs/>
          <w:szCs w:val="20"/>
          <w:rtl/>
        </w:rPr>
      </w:pPr>
      <w:r>
        <w:rPr>
          <w:rFonts w:asciiTheme="majorBidi" w:hAnsiTheme="majorBidi" w:cstheme="majorBidi"/>
          <w:bCs/>
          <w:szCs w:val="20"/>
        </w:rPr>
        <w:t>.</w:t>
      </w:r>
      <w:r w:rsidRPr="00C762BE">
        <w:rPr>
          <w:rFonts w:asciiTheme="majorBidi" w:hAnsiTheme="majorBidi" w:cstheme="majorBidi"/>
          <w:bCs/>
          <w:szCs w:val="20"/>
        </w:rPr>
        <w:t>UNEP/MC/COP.2/1</w:t>
      </w:r>
      <w:r>
        <w:rPr>
          <w:rFonts w:asciiTheme="majorBidi" w:hAnsiTheme="majorBidi" w:cstheme="majorBidi"/>
          <w:bCs/>
          <w:szCs w:val="20"/>
        </w:rPr>
        <w:t xml:space="preserve">  </w:t>
      </w:r>
      <w:r w:rsidRPr="00C762BE">
        <w:rPr>
          <w:rFonts w:asciiTheme="majorBidi" w:hAnsiTheme="majorBidi" w:cstheme="majorBidi"/>
          <w:bCs/>
          <w:szCs w:val="20"/>
        </w:rPr>
        <w:t>*</w:t>
      </w:r>
    </w:p>
  </w:footnote>
  <w:footnote w:id="2">
    <w:p w14:paraId="0F14B5F0" w14:textId="7ECDF9F2" w:rsidR="00E64BB5" w:rsidRPr="00CF5F64" w:rsidRDefault="00E64BB5" w:rsidP="00CF5F64">
      <w:pPr>
        <w:pStyle w:val="FootnoteText"/>
        <w:bidi/>
        <w:spacing w:after="60" w:line="300" w:lineRule="exact"/>
        <w:ind w:left="1134"/>
        <w:jc w:val="both"/>
        <w:textDirection w:val="tbRlV"/>
        <w:rPr>
          <w:rFonts w:ascii="Traditional Arabic" w:hAnsi="Traditional Arabic"/>
          <w:sz w:val="26"/>
          <w:szCs w:val="26"/>
          <w:rtl/>
          <w:lang w:val="en-GB" w:eastAsia="zh-TW"/>
        </w:rPr>
      </w:pPr>
      <w:r w:rsidRPr="00CF5F64">
        <w:rPr>
          <w:rFonts w:ascii="Traditional Arabic" w:hAnsi="Traditional Arabic" w:hint="cs"/>
          <w:sz w:val="26"/>
          <w:szCs w:val="26"/>
          <w:rtl/>
          <w:lang w:val="en-GB" w:eastAsia="zh-TW"/>
        </w:rPr>
        <w:t>(</w:t>
      </w:r>
      <w:r w:rsidRPr="00CF5F64">
        <w:rPr>
          <w:rStyle w:val="FootnoteReference"/>
          <w:rFonts w:ascii="Traditional Arabic" w:hAnsi="Traditional Arabic" w:hint="cs"/>
          <w:sz w:val="26"/>
          <w:szCs w:val="26"/>
          <w:vertAlign w:val="baseline"/>
          <w:lang w:val="en-GB" w:eastAsia="zh-TW"/>
        </w:rPr>
        <w:footnoteRef/>
      </w:r>
      <w:r w:rsidRPr="00CF5F64">
        <w:rPr>
          <w:rFonts w:ascii="Traditional Arabic" w:hAnsi="Traditional Arabic" w:hint="cs"/>
          <w:sz w:val="26"/>
          <w:szCs w:val="26"/>
          <w:lang w:eastAsia="zh-TW"/>
        </w:rPr>
        <w:t>(</w:t>
      </w:r>
      <w:r w:rsidR="00CF5F64">
        <w:rPr>
          <w:rFonts w:ascii="Traditional Arabic" w:hAnsi="Traditional Arabic" w:hint="cs"/>
          <w:sz w:val="26"/>
          <w:szCs w:val="26"/>
          <w:rtl/>
          <w:lang w:val="en-GB" w:eastAsia="zh-TW"/>
        </w:rPr>
        <w:t xml:space="preserve"> </w:t>
      </w:r>
      <w:r w:rsidRPr="00CF5F64">
        <w:rPr>
          <w:rFonts w:ascii="Traditional Arabic" w:hAnsi="Traditional Arabic" w:hint="cs"/>
          <w:sz w:val="26"/>
          <w:szCs w:val="26"/>
          <w:rtl/>
          <w:lang w:val="en-GB" w:eastAsia="zh-TW"/>
        </w:rPr>
        <w:t xml:space="preserve"> التوجيهات بشأن أفضل التقنيات المتاحة وأفضل الممارسات البيئية التي اعتمدها مؤتمر الأطراف في اتفاقية ميناماتا خلال اجتماعه الأول من أجل مساعدة الأطراف على الوفاء بالتزاماتها بموجب المادة ٨ (</w:t>
      </w:r>
      <w:r w:rsidRPr="00CF5F64">
        <w:rPr>
          <w:rFonts w:asciiTheme="majorBidi" w:hAnsiTheme="majorBidi" w:cstheme="majorBidi"/>
          <w:sz w:val="18"/>
          <w:szCs w:val="18"/>
          <w:lang w:val="en-GB" w:eastAsia="zh-TW"/>
        </w:rPr>
        <w:t>UNEP/MC/COP.1/7</w:t>
      </w:r>
      <w:r w:rsidRPr="00CF5F64">
        <w:rPr>
          <w:rFonts w:ascii="Traditional Arabic" w:hAnsi="Traditional Arabic" w:hint="cs"/>
          <w:sz w:val="26"/>
          <w:szCs w:val="26"/>
          <w:rtl/>
          <w:lang w:val="en-GB" w:eastAsia="zh-TW"/>
        </w:rPr>
        <w:t>، المرفق الثاني).</w:t>
      </w:r>
    </w:p>
  </w:footnote>
  <w:footnote w:id="3">
    <w:p w14:paraId="289464D9" w14:textId="2C491F03" w:rsidR="00E64BB5" w:rsidRPr="00CF5F64" w:rsidRDefault="002D007D" w:rsidP="00CF5F64">
      <w:pPr>
        <w:pStyle w:val="FootnoteText"/>
        <w:bidi/>
        <w:spacing w:after="60" w:line="300" w:lineRule="exact"/>
        <w:ind w:left="1134"/>
        <w:jc w:val="both"/>
        <w:textDirection w:val="tbRlV"/>
        <w:rPr>
          <w:rFonts w:ascii="Traditional Arabic" w:hAnsi="Traditional Arabic"/>
          <w:sz w:val="26"/>
          <w:szCs w:val="26"/>
          <w:rtl/>
          <w:lang w:val="en-GB" w:eastAsia="zh-TW"/>
        </w:rPr>
      </w:pPr>
      <w:r w:rsidRPr="00CF5F64">
        <w:rPr>
          <w:rFonts w:ascii="Traditional Arabic" w:hAnsi="Traditional Arabic" w:hint="cs"/>
          <w:sz w:val="26"/>
          <w:szCs w:val="26"/>
          <w:rtl/>
          <w:lang w:val="en-GB" w:eastAsia="zh-TW"/>
        </w:rPr>
        <w:t>(</w:t>
      </w:r>
      <w:r w:rsidRPr="00CF5F64">
        <w:rPr>
          <w:rFonts w:ascii="Traditional Arabic" w:hAnsi="Traditional Arabic" w:hint="cs"/>
          <w:sz w:val="26"/>
          <w:szCs w:val="26"/>
          <w:rtl/>
        </w:rPr>
        <w:footnoteRef/>
      </w:r>
      <w:r>
        <w:rPr>
          <w:rFonts w:ascii="Traditional Arabic" w:hAnsi="Traditional Arabic" w:hint="cs"/>
          <w:sz w:val="26"/>
          <w:szCs w:val="26"/>
          <w:rtl/>
          <w:lang w:val="en-GB" w:eastAsia="zh-TW"/>
        </w:rPr>
        <w:t xml:space="preserve">)  </w:t>
      </w:r>
      <w:r w:rsidR="00E64BB5">
        <w:rPr>
          <w:rFonts w:ascii="Traditional Arabic" w:hAnsi="Traditional Arabic" w:hint="cs"/>
          <w:sz w:val="26"/>
          <w:szCs w:val="26"/>
          <w:rtl/>
          <w:lang w:val="en-GB" w:eastAsia="zh-TW"/>
        </w:rPr>
        <w:t xml:space="preserve">وثيقة </w:t>
      </w:r>
      <w:r w:rsidR="00E64BB5" w:rsidRPr="003A4D29">
        <w:rPr>
          <w:rFonts w:ascii="Traditional Arabic" w:hAnsi="Traditional Arabic" w:hint="cs"/>
          <w:sz w:val="26"/>
          <w:szCs w:val="26"/>
          <w:rtl/>
          <w:lang w:val="en-GB" w:eastAsia="zh-TW"/>
        </w:rPr>
        <w:t>’’</w:t>
      </w:r>
      <w:r w:rsidR="00E64BB5" w:rsidRPr="00CF5F64">
        <w:rPr>
          <w:rFonts w:ascii="Traditional Arabic" w:hAnsi="Traditional Arabic"/>
          <w:sz w:val="26"/>
          <w:szCs w:val="26"/>
          <w:lang w:val="en-GB" w:eastAsia="zh-TW"/>
        </w:rPr>
        <w:t xml:space="preserve"> </w:t>
      </w:r>
      <w:r w:rsidR="00E64BB5" w:rsidRPr="00CF5F64">
        <w:rPr>
          <w:rFonts w:asciiTheme="majorBidi" w:hAnsiTheme="majorBidi" w:cstheme="majorBidi"/>
          <w:sz w:val="18"/>
          <w:szCs w:val="18"/>
          <w:lang w:val="en-GB" w:eastAsia="zh-TW"/>
        </w:rPr>
        <w:t>Where are WEee in Africa?</w:t>
      </w:r>
      <w:r w:rsidR="00E64BB5">
        <w:rPr>
          <w:rFonts w:ascii="Traditional Arabic" w:hAnsi="Traditional Arabic" w:hint="cs"/>
          <w:sz w:val="26"/>
          <w:szCs w:val="26"/>
          <w:rtl/>
          <w:lang w:val="en-GB" w:eastAsia="zh-TW"/>
        </w:rPr>
        <w:t>(</w:t>
      </w:r>
      <w:r w:rsidR="00E64BB5" w:rsidRPr="003A4D29">
        <w:rPr>
          <w:rFonts w:ascii="Traditional Arabic" w:hAnsi="Traditional Arabic" w:hint="cs"/>
          <w:sz w:val="26"/>
          <w:szCs w:val="26"/>
          <w:rtl/>
          <w:lang w:val="en-GB" w:eastAsia="zh-TW"/>
        </w:rPr>
        <w:t>أين نفايات المعدات الإلكترونية والكهربائية في أفريقيا؟</w:t>
      </w:r>
      <w:r w:rsidR="00E64BB5">
        <w:rPr>
          <w:rFonts w:ascii="Traditional Arabic" w:hAnsi="Traditional Arabic" w:hint="cs"/>
          <w:sz w:val="26"/>
          <w:szCs w:val="26"/>
          <w:rtl/>
          <w:lang w:val="en-GB" w:eastAsia="zh-TW"/>
        </w:rPr>
        <w:t>)</w:t>
      </w:r>
      <w:r w:rsidR="00E64BB5" w:rsidRPr="003A4D29">
        <w:rPr>
          <w:rFonts w:ascii="Traditional Arabic" w:hAnsi="Traditional Arabic" w:hint="cs"/>
          <w:sz w:val="26"/>
          <w:szCs w:val="26"/>
          <w:rtl/>
          <w:lang w:val="en-GB" w:eastAsia="zh-TW"/>
        </w:rPr>
        <w:t>‘‘</w:t>
      </w:r>
      <w:r>
        <w:rPr>
          <w:rFonts w:ascii="Traditional Arabic" w:hAnsi="Traditional Arabic" w:hint="cs"/>
          <w:sz w:val="26"/>
          <w:szCs w:val="26"/>
          <w:rtl/>
          <w:lang w:val="en-GB" w:eastAsia="zh-TW"/>
        </w:rPr>
        <w:t xml:space="preserve"> </w:t>
      </w:r>
      <w:r w:rsidR="00E64BB5" w:rsidRPr="003A4D29">
        <w:rPr>
          <w:rFonts w:ascii="Traditional Arabic" w:hAnsi="Traditional Arabic" w:hint="cs"/>
          <w:sz w:val="26"/>
          <w:szCs w:val="26"/>
          <w:rtl/>
          <w:lang w:val="en-GB" w:eastAsia="zh-TW"/>
        </w:rPr>
        <w:t>أمانة اتفاقية بازل، كانون الأول/ديسمبر ٢٠١١. وقد أُعد هذا المنشور في إطار المشروع المعنون ’’بناء القدرات المحلية على معالجة تدفق النفايات الإلكترونية والمنتجات الكهربائية والإلكترونية المخصصة لإعادة الاستخدام في مجموعة مختارة من البلدان الأفريقية، وتعزيز الإدارة المستدامة للموارد عن طريق استرداد المواد الموجودة في النفايات الإلكترونية‘‘.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F20E" w14:textId="5C2F5AD5" w:rsidR="0042042E" w:rsidRPr="00E64BB5" w:rsidRDefault="00934FB6" w:rsidP="00D113A9">
    <w:pPr>
      <w:pBdr>
        <w:bottom w:val="single" w:sz="4" w:space="0" w:color="auto"/>
      </w:pBdr>
      <w:spacing w:before="20" w:after="40"/>
      <w:jc w:val="right"/>
      <w:rPr>
        <w:b/>
        <w:bCs/>
        <w:sz w:val="17"/>
        <w:szCs w:val="17"/>
        <w:rtl/>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w:t>
    </w:r>
    <w:r w:rsidR="002772B3">
      <w:rPr>
        <w:rFonts w:cs="Times New Roman"/>
        <w:b/>
        <w:bCs/>
        <w:sz w:val="17"/>
        <w:szCs w:val="17"/>
      </w:rPr>
      <w:t>2</w:t>
    </w:r>
    <w:r>
      <w:rPr>
        <w:rFonts w:cs="Times New Roman"/>
        <w:b/>
        <w:bCs/>
        <w:sz w:val="17"/>
        <w:szCs w:val="17"/>
      </w:rPr>
      <w:t>/</w:t>
    </w:r>
    <w:r w:rsidR="00E64BB5">
      <w:rPr>
        <w:rFonts w:cs="Times New Roman"/>
        <w:b/>
        <w:bCs/>
        <w:sz w:val="17"/>
        <w:szCs w:val="17"/>
      </w:rPr>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B810D" w14:textId="06E9A50A" w:rsidR="0042042E" w:rsidRPr="00EC3A5F" w:rsidRDefault="00934FB6" w:rsidP="00D113A9">
    <w:pPr>
      <w:pBdr>
        <w:bottom w:val="single" w:sz="4" w:space="0" w:color="auto"/>
      </w:pBdr>
      <w:spacing w:before="20" w:after="4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w:t>
    </w:r>
    <w:r w:rsidR="002772B3">
      <w:rPr>
        <w:rFonts w:cs="Times New Roman"/>
        <w:b/>
        <w:bCs/>
        <w:sz w:val="17"/>
        <w:szCs w:val="17"/>
      </w:rPr>
      <w:t>2</w:t>
    </w:r>
    <w:r>
      <w:rPr>
        <w:rFonts w:cs="Times New Roman"/>
        <w:b/>
        <w:bCs/>
        <w:sz w:val="17"/>
        <w:szCs w:val="17"/>
      </w:rPr>
      <w:t>/</w:t>
    </w:r>
    <w:r w:rsidR="00E64BB5">
      <w:rPr>
        <w:rFonts w:cs="Times New Roman"/>
        <w:b/>
        <w:bCs/>
        <w:sz w:val="17"/>
        <w:szCs w:val="17"/>
      </w:rPr>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8AA0772"/>
    <w:multiLevelType w:val="hybridMultilevel"/>
    <w:tmpl w:val="06A41752"/>
    <w:lvl w:ilvl="0" w:tplc="8A160952">
      <w:start w:val="1"/>
      <w:numFmt w:val="decimal"/>
      <w:lvlText w:val="%1-"/>
      <w:lvlJc w:val="left"/>
      <w:pPr>
        <w:ind w:left="133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AF42CD"/>
    <w:multiLevelType w:val="hybridMultilevel"/>
    <w:tmpl w:val="6A0A80CE"/>
    <w:lvl w:ilvl="0" w:tplc="E27672C8">
      <w:start w:val="1"/>
      <w:numFmt w:val="decimal"/>
      <w:lvlText w:val="%1-"/>
      <w:lvlJc w:val="left"/>
      <w:pPr>
        <w:ind w:left="1817" w:hanging="570"/>
      </w:pPr>
      <w:rPr>
        <w:rFonts w:hint="default"/>
        <w:b/>
        <w:bCs w:val="0"/>
        <w:i w:val="0"/>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927E40"/>
    <w:multiLevelType w:val="hybridMultilevel"/>
    <w:tmpl w:val="1D7091DA"/>
    <w:lvl w:ilvl="0" w:tplc="36C81850">
      <w:start w:val="21"/>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95D64A6"/>
    <w:multiLevelType w:val="hybridMultilevel"/>
    <w:tmpl w:val="4B54480E"/>
    <w:lvl w:ilvl="0" w:tplc="30CC5704">
      <w:start w:val="1"/>
      <w:numFmt w:val="bullet"/>
      <w:lvlText w:val=""/>
      <w:lvlJc w:val="left"/>
      <w:pPr>
        <w:ind w:left="720" w:hanging="360"/>
      </w:pPr>
      <w:rPr>
        <w:rFonts w:ascii="Symbol" w:hAnsi="Symbol" w:hint="default"/>
        <w:sz w:val="20"/>
        <w:szCs w:val="20"/>
      </w:rPr>
    </w:lvl>
    <w:lvl w:ilvl="1" w:tplc="C04E133C">
      <w:start w:val="1"/>
      <w:numFmt w:val="bullet"/>
      <w:lvlText w:val=""/>
      <w:lvlJc w:val="left"/>
      <w:pPr>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2C831C3"/>
    <w:multiLevelType w:val="hybridMultilevel"/>
    <w:tmpl w:val="8B92FE12"/>
    <w:lvl w:ilvl="0" w:tplc="8F5891F2">
      <w:start w:val="17"/>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0C8561A"/>
    <w:multiLevelType w:val="singleLevel"/>
    <w:tmpl w:val="779E85D6"/>
    <w:lvl w:ilvl="0">
      <w:numFmt w:val="ganada"/>
      <w:lvlText w:val="%1"/>
      <w:lvlJc w:val="left"/>
      <w:pPr>
        <w:tabs>
          <w:tab w:val="num" w:pos="360"/>
        </w:tabs>
        <w:ind w:right="360" w:hanging="360"/>
      </w:pPr>
      <w:rPr>
        <w:rFonts w:hint="default"/>
      </w:rPr>
    </w:lvl>
  </w:abstractNum>
  <w:abstractNum w:abstractNumId="8"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9" w15:restartNumberingAfterBreak="0">
    <w:nsid w:val="54DA0699"/>
    <w:multiLevelType w:val="hybridMultilevel"/>
    <w:tmpl w:val="33CECC38"/>
    <w:lvl w:ilvl="0" w:tplc="6CD47A02">
      <w:start w:val="1"/>
      <w:numFmt w:val="arabicAlpha"/>
      <w:lvlText w:val="(%1)"/>
      <w:lvlJc w:val="left"/>
      <w:pPr>
        <w:ind w:left="2138" w:hanging="720"/>
      </w:pPr>
      <w:rPr>
        <w:rFonts w:hint="default"/>
        <w:color w:val="auto"/>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0" w15:restartNumberingAfterBreak="0">
    <w:nsid w:val="57B346CB"/>
    <w:multiLevelType w:val="hybridMultilevel"/>
    <w:tmpl w:val="69EAD434"/>
    <w:lvl w:ilvl="0" w:tplc="6ED6A31E">
      <w:start w:val="1"/>
      <w:numFmt w:val="bullet"/>
      <w:lvlText w:val=""/>
      <w:lvlJc w:val="left"/>
      <w:pPr>
        <w:ind w:left="2061" w:hanging="360"/>
      </w:pPr>
      <w:rPr>
        <w:rFonts w:ascii="Symbol" w:hAnsi="Symbol" w:hint="default"/>
        <w:sz w:val="20"/>
        <w:szCs w:val="20"/>
      </w:rPr>
    </w:lvl>
    <w:lvl w:ilvl="1" w:tplc="4A9CADDE">
      <w:start w:val="1"/>
      <w:numFmt w:val="bullet"/>
      <w:lvlText w:val="˗"/>
      <w:lvlJc w:val="left"/>
      <w:pPr>
        <w:ind w:left="1494"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5D717927"/>
    <w:multiLevelType w:val="hybridMultilevel"/>
    <w:tmpl w:val="9E1C1C44"/>
    <w:lvl w:ilvl="0" w:tplc="D5D03EE0">
      <w:start w:val="1"/>
      <w:numFmt w:val="bullet"/>
      <w:lvlText w:val=""/>
      <w:lvlJc w:val="left"/>
      <w:pPr>
        <w:ind w:left="2880" w:hanging="360"/>
      </w:pPr>
      <w:rPr>
        <w:rFonts w:ascii="Symbol" w:eastAsiaTheme="minorHAnsi" w:hAnsi="Symbol" w:cs="Traditional Arabic"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ED2721E"/>
    <w:multiLevelType w:val="hybridMultilevel"/>
    <w:tmpl w:val="4A56294A"/>
    <w:lvl w:ilvl="0" w:tplc="6FD6C01A">
      <w:start w:val="18"/>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4" w15:restartNumberingAfterBreak="0">
    <w:nsid w:val="6F2116D9"/>
    <w:multiLevelType w:val="hybridMultilevel"/>
    <w:tmpl w:val="460A455E"/>
    <w:lvl w:ilvl="0" w:tplc="B724672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6"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16"/>
  </w:num>
  <w:num w:numId="4">
    <w:abstractNumId w:val="15"/>
  </w:num>
  <w:num w:numId="5">
    <w:abstractNumId w:val="7"/>
  </w:num>
  <w:num w:numId="6">
    <w:abstractNumId w:val="9"/>
  </w:num>
  <w:num w:numId="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4"/>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 w:numId="18">
    <w:abstractNumId w:val="2"/>
  </w:num>
  <w:num w:numId="19">
    <w:abstractNumId w:val="14"/>
    <w:lvlOverride w:ilvl="0">
      <w:lvl w:ilvl="0" w:tplc="B724672E">
        <w:start w:val="1"/>
        <w:numFmt w:val="decimal"/>
        <w:lvlText w:val="%1-"/>
        <w:lvlJc w:val="left"/>
        <w:pPr>
          <w:ind w:left="2071" w:hanging="360"/>
        </w:pPr>
        <w:rPr>
          <w:b w:val="0"/>
          <w:i w:val="0"/>
        </w:rPr>
      </w:lvl>
    </w:lvlOverride>
  </w:num>
  <w:num w:numId="20">
    <w:abstractNumId w:val="8"/>
    <w:lvlOverride w:ilvl="0">
      <w:lvl w:ilvl="0">
        <w:start w:val="1"/>
        <w:numFmt w:val="decimal"/>
        <w:lvlText w:val="%1-"/>
        <w:lvlJc w:val="left"/>
        <w:pPr>
          <w:tabs>
            <w:tab w:val="num" w:pos="1134"/>
          </w:tabs>
          <w:ind w:left="1247" w:firstLine="0"/>
        </w:pPr>
        <w:rPr>
          <w:rFonts w:hint="default"/>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59393"/>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B"/>
    <w:rsid w:val="000242CB"/>
    <w:rsid w:val="00024566"/>
    <w:rsid w:val="00024D2B"/>
    <w:rsid w:val="0003131F"/>
    <w:rsid w:val="00033595"/>
    <w:rsid w:val="00033A5C"/>
    <w:rsid w:val="00037D52"/>
    <w:rsid w:val="0004010A"/>
    <w:rsid w:val="00051665"/>
    <w:rsid w:val="0006021A"/>
    <w:rsid w:val="000668FE"/>
    <w:rsid w:val="00071F69"/>
    <w:rsid w:val="00072F5D"/>
    <w:rsid w:val="0008088A"/>
    <w:rsid w:val="000844F9"/>
    <w:rsid w:val="000A33B7"/>
    <w:rsid w:val="000A7260"/>
    <w:rsid w:val="000B1AA7"/>
    <w:rsid w:val="000B41E8"/>
    <w:rsid w:val="000C042E"/>
    <w:rsid w:val="000C6AF1"/>
    <w:rsid w:val="000C72D5"/>
    <w:rsid w:val="000D775A"/>
    <w:rsid w:val="000E3644"/>
    <w:rsid w:val="000F083C"/>
    <w:rsid w:val="000F39C0"/>
    <w:rsid w:val="000F712A"/>
    <w:rsid w:val="00102A11"/>
    <w:rsid w:val="00111DDA"/>
    <w:rsid w:val="001122CD"/>
    <w:rsid w:val="00115715"/>
    <w:rsid w:val="0012040B"/>
    <w:rsid w:val="001223A2"/>
    <w:rsid w:val="00124CC4"/>
    <w:rsid w:val="00126C21"/>
    <w:rsid w:val="00131860"/>
    <w:rsid w:val="00131CE1"/>
    <w:rsid w:val="00134EB1"/>
    <w:rsid w:val="001367EA"/>
    <w:rsid w:val="001368B8"/>
    <w:rsid w:val="0014278C"/>
    <w:rsid w:val="00143EB4"/>
    <w:rsid w:val="00151227"/>
    <w:rsid w:val="00153644"/>
    <w:rsid w:val="001536B1"/>
    <w:rsid w:val="00154323"/>
    <w:rsid w:val="00154CC2"/>
    <w:rsid w:val="00157B75"/>
    <w:rsid w:val="001640DB"/>
    <w:rsid w:val="00165BE3"/>
    <w:rsid w:val="0017427B"/>
    <w:rsid w:val="00174BBC"/>
    <w:rsid w:val="00177C0C"/>
    <w:rsid w:val="001841AD"/>
    <w:rsid w:val="001844E3"/>
    <w:rsid w:val="00186DE2"/>
    <w:rsid w:val="00196494"/>
    <w:rsid w:val="00196A15"/>
    <w:rsid w:val="001A0F83"/>
    <w:rsid w:val="001A6258"/>
    <w:rsid w:val="001B03D9"/>
    <w:rsid w:val="001B1A96"/>
    <w:rsid w:val="001C1DD1"/>
    <w:rsid w:val="001C513F"/>
    <w:rsid w:val="001D3A25"/>
    <w:rsid w:val="001D6BA5"/>
    <w:rsid w:val="001E1443"/>
    <w:rsid w:val="001E4795"/>
    <w:rsid w:val="001E6E8E"/>
    <w:rsid w:val="001F0C9C"/>
    <w:rsid w:val="001F171C"/>
    <w:rsid w:val="001F390D"/>
    <w:rsid w:val="002079F8"/>
    <w:rsid w:val="002300EA"/>
    <w:rsid w:val="0023160B"/>
    <w:rsid w:val="002323CD"/>
    <w:rsid w:val="0023329C"/>
    <w:rsid w:val="002361BF"/>
    <w:rsid w:val="00252FE5"/>
    <w:rsid w:val="00255F00"/>
    <w:rsid w:val="00260A65"/>
    <w:rsid w:val="00260C3B"/>
    <w:rsid w:val="00261436"/>
    <w:rsid w:val="00261451"/>
    <w:rsid w:val="00267DA8"/>
    <w:rsid w:val="0027071F"/>
    <w:rsid w:val="00276330"/>
    <w:rsid w:val="002772B3"/>
    <w:rsid w:val="00280848"/>
    <w:rsid w:val="00285BFE"/>
    <w:rsid w:val="00291EAE"/>
    <w:rsid w:val="00295F25"/>
    <w:rsid w:val="002962A4"/>
    <w:rsid w:val="002A2BDE"/>
    <w:rsid w:val="002B14DB"/>
    <w:rsid w:val="002B657A"/>
    <w:rsid w:val="002C1EE1"/>
    <w:rsid w:val="002C46F7"/>
    <w:rsid w:val="002C60AD"/>
    <w:rsid w:val="002D007D"/>
    <w:rsid w:val="002D07C5"/>
    <w:rsid w:val="002D57DB"/>
    <w:rsid w:val="002E7390"/>
    <w:rsid w:val="002F11C2"/>
    <w:rsid w:val="002F74A0"/>
    <w:rsid w:val="00304FAF"/>
    <w:rsid w:val="00306618"/>
    <w:rsid w:val="00310BFE"/>
    <w:rsid w:val="00317E61"/>
    <w:rsid w:val="00317EFB"/>
    <w:rsid w:val="00323929"/>
    <w:rsid w:val="003501E1"/>
    <w:rsid w:val="003511A7"/>
    <w:rsid w:val="00351FDC"/>
    <w:rsid w:val="003553DB"/>
    <w:rsid w:val="0036154E"/>
    <w:rsid w:val="0036250E"/>
    <w:rsid w:val="003821A4"/>
    <w:rsid w:val="0038322E"/>
    <w:rsid w:val="00384B8A"/>
    <w:rsid w:val="00386BD3"/>
    <w:rsid w:val="00390CD8"/>
    <w:rsid w:val="003923ED"/>
    <w:rsid w:val="00397363"/>
    <w:rsid w:val="003B1437"/>
    <w:rsid w:val="003B507C"/>
    <w:rsid w:val="003C3E04"/>
    <w:rsid w:val="003C42E1"/>
    <w:rsid w:val="003C4DF2"/>
    <w:rsid w:val="003C6409"/>
    <w:rsid w:val="003C6718"/>
    <w:rsid w:val="003D355A"/>
    <w:rsid w:val="003E0E95"/>
    <w:rsid w:val="003E1210"/>
    <w:rsid w:val="003E4E41"/>
    <w:rsid w:val="003F77FF"/>
    <w:rsid w:val="0040218B"/>
    <w:rsid w:val="00403B93"/>
    <w:rsid w:val="00405211"/>
    <w:rsid w:val="004112CD"/>
    <w:rsid w:val="0042042E"/>
    <w:rsid w:val="00420706"/>
    <w:rsid w:val="00423AEE"/>
    <w:rsid w:val="00451081"/>
    <w:rsid w:val="00451ABD"/>
    <w:rsid w:val="004524AB"/>
    <w:rsid w:val="00452B9C"/>
    <w:rsid w:val="004547E5"/>
    <w:rsid w:val="004606CA"/>
    <w:rsid w:val="00472C66"/>
    <w:rsid w:val="0047425F"/>
    <w:rsid w:val="00485260"/>
    <w:rsid w:val="004916B5"/>
    <w:rsid w:val="0049251D"/>
    <w:rsid w:val="00495361"/>
    <w:rsid w:val="004A1FC4"/>
    <w:rsid w:val="004B0A17"/>
    <w:rsid w:val="004D0F9A"/>
    <w:rsid w:val="004D2B12"/>
    <w:rsid w:val="004D567F"/>
    <w:rsid w:val="004E001B"/>
    <w:rsid w:val="004E1EDE"/>
    <w:rsid w:val="004E4EB2"/>
    <w:rsid w:val="004E5370"/>
    <w:rsid w:val="004E7B30"/>
    <w:rsid w:val="004F26CB"/>
    <w:rsid w:val="005023EE"/>
    <w:rsid w:val="00505660"/>
    <w:rsid w:val="005064C3"/>
    <w:rsid w:val="00522932"/>
    <w:rsid w:val="005234DB"/>
    <w:rsid w:val="00530F46"/>
    <w:rsid w:val="00540949"/>
    <w:rsid w:val="005435B2"/>
    <w:rsid w:val="005668AB"/>
    <w:rsid w:val="00590B41"/>
    <w:rsid w:val="00591B8E"/>
    <w:rsid w:val="00594173"/>
    <w:rsid w:val="005945AA"/>
    <w:rsid w:val="00597815"/>
    <w:rsid w:val="005A6A53"/>
    <w:rsid w:val="005B198D"/>
    <w:rsid w:val="005B25B0"/>
    <w:rsid w:val="005B3616"/>
    <w:rsid w:val="005C1DB0"/>
    <w:rsid w:val="005C55FF"/>
    <w:rsid w:val="005D23EF"/>
    <w:rsid w:val="005E06C5"/>
    <w:rsid w:val="005E2737"/>
    <w:rsid w:val="005E35EA"/>
    <w:rsid w:val="005E6B63"/>
    <w:rsid w:val="005F3809"/>
    <w:rsid w:val="005F5925"/>
    <w:rsid w:val="00601018"/>
    <w:rsid w:val="0060188A"/>
    <w:rsid w:val="0060772E"/>
    <w:rsid w:val="00610CCF"/>
    <w:rsid w:val="00614BE8"/>
    <w:rsid w:val="00615461"/>
    <w:rsid w:val="006160A4"/>
    <w:rsid w:val="006227F4"/>
    <w:rsid w:val="00632CDF"/>
    <w:rsid w:val="0063365A"/>
    <w:rsid w:val="0063685D"/>
    <w:rsid w:val="00643398"/>
    <w:rsid w:val="006569BD"/>
    <w:rsid w:val="00671875"/>
    <w:rsid w:val="00684004"/>
    <w:rsid w:val="00684243"/>
    <w:rsid w:val="00696059"/>
    <w:rsid w:val="006A7E4F"/>
    <w:rsid w:val="006B05FA"/>
    <w:rsid w:val="006B54B1"/>
    <w:rsid w:val="006C028B"/>
    <w:rsid w:val="006C560D"/>
    <w:rsid w:val="006D0402"/>
    <w:rsid w:val="006D598B"/>
    <w:rsid w:val="006E1D97"/>
    <w:rsid w:val="006E4BE0"/>
    <w:rsid w:val="006E5F45"/>
    <w:rsid w:val="006F036C"/>
    <w:rsid w:val="006F6824"/>
    <w:rsid w:val="006F7F31"/>
    <w:rsid w:val="00706852"/>
    <w:rsid w:val="00712158"/>
    <w:rsid w:val="00720D77"/>
    <w:rsid w:val="00726240"/>
    <w:rsid w:val="007275EE"/>
    <w:rsid w:val="00734EE4"/>
    <w:rsid w:val="007418BE"/>
    <w:rsid w:val="00742A79"/>
    <w:rsid w:val="00744D3B"/>
    <w:rsid w:val="00751096"/>
    <w:rsid w:val="0075378C"/>
    <w:rsid w:val="00764B71"/>
    <w:rsid w:val="0077392C"/>
    <w:rsid w:val="007775CF"/>
    <w:rsid w:val="00783165"/>
    <w:rsid w:val="007878A7"/>
    <w:rsid w:val="007907DA"/>
    <w:rsid w:val="007A671B"/>
    <w:rsid w:val="007B173A"/>
    <w:rsid w:val="007B431F"/>
    <w:rsid w:val="007B5F59"/>
    <w:rsid w:val="007B7061"/>
    <w:rsid w:val="007B75A1"/>
    <w:rsid w:val="007C62EE"/>
    <w:rsid w:val="007C73F5"/>
    <w:rsid w:val="007D019B"/>
    <w:rsid w:val="007D3018"/>
    <w:rsid w:val="007D6ED0"/>
    <w:rsid w:val="007E0C9A"/>
    <w:rsid w:val="007F304D"/>
    <w:rsid w:val="00802B63"/>
    <w:rsid w:val="00805014"/>
    <w:rsid w:val="00811602"/>
    <w:rsid w:val="00822614"/>
    <w:rsid w:val="008321C1"/>
    <w:rsid w:val="008323B3"/>
    <w:rsid w:val="008500FB"/>
    <w:rsid w:val="00852F12"/>
    <w:rsid w:val="00873A40"/>
    <w:rsid w:val="00880C90"/>
    <w:rsid w:val="00887CE8"/>
    <w:rsid w:val="0089216B"/>
    <w:rsid w:val="0089620E"/>
    <w:rsid w:val="008A5EBB"/>
    <w:rsid w:val="008A79DC"/>
    <w:rsid w:val="008B62DC"/>
    <w:rsid w:val="008B6A62"/>
    <w:rsid w:val="008C23F0"/>
    <w:rsid w:val="008F4416"/>
    <w:rsid w:val="0090002B"/>
    <w:rsid w:val="009017E0"/>
    <w:rsid w:val="0092522D"/>
    <w:rsid w:val="00926C1F"/>
    <w:rsid w:val="00931CC7"/>
    <w:rsid w:val="00933976"/>
    <w:rsid w:val="00934EBC"/>
    <w:rsid w:val="00934FB6"/>
    <w:rsid w:val="00952DAB"/>
    <w:rsid w:val="00955980"/>
    <w:rsid w:val="0096449B"/>
    <w:rsid w:val="00980B82"/>
    <w:rsid w:val="009819E2"/>
    <w:rsid w:val="00983518"/>
    <w:rsid w:val="0099049A"/>
    <w:rsid w:val="00994B2F"/>
    <w:rsid w:val="009A052E"/>
    <w:rsid w:val="009A0564"/>
    <w:rsid w:val="009A11E7"/>
    <w:rsid w:val="009A1FDF"/>
    <w:rsid w:val="009A6C71"/>
    <w:rsid w:val="009B2A75"/>
    <w:rsid w:val="009C40AA"/>
    <w:rsid w:val="009C5B87"/>
    <w:rsid w:val="009D06F9"/>
    <w:rsid w:val="009D28AB"/>
    <w:rsid w:val="009D4EBB"/>
    <w:rsid w:val="009D58E8"/>
    <w:rsid w:val="009E2CE5"/>
    <w:rsid w:val="009E4569"/>
    <w:rsid w:val="009E46DF"/>
    <w:rsid w:val="009E6EAB"/>
    <w:rsid w:val="009F7025"/>
    <w:rsid w:val="00A02D05"/>
    <w:rsid w:val="00A108BD"/>
    <w:rsid w:val="00A178E1"/>
    <w:rsid w:val="00A23B72"/>
    <w:rsid w:val="00A26E11"/>
    <w:rsid w:val="00A34C1A"/>
    <w:rsid w:val="00A579D1"/>
    <w:rsid w:val="00A57F44"/>
    <w:rsid w:val="00A67825"/>
    <w:rsid w:val="00A76B59"/>
    <w:rsid w:val="00A969A0"/>
    <w:rsid w:val="00AA32A0"/>
    <w:rsid w:val="00AB1E5D"/>
    <w:rsid w:val="00AC5F19"/>
    <w:rsid w:val="00AE4729"/>
    <w:rsid w:val="00AF0DF6"/>
    <w:rsid w:val="00B0033E"/>
    <w:rsid w:val="00B00619"/>
    <w:rsid w:val="00B110B0"/>
    <w:rsid w:val="00B179A4"/>
    <w:rsid w:val="00B3054B"/>
    <w:rsid w:val="00B336C3"/>
    <w:rsid w:val="00B352E4"/>
    <w:rsid w:val="00B42C89"/>
    <w:rsid w:val="00B602AD"/>
    <w:rsid w:val="00B65469"/>
    <w:rsid w:val="00B66D5F"/>
    <w:rsid w:val="00B762F2"/>
    <w:rsid w:val="00B77EDA"/>
    <w:rsid w:val="00B83776"/>
    <w:rsid w:val="00B87B65"/>
    <w:rsid w:val="00B87FDB"/>
    <w:rsid w:val="00B913B6"/>
    <w:rsid w:val="00B945ED"/>
    <w:rsid w:val="00B97A52"/>
    <w:rsid w:val="00BA25F3"/>
    <w:rsid w:val="00BA5B08"/>
    <w:rsid w:val="00BA66F1"/>
    <w:rsid w:val="00BA6ED1"/>
    <w:rsid w:val="00BB0629"/>
    <w:rsid w:val="00BB4CA4"/>
    <w:rsid w:val="00BC3D48"/>
    <w:rsid w:val="00BD1906"/>
    <w:rsid w:val="00BD4A65"/>
    <w:rsid w:val="00BE20CA"/>
    <w:rsid w:val="00BE3C21"/>
    <w:rsid w:val="00BF64C6"/>
    <w:rsid w:val="00BF7F42"/>
    <w:rsid w:val="00C0594F"/>
    <w:rsid w:val="00C1200F"/>
    <w:rsid w:val="00C1297E"/>
    <w:rsid w:val="00C2111C"/>
    <w:rsid w:val="00C33F5C"/>
    <w:rsid w:val="00C34FDE"/>
    <w:rsid w:val="00C36378"/>
    <w:rsid w:val="00C37B3A"/>
    <w:rsid w:val="00C47E78"/>
    <w:rsid w:val="00C56205"/>
    <w:rsid w:val="00C60C8B"/>
    <w:rsid w:val="00C712BF"/>
    <w:rsid w:val="00C7529E"/>
    <w:rsid w:val="00C75C0B"/>
    <w:rsid w:val="00C762BE"/>
    <w:rsid w:val="00C85728"/>
    <w:rsid w:val="00C86BDC"/>
    <w:rsid w:val="00C90A4C"/>
    <w:rsid w:val="00C91665"/>
    <w:rsid w:val="00C94729"/>
    <w:rsid w:val="00CA4F8C"/>
    <w:rsid w:val="00CB79F1"/>
    <w:rsid w:val="00CC16CF"/>
    <w:rsid w:val="00CC7B2E"/>
    <w:rsid w:val="00CD25C4"/>
    <w:rsid w:val="00CD399B"/>
    <w:rsid w:val="00CD4572"/>
    <w:rsid w:val="00CD5653"/>
    <w:rsid w:val="00CF5F64"/>
    <w:rsid w:val="00D04FFE"/>
    <w:rsid w:val="00D05640"/>
    <w:rsid w:val="00D0655D"/>
    <w:rsid w:val="00D113A9"/>
    <w:rsid w:val="00D12FDA"/>
    <w:rsid w:val="00D15263"/>
    <w:rsid w:val="00D21049"/>
    <w:rsid w:val="00D444E7"/>
    <w:rsid w:val="00D44CE3"/>
    <w:rsid w:val="00D52B4F"/>
    <w:rsid w:val="00D55934"/>
    <w:rsid w:val="00D569AA"/>
    <w:rsid w:val="00D578BF"/>
    <w:rsid w:val="00D66C66"/>
    <w:rsid w:val="00D70490"/>
    <w:rsid w:val="00D71822"/>
    <w:rsid w:val="00D7320E"/>
    <w:rsid w:val="00D80FA4"/>
    <w:rsid w:val="00D90EDD"/>
    <w:rsid w:val="00D9173E"/>
    <w:rsid w:val="00D91942"/>
    <w:rsid w:val="00D958DE"/>
    <w:rsid w:val="00DA14CC"/>
    <w:rsid w:val="00DA1588"/>
    <w:rsid w:val="00DA3FB6"/>
    <w:rsid w:val="00DA494E"/>
    <w:rsid w:val="00DB686B"/>
    <w:rsid w:val="00DB6958"/>
    <w:rsid w:val="00DC4E2F"/>
    <w:rsid w:val="00DC590D"/>
    <w:rsid w:val="00DD2F15"/>
    <w:rsid w:val="00DE44A3"/>
    <w:rsid w:val="00DE796A"/>
    <w:rsid w:val="00E015AC"/>
    <w:rsid w:val="00E0494C"/>
    <w:rsid w:val="00E1515A"/>
    <w:rsid w:val="00E176E7"/>
    <w:rsid w:val="00E2101B"/>
    <w:rsid w:val="00E323C0"/>
    <w:rsid w:val="00E369DB"/>
    <w:rsid w:val="00E36EB2"/>
    <w:rsid w:val="00E46F4E"/>
    <w:rsid w:val="00E51BAF"/>
    <w:rsid w:val="00E63CFD"/>
    <w:rsid w:val="00E642AB"/>
    <w:rsid w:val="00E64BB5"/>
    <w:rsid w:val="00E720C8"/>
    <w:rsid w:val="00E7491C"/>
    <w:rsid w:val="00E760C7"/>
    <w:rsid w:val="00E90558"/>
    <w:rsid w:val="00E96DEF"/>
    <w:rsid w:val="00EA0788"/>
    <w:rsid w:val="00EA0F41"/>
    <w:rsid w:val="00EA14B6"/>
    <w:rsid w:val="00EA6D22"/>
    <w:rsid w:val="00EB63CF"/>
    <w:rsid w:val="00EC35F9"/>
    <w:rsid w:val="00EC3A5F"/>
    <w:rsid w:val="00ED0538"/>
    <w:rsid w:val="00ED77A3"/>
    <w:rsid w:val="00EE026C"/>
    <w:rsid w:val="00EE48F0"/>
    <w:rsid w:val="00EF0793"/>
    <w:rsid w:val="00F12DD6"/>
    <w:rsid w:val="00F1601D"/>
    <w:rsid w:val="00F240DC"/>
    <w:rsid w:val="00F26CD0"/>
    <w:rsid w:val="00F47129"/>
    <w:rsid w:val="00F47390"/>
    <w:rsid w:val="00F50135"/>
    <w:rsid w:val="00F61AB5"/>
    <w:rsid w:val="00F64BB3"/>
    <w:rsid w:val="00F670D4"/>
    <w:rsid w:val="00F70C3F"/>
    <w:rsid w:val="00F7639B"/>
    <w:rsid w:val="00F93241"/>
    <w:rsid w:val="00F97D0D"/>
    <w:rsid w:val="00FB59A6"/>
    <w:rsid w:val="00FC5790"/>
    <w:rsid w:val="00FD576F"/>
    <w:rsid w:val="00FD7BCB"/>
    <w:rsid w:val="00FD7F76"/>
    <w:rsid w:val="00FE21C0"/>
    <w:rsid w:val="00FE2D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2122821"/>
  <w15:docId w15:val="{774591F9-9965-4032-B961-0824054F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uiPriority w:val="99"/>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uiPriority w:val="99"/>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39"/>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C60C8B"/>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ZZAnxtitle">
    <w:name w:val="ZZ_Anx_title"/>
    <w:basedOn w:val="Normal"/>
    <w:link w:val="ZZAnxtitleChar"/>
    <w:rsid w:val="00C60C8B"/>
    <w:pPr>
      <w:tabs>
        <w:tab w:val="left" w:pos="1247"/>
        <w:tab w:val="left" w:pos="1814"/>
        <w:tab w:val="left" w:pos="2381"/>
        <w:tab w:val="left" w:pos="2948"/>
        <w:tab w:val="left" w:pos="3515"/>
        <w:tab w:val="left" w:pos="4082"/>
      </w:tabs>
      <w:spacing w:before="360" w:after="120"/>
      <w:ind w:left="1247"/>
    </w:pPr>
    <w:rPr>
      <w:rFonts w:cs="Times New Roman"/>
      <w:b/>
      <w:bCs/>
      <w:sz w:val="28"/>
      <w:szCs w:val="26"/>
      <w:lang w:val="en-GB"/>
    </w:rPr>
  </w:style>
  <w:style w:type="character" w:customStyle="1" w:styleId="ZZAnxtitleChar">
    <w:name w:val="ZZ_Anx_title Char"/>
    <w:link w:val="ZZAnxtitle"/>
    <w:rsid w:val="00C60C8B"/>
    <w:rPr>
      <w:rFonts w:cs="Times New Roman"/>
      <w:b/>
      <w:bCs/>
      <w:sz w:val="28"/>
      <w:szCs w:val="26"/>
      <w:lang w:val="en-GB"/>
    </w:rPr>
  </w:style>
  <w:style w:type="character" w:customStyle="1" w:styleId="CH2Char">
    <w:name w:val="CH2 Char"/>
    <w:link w:val="CH2"/>
    <w:locked/>
    <w:rsid w:val="00C60C8B"/>
    <w:rPr>
      <w:rFonts w:cs="Times New Roman"/>
      <w:b/>
      <w:sz w:val="24"/>
      <w:szCs w:val="24"/>
      <w:lang w:val="en-GB"/>
    </w:rPr>
  </w:style>
  <w:style w:type="character" w:customStyle="1" w:styleId="ZZAnxheaderChar">
    <w:name w:val="ZZ_Anx_header Char"/>
    <w:link w:val="ZZAnxheader"/>
    <w:rsid w:val="00C60C8B"/>
    <w:rPr>
      <w:rFonts w:cs="Times New Roman"/>
      <w:b/>
      <w:bCs/>
      <w:sz w:val="28"/>
      <w:szCs w:val="22"/>
      <w:lang w:val="en-GB"/>
    </w:rPr>
  </w:style>
  <w:style w:type="paragraph" w:customStyle="1" w:styleId="AATitle2">
    <w:name w:val="AA_Title2"/>
    <w:basedOn w:val="Normal"/>
    <w:rsid w:val="00E64BB5"/>
    <w:pPr>
      <w:keepNext/>
      <w:keepLines/>
      <w:tabs>
        <w:tab w:val="left" w:pos="1247"/>
        <w:tab w:val="left" w:pos="1814"/>
        <w:tab w:val="left" w:pos="2381"/>
        <w:tab w:val="left" w:pos="2948"/>
        <w:tab w:val="left" w:pos="3515"/>
      </w:tabs>
      <w:suppressAutoHyphens/>
      <w:spacing w:before="120" w:after="120"/>
      <w:ind w:right="4536"/>
    </w:pPr>
    <w:rPr>
      <w:rFonts w:cs="Times New Roman"/>
      <w:b/>
      <w:szCs w:val="20"/>
      <w:lang w:val="en-GB"/>
    </w:rPr>
  </w:style>
  <w:style w:type="paragraph" w:customStyle="1" w:styleId="BBTitle">
    <w:name w:val="BB_Title"/>
    <w:basedOn w:val="Normalpool"/>
    <w:link w:val="BBTitleChar"/>
    <w:rsid w:val="00E64BB5"/>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before="320" w:after="240"/>
      <w:ind w:left="1247" w:right="567"/>
    </w:pPr>
    <w:rPr>
      <w:rFonts w:eastAsia="Times New Roman"/>
      <w:b/>
      <w:sz w:val="28"/>
      <w:szCs w:val="28"/>
    </w:rPr>
  </w:style>
  <w:style w:type="character" w:customStyle="1" w:styleId="BBTitleChar">
    <w:name w:val="BB_Title Char"/>
    <w:link w:val="BBTitle"/>
    <w:rsid w:val="00E64BB5"/>
    <w:rPr>
      <w:rFonts w:cs="Times New Roman"/>
      <w:b/>
      <w:sz w:val="28"/>
      <w:szCs w:val="28"/>
      <w:lang w:val="en-GB"/>
    </w:rPr>
  </w:style>
  <w:style w:type="character" w:customStyle="1" w:styleId="UnresolvedMention1">
    <w:name w:val="Unresolved Mention1"/>
    <w:basedOn w:val="DefaultParagraphFont"/>
    <w:uiPriority w:val="99"/>
    <w:semiHidden/>
    <w:unhideWhenUsed/>
    <w:rsid w:val="00CF5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ercuryconvention.org/Meetings/Intersessionalnbsp;work/tabid/6325/language/en-US/Default.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D26DF-10B9-46B5-BF36-9FAC16772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Claudia ten Have</cp:lastModifiedBy>
  <cp:revision>2</cp:revision>
  <cp:lastPrinted>2018-09-04T13:47:00Z</cp:lastPrinted>
  <dcterms:created xsi:type="dcterms:W3CDTF">2018-10-09T06:41:00Z</dcterms:created>
  <dcterms:modified xsi:type="dcterms:W3CDTF">2018-10-09T06:41:00Z</dcterms:modified>
</cp:coreProperties>
</file>