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2311A7E6" w:rsidR="004B0A17" w:rsidRPr="008405B2" w:rsidRDefault="00115715" w:rsidP="0010467B">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461F27">
              <w:rPr>
                <w:rFonts w:cs="Times New Roman"/>
                <w:szCs w:val="20"/>
              </w:rPr>
              <w:t>1</w:t>
            </w:r>
            <w:r w:rsidR="00CA3707">
              <w:rPr>
                <w:rFonts w:cs="Times New Roman"/>
                <w:szCs w:val="20"/>
              </w:rPr>
              <w:t>3</w:t>
            </w:r>
            <w:r w:rsidR="0010467B" w:rsidRPr="004D5308">
              <w:rPr>
                <w:rFonts w:cs="Times New Roman"/>
                <w:sz w:val="24"/>
                <w:szCs w:val="24"/>
                <w:vertAlign w:val="superscript"/>
                <w:lang w:val="en-GB"/>
              </w:rPr>
              <w:footnoteReference w:customMarkFollows="1" w:id="1"/>
              <w:t>*</w:t>
            </w:r>
          </w:p>
        </w:tc>
        <w:tc>
          <w:tcPr>
            <w:tcW w:w="6237" w:type="dxa"/>
            <w:gridSpan w:val="2"/>
            <w:tcBorders>
              <w:top w:val="nil"/>
              <w:bottom w:val="single" w:sz="4" w:space="0" w:color="auto"/>
            </w:tcBorders>
          </w:tcPr>
          <w:p w14:paraId="0A72B2A3" w14:textId="77777777" w:rsidR="004B0A17" w:rsidRPr="004D5308"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5A99F5D3" w:rsidR="00934FB6" w:rsidRPr="002772B3" w:rsidRDefault="008216EB" w:rsidP="00934FB6">
            <w:pPr>
              <w:jc w:val="both"/>
              <w:rPr>
                <w:rFonts w:cs="Times New Roman"/>
                <w:szCs w:val="20"/>
              </w:rPr>
            </w:pPr>
            <w:r>
              <w:rPr>
                <w:rFonts w:cs="Times New Roman"/>
                <w:szCs w:val="20"/>
              </w:rPr>
              <w:t>2</w:t>
            </w:r>
            <w:r w:rsidR="00461F27">
              <w:rPr>
                <w:rFonts w:cs="Times New Roman"/>
                <w:szCs w:val="20"/>
              </w:rPr>
              <w:t>5</w:t>
            </w:r>
            <w:r w:rsidR="00934FB6">
              <w:rPr>
                <w:rFonts w:cs="Times New Roman"/>
                <w:szCs w:val="20"/>
              </w:rPr>
              <w:t xml:space="preserve"> </w:t>
            </w:r>
            <w:r w:rsidR="008405B2">
              <w:rPr>
                <w:rFonts w:cs="Times New Roman"/>
                <w:szCs w:val="20"/>
              </w:rPr>
              <w:t>September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714AE43E" w:rsidR="00BE3C21" w:rsidRDefault="00BE3C21" w:rsidP="0010467B">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w:t>
            </w:r>
            <w:r w:rsidR="00CA3707">
              <w:rPr>
                <w:rFonts w:asciiTheme="minorHAnsi" w:hAnsiTheme="minorHAnsi" w:hint="cs"/>
                <w:sz w:val="28"/>
                <w:rtl/>
              </w:rPr>
              <w:t>ط</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sidR="0010467B" w:rsidRPr="00206B55">
              <w:rPr>
                <w:rFonts w:hint="cs"/>
                <w:szCs w:val="24"/>
                <w:rtl/>
              </w:rPr>
              <w:t>*</w:t>
            </w:r>
            <w:r>
              <w:rPr>
                <w:szCs w:val="24"/>
                <w:rtl/>
              </w:rPr>
              <w:footnoteReference w:customMarkFollows="1" w:id="2"/>
              <w:t>*</w:t>
            </w:r>
          </w:p>
          <w:p w14:paraId="270B00D7" w14:textId="11C72049" w:rsidR="00BE3C21" w:rsidRPr="00BE3C21" w:rsidRDefault="00BE3C21" w:rsidP="00CA3707">
            <w:pPr>
              <w:bidi/>
              <w:spacing w:line="36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sidR="00CA3707" w:rsidRPr="00CA3707">
              <w:rPr>
                <w:rFonts w:ascii="Traditional Arabic" w:hAnsi="Traditional Arabic" w:hint="cs"/>
                <w:b/>
                <w:bCs/>
                <w:sz w:val="28"/>
                <w:szCs w:val="28"/>
                <w:rtl/>
              </w:rPr>
              <w:t>تقييم الفعالية</w:t>
            </w:r>
          </w:p>
        </w:tc>
      </w:tr>
    </w:tbl>
    <w:p w14:paraId="796D8D26" w14:textId="493A706D" w:rsidR="00C60C8B" w:rsidRPr="00F756FF" w:rsidRDefault="00CA3707" w:rsidP="00542FA1">
      <w:pPr>
        <w:tabs>
          <w:tab w:val="left" w:pos="1841"/>
        </w:tabs>
        <w:bidi/>
        <w:spacing w:before="240" w:after="180" w:line="400" w:lineRule="exact"/>
        <w:ind w:left="1134"/>
        <w:jc w:val="both"/>
        <w:rPr>
          <w:b/>
          <w:bCs/>
          <w:sz w:val="34"/>
          <w:szCs w:val="34"/>
          <w:rtl/>
        </w:rPr>
      </w:pPr>
      <w:r>
        <w:rPr>
          <w:rFonts w:ascii="Traditional Arabic" w:hAnsi="Traditional Arabic" w:hint="cs"/>
          <w:bCs/>
          <w:sz w:val="34"/>
          <w:szCs w:val="34"/>
          <w:rtl/>
          <w:lang w:eastAsia="zh-TW"/>
        </w:rPr>
        <w:t xml:space="preserve">تقرير عن </w:t>
      </w:r>
      <w:r w:rsidR="00A34397" w:rsidRPr="00A34397">
        <w:rPr>
          <w:rFonts w:ascii="Traditional Arabic" w:hAnsi="Traditional Arabic"/>
          <w:bCs/>
          <w:sz w:val="34"/>
          <w:szCs w:val="34"/>
          <w:rtl/>
          <w:lang w:eastAsia="zh-TW"/>
        </w:rPr>
        <w:t>مخطط إطار تقييم الفعالية وخطته وعناصره</w:t>
      </w:r>
    </w:p>
    <w:p w14:paraId="7ACCD99F" w14:textId="77777777" w:rsidR="00C60C8B" w:rsidRPr="0052405D" w:rsidRDefault="00C60C8B" w:rsidP="0047425F">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0B8EF733" w14:textId="3822A328" w:rsidR="00E8191C" w:rsidRPr="00E8191C" w:rsidRDefault="00E8191C" w:rsidP="00DF19DD">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E8191C">
        <w:rPr>
          <w:rFonts w:cs="Traditional Arabic"/>
          <w:sz w:val="30"/>
          <w:szCs w:val="30"/>
          <w:rtl/>
          <w:lang w:eastAsia="zh-TW"/>
        </w:rPr>
        <w:t>اعتمد مؤتمر الأطراف في اجتماعه الأول، بموجب المقرر ا م-1/9، خريطة طريق من أجل وضع ترتيبات لتزويد مؤتمر الأطراف ببيانات رصد مقارنة، وعناصر إطار لتقييم الفعالية بموجب المادة ٢٢ من اتفاقية ميناماتا بشأن الزئبق، ترد في المرفق الأول للمقرر. وتشمل خريطة الطريق اجتماعاً مباشراً لفريق خبراء مخصص بهدف إعداد مشروع تقرير، بما في ذلك مخطط لإطار تقييم الفعالية وخطته وعناصره.</w:t>
      </w:r>
    </w:p>
    <w:p w14:paraId="06AE2810" w14:textId="1E926EC9" w:rsidR="00E8191C" w:rsidRPr="00E8191C" w:rsidRDefault="00E8191C" w:rsidP="00DF19DD">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E8191C">
        <w:rPr>
          <w:rFonts w:cs="Traditional Arabic"/>
          <w:sz w:val="30"/>
          <w:szCs w:val="30"/>
          <w:rtl/>
          <w:lang w:eastAsia="zh-TW"/>
        </w:rPr>
        <w:t>وأنشئ فريق الخبراء المخصص وفقا</w:t>
      </w:r>
      <w:r w:rsidR="0061395F">
        <w:rPr>
          <w:rFonts w:cs="Traditional Arabic" w:hint="cs"/>
          <w:sz w:val="30"/>
          <w:szCs w:val="30"/>
          <w:rtl/>
          <w:lang w:eastAsia="zh-TW"/>
        </w:rPr>
        <w:t>ً</w:t>
      </w:r>
      <w:r w:rsidRPr="00E8191C">
        <w:rPr>
          <w:rFonts w:cs="Traditional Arabic"/>
          <w:sz w:val="30"/>
          <w:szCs w:val="30"/>
          <w:rtl/>
          <w:lang w:eastAsia="zh-TW"/>
        </w:rPr>
        <w:t xml:space="preserve"> للاختصاصات الواردة في المرفق الثاني من المقرر ا م-1/9، واجتمع في أوتاوا في الفترة من ٥ إلى ٩ آذار/مارس ٢٠١٨. و</w:t>
      </w:r>
      <w:r w:rsidR="00CD6E59">
        <w:rPr>
          <w:rFonts w:cs="Traditional Arabic" w:hint="cs"/>
          <w:sz w:val="30"/>
          <w:szCs w:val="30"/>
          <w:rtl/>
          <w:lang w:eastAsia="zh-TW"/>
        </w:rPr>
        <w:t>ت</w:t>
      </w:r>
      <w:r w:rsidRPr="00E8191C">
        <w:rPr>
          <w:rFonts w:cs="Traditional Arabic"/>
          <w:sz w:val="30"/>
          <w:szCs w:val="30"/>
          <w:rtl/>
          <w:lang w:eastAsia="zh-TW"/>
        </w:rPr>
        <w:t xml:space="preserve">رد في مرفق هذه المذكرة توصيات </w:t>
      </w:r>
      <w:r w:rsidR="00CD6E59">
        <w:rPr>
          <w:rFonts w:cs="Traditional Arabic" w:hint="cs"/>
          <w:sz w:val="30"/>
          <w:szCs w:val="30"/>
          <w:rtl/>
          <w:lang w:eastAsia="zh-TW"/>
        </w:rPr>
        <w:t>ال</w:t>
      </w:r>
      <w:r w:rsidRPr="00E8191C">
        <w:rPr>
          <w:rFonts w:cs="Traditional Arabic"/>
          <w:sz w:val="30"/>
          <w:szCs w:val="30"/>
          <w:rtl/>
          <w:lang w:eastAsia="zh-TW"/>
        </w:rPr>
        <w:t>فريق</w:t>
      </w:r>
      <w:r w:rsidR="00CD6E59">
        <w:rPr>
          <w:rFonts w:cs="Traditional Arabic" w:hint="cs"/>
          <w:sz w:val="30"/>
          <w:szCs w:val="30"/>
          <w:rtl/>
          <w:lang w:eastAsia="zh-TW"/>
        </w:rPr>
        <w:t>، أما</w:t>
      </w:r>
      <w:r w:rsidRPr="00E8191C">
        <w:rPr>
          <w:rFonts w:cs="Traditional Arabic"/>
          <w:sz w:val="30"/>
          <w:szCs w:val="30"/>
          <w:rtl/>
          <w:lang w:eastAsia="zh-TW"/>
        </w:rPr>
        <w:t xml:space="preserve"> </w:t>
      </w:r>
      <w:r w:rsidR="00CD6E59">
        <w:rPr>
          <w:rFonts w:cs="Traditional Arabic" w:hint="cs"/>
          <w:sz w:val="30"/>
          <w:szCs w:val="30"/>
          <w:rtl/>
          <w:lang w:eastAsia="zh-TW"/>
        </w:rPr>
        <w:t>ال</w:t>
      </w:r>
      <w:r w:rsidRPr="00E8191C">
        <w:rPr>
          <w:rFonts w:cs="Traditional Arabic"/>
          <w:sz w:val="30"/>
          <w:szCs w:val="30"/>
          <w:rtl/>
          <w:lang w:eastAsia="zh-TW"/>
        </w:rPr>
        <w:t>تقرير عن عمل فريق الخبراء المخصص المعني بتقييم الفعالية</w:t>
      </w:r>
      <w:r w:rsidR="00CD6E59">
        <w:rPr>
          <w:rFonts w:cs="Traditional Arabic" w:hint="cs"/>
          <w:sz w:val="30"/>
          <w:szCs w:val="30"/>
          <w:rtl/>
          <w:lang w:eastAsia="zh-TW"/>
        </w:rPr>
        <w:t xml:space="preserve"> فيرد</w:t>
      </w:r>
      <w:r w:rsidRPr="00E8191C">
        <w:rPr>
          <w:rFonts w:cs="Traditional Arabic"/>
          <w:sz w:val="30"/>
          <w:szCs w:val="30"/>
          <w:rtl/>
          <w:lang w:eastAsia="zh-TW"/>
        </w:rPr>
        <w:t xml:space="preserve"> في الوثيقة </w:t>
      </w:r>
      <w:r w:rsidR="00937A2F" w:rsidRPr="00937A2F">
        <w:rPr>
          <w:rFonts w:asciiTheme="majorBidi" w:hAnsiTheme="majorBidi" w:cstheme="majorBidi"/>
          <w:szCs w:val="20"/>
        </w:rPr>
        <w:t>UNEP/MC/COP.2/INF/</w:t>
      </w:r>
      <w:r w:rsidR="0010467B">
        <w:rPr>
          <w:rFonts w:asciiTheme="majorBidi" w:hAnsiTheme="majorBidi" w:cstheme="majorBidi"/>
          <w:szCs w:val="20"/>
        </w:rPr>
        <w:t>15</w:t>
      </w:r>
      <w:r w:rsidRPr="00E8191C">
        <w:rPr>
          <w:rFonts w:cs="Traditional Arabic"/>
          <w:sz w:val="30"/>
          <w:szCs w:val="30"/>
          <w:rtl/>
          <w:lang w:eastAsia="zh-TW"/>
        </w:rPr>
        <w:t>.</w:t>
      </w:r>
    </w:p>
    <w:p w14:paraId="62439AB1" w14:textId="1F68EC0D" w:rsidR="00E8191C" w:rsidRPr="00E8191C" w:rsidRDefault="00E8191C" w:rsidP="00DF19DD">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E8191C">
        <w:rPr>
          <w:rFonts w:cs="Traditional Arabic"/>
          <w:sz w:val="30"/>
          <w:szCs w:val="30"/>
          <w:rtl/>
          <w:lang w:eastAsia="zh-TW"/>
        </w:rPr>
        <w:t>وعلى النحو المحدد في خريطة الطريق فقد أتاحت الأمانة مشروع التقرير عن عمل الفريق على الموقع الشبكي لاتفاقية ميناماتا بدايةً من أيار/مايو ٢٠١٨ للتعليق عليه. وقدم عدد من الأطراف والكيانات الأخرى تعليقات</w:t>
      </w:r>
      <w:r w:rsidR="00164904">
        <w:rPr>
          <w:rFonts w:cs="Traditional Arabic" w:hint="cs"/>
          <w:sz w:val="30"/>
          <w:szCs w:val="30"/>
          <w:rtl/>
          <w:lang w:eastAsia="zh-TW"/>
        </w:rPr>
        <w:t xml:space="preserve"> ترد</w:t>
      </w:r>
      <w:r w:rsidRPr="00E8191C">
        <w:rPr>
          <w:rFonts w:cs="Traditional Arabic"/>
          <w:sz w:val="30"/>
          <w:szCs w:val="30"/>
          <w:rtl/>
          <w:lang w:eastAsia="zh-TW"/>
        </w:rPr>
        <w:t xml:space="preserve"> في الوثيقة </w:t>
      </w:r>
      <w:r w:rsidR="00937A2F" w:rsidRPr="00937A2F">
        <w:rPr>
          <w:rFonts w:asciiTheme="majorBidi" w:hAnsiTheme="majorBidi" w:cstheme="majorBidi"/>
          <w:szCs w:val="20"/>
        </w:rPr>
        <w:t>UNEP/MC/COP.2/INF/8</w:t>
      </w:r>
      <w:r w:rsidRPr="00E8191C">
        <w:rPr>
          <w:rFonts w:cs="Traditional Arabic"/>
          <w:sz w:val="30"/>
          <w:szCs w:val="30"/>
          <w:rtl/>
          <w:lang w:eastAsia="zh-TW"/>
        </w:rPr>
        <w:t xml:space="preserve">. وقد نُقح التقرير ووُضع في صيغته النهائية استناداً إلى تلك التعليقات. بيد أن بعض التعليقات تحتاج إلى المزيد من المناقشات من جانب الفريق، بتوجيه من مؤتمر الأطراف، وبالتالي لا يمكن تضمينها في التقرير. وتشمل </w:t>
      </w:r>
      <w:r w:rsidR="00164904">
        <w:rPr>
          <w:rFonts w:cs="Traditional Arabic" w:hint="cs"/>
          <w:sz w:val="30"/>
          <w:szCs w:val="30"/>
          <w:rtl/>
          <w:lang w:eastAsia="zh-TW"/>
        </w:rPr>
        <w:t xml:space="preserve">هذه </w:t>
      </w:r>
      <w:r w:rsidRPr="00E8191C">
        <w:rPr>
          <w:rFonts w:cs="Traditional Arabic"/>
          <w:sz w:val="30"/>
          <w:szCs w:val="30"/>
          <w:rtl/>
          <w:lang w:eastAsia="zh-TW"/>
        </w:rPr>
        <w:t>التعليقات ما يلي:</w:t>
      </w:r>
    </w:p>
    <w:p w14:paraId="569270EF" w14:textId="628E293A"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ذكر أحد الأطراف أنه يتعين على الفريق المخصص أن ينقح مشروع التقرير من أجل تعزيز تواؤمه مع نطاق الولاية على النحو المبين في المرفق الثاني للمقرر ا م-1/9. وأشار الطرف إلى أمثلة</w:t>
      </w:r>
      <w:r w:rsidR="00973307">
        <w:rPr>
          <w:rFonts w:ascii="Traditional Arabic" w:hAnsi="Traditional Arabic" w:hint="cs"/>
          <w:sz w:val="30"/>
          <w:rtl/>
          <w:lang w:val="en-GB" w:eastAsia="zh-TW"/>
        </w:rPr>
        <w:t xml:space="preserve"> لحالات</w:t>
      </w:r>
      <w:r w:rsidRPr="00E8191C">
        <w:rPr>
          <w:rFonts w:ascii="Traditional Arabic" w:hAnsi="Traditional Arabic"/>
          <w:sz w:val="30"/>
          <w:rtl/>
          <w:lang w:val="en-GB" w:eastAsia="zh-TW"/>
        </w:rPr>
        <w:t xml:space="preserve"> لم يتقيد فيها </w:t>
      </w:r>
      <w:r w:rsidRPr="00E8191C">
        <w:rPr>
          <w:rFonts w:ascii="Traditional Arabic" w:hAnsi="Traditional Arabic"/>
          <w:sz w:val="30"/>
          <w:rtl/>
          <w:lang w:val="en-GB" w:eastAsia="zh-TW"/>
        </w:rPr>
        <w:lastRenderedPageBreak/>
        <w:t xml:space="preserve">الفريق بولايته </w:t>
      </w:r>
      <w:r w:rsidR="00973307">
        <w:rPr>
          <w:rFonts w:ascii="Traditional Arabic" w:hAnsi="Traditional Arabic" w:hint="cs"/>
          <w:sz w:val="30"/>
          <w:rtl/>
          <w:lang w:val="en-GB" w:eastAsia="zh-TW"/>
        </w:rPr>
        <w:t>منها</w:t>
      </w:r>
      <w:r w:rsidR="00973307" w:rsidRPr="00E8191C">
        <w:rPr>
          <w:rFonts w:ascii="Traditional Arabic" w:hAnsi="Traditional Arabic"/>
          <w:sz w:val="30"/>
          <w:rtl/>
          <w:lang w:val="en-GB" w:eastAsia="zh-TW"/>
        </w:rPr>
        <w:t xml:space="preserve"> </w:t>
      </w:r>
      <w:r w:rsidRPr="00E8191C">
        <w:rPr>
          <w:rFonts w:ascii="Traditional Arabic" w:hAnsi="Traditional Arabic"/>
          <w:sz w:val="30"/>
          <w:rtl/>
          <w:lang w:val="en-GB" w:eastAsia="zh-TW"/>
        </w:rPr>
        <w:t>عدم استعراض أطر تقييم فعالية الاتفاقات البيئية المتعددة الأطراف الأخرى التي تقع خارج إطار تقييم فعالية اتفاقية استكهولم بشأن الملوثات العضوية الثابتة، وعدم وجود تقييم مفصل لكيفية إدماج المعلومات من برامج الرصد القائمة في تقييم الفعالية؛</w:t>
      </w:r>
    </w:p>
    <w:p w14:paraId="4B036B99" w14:textId="163337D7"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أُعرب عن القلق بشأن الاقتراح بوضع خطة رصد عالمي</w:t>
      </w:r>
      <w:r w:rsidR="00B34901">
        <w:rPr>
          <w:rFonts w:ascii="Traditional Arabic" w:hAnsi="Traditional Arabic" w:hint="cs"/>
          <w:sz w:val="30"/>
          <w:rtl/>
          <w:lang w:val="en-GB" w:eastAsia="zh-TW"/>
        </w:rPr>
        <w:t>ة</w:t>
      </w:r>
      <w:r w:rsidRPr="00E8191C">
        <w:rPr>
          <w:rFonts w:ascii="Traditional Arabic" w:hAnsi="Traditional Arabic"/>
          <w:sz w:val="30"/>
          <w:rtl/>
          <w:lang w:val="en-GB" w:eastAsia="zh-TW"/>
        </w:rPr>
        <w:t xml:space="preserve">، </w:t>
      </w:r>
      <w:r w:rsidR="002243E8">
        <w:rPr>
          <w:rFonts w:ascii="Traditional Arabic" w:hAnsi="Traditional Arabic" w:hint="cs"/>
          <w:sz w:val="30"/>
          <w:rtl/>
          <w:lang w:val="en-GB" w:eastAsia="zh-TW"/>
        </w:rPr>
        <w:t>ب</w:t>
      </w:r>
      <w:r w:rsidR="00973307">
        <w:rPr>
          <w:rFonts w:ascii="Traditional Arabic" w:hAnsi="Traditional Arabic" w:hint="cs"/>
          <w:sz w:val="30"/>
          <w:rtl/>
          <w:lang w:val="en-GB" w:eastAsia="zh-TW"/>
        </w:rPr>
        <w:t>النظر إلى</w:t>
      </w:r>
      <w:r w:rsidRPr="00E8191C">
        <w:rPr>
          <w:rFonts w:ascii="Traditional Arabic" w:hAnsi="Traditional Arabic"/>
          <w:sz w:val="30"/>
          <w:rtl/>
          <w:lang w:val="en-GB" w:eastAsia="zh-TW"/>
        </w:rPr>
        <w:t xml:space="preserve"> أن المادة ٢٢ من الاتفاقية تنص على أن تقييم الفعالية ينبغي أن يجرى استناداً إلى المعلومات المتاحة. وأشير إلى أن اتفاقية ميناماتا لا تلزم الأطراف بإجراء الرصد، ولا تدعو إلى وضع تقرير عن الرصد؛</w:t>
      </w:r>
    </w:p>
    <w:p w14:paraId="5D43A033" w14:textId="45F1E2E9"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قُدمت عدة تعليقات فيما يخص استنتاج الفريق بأن تُجم</w:t>
      </w:r>
      <w:r w:rsidR="00732613">
        <w:rPr>
          <w:rFonts w:ascii="Traditional Arabic" w:hAnsi="Traditional Arabic" w:hint="cs"/>
          <w:sz w:val="30"/>
          <w:rtl/>
          <w:lang w:val="en-GB" w:eastAsia="zh-TW"/>
        </w:rPr>
        <w:t>َ</w:t>
      </w:r>
      <w:r w:rsidRPr="00E8191C">
        <w:rPr>
          <w:rFonts w:ascii="Traditional Arabic" w:hAnsi="Traditional Arabic"/>
          <w:sz w:val="30"/>
          <w:rtl/>
          <w:lang w:val="en-GB" w:eastAsia="zh-TW"/>
        </w:rPr>
        <w:t>ع بيانات الرصد عن مستويات الزئبق في الهواء والكائنات الحية والبشر (الشعر ودم الحبل السري)، تشير إلى ضرورة مواصلة النظر في المكونات الأخرى لجمع البيانات؛</w:t>
      </w:r>
    </w:p>
    <w:p w14:paraId="0665B9A5" w14:textId="6B9AF123"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 xml:space="preserve">أوصى أحد الأطراف في إفادته بوضع </w:t>
      </w:r>
      <w:proofErr w:type="gramStart"/>
      <w:r w:rsidRPr="00E8191C">
        <w:rPr>
          <w:rFonts w:ascii="Traditional Arabic" w:hAnsi="Traditional Arabic"/>
          <w:sz w:val="30"/>
          <w:rtl/>
          <w:lang w:val="en-GB" w:eastAsia="zh-TW"/>
        </w:rPr>
        <w:t>’’دليل</w:t>
      </w:r>
      <w:proofErr w:type="gramEnd"/>
      <w:r w:rsidRPr="00E8191C">
        <w:rPr>
          <w:rFonts w:ascii="Traditional Arabic" w:hAnsi="Traditional Arabic"/>
          <w:sz w:val="30"/>
          <w:rtl/>
          <w:lang w:val="en-GB" w:eastAsia="zh-TW"/>
        </w:rPr>
        <w:t xml:space="preserve"> تقني للرصد العالمي للزئبق‘‘ لتيسير جمع البيانات القابلة للمقارنة. وأشارت تعليقات أخرى إلى الحاجة إلى بناء القدرات والتعاون مع المجتمع المدني؛</w:t>
      </w:r>
    </w:p>
    <w:p w14:paraId="078F9EC0" w14:textId="78367E8D"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أُعرب أيضا</w:t>
      </w:r>
      <w:r w:rsidR="00DF19DD">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عن القلق من أن فريق الخبراء المخصص لم يوفر خيارات لنهج محتملة لإجراء تقييم الفعالية، بل وضع نهجاً واحداً واسع النطاق، بما في ذلك اقتراح مؤشرات أداء لكل مادة على حدة؛</w:t>
      </w:r>
    </w:p>
    <w:p w14:paraId="2BC9DAE2" w14:textId="4420E958"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فيما يتعلق بمصادر المعلومات لتقييم الفعالية، ذكر أحد الأطراف أن تقييم الفعالية ينبغي أن يستند إلى ما تقدمه الأطراف إلى الأمانة وفقا</w:t>
      </w:r>
      <w:r w:rsidR="00DF19DD">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لمتطلبات الاتفاقية، واقترح حذف الإشارة إلى مصادر المعلومات الأخرى من إطار الرصد وقائمة المؤشرات المحتملة. وأيد المعلقون الآخرون استخدام مصادر أخرى للمعلومات، بما في ذلك مختلف تقارير المشروع؛</w:t>
      </w:r>
    </w:p>
    <w:p w14:paraId="79DECD3D" w14:textId="3DA4BF4B" w:rsidR="00E8191C" w:rsidRPr="00E8191C" w:rsidRDefault="00E8191C" w:rsidP="00DF19DD">
      <w:pPr>
        <w:numPr>
          <w:ilvl w:val="1"/>
          <w:numId w:val="30"/>
        </w:numPr>
        <w:tabs>
          <w:tab w:val="left" w:pos="2408"/>
          <w:tab w:val="left" w:pos="3515"/>
        </w:tabs>
        <w:bidi/>
        <w:spacing w:after="120" w:line="400" w:lineRule="exact"/>
        <w:ind w:left="1134" w:firstLine="707"/>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لاحظ أحد الأطراف أن مشروع التقرير يتضمن عددا</w:t>
      </w:r>
      <w:r w:rsidR="00DF19DD">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من المزاعم دون توضيح الكيفية التي توصل بها </w:t>
      </w:r>
      <w:r w:rsidR="00B34901">
        <w:rPr>
          <w:rFonts w:ascii="Traditional Arabic" w:hAnsi="Traditional Arabic" w:hint="cs"/>
          <w:sz w:val="30"/>
          <w:rtl/>
          <w:lang w:val="en-GB" w:eastAsia="zh-TW"/>
        </w:rPr>
        <w:t>ا</w:t>
      </w:r>
      <w:r w:rsidRPr="00E8191C">
        <w:rPr>
          <w:rFonts w:ascii="Traditional Arabic" w:hAnsi="Traditional Arabic"/>
          <w:sz w:val="30"/>
          <w:rtl/>
          <w:lang w:val="en-GB" w:eastAsia="zh-TW"/>
        </w:rPr>
        <w:t xml:space="preserve">لفريق المخصص إلى استنتاجاته أو تقديم الأدلة العلمية الداعمة، بما في ذلك الإشارات إلى الأوراق والتقارير العلمية، لدعم </w:t>
      </w:r>
      <w:r w:rsidR="00732613">
        <w:rPr>
          <w:rFonts w:ascii="Traditional Arabic" w:hAnsi="Traditional Arabic" w:hint="cs"/>
          <w:sz w:val="30"/>
          <w:rtl/>
          <w:lang w:val="en-GB" w:eastAsia="zh-TW"/>
        </w:rPr>
        <w:t>ال</w:t>
      </w:r>
      <w:r w:rsidRPr="00E8191C">
        <w:rPr>
          <w:rFonts w:ascii="Traditional Arabic" w:hAnsi="Traditional Arabic"/>
          <w:sz w:val="30"/>
          <w:rtl/>
          <w:lang w:val="en-GB" w:eastAsia="zh-TW"/>
        </w:rPr>
        <w:t>أحكام</w:t>
      </w:r>
      <w:r w:rsidR="00732613">
        <w:rPr>
          <w:rFonts w:ascii="Traditional Arabic" w:hAnsi="Traditional Arabic" w:hint="cs"/>
          <w:sz w:val="30"/>
          <w:rtl/>
          <w:lang w:val="en-GB" w:eastAsia="zh-TW"/>
        </w:rPr>
        <w:t xml:space="preserve"> الواردة في المشروع</w:t>
      </w:r>
      <w:r w:rsidRPr="00E8191C">
        <w:rPr>
          <w:rFonts w:ascii="Traditional Arabic" w:hAnsi="Traditional Arabic"/>
          <w:sz w:val="30"/>
          <w:rtl/>
          <w:lang w:val="en-GB" w:eastAsia="zh-TW"/>
        </w:rPr>
        <w:t>. وأشار إلى أن عدم وجود هذه الإيضاحات أو الأدلة الداعمة يؤدي إلى تقويض قدرة الأطراف على فهم سياق اقتراحاته.</w:t>
      </w:r>
    </w:p>
    <w:p w14:paraId="7374A5C0" w14:textId="412C0E85" w:rsidR="00E8191C" w:rsidRPr="00CB4C6E" w:rsidRDefault="00E8191C" w:rsidP="00DF19DD">
      <w:pPr>
        <w:keepNext/>
        <w:keepLines/>
        <w:tabs>
          <w:tab w:val="right" w:pos="851"/>
          <w:tab w:val="left" w:pos="1247"/>
          <w:tab w:val="left" w:pos="1814"/>
          <w:tab w:val="left" w:pos="2381"/>
          <w:tab w:val="left" w:pos="2948"/>
          <w:tab w:val="left" w:pos="3515"/>
          <w:tab w:val="left" w:pos="4082"/>
        </w:tabs>
        <w:suppressAutoHyphens/>
        <w:bidi/>
        <w:spacing w:after="120" w:line="400" w:lineRule="exact"/>
        <w:ind w:left="1134"/>
        <w:jc w:val="both"/>
        <w:textDirection w:val="tbRlV"/>
        <w:rPr>
          <w:rFonts w:ascii="Traditional Arabic" w:hAnsi="Traditional Arabic"/>
          <w:bCs/>
          <w:sz w:val="32"/>
          <w:szCs w:val="32"/>
          <w:rtl/>
          <w:lang w:val="en-GB" w:eastAsia="zh-TW"/>
        </w:rPr>
      </w:pPr>
      <w:r w:rsidRPr="00CB4C6E">
        <w:rPr>
          <w:rFonts w:ascii="Traditional Arabic" w:hAnsi="Traditional Arabic"/>
          <w:bCs/>
          <w:sz w:val="32"/>
          <w:szCs w:val="32"/>
          <w:rtl/>
          <w:lang w:val="en-GB" w:eastAsia="zh-TW"/>
        </w:rPr>
        <w:t>الإجراء الذي يُقترح أن يتخذه مؤتمر الأطراف</w:t>
      </w:r>
    </w:p>
    <w:p w14:paraId="5D07BC0C" w14:textId="2FF97FD6" w:rsidR="00E8191C" w:rsidRPr="00E8191C" w:rsidRDefault="00E8191C" w:rsidP="00DF19DD">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E8191C">
        <w:rPr>
          <w:rFonts w:cs="Traditional Arabic"/>
          <w:sz w:val="30"/>
          <w:szCs w:val="30"/>
          <w:rtl/>
          <w:lang w:eastAsia="zh-TW"/>
        </w:rPr>
        <w:t>قد يرغب مؤتمر الأطراف في أن ينظر في توصيات فريق الخبراء المخصص، إضافة إلى الإفادات التي قدمتها الأطراف والكيانات الأخرى بشأن تقرير الفريق. وقد يرغب مؤتمر الأطراف في أن يطلب إلى فريق الخبراء المخصص أن يواصل عمله وأن يستعرض توصياته، مع مراعاة المناقشات التي جرت بشأن هذه المسألة والتوجيهات التي قدمها مؤتمر الأطراف في اجتماعه الثاني، وغير ذلك من المسائل والشواغل التي قد تثار في الاجتماع، وأن يقدم تقريراً يتضمن المزيد من التفاصيل عن الترتيبات المقترحة بشأن بيانات رصد قابلة للمقارنة وعناصر إطار لتقييم الفعالية لكي ينظر فيه مؤتمر الأطراف في اجتماعه الثالث.</w:t>
      </w:r>
    </w:p>
    <w:p w14:paraId="4058F0CC" w14:textId="77777777" w:rsidR="00732613" w:rsidRDefault="00732613" w:rsidP="00CB4C6E">
      <w:pPr>
        <w:bidi/>
        <w:rPr>
          <w:rFonts w:ascii="Traditional Arabic" w:hAnsi="Traditional Arabic"/>
          <w:b/>
          <w:bCs/>
          <w:sz w:val="34"/>
          <w:szCs w:val="34"/>
          <w:rtl/>
          <w:lang w:val="en-GB" w:eastAsia="zh-TW"/>
        </w:rPr>
      </w:pPr>
      <w:r>
        <w:rPr>
          <w:rFonts w:ascii="Traditional Arabic" w:hAnsi="Traditional Arabic"/>
          <w:b/>
          <w:bCs/>
          <w:sz w:val="34"/>
          <w:szCs w:val="34"/>
          <w:rtl/>
          <w:lang w:val="en-GB" w:eastAsia="zh-TW"/>
        </w:rPr>
        <w:br w:type="page"/>
      </w:r>
    </w:p>
    <w:p w14:paraId="21B856E4" w14:textId="76EB6A46" w:rsidR="00E8191C" w:rsidRPr="00E8191C" w:rsidRDefault="00E8191C" w:rsidP="000855C4">
      <w:pPr>
        <w:bidi/>
        <w:spacing w:line="400" w:lineRule="exact"/>
        <w:jc w:val="both"/>
        <w:textDirection w:val="tbRlV"/>
        <w:rPr>
          <w:rFonts w:ascii="Traditional Arabic" w:hAnsi="Traditional Arabic"/>
          <w:b/>
          <w:bCs/>
          <w:sz w:val="30"/>
          <w:rtl/>
          <w:lang w:val="en-GB" w:eastAsia="zh-TW"/>
        </w:rPr>
      </w:pPr>
      <w:r w:rsidRPr="00E8191C">
        <w:rPr>
          <w:rFonts w:ascii="Traditional Arabic" w:hAnsi="Traditional Arabic"/>
          <w:b/>
          <w:bCs/>
          <w:sz w:val="34"/>
          <w:szCs w:val="34"/>
          <w:rtl/>
          <w:lang w:val="en-GB" w:eastAsia="zh-TW"/>
        </w:rPr>
        <w:lastRenderedPageBreak/>
        <w:t>المرفق</w:t>
      </w:r>
    </w:p>
    <w:p w14:paraId="37EA260C" w14:textId="77777777" w:rsidR="00E8191C" w:rsidRPr="00CB4C6E" w:rsidRDefault="00E8191C" w:rsidP="000855C4">
      <w:pPr>
        <w:bidi/>
        <w:spacing w:after="120" w:line="400" w:lineRule="exact"/>
        <w:ind w:left="1134"/>
        <w:jc w:val="both"/>
        <w:textDirection w:val="tbRlV"/>
        <w:rPr>
          <w:rFonts w:ascii="Traditional Arabic" w:hAnsi="Traditional Arabic"/>
          <w:sz w:val="32"/>
          <w:szCs w:val="32"/>
          <w:rtl/>
          <w:lang w:val="en-GB" w:eastAsia="zh-TW"/>
        </w:rPr>
      </w:pPr>
      <w:r w:rsidRPr="00CB4C6E">
        <w:rPr>
          <w:rFonts w:ascii="Traditional Arabic" w:hAnsi="Traditional Arabic"/>
          <w:b/>
          <w:bCs/>
          <w:sz w:val="32"/>
          <w:szCs w:val="32"/>
          <w:rtl/>
          <w:lang w:val="en-GB" w:eastAsia="zh-TW"/>
        </w:rPr>
        <w:t>توصيات فريق الخبراء فيما يتعلق بالرصد</w:t>
      </w:r>
      <w:bookmarkStart w:id="1" w:name="_Hlk523214865"/>
    </w:p>
    <w:p w14:paraId="2CC25D32" w14:textId="77777777" w:rsidR="00E8191C" w:rsidRPr="00CB4C6E"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CB4C6E">
        <w:rPr>
          <w:rFonts w:ascii="Traditional Arabic" w:eastAsiaTheme="minorEastAsia" w:hAnsi="Traditional Arabic"/>
          <w:b/>
          <w:bCs/>
          <w:color w:val="000000"/>
          <w:sz w:val="30"/>
          <w:u w:color="000000"/>
          <w:bdr w:val="nil"/>
          <w:rtl/>
          <w:lang w:val="en-GB" w:eastAsia="zh-TW"/>
        </w:rPr>
        <w:t>التوصيات بشأن الترتيبات المتعلقة ببيانات الرصد</w:t>
      </w:r>
    </w:p>
    <w:bookmarkEnd w:id="1"/>
    <w:p w14:paraId="377E21E7" w14:textId="5A2A61B5"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CB4C6E">
        <w:rPr>
          <w:rFonts w:ascii="Traditional Arabic" w:eastAsiaTheme="minorEastAsia" w:hAnsi="Traditional Arabic"/>
          <w:b/>
          <w:bCs/>
          <w:color w:val="000000"/>
          <w:sz w:val="30"/>
          <w:u w:color="000000"/>
          <w:bdr w:val="nil"/>
          <w:rtl/>
          <w:lang w:val="en-GB" w:eastAsia="zh-TW"/>
        </w:rPr>
        <w:t xml:space="preserve">تحديد أنواع البيانات التي يمكن أن تكون قابلة للمقارنة على الصعيد العالمي، </w:t>
      </w:r>
      <w:r w:rsidR="00664FFC" w:rsidRPr="00CB4C6E">
        <w:rPr>
          <w:rFonts w:ascii="Traditional Arabic" w:eastAsiaTheme="minorEastAsia" w:hAnsi="Traditional Arabic" w:hint="cs"/>
          <w:b/>
          <w:bCs/>
          <w:color w:val="000000"/>
          <w:sz w:val="30"/>
          <w:u w:color="000000"/>
          <w:bdr w:val="nil"/>
          <w:rtl/>
          <w:lang w:val="en-GB" w:eastAsia="zh-TW"/>
        </w:rPr>
        <w:t>و</w:t>
      </w:r>
      <w:r w:rsidRPr="00CB4C6E">
        <w:rPr>
          <w:rFonts w:ascii="Traditional Arabic" w:eastAsiaTheme="minorEastAsia" w:hAnsi="Traditional Arabic"/>
          <w:b/>
          <w:bCs/>
          <w:color w:val="000000"/>
          <w:sz w:val="30"/>
          <w:u w:color="000000"/>
          <w:bdr w:val="nil"/>
          <w:rtl/>
          <w:lang w:val="en-GB" w:eastAsia="zh-TW"/>
        </w:rPr>
        <w:t>توافرها، مع مشروع خطة تدمج نتائج قابلة للمقارنة من أجل الرصد في المستقبل</w:t>
      </w:r>
    </w:p>
    <w:p w14:paraId="7CE7737B" w14:textId="77777777" w:rsidR="00E8191C" w:rsidRPr="00E8191C" w:rsidRDefault="00E8191C" w:rsidP="00CB4C6E">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 xml:space="preserve">يقوم مؤتمر </w:t>
      </w:r>
      <w:r w:rsidRPr="00E8191C">
        <w:rPr>
          <w:rFonts w:cs="Traditional Arabic"/>
          <w:sz w:val="30"/>
          <w:szCs w:val="30"/>
          <w:rtl/>
          <w:lang w:eastAsia="zh-TW"/>
        </w:rPr>
        <w:t>الأطراف</w:t>
      </w:r>
      <w:r w:rsidRPr="00E8191C">
        <w:rPr>
          <w:rFonts w:ascii="Traditional Arabic" w:hAnsi="Traditional Arabic" w:cs="Traditional Arabic"/>
          <w:color w:val="000000"/>
          <w:sz w:val="30"/>
          <w:szCs w:val="30"/>
          <w:u w:color="000000"/>
          <w:bdr w:val="nil"/>
          <w:rtl/>
          <w:lang w:val="en-GB" w:eastAsia="zh-TW"/>
        </w:rPr>
        <w:t xml:space="preserve"> بما يلي:</w:t>
      </w:r>
    </w:p>
    <w:p w14:paraId="56462A59" w14:textId="26F34030" w:rsidR="00E8191C" w:rsidRPr="00CB4C6E" w:rsidRDefault="00E8191C" w:rsidP="0011441C">
      <w:pPr>
        <w:numPr>
          <w:ilvl w:val="0"/>
          <w:numId w:val="9"/>
        </w:numPr>
        <w:pBdr>
          <w:top w:val="nil"/>
          <w:left w:val="nil"/>
          <w:bottom w:val="nil"/>
          <w:right w:val="nil"/>
          <w:between w:val="nil"/>
          <w:bar w:val="nil"/>
        </w:pBdr>
        <w:bidi/>
        <w:spacing w:after="100" w:line="400" w:lineRule="exact"/>
        <w:ind w:left="2268" w:hanging="425"/>
        <w:jc w:val="both"/>
        <w:textDirection w:val="tbRlV"/>
        <w:rPr>
          <w:rFonts w:ascii="Traditional Arabic" w:eastAsiaTheme="minorEastAsia" w:hAnsi="Traditional Arabic"/>
          <w:color w:val="000000"/>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إقامة علاقات عن طريق الأمانة مع الهيئات التي تدير المعلومات الحالية</w:t>
      </w:r>
      <w:r w:rsidR="00664FFC" w:rsidRPr="00CB4C6E">
        <w:rPr>
          <w:rFonts w:ascii="Traditional Arabic" w:eastAsiaTheme="minorEastAsia" w:hAnsi="Traditional Arabic" w:hint="cs"/>
          <w:color w:val="000000"/>
          <w:sz w:val="30"/>
          <w:u w:color="000000"/>
          <w:bdr w:val="nil"/>
          <w:rtl/>
          <w:lang w:val="en-GB" w:eastAsia="zh-TW"/>
        </w:rPr>
        <w:t>؛</w:t>
      </w:r>
    </w:p>
    <w:p w14:paraId="5CD36B20" w14:textId="5CF22656" w:rsidR="00E8191C" w:rsidRPr="00CB4C6E" w:rsidRDefault="00E8191C" w:rsidP="0011441C">
      <w:pPr>
        <w:numPr>
          <w:ilvl w:val="0"/>
          <w:numId w:val="9"/>
        </w:numPr>
        <w:pBdr>
          <w:top w:val="nil"/>
          <w:left w:val="nil"/>
          <w:bottom w:val="nil"/>
          <w:right w:val="nil"/>
          <w:between w:val="nil"/>
          <w:bar w:val="nil"/>
        </w:pBdr>
        <w:bidi/>
        <w:spacing w:after="100" w:line="400" w:lineRule="exact"/>
        <w:ind w:left="2268" w:hanging="425"/>
        <w:jc w:val="both"/>
        <w:textDirection w:val="tbRlV"/>
        <w:rPr>
          <w:rFonts w:ascii="Traditional Arabic" w:eastAsiaTheme="minorEastAsia" w:hAnsi="Traditional Arabic"/>
          <w:color w:val="000000"/>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يطلب إلى الخبراء أن يضعوا اختصاصات ترتيبات الرصد واختصاصات تنفيذ الخطة المقترحة</w:t>
      </w:r>
      <w:r w:rsidR="00664FFC" w:rsidRPr="00CB4C6E">
        <w:rPr>
          <w:rFonts w:ascii="Traditional Arabic" w:eastAsiaTheme="minorEastAsia" w:hAnsi="Traditional Arabic" w:hint="cs"/>
          <w:color w:val="000000"/>
          <w:sz w:val="30"/>
          <w:u w:color="000000"/>
          <w:bdr w:val="nil"/>
          <w:rtl/>
          <w:lang w:val="en-GB" w:eastAsia="zh-TW"/>
        </w:rPr>
        <w:t>؛</w:t>
      </w:r>
    </w:p>
    <w:p w14:paraId="35C19FD0" w14:textId="4B881517" w:rsidR="00E8191C" w:rsidRPr="00E8191C" w:rsidRDefault="00E8191C" w:rsidP="0011441C">
      <w:pPr>
        <w:numPr>
          <w:ilvl w:val="0"/>
          <w:numId w:val="9"/>
        </w:numPr>
        <w:pBdr>
          <w:top w:val="nil"/>
          <w:left w:val="nil"/>
          <w:bottom w:val="nil"/>
          <w:right w:val="nil"/>
          <w:between w:val="nil"/>
          <w:bar w:val="nil"/>
        </w:pBdr>
        <w:bidi/>
        <w:spacing w:after="100" w:line="400" w:lineRule="exact"/>
        <w:ind w:left="2268" w:hanging="425"/>
        <w:jc w:val="both"/>
        <w:textDirection w:val="tbRlV"/>
        <w:rPr>
          <w:rFonts w:ascii="Traditional Arabic" w:eastAsiaTheme="minorEastAsia" w:hAnsi="Traditional Arabic"/>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تقديم توصية إلى مرفق البيئة العالمي</w:t>
      </w:r>
      <w:r w:rsidR="003575B9">
        <w:rPr>
          <w:rFonts w:ascii="Traditional Arabic" w:eastAsiaTheme="minorEastAsia" w:hAnsi="Traditional Arabic" w:hint="cs"/>
          <w:color w:val="000000"/>
          <w:sz w:val="30"/>
          <w:u w:color="000000"/>
          <w:bdr w:val="nil"/>
          <w:rtl/>
          <w:lang w:val="en-GB" w:eastAsia="zh-TW"/>
        </w:rPr>
        <w:t>ة</w:t>
      </w:r>
      <w:r w:rsidR="003575B9" w:rsidRPr="00CB4C6E">
        <w:rPr>
          <w:rFonts w:ascii="Traditional Arabic" w:eastAsiaTheme="minorEastAsia" w:hAnsi="Traditional Arabic"/>
          <w:color w:val="000000"/>
          <w:sz w:val="30"/>
          <w:u w:color="000000"/>
          <w:bdr w:val="nil"/>
          <w:vertAlign w:val="superscript"/>
          <w:rtl/>
          <w:lang w:val="en-GB" w:eastAsia="zh-TW"/>
        </w:rPr>
        <w:t>(</w:t>
      </w:r>
      <w:r w:rsidR="003575B9" w:rsidRPr="00CB4C6E">
        <w:rPr>
          <w:rFonts w:eastAsiaTheme="minorEastAsia"/>
          <w:color w:val="000000"/>
          <w:u w:color="000000"/>
          <w:bdr w:val="nil"/>
          <w:vertAlign w:val="superscript"/>
          <w:rtl/>
          <w:lang w:val="en-GB"/>
        </w:rPr>
        <w:footnoteReference w:id="3"/>
      </w:r>
      <w:r w:rsidR="003575B9" w:rsidRPr="00CB4C6E">
        <w:rPr>
          <w:rFonts w:ascii="Traditional Arabic" w:eastAsiaTheme="minorEastAsia" w:hAnsi="Traditional Arabic"/>
          <w:color w:val="000000"/>
          <w:sz w:val="30"/>
          <w:u w:color="000000"/>
          <w:bdr w:val="nil"/>
          <w:vertAlign w:val="superscript"/>
          <w:rtl/>
          <w:lang w:val="en-GB" w:eastAsia="zh-TW"/>
        </w:rPr>
        <w:t>)</w:t>
      </w:r>
      <w:r w:rsidR="003575B9" w:rsidRPr="003575B9">
        <w:rPr>
          <w:rFonts w:ascii="Traditional Arabic" w:eastAsiaTheme="minorEastAsia" w:hAnsi="Traditional Arabic" w:hint="cs"/>
          <w:color w:val="000000"/>
          <w:sz w:val="30"/>
          <w:u w:color="000000"/>
          <w:bdr w:val="nil"/>
          <w:rtl/>
          <w:lang w:val="en-GB" w:eastAsia="zh-TW"/>
        </w:rPr>
        <w:t xml:space="preserve"> </w:t>
      </w:r>
      <w:r w:rsidRPr="00E8191C">
        <w:rPr>
          <w:rFonts w:ascii="Traditional Arabic" w:eastAsiaTheme="minorEastAsia" w:hAnsi="Traditional Arabic"/>
          <w:color w:val="000000"/>
          <w:sz w:val="30"/>
          <w:u w:color="000000"/>
          <w:bdr w:val="nil"/>
          <w:rtl/>
          <w:lang w:val="en-GB" w:eastAsia="zh-TW"/>
        </w:rPr>
        <w:t>بشأن الحاجة إلى الدعم على صعيد جمع البيانات الأساسية وتيسير المدخلات المستدامة لمعلومات الرصد فيما يخص تقييم الفعالية.</w:t>
      </w:r>
    </w:p>
    <w:p w14:paraId="601CCBB2" w14:textId="136B3159"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t>استعراض المعلومات عن برامج الرصد القائمة</w:t>
      </w:r>
    </w:p>
    <w:p w14:paraId="4BBF6366" w14:textId="77777777" w:rsidR="00E8191C" w:rsidRPr="00E8191C" w:rsidRDefault="00E8191C" w:rsidP="00CB4C6E">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cs="Traditional Arabic"/>
          <w:sz w:val="30"/>
          <w:szCs w:val="30"/>
          <w:rtl/>
          <w:lang w:eastAsia="zh-TW"/>
        </w:rPr>
        <w:t>ينبغي أن يطلب مؤتمر الأطراف إلى البلدان والمنظمات أن تواصل تقديم معلومات عن برامج الرصد لديها للإسهام في المناقشات في الاجتماع الثالث لمؤتمر الأطراف.</w:t>
      </w:r>
    </w:p>
    <w:p w14:paraId="085523F0" w14:textId="01F00D09"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color w:val="000000"/>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t>تقييم مدى تلبية المعلومات المستعرضة لاحتياجات الرصد المبينة في الفقرة 2 من المادة ٢٢ من اتفاقية ميناماتا بشأن الزئبق، وعلى هذا الأساس تحديد خيارات لتعزيز قابلية المعلومات المستعرضة للمقارنة واكتمالها</w:t>
      </w:r>
    </w:p>
    <w:p w14:paraId="45506689" w14:textId="1D944D27" w:rsidR="00E8191C" w:rsidRPr="00E8191C" w:rsidRDefault="00E8191C" w:rsidP="00CB4C6E">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ينبغي لمؤتمر الأطراف أن يضع خطة رصد عالمية تتضمن توصيات بشأن الثغرات في المعلومات المتاحة التي ينبغي معالجتها من أجل الوفاء الكامل بالاحتياجات من المعلومات وفق ما هو مبين في الفقرة ٢ من المادة ٢٢.</w:t>
      </w:r>
    </w:p>
    <w:p w14:paraId="387A6006" w14:textId="29301BEA"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color w:val="000000"/>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t>النظر في الفعالية من حيث التكلفة، خصوصاً الطابع العملي، والجدوى، والاستدامة، والتغطية العالمية، والقدرات الإقليمية عند تحديد الفرص المتاحة لإدخال تحسينات في المستقبل على عملية الرصد</w:t>
      </w:r>
    </w:p>
    <w:p w14:paraId="49C2A03E" w14:textId="5D608EAF" w:rsidR="00E8191C" w:rsidRPr="00E8191C" w:rsidRDefault="00E8191C" w:rsidP="0011441C">
      <w:pPr>
        <w:pStyle w:val="Normalnumber"/>
        <w:numPr>
          <w:ilvl w:val="0"/>
          <w:numId w:val="31"/>
        </w:numPr>
        <w:tabs>
          <w:tab w:val="left" w:pos="1841"/>
        </w:tabs>
        <w:autoSpaceDE/>
        <w:autoSpaceDN/>
        <w:bidi/>
        <w:adjustRightInd/>
        <w:spacing w:after="0" w:line="400" w:lineRule="exact"/>
        <w:ind w:left="1134" w:firstLine="0"/>
        <w:jc w:val="both"/>
        <w:textDirection w:val="tbRlV"/>
        <w:rPr>
          <w:rFonts w:ascii="Traditional Arabic" w:hAnsi="Traditional Arabic" w:cs="Traditional Arabic"/>
          <w:sz w:val="30"/>
          <w:szCs w:val="30"/>
          <w:u w:color="000000"/>
          <w:bdr w:val="nil"/>
          <w:rtl/>
          <w:lang w:val="en-GB" w:eastAsia="zh-TW"/>
        </w:rPr>
      </w:pPr>
      <w:bookmarkStart w:id="2" w:name="_Hlk523222687"/>
      <w:r w:rsidRPr="00E8191C">
        <w:rPr>
          <w:rFonts w:ascii="Traditional Arabic" w:hAnsi="Traditional Arabic" w:cs="Traditional Arabic"/>
          <w:color w:val="000000"/>
          <w:sz w:val="30"/>
          <w:szCs w:val="30"/>
          <w:u w:color="000000"/>
          <w:bdr w:val="nil"/>
          <w:rtl/>
          <w:lang w:val="en-GB" w:eastAsia="zh-TW"/>
        </w:rPr>
        <w:t xml:space="preserve">خلص الفريق إلى أنه من أجل </w:t>
      </w:r>
      <w:r w:rsidR="00984DB0" w:rsidRPr="00E8191C">
        <w:rPr>
          <w:rFonts w:ascii="Traditional Arabic" w:hAnsi="Traditional Arabic" w:cs="Traditional Arabic" w:hint="cs"/>
          <w:color w:val="000000"/>
          <w:sz w:val="30"/>
          <w:szCs w:val="30"/>
          <w:u w:color="000000"/>
          <w:bdr w:val="nil"/>
          <w:rtl/>
          <w:lang w:val="en-GB" w:eastAsia="zh-TW"/>
        </w:rPr>
        <w:t>الوفاء</w:t>
      </w:r>
      <w:r w:rsidRPr="00E8191C">
        <w:rPr>
          <w:rFonts w:ascii="Traditional Arabic" w:hAnsi="Traditional Arabic" w:cs="Traditional Arabic"/>
          <w:color w:val="000000"/>
          <w:sz w:val="30"/>
          <w:szCs w:val="30"/>
          <w:u w:color="000000"/>
          <w:bdr w:val="nil"/>
          <w:rtl/>
          <w:lang w:val="en-GB" w:eastAsia="zh-TW"/>
        </w:rPr>
        <w:t xml:space="preserve"> بمتطلبات المادة ٢٢ من الاتفاقية بشأن بيانات الرصد، يتعين جمع معلومات عن مستويات الزئبق في الهواء والكائنات الحية والبشر. وتتوفر وسائل فعالة من حيث التكلفة وعملية ومجدية ومستدامة لجميع أنواع الرصد. وفيما يخص الهواء، يوصى </w:t>
      </w:r>
      <w:r w:rsidR="00984DB0">
        <w:rPr>
          <w:rFonts w:ascii="Traditional Arabic" w:hAnsi="Traditional Arabic" w:cs="Traditional Arabic" w:hint="cs"/>
          <w:color w:val="000000"/>
          <w:sz w:val="30"/>
          <w:szCs w:val="30"/>
          <w:u w:color="000000"/>
          <w:bdr w:val="nil"/>
          <w:rtl/>
          <w:lang w:val="en-GB" w:eastAsia="zh-TW"/>
        </w:rPr>
        <w:t>ب</w:t>
      </w:r>
      <w:r w:rsidRPr="00E8191C">
        <w:rPr>
          <w:rFonts w:ascii="Traditional Arabic" w:hAnsi="Traditional Arabic" w:cs="Traditional Arabic"/>
          <w:color w:val="000000"/>
          <w:sz w:val="30"/>
          <w:szCs w:val="30"/>
          <w:u w:color="000000"/>
          <w:bdr w:val="nil"/>
          <w:rtl/>
          <w:lang w:val="en-GB" w:eastAsia="zh-TW"/>
        </w:rPr>
        <w:t xml:space="preserve">أخذ عينات من الهواء (إيجابية وسلبية) وترسبات رطبة، حيثما أمكن. أما فيما يخص الرصد البيولوجي للإنسان فإن الشعر </w:t>
      </w:r>
      <w:r w:rsidR="00664FFC">
        <w:rPr>
          <w:rFonts w:ascii="Traditional Arabic" w:hAnsi="Traditional Arabic" w:cs="Traditional Arabic" w:hint="cs"/>
          <w:color w:val="000000"/>
          <w:sz w:val="30"/>
          <w:szCs w:val="30"/>
          <w:u w:color="000000"/>
          <w:bdr w:val="nil"/>
          <w:rtl/>
          <w:lang w:val="en-GB" w:eastAsia="zh-TW"/>
        </w:rPr>
        <w:t>و</w:t>
      </w:r>
      <w:r w:rsidRPr="00E8191C">
        <w:rPr>
          <w:rFonts w:ascii="Traditional Arabic" w:hAnsi="Traditional Arabic" w:cs="Traditional Arabic"/>
          <w:color w:val="000000"/>
          <w:sz w:val="30"/>
          <w:szCs w:val="30"/>
          <w:u w:color="000000"/>
          <w:bdr w:val="nil"/>
          <w:rtl/>
          <w:lang w:val="en-GB" w:eastAsia="zh-TW"/>
        </w:rPr>
        <w:t>دم الحبل السري يستوفيان جميع معايير الإدراج في برنامج الرصد العالمي. وفيما يخص الكائنات الحية، قد تختلف طرق أخذ العينات باختلاف المجتمع الأحيائي والهدف، بيد أن أخذ العينات الذي يراعي جميع الاعتبارات ممكن. ولوحظ أنه في حين أن التغطية العالمية للرصد لا توجد إلا أن مشروع الخط</w:t>
      </w:r>
      <w:r w:rsidR="003575B9">
        <w:rPr>
          <w:rFonts w:ascii="Traditional Arabic" w:hAnsi="Traditional Arabic" w:cs="Traditional Arabic" w:hint="cs"/>
          <w:color w:val="000000"/>
          <w:sz w:val="30"/>
          <w:szCs w:val="30"/>
          <w:u w:color="000000"/>
          <w:bdr w:val="nil"/>
          <w:rtl/>
          <w:lang w:val="en-GB" w:eastAsia="zh-TW"/>
        </w:rPr>
        <w:t>ة</w:t>
      </w:r>
      <w:r w:rsidR="003575B9" w:rsidRPr="003575B9">
        <w:rPr>
          <w:rFonts w:ascii="Traditional Arabic" w:hAnsi="Traditional Arabic" w:cs="Traditional Arabic"/>
          <w:sz w:val="30"/>
          <w:szCs w:val="30"/>
          <w:vertAlign w:val="superscript"/>
          <w:rtl/>
          <w:lang w:eastAsia="zh-TW"/>
        </w:rPr>
        <w:t>(</w:t>
      </w:r>
      <w:r w:rsidR="003575B9" w:rsidRPr="003575B9">
        <w:rPr>
          <w:rStyle w:val="Appelnotedebasdep"/>
          <w:rFonts w:ascii="Traditional Arabic" w:hAnsi="Traditional Arabic" w:cs="Traditional Arabic"/>
          <w:sz w:val="30"/>
          <w:szCs w:val="30"/>
          <w:rtl/>
          <w:lang w:eastAsia="zh-TW"/>
        </w:rPr>
        <w:footnoteReference w:id="4"/>
      </w:r>
      <w:r w:rsidR="003575B9" w:rsidRPr="003575B9">
        <w:rPr>
          <w:rFonts w:ascii="Traditional Arabic" w:hAnsi="Traditional Arabic" w:cs="Traditional Arabic"/>
          <w:sz w:val="30"/>
          <w:szCs w:val="30"/>
          <w:vertAlign w:val="superscript"/>
          <w:rtl/>
          <w:lang w:eastAsia="zh-TW"/>
        </w:rPr>
        <w:t>)</w:t>
      </w:r>
      <w:r w:rsidR="003575B9">
        <w:rPr>
          <w:rFonts w:ascii="Traditional Arabic" w:hAnsi="Traditional Arabic" w:cs="Traditional Arabic" w:hint="cs"/>
          <w:color w:val="000000"/>
          <w:sz w:val="30"/>
          <w:szCs w:val="30"/>
          <w:u w:color="000000"/>
          <w:bdr w:val="nil"/>
          <w:rtl/>
          <w:lang w:val="en-GB" w:eastAsia="zh-TW"/>
        </w:rPr>
        <w:t xml:space="preserve"> </w:t>
      </w:r>
      <w:r w:rsidRPr="00E8191C">
        <w:rPr>
          <w:rFonts w:ascii="Traditional Arabic" w:hAnsi="Traditional Arabic" w:cs="Traditional Arabic"/>
          <w:color w:val="000000"/>
          <w:sz w:val="30"/>
          <w:szCs w:val="30"/>
          <w:u w:color="000000"/>
          <w:bdr w:val="nil"/>
          <w:rtl/>
          <w:lang w:val="en-GB" w:eastAsia="zh-TW"/>
        </w:rPr>
        <w:t xml:space="preserve">يتضمن توصيات بشأن كيفية معالجة الثغرات القائمة في التغطية. وتتوفر </w:t>
      </w:r>
      <w:r w:rsidR="00664FFC">
        <w:rPr>
          <w:rFonts w:ascii="Traditional Arabic" w:hAnsi="Traditional Arabic" w:cs="Traditional Arabic" w:hint="cs"/>
          <w:color w:val="000000"/>
          <w:sz w:val="30"/>
          <w:szCs w:val="30"/>
          <w:u w:color="000000"/>
          <w:bdr w:val="nil"/>
          <w:rtl/>
          <w:lang w:val="en-GB" w:eastAsia="zh-TW"/>
        </w:rPr>
        <w:t>ال</w:t>
      </w:r>
      <w:r w:rsidRPr="00E8191C">
        <w:rPr>
          <w:rFonts w:ascii="Traditional Arabic" w:hAnsi="Traditional Arabic" w:cs="Traditional Arabic"/>
          <w:color w:val="000000"/>
          <w:sz w:val="30"/>
          <w:szCs w:val="30"/>
          <w:u w:color="000000"/>
          <w:bdr w:val="nil"/>
          <w:rtl/>
          <w:lang w:val="en-GB" w:eastAsia="zh-TW"/>
        </w:rPr>
        <w:t>تكنولوجيات و</w:t>
      </w:r>
      <w:r w:rsidR="00664FFC">
        <w:rPr>
          <w:rFonts w:ascii="Traditional Arabic" w:hAnsi="Traditional Arabic" w:cs="Traditional Arabic" w:hint="cs"/>
          <w:color w:val="000000"/>
          <w:sz w:val="30"/>
          <w:szCs w:val="30"/>
          <w:u w:color="000000"/>
          <w:bdr w:val="nil"/>
          <w:rtl/>
          <w:lang w:val="en-GB" w:eastAsia="zh-TW"/>
        </w:rPr>
        <w:t>ال</w:t>
      </w:r>
      <w:r w:rsidRPr="00E8191C">
        <w:rPr>
          <w:rFonts w:ascii="Traditional Arabic" w:hAnsi="Traditional Arabic" w:cs="Traditional Arabic"/>
          <w:color w:val="000000"/>
          <w:sz w:val="30"/>
          <w:szCs w:val="30"/>
          <w:u w:color="000000"/>
          <w:bdr w:val="nil"/>
          <w:rtl/>
          <w:lang w:val="en-GB" w:eastAsia="zh-TW"/>
        </w:rPr>
        <w:t xml:space="preserve">قدرات </w:t>
      </w:r>
      <w:r w:rsidR="00664FFC">
        <w:rPr>
          <w:rFonts w:ascii="Traditional Arabic" w:hAnsi="Traditional Arabic" w:cs="Traditional Arabic" w:hint="cs"/>
          <w:color w:val="000000"/>
          <w:sz w:val="30"/>
          <w:szCs w:val="30"/>
          <w:u w:color="000000"/>
          <w:bdr w:val="nil"/>
          <w:rtl/>
          <w:lang w:val="en-GB" w:eastAsia="zh-TW"/>
        </w:rPr>
        <w:t>ال</w:t>
      </w:r>
      <w:r w:rsidRPr="00E8191C">
        <w:rPr>
          <w:rFonts w:ascii="Traditional Arabic" w:hAnsi="Traditional Arabic" w:cs="Traditional Arabic"/>
          <w:color w:val="000000"/>
          <w:sz w:val="30"/>
          <w:szCs w:val="30"/>
          <w:u w:color="000000"/>
          <w:bdr w:val="nil"/>
          <w:rtl/>
          <w:lang w:val="en-GB" w:eastAsia="zh-TW"/>
        </w:rPr>
        <w:t>تحليلية و</w:t>
      </w:r>
      <w:r w:rsidR="00664FFC">
        <w:rPr>
          <w:rFonts w:ascii="Traditional Arabic" w:hAnsi="Traditional Arabic" w:cs="Traditional Arabic" w:hint="cs"/>
          <w:color w:val="000000"/>
          <w:sz w:val="30"/>
          <w:szCs w:val="30"/>
          <w:u w:color="000000"/>
          <w:bdr w:val="nil"/>
          <w:rtl/>
          <w:lang w:val="en-GB" w:eastAsia="zh-TW"/>
        </w:rPr>
        <w:t>ال</w:t>
      </w:r>
      <w:r w:rsidRPr="00E8191C">
        <w:rPr>
          <w:rFonts w:ascii="Traditional Arabic" w:hAnsi="Traditional Arabic" w:cs="Traditional Arabic"/>
          <w:color w:val="000000"/>
          <w:sz w:val="30"/>
          <w:szCs w:val="30"/>
          <w:u w:color="000000"/>
          <w:bdr w:val="nil"/>
          <w:rtl/>
          <w:lang w:val="en-GB" w:eastAsia="zh-TW"/>
        </w:rPr>
        <w:t>خبرات</w:t>
      </w:r>
      <w:r w:rsidR="00664FFC">
        <w:rPr>
          <w:rFonts w:ascii="Traditional Arabic" w:hAnsi="Traditional Arabic" w:cs="Traditional Arabic" w:hint="cs"/>
          <w:color w:val="000000"/>
          <w:sz w:val="30"/>
          <w:szCs w:val="30"/>
          <w:u w:color="000000"/>
          <w:bdr w:val="nil"/>
          <w:rtl/>
          <w:lang w:val="en-GB" w:eastAsia="zh-TW"/>
        </w:rPr>
        <w:t xml:space="preserve"> اللازمة</w:t>
      </w:r>
      <w:r w:rsidRPr="00E8191C">
        <w:rPr>
          <w:rFonts w:ascii="Traditional Arabic" w:hAnsi="Traditional Arabic" w:cs="Traditional Arabic"/>
          <w:color w:val="000000"/>
          <w:sz w:val="30"/>
          <w:szCs w:val="30"/>
          <w:u w:color="000000"/>
          <w:bdr w:val="nil"/>
          <w:rtl/>
          <w:lang w:val="en-GB" w:eastAsia="zh-TW"/>
        </w:rPr>
        <w:t xml:space="preserve"> لتنفيذ الرصد العالمي. ويرى الفريق أنه يمكن إحراز تقدم مطرد نحو الرصد على الصعيد العالمي مع إنشاء برامج إضافية.</w:t>
      </w:r>
      <w:bookmarkEnd w:id="2"/>
    </w:p>
    <w:p w14:paraId="4A8A511A" w14:textId="55E740D3" w:rsidR="00E8191C" w:rsidRPr="00E8191C" w:rsidRDefault="00E8191C" w:rsidP="00CB4C6E">
      <w:pPr>
        <w:keepNext/>
        <w:keepLines/>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lastRenderedPageBreak/>
        <w:t>تحديد إمكانات النمذجة المتاحة لتقييم التغيرات في مستويات الزئبق العالمية داخل الأوساط المختلفة وعبرها</w:t>
      </w:r>
    </w:p>
    <w:p w14:paraId="37561F79" w14:textId="77777777" w:rsidR="00E8191C" w:rsidRPr="00E8191C" w:rsidRDefault="00E8191C" w:rsidP="00CB4C6E">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يقوم مؤتمر الأطراف بما يلي:</w:t>
      </w:r>
    </w:p>
    <w:p w14:paraId="7E02344D" w14:textId="3709227D" w:rsidR="00E8191C" w:rsidRPr="00CB4C6E" w:rsidRDefault="00E8191C" w:rsidP="00CB4C6E">
      <w:pPr>
        <w:numPr>
          <w:ilvl w:val="0"/>
          <w:numId w:val="9"/>
        </w:numPr>
        <w:pBdr>
          <w:top w:val="nil"/>
          <w:left w:val="nil"/>
          <w:bottom w:val="nil"/>
          <w:right w:val="nil"/>
          <w:between w:val="nil"/>
          <w:bar w:val="nil"/>
        </w:pBdr>
        <w:bidi/>
        <w:spacing w:after="120" w:line="400" w:lineRule="exact"/>
        <w:ind w:left="2266" w:hanging="425"/>
        <w:jc w:val="both"/>
        <w:textDirection w:val="tbRlV"/>
        <w:rPr>
          <w:rFonts w:ascii="Traditional Arabic" w:eastAsiaTheme="minorEastAsia" w:hAnsi="Traditional Arabic"/>
          <w:color w:val="000000"/>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تشجيع الأطراف على السعي إلى التعاون في تطوير وتحسين البحث ليشمل النمذجة والتحقق من صحة النماذج، بما في ذلك معالجة الثغرات في وضع النماذج من قبيل تلك المتعلقة بتعدين الذهب الحرفي والضيق النطاق</w:t>
      </w:r>
      <w:r w:rsidR="009B63E9">
        <w:rPr>
          <w:rFonts w:ascii="Traditional Arabic" w:eastAsiaTheme="minorEastAsia" w:hAnsi="Traditional Arabic" w:hint="cs"/>
          <w:color w:val="000000"/>
          <w:sz w:val="30"/>
          <w:u w:color="000000"/>
          <w:bdr w:val="nil"/>
          <w:rtl/>
          <w:lang w:val="en-GB" w:eastAsia="zh-TW"/>
        </w:rPr>
        <w:t>؛</w:t>
      </w:r>
    </w:p>
    <w:p w14:paraId="359D7BE3" w14:textId="76582E6A" w:rsidR="00E8191C" w:rsidRPr="00CB4C6E" w:rsidRDefault="00E8191C" w:rsidP="00CB4C6E">
      <w:pPr>
        <w:numPr>
          <w:ilvl w:val="0"/>
          <w:numId w:val="9"/>
        </w:numPr>
        <w:pBdr>
          <w:top w:val="nil"/>
          <w:left w:val="nil"/>
          <w:bottom w:val="nil"/>
          <w:right w:val="nil"/>
          <w:between w:val="nil"/>
          <w:bar w:val="nil"/>
        </w:pBdr>
        <w:bidi/>
        <w:spacing w:after="120" w:line="400" w:lineRule="exact"/>
        <w:ind w:left="2266" w:hanging="425"/>
        <w:jc w:val="both"/>
        <w:textDirection w:val="tbRlV"/>
        <w:rPr>
          <w:rFonts w:ascii="Traditional Arabic" w:eastAsiaTheme="minorEastAsia" w:hAnsi="Traditional Arabic"/>
          <w:color w:val="000000"/>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الطلب إلى المنظمات أن تعمل على وضع النماذج وإقرارها وتعزيز استخدامها، بما في ذلك وضع نماذج لما بين المكونات (مثلاً بشأن الكائنات الحية والهواء والبشر، أو التدفقات بين الهواء والماء)</w:t>
      </w:r>
      <w:r w:rsidR="009B63E9">
        <w:rPr>
          <w:rFonts w:ascii="Traditional Arabic" w:eastAsiaTheme="minorEastAsia" w:hAnsi="Traditional Arabic" w:hint="cs"/>
          <w:color w:val="000000"/>
          <w:sz w:val="30"/>
          <w:u w:color="000000"/>
          <w:bdr w:val="nil"/>
          <w:rtl/>
          <w:lang w:val="en-GB" w:eastAsia="zh-TW"/>
        </w:rPr>
        <w:t>؛</w:t>
      </w:r>
    </w:p>
    <w:p w14:paraId="75A68E80" w14:textId="00FAE857" w:rsidR="00E8191C" w:rsidRPr="00CB4C6E" w:rsidRDefault="00E8191C" w:rsidP="00CB4C6E">
      <w:pPr>
        <w:numPr>
          <w:ilvl w:val="0"/>
          <w:numId w:val="9"/>
        </w:numPr>
        <w:pBdr>
          <w:top w:val="nil"/>
          <w:left w:val="nil"/>
          <w:bottom w:val="nil"/>
          <w:right w:val="nil"/>
          <w:between w:val="nil"/>
          <w:bar w:val="nil"/>
        </w:pBdr>
        <w:bidi/>
        <w:spacing w:after="120" w:line="400" w:lineRule="exact"/>
        <w:ind w:left="2266" w:hanging="425"/>
        <w:jc w:val="both"/>
        <w:textDirection w:val="tbRlV"/>
        <w:rPr>
          <w:rFonts w:ascii="Traditional Arabic" w:eastAsiaTheme="minorEastAsia" w:hAnsi="Traditional Arabic"/>
          <w:color w:val="000000"/>
          <w:sz w:val="30"/>
          <w:u w:color="000000"/>
          <w:bdr w:val="nil"/>
          <w:rtl/>
          <w:lang w:val="en-GB" w:eastAsia="zh-TW"/>
        </w:rPr>
      </w:pPr>
      <w:r w:rsidRPr="00E8191C">
        <w:rPr>
          <w:rFonts w:ascii="Traditional Arabic" w:eastAsiaTheme="minorEastAsia" w:hAnsi="Traditional Arabic"/>
          <w:color w:val="000000"/>
          <w:sz w:val="30"/>
          <w:u w:color="000000"/>
          <w:bdr w:val="nil"/>
          <w:rtl/>
          <w:lang w:val="en-GB" w:eastAsia="zh-TW"/>
        </w:rPr>
        <w:t>كفالة استخدام النماذج للاسترشاد بها في وضع خطة الرصد، وكذلك أي تعديل مقبل للخطة، ووضع معلومات لتقييم الفعالية.</w:t>
      </w:r>
    </w:p>
    <w:p w14:paraId="11B5B8F1" w14:textId="23AEC29C"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color w:val="000000"/>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t>تحديد مصادر البيانات التي يمكن استخدامها لتحديد خط أساس</w:t>
      </w:r>
    </w:p>
    <w:p w14:paraId="0384B385" w14:textId="77777777" w:rsidR="00E8191C" w:rsidRPr="00E8191C" w:rsidRDefault="00E8191C" w:rsidP="00CB4C6E">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يتعين على مؤتمر الأطراف أن ينظر في اتخاذ ترتيبات لعملية رسمية لترسيخ جمع بيانات الزئبق وإدارتها ونشرها في إطار اتفاقية ميناماتا لغرض تيسير تقييم الفعالية، والحاجة إلى تحديد خط أساس لتلك العملية. ويتعين الأخذ في الاعتبار مصادر المعلومات المتاحة، بما في ذلك التقييم العالمي للزئبق، عند وضع ترتيبات من هذا القبيل.</w:t>
      </w:r>
    </w:p>
    <w:p w14:paraId="14E7B11D" w14:textId="026C99FE" w:rsidR="00E8191C" w:rsidRPr="00E8191C" w:rsidRDefault="00E8191C" w:rsidP="00CB4C6E">
      <w:pPr>
        <w:pBdr>
          <w:top w:val="nil"/>
          <w:left w:val="nil"/>
          <w:bottom w:val="nil"/>
          <w:right w:val="nil"/>
          <w:between w:val="nil"/>
          <w:bar w:val="nil"/>
        </w:pBdr>
        <w:bidi/>
        <w:spacing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t>تحديد الكيفية التي يمكن بها لأنشطة الرصد أن تسهم في وضع إطار تقييم الفعالية</w:t>
      </w:r>
    </w:p>
    <w:p w14:paraId="17825711" w14:textId="45E518F2" w:rsidR="00E8191C" w:rsidRPr="00E8191C" w:rsidRDefault="00E8191C" w:rsidP="002C7F76">
      <w:pPr>
        <w:pStyle w:val="Normalnumber"/>
        <w:numPr>
          <w:ilvl w:val="0"/>
          <w:numId w:val="31"/>
        </w:numPr>
        <w:tabs>
          <w:tab w:val="left" w:pos="1841"/>
        </w:tabs>
        <w:autoSpaceDE/>
        <w:autoSpaceDN/>
        <w:bidi/>
        <w:adjustRightInd/>
        <w:spacing w:after="240"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 xml:space="preserve">تشمل التوصيات </w:t>
      </w:r>
      <w:r w:rsidRPr="00E8191C">
        <w:rPr>
          <w:rFonts w:cs="Traditional Arabic"/>
          <w:sz w:val="30"/>
          <w:szCs w:val="30"/>
          <w:rtl/>
          <w:lang w:eastAsia="zh-TW"/>
        </w:rPr>
        <w:t>بشأن</w:t>
      </w:r>
      <w:r w:rsidRPr="00E8191C">
        <w:rPr>
          <w:rFonts w:ascii="Traditional Arabic" w:hAnsi="Traditional Arabic" w:cs="Traditional Arabic"/>
          <w:color w:val="000000"/>
          <w:sz w:val="30"/>
          <w:szCs w:val="30"/>
          <w:u w:color="000000"/>
          <w:bdr w:val="nil"/>
          <w:rtl/>
          <w:lang w:val="en-GB" w:eastAsia="zh-TW"/>
        </w:rPr>
        <w:t xml:space="preserve"> الكيفية التي يمكن أن تسهم بها معلومات الرصد، إلى جانب التقييم الملائم</w:t>
      </w:r>
      <w:r w:rsidR="00984DB0">
        <w:rPr>
          <w:rFonts w:ascii="Traditional Arabic" w:hAnsi="Traditional Arabic" w:cs="Traditional Arabic" w:hint="cs"/>
          <w:color w:val="000000"/>
          <w:sz w:val="30"/>
          <w:szCs w:val="30"/>
          <w:u w:color="000000"/>
          <w:bdr w:val="nil"/>
          <w:rtl/>
          <w:lang w:val="en-GB" w:eastAsia="zh-TW"/>
        </w:rPr>
        <w:t xml:space="preserve"> </w:t>
      </w:r>
      <w:r w:rsidRPr="00E8191C">
        <w:rPr>
          <w:rFonts w:ascii="Traditional Arabic" w:hAnsi="Traditional Arabic" w:cs="Traditional Arabic"/>
          <w:color w:val="000000"/>
          <w:sz w:val="30"/>
          <w:szCs w:val="30"/>
          <w:u w:color="000000"/>
          <w:bdr w:val="nil"/>
          <w:rtl/>
          <w:lang w:val="en-GB" w:eastAsia="zh-TW"/>
        </w:rPr>
        <w:t>للعلاقة السببية، في تقييم بعض المواد، ما يلي:</w:t>
      </w:r>
    </w:p>
    <w:tbl>
      <w:tblPr>
        <w:tblStyle w:val="Grilledutableau"/>
        <w:bidiVisual/>
        <w:tblW w:w="9496" w:type="dxa"/>
        <w:tblInd w:w="280" w:type="dxa"/>
        <w:tblLayout w:type="fixed"/>
        <w:tblCellMar>
          <w:top w:w="28" w:type="dxa"/>
          <w:bottom w:w="28" w:type="dxa"/>
        </w:tblCellMar>
        <w:tblLook w:val="04A0" w:firstRow="1" w:lastRow="0" w:firstColumn="1" w:lastColumn="0" w:noHBand="0" w:noVBand="1"/>
      </w:tblPr>
      <w:tblGrid>
        <w:gridCol w:w="3119"/>
        <w:gridCol w:w="6377"/>
      </w:tblGrid>
      <w:tr w:rsidR="00E8191C" w:rsidRPr="002C7F76" w14:paraId="4CFC2B76" w14:textId="77777777" w:rsidTr="002C7F76">
        <w:tc>
          <w:tcPr>
            <w:tcW w:w="3119" w:type="dxa"/>
          </w:tcPr>
          <w:p w14:paraId="7E52DD1F" w14:textId="77777777" w:rsidR="00E8191C" w:rsidRPr="00DF19DD" w:rsidRDefault="00E8191C" w:rsidP="002C7F76">
            <w:pPr>
              <w:bidi/>
              <w:spacing w:after="40" w:line="300" w:lineRule="exact"/>
              <w:jc w:val="both"/>
              <w:textDirection w:val="tbRlV"/>
              <w:rPr>
                <w:rFonts w:ascii="Traditional Arabic" w:eastAsiaTheme="minorEastAsia" w:hAnsi="Traditional Arabic" w:cs="Traditional Arabic"/>
                <w:i/>
                <w:iCs/>
                <w:sz w:val="28"/>
                <w:szCs w:val="28"/>
                <w:u w:color="000000"/>
                <w:bdr w:val="nil"/>
                <w:rtl/>
                <w:lang w:val="en-GB" w:eastAsia="zh-TW"/>
              </w:rPr>
            </w:pPr>
            <w:r w:rsidRPr="00DF19DD">
              <w:rPr>
                <w:rFonts w:ascii="Traditional Arabic" w:eastAsiaTheme="minorEastAsia" w:hAnsi="Traditional Arabic" w:cs="Traditional Arabic"/>
                <w:i/>
                <w:iCs/>
                <w:color w:val="000000"/>
                <w:sz w:val="28"/>
                <w:szCs w:val="28"/>
                <w:u w:color="000000"/>
                <w:bdr w:val="nil"/>
                <w:rtl/>
                <w:lang w:val="en-GB" w:eastAsia="zh-TW"/>
              </w:rPr>
              <w:t>المادة</w:t>
            </w:r>
          </w:p>
        </w:tc>
        <w:tc>
          <w:tcPr>
            <w:tcW w:w="6377" w:type="dxa"/>
          </w:tcPr>
          <w:p w14:paraId="29A67B75" w14:textId="77777777" w:rsidR="00EA4B86" w:rsidRPr="00EA4B86" w:rsidRDefault="00E8191C" w:rsidP="00EA4B86">
            <w:pPr>
              <w:tabs>
                <w:tab w:val="left" w:pos="2948"/>
                <w:tab w:val="left" w:pos="3515"/>
              </w:tabs>
              <w:bidi/>
              <w:spacing w:line="300" w:lineRule="exact"/>
              <w:jc w:val="center"/>
              <w:textDirection w:val="tbRlV"/>
              <w:rPr>
                <w:rFonts w:ascii="Traditional Arabic" w:hAnsi="Traditional Arabic" w:cs="Traditional Arabic"/>
                <w:i/>
                <w:iCs/>
                <w:sz w:val="28"/>
                <w:szCs w:val="28"/>
                <w:rtl/>
                <w:lang w:val="en-GB" w:eastAsia="zh-TW"/>
              </w:rPr>
            </w:pPr>
            <w:r w:rsidRPr="00EA4B86">
              <w:rPr>
                <w:rFonts w:ascii="Traditional Arabic" w:hAnsi="Traditional Arabic" w:cs="Traditional Arabic"/>
                <w:i/>
                <w:iCs/>
                <w:sz w:val="28"/>
                <w:szCs w:val="28"/>
                <w:rtl/>
                <w:lang w:val="en-GB" w:eastAsia="zh-TW"/>
              </w:rPr>
              <w:t>بيان الكيفية التي يمكن بها لبيانات الرصد العالمية (للهواء والبشر والكائنات الحية)</w:t>
            </w:r>
          </w:p>
          <w:p w14:paraId="4BF9E612" w14:textId="4336D56C" w:rsidR="00E8191C" w:rsidRPr="002C7F76" w:rsidRDefault="00E8191C" w:rsidP="00EA4B86">
            <w:pPr>
              <w:tabs>
                <w:tab w:val="left" w:pos="2948"/>
                <w:tab w:val="left" w:pos="3515"/>
              </w:tabs>
              <w:bidi/>
              <w:spacing w:after="40" w:line="300" w:lineRule="exact"/>
              <w:jc w:val="center"/>
              <w:textDirection w:val="tbRlV"/>
              <w:rPr>
                <w:rFonts w:ascii="Traditional Arabic" w:eastAsia="Roboto" w:hAnsi="Traditional Arabic" w:cs="Traditional Arabic"/>
                <w:i/>
                <w:sz w:val="28"/>
                <w:szCs w:val="28"/>
                <w:rtl/>
                <w:lang w:val="en-GB" w:eastAsia="zh-TW"/>
              </w:rPr>
            </w:pPr>
            <w:r w:rsidRPr="00EA4B86">
              <w:rPr>
                <w:rFonts w:ascii="Traditional Arabic" w:hAnsi="Traditional Arabic" w:cs="Traditional Arabic"/>
                <w:i/>
                <w:iCs/>
                <w:sz w:val="28"/>
                <w:szCs w:val="28"/>
                <w:rtl/>
                <w:lang w:val="en-GB" w:eastAsia="zh-TW"/>
              </w:rPr>
              <w:t>أن تسهم في تقييم فعالية الاتفاقية</w:t>
            </w:r>
          </w:p>
        </w:tc>
      </w:tr>
      <w:tr w:rsidR="00E8191C" w:rsidRPr="002C7F76" w14:paraId="64A2BA85" w14:textId="77777777" w:rsidTr="002C7F76">
        <w:tc>
          <w:tcPr>
            <w:tcW w:w="3119" w:type="dxa"/>
          </w:tcPr>
          <w:p w14:paraId="011C2F6E" w14:textId="2982FFFA"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 xml:space="preserve">المادة 1- الهدف </w:t>
            </w:r>
          </w:p>
        </w:tc>
        <w:tc>
          <w:tcPr>
            <w:tcW w:w="6377" w:type="dxa"/>
          </w:tcPr>
          <w:p w14:paraId="31542F1B" w14:textId="77777777"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sz w:val="28"/>
                <w:szCs w:val="28"/>
                <w:rtl/>
                <w:lang w:val="en-GB" w:eastAsia="zh-TW"/>
              </w:rPr>
            </w:pPr>
            <w:r w:rsidRPr="002C7F76">
              <w:rPr>
                <w:rFonts w:ascii="Traditional Arabic" w:hAnsi="Traditional Arabic" w:cs="Traditional Arabic"/>
                <w:sz w:val="28"/>
                <w:szCs w:val="28"/>
                <w:rtl/>
                <w:lang w:val="en-GB" w:eastAsia="zh-TW"/>
              </w:rPr>
              <w:t>مستوى الزئبق في الهواء والبشر والكائنات الحية</w:t>
            </w:r>
          </w:p>
          <w:p w14:paraId="059FF5BB" w14:textId="77777777" w:rsidR="00E8191C" w:rsidRPr="002C7F76" w:rsidRDefault="00E8191C" w:rsidP="00EA4B86">
            <w:pPr>
              <w:numPr>
                <w:ilvl w:val="0"/>
                <w:numId w:val="9"/>
              </w:numPr>
              <w:bidi/>
              <w:spacing w:line="340" w:lineRule="exact"/>
              <w:ind w:left="312" w:hanging="284"/>
              <w:jc w:val="both"/>
              <w:textDirection w:val="tbRlV"/>
              <w:rPr>
                <w:rFonts w:ascii="Traditional Arabic" w:eastAsiaTheme="minorEastAsia" w:hAnsi="Traditional Arabic" w:cs="Traditional Arabic"/>
                <w:sz w:val="28"/>
                <w:szCs w:val="28"/>
                <w:u w:color="000000"/>
                <w:bdr w:val="nil"/>
                <w:rtl/>
                <w:lang w:val="en-GB" w:eastAsia="zh-TW"/>
              </w:rPr>
            </w:pPr>
            <w:r w:rsidRPr="002C7F76">
              <w:rPr>
                <w:rFonts w:ascii="Traditional Arabic" w:eastAsiaTheme="minorEastAsia" w:hAnsi="Traditional Arabic" w:cs="Traditional Arabic"/>
                <w:color w:val="000000"/>
                <w:sz w:val="28"/>
                <w:szCs w:val="28"/>
                <w:u w:color="000000"/>
                <w:bdr w:val="nil"/>
                <w:rtl/>
                <w:lang w:val="en-GB" w:eastAsia="zh-TW"/>
              </w:rPr>
              <w:t>إسناد مستويات الزئبق في البيئة والبشر من الانبعاثات والإطلاقات البشرية المنشأ حسب تقديرات معلومات النماذج</w:t>
            </w:r>
          </w:p>
        </w:tc>
      </w:tr>
      <w:tr w:rsidR="00E8191C" w:rsidRPr="002C7F76" w14:paraId="1038E079" w14:textId="77777777" w:rsidTr="002C7F76">
        <w:tc>
          <w:tcPr>
            <w:tcW w:w="3119" w:type="dxa"/>
          </w:tcPr>
          <w:p w14:paraId="51DA6F9F" w14:textId="354E1B0A" w:rsidR="00E8191C" w:rsidRPr="00DF19DD" w:rsidRDefault="00E8191C" w:rsidP="00DF19DD">
            <w:pPr>
              <w:bidi/>
              <w:spacing w:line="340" w:lineRule="exact"/>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7- تعدين الذهب الحرفي</w:t>
            </w:r>
            <w:r w:rsidR="00DF19DD">
              <w:rPr>
                <w:rFonts w:ascii="Traditional Arabic" w:eastAsiaTheme="minorEastAsia" w:hAnsi="Traditional Arabic" w:cs="Traditional Arabic"/>
                <w:color w:val="000000"/>
                <w:sz w:val="28"/>
                <w:szCs w:val="28"/>
                <w:u w:color="000000"/>
                <w:bdr w:val="nil"/>
                <w:rtl/>
                <w:lang w:val="en-GB" w:eastAsia="zh-TW"/>
              </w:rPr>
              <w:br/>
            </w:r>
            <w:r w:rsidRPr="00DF19DD">
              <w:rPr>
                <w:rFonts w:ascii="Traditional Arabic" w:eastAsiaTheme="minorEastAsia" w:hAnsi="Traditional Arabic" w:cs="Traditional Arabic"/>
                <w:color w:val="000000"/>
                <w:sz w:val="28"/>
                <w:szCs w:val="28"/>
                <w:u w:color="000000"/>
                <w:bdr w:val="nil"/>
                <w:rtl/>
                <w:lang w:val="en-GB" w:eastAsia="zh-TW"/>
              </w:rPr>
              <w:t>والضيق النطاق</w:t>
            </w:r>
          </w:p>
        </w:tc>
        <w:tc>
          <w:tcPr>
            <w:tcW w:w="6377" w:type="dxa"/>
          </w:tcPr>
          <w:p w14:paraId="43F90D1D" w14:textId="77777777"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sz w:val="28"/>
                <w:szCs w:val="28"/>
                <w:rtl/>
                <w:lang w:val="en-GB" w:eastAsia="zh-TW"/>
              </w:rPr>
            </w:pPr>
            <w:r w:rsidRPr="002C7F76">
              <w:rPr>
                <w:rFonts w:ascii="Traditional Arabic" w:hAnsi="Traditional Arabic" w:cs="Traditional Arabic"/>
                <w:sz w:val="28"/>
                <w:szCs w:val="28"/>
                <w:rtl/>
                <w:lang w:val="en-GB" w:eastAsia="zh-TW"/>
              </w:rPr>
              <w:t>مستويات الزئبق في البشر</w:t>
            </w:r>
          </w:p>
          <w:p w14:paraId="4478F005" w14:textId="1070107F"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sz w:val="28"/>
                <w:szCs w:val="28"/>
                <w:rtl/>
                <w:lang w:val="en-GB" w:eastAsia="zh-TW"/>
              </w:rPr>
            </w:pPr>
            <w:r w:rsidRPr="002C7F76">
              <w:rPr>
                <w:rFonts w:ascii="Traditional Arabic" w:hAnsi="Traditional Arabic" w:cs="Traditional Arabic"/>
                <w:sz w:val="28"/>
                <w:szCs w:val="28"/>
                <w:rtl/>
                <w:lang w:val="en-GB" w:eastAsia="zh-TW"/>
              </w:rPr>
              <w:t>مستويات الزئبق في الأسماك وغيرها من الكائنات الحية التي تقع في المستويات الدنيا على مسار أنشطة تعدين الذهب الحرفي والضيق النطاق</w:t>
            </w:r>
          </w:p>
          <w:p w14:paraId="6E9CCB87" w14:textId="77777777" w:rsidR="00E8191C" w:rsidRPr="002C7F76" w:rsidRDefault="00E8191C" w:rsidP="00EA4B86">
            <w:pPr>
              <w:numPr>
                <w:ilvl w:val="0"/>
                <w:numId w:val="9"/>
              </w:numPr>
              <w:bidi/>
              <w:spacing w:line="340" w:lineRule="exact"/>
              <w:ind w:left="312" w:hanging="284"/>
              <w:jc w:val="both"/>
              <w:textDirection w:val="tbRlV"/>
              <w:rPr>
                <w:rFonts w:ascii="Traditional Arabic" w:eastAsiaTheme="minorEastAsia" w:hAnsi="Traditional Arabic" w:cs="Traditional Arabic"/>
                <w:sz w:val="28"/>
                <w:szCs w:val="28"/>
                <w:u w:color="000000"/>
                <w:bdr w:val="nil"/>
                <w:rtl/>
                <w:lang w:val="en-GB" w:eastAsia="zh-TW"/>
              </w:rPr>
            </w:pPr>
            <w:r w:rsidRPr="002C7F76">
              <w:rPr>
                <w:rFonts w:ascii="Traditional Arabic" w:eastAsiaTheme="minorEastAsia" w:hAnsi="Traditional Arabic" w:cs="Traditional Arabic"/>
                <w:color w:val="000000"/>
                <w:sz w:val="28"/>
                <w:szCs w:val="28"/>
                <w:u w:color="000000"/>
                <w:bdr w:val="nil"/>
                <w:rtl/>
                <w:lang w:val="en-GB" w:eastAsia="zh-TW"/>
              </w:rPr>
              <w:t>مستويات الزئبق في الهواء المحيط</w:t>
            </w:r>
          </w:p>
        </w:tc>
      </w:tr>
      <w:tr w:rsidR="00E8191C" w:rsidRPr="002C7F76" w14:paraId="36189E24" w14:textId="77777777" w:rsidTr="002C7F76">
        <w:tc>
          <w:tcPr>
            <w:tcW w:w="3119" w:type="dxa"/>
          </w:tcPr>
          <w:p w14:paraId="7108411E" w14:textId="21A2DB76"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8- الانبعاثات</w:t>
            </w:r>
          </w:p>
        </w:tc>
        <w:tc>
          <w:tcPr>
            <w:tcW w:w="6377" w:type="dxa"/>
          </w:tcPr>
          <w:p w14:paraId="64B720D2" w14:textId="77777777" w:rsidR="00E8191C" w:rsidRPr="009B63E9"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i/>
                <w:sz w:val="28"/>
                <w:szCs w:val="28"/>
                <w:rtl/>
                <w:lang w:val="en-GB" w:eastAsia="zh-TW"/>
              </w:rPr>
            </w:pPr>
            <w:r w:rsidRPr="002C7F76">
              <w:rPr>
                <w:rFonts w:ascii="Traditional Arabic" w:hAnsi="Traditional Arabic" w:cs="Traditional Arabic"/>
                <w:sz w:val="28"/>
                <w:szCs w:val="28"/>
                <w:rtl/>
                <w:lang w:val="en-GB" w:eastAsia="zh-TW"/>
              </w:rPr>
              <w:t>مستويات الزئبق في الهواء المحيط</w:t>
            </w:r>
          </w:p>
          <w:p w14:paraId="6072FB1E" w14:textId="77777777" w:rsidR="00E8191C" w:rsidRPr="002C7F76" w:rsidRDefault="00E8191C" w:rsidP="00EA4B86">
            <w:pPr>
              <w:numPr>
                <w:ilvl w:val="0"/>
                <w:numId w:val="9"/>
              </w:numPr>
              <w:bidi/>
              <w:spacing w:line="340" w:lineRule="exact"/>
              <w:ind w:left="312" w:hanging="284"/>
              <w:jc w:val="both"/>
              <w:textDirection w:val="tbRlV"/>
              <w:rPr>
                <w:rFonts w:ascii="Traditional Arabic" w:eastAsiaTheme="minorEastAsia" w:hAnsi="Traditional Arabic" w:cs="Traditional Arabic"/>
                <w:iCs/>
                <w:sz w:val="28"/>
                <w:szCs w:val="28"/>
                <w:u w:color="000000"/>
                <w:bdr w:val="nil"/>
                <w:rtl/>
                <w:lang w:val="en-GB" w:eastAsia="zh-TW"/>
              </w:rPr>
            </w:pPr>
            <w:r w:rsidRPr="002C7F76">
              <w:rPr>
                <w:rFonts w:ascii="Traditional Arabic" w:eastAsiaTheme="minorEastAsia" w:hAnsi="Traditional Arabic" w:cs="Traditional Arabic"/>
                <w:color w:val="000000"/>
                <w:sz w:val="28"/>
                <w:szCs w:val="28"/>
                <w:u w:color="000000"/>
                <w:bdr w:val="nil"/>
                <w:rtl/>
                <w:lang w:val="en-GB" w:eastAsia="zh-TW"/>
              </w:rPr>
              <w:t>مستويات الزئبق في الكائنات الحية لدراسة الآثار المحلية والانتقال البعيد المدى</w:t>
            </w:r>
          </w:p>
        </w:tc>
      </w:tr>
      <w:tr w:rsidR="00E8191C" w:rsidRPr="002C7F76" w14:paraId="259C36EC" w14:textId="77777777" w:rsidTr="002C7F76">
        <w:tc>
          <w:tcPr>
            <w:tcW w:w="3119" w:type="dxa"/>
          </w:tcPr>
          <w:p w14:paraId="6977A8A9" w14:textId="7FC9F5D6"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9- الإطلاقات</w:t>
            </w:r>
          </w:p>
        </w:tc>
        <w:tc>
          <w:tcPr>
            <w:tcW w:w="6377" w:type="dxa"/>
          </w:tcPr>
          <w:p w14:paraId="2E8E5694" w14:textId="77777777"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iCs/>
                <w:sz w:val="28"/>
                <w:szCs w:val="28"/>
                <w:rtl/>
                <w:lang w:val="en-GB" w:eastAsia="zh-TW"/>
              </w:rPr>
            </w:pPr>
            <w:r w:rsidRPr="002C7F76">
              <w:rPr>
                <w:rFonts w:ascii="Traditional Arabic" w:hAnsi="Traditional Arabic" w:cs="Traditional Arabic"/>
                <w:sz w:val="28"/>
                <w:szCs w:val="28"/>
                <w:rtl/>
                <w:lang w:val="en-GB" w:eastAsia="zh-TW"/>
              </w:rPr>
              <w:t>مستويات الزئبق في الأسماك وغيرها من الكائنات الحية والبشر</w:t>
            </w:r>
          </w:p>
        </w:tc>
      </w:tr>
      <w:tr w:rsidR="00E8191C" w:rsidRPr="002C7F76" w14:paraId="44EF47F6" w14:textId="77777777" w:rsidTr="002C7F76">
        <w:tc>
          <w:tcPr>
            <w:tcW w:w="3119" w:type="dxa"/>
          </w:tcPr>
          <w:p w14:paraId="74F3B653" w14:textId="01E906E3"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12- المواقع الملوثة بالزئبق</w:t>
            </w:r>
          </w:p>
        </w:tc>
        <w:tc>
          <w:tcPr>
            <w:tcW w:w="6377" w:type="dxa"/>
          </w:tcPr>
          <w:p w14:paraId="44A69001" w14:textId="77777777" w:rsidR="00E8191C" w:rsidRPr="002C7F76" w:rsidRDefault="00E8191C" w:rsidP="00EA4B86">
            <w:pPr>
              <w:numPr>
                <w:ilvl w:val="0"/>
                <w:numId w:val="9"/>
              </w:numPr>
              <w:bidi/>
              <w:spacing w:line="340" w:lineRule="exact"/>
              <w:ind w:left="312" w:hanging="284"/>
              <w:jc w:val="both"/>
              <w:textDirection w:val="tbRlV"/>
              <w:rPr>
                <w:rFonts w:ascii="Traditional Arabic" w:eastAsiaTheme="minorEastAsia" w:hAnsi="Traditional Arabic" w:cs="Traditional Arabic"/>
                <w:sz w:val="28"/>
                <w:szCs w:val="28"/>
                <w:u w:color="000000"/>
                <w:bdr w:val="nil"/>
                <w:rtl/>
                <w:lang w:val="en-GB" w:eastAsia="zh-TW"/>
              </w:rPr>
            </w:pPr>
            <w:r w:rsidRPr="002C7F76">
              <w:rPr>
                <w:rFonts w:ascii="Traditional Arabic" w:eastAsiaTheme="minorEastAsia" w:hAnsi="Traditional Arabic" w:cs="Traditional Arabic"/>
                <w:color w:val="000000"/>
                <w:sz w:val="28"/>
                <w:szCs w:val="28"/>
                <w:u w:color="000000"/>
                <w:bdr w:val="nil"/>
                <w:rtl/>
                <w:lang w:val="en-GB" w:eastAsia="zh-TW"/>
              </w:rPr>
              <w:t>مستويات الزئبق في الهواء والبشر والكائنات الحية</w:t>
            </w:r>
          </w:p>
        </w:tc>
      </w:tr>
      <w:tr w:rsidR="00E8191C" w:rsidRPr="002C7F76" w14:paraId="4593F650" w14:textId="77777777" w:rsidTr="002C7F76">
        <w:tc>
          <w:tcPr>
            <w:tcW w:w="3119" w:type="dxa"/>
          </w:tcPr>
          <w:p w14:paraId="2AA87ACA" w14:textId="63B9D48E"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16- الجوانب الصحية</w:t>
            </w:r>
          </w:p>
        </w:tc>
        <w:tc>
          <w:tcPr>
            <w:tcW w:w="6377" w:type="dxa"/>
          </w:tcPr>
          <w:p w14:paraId="1C7B69BB" w14:textId="77777777" w:rsidR="00E8191C" w:rsidRPr="002C7F76" w:rsidRDefault="00E8191C" w:rsidP="00EA4B86">
            <w:pPr>
              <w:numPr>
                <w:ilvl w:val="0"/>
                <w:numId w:val="9"/>
              </w:numPr>
              <w:bidi/>
              <w:spacing w:line="340" w:lineRule="exact"/>
              <w:ind w:left="312" w:hanging="284"/>
              <w:jc w:val="both"/>
              <w:textDirection w:val="tbRlV"/>
              <w:rPr>
                <w:rFonts w:ascii="Traditional Arabic" w:eastAsiaTheme="minorEastAsia" w:hAnsi="Traditional Arabic" w:cs="Traditional Arabic"/>
                <w:sz w:val="28"/>
                <w:szCs w:val="28"/>
                <w:u w:color="000000"/>
                <w:bdr w:val="nil"/>
                <w:rtl/>
                <w:lang w:val="en-GB" w:eastAsia="zh-TW"/>
              </w:rPr>
            </w:pPr>
            <w:r w:rsidRPr="002C7F76">
              <w:rPr>
                <w:rFonts w:ascii="Traditional Arabic" w:eastAsiaTheme="minorEastAsia" w:hAnsi="Traditional Arabic" w:cs="Traditional Arabic"/>
                <w:color w:val="000000"/>
                <w:sz w:val="28"/>
                <w:szCs w:val="28"/>
                <w:u w:color="000000"/>
                <w:bdr w:val="nil"/>
                <w:rtl/>
                <w:lang w:val="en-GB" w:eastAsia="zh-TW"/>
              </w:rPr>
              <w:t>مستويات الزئبق في البشر (تتبع النجاح في حماية الفئات الضعيفة من السكان)</w:t>
            </w:r>
          </w:p>
        </w:tc>
      </w:tr>
      <w:tr w:rsidR="00E8191C" w:rsidRPr="002C7F76" w14:paraId="10758C56" w14:textId="77777777" w:rsidTr="002C7F76">
        <w:tc>
          <w:tcPr>
            <w:tcW w:w="3119" w:type="dxa"/>
          </w:tcPr>
          <w:p w14:paraId="585D2A8F" w14:textId="6B1C3E3A"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18- إعلام الجمهور وتوعيته وتثقيفه</w:t>
            </w:r>
          </w:p>
        </w:tc>
        <w:tc>
          <w:tcPr>
            <w:tcW w:w="6377" w:type="dxa"/>
          </w:tcPr>
          <w:p w14:paraId="0936A571" w14:textId="77777777"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sz w:val="28"/>
                <w:szCs w:val="28"/>
                <w:rtl/>
                <w:lang w:val="en-GB" w:eastAsia="zh-TW"/>
              </w:rPr>
            </w:pPr>
            <w:r w:rsidRPr="002C7F76">
              <w:rPr>
                <w:rFonts w:ascii="Traditional Arabic" w:hAnsi="Traditional Arabic" w:cs="Traditional Arabic"/>
                <w:sz w:val="28"/>
                <w:szCs w:val="28"/>
                <w:rtl/>
                <w:lang w:val="en-GB" w:eastAsia="zh-TW"/>
              </w:rPr>
              <w:t>عدد الأطراف التي لديها معلومات عامة عن مستويات الزئبق في الهواء والبشر والكائنات الحية</w:t>
            </w:r>
          </w:p>
        </w:tc>
      </w:tr>
      <w:tr w:rsidR="00E8191C" w:rsidRPr="002C7F76" w14:paraId="336181C6" w14:textId="77777777" w:rsidTr="002C7F76">
        <w:tc>
          <w:tcPr>
            <w:tcW w:w="3119" w:type="dxa"/>
          </w:tcPr>
          <w:p w14:paraId="08958022" w14:textId="358C2477" w:rsidR="00E8191C" w:rsidRPr="00DF19DD" w:rsidRDefault="00E8191C" w:rsidP="00EA4B86">
            <w:pPr>
              <w:bidi/>
              <w:spacing w:line="340" w:lineRule="exact"/>
              <w:jc w:val="both"/>
              <w:textDirection w:val="tbRlV"/>
              <w:rPr>
                <w:rFonts w:ascii="Traditional Arabic" w:eastAsiaTheme="minorEastAsia" w:hAnsi="Traditional Arabic" w:cs="Traditional Arabic"/>
                <w:sz w:val="28"/>
                <w:szCs w:val="28"/>
                <w:u w:color="000000"/>
                <w:bdr w:val="nil"/>
                <w:rtl/>
                <w:lang w:val="en-GB" w:eastAsia="zh-TW"/>
              </w:rPr>
            </w:pPr>
            <w:r w:rsidRPr="00DF19DD">
              <w:rPr>
                <w:rFonts w:ascii="Traditional Arabic" w:eastAsiaTheme="minorEastAsia" w:hAnsi="Traditional Arabic" w:cs="Traditional Arabic"/>
                <w:color w:val="000000"/>
                <w:sz w:val="28"/>
                <w:szCs w:val="28"/>
                <w:u w:color="000000"/>
                <w:bdr w:val="nil"/>
                <w:rtl/>
                <w:lang w:val="en-GB" w:eastAsia="zh-TW"/>
              </w:rPr>
              <w:t>المادة 19- البحوث والتطوير والرصد</w:t>
            </w:r>
          </w:p>
        </w:tc>
        <w:tc>
          <w:tcPr>
            <w:tcW w:w="6377" w:type="dxa"/>
          </w:tcPr>
          <w:p w14:paraId="6A61575D" w14:textId="77777777" w:rsidR="00E8191C" w:rsidRPr="002C7F76" w:rsidRDefault="00E8191C" w:rsidP="00EA4B86">
            <w:pPr>
              <w:numPr>
                <w:ilvl w:val="0"/>
                <w:numId w:val="9"/>
              </w:numPr>
              <w:pBdr>
                <w:top w:val="nil"/>
                <w:left w:val="nil"/>
                <w:bottom w:val="nil"/>
                <w:right w:val="nil"/>
                <w:between w:val="nil"/>
                <w:bar w:val="nil"/>
              </w:pBdr>
              <w:bidi/>
              <w:spacing w:line="340" w:lineRule="exact"/>
              <w:ind w:left="312" w:hanging="284"/>
              <w:jc w:val="both"/>
              <w:textDirection w:val="tbRlV"/>
              <w:rPr>
                <w:rFonts w:ascii="Traditional Arabic" w:eastAsia="Roboto" w:hAnsi="Traditional Arabic" w:cs="Traditional Arabic"/>
                <w:sz w:val="28"/>
                <w:szCs w:val="28"/>
                <w:rtl/>
                <w:lang w:val="en-GB" w:eastAsia="zh-TW"/>
              </w:rPr>
            </w:pPr>
            <w:r w:rsidRPr="002C7F76">
              <w:rPr>
                <w:rFonts w:ascii="Traditional Arabic" w:hAnsi="Traditional Arabic" w:cs="Traditional Arabic"/>
                <w:sz w:val="28"/>
                <w:szCs w:val="28"/>
                <w:rtl/>
                <w:lang w:val="en-GB" w:eastAsia="zh-TW"/>
              </w:rPr>
              <w:t>عدد الأطراف التي تتعاون في تطوير وتحسين المعلومات المتاحة لإدراجها في تقرير الرصد العالمي (بما في ذلك من خلال مصادر البيانات القائمة)</w:t>
            </w:r>
          </w:p>
        </w:tc>
      </w:tr>
    </w:tbl>
    <w:p w14:paraId="58F595F7" w14:textId="77777777" w:rsidR="00E8191C" w:rsidRPr="00E8191C" w:rsidRDefault="00E8191C" w:rsidP="000C79BA">
      <w:pPr>
        <w:pBdr>
          <w:top w:val="nil"/>
          <w:left w:val="nil"/>
          <w:bottom w:val="nil"/>
          <w:right w:val="nil"/>
          <w:between w:val="nil"/>
          <w:bar w:val="nil"/>
        </w:pBdr>
        <w:bidi/>
        <w:spacing w:before="360" w:after="120" w:line="400" w:lineRule="exact"/>
        <w:ind w:left="1134"/>
        <w:jc w:val="both"/>
        <w:textDirection w:val="tbRlV"/>
        <w:rPr>
          <w:rFonts w:ascii="Traditional Arabic" w:eastAsiaTheme="minorEastAsia" w:hAnsi="Traditional Arabic"/>
          <w:b/>
          <w:bCs/>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lastRenderedPageBreak/>
        <w:t>توصيات بشأن عناصر إطار تقييم الفعالية</w:t>
      </w:r>
    </w:p>
    <w:p w14:paraId="6087119A" w14:textId="3635A504" w:rsidR="00E8191C" w:rsidRPr="00E8191C" w:rsidRDefault="00E8191C" w:rsidP="000C79BA">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 xml:space="preserve">وضع فريق </w:t>
      </w:r>
      <w:r w:rsidRPr="00E8191C">
        <w:rPr>
          <w:rFonts w:cs="Traditional Arabic"/>
          <w:sz w:val="30"/>
          <w:szCs w:val="30"/>
          <w:rtl/>
          <w:lang w:eastAsia="zh-TW"/>
        </w:rPr>
        <w:t>الخبراء</w:t>
      </w:r>
      <w:r w:rsidRPr="00E8191C">
        <w:rPr>
          <w:rFonts w:ascii="Traditional Arabic" w:hAnsi="Traditional Arabic" w:cs="Traditional Arabic"/>
          <w:color w:val="000000"/>
          <w:sz w:val="30"/>
          <w:szCs w:val="30"/>
          <w:u w:color="000000"/>
          <w:bdr w:val="nil"/>
          <w:rtl/>
          <w:lang w:val="en-GB" w:eastAsia="zh-TW"/>
        </w:rPr>
        <w:t xml:space="preserve"> المخصص قائمة أولية بالمؤشرات لتقييم الفعالية الأول. وهناك حاجة إلى المزيد من العمل لاستعراض قيود البيانات وخطوط الأساس لتلك المؤشرات، فضلا</w:t>
      </w:r>
      <w:r w:rsidR="00DF19DD">
        <w:rPr>
          <w:rFonts w:ascii="Traditional Arabic" w:hAnsi="Traditional Arabic" w:cs="Traditional Arabic" w:hint="cs"/>
          <w:color w:val="000000"/>
          <w:sz w:val="30"/>
          <w:szCs w:val="30"/>
          <w:u w:color="000000"/>
          <w:bdr w:val="nil"/>
          <w:rtl/>
          <w:lang w:val="en-GB" w:eastAsia="zh-TW"/>
        </w:rPr>
        <w:t>ً</w:t>
      </w:r>
      <w:r w:rsidRPr="00E8191C">
        <w:rPr>
          <w:rFonts w:ascii="Traditional Arabic" w:hAnsi="Traditional Arabic" w:cs="Traditional Arabic"/>
          <w:color w:val="000000"/>
          <w:sz w:val="30"/>
          <w:szCs w:val="30"/>
          <w:u w:color="000000"/>
          <w:bdr w:val="nil"/>
          <w:rtl/>
          <w:lang w:val="en-GB" w:eastAsia="zh-TW"/>
        </w:rPr>
        <w:t xml:space="preserve"> عن تطوير أساليب لتحليل مؤشرات كل مادة على حدة لتقييم الفعالية الشامل، والنظر في استخدام معلومات الرصد في تقييم الفعالية.</w:t>
      </w:r>
    </w:p>
    <w:p w14:paraId="38BB17DD" w14:textId="77777777" w:rsidR="00E8191C" w:rsidRPr="00E8191C" w:rsidRDefault="00E8191C" w:rsidP="000C79BA">
      <w:pPr>
        <w:pStyle w:val="Normalnumber"/>
        <w:numPr>
          <w:ilvl w:val="0"/>
          <w:numId w:val="31"/>
        </w:numPr>
        <w:tabs>
          <w:tab w:val="left" w:pos="1841"/>
        </w:tabs>
        <w:autoSpaceDE/>
        <w:autoSpaceDN/>
        <w:bidi/>
        <w:adjustRightInd/>
        <w:spacing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 xml:space="preserve">ويوصي فريق </w:t>
      </w:r>
      <w:r w:rsidRPr="00E8191C">
        <w:rPr>
          <w:rFonts w:cs="Traditional Arabic"/>
          <w:sz w:val="30"/>
          <w:szCs w:val="30"/>
          <w:rtl/>
          <w:lang w:eastAsia="zh-TW"/>
        </w:rPr>
        <w:t>الخبراء</w:t>
      </w:r>
      <w:r w:rsidRPr="00E8191C">
        <w:rPr>
          <w:rFonts w:ascii="Traditional Arabic" w:hAnsi="Traditional Arabic" w:cs="Traditional Arabic"/>
          <w:color w:val="000000"/>
          <w:sz w:val="30"/>
          <w:szCs w:val="30"/>
          <w:u w:color="000000"/>
          <w:bdr w:val="nil"/>
          <w:rtl/>
          <w:lang w:val="en-GB" w:eastAsia="zh-TW"/>
        </w:rPr>
        <w:t xml:space="preserve"> المخصص بعملية من مرحلتين وجدول لتقييم الفعالية الأول على النحو التالي: ينظر مؤتمر الأطراف في الاقتراح بهدف إنشاء إطار لتقييم الفعالية في اجتماعه الثالث.</w:t>
      </w:r>
    </w:p>
    <w:p w14:paraId="7C8F47BB" w14:textId="4D6414BF" w:rsidR="00E8191C" w:rsidRPr="00E8191C" w:rsidRDefault="00E8191C" w:rsidP="00231C59">
      <w:pPr>
        <w:numPr>
          <w:ilvl w:val="0"/>
          <w:numId w:val="11"/>
        </w:numPr>
        <w:pBdr>
          <w:top w:val="nil"/>
          <w:left w:val="nil"/>
          <w:bottom w:val="nil"/>
          <w:right w:val="nil"/>
          <w:between w:val="nil"/>
          <w:bar w:val="nil"/>
        </w:pBdr>
        <w:tabs>
          <w:tab w:val="clear" w:pos="477"/>
          <w:tab w:val="left" w:pos="2381"/>
        </w:tabs>
        <w:bidi/>
        <w:spacing w:after="80" w:line="400" w:lineRule="exact"/>
        <w:ind w:left="1841" w:firstLine="0"/>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المرحلة ١: جمع المعلومات وتصنيفها</w:t>
      </w:r>
      <w:r w:rsidR="009B63E9">
        <w:rPr>
          <w:rFonts w:ascii="Traditional Arabic" w:eastAsia="Roboto" w:hAnsi="Traditional Arabic" w:hint="cs"/>
          <w:sz w:val="30"/>
          <w:rtl/>
          <w:lang w:val="en-GB" w:eastAsia="zh-TW"/>
        </w:rPr>
        <w:t>:</w:t>
      </w:r>
    </w:p>
    <w:p w14:paraId="1FBFD7F5" w14:textId="6669F0D0"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 xml:space="preserve">المادة ٢١ الإبلاغ </w:t>
      </w:r>
      <w:r w:rsidR="000855C4">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تجمع الأمانة كجزء من دورة الإبلاغ، بما في ذلك مجموعة من الإحصاءات الوصفية</w:t>
      </w:r>
      <w:r w:rsidR="0011120E">
        <w:rPr>
          <w:rFonts w:ascii="Traditional Arabic" w:eastAsia="Roboto" w:hAnsi="Traditional Arabic" w:hint="cs"/>
          <w:sz w:val="30"/>
          <w:rtl/>
          <w:lang w:val="en-GB" w:eastAsia="zh-TW"/>
        </w:rPr>
        <w:t>.</w:t>
      </w:r>
    </w:p>
    <w:p w14:paraId="1DCC91C5" w14:textId="5A741417"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 xml:space="preserve">الإفادات الأخرى للأمانة </w:t>
      </w:r>
      <w:r w:rsidR="0026779B">
        <w:rPr>
          <w:rFonts w:ascii="Traditional Arabic" w:hAnsi="Traditional Arabic" w:hint="cs"/>
          <w:sz w:val="30"/>
          <w:rtl/>
          <w:lang w:val="en-GB" w:eastAsia="zh-TW"/>
        </w:rPr>
        <w:t>(</w:t>
      </w:r>
      <w:r w:rsidRPr="00E8191C">
        <w:rPr>
          <w:rFonts w:ascii="Traditional Arabic" w:hAnsi="Traditional Arabic"/>
          <w:sz w:val="30"/>
          <w:rtl/>
          <w:lang w:val="en-GB" w:eastAsia="zh-TW"/>
        </w:rPr>
        <w:t>الموافقة على الاستيراد، خطط العمل الوطنية، جرد انبعاثات، الإعفاء، خطط التنفيذ الوطنية الاختيارية، وما إلى ذلك،)</w:t>
      </w:r>
      <w:r w:rsidR="0011120E" w:rsidRPr="00E8191C">
        <w:rPr>
          <w:rFonts w:ascii="Traditional Arabic" w:hAnsi="Traditional Arabic"/>
          <w:color w:val="000000"/>
          <w:sz w:val="30"/>
          <w:u w:color="000000"/>
          <w:bdr w:val="nil"/>
          <w:rtl/>
          <w:lang w:val="en-GB" w:eastAsia="zh-TW"/>
        </w:rPr>
        <w:t>.</w:t>
      </w:r>
    </w:p>
    <w:p w14:paraId="4C00FC25" w14:textId="3233907F"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تقرير الرصد العالمي</w:t>
      </w:r>
      <w:r w:rsidR="003575B9" w:rsidRPr="00DD1CC5">
        <w:rPr>
          <w:rFonts w:ascii="Traditional Arabic" w:hAnsi="Traditional Arabic"/>
          <w:sz w:val="30"/>
          <w:vertAlign w:val="superscript"/>
          <w:rtl/>
          <w:lang w:eastAsia="zh-TW"/>
        </w:rPr>
        <w:t>(</w:t>
      </w:r>
      <w:r w:rsidR="003575B9" w:rsidRPr="00DD1CC5">
        <w:rPr>
          <w:rStyle w:val="Appelnotedebasdep"/>
          <w:rFonts w:ascii="Traditional Arabic" w:hAnsi="Traditional Arabic"/>
          <w:sz w:val="30"/>
          <w:rtl/>
          <w:lang w:eastAsia="zh-TW"/>
        </w:rPr>
        <w:footnoteReference w:id="5"/>
      </w:r>
      <w:r w:rsidR="003575B9" w:rsidRPr="00DD1CC5">
        <w:rPr>
          <w:rFonts w:ascii="Traditional Arabic" w:hAnsi="Traditional Arabic"/>
          <w:sz w:val="30"/>
          <w:vertAlign w:val="superscript"/>
          <w:rtl/>
          <w:lang w:eastAsia="zh-TW"/>
        </w:rPr>
        <w:t>)</w:t>
      </w:r>
      <w:r w:rsidR="0011120E" w:rsidRPr="00E8191C">
        <w:rPr>
          <w:rFonts w:ascii="Traditional Arabic" w:hAnsi="Traditional Arabic"/>
          <w:color w:val="000000"/>
          <w:sz w:val="30"/>
          <w:u w:color="000000"/>
          <w:bdr w:val="nil"/>
          <w:rtl/>
          <w:lang w:val="en-GB" w:eastAsia="zh-TW"/>
        </w:rPr>
        <w:t>.</w:t>
      </w:r>
    </w:p>
    <w:p w14:paraId="5CD5FF84" w14:textId="7F3B1F51"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تقرير لجنة التنفيذ والامتثال</w:t>
      </w:r>
      <w:r w:rsidR="0011120E" w:rsidRPr="00E8191C">
        <w:rPr>
          <w:rFonts w:ascii="Traditional Arabic" w:hAnsi="Traditional Arabic"/>
          <w:color w:val="000000"/>
          <w:sz w:val="30"/>
          <w:u w:color="000000"/>
          <w:bdr w:val="nil"/>
          <w:rtl/>
          <w:lang w:val="en-GB" w:eastAsia="zh-TW"/>
        </w:rPr>
        <w:t>.</w:t>
      </w:r>
    </w:p>
    <w:p w14:paraId="18B85042" w14:textId="1A2D55B2"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تقرير من مرفق البيئة العالمية</w:t>
      </w:r>
      <w:r w:rsidR="0011120E" w:rsidRPr="00E8191C">
        <w:rPr>
          <w:rFonts w:ascii="Traditional Arabic" w:hAnsi="Traditional Arabic"/>
          <w:color w:val="000000"/>
          <w:sz w:val="30"/>
          <w:u w:color="000000"/>
          <w:bdr w:val="nil"/>
          <w:rtl/>
          <w:lang w:val="en-GB" w:eastAsia="zh-TW"/>
        </w:rPr>
        <w:t>.</w:t>
      </w:r>
    </w:p>
    <w:p w14:paraId="71EBBDA1" w14:textId="583D5D76"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تقرير البرنامج الدولي المحدد</w:t>
      </w:r>
      <w:r w:rsidR="0011120E" w:rsidRPr="00E8191C">
        <w:rPr>
          <w:rFonts w:ascii="Traditional Arabic" w:hAnsi="Traditional Arabic"/>
          <w:color w:val="000000"/>
          <w:sz w:val="30"/>
          <w:u w:color="000000"/>
          <w:bdr w:val="nil"/>
          <w:rtl/>
          <w:lang w:val="en-GB" w:eastAsia="zh-TW"/>
        </w:rPr>
        <w:t>.</w:t>
      </w:r>
    </w:p>
    <w:p w14:paraId="7BD6B887" w14:textId="453762DD" w:rsidR="00E8191C" w:rsidRPr="00E8191C"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eastAsia="Roboto" w:hAnsi="Traditional Arabic"/>
          <w:sz w:val="30"/>
          <w:rtl/>
          <w:lang w:val="en-GB" w:eastAsia="zh-TW"/>
        </w:rPr>
      </w:pPr>
      <w:r w:rsidRPr="00E8191C">
        <w:rPr>
          <w:rFonts w:ascii="Traditional Arabic" w:hAnsi="Traditional Arabic"/>
          <w:sz w:val="30"/>
          <w:rtl/>
          <w:lang w:val="en-GB" w:eastAsia="zh-TW"/>
        </w:rPr>
        <w:t>تقرير البرنامج الخاص لدعم التعزيز المؤسسي على الصعيد الوطني من أجل تنفيذ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واتفاقية ميناماتا، والنهج الاستراتيجي للإدارة الدولية للمواد الكيميائية</w:t>
      </w:r>
      <w:r w:rsidR="0011120E" w:rsidRPr="00E8191C">
        <w:rPr>
          <w:rFonts w:ascii="Traditional Arabic" w:hAnsi="Traditional Arabic"/>
          <w:color w:val="000000"/>
          <w:sz w:val="30"/>
          <w:u w:color="000000"/>
          <w:bdr w:val="nil"/>
          <w:rtl/>
          <w:lang w:val="en-GB" w:eastAsia="zh-TW"/>
        </w:rPr>
        <w:t>.</w:t>
      </w:r>
    </w:p>
    <w:p w14:paraId="77721ABC" w14:textId="78D8A0CF" w:rsidR="00E8191C" w:rsidRDefault="00E8191C" w:rsidP="00231C59">
      <w:pPr>
        <w:numPr>
          <w:ilvl w:val="1"/>
          <w:numId w:val="11"/>
        </w:numPr>
        <w:pBdr>
          <w:top w:val="nil"/>
          <w:left w:val="nil"/>
          <w:bottom w:val="nil"/>
          <w:right w:val="nil"/>
          <w:between w:val="nil"/>
          <w:bar w:val="nil"/>
        </w:pBdr>
        <w:bidi/>
        <w:spacing w:after="80" w:line="360" w:lineRule="exact"/>
        <w:ind w:left="3261" w:hanging="851"/>
        <w:jc w:val="both"/>
        <w:textDirection w:val="tbRlV"/>
        <w:rPr>
          <w:rFonts w:ascii="Traditional Arabic" w:eastAsia="Roboto" w:hAnsi="Traditional Arabic"/>
          <w:sz w:val="30"/>
          <w:lang w:val="en-GB" w:eastAsia="zh-TW"/>
        </w:rPr>
      </w:pPr>
      <w:r w:rsidRPr="00E8191C">
        <w:rPr>
          <w:rFonts w:ascii="Traditional Arabic" w:hAnsi="Traditional Arabic"/>
          <w:sz w:val="30"/>
          <w:rtl/>
          <w:lang w:val="en-GB" w:eastAsia="zh-TW"/>
        </w:rPr>
        <w:t>المعلومات الأخرى ذات الصلة، بما في ذلك التقييم العالمي للزئبق، وتقرير العرض والتجارة والطلب الصادر عن برنامج الأمم المتحدة للبيئة، والإفادات الطوعية، وتقارير المنظمات الحكومية الدولية (منظمة الصحة العالمية، ومنظمة العمل الدولية، وبرنامج الأمم المتحدة الإنمائي، وبرنامج رصد المنطقة المتجمدة الشمالية وتقييمها، ومنظمة الأمم المتحدة للتنمية الصناعية، وما إلى ذلك)، والتقييمات الأولية لاتفاقية ميناماتا، وشراكة الزئبق العالمية، وتقارير المشاريع، والبيانات التجارية للأمم المتحدة، والمؤلفات العلمية، من بين معلومات أخرى</w:t>
      </w:r>
      <w:r w:rsidR="0011120E" w:rsidRPr="00E8191C">
        <w:rPr>
          <w:rFonts w:ascii="Traditional Arabic" w:hAnsi="Traditional Arabic"/>
          <w:color w:val="000000"/>
          <w:sz w:val="30"/>
          <w:u w:color="000000"/>
          <w:bdr w:val="nil"/>
          <w:rtl/>
          <w:lang w:val="en-GB" w:eastAsia="zh-TW"/>
        </w:rPr>
        <w:t>.</w:t>
      </w:r>
    </w:p>
    <w:p w14:paraId="6F789CB3" w14:textId="2FCE96B3" w:rsidR="00E8191C" w:rsidRPr="000855C4" w:rsidRDefault="00E8191C" w:rsidP="00231C59">
      <w:pPr>
        <w:numPr>
          <w:ilvl w:val="0"/>
          <w:numId w:val="11"/>
        </w:numPr>
        <w:pBdr>
          <w:top w:val="nil"/>
          <w:left w:val="nil"/>
          <w:bottom w:val="nil"/>
          <w:right w:val="nil"/>
          <w:between w:val="nil"/>
          <w:bar w:val="nil"/>
        </w:pBdr>
        <w:tabs>
          <w:tab w:val="clear" w:pos="477"/>
          <w:tab w:val="left" w:pos="2381"/>
        </w:tabs>
        <w:bidi/>
        <w:spacing w:after="80" w:line="360" w:lineRule="exact"/>
        <w:ind w:left="1841" w:firstLine="0"/>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المرحلة ٢: توليف المعلومات وتقييمها</w:t>
      </w:r>
      <w:r w:rsidR="0011120E">
        <w:rPr>
          <w:rFonts w:ascii="Traditional Arabic" w:hAnsi="Traditional Arabic" w:hint="cs"/>
          <w:sz w:val="30"/>
          <w:rtl/>
          <w:lang w:val="en-GB" w:eastAsia="zh-TW"/>
        </w:rPr>
        <w:t>:</w:t>
      </w:r>
    </w:p>
    <w:p w14:paraId="0120695B" w14:textId="299E0DF3" w:rsidR="00E8191C" w:rsidRPr="000855C4"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تعد الأمانة تقريرا</w:t>
      </w:r>
      <w:r w:rsidR="00DF19DD">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أوليا</w:t>
      </w:r>
      <w:r w:rsidR="00DF19DD">
        <w:rPr>
          <w:rFonts w:ascii="Traditional Arabic" w:hAnsi="Traditional Arabic" w:hint="cs"/>
          <w:sz w:val="30"/>
          <w:rtl/>
          <w:lang w:val="en-GB" w:eastAsia="zh-TW"/>
        </w:rPr>
        <w:t>ً</w:t>
      </w:r>
      <w:r w:rsidRPr="00E8191C">
        <w:rPr>
          <w:rFonts w:ascii="Traditional Arabic" w:hAnsi="Traditional Arabic"/>
          <w:sz w:val="30"/>
          <w:rtl/>
          <w:lang w:val="en-GB" w:eastAsia="zh-TW"/>
        </w:rPr>
        <w:t xml:space="preserve"> باستخدام المعلومات من المرحلة 1. ويشمل التقرير الأولي تجميعاً لمختلف المعلومات والبيانات المتاحة لتيسير تقييم الاتفاقية</w:t>
      </w:r>
      <w:r w:rsidR="0011120E" w:rsidRPr="00E8191C">
        <w:rPr>
          <w:rFonts w:ascii="Traditional Arabic" w:hAnsi="Traditional Arabic"/>
          <w:color w:val="000000"/>
          <w:sz w:val="30"/>
          <w:u w:color="000000"/>
          <w:bdr w:val="nil"/>
          <w:rtl/>
          <w:lang w:val="en-GB" w:eastAsia="zh-TW"/>
        </w:rPr>
        <w:t>.</w:t>
      </w:r>
    </w:p>
    <w:p w14:paraId="537671F1" w14:textId="2F89FAB8" w:rsidR="00E8191C" w:rsidRPr="000855C4" w:rsidRDefault="00E8191C" w:rsidP="00231C59">
      <w:pPr>
        <w:numPr>
          <w:ilvl w:val="1"/>
          <w:numId w:val="11"/>
        </w:numPr>
        <w:pBdr>
          <w:top w:val="nil"/>
          <w:left w:val="nil"/>
          <w:bottom w:val="nil"/>
          <w:right w:val="nil"/>
          <w:between w:val="nil"/>
          <w:bar w:val="nil"/>
        </w:pBdr>
        <w:bidi/>
        <w:spacing w:after="80" w:line="360" w:lineRule="exact"/>
        <w:ind w:left="3259" w:hanging="849"/>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وتستعرض لجنة تقييم الفعالية المعلومات التي جمعتها الأمانة وتقيمها</w:t>
      </w:r>
      <w:r w:rsidR="0011120E" w:rsidRPr="00E8191C">
        <w:rPr>
          <w:rFonts w:ascii="Traditional Arabic" w:hAnsi="Traditional Arabic"/>
          <w:color w:val="000000"/>
          <w:sz w:val="30"/>
          <w:u w:color="000000"/>
          <w:bdr w:val="nil"/>
          <w:rtl/>
          <w:lang w:val="en-GB" w:eastAsia="zh-TW"/>
        </w:rPr>
        <w:t>.</w:t>
      </w:r>
    </w:p>
    <w:p w14:paraId="01FE1900" w14:textId="2FA032EE" w:rsidR="00E8191C" w:rsidRPr="000855C4" w:rsidRDefault="00E8191C" w:rsidP="00231C59">
      <w:pPr>
        <w:numPr>
          <w:ilvl w:val="1"/>
          <w:numId w:val="11"/>
        </w:numPr>
        <w:pBdr>
          <w:top w:val="nil"/>
          <w:left w:val="nil"/>
          <w:bottom w:val="nil"/>
          <w:right w:val="nil"/>
          <w:between w:val="nil"/>
          <w:bar w:val="nil"/>
        </w:pBdr>
        <w:bidi/>
        <w:spacing w:line="360" w:lineRule="exact"/>
        <w:ind w:left="3261" w:hanging="851"/>
        <w:jc w:val="both"/>
        <w:textDirection w:val="tbRlV"/>
        <w:rPr>
          <w:rFonts w:ascii="Traditional Arabic" w:hAnsi="Traditional Arabic"/>
          <w:sz w:val="30"/>
          <w:rtl/>
          <w:lang w:val="en-GB" w:eastAsia="zh-TW"/>
        </w:rPr>
      </w:pPr>
      <w:r w:rsidRPr="00E8191C">
        <w:rPr>
          <w:rFonts w:ascii="Traditional Arabic" w:hAnsi="Traditional Arabic"/>
          <w:sz w:val="30"/>
          <w:rtl/>
          <w:lang w:val="en-GB" w:eastAsia="zh-TW"/>
        </w:rPr>
        <w:t>تستخلص اللجنة استنتاجات بشأن فعالية الاتفاقية، وتقدم توصيات إلى مؤتمر الأطراف عن أي تحسينات قد يكون لها ما يبررها</w:t>
      </w:r>
      <w:r w:rsidR="0011120E" w:rsidRPr="00E8191C">
        <w:rPr>
          <w:rFonts w:ascii="Traditional Arabic" w:hAnsi="Traditional Arabic"/>
          <w:color w:val="000000"/>
          <w:sz w:val="30"/>
          <w:u w:color="000000"/>
          <w:bdr w:val="nil"/>
          <w:rtl/>
          <w:lang w:val="en-GB" w:eastAsia="zh-TW"/>
        </w:rPr>
        <w:t>.</w:t>
      </w:r>
    </w:p>
    <w:p w14:paraId="0C11C9E7" w14:textId="77777777" w:rsidR="00E8191C" w:rsidRPr="00E8191C" w:rsidRDefault="00E8191C" w:rsidP="002A222A">
      <w:pPr>
        <w:pBdr>
          <w:top w:val="nil"/>
          <w:left w:val="nil"/>
          <w:bottom w:val="nil"/>
          <w:right w:val="nil"/>
          <w:between w:val="nil"/>
          <w:bar w:val="nil"/>
        </w:pBdr>
        <w:bidi/>
        <w:spacing w:after="240" w:line="400" w:lineRule="exact"/>
        <w:ind w:left="1134"/>
        <w:jc w:val="both"/>
        <w:textDirection w:val="tbRlV"/>
        <w:rPr>
          <w:rFonts w:ascii="Traditional Arabic" w:eastAsiaTheme="minorEastAsia" w:hAnsi="Traditional Arabic"/>
          <w:b/>
          <w:bCs/>
          <w:sz w:val="30"/>
          <w:u w:color="000000"/>
          <w:bdr w:val="nil"/>
          <w:rtl/>
          <w:lang w:val="en-GB" w:eastAsia="zh-TW"/>
        </w:rPr>
      </w:pPr>
      <w:r w:rsidRPr="00E8191C">
        <w:rPr>
          <w:rFonts w:ascii="Traditional Arabic" w:eastAsiaTheme="minorEastAsia" w:hAnsi="Traditional Arabic"/>
          <w:b/>
          <w:bCs/>
          <w:color w:val="000000"/>
          <w:sz w:val="30"/>
          <w:u w:color="000000"/>
          <w:bdr w:val="nil"/>
          <w:rtl/>
          <w:lang w:val="en-GB" w:eastAsia="zh-TW"/>
        </w:rPr>
        <w:lastRenderedPageBreak/>
        <w:t>الجدول الزمني المقترح لتقييم الفعالية الأول</w:t>
      </w:r>
    </w:p>
    <w:tbl>
      <w:tblPr>
        <w:bidiVisual/>
        <w:tblW w:w="9496" w:type="dxa"/>
        <w:tblInd w:w="-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01"/>
        <w:gridCol w:w="2410"/>
        <w:gridCol w:w="2693"/>
        <w:gridCol w:w="2692"/>
      </w:tblGrid>
      <w:tr w:rsidR="00E8191C" w:rsidRPr="00E8191C" w14:paraId="67728EA1" w14:textId="77777777" w:rsidTr="00231C59">
        <w:trPr>
          <w:trHeight w:val="141"/>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5F8A" w14:textId="77777777" w:rsidR="00E8191C" w:rsidRPr="009B63E9" w:rsidRDefault="00E8191C" w:rsidP="004C7C51">
            <w:pPr>
              <w:pBdr>
                <w:top w:val="nil"/>
                <w:left w:val="nil"/>
                <w:bottom w:val="nil"/>
                <w:right w:val="nil"/>
                <w:between w:val="nil"/>
                <w:bar w:val="nil"/>
              </w:pBdr>
              <w:tabs>
                <w:tab w:val="left" w:pos="477"/>
                <w:tab w:val="left" w:pos="1247"/>
                <w:tab w:val="left" w:pos="1814"/>
                <w:tab w:val="left" w:pos="2381"/>
                <w:tab w:val="left" w:pos="2948"/>
                <w:tab w:val="left" w:pos="3515"/>
              </w:tabs>
              <w:bidi/>
              <w:spacing w:line="340" w:lineRule="exact"/>
              <w:jc w:val="both"/>
              <w:textDirection w:val="tbRlV"/>
              <w:rPr>
                <w:rFonts w:ascii="Traditional Arabic" w:eastAsiaTheme="minorEastAsia" w:hAnsi="Traditional Arabic"/>
                <w:i/>
                <w:iCs/>
                <w:sz w:val="28"/>
                <w:szCs w:val="28"/>
                <w:u w:color="000000"/>
                <w:bdr w:val="nil"/>
                <w:rtl/>
                <w:lang w:val="en-GB" w:eastAsia="zh-TW"/>
              </w:rPr>
            </w:pPr>
            <w:r w:rsidRPr="009B63E9">
              <w:rPr>
                <w:rFonts w:ascii="Traditional Arabic" w:eastAsiaTheme="minorEastAsia" w:hAnsi="Traditional Arabic"/>
                <w:i/>
                <w:iCs/>
                <w:color w:val="000000"/>
                <w:sz w:val="28"/>
                <w:szCs w:val="28"/>
                <w:u w:color="000000"/>
                <w:bdr w:val="nil"/>
                <w:rtl/>
                <w:lang w:val="en-GB" w:eastAsia="zh-TW"/>
              </w:rPr>
              <w:t>السنة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CF995" w14:textId="77777777" w:rsidR="00E8191C" w:rsidRPr="00317398" w:rsidRDefault="00E8191C" w:rsidP="004C7C51">
            <w:pPr>
              <w:pBdr>
                <w:top w:val="nil"/>
                <w:left w:val="nil"/>
                <w:bottom w:val="nil"/>
                <w:right w:val="nil"/>
                <w:between w:val="nil"/>
                <w:bar w:val="nil"/>
              </w:pBdr>
              <w:tabs>
                <w:tab w:val="left" w:pos="477"/>
                <w:tab w:val="left" w:pos="1247"/>
                <w:tab w:val="left" w:pos="1814"/>
                <w:tab w:val="left" w:pos="2381"/>
                <w:tab w:val="left" w:pos="2948"/>
                <w:tab w:val="left" w:pos="3515"/>
              </w:tabs>
              <w:bidi/>
              <w:spacing w:line="340" w:lineRule="exact"/>
              <w:jc w:val="both"/>
              <w:textDirection w:val="tbRlV"/>
              <w:rPr>
                <w:rFonts w:ascii="Traditional Arabic" w:eastAsiaTheme="minorEastAsia" w:hAnsi="Traditional Arabic"/>
                <w:i/>
                <w:iCs/>
                <w:sz w:val="24"/>
                <w:szCs w:val="24"/>
                <w:u w:color="000000"/>
                <w:bdr w:val="nil"/>
                <w:rtl/>
                <w:lang w:val="en-GB" w:eastAsia="zh-TW"/>
              </w:rPr>
            </w:pPr>
            <w:r w:rsidRPr="00317398">
              <w:rPr>
                <w:rFonts w:ascii="Traditional Arabic" w:eastAsiaTheme="minorEastAsia" w:hAnsi="Traditional Arabic"/>
                <w:i/>
                <w:iCs/>
                <w:color w:val="000000"/>
                <w:sz w:val="24"/>
                <w:szCs w:val="24"/>
                <w:u w:color="000000"/>
                <w:bdr w:val="nil"/>
                <w:rtl/>
                <w:lang w:val="en-GB" w:eastAsia="zh-TW"/>
              </w:rPr>
              <w:t>المعلومات المتاحة</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8629" w14:textId="77777777" w:rsidR="00E8191C" w:rsidRPr="00317398" w:rsidRDefault="00E8191C" w:rsidP="004C7C51">
            <w:pPr>
              <w:pBdr>
                <w:top w:val="nil"/>
                <w:left w:val="nil"/>
                <w:bottom w:val="nil"/>
                <w:right w:val="nil"/>
                <w:between w:val="nil"/>
                <w:bar w:val="nil"/>
              </w:pBdr>
              <w:tabs>
                <w:tab w:val="left" w:pos="477"/>
                <w:tab w:val="left" w:pos="1247"/>
                <w:tab w:val="left" w:pos="1814"/>
                <w:tab w:val="left" w:pos="2381"/>
                <w:tab w:val="left" w:pos="2948"/>
                <w:tab w:val="left" w:pos="3515"/>
              </w:tabs>
              <w:bidi/>
              <w:spacing w:line="340" w:lineRule="exact"/>
              <w:jc w:val="both"/>
              <w:textDirection w:val="tbRlV"/>
              <w:rPr>
                <w:rFonts w:ascii="Traditional Arabic" w:eastAsiaTheme="minorEastAsia" w:hAnsi="Traditional Arabic"/>
                <w:i/>
                <w:iCs/>
                <w:sz w:val="24"/>
                <w:szCs w:val="24"/>
                <w:u w:color="000000"/>
                <w:bdr w:val="nil"/>
                <w:rtl/>
                <w:lang w:val="en-GB" w:eastAsia="zh-TW"/>
              </w:rPr>
            </w:pPr>
            <w:r w:rsidRPr="00317398">
              <w:rPr>
                <w:rFonts w:ascii="Traditional Arabic" w:eastAsiaTheme="minorEastAsia" w:hAnsi="Traditional Arabic"/>
                <w:i/>
                <w:iCs/>
                <w:color w:val="000000"/>
                <w:sz w:val="24"/>
                <w:szCs w:val="24"/>
                <w:u w:color="000000"/>
                <w:bdr w:val="nil"/>
                <w:rtl/>
                <w:lang w:val="en-GB" w:eastAsia="zh-TW"/>
              </w:rPr>
              <w:t>بيانات الرصد</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977F" w14:textId="77777777" w:rsidR="00E8191C" w:rsidRPr="00317398" w:rsidRDefault="00E8191C" w:rsidP="004C7C51">
            <w:pPr>
              <w:pBdr>
                <w:top w:val="nil"/>
                <w:left w:val="nil"/>
                <w:bottom w:val="nil"/>
                <w:right w:val="nil"/>
                <w:between w:val="nil"/>
                <w:bar w:val="nil"/>
              </w:pBdr>
              <w:tabs>
                <w:tab w:val="left" w:pos="477"/>
                <w:tab w:val="left" w:pos="1247"/>
                <w:tab w:val="left" w:pos="1814"/>
                <w:tab w:val="left" w:pos="2381"/>
                <w:tab w:val="left" w:pos="2948"/>
                <w:tab w:val="left" w:pos="3515"/>
              </w:tabs>
              <w:bidi/>
              <w:spacing w:line="340" w:lineRule="exact"/>
              <w:jc w:val="both"/>
              <w:textDirection w:val="tbRlV"/>
              <w:rPr>
                <w:rFonts w:ascii="Traditional Arabic" w:eastAsiaTheme="minorEastAsia" w:hAnsi="Traditional Arabic"/>
                <w:i/>
                <w:iCs/>
                <w:sz w:val="24"/>
                <w:szCs w:val="24"/>
                <w:u w:color="000000"/>
                <w:bdr w:val="nil"/>
                <w:rtl/>
                <w:lang w:val="en-GB" w:eastAsia="zh-TW"/>
              </w:rPr>
            </w:pPr>
            <w:r w:rsidRPr="00317398">
              <w:rPr>
                <w:rFonts w:ascii="Traditional Arabic" w:eastAsiaTheme="minorEastAsia" w:hAnsi="Traditional Arabic"/>
                <w:i/>
                <w:iCs/>
                <w:color w:val="000000"/>
                <w:sz w:val="24"/>
                <w:szCs w:val="24"/>
                <w:u w:color="000000"/>
                <w:bdr w:val="nil"/>
                <w:rtl/>
                <w:lang w:val="en-GB" w:eastAsia="zh-TW"/>
              </w:rPr>
              <w:t>تقييم الفعالية</w:t>
            </w:r>
          </w:p>
        </w:tc>
      </w:tr>
      <w:tr w:rsidR="00E8191C" w:rsidRPr="00E8191C" w14:paraId="2491B2B8" w14:textId="77777777" w:rsidTr="00231C59">
        <w:trPr>
          <w:trHeight w:val="39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6B47B" w14:textId="54235E1E" w:rsidR="00E8191C" w:rsidRPr="009B63E9" w:rsidRDefault="002A222A"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hint="cs"/>
                <w:color w:val="000000"/>
                <w:sz w:val="28"/>
                <w:szCs w:val="28"/>
                <w:u w:color="000000"/>
                <w:bdr w:val="nil"/>
                <w:rtl/>
                <w:lang w:val="en-GB" w:eastAsia="zh-TW"/>
              </w:rPr>
              <w:t>2017</w:t>
            </w:r>
            <w:r w:rsidR="00E8191C" w:rsidRPr="009B63E9">
              <w:rPr>
                <w:rFonts w:ascii="Traditional Arabic" w:eastAsiaTheme="minorEastAsia" w:hAnsi="Traditional Arabic"/>
                <w:color w:val="000000"/>
                <w:sz w:val="28"/>
                <w:szCs w:val="28"/>
                <w:u w:color="000000"/>
                <w:bdr w:val="nil"/>
                <w:rtl/>
                <w:lang w:val="en-GB" w:eastAsia="zh-TW"/>
              </w:rPr>
              <w:t>-</w:t>
            </w:r>
            <w:r w:rsidRPr="009B63E9">
              <w:rPr>
                <w:rFonts w:ascii="Traditional Arabic" w:eastAsiaTheme="minorEastAsia" w:hAnsi="Traditional Arabic" w:hint="cs"/>
                <w:color w:val="000000"/>
                <w:sz w:val="28"/>
                <w:szCs w:val="28"/>
                <w:u w:color="000000"/>
                <w:bdr w:val="nil"/>
                <w:rtl/>
                <w:lang w:val="en-GB" w:eastAsia="zh-TW"/>
              </w:rPr>
              <w:t xml:space="preserve"> </w:t>
            </w:r>
            <w:r w:rsidR="00E8191C" w:rsidRPr="009B63E9">
              <w:rPr>
                <w:rFonts w:ascii="Traditional Arabic" w:eastAsiaTheme="minorEastAsia" w:hAnsi="Traditional Arabic"/>
                <w:color w:val="000000"/>
                <w:sz w:val="28"/>
                <w:szCs w:val="28"/>
                <w:u w:color="000000"/>
                <w:bdr w:val="nil"/>
                <w:rtl/>
                <w:lang w:val="en-GB" w:eastAsia="zh-TW"/>
              </w:rPr>
              <w:t>بدء النفاذ، الاجتماع الأول لمؤتمر الأطراف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A9C0" w14:textId="77777777" w:rsidR="00E8191C" w:rsidRPr="00E8191C" w:rsidRDefault="00E8191C" w:rsidP="003640BE">
            <w:pPr>
              <w:tabs>
                <w:tab w:val="left" w:pos="1247"/>
                <w:tab w:val="left" w:pos="1814"/>
                <w:tab w:val="left" w:pos="2381"/>
                <w:tab w:val="left" w:pos="2948"/>
                <w:tab w:val="left" w:pos="3515"/>
              </w:tabs>
              <w:bidi/>
              <w:rPr>
                <w:rFonts w:ascii="Traditional Arabic" w:hAnsi="Traditional Arabic"/>
                <w:sz w:val="24"/>
                <w:szCs w:val="24"/>
                <w:rtl/>
                <w:lang w:val="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0723" w14:textId="77777777" w:rsidR="00E8191C" w:rsidRPr="00E8191C" w:rsidRDefault="00E8191C" w:rsidP="003640BE">
            <w:pPr>
              <w:tabs>
                <w:tab w:val="left" w:pos="1247"/>
                <w:tab w:val="left" w:pos="1814"/>
                <w:tab w:val="left" w:pos="2381"/>
                <w:tab w:val="left" w:pos="2948"/>
                <w:tab w:val="left" w:pos="3515"/>
              </w:tabs>
              <w:bidi/>
              <w:rPr>
                <w:rFonts w:ascii="Traditional Arabic" w:hAnsi="Traditional Arabic"/>
                <w:sz w:val="24"/>
                <w:szCs w:val="24"/>
                <w:rtl/>
                <w:lang w:val="en-GB"/>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A222" w14:textId="77777777" w:rsidR="00E8191C" w:rsidRPr="00E8191C" w:rsidRDefault="00E8191C" w:rsidP="003640BE">
            <w:pPr>
              <w:tabs>
                <w:tab w:val="left" w:pos="1247"/>
                <w:tab w:val="left" w:pos="1814"/>
                <w:tab w:val="left" w:pos="2381"/>
                <w:tab w:val="left" w:pos="2948"/>
                <w:tab w:val="left" w:pos="3515"/>
              </w:tabs>
              <w:bidi/>
              <w:rPr>
                <w:rFonts w:ascii="Traditional Arabic" w:hAnsi="Traditional Arabic"/>
                <w:sz w:val="24"/>
                <w:szCs w:val="24"/>
                <w:rtl/>
                <w:lang w:val="en-GB"/>
              </w:rPr>
            </w:pPr>
          </w:p>
        </w:tc>
      </w:tr>
      <w:tr w:rsidR="00E8191C" w:rsidRPr="00E8191C" w14:paraId="5DDD9484" w14:textId="77777777" w:rsidTr="00231C59">
        <w:trPr>
          <w:trHeight w:val="24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F173" w14:textId="3AC49966"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2018- الاجتماع الثاني لمؤتمر الأطراف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6986" w14:textId="77777777" w:rsidR="00E8191C" w:rsidRPr="00EA4B86" w:rsidRDefault="00E8191C" w:rsidP="004C7C51">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التقييم العالمي للزئبق</w:t>
            </w:r>
          </w:p>
          <w:p w14:paraId="2B94FB9E"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إكمال معظم التقييمات الأولية لاتفاقية ميناماتا</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5B03F"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 xml:space="preserve">ينظر مؤتمر الأطراف في نتائج العمل فيما بين الدورات، وكيفية معالجة الثغرات وتنظيم الرصد في المستقبل بما في ذلك الترتيبات التنظيمية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71E2D"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ينظر مؤتمر الأطراف في نتائج العمل فيما بين الدورات ويدرس كيفية وضع إطار لتقييم الفعالية</w:t>
            </w:r>
          </w:p>
        </w:tc>
      </w:tr>
      <w:tr w:rsidR="00E8191C" w:rsidRPr="00E8191C" w14:paraId="65858155" w14:textId="77777777" w:rsidTr="00231C59">
        <w:trPr>
          <w:trHeight w:val="94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76293" w14:textId="50AE89AF"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2019</w:t>
            </w:r>
            <w:r w:rsidR="002B20F8" w:rsidRPr="009B63E9">
              <w:rPr>
                <w:rFonts w:ascii="Traditional Arabic" w:eastAsiaTheme="minorEastAsia" w:hAnsi="Traditional Arabic" w:hint="cs"/>
                <w:color w:val="000000"/>
                <w:sz w:val="28"/>
                <w:szCs w:val="28"/>
                <w:u w:color="000000"/>
                <w:bdr w:val="nil"/>
                <w:rtl/>
                <w:lang w:val="en-GB" w:eastAsia="zh-TW"/>
              </w:rPr>
              <w:t>-</w:t>
            </w:r>
            <w:r w:rsidRPr="009B63E9">
              <w:rPr>
                <w:rFonts w:ascii="Traditional Arabic" w:eastAsiaTheme="minorEastAsia" w:hAnsi="Traditional Arabic"/>
                <w:color w:val="000000"/>
                <w:sz w:val="28"/>
                <w:szCs w:val="28"/>
                <w:u w:color="000000"/>
                <w:bdr w:val="nil"/>
                <w:rtl/>
                <w:lang w:val="en-GB" w:eastAsia="zh-TW"/>
              </w:rPr>
              <w:t xml:space="preserve"> الاجتماع الثالث لمؤتمر الأطراف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D53FC" w14:textId="2D561AC1"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المادة ٢١ الإبلاغ: التقرير الموجز الأول لفترة السنتين بحلول ٣١ كانون الأول/ديسمبر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8EF6"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الموافقة على ترتيبات الرصد، بما في ذلك الجدول الزمني لتقديم البيانات</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57D8"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اعتماد إطار تقييم الفعالية</w:t>
            </w:r>
          </w:p>
          <w:p w14:paraId="27BF0091"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تسمية أعضاء لجنة تقييم الفعالية</w:t>
            </w:r>
          </w:p>
        </w:tc>
      </w:tr>
      <w:tr w:rsidR="00E8191C" w:rsidRPr="00E8191C" w14:paraId="62608177" w14:textId="77777777" w:rsidTr="00231C59">
        <w:trPr>
          <w:trHeight w:val="99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F7EBB" w14:textId="77777777"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٢٠٢٠</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B881" w14:textId="77777777" w:rsidR="00E8191C" w:rsidRPr="00EA4B86" w:rsidRDefault="00E8191C" w:rsidP="0011120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بدء تقديم خطط العمل الوطنية الأولى بشأن تعدين الذهب الحرفي والضيق النطاق</w:t>
            </w:r>
          </w:p>
          <w:p w14:paraId="7A4C0E44"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تقديم إفادة بشأن فئات مصادر الإطلاقات</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2CC4C00" w14:textId="77777777" w:rsidR="00E8191C" w:rsidRPr="00EA4B86" w:rsidRDefault="00E8191C" w:rsidP="009B63E9">
            <w:pPr>
              <w:bidi/>
              <w:spacing w:line="340" w:lineRule="exact"/>
              <w:ind w:left="28"/>
              <w:rPr>
                <w:rFonts w:ascii="Traditional Arabic" w:eastAsiaTheme="minorEastAsia" w:hAnsi="Traditional Arabic"/>
                <w:color w:val="000000"/>
                <w:sz w:val="28"/>
                <w:szCs w:val="28"/>
                <w:u w:color="000000"/>
                <w:bdr w:val="nil"/>
                <w:rtl/>
                <w:lang w:val="en-GB" w:eastAsia="zh-TW"/>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28C7B3D" w14:textId="77777777" w:rsidR="00E8191C" w:rsidRPr="00EA4B86" w:rsidRDefault="00E8191C" w:rsidP="009B63E9">
            <w:pPr>
              <w:bidi/>
              <w:spacing w:line="340" w:lineRule="exact"/>
              <w:rPr>
                <w:rFonts w:ascii="Traditional Arabic" w:eastAsiaTheme="minorEastAsia" w:hAnsi="Traditional Arabic"/>
                <w:color w:val="000000"/>
                <w:sz w:val="28"/>
                <w:szCs w:val="28"/>
                <w:u w:color="000000"/>
                <w:bdr w:val="nil"/>
                <w:rtl/>
                <w:lang w:val="en-GB" w:eastAsia="zh-TW"/>
              </w:rPr>
            </w:pPr>
          </w:p>
        </w:tc>
      </w:tr>
      <w:tr w:rsidR="00E8191C" w:rsidRPr="00E8191C" w14:paraId="2A56739D" w14:textId="77777777" w:rsidTr="00231C59">
        <w:trPr>
          <w:trHeight w:val="83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95D0" w14:textId="33518985"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2021</w:t>
            </w:r>
            <w:r w:rsidR="002B20F8" w:rsidRPr="009B63E9">
              <w:rPr>
                <w:rFonts w:ascii="Traditional Arabic" w:eastAsiaTheme="minorEastAsia" w:hAnsi="Traditional Arabic" w:hint="cs"/>
                <w:color w:val="000000"/>
                <w:sz w:val="28"/>
                <w:szCs w:val="28"/>
                <w:u w:color="000000"/>
                <w:bdr w:val="nil"/>
                <w:rtl/>
                <w:lang w:val="en-GB" w:eastAsia="zh-TW"/>
              </w:rPr>
              <w:t>-</w:t>
            </w:r>
            <w:r w:rsidRPr="009B63E9">
              <w:rPr>
                <w:rFonts w:ascii="Traditional Arabic" w:eastAsiaTheme="minorEastAsia" w:hAnsi="Traditional Arabic"/>
                <w:color w:val="000000"/>
                <w:sz w:val="28"/>
                <w:szCs w:val="28"/>
                <w:u w:color="000000"/>
                <w:bdr w:val="nil"/>
                <w:rtl/>
                <w:lang w:val="en-GB" w:eastAsia="zh-TW"/>
              </w:rPr>
              <w:t xml:space="preserve"> الاجتماع الرابع لمؤتمر الأطراف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72667"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المادة ٢١ الإبلاغ: التقرير الكامل الأول بحلول ٣١ كانون الأول/ديسمبر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0F16"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 xml:space="preserve">يشرع مؤتمر الأطراف في تقرير الرصد الأول الذي سوف يسهم في تقييم الفعالية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BEBF"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تقدم جميع تقارير المرحلة ١ إلى الأمانة (باستثناء تقرير الرصد العالمي)</w:t>
            </w:r>
          </w:p>
        </w:tc>
      </w:tr>
      <w:tr w:rsidR="00E8191C" w:rsidRPr="00E8191C" w14:paraId="78FDDEFF" w14:textId="77777777" w:rsidTr="00231C59">
        <w:trPr>
          <w:trHeight w:val="132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E19C9" w14:textId="77777777"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٢٠٢٢</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265C"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المادة ٢١ تجميع التقارير الوطنية</w:t>
            </w:r>
          </w:p>
          <w:p w14:paraId="52DC784E"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بدء تقديم قوائم جرد الانبعاثات/الإطلاقات</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1CDA"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إعداد تقرير الرصد وتقديمه إلى اللجنة للإسهام في تقرير تقييم الفعالية - لمعالجة الفقرة ٢ من المادة ٢٢ في تيسير التقييم</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D333"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حزيران/</w:t>
            </w:r>
            <w:proofErr w:type="gramStart"/>
            <w:r w:rsidRPr="00EA4B86">
              <w:rPr>
                <w:rFonts w:ascii="Traditional Arabic" w:eastAsiaTheme="minorEastAsia" w:hAnsi="Traditional Arabic"/>
                <w:color w:val="000000"/>
                <w:sz w:val="28"/>
                <w:szCs w:val="28"/>
                <w:u w:color="000000"/>
                <w:bdr w:val="nil"/>
                <w:rtl/>
                <w:lang w:val="en-GB" w:eastAsia="zh-TW"/>
              </w:rPr>
              <w:t>يونيه</w:t>
            </w:r>
            <w:proofErr w:type="gramEnd"/>
            <w:r w:rsidRPr="00EA4B86">
              <w:rPr>
                <w:rFonts w:ascii="Traditional Arabic" w:eastAsiaTheme="minorEastAsia" w:hAnsi="Traditional Arabic"/>
                <w:color w:val="000000"/>
                <w:sz w:val="28"/>
                <w:szCs w:val="28"/>
                <w:u w:color="000000"/>
                <w:bdr w:val="nil"/>
                <w:rtl/>
                <w:lang w:val="en-GB" w:eastAsia="zh-TW"/>
              </w:rPr>
              <w:t>: اكتمال المرحلة ١</w:t>
            </w:r>
          </w:p>
          <w:p w14:paraId="61363D0B"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كانون الأول/ديسمبر: تعد الأمانة تحليلاً أولياً</w:t>
            </w:r>
          </w:p>
          <w:p w14:paraId="78D0B006"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تجتمع اللجنة لاستعراض المعلومات</w:t>
            </w:r>
          </w:p>
        </w:tc>
      </w:tr>
      <w:tr w:rsidR="00E8191C" w:rsidRPr="00E8191C" w14:paraId="157646C3" w14:textId="77777777" w:rsidTr="00231C59">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D08D" w14:textId="08FA3C04" w:rsidR="00E8191C" w:rsidRPr="009B63E9" w:rsidRDefault="00E8191C" w:rsidP="004C7C51">
            <w:pPr>
              <w:pBdr>
                <w:top w:val="nil"/>
                <w:left w:val="nil"/>
                <w:bottom w:val="nil"/>
                <w:right w:val="nil"/>
                <w:between w:val="nil"/>
                <w:bar w:val="nil"/>
              </w:pBdr>
              <w:tabs>
                <w:tab w:val="left" w:pos="477"/>
              </w:tabs>
              <w:bidi/>
              <w:spacing w:line="340" w:lineRule="exact"/>
              <w:textDirection w:val="tbRlV"/>
              <w:rPr>
                <w:rFonts w:ascii="Traditional Arabic" w:eastAsiaTheme="minorEastAsia" w:hAnsi="Traditional Arabic"/>
                <w:sz w:val="28"/>
                <w:szCs w:val="28"/>
                <w:u w:color="000000"/>
                <w:bdr w:val="nil"/>
                <w:rtl/>
                <w:lang w:val="en-GB" w:eastAsia="zh-TW"/>
              </w:rPr>
            </w:pPr>
            <w:r w:rsidRPr="009B63E9">
              <w:rPr>
                <w:rFonts w:ascii="Traditional Arabic" w:eastAsiaTheme="minorEastAsia" w:hAnsi="Traditional Arabic"/>
                <w:color w:val="000000"/>
                <w:sz w:val="28"/>
                <w:szCs w:val="28"/>
                <w:u w:color="000000"/>
                <w:bdr w:val="nil"/>
                <w:rtl/>
                <w:lang w:val="en-GB" w:eastAsia="zh-TW"/>
              </w:rPr>
              <w:t>2023</w:t>
            </w:r>
            <w:r w:rsidR="002B20F8" w:rsidRPr="009B63E9">
              <w:rPr>
                <w:rFonts w:ascii="Traditional Arabic" w:eastAsiaTheme="minorEastAsia" w:hAnsi="Traditional Arabic" w:hint="cs"/>
                <w:color w:val="000000"/>
                <w:sz w:val="28"/>
                <w:szCs w:val="28"/>
                <w:u w:color="000000"/>
                <w:bdr w:val="nil"/>
                <w:rtl/>
                <w:lang w:val="en-GB" w:eastAsia="zh-TW"/>
              </w:rPr>
              <w:t>-</w:t>
            </w:r>
            <w:r w:rsidRPr="009B63E9">
              <w:rPr>
                <w:rFonts w:ascii="Traditional Arabic" w:eastAsiaTheme="minorEastAsia" w:hAnsi="Traditional Arabic"/>
                <w:color w:val="000000"/>
                <w:sz w:val="28"/>
                <w:szCs w:val="28"/>
                <w:u w:color="000000"/>
                <w:bdr w:val="nil"/>
                <w:rtl/>
                <w:lang w:val="en-GB" w:eastAsia="zh-TW"/>
              </w:rPr>
              <w:t xml:space="preserve"> الاجتماع الخامس لمؤتمر الأطراف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8B10"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تقرير فترة السنتين</w:t>
            </w:r>
          </w:p>
          <w:p w14:paraId="253CB67C"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 xml:space="preserve">استعراض </w:t>
            </w:r>
            <w:dir w:val="rtl">
              <w:r w:rsidRPr="00EA4B86">
                <w:rPr>
                  <w:rFonts w:ascii="Traditional Arabic" w:eastAsiaTheme="minorEastAsia" w:hAnsi="Traditional Arabic" w:hint="cs"/>
                  <w:color w:val="000000"/>
                  <w:sz w:val="28"/>
                  <w:szCs w:val="28"/>
                  <w:u w:color="000000"/>
                  <w:bdr w:val="nil"/>
                  <w:rtl/>
                  <w:lang w:val="en-GB" w:eastAsia="zh-TW"/>
                </w:rPr>
                <w:t>خطة</w:t>
              </w:r>
              <w:r w:rsidRPr="00EA4B86">
                <w:rPr>
                  <w:rFonts w:ascii="Traditional Arabic" w:eastAsiaTheme="minorEastAsia" w:hAnsi="Traditional Arabic"/>
                  <w:color w:val="000000"/>
                  <w:sz w:val="28"/>
                  <w:szCs w:val="28"/>
                  <w:u w:color="000000"/>
                  <w:bdr w:val="nil"/>
                  <w:rtl/>
                  <w:lang w:val="en-GB" w:eastAsia="zh-TW"/>
                </w:rPr>
                <w:t xml:space="preserve"> </w:t>
              </w:r>
              <w:r w:rsidRPr="00EA4B86">
                <w:rPr>
                  <w:rFonts w:ascii="Traditional Arabic" w:eastAsiaTheme="minorEastAsia" w:hAnsi="Traditional Arabic" w:hint="cs"/>
                  <w:color w:val="000000"/>
                  <w:sz w:val="28"/>
                  <w:szCs w:val="28"/>
                  <w:u w:color="000000"/>
                  <w:bdr w:val="nil"/>
                  <w:rtl/>
                  <w:lang w:val="en-GB" w:eastAsia="zh-TW"/>
                </w:rPr>
                <w:t>العمل</w:t>
              </w:r>
              <w:r w:rsidRPr="00EA4B86">
                <w:rPr>
                  <w:rFonts w:ascii="Traditional Arabic" w:eastAsiaTheme="minorEastAsia" w:hAnsi="Traditional Arabic"/>
                  <w:color w:val="000000"/>
                  <w:sz w:val="28"/>
                  <w:szCs w:val="28"/>
                  <w:u w:color="000000"/>
                  <w:bdr w:val="nil"/>
                  <w:rtl/>
                  <w:lang w:val="en-GB" w:eastAsia="zh-TW"/>
                </w:rPr>
                <w:t xml:space="preserve"> </w:t>
              </w:r>
              <w:r w:rsidRPr="00EA4B86">
                <w:rPr>
                  <w:rFonts w:ascii="Traditional Arabic" w:eastAsiaTheme="minorEastAsia" w:hAnsi="Traditional Arabic" w:hint="cs"/>
                  <w:color w:val="000000"/>
                  <w:sz w:val="28"/>
                  <w:szCs w:val="28"/>
                  <w:u w:color="000000"/>
                  <w:bdr w:val="nil"/>
                  <w:rtl/>
                  <w:lang w:val="en-GB" w:eastAsia="zh-TW"/>
                </w:rPr>
                <w:t>الوطنية</w:t>
              </w:r>
              <w:r w:rsidRPr="00EA4B86">
                <w:rPr>
                  <w:rFonts w:eastAsiaTheme="minorEastAsia" w:cs="Times New Roman" w:hint="cs"/>
                  <w:color w:val="000000"/>
                  <w:sz w:val="28"/>
                  <w:szCs w:val="28"/>
                  <w:u w:color="000000"/>
                  <w:bdr w:val="nil"/>
                  <w:rtl/>
                  <w:lang w:val="en-GB" w:eastAsia="zh-TW"/>
                </w:rPr>
                <w:t>‬</w:t>
              </w:r>
              <w:r w:rsidR="00664FFC" w:rsidRPr="00EA4B86">
                <w:rPr>
                  <w:rFonts w:eastAsiaTheme="minorEastAsia" w:cs="Times New Roman"/>
                  <w:color w:val="000000"/>
                  <w:sz w:val="28"/>
                  <w:szCs w:val="28"/>
                  <w:u w:color="000000"/>
                  <w:bdr w:val="nil"/>
                  <w:lang w:val="en-GB" w:eastAsia="zh-TW"/>
                </w:rPr>
                <w:t>‬</w:t>
              </w:r>
              <w:r w:rsidR="00210ED7" w:rsidRPr="00EA4B86">
                <w:rPr>
                  <w:rFonts w:eastAsiaTheme="minorEastAsia" w:cs="Times New Roman"/>
                  <w:color w:val="000000"/>
                  <w:sz w:val="28"/>
                  <w:szCs w:val="28"/>
                  <w:u w:color="000000"/>
                  <w:bdr w:val="nil"/>
                  <w:lang w:val="en-GB" w:eastAsia="zh-TW"/>
                </w:rPr>
                <w:t>‬</w:t>
              </w:r>
              <w:r w:rsidR="00206B55">
                <w:t>‬</w:t>
              </w:r>
              <w:r w:rsidR="00E91B61">
                <w:t>‬</w:t>
              </w:r>
              <w:r w:rsidR="00700EB8">
                <w:t>‬</w:t>
              </w:r>
            </w:di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18C70" w14:textId="4912E4BF"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ترحيب مؤتمر الأطراف بتقرير الرصد</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72E9" w14:textId="77777777" w:rsidR="00E8191C" w:rsidRPr="00EA4B86" w:rsidRDefault="00E8191C" w:rsidP="003640BE">
            <w:pPr>
              <w:numPr>
                <w:ilvl w:val="0"/>
                <w:numId w:val="9"/>
              </w:numPr>
              <w:pBdr>
                <w:top w:val="nil"/>
                <w:left w:val="nil"/>
                <w:bottom w:val="nil"/>
                <w:right w:val="nil"/>
                <w:between w:val="nil"/>
                <w:bar w:val="nil"/>
              </w:pBdr>
              <w:bidi/>
              <w:spacing w:line="340" w:lineRule="exact"/>
              <w:ind w:left="312" w:hanging="284"/>
              <w:textDirection w:val="tbRlV"/>
              <w:rPr>
                <w:rFonts w:ascii="Traditional Arabic" w:eastAsiaTheme="minorEastAsia" w:hAnsi="Traditional Arabic"/>
                <w:color w:val="000000"/>
                <w:sz w:val="28"/>
                <w:szCs w:val="28"/>
                <w:u w:color="000000"/>
                <w:bdr w:val="nil"/>
                <w:rtl/>
                <w:lang w:val="en-GB" w:eastAsia="zh-TW"/>
              </w:rPr>
            </w:pPr>
            <w:r w:rsidRPr="00EA4B86">
              <w:rPr>
                <w:rFonts w:ascii="Traditional Arabic" w:eastAsiaTheme="minorEastAsia" w:hAnsi="Traditional Arabic"/>
                <w:color w:val="000000"/>
                <w:sz w:val="28"/>
                <w:szCs w:val="28"/>
                <w:u w:color="000000"/>
                <w:bdr w:val="nil"/>
                <w:rtl/>
                <w:lang w:val="en-GB" w:eastAsia="zh-TW"/>
              </w:rPr>
              <w:t>ترحيب مؤتمر الأطراف بتقرير تقييم الفعالية</w:t>
            </w:r>
          </w:p>
        </w:tc>
      </w:tr>
    </w:tbl>
    <w:p w14:paraId="758572E4" w14:textId="4E1EE519" w:rsidR="00E8191C" w:rsidRPr="00E8191C" w:rsidRDefault="00E8191C" w:rsidP="0011441C">
      <w:pPr>
        <w:pStyle w:val="Normalnumber"/>
        <w:numPr>
          <w:ilvl w:val="0"/>
          <w:numId w:val="31"/>
        </w:numPr>
        <w:tabs>
          <w:tab w:val="left" w:pos="1841"/>
        </w:tabs>
        <w:autoSpaceDE/>
        <w:autoSpaceDN/>
        <w:bidi/>
        <w:adjustRightInd/>
        <w:spacing w:before="240" w:after="0" w:line="400" w:lineRule="exact"/>
        <w:ind w:left="1134" w:firstLine="0"/>
        <w:jc w:val="both"/>
        <w:textDirection w:val="tbRlV"/>
        <w:rPr>
          <w:rFonts w:ascii="Traditional Arabic" w:hAnsi="Traditional Arabic" w:cs="Traditional Arabic"/>
          <w:sz w:val="30"/>
          <w:szCs w:val="30"/>
          <w:u w:color="000000"/>
          <w:bdr w:val="nil"/>
          <w:rtl/>
          <w:lang w:val="en-GB" w:eastAsia="zh-TW"/>
        </w:rPr>
      </w:pPr>
      <w:r w:rsidRPr="00E8191C">
        <w:rPr>
          <w:rFonts w:ascii="Traditional Arabic" w:hAnsi="Traditional Arabic" w:cs="Traditional Arabic"/>
          <w:color w:val="000000"/>
          <w:sz w:val="30"/>
          <w:szCs w:val="30"/>
          <w:u w:color="000000"/>
          <w:bdr w:val="nil"/>
          <w:rtl/>
          <w:lang w:val="en-GB" w:eastAsia="zh-TW"/>
        </w:rPr>
        <w:t xml:space="preserve">ويتعين أن تدرج في إطار تقييم الفعالية اختصاصات لجنة تقييم الفعالية، على النحو المقترح في التقرير المتعلق بعمل فريق الخبراء المخصص المعني بتقييم الفعالية (انظر </w:t>
      </w:r>
      <w:r w:rsidR="00AD3630" w:rsidRPr="009B63E9">
        <w:rPr>
          <w:rFonts w:asciiTheme="majorBidi" w:hAnsiTheme="majorBidi" w:cstheme="majorBidi"/>
          <w:szCs w:val="20"/>
        </w:rPr>
        <w:t>UNEP/MC/COP.2/INF/8</w:t>
      </w:r>
      <w:r w:rsidR="00AD3630" w:rsidRPr="00AD3630">
        <w:rPr>
          <w:sz w:val="26"/>
          <w:szCs w:val="26"/>
          <w:rtl/>
          <w:lang w:val="en-GB" w:eastAsia="zh-TW"/>
        </w:rPr>
        <w:t>)</w:t>
      </w:r>
      <w:r w:rsidRPr="00E8191C">
        <w:rPr>
          <w:rFonts w:ascii="Traditional Arabic" w:hAnsi="Traditional Arabic" w:cs="Traditional Arabic"/>
          <w:color w:val="000000"/>
          <w:sz w:val="30"/>
          <w:szCs w:val="30"/>
          <w:u w:color="000000"/>
          <w:bdr w:val="nil"/>
          <w:rtl/>
          <w:lang w:val="en-GB" w:eastAsia="zh-TW"/>
        </w:rPr>
        <w:t>.</w:t>
      </w:r>
    </w:p>
    <w:p w14:paraId="1614407F" w14:textId="2F42B3EC" w:rsidR="00CA3707" w:rsidRPr="000E594B" w:rsidRDefault="00126215" w:rsidP="00126215">
      <w:pPr>
        <w:pStyle w:val="Normalnumber"/>
        <w:numPr>
          <w:ilvl w:val="0"/>
          <w:numId w:val="0"/>
        </w:numPr>
        <w:tabs>
          <w:tab w:val="left" w:pos="1841"/>
        </w:tabs>
        <w:autoSpaceDE/>
        <w:autoSpaceDN/>
        <w:bidi/>
        <w:adjustRightInd/>
        <w:spacing w:line="400" w:lineRule="exact"/>
        <w:ind w:left="1134"/>
        <w:jc w:val="center"/>
        <w:textDirection w:val="tbRlV"/>
        <w:rPr>
          <w:rFonts w:ascii="Traditional Arabic" w:hAnsi="Traditional Arabic" w:cs="Traditional Arabic"/>
          <w:sz w:val="30"/>
          <w:szCs w:val="30"/>
          <w:rtl/>
        </w:rPr>
      </w:pPr>
      <w:r>
        <w:rPr>
          <w:rFonts w:ascii="Traditional Arabic" w:hAnsi="Traditional Arabic" w:cs="Traditional Arabic" w:hint="cs"/>
          <w:sz w:val="30"/>
          <w:szCs w:val="30"/>
          <w:rtl/>
        </w:rPr>
        <w:t>____________</w:t>
      </w:r>
    </w:p>
    <w:sectPr w:rsidR="00CA3707" w:rsidRPr="000E594B"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A5A4" w14:textId="77777777" w:rsidR="00210ED7" w:rsidRDefault="00210ED7">
      <w:r>
        <w:separator/>
      </w:r>
    </w:p>
  </w:endnote>
  <w:endnote w:type="continuationSeparator" w:id="0">
    <w:p w14:paraId="5C4ABC42" w14:textId="77777777" w:rsidR="00210ED7" w:rsidRDefault="0021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423AAB41"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700EB8">
      <w:rPr>
        <w:rStyle w:val="Numrodepage"/>
        <w:rFonts w:ascii="Times New Roman" w:hAnsi="Times New Roman" w:cs="Times New Roman"/>
      </w:rPr>
      <w:t>6</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1B2D970C"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700EB8">
      <w:rPr>
        <w:rStyle w:val="Numrodepage"/>
        <w:rFonts w:ascii="Times New Roman" w:hAnsi="Times New Roman" w:cs="Times New Roman"/>
      </w:rPr>
      <w:t>5</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0F47688E" w:rsidR="0042042E" w:rsidRPr="00D80FA4" w:rsidRDefault="0010467B" w:rsidP="006E1D97">
    <w:pPr>
      <w:pStyle w:val="Pieddepage"/>
      <w:tabs>
        <w:tab w:val="clear" w:pos="4153"/>
        <w:tab w:val="clear" w:pos="8306"/>
      </w:tabs>
      <w:bidi/>
      <w:jc w:val="left"/>
      <w:rPr>
        <w:rFonts w:asciiTheme="majorBidi" w:hAnsiTheme="majorBidi" w:cstheme="majorBidi"/>
        <w:szCs w:val="20"/>
      </w:rPr>
    </w:pPr>
    <w:r w:rsidRPr="00D80FA4">
      <w:rPr>
        <w:rStyle w:val="Numrodepage"/>
        <w:rFonts w:asciiTheme="majorBidi" w:hAnsiTheme="majorBidi" w:cstheme="majorBidi"/>
        <w:szCs w:val="20"/>
      </w:rPr>
      <w:t>K1</w:t>
    </w:r>
    <w:r>
      <w:rPr>
        <w:rStyle w:val="Numrodepage"/>
        <w:rFonts w:asciiTheme="majorBidi" w:hAnsiTheme="majorBidi" w:cstheme="majorBidi"/>
        <w:szCs w:val="20"/>
      </w:rPr>
      <w:t>8</w:t>
    </w:r>
    <w:r w:rsidRPr="00D80FA4">
      <w:rPr>
        <w:rStyle w:val="Numrodepage"/>
        <w:rFonts w:asciiTheme="majorBidi" w:hAnsiTheme="majorBidi" w:cstheme="majorBidi"/>
        <w:szCs w:val="20"/>
      </w:rPr>
      <w:t>0</w:t>
    </w:r>
    <w:r>
      <w:rPr>
        <w:rStyle w:val="Numrodepage"/>
        <w:rFonts w:asciiTheme="majorBidi" w:hAnsiTheme="majorBidi" w:cstheme="majorBidi"/>
        <w:szCs w:val="20"/>
      </w:rPr>
      <w:t>3261</w:t>
    </w:r>
    <w:r w:rsidR="006E1D97">
      <w:rPr>
        <w:rStyle w:val="Numrodepage"/>
        <w:rFonts w:asciiTheme="majorBidi" w:hAnsiTheme="majorBidi" w:cstheme="majorBidi" w:hint="cs"/>
        <w:szCs w:val="20"/>
        <w:rtl/>
      </w:rPr>
      <w:tab/>
    </w:r>
    <w:r>
      <w:rPr>
        <w:rStyle w:val="Numrodepage"/>
        <w:rFonts w:asciiTheme="majorBidi" w:hAnsiTheme="majorBidi" w:cstheme="majorBidi"/>
        <w:szCs w:val="20"/>
      </w:rPr>
      <w:t>1511</w:t>
    </w:r>
    <w:r w:rsidRPr="00D80FA4">
      <w:rPr>
        <w:rStyle w:val="Numrodepage"/>
        <w:rFonts w:asciiTheme="majorBidi" w:hAnsiTheme="majorBidi" w:cstheme="majorBidi"/>
        <w:szCs w:val="20"/>
      </w:rPr>
      <w:t>1</w:t>
    </w:r>
    <w:r>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7B7A" w14:textId="77777777" w:rsidR="00210ED7" w:rsidRDefault="00210ED7" w:rsidP="008A79DC">
      <w:pPr>
        <w:bidi/>
        <w:ind w:left="720"/>
      </w:pPr>
      <w:r>
        <w:separator/>
      </w:r>
    </w:p>
  </w:footnote>
  <w:footnote w:type="continuationSeparator" w:id="0">
    <w:p w14:paraId="67DB52DB" w14:textId="77777777" w:rsidR="00210ED7" w:rsidRDefault="00210ED7">
      <w:r>
        <w:continuationSeparator/>
      </w:r>
    </w:p>
  </w:footnote>
  <w:footnote w:id="1">
    <w:p w14:paraId="7762F4BF" w14:textId="2DD51344" w:rsidR="0010467B" w:rsidRPr="001527E0" w:rsidRDefault="0010467B" w:rsidP="00542FA1">
      <w:pPr>
        <w:pStyle w:val="Notedebasdepage"/>
        <w:tabs>
          <w:tab w:val="left" w:pos="624"/>
        </w:tabs>
        <w:bidi/>
        <w:spacing w:after="40" w:line="280" w:lineRule="exact"/>
        <w:ind w:firstLine="1276"/>
        <w:jc w:val="left"/>
        <w:rPr>
          <w:sz w:val="26"/>
          <w:szCs w:val="26"/>
          <w:rtl/>
        </w:rPr>
      </w:pPr>
      <w:r w:rsidRPr="004D5308">
        <w:rPr>
          <w:rStyle w:val="Appelnotedebasdep"/>
          <w:rFonts w:asciiTheme="majorBidi" w:hAnsiTheme="majorBidi" w:cstheme="majorBidi"/>
          <w:vertAlign w:val="baseline"/>
          <w:rtl/>
        </w:rPr>
        <w:t>*</w:t>
      </w:r>
      <w:r w:rsidRPr="001527E0">
        <w:rPr>
          <w:sz w:val="26"/>
          <w:szCs w:val="26"/>
          <w:rtl/>
        </w:rPr>
        <w:t xml:space="preserve"> </w:t>
      </w:r>
      <w:r>
        <w:rPr>
          <w:rFonts w:hint="cs"/>
          <w:sz w:val="26"/>
          <w:szCs w:val="26"/>
          <w:rtl/>
        </w:rPr>
        <w:t xml:space="preserve"> أعيد إصدارها لأسباب فنية في 5 تشرين الثاني/نوفمبر 2018.</w:t>
      </w:r>
    </w:p>
  </w:footnote>
  <w:footnote w:id="2">
    <w:p w14:paraId="5FF151A3" w14:textId="608AAF68" w:rsidR="00BE3C21" w:rsidRPr="004D5308"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0010467B">
        <w:rPr>
          <w:rFonts w:asciiTheme="majorBidi" w:hAnsiTheme="majorBidi" w:cstheme="majorBidi"/>
          <w:bCs/>
          <w:szCs w:val="20"/>
        </w:rPr>
        <w:t>*</w:t>
      </w:r>
      <w:r w:rsidRPr="00C762BE">
        <w:rPr>
          <w:rFonts w:asciiTheme="majorBidi" w:hAnsiTheme="majorBidi" w:cstheme="majorBidi"/>
          <w:bCs/>
          <w:szCs w:val="20"/>
        </w:rPr>
        <w:t>*</w:t>
      </w:r>
    </w:p>
  </w:footnote>
  <w:footnote w:id="3">
    <w:p w14:paraId="27058ED0" w14:textId="490B5FFC" w:rsidR="003575B9" w:rsidRPr="00937A2F" w:rsidRDefault="003575B9" w:rsidP="00937A2F">
      <w:pPr>
        <w:pStyle w:val="Notedebasdepage"/>
        <w:bidi/>
        <w:spacing w:after="60" w:line="300" w:lineRule="exact"/>
        <w:ind w:left="1134"/>
        <w:jc w:val="both"/>
        <w:textDirection w:val="tbRlV"/>
        <w:rPr>
          <w:rFonts w:ascii="Times New Roman" w:hAnsi="Times New Roman"/>
          <w:sz w:val="18"/>
          <w:szCs w:val="26"/>
          <w:rtl/>
          <w:lang w:val="en-GB" w:eastAsia="zh-TW"/>
        </w:rPr>
      </w:pPr>
      <w:r w:rsidRPr="00937A2F">
        <w:rPr>
          <w:rFonts w:ascii="Times New Roman" w:hAnsi="Times New Roman"/>
          <w:sz w:val="18"/>
          <w:szCs w:val="26"/>
          <w:rtl/>
        </w:rPr>
        <w:t>(</w:t>
      </w:r>
      <w:r w:rsidRPr="00937A2F">
        <w:rPr>
          <w:rStyle w:val="Appelnotedebasdep"/>
          <w:rFonts w:ascii="Times New Roman" w:hAnsi="Times New Roman"/>
          <w:sz w:val="18"/>
          <w:szCs w:val="26"/>
          <w:vertAlign w:val="baseline"/>
          <w:rtl/>
        </w:rPr>
        <w:footnoteRef/>
      </w:r>
      <w:r w:rsidRPr="00937A2F">
        <w:rPr>
          <w:rFonts w:ascii="Times New Roman" w:hAnsi="Times New Roman"/>
          <w:sz w:val="18"/>
          <w:szCs w:val="26"/>
          <w:rtl/>
        </w:rPr>
        <w:t>)</w:t>
      </w:r>
      <w:r w:rsidRPr="00937A2F">
        <w:rPr>
          <w:rFonts w:ascii="Times New Roman" w:hAnsi="Times New Roman" w:hint="cs"/>
          <w:sz w:val="18"/>
          <w:szCs w:val="26"/>
          <w:rtl/>
        </w:rPr>
        <w:t xml:space="preserve">  </w:t>
      </w:r>
      <w:r w:rsidRPr="00937A2F">
        <w:rPr>
          <w:rFonts w:ascii="Times New Roman" w:hAnsi="Times New Roman"/>
          <w:sz w:val="18"/>
          <w:szCs w:val="26"/>
          <w:rtl/>
          <w:lang w:val="en-GB" w:eastAsia="zh-TW"/>
        </w:rPr>
        <w:t xml:space="preserve">تجدر الإشارة إلى أن مرفق البيئة العالمية يبدو أكثر اختصاصاً بالتمويل من البرنامج الدولي المحدد، على الرغم من أنه من الممكن أن يحدد بلد ما أنشطة رصد تمثل أولوية وطنية عالية مع تقديم حجج توضح كيفية دعم </w:t>
      </w:r>
      <w:r w:rsidRPr="00937A2F">
        <w:rPr>
          <w:rFonts w:ascii="Times New Roman" w:hAnsi="Times New Roman" w:hint="cs"/>
          <w:sz w:val="18"/>
          <w:szCs w:val="26"/>
          <w:rtl/>
          <w:lang w:val="en-GB" w:eastAsia="zh-TW"/>
        </w:rPr>
        <w:t>أ</w:t>
      </w:r>
      <w:r w:rsidRPr="00937A2F">
        <w:rPr>
          <w:rFonts w:ascii="Times New Roman" w:hAnsi="Times New Roman"/>
          <w:sz w:val="18"/>
          <w:szCs w:val="26"/>
          <w:rtl/>
          <w:lang w:val="en-GB" w:eastAsia="zh-TW"/>
        </w:rPr>
        <w:t>نشطة الرصد للتنفيذ المستدام لالتزاماته بموجب الاتفاقية.</w:t>
      </w:r>
    </w:p>
  </w:footnote>
  <w:footnote w:id="4">
    <w:p w14:paraId="083D7D5B" w14:textId="6371F991" w:rsidR="003575B9" w:rsidRPr="00937A2F" w:rsidRDefault="003575B9" w:rsidP="0011441C">
      <w:pPr>
        <w:pStyle w:val="Notedebasdepage"/>
        <w:bidi/>
        <w:spacing w:line="300" w:lineRule="exact"/>
        <w:ind w:left="1134"/>
        <w:jc w:val="both"/>
        <w:textDirection w:val="tbRlV"/>
        <w:rPr>
          <w:rFonts w:ascii="Times New Roman" w:hAnsi="Times New Roman"/>
          <w:sz w:val="18"/>
          <w:szCs w:val="26"/>
          <w:rtl/>
          <w:lang w:val="en-GB" w:eastAsia="zh-TW"/>
        </w:rPr>
      </w:pPr>
      <w:r w:rsidRPr="00937A2F">
        <w:rPr>
          <w:rFonts w:ascii="Times New Roman" w:hAnsi="Times New Roman"/>
          <w:sz w:val="18"/>
          <w:szCs w:val="26"/>
          <w:rtl/>
        </w:rPr>
        <w:t>(</w:t>
      </w:r>
      <w:r w:rsidRPr="00937A2F">
        <w:rPr>
          <w:rStyle w:val="Appelnotedebasdep"/>
          <w:rFonts w:ascii="Times New Roman" w:hAnsi="Times New Roman"/>
          <w:sz w:val="18"/>
          <w:szCs w:val="26"/>
          <w:vertAlign w:val="baseline"/>
          <w:rtl/>
        </w:rPr>
        <w:footnoteRef/>
      </w:r>
      <w:r w:rsidRPr="00937A2F">
        <w:rPr>
          <w:rFonts w:ascii="Times New Roman" w:hAnsi="Times New Roman"/>
          <w:sz w:val="18"/>
          <w:szCs w:val="26"/>
          <w:rtl/>
        </w:rPr>
        <w:t>)</w:t>
      </w:r>
      <w:r w:rsidRPr="00937A2F">
        <w:rPr>
          <w:rFonts w:ascii="Times New Roman" w:hAnsi="Times New Roman" w:hint="cs"/>
          <w:sz w:val="18"/>
          <w:szCs w:val="26"/>
          <w:rtl/>
        </w:rPr>
        <w:t xml:space="preserve">  </w:t>
      </w:r>
      <w:r w:rsidRPr="00937A2F">
        <w:rPr>
          <w:rFonts w:ascii="Times New Roman" w:hAnsi="Times New Roman"/>
          <w:sz w:val="18"/>
          <w:szCs w:val="26"/>
          <w:rtl/>
          <w:lang w:val="en-GB" w:eastAsia="zh-TW"/>
        </w:rPr>
        <w:t>للاطلاع على المزيد من التفاصيل في مشروع الخطة انظر</w:t>
      </w:r>
      <w:r w:rsidRPr="00937A2F">
        <w:rPr>
          <w:rFonts w:ascii="Times New Roman" w:hAnsi="Times New Roman" w:hint="cs"/>
          <w:sz w:val="18"/>
          <w:szCs w:val="26"/>
          <w:rtl/>
          <w:lang w:val="en-GB" w:eastAsia="zh-TW"/>
        </w:rPr>
        <w:t xml:space="preserve"> </w:t>
      </w:r>
      <w:r w:rsidRPr="00937A2F">
        <w:rPr>
          <w:rFonts w:ascii="Times New Roman" w:hAnsi="Times New Roman"/>
          <w:sz w:val="18"/>
          <w:szCs w:val="26"/>
        </w:rPr>
        <w:t>UNEP/MC/COP.2/INF/8</w:t>
      </w:r>
      <w:r w:rsidRPr="00937A2F">
        <w:rPr>
          <w:rFonts w:ascii="Times New Roman" w:hAnsi="Times New Roman"/>
          <w:sz w:val="18"/>
          <w:szCs w:val="26"/>
          <w:rtl/>
          <w:lang w:val="en-GB" w:eastAsia="zh-TW"/>
        </w:rPr>
        <w:t>.</w:t>
      </w:r>
    </w:p>
  </w:footnote>
  <w:footnote w:id="5">
    <w:p w14:paraId="2FFAFC44" w14:textId="6A242EBE" w:rsidR="003575B9" w:rsidRPr="00937A2F" w:rsidRDefault="003575B9" w:rsidP="002A222A">
      <w:pPr>
        <w:pStyle w:val="Notedebasdepage"/>
        <w:bidi/>
        <w:spacing w:line="300" w:lineRule="exact"/>
        <w:ind w:left="1134"/>
        <w:jc w:val="both"/>
        <w:textDirection w:val="tbRlV"/>
        <w:rPr>
          <w:rFonts w:ascii="Times New Roman" w:hAnsi="Times New Roman"/>
          <w:sz w:val="18"/>
          <w:szCs w:val="26"/>
          <w:rtl/>
          <w:lang w:val="en-GB" w:eastAsia="zh-TW"/>
        </w:rPr>
      </w:pPr>
      <w:r w:rsidRPr="00937A2F">
        <w:rPr>
          <w:rFonts w:ascii="Times New Roman" w:hAnsi="Times New Roman"/>
          <w:sz w:val="18"/>
          <w:szCs w:val="26"/>
          <w:rtl/>
        </w:rPr>
        <w:t>(</w:t>
      </w:r>
      <w:r w:rsidRPr="00937A2F">
        <w:rPr>
          <w:rStyle w:val="Appelnotedebasdep"/>
          <w:rFonts w:ascii="Times New Roman" w:hAnsi="Times New Roman"/>
          <w:sz w:val="18"/>
          <w:szCs w:val="26"/>
          <w:vertAlign w:val="baseline"/>
          <w:rtl/>
        </w:rPr>
        <w:footnoteRef/>
      </w:r>
      <w:r w:rsidRPr="00937A2F">
        <w:rPr>
          <w:rFonts w:ascii="Times New Roman" w:hAnsi="Times New Roman"/>
          <w:sz w:val="18"/>
          <w:szCs w:val="26"/>
          <w:rtl/>
        </w:rPr>
        <w:t>)</w:t>
      </w:r>
      <w:r w:rsidRPr="00937A2F">
        <w:rPr>
          <w:rFonts w:ascii="Times New Roman" w:hAnsi="Times New Roman" w:hint="cs"/>
          <w:sz w:val="18"/>
          <w:szCs w:val="26"/>
          <w:rtl/>
        </w:rPr>
        <w:t xml:space="preserve">  </w:t>
      </w:r>
      <w:r w:rsidRPr="00937A2F">
        <w:rPr>
          <w:rFonts w:ascii="Times New Roman" w:hAnsi="Times New Roman"/>
          <w:sz w:val="18"/>
          <w:szCs w:val="26"/>
          <w:rtl/>
          <w:lang w:val="en-GB" w:eastAsia="zh-TW"/>
        </w:rPr>
        <w:t>يتضمن تقرير فريق الخبراء المخصص اقتراحا</w:t>
      </w:r>
      <w:r w:rsidR="00DF19DD">
        <w:rPr>
          <w:rFonts w:ascii="Times New Roman" w:hAnsi="Times New Roman" w:hint="cs"/>
          <w:sz w:val="18"/>
          <w:szCs w:val="26"/>
          <w:rtl/>
          <w:lang w:val="en-GB" w:eastAsia="zh-TW"/>
        </w:rPr>
        <w:t>ً</w:t>
      </w:r>
      <w:r w:rsidRPr="00937A2F">
        <w:rPr>
          <w:rFonts w:ascii="Times New Roman" w:hAnsi="Times New Roman"/>
          <w:sz w:val="18"/>
          <w:szCs w:val="26"/>
          <w:rtl/>
          <w:lang w:val="en-GB" w:eastAsia="zh-TW"/>
        </w:rPr>
        <w:t xml:space="preserve"> بوضع تقرير رصد عالمي من أجل تقييم الفعالية</w:t>
      </w:r>
      <w:r w:rsidRPr="00937A2F">
        <w:rPr>
          <w:rFonts w:ascii="Times New Roman" w:hAnsi="Times New Roman" w:hint="cs"/>
          <w:sz w:val="18"/>
          <w:szCs w:val="26"/>
          <w:rtl/>
          <w:lang w:val="en-GB" w:eastAsia="zh-TW"/>
        </w:rPr>
        <w:t xml:space="preserve"> </w:t>
      </w:r>
      <w:r w:rsidR="00AD3630" w:rsidRPr="00937A2F">
        <w:rPr>
          <w:rFonts w:ascii="Times New Roman" w:hAnsi="Times New Roman"/>
          <w:sz w:val="18"/>
          <w:szCs w:val="26"/>
          <w:rtl/>
          <w:lang w:val="en-GB" w:eastAsia="zh-TW"/>
        </w:rPr>
        <w:t xml:space="preserve">(انظر </w:t>
      </w:r>
      <w:r w:rsidR="00AD3630" w:rsidRPr="000855C4">
        <w:rPr>
          <w:rFonts w:ascii="Times New Roman" w:hAnsi="Times New Roman"/>
          <w:sz w:val="16"/>
          <w:szCs w:val="16"/>
        </w:rPr>
        <w:t>UNEP/MC/COP.2/INF/8</w:t>
      </w:r>
      <w:r w:rsidR="00AD3630" w:rsidRPr="00937A2F">
        <w:rPr>
          <w:rFonts w:ascii="Times New Roman" w:hAnsi="Times New Roman"/>
          <w:sz w:val="18"/>
          <w:szCs w:val="26"/>
          <w:rtl/>
          <w:lang w:val="en-GB" w:eastAsia="zh-TW"/>
        </w:rPr>
        <w:t>)</w:t>
      </w:r>
      <w:r w:rsidRPr="00937A2F">
        <w:rPr>
          <w:rFonts w:ascii="Times New Roman" w:hAnsi="Times New Roman" w:hint="cs"/>
          <w:sz w:val="18"/>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4458B7C4"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71E29">
      <w:rPr>
        <w:b/>
        <w:bCs/>
        <w:sz w:val="17"/>
        <w:szCs w:val="17"/>
        <w:lang w:val="fr-FR"/>
      </w:rPr>
      <w:t>1</w:t>
    </w:r>
    <w:r w:rsidR="00C902F2">
      <w:rPr>
        <w:b/>
        <w:bCs/>
        <w:sz w:val="17"/>
        <w:szCs w:val="17"/>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49F92086"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902F2">
      <w:rPr>
        <w:rFonts w:cs="Times New Roman"/>
        <w:b/>
        <w:bCs/>
        <w:sz w:val="17"/>
        <w:szCs w:val="17"/>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F42CD"/>
    <w:multiLevelType w:val="hybridMultilevel"/>
    <w:tmpl w:val="754E9E50"/>
    <w:lvl w:ilvl="0" w:tplc="EE887156">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2E3A54"/>
    <w:multiLevelType w:val="hybridMultilevel"/>
    <w:tmpl w:val="C5386D02"/>
    <w:lvl w:ilvl="0" w:tplc="32B6D372">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4352"/>
    <w:multiLevelType w:val="hybridMultilevel"/>
    <w:tmpl w:val="DF729F70"/>
    <w:numStyleLink w:val="Importovanstyl7"/>
  </w:abstractNum>
  <w:abstractNum w:abstractNumId="5"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9504B8"/>
    <w:multiLevelType w:val="hybridMultilevel"/>
    <w:tmpl w:val="844614DA"/>
    <w:lvl w:ilvl="0" w:tplc="3E4EC85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4B6597"/>
    <w:multiLevelType w:val="hybridMultilevel"/>
    <w:tmpl w:val="00BCA536"/>
    <w:lvl w:ilvl="0" w:tplc="0809000F">
      <w:start w:val="1"/>
      <w:numFmt w:val="decimal"/>
      <w:lvlText w:val="%1."/>
      <w:lvlJc w:val="left"/>
      <w:pPr>
        <w:ind w:left="2591" w:hanging="360"/>
      </w:pPr>
    </w:lvl>
    <w:lvl w:ilvl="1" w:tplc="B6FEC604">
      <w:start w:val="1"/>
      <w:numFmt w:val="arabicAbjad"/>
      <w:lvlText w:val="(%2)"/>
      <w:lvlJc w:val="left"/>
      <w:pPr>
        <w:ind w:left="3311" w:hanging="36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8"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77717A"/>
    <w:multiLevelType w:val="hybridMultilevel"/>
    <w:tmpl w:val="888A865C"/>
    <w:lvl w:ilvl="0" w:tplc="18549C0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8A1294"/>
    <w:multiLevelType w:val="hybridMultilevel"/>
    <w:tmpl w:val="E0EEC8F2"/>
    <w:lvl w:ilvl="0" w:tplc="96E8B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2"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3C58D8"/>
    <w:multiLevelType w:val="hybridMultilevel"/>
    <w:tmpl w:val="8B0CC8CC"/>
    <w:lvl w:ilvl="0" w:tplc="C6BA585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597DC7"/>
    <w:multiLevelType w:val="hybridMultilevel"/>
    <w:tmpl w:val="BBA65360"/>
    <w:lvl w:ilvl="0" w:tplc="128C0D3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21"/>
  </w:num>
  <w:num w:numId="3">
    <w:abstractNumId w:val="1"/>
  </w:num>
  <w:num w:numId="4">
    <w:abstractNumId w:val="9"/>
  </w:num>
  <w:num w:numId="5">
    <w:abstractNumId w:val="24"/>
    <w:lvlOverride w:ilvl="0">
      <w:lvl w:ilvl="0" w:tplc="C6BA585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44"/>
          <w:szCs w:val="44"/>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6"/>
    <w:lvlOverride w:ilvl="0">
      <w:lvl w:ilvl="0" w:tplc="3E4EC85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perscript"/>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9"/>
    <w:lvlOverride w:ilvl="0">
      <w:lvl w:ilvl="0" w:tplc="18549C0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26"/>
    <w:lvlOverride w:ilvl="0">
      <w:lvl w:ilvl="0" w:tplc="128C0D3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20"/>
    <w:lvlOverride w:ilvl="0">
      <w:lvl w:ilvl="0" w:tplc="96E8BE16">
        <w:start w:val="1"/>
        <w:numFmt w:val="bullet"/>
        <w:lvlText w:val=""/>
        <w:lvlJc w:val="left"/>
        <w:pPr>
          <w:ind w:left="1440" w:hanging="360"/>
        </w:pPr>
        <w:rPr>
          <w:rFonts w:ascii="Symbol" w:hAnsi="Symbol" w:hint="default"/>
          <w:sz w:val="18"/>
          <w:szCs w:val="18"/>
        </w:rPr>
      </w:lvl>
    </w:lvlOverride>
  </w:num>
  <w:num w:numId="10">
    <w:abstractNumId w:val="23"/>
  </w:num>
  <w:num w:numId="11">
    <w:abstractNumId w:val="4"/>
    <w:lvlOverride w:ilvl="0">
      <w:lvl w:ilvl="0" w:tplc="43AC925C">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BEC180">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102AE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AE87E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E642E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0CE9D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8A080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428C3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ACBF1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7"/>
    <w:lvlOverride w:ilvl="0">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0"/>
    <w:lvlOverride w:ilvl="0">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3"/>
    <w:lvlOverride w:ilvl="0">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1"/>
    <w:lvlOverride w:ilvl="0">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28"/>
    <w:lvlOverride w:ilvl="0">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5"/>
    <w:lvlOverride w:ilvl="0">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22"/>
    <w:lvlOverride w:ilvl="0">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2"/>
    <w:lvlOverride w:ilvl="0">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8"/>
    <w:lvlOverride w:ilvl="0">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7"/>
    <w:lvlOverride w:ilvl="0">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7"/>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5"/>
    <w:lvlOverride w:ilvl="0">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25"/>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14"/>
    <w:lvlOverride w:ilvl="0">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6"/>
    <w:lvlOverride w:ilvl="0">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1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921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855C4"/>
    <w:rsid w:val="0008748F"/>
    <w:rsid w:val="000A33B7"/>
    <w:rsid w:val="000A7260"/>
    <w:rsid w:val="000B1AA7"/>
    <w:rsid w:val="000B41E8"/>
    <w:rsid w:val="000C042E"/>
    <w:rsid w:val="000C35BD"/>
    <w:rsid w:val="000C6AF1"/>
    <w:rsid w:val="000C72D5"/>
    <w:rsid w:val="000C79BA"/>
    <w:rsid w:val="000D775A"/>
    <w:rsid w:val="000E3644"/>
    <w:rsid w:val="000E594B"/>
    <w:rsid w:val="000F083C"/>
    <w:rsid w:val="000F39C0"/>
    <w:rsid w:val="000F712A"/>
    <w:rsid w:val="00102A11"/>
    <w:rsid w:val="0010467B"/>
    <w:rsid w:val="0011120E"/>
    <w:rsid w:val="00111DDA"/>
    <w:rsid w:val="001122CD"/>
    <w:rsid w:val="0011441C"/>
    <w:rsid w:val="00115715"/>
    <w:rsid w:val="0012040B"/>
    <w:rsid w:val="001223A2"/>
    <w:rsid w:val="00124CC4"/>
    <w:rsid w:val="00126215"/>
    <w:rsid w:val="00131860"/>
    <w:rsid w:val="00131CE1"/>
    <w:rsid w:val="00134EB1"/>
    <w:rsid w:val="001367EA"/>
    <w:rsid w:val="001368B8"/>
    <w:rsid w:val="0014278C"/>
    <w:rsid w:val="001437D9"/>
    <w:rsid w:val="00143EB4"/>
    <w:rsid w:val="001527E0"/>
    <w:rsid w:val="00153644"/>
    <w:rsid w:val="001536B1"/>
    <w:rsid w:val="00154323"/>
    <w:rsid w:val="00154CC2"/>
    <w:rsid w:val="001640DB"/>
    <w:rsid w:val="00164904"/>
    <w:rsid w:val="00165BE3"/>
    <w:rsid w:val="0017427B"/>
    <w:rsid w:val="00174BBC"/>
    <w:rsid w:val="00177C0C"/>
    <w:rsid w:val="001841AD"/>
    <w:rsid w:val="001844E3"/>
    <w:rsid w:val="00186DE2"/>
    <w:rsid w:val="001A0F83"/>
    <w:rsid w:val="001A6258"/>
    <w:rsid w:val="001B03D9"/>
    <w:rsid w:val="001C1DD1"/>
    <w:rsid w:val="001C513F"/>
    <w:rsid w:val="001D3A25"/>
    <w:rsid w:val="001D46F1"/>
    <w:rsid w:val="001D6BA5"/>
    <w:rsid w:val="001E1443"/>
    <w:rsid w:val="001E4795"/>
    <w:rsid w:val="001E67D8"/>
    <w:rsid w:val="001E6E8E"/>
    <w:rsid w:val="001F0C9C"/>
    <w:rsid w:val="001F171C"/>
    <w:rsid w:val="001F390D"/>
    <w:rsid w:val="00206B55"/>
    <w:rsid w:val="002079F8"/>
    <w:rsid w:val="00210ED7"/>
    <w:rsid w:val="002243E8"/>
    <w:rsid w:val="002300EA"/>
    <w:rsid w:val="0023160B"/>
    <w:rsid w:val="00231C59"/>
    <w:rsid w:val="002323CD"/>
    <w:rsid w:val="002361BF"/>
    <w:rsid w:val="00252FE5"/>
    <w:rsid w:val="00255F00"/>
    <w:rsid w:val="00260A65"/>
    <w:rsid w:val="00260C3B"/>
    <w:rsid w:val="00261436"/>
    <w:rsid w:val="00261451"/>
    <w:rsid w:val="0026779B"/>
    <w:rsid w:val="00267DA8"/>
    <w:rsid w:val="0027071F"/>
    <w:rsid w:val="00271E29"/>
    <w:rsid w:val="00276330"/>
    <w:rsid w:val="002772B3"/>
    <w:rsid w:val="00291EAE"/>
    <w:rsid w:val="00295F25"/>
    <w:rsid w:val="002962A4"/>
    <w:rsid w:val="002A222A"/>
    <w:rsid w:val="002A2BDE"/>
    <w:rsid w:val="002A5EBF"/>
    <w:rsid w:val="002B14DB"/>
    <w:rsid w:val="002B20F8"/>
    <w:rsid w:val="002C1EE1"/>
    <w:rsid w:val="002C46F7"/>
    <w:rsid w:val="002C60AD"/>
    <w:rsid w:val="002C7F76"/>
    <w:rsid w:val="002D07C5"/>
    <w:rsid w:val="002D57DB"/>
    <w:rsid w:val="002E7390"/>
    <w:rsid w:val="002F11C2"/>
    <w:rsid w:val="002F74A0"/>
    <w:rsid w:val="00304FAF"/>
    <w:rsid w:val="00306618"/>
    <w:rsid w:val="00310BFE"/>
    <w:rsid w:val="00317398"/>
    <w:rsid w:val="00317E61"/>
    <w:rsid w:val="00317EFB"/>
    <w:rsid w:val="00323929"/>
    <w:rsid w:val="0034266E"/>
    <w:rsid w:val="003501E1"/>
    <w:rsid w:val="003511A7"/>
    <w:rsid w:val="00351FDC"/>
    <w:rsid w:val="003553DB"/>
    <w:rsid w:val="003575B9"/>
    <w:rsid w:val="0036154E"/>
    <w:rsid w:val="0036250E"/>
    <w:rsid w:val="003640B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33BA"/>
    <w:rsid w:val="003E4E41"/>
    <w:rsid w:val="003F77FF"/>
    <w:rsid w:val="0040218B"/>
    <w:rsid w:val="00403B93"/>
    <w:rsid w:val="00405211"/>
    <w:rsid w:val="004112CD"/>
    <w:rsid w:val="0042042E"/>
    <w:rsid w:val="00420706"/>
    <w:rsid w:val="00423AEE"/>
    <w:rsid w:val="004336F1"/>
    <w:rsid w:val="00450466"/>
    <w:rsid w:val="00451081"/>
    <w:rsid w:val="00451ABD"/>
    <w:rsid w:val="004524AB"/>
    <w:rsid w:val="00453411"/>
    <w:rsid w:val="004547E5"/>
    <w:rsid w:val="004606CA"/>
    <w:rsid w:val="00461F27"/>
    <w:rsid w:val="00472C66"/>
    <w:rsid w:val="0047425F"/>
    <w:rsid w:val="00485260"/>
    <w:rsid w:val="00486A9F"/>
    <w:rsid w:val="004916B5"/>
    <w:rsid w:val="0049251D"/>
    <w:rsid w:val="00495361"/>
    <w:rsid w:val="004A1FC4"/>
    <w:rsid w:val="004A5B2C"/>
    <w:rsid w:val="004B0A17"/>
    <w:rsid w:val="004C7C51"/>
    <w:rsid w:val="004D0F9A"/>
    <w:rsid w:val="004D2B12"/>
    <w:rsid w:val="004D5308"/>
    <w:rsid w:val="004D567F"/>
    <w:rsid w:val="004D7ABD"/>
    <w:rsid w:val="004E001B"/>
    <w:rsid w:val="004E1EDE"/>
    <w:rsid w:val="004E4EB2"/>
    <w:rsid w:val="004E5370"/>
    <w:rsid w:val="004E7B30"/>
    <w:rsid w:val="004F26CB"/>
    <w:rsid w:val="005003EA"/>
    <w:rsid w:val="005023EE"/>
    <w:rsid w:val="00505660"/>
    <w:rsid w:val="005064C3"/>
    <w:rsid w:val="00520D7B"/>
    <w:rsid w:val="00522932"/>
    <w:rsid w:val="005234DB"/>
    <w:rsid w:val="0052405D"/>
    <w:rsid w:val="00530F46"/>
    <w:rsid w:val="00540949"/>
    <w:rsid w:val="00542FA1"/>
    <w:rsid w:val="005435B2"/>
    <w:rsid w:val="005663A6"/>
    <w:rsid w:val="005668AB"/>
    <w:rsid w:val="00590B41"/>
    <w:rsid w:val="00591B8E"/>
    <w:rsid w:val="00594173"/>
    <w:rsid w:val="005945AA"/>
    <w:rsid w:val="00597815"/>
    <w:rsid w:val="005A6A53"/>
    <w:rsid w:val="005B198D"/>
    <w:rsid w:val="005B25B0"/>
    <w:rsid w:val="005B3616"/>
    <w:rsid w:val="005C1DB0"/>
    <w:rsid w:val="005C55FF"/>
    <w:rsid w:val="005C7119"/>
    <w:rsid w:val="005D23EF"/>
    <w:rsid w:val="005E06C5"/>
    <w:rsid w:val="005E2737"/>
    <w:rsid w:val="005E35EA"/>
    <w:rsid w:val="005E37BD"/>
    <w:rsid w:val="005E6B63"/>
    <w:rsid w:val="005F3809"/>
    <w:rsid w:val="005F5925"/>
    <w:rsid w:val="00601018"/>
    <w:rsid w:val="0060188A"/>
    <w:rsid w:val="00605E36"/>
    <w:rsid w:val="0060772E"/>
    <w:rsid w:val="0061395F"/>
    <w:rsid w:val="00614BE8"/>
    <w:rsid w:val="0061516F"/>
    <w:rsid w:val="00615461"/>
    <w:rsid w:val="006160A4"/>
    <w:rsid w:val="006227F4"/>
    <w:rsid w:val="00632CDF"/>
    <w:rsid w:val="0063365A"/>
    <w:rsid w:val="0063685D"/>
    <w:rsid w:val="00643398"/>
    <w:rsid w:val="006569BD"/>
    <w:rsid w:val="00664FFC"/>
    <w:rsid w:val="00671875"/>
    <w:rsid w:val="00684004"/>
    <w:rsid w:val="00684243"/>
    <w:rsid w:val="00684B7A"/>
    <w:rsid w:val="00696059"/>
    <w:rsid w:val="006A7E4F"/>
    <w:rsid w:val="006B05FA"/>
    <w:rsid w:val="006B54B1"/>
    <w:rsid w:val="006C028B"/>
    <w:rsid w:val="006C560D"/>
    <w:rsid w:val="006D0402"/>
    <w:rsid w:val="006D598B"/>
    <w:rsid w:val="006E1D97"/>
    <w:rsid w:val="006E4BE0"/>
    <w:rsid w:val="006F036C"/>
    <w:rsid w:val="006F765A"/>
    <w:rsid w:val="006F7F31"/>
    <w:rsid w:val="00700EB8"/>
    <w:rsid w:val="00702586"/>
    <w:rsid w:val="00703DCD"/>
    <w:rsid w:val="00706852"/>
    <w:rsid w:val="00712158"/>
    <w:rsid w:val="00720D77"/>
    <w:rsid w:val="00726240"/>
    <w:rsid w:val="007275EE"/>
    <w:rsid w:val="00732613"/>
    <w:rsid w:val="00734EE4"/>
    <w:rsid w:val="007418BE"/>
    <w:rsid w:val="00744D3B"/>
    <w:rsid w:val="00751096"/>
    <w:rsid w:val="0075378C"/>
    <w:rsid w:val="00764B71"/>
    <w:rsid w:val="0077392C"/>
    <w:rsid w:val="007775CF"/>
    <w:rsid w:val="00783165"/>
    <w:rsid w:val="007878A7"/>
    <w:rsid w:val="007A671B"/>
    <w:rsid w:val="007B173A"/>
    <w:rsid w:val="007B431F"/>
    <w:rsid w:val="007B5F59"/>
    <w:rsid w:val="007B7061"/>
    <w:rsid w:val="007B75A1"/>
    <w:rsid w:val="007C62EE"/>
    <w:rsid w:val="007C73F5"/>
    <w:rsid w:val="007D019B"/>
    <w:rsid w:val="007D3018"/>
    <w:rsid w:val="007E0C9A"/>
    <w:rsid w:val="007F304D"/>
    <w:rsid w:val="007F766D"/>
    <w:rsid w:val="00802B63"/>
    <w:rsid w:val="00805014"/>
    <w:rsid w:val="00811602"/>
    <w:rsid w:val="008216EB"/>
    <w:rsid w:val="00822614"/>
    <w:rsid w:val="008321C1"/>
    <w:rsid w:val="008323B3"/>
    <w:rsid w:val="008405B2"/>
    <w:rsid w:val="008500FB"/>
    <w:rsid w:val="00852F12"/>
    <w:rsid w:val="00873A40"/>
    <w:rsid w:val="00880C90"/>
    <w:rsid w:val="00882C45"/>
    <w:rsid w:val="00887CE8"/>
    <w:rsid w:val="0089216B"/>
    <w:rsid w:val="0089620E"/>
    <w:rsid w:val="008A5EBB"/>
    <w:rsid w:val="008A79DC"/>
    <w:rsid w:val="008B6A62"/>
    <w:rsid w:val="008C23F0"/>
    <w:rsid w:val="008D4693"/>
    <w:rsid w:val="008F144F"/>
    <w:rsid w:val="008F1B77"/>
    <w:rsid w:val="008F4416"/>
    <w:rsid w:val="008F4866"/>
    <w:rsid w:val="0090002B"/>
    <w:rsid w:val="009017E0"/>
    <w:rsid w:val="0092522D"/>
    <w:rsid w:val="00926C1F"/>
    <w:rsid w:val="00931CC7"/>
    <w:rsid w:val="00933976"/>
    <w:rsid w:val="00934EBC"/>
    <w:rsid w:val="00934FB6"/>
    <w:rsid w:val="00937A2F"/>
    <w:rsid w:val="00952DAB"/>
    <w:rsid w:val="00955980"/>
    <w:rsid w:val="0096449B"/>
    <w:rsid w:val="00973307"/>
    <w:rsid w:val="00980B82"/>
    <w:rsid w:val="009819E2"/>
    <w:rsid w:val="00983518"/>
    <w:rsid w:val="00984DB0"/>
    <w:rsid w:val="0099049A"/>
    <w:rsid w:val="009A052E"/>
    <w:rsid w:val="009A0564"/>
    <w:rsid w:val="009A11E7"/>
    <w:rsid w:val="009A142B"/>
    <w:rsid w:val="009A1FDF"/>
    <w:rsid w:val="009A4A67"/>
    <w:rsid w:val="009A6C71"/>
    <w:rsid w:val="009B2A75"/>
    <w:rsid w:val="009B63E9"/>
    <w:rsid w:val="009C40AA"/>
    <w:rsid w:val="009C41FF"/>
    <w:rsid w:val="009C5B71"/>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397"/>
    <w:rsid w:val="00A34C1A"/>
    <w:rsid w:val="00A579D1"/>
    <w:rsid w:val="00A57F44"/>
    <w:rsid w:val="00A67825"/>
    <w:rsid w:val="00A76446"/>
    <w:rsid w:val="00A76B59"/>
    <w:rsid w:val="00A969A0"/>
    <w:rsid w:val="00AA32A0"/>
    <w:rsid w:val="00AB1E5D"/>
    <w:rsid w:val="00AC1D74"/>
    <w:rsid w:val="00AC5F19"/>
    <w:rsid w:val="00AD3630"/>
    <w:rsid w:val="00AE4729"/>
    <w:rsid w:val="00AF0DF6"/>
    <w:rsid w:val="00AF585D"/>
    <w:rsid w:val="00B0033E"/>
    <w:rsid w:val="00B110B0"/>
    <w:rsid w:val="00B179A4"/>
    <w:rsid w:val="00B302F6"/>
    <w:rsid w:val="00B3054B"/>
    <w:rsid w:val="00B336C3"/>
    <w:rsid w:val="00B34901"/>
    <w:rsid w:val="00B42C89"/>
    <w:rsid w:val="00B512FE"/>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7E78"/>
    <w:rsid w:val="00C51931"/>
    <w:rsid w:val="00C56205"/>
    <w:rsid w:val="00C60C8B"/>
    <w:rsid w:val="00C712BF"/>
    <w:rsid w:val="00C7529E"/>
    <w:rsid w:val="00C75C0B"/>
    <w:rsid w:val="00C762BE"/>
    <w:rsid w:val="00C85728"/>
    <w:rsid w:val="00C86BDC"/>
    <w:rsid w:val="00C902F2"/>
    <w:rsid w:val="00C90A4C"/>
    <w:rsid w:val="00C91665"/>
    <w:rsid w:val="00C94729"/>
    <w:rsid w:val="00CA3707"/>
    <w:rsid w:val="00CA4F8C"/>
    <w:rsid w:val="00CB4C6E"/>
    <w:rsid w:val="00CB79F1"/>
    <w:rsid w:val="00CC16CF"/>
    <w:rsid w:val="00CC6739"/>
    <w:rsid w:val="00CD25C4"/>
    <w:rsid w:val="00CD399B"/>
    <w:rsid w:val="00CD4572"/>
    <w:rsid w:val="00CD5653"/>
    <w:rsid w:val="00CD6E59"/>
    <w:rsid w:val="00D00EE5"/>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B7158"/>
    <w:rsid w:val="00DC4E2F"/>
    <w:rsid w:val="00DC590D"/>
    <w:rsid w:val="00DD2F15"/>
    <w:rsid w:val="00DE44A3"/>
    <w:rsid w:val="00DE796A"/>
    <w:rsid w:val="00DF19DD"/>
    <w:rsid w:val="00DF652B"/>
    <w:rsid w:val="00E015AC"/>
    <w:rsid w:val="00E0494C"/>
    <w:rsid w:val="00E1515A"/>
    <w:rsid w:val="00E176E7"/>
    <w:rsid w:val="00E2101B"/>
    <w:rsid w:val="00E323C0"/>
    <w:rsid w:val="00E369DB"/>
    <w:rsid w:val="00E36EB2"/>
    <w:rsid w:val="00E37644"/>
    <w:rsid w:val="00E51BAF"/>
    <w:rsid w:val="00E63CFD"/>
    <w:rsid w:val="00E642AB"/>
    <w:rsid w:val="00E74A34"/>
    <w:rsid w:val="00E760C7"/>
    <w:rsid w:val="00E8191C"/>
    <w:rsid w:val="00E90558"/>
    <w:rsid w:val="00E91B61"/>
    <w:rsid w:val="00E96DEF"/>
    <w:rsid w:val="00EA0788"/>
    <w:rsid w:val="00EA0F41"/>
    <w:rsid w:val="00EA14B6"/>
    <w:rsid w:val="00EA4B86"/>
    <w:rsid w:val="00EB2A61"/>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46C9"/>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2122821"/>
  <w15:docId w15:val="{FF9B6A83-4220-4902-9439-936EA867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numbering" w:customStyle="1" w:styleId="WWNum25">
    <w:name w:val="WWNum25"/>
    <w:basedOn w:val="Aucuneliste"/>
    <w:rsid w:val="00DB7158"/>
    <w:pPr>
      <w:numPr>
        <w:numId w:val="4"/>
      </w:numPr>
    </w:pPr>
  </w:style>
  <w:style w:type="character" w:customStyle="1" w:styleId="UnresolvedMention1">
    <w:name w:val="Unresolved Mention1"/>
    <w:basedOn w:val="Policepardfaut"/>
    <w:uiPriority w:val="99"/>
    <w:semiHidden/>
    <w:unhideWhenUsed/>
    <w:rsid w:val="00486A9F"/>
    <w:rPr>
      <w:color w:val="605E5C"/>
      <w:shd w:val="clear" w:color="auto" w:fill="E1DFDD"/>
    </w:rPr>
  </w:style>
  <w:style w:type="numbering" w:customStyle="1" w:styleId="Importovanstyl7">
    <w:name w:val="Importovaný styl 7"/>
    <w:rsid w:val="00E819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1221-D5F8-4B43-9B5F-080C8A5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10657</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cp:lastModifiedBy>Stephanie Laruelle</cp:lastModifiedBy>
  <cp:revision>2</cp:revision>
  <cp:lastPrinted>2018-10-09T10:25:00Z</cp:lastPrinted>
  <dcterms:created xsi:type="dcterms:W3CDTF">2018-11-16T11:37:00Z</dcterms:created>
  <dcterms:modified xsi:type="dcterms:W3CDTF">2018-11-16T11:37:00Z</dcterms:modified>
</cp:coreProperties>
</file>