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5D5DBDD0" w:rsidR="004B0A17" w:rsidRPr="008405B2"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461F27">
              <w:rPr>
                <w:rFonts w:cs="Times New Roman"/>
                <w:szCs w:val="20"/>
              </w:rPr>
              <w:t>10</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8F1B77">
        <w:trPr>
          <w:cantSplit/>
          <w:trHeight w:val="2317"/>
        </w:trPr>
        <w:tc>
          <w:tcPr>
            <w:tcW w:w="3403" w:type="dxa"/>
            <w:tcBorders>
              <w:top w:val="single" w:sz="4" w:space="0" w:color="auto"/>
              <w:bottom w:val="single" w:sz="24" w:space="0" w:color="auto"/>
            </w:tcBorders>
          </w:tcPr>
          <w:p w14:paraId="2B4BA96C"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0AF5101" w14:textId="5A99F5D3" w:rsidR="00934FB6" w:rsidRPr="002772B3" w:rsidRDefault="008216EB" w:rsidP="00934FB6">
            <w:pPr>
              <w:jc w:val="both"/>
              <w:rPr>
                <w:rFonts w:cs="Times New Roman"/>
                <w:szCs w:val="20"/>
              </w:rPr>
            </w:pPr>
            <w:r>
              <w:rPr>
                <w:rFonts w:cs="Times New Roman"/>
                <w:szCs w:val="20"/>
              </w:rPr>
              <w:t>2</w:t>
            </w:r>
            <w:r w:rsidR="00461F27">
              <w:rPr>
                <w:rFonts w:cs="Times New Roman"/>
                <w:szCs w:val="20"/>
              </w:rPr>
              <w:t>5</w:t>
            </w:r>
            <w:r w:rsidR="00934FB6">
              <w:rPr>
                <w:rFonts w:cs="Times New Roman"/>
                <w:szCs w:val="20"/>
              </w:rPr>
              <w:t xml:space="preserve"> </w:t>
            </w:r>
            <w:r w:rsidR="008405B2">
              <w:rPr>
                <w:rFonts w:cs="Times New Roman"/>
                <w:szCs w:val="20"/>
              </w:rPr>
              <w:t>September</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504A833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FE2DC0">
            <w:pPr>
              <w:bidi/>
              <w:spacing w:before="960" w:line="620" w:lineRule="exact"/>
              <w:rPr>
                <w:b/>
                <w:bCs/>
                <w:sz w:val="36"/>
                <w:szCs w:val="36"/>
                <w:rtl/>
              </w:rPr>
            </w:pPr>
            <w:r w:rsidRPr="00E760C7">
              <w:rPr>
                <w:rFonts w:hint="cs"/>
                <w:b/>
                <w:bCs/>
                <w:sz w:val="52"/>
                <w:szCs w:val="52"/>
                <w:rtl/>
              </w:rPr>
              <w:t>برنامج الأمم</w:t>
            </w:r>
          </w:p>
          <w:p w14:paraId="5598AB4C" w14:textId="4C19C1F1" w:rsidR="00DE796A" w:rsidRDefault="00317EFB" w:rsidP="00FE2DC0">
            <w:pPr>
              <w:bidi/>
              <w:spacing w:after="120" w:line="70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8F1B77">
        <w:trPr>
          <w:cantSplit/>
          <w:trHeight w:val="2317"/>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42CD49F4" w14:textId="77777777" w:rsidR="00BE3C21" w:rsidRDefault="00BE3C21" w:rsidP="003B7531">
            <w:pPr>
              <w:bidi/>
              <w:spacing w:before="60" w:line="340" w:lineRule="exact"/>
              <w:ind w:left="34" w:right="2019"/>
              <w:jc w:val="both"/>
              <w:rPr>
                <w:b/>
                <w:bCs/>
                <w:sz w:val="30"/>
                <w:rtl/>
              </w:rPr>
            </w:pPr>
            <w:r>
              <w:rPr>
                <w:rFonts w:hint="cs"/>
                <w:b/>
                <w:bCs/>
                <w:sz w:val="30"/>
                <w:rtl/>
              </w:rPr>
              <w:t>مؤتمر الأطراف في اتفاقية ميناماتا</w:t>
            </w:r>
          </w:p>
          <w:p w14:paraId="589B007D" w14:textId="77777777" w:rsidR="00BE3C21" w:rsidRDefault="00BE3C21" w:rsidP="003B7531">
            <w:pPr>
              <w:bidi/>
              <w:spacing w:line="340" w:lineRule="exact"/>
              <w:ind w:left="34" w:right="2019"/>
              <w:jc w:val="both"/>
              <w:rPr>
                <w:b/>
                <w:bCs/>
                <w:sz w:val="30"/>
                <w:rtl/>
              </w:rPr>
            </w:pPr>
            <w:r>
              <w:rPr>
                <w:rFonts w:hint="cs"/>
                <w:b/>
                <w:bCs/>
                <w:sz w:val="30"/>
                <w:rtl/>
              </w:rPr>
              <w:t>بشأن الزئبق</w:t>
            </w:r>
          </w:p>
          <w:p w14:paraId="4D6E95FF" w14:textId="77777777" w:rsidR="00BE3C21" w:rsidRPr="00A579D1" w:rsidRDefault="00BE3C21" w:rsidP="003B7531">
            <w:pPr>
              <w:bidi/>
              <w:spacing w:line="340" w:lineRule="exact"/>
              <w:ind w:left="34" w:right="748"/>
              <w:jc w:val="both"/>
              <w:rPr>
                <w:b/>
                <w:bCs/>
                <w:sz w:val="30"/>
                <w:rtl/>
              </w:rPr>
            </w:pPr>
            <w:r>
              <w:rPr>
                <w:rFonts w:hint="cs"/>
                <w:b/>
                <w:bCs/>
                <w:sz w:val="30"/>
                <w:rtl/>
              </w:rPr>
              <w:t>الاجتماع الثاني</w:t>
            </w:r>
          </w:p>
          <w:p w14:paraId="267D48A1" w14:textId="77777777" w:rsidR="00BE3C21" w:rsidRDefault="00BE3C21" w:rsidP="003B7531">
            <w:pPr>
              <w:bidi/>
              <w:spacing w:line="34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2F581F08" w14:textId="59ACD60B" w:rsidR="00BE3C21" w:rsidRDefault="00BE3C21" w:rsidP="003B7531">
            <w:pPr>
              <w:bidi/>
              <w:spacing w:after="80" w:line="340" w:lineRule="exact"/>
              <w:ind w:left="34"/>
              <w:rPr>
                <w:rFonts w:ascii="Traditional Arabic" w:hAnsi="Traditional Arabic"/>
                <w:sz w:val="28"/>
                <w:rtl/>
              </w:rPr>
            </w:pPr>
            <w:r w:rsidRPr="00FF3359">
              <w:rPr>
                <w:rFonts w:ascii="Traditional Arabic" w:hAnsi="Traditional Arabic" w:hint="cs"/>
                <w:sz w:val="28"/>
                <w:rtl/>
              </w:rPr>
              <w:t xml:space="preserve">البند </w:t>
            </w:r>
            <w:r>
              <w:rPr>
                <w:rFonts w:asciiTheme="minorHAnsi" w:hAnsiTheme="minorHAnsi" w:hint="cs"/>
                <w:sz w:val="28"/>
                <w:rtl/>
              </w:rPr>
              <w:t>5 (</w:t>
            </w:r>
            <w:r w:rsidR="00461F27">
              <w:rPr>
                <w:rFonts w:asciiTheme="minorHAnsi" w:hAnsiTheme="minorHAnsi" w:hint="cs"/>
                <w:sz w:val="28"/>
                <w:rtl/>
              </w:rPr>
              <w:t>و</w:t>
            </w:r>
            <w:r>
              <w:rPr>
                <w:rFonts w:asciiTheme="minorHAnsi" w:hAnsiTheme="minorHAnsi" w:hint="cs"/>
                <w:sz w:val="28"/>
                <w:rtl/>
              </w:rPr>
              <w:t>)</w:t>
            </w:r>
            <w:r w:rsidRPr="00FF3359">
              <w:rPr>
                <w:rFonts w:ascii="Traditional Arabic" w:hAnsi="Traditional Arabic" w:hint="cs"/>
                <w:sz w:val="28"/>
                <w:rtl/>
              </w:rPr>
              <w:t xml:space="preserve"> من جدول الأعمال المؤقت</w:t>
            </w:r>
            <w:r>
              <w:rPr>
                <w:szCs w:val="24"/>
                <w:rtl/>
              </w:rPr>
              <w:footnoteReference w:customMarkFollows="1" w:id="1"/>
              <w:t>*</w:t>
            </w:r>
          </w:p>
          <w:p w14:paraId="270B00D7" w14:textId="653CCEFB" w:rsidR="00BE3C21" w:rsidRPr="00BE3C21" w:rsidRDefault="00BE3C21" w:rsidP="003B7531">
            <w:pPr>
              <w:bidi/>
              <w:spacing w:line="340" w:lineRule="exact"/>
              <w:ind w:right="2472"/>
              <w:jc w:val="both"/>
              <w:rPr>
                <w:rFonts w:cs="Times New Roman"/>
                <w:szCs w:val="20"/>
                <w:rtl/>
              </w:rPr>
            </w:pPr>
            <w:r w:rsidRPr="00643398">
              <w:rPr>
                <w:rFonts w:ascii="Traditional Arabic" w:hAnsi="Traditional Arabic" w:hint="cs"/>
                <w:b/>
                <w:bCs/>
                <w:sz w:val="28"/>
                <w:szCs w:val="28"/>
                <w:rtl/>
                <w:lang w:eastAsia="zh-TW"/>
              </w:rPr>
              <w:t xml:space="preserve">مسائل </w:t>
            </w:r>
            <w:r w:rsidRPr="00643398">
              <w:rPr>
                <w:rFonts w:ascii="Traditional Arabic" w:hAnsi="Traditional Arabic" w:hint="cs"/>
                <w:b/>
                <w:bCs/>
                <w:sz w:val="28"/>
                <w:szCs w:val="28"/>
                <w:rtl/>
              </w:rPr>
              <w:t xml:space="preserve">تُعرض </w:t>
            </w:r>
            <w:r w:rsidRPr="00643398">
              <w:rPr>
                <w:rFonts w:ascii="Traditional Arabic" w:hAnsi="Traditional Arabic"/>
                <w:b/>
                <w:bCs/>
                <w:sz w:val="28"/>
                <w:szCs w:val="28"/>
                <w:rtl/>
              </w:rPr>
              <w:t xml:space="preserve">على مؤتمر الأطراف </w:t>
            </w:r>
            <w:r w:rsidRPr="00643398">
              <w:rPr>
                <w:rFonts w:ascii="Traditional Arabic" w:hAnsi="Traditional Arabic" w:hint="cs"/>
                <w:b/>
                <w:bCs/>
                <w:sz w:val="28"/>
                <w:szCs w:val="28"/>
                <w:rtl/>
              </w:rPr>
              <w:t>لكي</w:t>
            </w:r>
            <w:r w:rsidRPr="00643398">
              <w:rPr>
                <w:rFonts w:ascii="Traditional Arabic" w:hAnsi="Traditional Arabic"/>
                <w:b/>
                <w:bCs/>
                <w:sz w:val="28"/>
                <w:szCs w:val="28"/>
                <w:rtl/>
              </w:rPr>
              <w:t xml:space="preserve"> ي</w:t>
            </w:r>
            <w:r w:rsidRPr="00643398">
              <w:rPr>
                <w:rFonts w:ascii="Traditional Arabic" w:hAnsi="Traditional Arabic" w:hint="cs"/>
                <w:b/>
                <w:bCs/>
                <w:sz w:val="28"/>
                <w:szCs w:val="28"/>
                <w:rtl/>
              </w:rPr>
              <w:t>نظر فيها أو ي</w:t>
            </w:r>
            <w:r w:rsidRPr="00643398">
              <w:rPr>
                <w:rFonts w:ascii="Traditional Arabic" w:hAnsi="Traditional Arabic"/>
                <w:b/>
                <w:bCs/>
                <w:sz w:val="28"/>
                <w:szCs w:val="28"/>
                <w:rtl/>
              </w:rPr>
              <w:t>تخذ إجراء</w:t>
            </w:r>
            <w:r w:rsidRPr="00643398">
              <w:rPr>
                <w:rFonts w:ascii="Traditional Arabic" w:hAnsi="Traditional Arabic" w:hint="cs"/>
                <w:b/>
                <w:bCs/>
                <w:sz w:val="28"/>
                <w:szCs w:val="28"/>
                <w:rtl/>
              </w:rPr>
              <w:t>ً</w:t>
            </w:r>
            <w:r w:rsidRPr="00643398">
              <w:rPr>
                <w:rFonts w:ascii="Traditional Arabic" w:hAnsi="Traditional Arabic"/>
                <w:b/>
                <w:bCs/>
                <w:sz w:val="28"/>
                <w:szCs w:val="28"/>
                <w:rtl/>
              </w:rPr>
              <w:t xml:space="preserve"> بشأنها</w:t>
            </w:r>
            <w:r w:rsidRPr="00643398">
              <w:rPr>
                <w:rFonts w:ascii="Traditional Arabic" w:hAnsi="Traditional Arabic" w:hint="cs"/>
                <w:b/>
                <w:bCs/>
                <w:sz w:val="28"/>
                <w:szCs w:val="28"/>
                <w:rtl/>
              </w:rPr>
              <w:t xml:space="preserve">: </w:t>
            </w:r>
            <w:r w:rsidR="005003EA" w:rsidRPr="005003EA">
              <w:rPr>
                <w:rFonts w:ascii="Traditional Arabic" w:hAnsi="Traditional Arabic" w:hint="eastAsia"/>
                <w:b/>
                <w:bCs/>
                <w:sz w:val="28"/>
                <w:szCs w:val="28"/>
                <w:rtl/>
              </w:rPr>
              <w:t>بناء</w:t>
            </w:r>
            <w:r w:rsidR="005003EA" w:rsidRPr="005003EA">
              <w:rPr>
                <w:rFonts w:ascii="Traditional Arabic" w:hAnsi="Traditional Arabic"/>
                <w:b/>
                <w:bCs/>
                <w:sz w:val="28"/>
                <w:szCs w:val="28"/>
                <w:rtl/>
              </w:rPr>
              <w:t xml:space="preserve"> </w:t>
            </w:r>
            <w:r w:rsidR="005003EA" w:rsidRPr="005003EA">
              <w:rPr>
                <w:rFonts w:ascii="Traditional Arabic" w:hAnsi="Traditional Arabic" w:hint="eastAsia"/>
                <w:b/>
                <w:bCs/>
                <w:sz w:val="28"/>
                <w:szCs w:val="28"/>
                <w:rtl/>
              </w:rPr>
              <w:t>القدرات</w:t>
            </w:r>
            <w:r w:rsidR="005003EA" w:rsidRPr="005003EA">
              <w:rPr>
                <w:rFonts w:ascii="Traditional Arabic" w:hAnsi="Traditional Arabic"/>
                <w:b/>
                <w:bCs/>
                <w:sz w:val="28"/>
                <w:szCs w:val="28"/>
                <w:rtl/>
              </w:rPr>
              <w:t xml:space="preserve"> </w:t>
            </w:r>
            <w:r w:rsidR="005003EA" w:rsidRPr="005003EA">
              <w:rPr>
                <w:rFonts w:ascii="Traditional Arabic" w:hAnsi="Traditional Arabic" w:hint="eastAsia"/>
                <w:b/>
                <w:bCs/>
                <w:sz w:val="28"/>
                <w:szCs w:val="28"/>
                <w:rtl/>
              </w:rPr>
              <w:t>والمساعدة</w:t>
            </w:r>
            <w:r w:rsidR="005003EA" w:rsidRPr="005003EA">
              <w:rPr>
                <w:rFonts w:ascii="Traditional Arabic" w:hAnsi="Traditional Arabic"/>
                <w:b/>
                <w:bCs/>
                <w:sz w:val="28"/>
                <w:szCs w:val="28"/>
                <w:rtl/>
              </w:rPr>
              <w:t xml:space="preserve"> </w:t>
            </w:r>
            <w:r w:rsidR="005003EA" w:rsidRPr="005003EA">
              <w:rPr>
                <w:rFonts w:ascii="Traditional Arabic" w:hAnsi="Traditional Arabic" w:hint="eastAsia"/>
                <w:b/>
                <w:bCs/>
                <w:sz w:val="28"/>
                <w:szCs w:val="28"/>
                <w:rtl/>
              </w:rPr>
              <w:t>التقنية</w:t>
            </w:r>
            <w:r w:rsidR="005003EA" w:rsidRPr="005003EA">
              <w:rPr>
                <w:rFonts w:ascii="Traditional Arabic" w:hAnsi="Traditional Arabic"/>
                <w:b/>
                <w:bCs/>
                <w:sz w:val="28"/>
                <w:szCs w:val="28"/>
                <w:rtl/>
              </w:rPr>
              <w:t xml:space="preserve"> </w:t>
            </w:r>
            <w:r w:rsidR="005003EA" w:rsidRPr="005003EA">
              <w:rPr>
                <w:rFonts w:ascii="Traditional Arabic" w:hAnsi="Traditional Arabic" w:hint="eastAsia"/>
                <w:b/>
                <w:bCs/>
                <w:sz w:val="28"/>
                <w:szCs w:val="28"/>
                <w:rtl/>
              </w:rPr>
              <w:t>ونقل</w:t>
            </w:r>
            <w:r w:rsidR="005003EA" w:rsidRPr="005003EA">
              <w:rPr>
                <w:rFonts w:ascii="Traditional Arabic" w:hAnsi="Traditional Arabic"/>
                <w:b/>
                <w:bCs/>
                <w:sz w:val="28"/>
                <w:szCs w:val="28"/>
                <w:rtl/>
              </w:rPr>
              <w:t xml:space="preserve"> </w:t>
            </w:r>
            <w:r w:rsidR="005003EA" w:rsidRPr="005003EA">
              <w:rPr>
                <w:rFonts w:ascii="Traditional Arabic" w:hAnsi="Traditional Arabic" w:hint="eastAsia"/>
                <w:b/>
                <w:bCs/>
                <w:sz w:val="28"/>
                <w:szCs w:val="28"/>
                <w:rtl/>
              </w:rPr>
              <w:t>التكنولوجيا</w:t>
            </w:r>
          </w:p>
        </w:tc>
      </w:tr>
    </w:tbl>
    <w:p w14:paraId="796D8D26" w14:textId="3A8093E2" w:rsidR="00C60C8B" w:rsidRPr="00F756FF" w:rsidRDefault="00B512FE" w:rsidP="003B7531">
      <w:pPr>
        <w:tabs>
          <w:tab w:val="left" w:pos="1841"/>
        </w:tabs>
        <w:bidi/>
        <w:spacing w:before="360" w:after="120" w:line="400" w:lineRule="exact"/>
        <w:ind w:left="1134"/>
        <w:jc w:val="both"/>
        <w:rPr>
          <w:b/>
          <w:bCs/>
          <w:sz w:val="34"/>
          <w:szCs w:val="34"/>
          <w:rtl/>
        </w:rPr>
      </w:pPr>
      <w:r>
        <w:rPr>
          <w:rFonts w:ascii="Traditional Arabic" w:hAnsi="Traditional Arabic" w:hint="cs"/>
          <w:bCs/>
          <w:sz w:val="34"/>
          <w:szCs w:val="34"/>
          <w:rtl/>
          <w:lang w:eastAsia="zh-TW"/>
        </w:rPr>
        <w:t>الإفادات والتقارير المقدمة فيما يتعلق بالتكنولوجيا</w:t>
      </w:r>
      <w:r w:rsidR="008216EB">
        <w:rPr>
          <w:rFonts w:ascii="Traditional Arabic" w:hAnsi="Traditional Arabic" w:hint="cs"/>
          <w:bCs/>
          <w:sz w:val="34"/>
          <w:szCs w:val="34"/>
          <w:rtl/>
          <w:lang w:eastAsia="zh-TW"/>
        </w:rPr>
        <w:t>ت</w:t>
      </w:r>
      <w:r>
        <w:rPr>
          <w:rFonts w:ascii="Traditional Arabic" w:hAnsi="Traditional Arabic" w:hint="cs"/>
          <w:bCs/>
          <w:sz w:val="34"/>
          <w:szCs w:val="34"/>
          <w:rtl/>
          <w:lang w:eastAsia="zh-TW"/>
        </w:rPr>
        <w:t xml:space="preserve"> البديلة ونقل التكنولوجيا على النحو المشار إليه في الفقرة 4 من المادة 14</w:t>
      </w:r>
    </w:p>
    <w:p w14:paraId="7ACCD99F" w14:textId="77777777" w:rsidR="00C60C8B" w:rsidRPr="0052405D" w:rsidRDefault="00C60C8B" w:rsidP="0047425F">
      <w:pPr>
        <w:pStyle w:val="Normalnumber"/>
        <w:numPr>
          <w:ilvl w:val="0"/>
          <w:numId w:val="0"/>
        </w:numPr>
        <w:tabs>
          <w:tab w:val="left" w:pos="1841"/>
          <w:tab w:val="left" w:pos="2408"/>
          <w:tab w:val="left" w:pos="2975"/>
        </w:tabs>
        <w:bidi/>
        <w:spacing w:line="400" w:lineRule="exact"/>
        <w:ind w:left="1134"/>
        <w:jc w:val="both"/>
        <w:textDirection w:val="tbRlV"/>
        <w:rPr>
          <w:rFonts w:ascii="Traditional Arabic" w:hAnsi="Traditional Arabic" w:cs="Traditional Arabic"/>
          <w:b/>
          <w:bCs/>
          <w:sz w:val="32"/>
          <w:szCs w:val="32"/>
          <w:rtl/>
          <w:lang w:eastAsia="zh-TW"/>
        </w:rPr>
      </w:pPr>
      <w:r w:rsidRPr="0052405D">
        <w:rPr>
          <w:rFonts w:ascii="Traditional Arabic" w:hAnsi="Traditional Arabic" w:cs="Traditional Arabic" w:hint="cs"/>
          <w:b/>
          <w:bCs/>
          <w:sz w:val="32"/>
          <w:szCs w:val="32"/>
          <w:rtl/>
          <w:lang w:eastAsia="zh-TW"/>
        </w:rPr>
        <w:t>مذكرة من ا</w:t>
      </w:r>
      <w:bookmarkStart w:id="0" w:name="_GoBack"/>
      <w:bookmarkEnd w:id="0"/>
      <w:r w:rsidRPr="0052405D">
        <w:rPr>
          <w:rFonts w:ascii="Traditional Arabic" w:hAnsi="Traditional Arabic" w:cs="Traditional Arabic" w:hint="cs"/>
          <w:b/>
          <w:bCs/>
          <w:sz w:val="32"/>
          <w:szCs w:val="32"/>
          <w:rtl/>
          <w:lang w:eastAsia="zh-TW"/>
        </w:rPr>
        <w:t>لأمانة</w:t>
      </w:r>
    </w:p>
    <w:p w14:paraId="18B187DD" w14:textId="071E5C79" w:rsidR="00DB7158" w:rsidRPr="005C7119" w:rsidRDefault="00DB7158" w:rsidP="005C7119">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5C7119">
        <w:rPr>
          <w:rFonts w:cs="Traditional Arabic"/>
          <w:sz w:val="30"/>
          <w:szCs w:val="30"/>
          <w:rtl/>
          <w:lang w:eastAsia="zh-TW"/>
        </w:rPr>
        <w:t xml:space="preserve">تنص الفقرة ٤ من المادة ١٤ من اتفاقية </w:t>
      </w:r>
      <w:proofErr w:type="spellStart"/>
      <w:r w:rsidRPr="005C7119">
        <w:rPr>
          <w:rFonts w:cs="Traditional Arabic"/>
          <w:sz w:val="30"/>
          <w:szCs w:val="30"/>
          <w:rtl/>
          <w:lang w:eastAsia="zh-TW"/>
        </w:rPr>
        <w:t>ميناماتا</w:t>
      </w:r>
      <w:proofErr w:type="spellEnd"/>
      <w:r w:rsidRPr="005C7119">
        <w:rPr>
          <w:rFonts w:cs="Traditional Arabic"/>
          <w:sz w:val="30"/>
          <w:szCs w:val="30"/>
          <w:rtl/>
          <w:lang w:eastAsia="zh-TW"/>
        </w:rPr>
        <w:t xml:space="preserve"> بشأن الزئبق </w:t>
      </w:r>
      <w:r w:rsidR="003A2818">
        <w:rPr>
          <w:rFonts w:cs="Traditional Arabic" w:hint="cs"/>
          <w:sz w:val="30"/>
          <w:szCs w:val="30"/>
          <w:rtl/>
          <w:lang w:eastAsia="zh-TW"/>
        </w:rPr>
        <w:t xml:space="preserve">بشأن بناء القدرات والمساعدة التقنية ونقل التكنولوجيا، </w:t>
      </w:r>
      <w:r w:rsidRPr="005C7119">
        <w:rPr>
          <w:rFonts w:cs="Traditional Arabic"/>
          <w:sz w:val="30"/>
          <w:szCs w:val="30"/>
          <w:rtl/>
          <w:lang w:eastAsia="zh-TW"/>
        </w:rPr>
        <w:t>على أن ينظر مؤتمر الأطراف، بحلول موعد اجتماعه الثاني وبعده على أساس منتظم، في المعلومات عن المبادرات القائمة والتقدم المحرز فيما يتعلق بالتكنولوجيات البديلة؛ و</w:t>
      </w:r>
      <w:r w:rsidR="008216EB">
        <w:rPr>
          <w:rFonts w:cs="Traditional Arabic" w:hint="cs"/>
          <w:sz w:val="30"/>
          <w:szCs w:val="30"/>
          <w:rtl/>
          <w:lang w:eastAsia="zh-TW"/>
        </w:rPr>
        <w:t xml:space="preserve">أن ينظر </w:t>
      </w:r>
      <w:r w:rsidRPr="005C7119">
        <w:rPr>
          <w:rFonts w:cs="Traditional Arabic"/>
          <w:sz w:val="30"/>
          <w:szCs w:val="30"/>
          <w:rtl/>
          <w:lang w:eastAsia="zh-TW"/>
        </w:rPr>
        <w:t>في احتياجات الأطراف، ولا سيما البلدان النامية الأطراف، من التكنولوجيات البديلة؛ وأن يحدد التحديات التي تواجهها الأطراف، لا سيما البلدان النامية الأطراف، في نقل التكنولوجيا</w:t>
      </w:r>
      <w:r w:rsidR="008216EB">
        <w:rPr>
          <w:rFonts w:cs="Traditional Arabic" w:hint="cs"/>
          <w:sz w:val="30"/>
          <w:szCs w:val="30"/>
          <w:rtl/>
          <w:lang w:eastAsia="zh-TW"/>
        </w:rPr>
        <w:t>.</w:t>
      </w:r>
      <w:r w:rsidRPr="005C7119">
        <w:rPr>
          <w:rFonts w:cs="Traditional Arabic"/>
          <w:sz w:val="30"/>
          <w:szCs w:val="30"/>
          <w:rtl/>
          <w:lang w:eastAsia="zh-TW"/>
        </w:rPr>
        <w:t xml:space="preserve"> ويتعين على مؤتمر الأطراف القيام بذلك آخذاً في الاعتبار الإفادات والتقارير التي تقدمها الأطراف، بما في ذلك تلك المنصوص عليها في المادة 21، والمعلومات التي يقدمها أصحاب المصلحة الآخرون.</w:t>
      </w:r>
    </w:p>
    <w:p w14:paraId="6DB5DD5C" w14:textId="77777777" w:rsidR="00DB7158" w:rsidRPr="005C7119" w:rsidRDefault="00DB7158" w:rsidP="005C7119">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5C7119">
        <w:rPr>
          <w:rFonts w:cs="Traditional Arabic"/>
          <w:sz w:val="30"/>
          <w:szCs w:val="30"/>
          <w:rtl/>
          <w:lang w:eastAsia="zh-TW"/>
        </w:rPr>
        <w:t>واستجابةً للنظر في هذه المسألة في الاجتماع الأول لمؤتمر الأطراف، الذي عقد في جنيف في الفترة من ٢٤ إلى ٢٩ أيلول/سبتمبر ٢٠١٧، سعت الأمانة للحصول على إفادات وتقارير من الأطراف والجهات المعنية الأخرى بشأن المسائل المذكورة أعلاه على النحو المشار إليه في الفقرة ٤ من المادة ١٤.</w:t>
      </w:r>
    </w:p>
    <w:p w14:paraId="2575E3D2" w14:textId="1F86F007" w:rsidR="00486A9F" w:rsidRDefault="00DB7158" w:rsidP="003B7531">
      <w:pPr>
        <w:pStyle w:val="Normalnumber"/>
        <w:numPr>
          <w:ilvl w:val="0"/>
          <w:numId w:val="18"/>
        </w:numPr>
        <w:tabs>
          <w:tab w:val="left" w:pos="1841"/>
        </w:tabs>
        <w:autoSpaceDE/>
        <w:autoSpaceDN/>
        <w:bidi/>
        <w:adjustRightInd/>
        <w:spacing w:after="0" w:line="400" w:lineRule="exact"/>
        <w:ind w:left="1134" w:firstLine="0"/>
        <w:jc w:val="both"/>
        <w:textDirection w:val="tbRlV"/>
        <w:rPr>
          <w:rFonts w:cs="Traditional Arabic"/>
          <w:sz w:val="30"/>
          <w:szCs w:val="30"/>
          <w:lang w:eastAsia="zh-TW"/>
        </w:rPr>
      </w:pPr>
      <w:r w:rsidRPr="005C7119">
        <w:rPr>
          <w:rFonts w:cs="Traditional Arabic"/>
          <w:sz w:val="30"/>
          <w:szCs w:val="30"/>
          <w:rtl/>
          <w:lang w:eastAsia="zh-TW"/>
        </w:rPr>
        <w:t xml:space="preserve">ووردت إفادات من ثلاثة أطراف هي اليابان ونيجيريا والولايات المتحدة الأمريكية، ومن منظمتين غير حكوميتين هما الشبكة الدولية للتخلص من الملوثات العضوية الثابتة والفريق العامل المعني بالتخلص من الزئبق. وجمعت الإفادات المقدمة في الوثيقة </w:t>
      </w:r>
      <w:r w:rsidR="005C7119" w:rsidRPr="00FC51B1">
        <w:t>UNEP/MC/COP.2/INF/5</w:t>
      </w:r>
      <w:r w:rsidRPr="005C7119">
        <w:rPr>
          <w:rFonts w:cs="Traditional Arabic"/>
          <w:sz w:val="30"/>
          <w:szCs w:val="30"/>
          <w:rtl/>
          <w:lang w:eastAsia="zh-TW"/>
        </w:rPr>
        <w:t>، وهي أيضا</w:t>
      </w:r>
      <w:r w:rsidR="00F20E5D">
        <w:rPr>
          <w:rFonts w:cs="Traditional Arabic" w:hint="cs"/>
          <w:sz w:val="30"/>
          <w:szCs w:val="30"/>
          <w:rtl/>
          <w:lang w:eastAsia="zh-TW"/>
        </w:rPr>
        <w:t>ً</w:t>
      </w:r>
      <w:r w:rsidRPr="005C7119">
        <w:rPr>
          <w:rFonts w:cs="Traditional Arabic"/>
          <w:sz w:val="30"/>
          <w:szCs w:val="30"/>
          <w:rtl/>
          <w:lang w:eastAsia="zh-TW"/>
        </w:rPr>
        <w:t xml:space="preserve"> متاحة على الموقع الشبكي لاتفاقية </w:t>
      </w:r>
      <w:proofErr w:type="spellStart"/>
      <w:r w:rsidRPr="005C7119">
        <w:rPr>
          <w:rFonts w:cs="Traditional Arabic"/>
          <w:sz w:val="30"/>
          <w:szCs w:val="30"/>
          <w:rtl/>
          <w:lang w:eastAsia="zh-TW"/>
        </w:rPr>
        <w:t>ميناماتا</w:t>
      </w:r>
      <w:proofErr w:type="spellEnd"/>
      <w:r w:rsidRPr="005C7119">
        <w:rPr>
          <w:rFonts w:cs="Traditional Arabic"/>
          <w:sz w:val="30"/>
          <w:szCs w:val="30"/>
          <w:rtl/>
          <w:lang w:eastAsia="zh-TW"/>
        </w:rPr>
        <w:t xml:space="preserve"> على الرابط:</w:t>
      </w:r>
    </w:p>
    <w:p w14:paraId="74F9F579" w14:textId="286F4352" w:rsidR="00DB7158" w:rsidRPr="005C7119" w:rsidRDefault="003535B6" w:rsidP="00B904AD">
      <w:pPr>
        <w:pStyle w:val="Normalnumber"/>
        <w:numPr>
          <w:ilvl w:val="0"/>
          <w:numId w:val="0"/>
        </w:numPr>
        <w:tabs>
          <w:tab w:val="left" w:pos="1841"/>
        </w:tabs>
        <w:autoSpaceDE/>
        <w:autoSpaceDN/>
        <w:bidi/>
        <w:adjustRightInd/>
        <w:spacing w:line="240" w:lineRule="exact"/>
        <w:ind w:left="1134"/>
        <w:jc w:val="both"/>
        <w:textDirection w:val="tbRlV"/>
        <w:rPr>
          <w:rFonts w:cs="Traditional Arabic"/>
          <w:sz w:val="30"/>
          <w:szCs w:val="30"/>
          <w:rtl/>
          <w:lang w:eastAsia="zh-TW"/>
        </w:rPr>
      </w:pPr>
      <w:hyperlink r:id="rId10" w:history="1">
        <w:r w:rsidR="00486A9F" w:rsidRPr="003B7531">
          <w:rPr>
            <w:rStyle w:val="Hyperlink"/>
            <w:sz w:val="18"/>
            <w:szCs w:val="18"/>
            <w:u w:val="none"/>
          </w:rPr>
          <w:t>www.mercuryconvention.org/Meetings/Intersessionalnbsp;work/tabid/6325/language/en-US/Default.aspx</w:t>
        </w:r>
      </w:hyperlink>
      <w:r w:rsidR="00DB7158" w:rsidRPr="005C7119">
        <w:rPr>
          <w:rFonts w:cs="Traditional Arabic"/>
          <w:sz w:val="30"/>
          <w:szCs w:val="30"/>
          <w:rtl/>
          <w:lang w:eastAsia="zh-TW"/>
        </w:rPr>
        <w:t>.</w:t>
      </w:r>
    </w:p>
    <w:p w14:paraId="344B2841" w14:textId="3FC595D8" w:rsidR="00DB7158" w:rsidRPr="005C7119" w:rsidRDefault="00DB7158" w:rsidP="005C7119">
      <w:pPr>
        <w:pStyle w:val="Normalnumber"/>
        <w:numPr>
          <w:ilvl w:val="0"/>
          <w:numId w:val="18"/>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5C7119">
        <w:rPr>
          <w:rFonts w:cs="Traditional Arabic"/>
          <w:sz w:val="30"/>
          <w:szCs w:val="30"/>
          <w:rtl/>
          <w:lang w:eastAsia="zh-TW"/>
        </w:rPr>
        <w:lastRenderedPageBreak/>
        <w:t>وتقدم الإفادات الواردة عرضاً عاماً لطائفة من التكنولوجيات البديلة التي طُورت لمعالجة مسائل الزئبق، فضلا</w:t>
      </w:r>
      <w:r w:rsidR="00F20E5D">
        <w:rPr>
          <w:rFonts w:cs="Traditional Arabic" w:hint="cs"/>
          <w:sz w:val="30"/>
          <w:szCs w:val="30"/>
          <w:rtl/>
          <w:lang w:eastAsia="zh-TW"/>
        </w:rPr>
        <w:t>ً</w:t>
      </w:r>
      <w:r w:rsidRPr="005C7119">
        <w:rPr>
          <w:rFonts w:cs="Traditional Arabic"/>
          <w:sz w:val="30"/>
          <w:szCs w:val="30"/>
          <w:rtl/>
          <w:lang w:eastAsia="zh-TW"/>
        </w:rPr>
        <w:t xml:space="preserve"> عن أمثلة على الكيفية التي تستخدم بها، بما في ذلك في سياق المساعدة التقنية وأنشطة بناء القدرات في البلدان النامية والبلدان التي تمر اقتصاداتها بمرحلة انتقالية. وسلط بلد نامي طرف الضوء في إفادته على المجالات التي حُددت فيها الحاجة إلى نقل التكنولوجيا </w:t>
      </w:r>
      <w:r w:rsidR="00453411">
        <w:rPr>
          <w:rFonts w:cs="Traditional Arabic" w:hint="cs"/>
          <w:sz w:val="30"/>
          <w:szCs w:val="30"/>
          <w:rtl/>
          <w:lang w:eastAsia="zh-TW"/>
        </w:rPr>
        <w:t>و</w:t>
      </w:r>
      <w:r w:rsidRPr="005C7119">
        <w:rPr>
          <w:rFonts w:cs="Traditional Arabic"/>
          <w:sz w:val="30"/>
          <w:szCs w:val="30"/>
          <w:rtl/>
          <w:lang w:eastAsia="zh-TW"/>
        </w:rPr>
        <w:t>المساعدة التقنية وبرامج بناء القدرات.</w:t>
      </w:r>
    </w:p>
    <w:p w14:paraId="425424D9" w14:textId="4CAFD0C7" w:rsidR="00DB7158" w:rsidRPr="005C7119" w:rsidRDefault="00DB7158" w:rsidP="005C7119">
      <w:pPr>
        <w:pStyle w:val="Normalnumber"/>
        <w:numPr>
          <w:ilvl w:val="0"/>
          <w:numId w:val="0"/>
        </w:numPr>
        <w:tabs>
          <w:tab w:val="left" w:pos="1841"/>
        </w:tabs>
        <w:autoSpaceDE/>
        <w:autoSpaceDN/>
        <w:bidi/>
        <w:adjustRightInd/>
        <w:spacing w:line="400" w:lineRule="exact"/>
        <w:ind w:left="1134"/>
        <w:jc w:val="both"/>
        <w:textDirection w:val="tbRlV"/>
        <w:rPr>
          <w:rFonts w:cs="Traditional Arabic"/>
          <w:b/>
          <w:bCs/>
          <w:sz w:val="30"/>
          <w:szCs w:val="30"/>
          <w:rtl/>
          <w:lang w:eastAsia="zh-TW"/>
        </w:rPr>
      </w:pPr>
      <w:r w:rsidRPr="005C7119">
        <w:rPr>
          <w:rFonts w:cs="Traditional Arabic"/>
          <w:b/>
          <w:bCs/>
          <w:sz w:val="30"/>
          <w:szCs w:val="30"/>
          <w:rtl/>
          <w:lang w:eastAsia="zh-TW"/>
        </w:rPr>
        <w:t>الإجراء الذي يُقترح أن يتخذه مؤتمر الأطراف</w:t>
      </w:r>
    </w:p>
    <w:p w14:paraId="392211D2" w14:textId="3E30A54B" w:rsidR="009C41FF" w:rsidRPr="005C7119" w:rsidRDefault="00DB7158" w:rsidP="00F20E5D">
      <w:pPr>
        <w:pStyle w:val="Normalnumber"/>
        <w:numPr>
          <w:ilvl w:val="0"/>
          <w:numId w:val="18"/>
        </w:numPr>
        <w:tabs>
          <w:tab w:val="left" w:pos="1841"/>
        </w:tabs>
        <w:autoSpaceDE/>
        <w:autoSpaceDN/>
        <w:bidi/>
        <w:adjustRightInd/>
        <w:spacing w:after="0" w:line="400" w:lineRule="exact"/>
        <w:ind w:left="1134" w:firstLine="0"/>
        <w:jc w:val="both"/>
        <w:textDirection w:val="tbRlV"/>
        <w:rPr>
          <w:rFonts w:cs="Traditional Arabic"/>
          <w:sz w:val="30"/>
          <w:szCs w:val="30"/>
          <w:rtl/>
          <w:lang w:eastAsia="zh-TW"/>
        </w:rPr>
      </w:pPr>
      <w:r w:rsidRPr="005C7119">
        <w:rPr>
          <w:rFonts w:cs="Traditional Arabic"/>
          <w:sz w:val="30"/>
          <w:szCs w:val="30"/>
          <w:rtl/>
          <w:lang w:eastAsia="zh-TW"/>
        </w:rPr>
        <w:t>قد يرغب مؤتمر الأطراف في أن ينظر في المعلومات المقدمة في الإفادات الواردة، و</w:t>
      </w:r>
      <w:r w:rsidR="00453411">
        <w:rPr>
          <w:rFonts w:cs="Traditional Arabic" w:hint="cs"/>
          <w:sz w:val="30"/>
          <w:szCs w:val="30"/>
          <w:rtl/>
          <w:lang w:eastAsia="zh-TW"/>
        </w:rPr>
        <w:t>أن ي</w:t>
      </w:r>
      <w:r w:rsidRPr="005C7119">
        <w:rPr>
          <w:rFonts w:cs="Traditional Arabic"/>
          <w:sz w:val="30"/>
          <w:szCs w:val="30"/>
          <w:rtl/>
          <w:lang w:eastAsia="zh-TW"/>
        </w:rPr>
        <w:t>وجه انتباه الأطراف والجهات المعنية، لا سيما تلك التي توفر بناء القدرات والمساعدة التقنية عملا</w:t>
      </w:r>
      <w:r w:rsidR="00F20E5D">
        <w:rPr>
          <w:rFonts w:cs="Traditional Arabic" w:hint="cs"/>
          <w:sz w:val="30"/>
          <w:szCs w:val="30"/>
          <w:rtl/>
          <w:lang w:eastAsia="zh-TW"/>
        </w:rPr>
        <w:t>ً</w:t>
      </w:r>
      <w:r w:rsidRPr="005C7119">
        <w:rPr>
          <w:rFonts w:cs="Traditional Arabic"/>
          <w:sz w:val="30"/>
          <w:szCs w:val="30"/>
          <w:rtl/>
          <w:lang w:eastAsia="zh-TW"/>
        </w:rPr>
        <w:t xml:space="preserve"> بالمادة ١٤، إلى التكنولوجيات البديلة، والمبادرات الحالية والأنشطة المذكورة في الإفادات، وكذلك إلى الاحتياجات والتحديات المبينة فيها. وقد يرغب مؤتمر الأطراف أيضا</w:t>
      </w:r>
      <w:r w:rsidR="00F20E5D">
        <w:rPr>
          <w:rFonts w:cs="Traditional Arabic" w:hint="cs"/>
          <w:sz w:val="30"/>
          <w:szCs w:val="30"/>
          <w:rtl/>
          <w:lang w:eastAsia="zh-TW"/>
        </w:rPr>
        <w:t>ً</w:t>
      </w:r>
      <w:r w:rsidRPr="005C7119">
        <w:rPr>
          <w:rFonts w:cs="Traditional Arabic"/>
          <w:sz w:val="30"/>
          <w:szCs w:val="30"/>
          <w:rtl/>
          <w:lang w:eastAsia="zh-TW"/>
        </w:rPr>
        <w:t xml:space="preserve"> في مواصلة النظر في هذه المسألة في اجتماعه الرابع، آخذا</w:t>
      </w:r>
      <w:r w:rsidR="00F20E5D">
        <w:rPr>
          <w:rFonts w:cs="Traditional Arabic" w:hint="cs"/>
          <w:sz w:val="30"/>
          <w:szCs w:val="30"/>
          <w:rtl/>
          <w:lang w:eastAsia="zh-TW"/>
        </w:rPr>
        <w:t>ً</w:t>
      </w:r>
      <w:r w:rsidRPr="005C7119">
        <w:rPr>
          <w:rFonts w:cs="Traditional Arabic"/>
          <w:sz w:val="30"/>
          <w:szCs w:val="30"/>
          <w:rtl/>
          <w:lang w:eastAsia="zh-TW"/>
        </w:rPr>
        <w:t xml:space="preserve"> في </w:t>
      </w:r>
      <w:r w:rsidR="00453411">
        <w:rPr>
          <w:rFonts w:cs="Traditional Arabic" w:hint="cs"/>
          <w:sz w:val="30"/>
          <w:szCs w:val="30"/>
          <w:rtl/>
          <w:lang w:eastAsia="zh-TW"/>
        </w:rPr>
        <w:t>الاعتبار</w:t>
      </w:r>
      <w:r w:rsidRPr="005C7119">
        <w:rPr>
          <w:rFonts w:cs="Traditional Arabic"/>
          <w:sz w:val="30"/>
          <w:szCs w:val="30"/>
          <w:rtl/>
          <w:lang w:eastAsia="zh-TW"/>
        </w:rPr>
        <w:t xml:space="preserve"> أي إفادات وتقارير أخرى من الأطراف والمعلومات التي تقدمها الجهات المعنية الأخرى، التي جمعتها الأمانة، وأبلغت عنها الأطراف بموجب المادة ٢١.</w:t>
      </w:r>
    </w:p>
    <w:p w14:paraId="3DF114A9" w14:textId="7AC1EABA" w:rsidR="00DB7158" w:rsidRPr="005663A6" w:rsidRDefault="00DB7158" w:rsidP="00F20E5D">
      <w:pPr>
        <w:pStyle w:val="Normalnumber"/>
        <w:numPr>
          <w:ilvl w:val="0"/>
          <w:numId w:val="0"/>
        </w:numPr>
        <w:tabs>
          <w:tab w:val="left" w:pos="1841"/>
        </w:tabs>
        <w:autoSpaceDE/>
        <w:autoSpaceDN/>
        <w:bidi/>
        <w:adjustRightInd/>
        <w:spacing w:after="0" w:line="400" w:lineRule="exact"/>
        <w:ind w:left="1134"/>
        <w:jc w:val="center"/>
        <w:textDirection w:val="tbRlV"/>
        <w:rPr>
          <w:sz w:val="30"/>
          <w:rtl/>
        </w:rPr>
      </w:pPr>
      <w:r>
        <w:rPr>
          <w:rFonts w:hint="cs"/>
          <w:sz w:val="30"/>
          <w:rtl/>
        </w:rPr>
        <w:t>_____________</w:t>
      </w:r>
    </w:p>
    <w:sectPr w:rsidR="00DB7158" w:rsidRPr="005663A6" w:rsidSect="002361BF">
      <w:headerReference w:type="even" r:id="rId11"/>
      <w:headerReference w:type="default" r:id="rId12"/>
      <w:footerReference w:type="even" r:id="rId13"/>
      <w:footerReference w:type="default" r:id="rId14"/>
      <w:footerReference w:type="first" r:id="rId15"/>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7B73A" w14:textId="77777777" w:rsidR="008F4866" w:rsidRDefault="008F4866">
      <w:r>
        <w:separator/>
      </w:r>
    </w:p>
  </w:endnote>
  <w:endnote w:type="continuationSeparator" w:id="0">
    <w:p w14:paraId="42A1E55F" w14:textId="77777777" w:rsidR="008F4866" w:rsidRDefault="008F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F787" w14:textId="77777777" w:rsidR="0042042E" w:rsidRPr="007B173A" w:rsidRDefault="0042042E"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933976">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A7BE" w14:textId="77777777" w:rsidR="0042042E" w:rsidRPr="007B173A" w:rsidRDefault="0042042E"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933976">
      <w:rPr>
        <w:rStyle w:val="PageNumber"/>
        <w:rFonts w:ascii="Times New Roman" w:hAnsi="Times New Roman" w:cs="Times New Roman"/>
      </w:rPr>
      <w:t>3</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3543" w14:textId="32E1E7D0" w:rsidR="0042042E" w:rsidRPr="00D80FA4" w:rsidRDefault="00D80FA4" w:rsidP="003B7531">
    <w:pPr>
      <w:pStyle w:val="Footer"/>
      <w:tabs>
        <w:tab w:val="clear" w:pos="4153"/>
        <w:tab w:val="clear" w:pos="8306"/>
      </w:tabs>
      <w:bidi/>
      <w:spacing w:line="240" w:lineRule="exact"/>
      <w:jc w:val="left"/>
      <w:rPr>
        <w:rFonts w:asciiTheme="majorBidi" w:hAnsiTheme="majorBidi" w:cstheme="majorBidi"/>
        <w:szCs w:val="20"/>
      </w:rPr>
    </w:pPr>
    <w:r w:rsidRPr="00D80FA4">
      <w:rPr>
        <w:rStyle w:val="PageNumber"/>
        <w:rFonts w:asciiTheme="majorBidi" w:hAnsiTheme="majorBidi" w:cstheme="majorBidi"/>
        <w:szCs w:val="20"/>
      </w:rPr>
      <w:t>K1</w:t>
    </w:r>
    <w:r w:rsidR="002772B3">
      <w:rPr>
        <w:rStyle w:val="PageNumber"/>
        <w:rFonts w:asciiTheme="majorBidi" w:hAnsiTheme="majorBidi" w:cstheme="majorBidi"/>
        <w:szCs w:val="20"/>
      </w:rPr>
      <w:t>8</w:t>
    </w:r>
    <w:r w:rsidRPr="00D80FA4">
      <w:rPr>
        <w:rStyle w:val="PageNumber"/>
        <w:rFonts w:asciiTheme="majorBidi" w:hAnsiTheme="majorBidi" w:cstheme="majorBidi"/>
        <w:szCs w:val="20"/>
      </w:rPr>
      <w:t>0</w:t>
    </w:r>
    <w:r w:rsidR="009A4A67">
      <w:rPr>
        <w:rStyle w:val="PageNumber"/>
        <w:rFonts w:asciiTheme="majorBidi" w:hAnsiTheme="majorBidi" w:cstheme="majorBidi"/>
        <w:szCs w:val="20"/>
      </w:rPr>
      <w:t>2</w:t>
    </w:r>
    <w:r w:rsidR="004D7ABD">
      <w:rPr>
        <w:rStyle w:val="PageNumber"/>
        <w:rFonts w:asciiTheme="majorBidi" w:hAnsiTheme="majorBidi" w:cstheme="majorBidi"/>
        <w:szCs w:val="20"/>
      </w:rPr>
      <w:t>576</w:t>
    </w:r>
    <w:r w:rsidR="006E1D97">
      <w:rPr>
        <w:rStyle w:val="PageNumber"/>
        <w:rFonts w:asciiTheme="majorBidi" w:hAnsiTheme="majorBidi" w:cstheme="majorBidi" w:hint="cs"/>
        <w:szCs w:val="20"/>
        <w:rtl/>
      </w:rPr>
      <w:tab/>
    </w:r>
    <w:r w:rsidR="00F20E5D">
      <w:rPr>
        <w:rStyle w:val="PageNumber"/>
        <w:rFonts w:asciiTheme="majorBidi" w:hAnsiTheme="majorBidi" w:cstheme="majorBidi"/>
        <w:szCs w:val="20"/>
      </w:rPr>
      <w:t>0410</w:t>
    </w:r>
    <w:r w:rsidR="006E1D97" w:rsidRPr="00D80FA4">
      <w:rPr>
        <w:rStyle w:val="PageNumber"/>
        <w:rFonts w:asciiTheme="majorBidi" w:hAnsiTheme="majorBidi" w:cstheme="majorBidi"/>
        <w:szCs w:val="20"/>
      </w:rPr>
      <w:t>1</w:t>
    </w:r>
    <w:r w:rsidR="002772B3">
      <w:rPr>
        <w:rStyle w:val="PageNumber"/>
        <w:rFonts w:asciiTheme="majorBidi" w:hAnsiTheme="majorBidi" w:cstheme="majorBidi"/>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71C42" w14:textId="77777777" w:rsidR="008F4866" w:rsidRDefault="008F4866" w:rsidP="008A79DC">
      <w:pPr>
        <w:bidi/>
        <w:ind w:left="720"/>
      </w:pPr>
      <w:r>
        <w:separator/>
      </w:r>
    </w:p>
  </w:footnote>
  <w:footnote w:type="continuationSeparator" w:id="0">
    <w:p w14:paraId="2E5FDB39" w14:textId="77777777" w:rsidR="008F4866" w:rsidRDefault="008F4866">
      <w:r>
        <w:continuationSeparator/>
      </w:r>
    </w:p>
  </w:footnote>
  <w:footnote w:id="1">
    <w:p w14:paraId="5FF151A3" w14:textId="77777777" w:rsidR="00BE3C21" w:rsidRPr="00C762BE" w:rsidRDefault="00BE3C21" w:rsidP="003B7531">
      <w:pPr>
        <w:tabs>
          <w:tab w:val="left" w:pos="624"/>
        </w:tabs>
        <w:bidi/>
        <w:spacing w:line="240" w:lineRule="exact"/>
        <w:ind w:left="1247"/>
        <w:jc w:val="both"/>
        <w:rPr>
          <w:rFonts w:asciiTheme="majorBidi" w:hAnsiTheme="majorBidi" w:cstheme="majorBidi"/>
          <w:bCs/>
          <w:szCs w:val="20"/>
          <w:rtl/>
        </w:rPr>
      </w:pPr>
      <w:r>
        <w:rPr>
          <w:rFonts w:asciiTheme="majorBidi" w:hAnsiTheme="majorBidi" w:cstheme="majorBidi"/>
          <w:bCs/>
          <w:szCs w:val="20"/>
        </w:rPr>
        <w:t>.</w:t>
      </w:r>
      <w:r w:rsidRPr="00C762BE">
        <w:rPr>
          <w:rFonts w:asciiTheme="majorBidi" w:hAnsiTheme="majorBidi" w:cstheme="majorBidi"/>
          <w:bCs/>
          <w:szCs w:val="20"/>
        </w:rPr>
        <w:t>UNEP/MC/COP.2/1</w:t>
      </w:r>
      <w:r>
        <w:rPr>
          <w:rFonts w:asciiTheme="majorBidi" w:hAnsiTheme="majorBidi" w:cstheme="majorBidi"/>
          <w:bCs/>
          <w:szCs w:val="20"/>
        </w:rPr>
        <w:t xml:space="preserve">  </w:t>
      </w:r>
      <w:r w:rsidRPr="00C762BE">
        <w:rPr>
          <w:rFonts w:asciiTheme="majorBidi" w:hAnsiTheme="majorBidi" w:cstheme="majorBidi"/>
          <w:bCs/>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F20E" w14:textId="0F22800D" w:rsidR="0042042E" w:rsidRPr="009D4EBB" w:rsidRDefault="00934FB6"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271E29">
      <w:rPr>
        <w:b/>
        <w:bCs/>
        <w:sz w:val="17"/>
        <w:szCs w:val="17"/>
        <w:lang w:val="fr-FR"/>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810D" w14:textId="65C52CC9" w:rsidR="0042042E" w:rsidRPr="00EC3A5F" w:rsidRDefault="00934FB6"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C762BE">
      <w:rPr>
        <w:rFonts w:cs="Times New Roman"/>
        <w:b/>
        <w:bCs/>
        <w:sz w:val="17"/>
        <w:szCs w:val="17"/>
      </w:rPr>
      <w:t>4</w:t>
    </w:r>
    <w:r w:rsidR="009A4A67">
      <w:rPr>
        <w:b/>
        <w:bCs/>
        <w:sz w:val="17"/>
        <w:szCs w:val="17"/>
        <w:lang w:val="fr-FR"/>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AF42CD"/>
    <w:multiLevelType w:val="hybridMultilevel"/>
    <w:tmpl w:val="754E9E50"/>
    <w:lvl w:ilvl="0" w:tplc="EE887156">
      <w:start w:val="1"/>
      <w:numFmt w:val="decimal"/>
      <w:lvlText w:val="%1-"/>
      <w:lvlJc w:val="left"/>
      <w:pPr>
        <w:ind w:left="1817" w:hanging="570"/>
      </w:pPr>
      <w:rPr>
        <w:rFonts w:ascii="Traditional Arabic" w:hAnsi="Traditional Arabic" w:cs="Traditional Arabic" w:hint="default"/>
        <w:b/>
        <w:bCs w:val="0"/>
        <w:i w:val="0"/>
        <w:sz w:val="30"/>
        <w:szCs w:val="3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5"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9"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0"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1"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5"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7"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7"/>
  </w:num>
  <w:num w:numId="4">
    <w:abstractNumId w:val="16"/>
  </w:num>
  <w:num w:numId="5">
    <w:abstractNumId w:val="8"/>
  </w:num>
  <w:num w:numId="6">
    <w:abstractNumId w:val="10"/>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5"/>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2"/>
  </w:num>
  <w:num w:numId="19">
    <w:abstractNumId w:val="15"/>
    <w:lvlOverride w:ilvl="0">
      <w:lvl w:ilvl="0" w:tplc="B724672E">
        <w:start w:val="1"/>
        <w:numFmt w:val="decimal"/>
        <w:lvlText w:val="%1-"/>
        <w:lvlJc w:val="left"/>
        <w:pPr>
          <w:ind w:left="2071" w:hanging="360"/>
        </w:pPr>
        <w:rPr>
          <w:b w:val="0"/>
          <w:i w:val="0"/>
        </w:rPr>
      </w:lvl>
    </w:lvlOverride>
  </w:num>
  <w:num w:numId="20">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1">
    <w:abstractNumId w:val="4"/>
  </w:num>
  <w:num w:numId="22">
    <w:abstractNumId w:val="4"/>
    <w:lvlOverride w:ilvl="0">
      <w:startOverride w:val="1"/>
    </w:lvlOverride>
  </w:num>
  <w:num w:numId="23">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819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A7260"/>
    <w:rsid w:val="000B1AA7"/>
    <w:rsid w:val="000B41E8"/>
    <w:rsid w:val="000C042E"/>
    <w:rsid w:val="000C35BD"/>
    <w:rsid w:val="000C6AF1"/>
    <w:rsid w:val="000C72D5"/>
    <w:rsid w:val="000D775A"/>
    <w:rsid w:val="000E3644"/>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B1607"/>
    <w:rsid w:val="001C1DD1"/>
    <w:rsid w:val="001C513F"/>
    <w:rsid w:val="001D3A25"/>
    <w:rsid w:val="001D6BA5"/>
    <w:rsid w:val="001E1443"/>
    <w:rsid w:val="001E4795"/>
    <w:rsid w:val="001E6E8E"/>
    <w:rsid w:val="001F0C9C"/>
    <w:rsid w:val="001F171C"/>
    <w:rsid w:val="001F390D"/>
    <w:rsid w:val="002079F8"/>
    <w:rsid w:val="002300EA"/>
    <w:rsid w:val="0023160B"/>
    <w:rsid w:val="002323CD"/>
    <w:rsid w:val="002361BF"/>
    <w:rsid w:val="00252FE5"/>
    <w:rsid w:val="00255F00"/>
    <w:rsid w:val="00260A65"/>
    <w:rsid w:val="00260C3B"/>
    <w:rsid w:val="00261436"/>
    <w:rsid w:val="00261451"/>
    <w:rsid w:val="00267DA8"/>
    <w:rsid w:val="0027071F"/>
    <w:rsid w:val="00271E29"/>
    <w:rsid w:val="00276330"/>
    <w:rsid w:val="002772B3"/>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7E61"/>
    <w:rsid w:val="00317EFB"/>
    <w:rsid w:val="00323929"/>
    <w:rsid w:val="0034266E"/>
    <w:rsid w:val="003501E1"/>
    <w:rsid w:val="003511A7"/>
    <w:rsid w:val="00351FDC"/>
    <w:rsid w:val="003553DB"/>
    <w:rsid w:val="0036154E"/>
    <w:rsid w:val="0036250E"/>
    <w:rsid w:val="003821A4"/>
    <w:rsid w:val="0038322E"/>
    <w:rsid w:val="00384B8A"/>
    <w:rsid w:val="00386BD3"/>
    <w:rsid w:val="00390CD8"/>
    <w:rsid w:val="003923ED"/>
    <w:rsid w:val="00397363"/>
    <w:rsid w:val="003A2818"/>
    <w:rsid w:val="003B1437"/>
    <w:rsid w:val="003B507C"/>
    <w:rsid w:val="003B7531"/>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336F1"/>
    <w:rsid w:val="00450466"/>
    <w:rsid w:val="00451081"/>
    <w:rsid w:val="00451ABD"/>
    <w:rsid w:val="004524AB"/>
    <w:rsid w:val="00453411"/>
    <w:rsid w:val="004547E5"/>
    <w:rsid w:val="004606CA"/>
    <w:rsid w:val="00461F27"/>
    <w:rsid w:val="00472C66"/>
    <w:rsid w:val="0047425F"/>
    <w:rsid w:val="00485260"/>
    <w:rsid w:val="00486A9F"/>
    <w:rsid w:val="004916B5"/>
    <w:rsid w:val="0049251D"/>
    <w:rsid w:val="00495361"/>
    <w:rsid w:val="004A1FC4"/>
    <w:rsid w:val="004B0A17"/>
    <w:rsid w:val="004D0F9A"/>
    <w:rsid w:val="004D2B12"/>
    <w:rsid w:val="004D567F"/>
    <w:rsid w:val="004D7ABD"/>
    <w:rsid w:val="004E001B"/>
    <w:rsid w:val="004E1EDE"/>
    <w:rsid w:val="004E4EB2"/>
    <w:rsid w:val="004E5370"/>
    <w:rsid w:val="004E7B30"/>
    <w:rsid w:val="004F26CB"/>
    <w:rsid w:val="005003EA"/>
    <w:rsid w:val="005023EE"/>
    <w:rsid w:val="00505660"/>
    <w:rsid w:val="005064C3"/>
    <w:rsid w:val="00522932"/>
    <w:rsid w:val="005234DB"/>
    <w:rsid w:val="0052405D"/>
    <w:rsid w:val="00530F46"/>
    <w:rsid w:val="00540949"/>
    <w:rsid w:val="005435B2"/>
    <w:rsid w:val="005663A6"/>
    <w:rsid w:val="005668AB"/>
    <w:rsid w:val="00590B41"/>
    <w:rsid w:val="00591B8E"/>
    <w:rsid w:val="00594173"/>
    <w:rsid w:val="005945AA"/>
    <w:rsid w:val="00597815"/>
    <w:rsid w:val="005A6A53"/>
    <w:rsid w:val="005B198D"/>
    <w:rsid w:val="005B25B0"/>
    <w:rsid w:val="005B3616"/>
    <w:rsid w:val="005C1DB0"/>
    <w:rsid w:val="005C55FF"/>
    <w:rsid w:val="005C7119"/>
    <w:rsid w:val="005D23EF"/>
    <w:rsid w:val="005E06C5"/>
    <w:rsid w:val="005E2737"/>
    <w:rsid w:val="005E35EA"/>
    <w:rsid w:val="005E37BD"/>
    <w:rsid w:val="005E6B63"/>
    <w:rsid w:val="005F3809"/>
    <w:rsid w:val="005F5925"/>
    <w:rsid w:val="00601018"/>
    <w:rsid w:val="0060188A"/>
    <w:rsid w:val="0060772E"/>
    <w:rsid w:val="00614BE8"/>
    <w:rsid w:val="00615461"/>
    <w:rsid w:val="006160A4"/>
    <w:rsid w:val="006227F4"/>
    <w:rsid w:val="00632CDF"/>
    <w:rsid w:val="0063365A"/>
    <w:rsid w:val="0063685D"/>
    <w:rsid w:val="00643398"/>
    <w:rsid w:val="006569BD"/>
    <w:rsid w:val="00671875"/>
    <w:rsid w:val="00684004"/>
    <w:rsid w:val="00684243"/>
    <w:rsid w:val="00696059"/>
    <w:rsid w:val="006A7E4F"/>
    <w:rsid w:val="006B05FA"/>
    <w:rsid w:val="006B54B1"/>
    <w:rsid w:val="006C028B"/>
    <w:rsid w:val="006C560D"/>
    <w:rsid w:val="006D0402"/>
    <w:rsid w:val="006D598B"/>
    <w:rsid w:val="006E1D97"/>
    <w:rsid w:val="006E4BE0"/>
    <w:rsid w:val="006F036C"/>
    <w:rsid w:val="006F765A"/>
    <w:rsid w:val="006F7F31"/>
    <w:rsid w:val="00703DCD"/>
    <w:rsid w:val="00706852"/>
    <w:rsid w:val="00712158"/>
    <w:rsid w:val="00720D77"/>
    <w:rsid w:val="00726240"/>
    <w:rsid w:val="007275EE"/>
    <w:rsid w:val="00734EE4"/>
    <w:rsid w:val="007418BE"/>
    <w:rsid w:val="00744D3B"/>
    <w:rsid w:val="00751096"/>
    <w:rsid w:val="0075378C"/>
    <w:rsid w:val="00764B71"/>
    <w:rsid w:val="0077392C"/>
    <w:rsid w:val="007775CF"/>
    <w:rsid w:val="00783165"/>
    <w:rsid w:val="007878A7"/>
    <w:rsid w:val="007A671B"/>
    <w:rsid w:val="007B173A"/>
    <w:rsid w:val="007B431F"/>
    <w:rsid w:val="007B5F59"/>
    <w:rsid w:val="007B7061"/>
    <w:rsid w:val="007B75A1"/>
    <w:rsid w:val="007C62EE"/>
    <w:rsid w:val="007C73F5"/>
    <w:rsid w:val="007D019B"/>
    <w:rsid w:val="007D3018"/>
    <w:rsid w:val="007E0C9A"/>
    <w:rsid w:val="007F304D"/>
    <w:rsid w:val="00802B63"/>
    <w:rsid w:val="00805014"/>
    <w:rsid w:val="00811602"/>
    <w:rsid w:val="008216EB"/>
    <w:rsid w:val="00822614"/>
    <w:rsid w:val="008321C1"/>
    <w:rsid w:val="008323B3"/>
    <w:rsid w:val="008405B2"/>
    <w:rsid w:val="008500FB"/>
    <w:rsid w:val="00852F12"/>
    <w:rsid w:val="00873A40"/>
    <w:rsid w:val="00880C90"/>
    <w:rsid w:val="00882C45"/>
    <w:rsid w:val="00887CE8"/>
    <w:rsid w:val="0089216B"/>
    <w:rsid w:val="0089620E"/>
    <w:rsid w:val="008A5EBB"/>
    <w:rsid w:val="008A79DC"/>
    <w:rsid w:val="008B6A62"/>
    <w:rsid w:val="008C23F0"/>
    <w:rsid w:val="008F144F"/>
    <w:rsid w:val="008F1B77"/>
    <w:rsid w:val="008F4416"/>
    <w:rsid w:val="008F4866"/>
    <w:rsid w:val="0090002B"/>
    <w:rsid w:val="009017E0"/>
    <w:rsid w:val="0092522D"/>
    <w:rsid w:val="00926C1F"/>
    <w:rsid w:val="00931CC7"/>
    <w:rsid w:val="00933976"/>
    <w:rsid w:val="00934EBC"/>
    <w:rsid w:val="00934FB6"/>
    <w:rsid w:val="00952DAB"/>
    <w:rsid w:val="00955980"/>
    <w:rsid w:val="0096449B"/>
    <w:rsid w:val="00980B82"/>
    <w:rsid w:val="009819E2"/>
    <w:rsid w:val="00983518"/>
    <w:rsid w:val="0099049A"/>
    <w:rsid w:val="009A052E"/>
    <w:rsid w:val="009A0564"/>
    <w:rsid w:val="009A11E7"/>
    <w:rsid w:val="009A1FDF"/>
    <w:rsid w:val="009A4A67"/>
    <w:rsid w:val="009A6C71"/>
    <w:rsid w:val="009B2A75"/>
    <w:rsid w:val="009C40AA"/>
    <w:rsid w:val="009C41FF"/>
    <w:rsid w:val="009C5B71"/>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79D1"/>
    <w:rsid w:val="00A57F44"/>
    <w:rsid w:val="00A67825"/>
    <w:rsid w:val="00A76B59"/>
    <w:rsid w:val="00A969A0"/>
    <w:rsid w:val="00AA32A0"/>
    <w:rsid w:val="00AB1E5D"/>
    <w:rsid w:val="00AC1D74"/>
    <w:rsid w:val="00AC5F19"/>
    <w:rsid w:val="00AE4729"/>
    <w:rsid w:val="00AF0DF6"/>
    <w:rsid w:val="00AF585D"/>
    <w:rsid w:val="00B0033E"/>
    <w:rsid w:val="00B110B0"/>
    <w:rsid w:val="00B179A4"/>
    <w:rsid w:val="00B302F6"/>
    <w:rsid w:val="00B3054B"/>
    <w:rsid w:val="00B336C3"/>
    <w:rsid w:val="00B42C89"/>
    <w:rsid w:val="00B512FE"/>
    <w:rsid w:val="00B602AD"/>
    <w:rsid w:val="00B65469"/>
    <w:rsid w:val="00B66D5F"/>
    <w:rsid w:val="00B762F2"/>
    <w:rsid w:val="00B77EDA"/>
    <w:rsid w:val="00B83776"/>
    <w:rsid w:val="00B87B65"/>
    <w:rsid w:val="00B87FDB"/>
    <w:rsid w:val="00B904AD"/>
    <w:rsid w:val="00B913B6"/>
    <w:rsid w:val="00B945ED"/>
    <w:rsid w:val="00B97A52"/>
    <w:rsid w:val="00BA25F3"/>
    <w:rsid w:val="00BA5B08"/>
    <w:rsid w:val="00BA66F1"/>
    <w:rsid w:val="00BA6ED1"/>
    <w:rsid w:val="00BB0629"/>
    <w:rsid w:val="00BB4CA4"/>
    <w:rsid w:val="00BD1906"/>
    <w:rsid w:val="00BD4A65"/>
    <w:rsid w:val="00BE20CA"/>
    <w:rsid w:val="00BE3C21"/>
    <w:rsid w:val="00BF64C6"/>
    <w:rsid w:val="00BF7F42"/>
    <w:rsid w:val="00C0594F"/>
    <w:rsid w:val="00C1200F"/>
    <w:rsid w:val="00C1297E"/>
    <w:rsid w:val="00C2111C"/>
    <w:rsid w:val="00C33F5C"/>
    <w:rsid w:val="00C34FDE"/>
    <w:rsid w:val="00C36378"/>
    <w:rsid w:val="00C37B3A"/>
    <w:rsid w:val="00C47E78"/>
    <w:rsid w:val="00C56205"/>
    <w:rsid w:val="00C60C8B"/>
    <w:rsid w:val="00C712BF"/>
    <w:rsid w:val="00C7529E"/>
    <w:rsid w:val="00C75C0B"/>
    <w:rsid w:val="00C762BE"/>
    <w:rsid w:val="00C85728"/>
    <w:rsid w:val="00C86BDC"/>
    <w:rsid w:val="00C90A4C"/>
    <w:rsid w:val="00C91665"/>
    <w:rsid w:val="00C94729"/>
    <w:rsid w:val="00CA4F8C"/>
    <w:rsid w:val="00CB79F1"/>
    <w:rsid w:val="00CC16CF"/>
    <w:rsid w:val="00CC6739"/>
    <w:rsid w:val="00CD25C4"/>
    <w:rsid w:val="00CD399B"/>
    <w:rsid w:val="00CD4572"/>
    <w:rsid w:val="00CD5653"/>
    <w:rsid w:val="00D00EE5"/>
    <w:rsid w:val="00D05640"/>
    <w:rsid w:val="00D0655D"/>
    <w:rsid w:val="00D113A9"/>
    <w:rsid w:val="00D12FDA"/>
    <w:rsid w:val="00D15263"/>
    <w:rsid w:val="00D21049"/>
    <w:rsid w:val="00D444E7"/>
    <w:rsid w:val="00D44CE3"/>
    <w:rsid w:val="00D52B4F"/>
    <w:rsid w:val="00D5364C"/>
    <w:rsid w:val="00D55934"/>
    <w:rsid w:val="00D569AA"/>
    <w:rsid w:val="00D578BF"/>
    <w:rsid w:val="00D66C66"/>
    <w:rsid w:val="00D70490"/>
    <w:rsid w:val="00D71822"/>
    <w:rsid w:val="00D80FA4"/>
    <w:rsid w:val="00D90EDD"/>
    <w:rsid w:val="00D9173E"/>
    <w:rsid w:val="00D91942"/>
    <w:rsid w:val="00D958DE"/>
    <w:rsid w:val="00DA0C1B"/>
    <w:rsid w:val="00DA14CC"/>
    <w:rsid w:val="00DA1588"/>
    <w:rsid w:val="00DA494E"/>
    <w:rsid w:val="00DB686B"/>
    <w:rsid w:val="00DB6958"/>
    <w:rsid w:val="00DB7158"/>
    <w:rsid w:val="00DC4E2F"/>
    <w:rsid w:val="00DC590D"/>
    <w:rsid w:val="00DD2F15"/>
    <w:rsid w:val="00DE44A3"/>
    <w:rsid w:val="00DE796A"/>
    <w:rsid w:val="00DF652B"/>
    <w:rsid w:val="00E015AC"/>
    <w:rsid w:val="00E0494C"/>
    <w:rsid w:val="00E1515A"/>
    <w:rsid w:val="00E176E7"/>
    <w:rsid w:val="00E2101B"/>
    <w:rsid w:val="00E323C0"/>
    <w:rsid w:val="00E369DB"/>
    <w:rsid w:val="00E36EB2"/>
    <w:rsid w:val="00E37644"/>
    <w:rsid w:val="00E51BAF"/>
    <w:rsid w:val="00E63CFD"/>
    <w:rsid w:val="00E642AB"/>
    <w:rsid w:val="00E760C7"/>
    <w:rsid w:val="00E90558"/>
    <w:rsid w:val="00E96DEF"/>
    <w:rsid w:val="00EA0788"/>
    <w:rsid w:val="00EA0F41"/>
    <w:rsid w:val="00EA14B6"/>
    <w:rsid w:val="00EB2A61"/>
    <w:rsid w:val="00EB63CF"/>
    <w:rsid w:val="00EC35F9"/>
    <w:rsid w:val="00EC3A5F"/>
    <w:rsid w:val="00ED0538"/>
    <w:rsid w:val="00ED77A3"/>
    <w:rsid w:val="00EE026C"/>
    <w:rsid w:val="00EE48F0"/>
    <w:rsid w:val="00EF0793"/>
    <w:rsid w:val="00F12DD6"/>
    <w:rsid w:val="00F1601D"/>
    <w:rsid w:val="00F20E5D"/>
    <w:rsid w:val="00F240DC"/>
    <w:rsid w:val="00F26CD0"/>
    <w:rsid w:val="00F47390"/>
    <w:rsid w:val="00F50135"/>
    <w:rsid w:val="00F61AB5"/>
    <w:rsid w:val="00F64BB3"/>
    <w:rsid w:val="00F70C3F"/>
    <w:rsid w:val="00F7639B"/>
    <w:rsid w:val="00F93241"/>
    <w:rsid w:val="00FB59A6"/>
    <w:rsid w:val="00FC5790"/>
    <w:rsid w:val="00FD576F"/>
    <w:rsid w:val="00FD7BCB"/>
    <w:rsid w:val="00FD7F76"/>
    <w:rsid w:val="00FE21C0"/>
    <w:rsid w:val="00FE2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22821"/>
  <w15:docId w15:val="{774591F9-9965-4032-B961-0824054F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uiPriority w:val="99"/>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numbering" w:customStyle="1" w:styleId="WWNum25">
    <w:name w:val="WWNum25"/>
    <w:basedOn w:val="NoList"/>
    <w:rsid w:val="00DB7158"/>
    <w:pPr>
      <w:numPr>
        <w:numId w:val="21"/>
      </w:numPr>
    </w:pPr>
  </w:style>
  <w:style w:type="character" w:styleId="UnresolvedMention">
    <w:name w:val="Unresolved Mention"/>
    <w:basedOn w:val="DefaultParagraphFont"/>
    <w:uiPriority w:val="99"/>
    <w:semiHidden/>
    <w:unhideWhenUsed/>
    <w:rsid w:val="00486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ercuryconvention.org/Meetings/Intersessionalnbsp;work/tabid/6325/language/en-U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81BB1-BC04-4A72-9FBD-15E8D4D9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Salih</cp:lastModifiedBy>
  <cp:revision>2</cp:revision>
  <cp:lastPrinted>2018-08-07T10:16:00Z</cp:lastPrinted>
  <dcterms:created xsi:type="dcterms:W3CDTF">2018-10-04T06:35:00Z</dcterms:created>
  <dcterms:modified xsi:type="dcterms:W3CDTF">2018-10-04T06:35:00Z</dcterms:modified>
</cp:coreProperties>
</file>