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667"/>
        <w:gridCol w:w="4630"/>
        <w:gridCol w:w="3409"/>
      </w:tblGrid>
      <w:tr w:rsidR="008D51B2" w:rsidRPr="00113C1E" w14:paraId="34F7281E" w14:textId="77777777" w:rsidTr="008D51B2">
        <w:trPr>
          <w:cantSplit/>
          <w:trHeight w:val="850"/>
          <w:jc w:val="right"/>
        </w:trPr>
        <w:tc>
          <w:tcPr>
            <w:tcW w:w="1667" w:type="dxa"/>
            <w:shd w:val="clear" w:color="auto" w:fill="auto"/>
          </w:tcPr>
          <w:p w14:paraId="51840399" w14:textId="77777777" w:rsidR="008D51B2" w:rsidRPr="00113C1E" w:rsidRDefault="008D51B2" w:rsidP="005D543F">
            <w:pPr>
              <w:tabs>
                <w:tab w:val="clear" w:pos="1247"/>
                <w:tab w:val="left" w:pos="1418"/>
              </w:tabs>
              <w:textDirection w:val="tbLrV"/>
              <w:rPr>
                <w:rFonts w:ascii="Arial" w:hAnsi="Arial" w:cs="Arial"/>
                <w:b/>
                <w:sz w:val="27"/>
                <w:szCs w:val="27"/>
                <w:lang w:val="es-ES"/>
              </w:rPr>
            </w:pPr>
            <w:r w:rsidRPr="00113C1E">
              <w:rPr>
                <w:rFonts w:ascii="Arial" w:hAnsi="Arial" w:cs="Arial"/>
                <w:b/>
                <w:sz w:val="27"/>
                <w:szCs w:val="27"/>
                <w:lang w:val="es-ES"/>
              </w:rPr>
              <w:t>NACIONESUNIDAS</w:t>
            </w:r>
          </w:p>
        </w:tc>
        <w:tc>
          <w:tcPr>
            <w:tcW w:w="4630" w:type="dxa"/>
            <w:shd w:val="clear" w:color="auto" w:fill="auto"/>
          </w:tcPr>
          <w:p w14:paraId="508AF14D" w14:textId="77777777" w:rsidR="008D51B2" w:rsidRPr="00113C1E" w:rsidRDefault="008D51B2" w:rsidP="005D543F">
            <w:pPr>
              <w:rPr>
                <w:rFonts w:ascii="Univers" w:hAnsi="Univers"/>
                <w:b/>
                <w:sz w:val="27"/>
                <w:szCs w:val="27"/>
                <w:lang w:val="es-ES"/>
              </w:rPr>
            </w:pPr>
          </w:p>
        </w:tc>
        <w:tc>
          <w:tcPr>
            <w:tcW w:w="3409" w:type="dxa"/>
            <w:shd w:val="clear" w:color="auto" w:fill="auto"/>
          </w:tcPr>
          <w:p w14:paraId="7D580650" w14:textId="77777777" w:rsidR="008D51B2" w:rsidRPr="00113C1E" w:rsidRDefault="008D51B2" w:rsidP="005D543F">
            <w:pPr>
              <w:jc w:val="right"/>
              <w:textDirection w:val="tbLrV"/>
              <w:rPr>
                <w:rFonts w:ascii="Arial" w:hAnsi="Arial" w:cs="Arial"/>
                <w:b/>
                <w:sz w:val="64"/>
                <w:lang w:val="es-ES"/>
              </w:rPr>
            </w:pPr>
            <w:r w:rsidRPr="00113C1E">
              <w:rPr>
                <w:rFonts w:ascii="Arial" w:hAnsi="Arial" w:cs="Arial"/>
                <w:b/>
                <w:sz w:val="64"/>
                <w:szCs w:val="64"/>
                <w:lang w:val="es-ES"/>
              </w:rPr>
              <w:t>MC</w:t>
            </w:r>
          </w:p>
        </w:tc>
      </w:tr>
      <w:tr w:rsidR="008D51B2" w:rsidRPr="00113C1E" w14:paraId="27EFF7FF" w14:textId="77777777" w:rsidTr="008D51B2">
        <w:trPr>
          <w:cantSplit/>
          <w:trHeight w:val="281"/>
          <w:jc w:val="right"/>
        </w:trPr>
        <w:tc>
          <w:tcPr>
            <w:tcW w:w="1667" w:type="dxa"/>
            <w:tcBorders>
              <w:bottom w:val="single" w:sz="4" w:space="0" w:color="auto"/>
            </w:tcBorders>
            <w:shd w:val="clear" w:color="auto" w:fill="auto"/>
          </w:tcPr>
          <w:p w14:paraId="08CAE6E3" w14:textId="77777777" w:rsidR="008D51B2" w:rsidRPr="00113C1E" w:rsidRDefault="008D51B2" w:rsidP="005D543F">
            <w:pPr>
              <w:rPr>
                <w:sz w:val="18"/>
                <w:szCs w:val="18"/>
                <w:lang w:val="es-ES"/>
              </w:rPr>
            </w:pPr>
          </w:p>
        </w:tc>
        <w:tc>
          <w:tcPr>
            <w:tcW w:w="4630" w:type="dxa"/>
            <w:tcBorders>
              <w:bottom w:val="single" w:sz="4" w:space="0" w:color="auto"/>
            </w:tcBorders>
            <w:shd w:val="clear" w:color="auto" w:fill="auto"/>
          </w:tcPr>
          <w:p w14:paraId="6B0839BA" w14:textId="77777777" w:rsidR="008D51B2" w:rsidRPr="00113C1E" w:rsidRDefault="008D51B2" w:rsidP="005D543F">
            <w:pPr>
              <w:rPr>
                <w:rFonts w:ascii="Univers" w:hAnsi="Univers"/>
                <w:b/>
                <w:sz w:val="18"/>
                <w:szCs w:val="18"/>
                <w:lang w:val="es-ES"/>
              </w:rPr>
            </w:pPr>
          </w:p>
        </w:tc>
        <w:tc>
          <w:tcPr>
            <w:tcW w:w="3409" w:type="dxa"/>
            <w:tcBorders>
              <w:bottom w:val="single" w:sz="4" w:space="0" w:color="auto"/>
            </w:tcBorders>
            <w:shd w:val="clear" w:color="auto" w:fill="auto"/>
          </w:tcPr>
          <w:p w14:paraId="359B754E" w14:textId="64C6C2AC" w:rsidR="008D51B2" w:rsidRPr="00113C1E" w:rsidRDefault="008D51B2" w:rsidP="008D51B2">
            <w:pPr>
              <w:textDirection w:val="tbLrV"/>
              <w:rPr>
                <w:sz w:val="18"/>
                <w:lang w:val="es-ES"/>
              </w:rPr>
            </w:pPr>
            <w:r w:rsidRPr="00113C1E">
              <w:rPr>
                <w:b/>
                <w:bCs/>
                <w:sz w:val="28"/>
                <w:lang w:val="es-ES"/>
              </w:rPr>
              <w:t>UNEP</w:t>
            </w:r>
            <w:r w:rsidRPr="00113C1E">
              <w:rPr>
                <w:bCs/>
                <w:lang w:val="es-ES"/>
              </w:rPr>
              <w:t>/MC/COP.1</w:t>
            </w:r>
            <w:r w:rsidRPr="00113C1E">
              <w:rPr>
                <w:lang w:val="es-ES"/>
              </w:rPr>
              <w:t>/9/Add.1</w:t>
            </w:r>
          </w:p>
        </w:tc>
      </w:tr>
      <w:tr w:rsidR="008D51B2" w:rsidRPr="00113C1E" w14:paraId="3E1E719E" w14:textId="77777777" w:rsidTr="008D51B2">
        <w:trPr>
          <w:cantSplit/>
          <w:trHeight w:val="2549"/>
          <w:jc w:val="right"/>
        </w:trPr>
        <w:tc>
          <w:tcPr>
            <w:tcW w:w="1667" w:type="dxa"/>
            <w:tcBorders>
              <w:top w:val="single" w:sz="4" w:space="0" w:color="auto"/>
              <w:bottom w:val="single" w:sz="24" w:space="0" w:color="auto"/>
            </w:tcBorders>
            <w:shd w:val="clear" w:color="auto" w:fill="auto"/>
          </w:tcPr>
          <w:p w14:paraId="3C09B021" w14:textId="19E64E86" w:rsidR="008D51B2" w:rsidRPr="00113C1E" w:rsidRDefault="008D51B2" w:rsidP="005D543F">
            <w:pPr>
              <w:rPr>
                <w:lang w:val="es-ES"/>
              </w:rPr>
            </w:pPr>
            <w:r w:rsidRPr="00113C1E">
              <w:rPr>
                <w:noProof/>
                <w:lang w:val="es-ES" w:eastAsia="es-ES"/>
              </w:rPr>
              <w:drawing>
                <wp:inline distT="0" distB="0" distL="0" distR="0" wp14:anchorId="2EBE31AA" wp14:editId="4D5D933C">
                  <wp:extent cx="825500" cy="777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777875"/>
                          </a:xfrm>
                          <a:prstGeom prst="rect">
                            <a:avLst/>
                          </a:prstGeom>
                          <a:noFill/>
                          <a:ln>
                            <a:noFill/>
                          </a:ln>
                        </pic:spPr>
                      </pic:pic>
                    </a:graphicData>
                  </a:graphic>
                </wp:inline>
              </w:drawing>
            </w:r>
            <w:r w:rsidRPr="00113C1E">
              <w:rPr>
                <w:noProof/>
                <w:lang w:val="es-ES" w:eastAsia="es-ES"/>
              </w:rPr>
              <w:drawing>
                <wp:inline distT="0" distB="0" distL="0" distR="0" wp14:anchorId="0E2EF77C" wp14:editId="3AD90805">
                  <wp:extent cx="720725" cy="766445"/>
                  <wp:effectExtent l="0" t="0" r="0" b="0"/>
                  <wp:docPr id="224" name="Picture 2" descr="Descripción: 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ción: E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0725" cy="766445"/>
                          </a:xfrm>
                          <a:prstGeom prst="rect">
                            <a:avLst/>
                          </a:prstGeom>
                          <a:noFill/>
                          <a:ln>
                            <a:noFill/>
                          </a:ln>
                        </pic:spPr>
                      </pic:pic>
                    </a:graphicData>
                  </a:graphic>
                </wp:inline>
              </w:drawing>
            </w:r>
          </w:p>
        </w:tc>
        <w:tc>
          <w:tcPr>
            <w:tcW w:w="4630" w:type="dxa"/>
            <w:tcBorders>
              <w:top w:val="single" w:sz="4" w:space="0" w:color="auto"/>
              <w:bottom w:val="single" w:sz="24" w:space="0" w:color="auto"/>
            </w:tcBorders>
            <w:shd w:val="clear" w:color="auto" w:fill="auto"/>
          </w:tcPr>
          <w:p w14:paraId="5AB6A832" w14:textId="77777777" w:rsidR="008D51B2" w:rsidRPr="00113C1E" w:rsidRDefault="008D51B2" w:rsidP="005D543F">
            <w:pPr>
              <w:spacing w:before="1200"/>
              <w:textDirection w:val="tbLrV"/>
              <w:rPr>
                <w:rFonts w:ascii="Arial" w:hAnsi="Arial" w:cs="Arial"/>
                <w:b/>
                <w:sz w:val="32"/>
                <w:szCs w:val="32"/>
                <w:lang w:val="es-ES"/>
              </w:rPr>
            </w:pPr>
            <w:r w:rsidRPr="00113C1E">
              <w:rPr>
                <w:rFonts w:ascii="Arial" w:hAnsi="Arial" w:cs="Arial"/>
                <w:b/>
                <w:color w:val="000000"/>
                <w:sz w:val="32"/>
                <w:szCs w:val="32"/>
                <w:shd w:val="solid" w:color="FFFFFF" w:fill="auto"/>
                <w:lang w:val="es-ES" w:eastAsia="ru-RU"/>
              </w:rPr>
              <w:t>Programa de las</w:t>
            </w:r>
            <w:r w:rsidRPr="00113C1E">
              <w:rPr>
                <w:rFonts w:ascii="Arial" w:hAnsi="Arial" w:cs="Arial"/>
                <w:b/>
                <w:color w:val="000000"/>
                <w:sz w:val="32"/>
                <w:szCs w:val="32"/>
                <w:shd w:val="solid" w:color="FFFFFF" w:fill="auto"/>
                <w:lang w:val="es-ES" w:eastAsia="ru-RU"/>
              </w:rPr>
              <w:br/>
              <w:t>Naciones Unidas</w:t>
            </w:r>
            <w:r w:rsidRPr="00113C1E">
              <w:rPr>
                <w:rFonts w:ascii="Arial" w:hAnsi="Arial" w:cs="Arial"/>
                <w:b/>
                <w:color w:val="000000"/>
                <w:sz w:val="32"/>
                <w:szCs w:val="32"/>
                <w:shd w:val="solid" w:color="FFFFFF" w:fill="auto"/>
                <w:lang w:val="es-ES" w:eastAsia="ru-RU"/>
              </w:rPr>
              <w:br/>
              <w:t>para el Medio Ambiente</w:t>
            </w:r>
          </w:p>
        </w:tc>
        <w:tc>
          <w:tcPr>
            <w:tcW w:w="3409" w:type="dxa"/>
            <w:tcBorders>
              <w:top w:val="single" w:sz="4" w:space="0" w:color="auto"/>
              <w:bottom w:val="single" w:sz="24" w:space="0" w:color="auto"/>
            </w:tcBorders>
            <w:shd w:val="clear" w:color="auto" w:fill="auto"/>
          </w:tcPr>
          <w:p w14:paraId="2C5F6793" w14:textId="2211B6E9" w:rsidR="008D51B2" w:rsidRPr="00113C1E" w:rsidRDefault="008D51B2" w:rsidP="005D543F">
            <w:pPr>
              <w:spacing w:before="120"/>
              <w:textDirection w:val="tbLrV"/>
              <w:rPr>
                <w:lang w:val="es-ES"/>
              </w:rPr>
            </w:pPr>
            <w:proofErr w:type="spellStart"/>
            <w:r w:rsidRPr="00113C1E">
              <w:rPr>
                <w:lang w:val="es-ES"/>
              </w:rPr>
              <w:t>Distr</w:t>
            </w:r>
            <w:proofErr w:type="spellEnd"/>
            <w:r w:rsidRPr="00113C1E">
              <w:rPr>
                <w:lang w:val="es-ES"/>
              </w:rPr>
              <w:t>. general</w:t>
            </w:r>
            <w:r w:rsidRPr="00113C1E">
              <w:rPr>
                <w:lang w:val="es-ES"/>
              </w:rPr>
              <w:br/>
              <w:t>21 de junio de 2017</w:t>
            </w:r>
          </w:p>
          <w:p w14:paraId="63152AF9" w14:textId="77777777" w:rsidR="008D51B2" w:rsidRPr="00113C1E" w:rsidRDefault="008D51B2" w:rsidP="005D543F">
            <w:pPr>
              <w:spacing w:before="240"/>
              <w:textDirection w:val="tbLrV"/>
              <w:rPr>
                <w:lang w:val="es-ES"/>
              </w:rPr>
            </w:pPr>
            <w:r w:rsidRPr="00113C1E">
              <w:rPr>
                <w:lang w:val="es-ES"/>
              </w:rPr>
              <w:t>Español</w:t>
            </w:r>
            <w:r w:rsidRPr="00113C1E">
              <w:rPr>
                <w:lang w:val="es-ES"/>
              </w:rPr>
              <w:br/>
              <w:t>Original: inglés</w:t>
            </w:r>
          </w:p>
        </w:tc>
      </w:tr>
    </w:tbl>
    <w:p w14:paraId="30F9881A" w14:textId="77777777" w:rsidR="008D51B2" w:rsidRPr="00113C1E" w:rsidRDefault="008D51B2" w:rsidP="008D51B2">
      <w:pPr>
        <w:pStyle w:val="AATitle"/>
        <w:keepNext w:val="0"/>
        <w:keepLines w:val="0"/>
        <w:rPr>
          <w:lang w:val="es-ES"/>
        </w:rPr>
      </w:pPr>
      <w:r w:rsidRPr="00113C1E">
        <w:rPr>
          <w:lang w:val="es-ES"/>
        </w:rPr>
        <w:t xml:space="preserve">Conferencia de las Partes en el Convenio de </w:t>
      </w:r>
      <w:proofErr w:type="spellStart"/>
      <w:r w:rsidRPr="00113C1E">
        <w:rPr>
          <w:lang w:val="es-ES"/>
        </w:rPr>
        <w:t>Minamata</w:t>
      </w:r>
      <w:proofErr w:type="spellEnd"/>
      <w:r w:rsidRPr="00113C1E">
        <w:rPr>
          <w:lang w:val="es-ES"/>
        </w:rPr>
        <w:t xml:space="preserve"> sobre el Mercurio</w:t>
      </w:r>
    </w:p>
    <w:p w14:paraId="6FE70EC8" w14:textId="77777777" w:rsidR="008D51B2" w:rsidRPr="00113C1E" w:rsidRDefault="008D51B2" w:rsidP="008D51B2">
      <w:pPr>
        <w:pStyle w:val="AATitle"/>
        <w:keepNext w:val="0"/>
        <w:keepLines w:val="0"/>
        <w:rPr>
          <w:lang w:val="es-ES"/>
        </w:rPr>
      </w:pPr>
      <w:r w:rsidRPr="00113C1E">
        <w:rPr>
          <w:lang w:val="es-ES"/>
        </w:rPr>
        <w:t>Primera reunión</w:t>
      </w:r>
    </w:p>
    <w:p w14:paraId="2EFC6F7F" w14:textId="1379D6F4" w:rsidR="00E976AB" w:rsidRPr="00113C1E" w:rsidRDefault="00787688">
      <w:pPr>
        <w:pStyle w:val="AATitle"/>
        <w:rPr>
          <w:b w:val="0"/>
          <w:lang w:val="es-ES"/>
        </w:rPr>
      </w:pPr>
      <w:r w:rsidRPr="00113C1E">
        <w:rPr>
          <w:b w:val="0"/>
          <w:lang w:val="es-ES"/>
        </w:rPr>
        <w:t>Ginebra, 24 a 29 de septiembre de 2017</w:t>
      </w:r>
    </w:p>
    <w:p w14:paraId="254E31D5" w14:textId="70178E62" w:rsidR="00312543" w:rsidRPr="00113C1E" w:rsidRDefault="00312543" w:rsidP="004A07E6">
      <w:pPr>
        <w:pStyle w:val="AATitle"/>
        <w:keepNext w:val="0"/>
        <w:keepLines w:val="0"/>
        <w:rPr>
          <w:b w:val="0"/>
          <w:lang w:val="es-ES"/>
        </w:rPr>
      </w:pPr>
      <w:r w:rsidRPr="00113C1E">
        <w:rPr>
          <w:b w:val="0"/>
          <w:lang w:val="es-ES"/>
        </w:rPr>
        <w:t>Tema 5 a) iv) del programa provisional</w:t>
      </w:r>
      <w:r w:rsidRPr="00113C1E">
        <w:rPr>
          <w:b w:val="0"/>
          <w:lang w:val="es-ES"/>
        </w:rPr>
        <w:footnoteReference w:customMarkFollows="1" w:id="1"/>
        <w:t>*</w:t>
      </w:r>
    </w:p>
    <w:p w14:paraId="2E5157C2" w14:textId="14A9ECE3" w:rsidR="00787688" w:rsidRPr="00113C1E" w:rsidRDefault="004A07E6">
      <w:pPr>
        <w:pStyle w:val="AATitle2"/>
        <w:spacing w:before="60"/>
        <w:rPr>
          <w:lang w:val="es-ES"/>
        </w:rPr>
      </w:pPr>
      <w:r w:rsidRPr="00113C1E">
        <w:rPr>
          <w:lang w:val="es-ES"/>
        </w:rPr>
        <w:t xml:space="preserve">Cuestiones sobre las que la Conferencia de las Partes podría adoptar medidas en su primera reunión: cuestiones estipuladas en el Convenio: medidas dirigidas a dar efecto a las disposiciones del mecanismo financiero a que se hace referencia en el artículo 13 </w:t>
      </w:r>
    </w:p>
    <w:p w14:paraId="01A06BF9" w14:textId="656228C2" w:rsidR="00312543" w:rsidRPr="00113C1E" w:rsidRDefault="004D0FB5" w:rsidP="0029126E">
      <w:pPr>
        <w:pStyle w:val="BBTitle"/>
        <w:rPr>
          <w:lang w:val="es-ES"/>
        </w:rPr>
      </w:pPr>
      <w:r w:rsidRPr="00113C1E">
        <w:rPr>
          <w:lang w:val="es-ES"/>
        </w:rPr>
        <w:t>Opciones de ubicación en el marco de</w:t>
      </w:r>
      <w:r w:rsidR="00BB0053" w:rsidRPr="00113C1E">
        <w:rPr>
          <w:lang w:val="es-ES"/>
        </w:rPr>
        <w:t>l Programa de</w:t>
      </w:r>
      <w:r w:rsidRPr="00113C1E">
        <w:rPr>
          <w:lang w:val="es-ES"/>
        </w:rPr>
        <w:t xml:space="preserve"> las Naciones Unidas para el </w:t>
      </w:r>
      <w:r w:rsidR="00BB0053" w:rsidRPr="00113C1E">
        <w:rPr>
          <w:lang w:val="es-ES"/>
        </w:rPr>
        <w:t>M</w:t>
      </w:r>
      <w:r w:rsidRPr="00113C1E">
        <w:rPr>
          <w:lang w:val="es-ES"/>
        </w:rPr>
        <w:t xml:space="preserve">edio </w:t>
      </w:r>
      <w:r w:rsidR="00BB0053" w:rsidRPr="00113C1E">
        <w:rPr>
          <w:lang w:val="es-ES"/>
        </w:rPr>
        <w:t>A</w:t>
      </w:r>
      <w:r w:rsidRPr="00113C1E">
        <w:rPr>
          <w:lang w:val="es-ES"/>
        </w:rPr>
        <w:t xml:space="preserve">mbiente, arreglos de gobernanza y duración del programa internacional específico para apoyar la creación de capacidad y la asistencia técnica </w:t>
      </w:r>
    </w:p>
    <w:p w14:paraId="025ACF4E" w14:textId="1F75E101" w:rsidR="00312543" w:rsidRPr="00113C1E" w:rsidRDefault="00312543" w:rsidP="002E371D">
      <w:pPr>
        <w:pStyle w:val="CH2"/>
        <w:rPr>
          <w:lang w:val="es-ES"/>
        </w:rPr>
      </w:pPr>
      <w:r w:rsidRPr="00113C1E">
        <w:rPr>
          <w:lang w:val="es-ES"/>
        </w:rPr>
        <w:tab/>
      </w:r>
      <w:r w:rsidRPr="00113C1E">
        <w:rPr>
          <w:lang w:val="es-ES"/>
        </w:rPr>
        <w:tab/>
        <w:t xml:space="preserve">Nota de la </w:t>
      </w:r>
      <w:r w:rsidR="007D2D36">
        <w:rPr>
          <w:lang w:val="es-ES"/>
        </w:rPr>
        <w:t>s</w:t>
      </w:r>
      <w:r w:rsidRPr="00113C1E">
        <w:rPr>
          <w:lang w:val="es-ES"/>
        </w:rPr>
        <w:t>ecretaría</w:t>
      </w:r>
    </w:p>
    <w:p w14:paraId="3C91F2AC" w14:textId="77F29592" w:rsidR="00126067" w:rsidRPr="00113C1E" w:rsidRDefault="008D51B2" w:rsidP="002D379C">
      <w:pPr>
        <w:pStyle w:val="CH1"/>
        <w:rPr>
          <w:lang w:val="es-ES"/>
        </w:rPr>
      </w:pPr>
      <w:r w:rsidRPr="00113C1E">
        <w:rPr>
          <w:lang w:val="es-ES"/>
        </w:rPr>
        <w:tab/>
      </w:r>
      <w:r w:rsidR="00126067" w:rsidRPr="00113C1E">
        <w:rPr>
          <w:lang w:val="es-ES"/>
        </w:rPr>
        <w:t>I.</w:t>
      </w:r>
      <w:r w:rsidR="00126067" w:rsidRPr="00113C1E">
        <w:rPr>
          <w:lang w:val="es-ES"/>
        </w:rPr>
        <w:tab/>
        <w:t>Contexto</w:t>
      </w:r>
    </w:p>
    <w:p w14:paraId="1F032861" w14:textId="660A0026" w:rsidR="007E58BB" w:rsidRPr="00113C1E" w:rsidRDefault="00DA5D66">
      <w:pPr>
        <w:pStyle w:val="Normalnumber"/>
        <w:rPr>
          <w:lang w:val="es-ES"/>
        </w:rPr>
      </w:pPr>
      <w:r w:rsidRPr="00113C1E">
        <w:rPr>
          <w:lang w:val="es-ES"/>
        </w:rPr>
        <w:t>En su séptimo período de sesiones, celebrado en marzo de 2016, el Comité Intergubernamental de Negociación encargado de elaborar un instrumento mundial jurídicamente vinculante sobre el mercurio examinó el informe de los copresidentes del grupo de trabajo especial de expertos sobre financiación establecido en el sexto período de sesiones del Comité (</w:t>
      </w:r>
      <w:proofErr w:type="gramStart"/>
      <w:r w:rsidRPr="00113C1E">
        <w:rPr>
          <w:lang w:val="es-ES"/>
        </w:rPr>
        <w:t>UNEP(</w:t>
      </w:r>
      <w:proofErr w:type="gramEnd"/>
      <w:r w:rsidRPr="00113C1E">
        <w:rPr>
          <w:lang w:val="es-ES"/>
        </w:rPr>
        <w:t>DTIE)/Hg/INC.7/9). En el informe se hicieron aportaciones al Comité para que este elabore una propuesta de institución de acogida del programa internacional específico para apoyar la creación de capacidad y la asistencia técnica, incluidos los arreglos necesarios dentro de la institución de acogida, así como orientaciones sobre el funcionamiento y la duración del programa. Además, el Comité tuvo ante sí un documento informativo preparado por el Director Ejecutivo del Programa de las Naciones Unidas para el Medio Ambiente (PNUMA) sobre las opciones y los arreglos de gobernanza conexos del PNUMA como institución de acogida del programa (</w:t>
      </w:r>
      <w:proofErr w:type="gramStart"/>
      <w:r w:rsidRPr="00113C1E">
        <w:rPr>
          <w:lang w:val="es-ES"/>
        </w:rPr>
        <w:t>UNEP(</w:t>
      </w:r>
      <w:proofErr w:type="gramEnd"/>
      <w:r w:rsidRPr="00113C1E">
        <w:rPr>
          <w:lang w:val="es-ES"/>
        </w:rPr>
        <w:t>DTIE)/Hg/INC.7/INF/6).</w:t>
      </w:r>
    </w:p>
    <w:p w14:paraId="6A777643" w14:textId="177752F6" w:rsidR="00770BB9" w:rsidRPr="00113C1E" w:rsidRDefault="007E58BB" w:rsidP="00BD69FE">
      <w:pPr>
        <w:pStyle w:val="Normalnumber"/>
        <w:rPr>
          <w:lang w:val="es-ES"/>
        </w:rPr>
      </w:pPr>
      <w:r w:rsidRPr="00113C1E">
        <w:rPr>
          <w:lang w:val="es-ES"/>
        </w:rPr>
        <w:t>Tras sus deliberaciones, el Comité decidió designar al PNUMA como institución de acogida del programa internacional específico, decisión que deberá ser aprobada por la Conferencia de las Partes en su primera reunión. El Comité también estableció algunos pormenores relativos a los arreglos de acogida, así como orientaciones respecto de las condiciones para acceder al programa y el alcance, las operaciones, los recursos y la duración de este</w:t>
      </w:r>
      <w:r w:rsidR="00126067" w:rsidRPr="00113C1E">
        <w:rPr>
          <w:rStyle w:val="FootnoteReference"/>
          <w:lang w:val="es-ES"/>
        </w:rPr>
        <w:footnoteReference w:id="2"/>
      </w:r>
      <w:r w:rsidRPr="00113C1E">
        <w:rPr>
          <w:lang w:val="es-ES"/>
        </w:rPr>
        <w:t xml:space="preserve">. Parte del texto elaborado no llegó a finalizarse y se mantuvo entre corchetes en espera de la decisión de la Conferencia en su primera reunión. Entre esos textos se contaban las cuestiones relativas a qué entidad del PNUMA desempeñaría las funciones de anfitrión y la duración y el tipo de órgano rector que tendría el programa. El gráfico que figura a </w:t>
      </w:r>
      <w:r w:rsidRPr="00113C1E">
        <w:rPr>
          <w:lang w:val="es-ES"/>
        </w:rPr>
        <w:lastRenderedPageBreak/>
        <w:t xml:space="preserve">continuación, elaborado por el Comité en su séptimo período de sesiones, ofrece un resumen somero de los debates sobre la ubicación en el seno del PNUMA y las esferas sobre las que se había alcanzado un acuerdo al final de ese período de sesiones. </w:t>
      </w:r>
    </w:p>
    <w:p w14:paraId="428C62CE" w14:textId="4B7135CF" w:rsidR="00025A60" w:rsidRPr="00057FB7" w:rsidRDefault="008512FA" w:rsidP="002D379C">
      <w:pPr>
        <w:pStyle w:val="Normalnumber"/>
        <w:numPr>
          <w:ilvl w:val="0"/>
          <w:numId w:val="0"/>
        </w:numPr>
        <w:tabs>
          <w:tab w:val="left" w:pos="624"/>
          <w:tab w:val="left" w:pos="1134"/>
          <w:tab w:val="left" w:pos="3119"/>
        </w:tabs>
        <w:ind w:left="1260"/>
        <w:rPr>
          <w:b/>
          <w:lang w:val="es-ES"/>
        </w:rPr>
      </w:pPr>
      <w:r w:rsidRPr="00057FB7">
        <w:rPr>
          <w:b/>
          <w:lang w:val="es-ES"/>
        </w:rPr>
        <w:t xml:space="preserve">Opciones de gobernanza para cada posible ubicación del programa internacional específico en el marco del Programa de las Naciones Unidas para el Medio Ambiente incluidas como anexo en el documento </w:t>
      </w:r>
      <w:proofErr w:type="gramStart"/>
      <w:r w:rsidRPr="00057FB7">
        <w:rPr>
          <w:b/>
          <w:lang w:val="es-ES"/>
        </w:rPr>
        <w:t>UNEP(</w:t>
      </w:r>
      <w:proofErr w:type="gramEnd"/>
      <w:r w:rsidRPr="00057FB7">
        <w:rPr>
          <w:b/>
          <w:lang w:val="es-ES"/>
        </w:rPr>
        <w:t>DTIE)/Hg/INC.7/22/Rev.1, tal y como se elaboraron en la séptima reunión del Comité Intergubernamental de Negociación</w:t>
      </w:r>
    </w:p>
    <w:tbl>
      <w:tblPr>
        <w:tblStyle w:val="TableGrid"/>
        <w:tblW w:w="0" w:type="auto"/>
        <w:tblInd w:w="1260" w:type="dxa"/>
        <w:tblLook w:val="04A0" w:firstRow="1" w:lastRow="0" w:firstColumn="1" w:lastColumn="0" w:noHBand="0" w:noVBand="1"/>
      </w:tblPr>
      <w:tblGrid>
        <w:gridCol w:w="8446"/>
      </w:tblGrid>
      <w:tr w:rsidR="00113C1E" w:rsidRPr="00113C1E" w14:paraId="4B87A2C4" w14:textId="77777777" w:rsidTr="00113C1E">
        <w:tc>
          <w:tcPr>
            <w:tcW w:w="8446" w:type="dxa"/>
          </w:tcPr>
          <w:p w14:paraId="1BC40F32" w14:textId="077BA883" w:rsidR="00113C1E" w:rsidRPr="00113C1E" w:rsidRDefault="00113C1E" w:rsidP="00241232">
            <w:pPr>
              <w:pStyle w:val="Normalnumber"/>
              <w:numPr>
                <w:ilvl w:val="0"/>
                <w:numId w:val="0"/>
              </w:numPr>
              <w:tabs>
                <w:tab w:val="left" w:pos="624"/>
                <w:tab w:val="left" w:pos="1134"/>
                <w:tab w:val="left" w:pos="3119"/>
              </w:tabs>
              <w:rPr>
                <w:lang w:val="es-ES"/>
              </w:rPr>
            </w:pPr>
            <w:r w:rsidRPr="00113C1E">
              <w:rPr>
                <w:lang w:val="es-ES"/>
              </w:rPr>
              <w:object w:dxaOrig="8310" w:dyaOrig="7035" w14:anchorId="295A47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15.4pt;height:351.7pt" o:ole="">
                  <v:imagedata r:id="rId11" o:title=""/>
                </v:shape>
                <o:OLEObject Type="Embed" ProgID="PBrush" ShapeID="_x0000_i1027" DrawAspect="Content" ObjectID="_1564293333" r:id="rId12"/>
              </w:object>
            </w:r>
          </w:p>
        </w:tc>
      </w:tr>
    </w:tbl>
    <w:p w14:paraId="5777A484" w14:textId="6D8DF3CD" w:rsidR="0041352A" w:rsidRPr="00113C1E" w:rsidRDefault="0041352A">
      <w:pPr>
        <w:pStyle w:val="Normalnumber"/>
        <w:numPr>
          <w:ilvl w:val="0"/>
          <w:numId w:val="0"/>
        </w:numPr>
        <w:tabs>
          <w:tab w:val="left" w:pos="624"/>
          <w:tab w:val="left" w:pos="1134"/>
          <w:tab w:val="left" w:pos="3119"/>
        </w:tabs>
        <w:spacing w:after="240"/>
        <w:ind w:left="1267"/>
        <w:rPr>
          <w:sz w:val="18"/>
          <w:szCs w:val="18"/>
          <w:lang w:val="es-ES"/>
        </w:rPr>
      </w:pPr>
      <w:r w:rsidRPr="00113C1E">
        <w:rPr>
          <w:i/>
          <w:sz w:val="18"/>
          <w:szCs w:val="18"/>
          <w:lang w:val="es-ES"/>
        </w:rPr>
        <w:t>Fuente</w:t>
      </w:r>
      <w:r w:rsidRPr="00113C1E">
        <w:rPr>
          <w:sz w:val="18"/>
          <w:szCs w:val="18"/>
          <w:lang w:val="es-ES"/>
        </w:rPr>
        <w:t xml:space="preserve">: </w:t>
      </w:r>
      <w:proofErr w:type="gramStart"/>
      <w:r w:rsidRPr="00113C1E">
        <w:rPr>
          <w:sz w:val="18"/>
          <w:szCs w:val="18"/>
          <w:lang w:val="es-ES"/>
        </w:rPr>
        <w:t>UNEP(</w:t>
      </w:r>
      <w:proofErr w:type="gramEnd"/>
      <w:r w:rsidRPr="00113C1E">
        <w:rPr>
          <w:sz w:val="18"/>
          <w:szCs w:val="18"/>
          <w:lang w:val="es-ES"/>
        </w:rPr>
        <w:t>DTIE)/Hg/INC.7/22/Rev.1, anexo VI.</w:t>
      </w:r>
    </w:p>
    <w:p w14:paraId="26711A64" w14:textId="236A18C4" w:rsidR="00AF4DDF" w:rsidRPr="00113C1E" w:rsidRDefault="00AF4DDF" w:rsidP="002D379C">
      <w:pPr>
        <w:pStyle w:val="Normalnumber"/>
        <w:rPr>
          <w:lang w:val="es-ES"/>
        </w:rPr>
      </w:pPr>
      <w:r w:rsidRPr="00113C1E">
        <w:rPr>
          <w:lang w:val="es-ES"/>
        </w:rPr>
        <w:t xml:space="preserve">A fin de ayudar a la Conferencia de las Partes a completar el examen del programa internacional específico, el Comité pidió a la secretaría provisional del Convenio de </w:t>
      </w:r>
      <w:proofErr w:type="spellStart"/>
      <w:r w:rsidRPr="00113C1E">
        <w:rPr>
          <w:lang w:val="es-ES"/>
        </w:rPr>
        <w:t>Minamata</w:t>
      </w:r>
      <w:proofErr w:type="spellEnd"/>
      <w:r w:rsidRPr="00113C1E">
        <w:rPr>
          <w:lang w:val="es-ES"/>
        </w:rPr>
        <w:t xml:space="preserve"> sobre el Mercurio que proporcionara información adicional sobre las opciones de ubicación propuestas en el PNUMA, las disposiciones de gobernanza, la ubicación de la función de revisión técnica, las consecuencias financieras, las repercusiones jurídicas, incluida la posibilidad de elaborar un memorando de entendimiento entre el PNUMA como institución de acogida y la Conferencia, y las implicaciones temporales.</w:t>
      </w:r>
    </w:p>
    <w:p w14:paraId="32C652DD" w14:textId="58C38B4F" w:rsidR="00A42B32" w:rsidRPr="00113C1E" w:rsidRDefault="002368A8" w:rsidP="002D379C">
      <w:pPr>
        <w:pStyle w:val="Normalnumber"/>
        <w:rPr>
          <w:lang w:val="es-ES"/>
        </w:rPr>
      </w:pPr>
      <w:r w:rsidRPr="00113C1E">
        <w:rPr>
          <w:lang w:val="es-ES"/>
        </w:rPr>
        <w:t>La presente nota contiene la información adicional solicitada.</w:t>
      </w:r>
    </w:p>
    <w:p w14:paraId="7D65ABDE" w14:textId="364ED1B6" w:rsidR="00A42B32" w:rsidRPr="00113C1E" w:rsidRDefault="00382083" w:rsidP="00113C1E">
      <w:pPr>
        <w:pStyle w:val="CH1"/>
        <w:rPr>
          <w:lang w:val="es-ES"/>
        </w:rPr>
      </w:pPr>
      <w:r>
        <w:rPr>
          <w:lang w:val="es-ES"/>
        </w:rPr>
        <w:tab/>
      </w:r>
      <w:r w:rsidR="002E371D" w:rsidRPr="00113C1E">
        <w:rPr>
          <w:lang w:val="es-ES"/>
        </w:rPr>
        <w:t>II.</w:t>
      </w:r>
      <w:r w:rsidR="00444D6A" w:rsidRPr="00113C1E">
        <w:rPr>
          <w:lang w:val="es-ES"/>
        </w:rPr>
        <w:tab/>
      </w:r>
      <w:r w:rsidR="002E371D" w:rsidRPr="00113C1E">
        <w:rPr>
          <w:lang w:val="es-ES"/>
        </w:rPr>
        <w:t>Opciones de ubicación en el marco del Programa de las Naciones</w:t>
      </w:r>
      <w:r w:rsidR="00057FB7">
        <w:rPr>
          <w:lang w:val="es-ES"/>
        </w:rPr>
        <w:t> </w:t>
      </w:r>
      <w:r w:rsidR="002E371D" w:rsidRPr="00113C1E">
        <w:rPr>
          <w:lang w:val="es-ES"/>
        </w:rPr>
        <w:t>Unidas para el Medio Ambiente</w:t>
      </w:r>
    </w:p>
    <w:p w14:paraId="06A37C11" w14:textId="58FD32C1" w:rsidR="004D0FB5" w:rsidRPr="00113C1E" w:rsidRDefault="00DB004B" w:rsidP="00113C1E">
      <w:pPr>
        <w:pStyle w:val="Normalnumber"/>
        <w:keepNext/>
        <w:keepLines/>
        <w:rPr>
          <w:lang w:val="es-ES"/>
        </w:rPr>
      </w:pPr>
      <w:r w:rsidRPr="00113C1E">
        <w:rPr>
          <w:lang w:val="es-ES"/>
        </w:rPr>
        <w:t xml:space="preserve">En el marco del PNUMA. el programa internacional específico puede integrarse en la Subdivisión de Productos Químicos y Salud, </w:t>
      </w:r>
      <w:r w:rsidRPr="007672C0">
        <w:rPr>
          <w:highlight w:val="yellow"/>
          <w:lang w:val="es-ES"/>
        </w:rPr>
        <w:t>con sede en Ginebra y parte de la División de Economía</w:t>
      </w:r>
      <w:r w:rsidRPr="00113C1E">
        <w:rPr>
          <w:lang w:val="es-ES"/>
        </w:rPr>
        <w:t xml:space="preserve">, o en la secretaría del Convenio de </w:t>
      </w:r>
      <w:proofErr w:type="spellStart"/>
      <w:r w:rsidRPr="00113C1E">
        <w:rPr>
          <w:lang w:val="es-ES"/>
        </w:rPr>
        <w:t>Minamata</w:t>
      </w:r>
      <w:proofErr w:type="spellEnd"/>
      <w:r w:rsidR="00673E28" w:rsidRPr="00113C1E">
        <w:rPr>
          <w:vertAlign w:val="superscript"/>
          <w:lang w:val="es-ES"/>
        </w:rPr>
        <w:footnoteReference w:id="3"/>
      </w:r>
      <w:r w:rsidRPr="00113C1E">
        <w:rPr>
          <w:lang w:val="es-ES"/>
        </w:rPr>
        <w:t>. Una y otra posibilidades están bajo la autoridad del Director Ejecutivo.</w:t>
      </w:r>
    </w:p>
    <w:p w14:paraId="239E52C8" w14:textId="5BCEED6C" w:rsidR="00E141C8" w:rsidRPr="00113C1E" w:rsidRDefault="002B04BD" w:rsidP="002D379C">
      <w:pPr>
        <w:pStyle w:val="Normalnumber"/>
        <w:rPr>
          <w:lang w:val="es-ES"/>
        </w:rPr>
      </w:pPr>
      <w:r w:rsidRPr="00113C1E">
        <w:rPr>
          <w:lang w:val="es-ES"/>
        </w:rPr>
        <w:t xml:space="preserve">En función de la decisión de la Conferencia de las Partes, se creará una secretaría para gestionar el programa internacional específico, y esa </w:t>
      </w:r>
      <w:r w:rsidR="00057FB7">
        <w:rPr>
          <w:lang w:val="es-ES"/>
        </w:rPr>
        <w:t>s</w:t>
      </w:r>
      <w:r w:rsidRPr="00113C1E">
        <w:rPr>
          <w:lang w:val="es-ES"/>
        </w:rPr>
        <w:t xml:space="preserve">ecretaría podrá tener su propio personal financiado con cargo a recursos extrapresupuestarios independientemente de si esos funcionarios se integran en la Subdivisión de Productos Químicos y Salud o en la </w:t>
      </w:r>
      <w:r w:rsidR="00057FB7">
        <w:rPr>
          <w:lang w:val="es-ES"/>
        </w:rPr>
        <w:t>s</w:t>
      </w:r>
      <w:r w:rsidRPr="00113C1E">
        <w:rPr>
          <w:lang w:val="es-ES"/>
        </w:rPr>
        <w:t xml:space="preserve">ecretaría del Convenio. </w:t>
      </w:r>
    </w:p>
    <w:p w14:paraId="64986F72" w14:textId="2BF56F06" w:rsidR="00E141C8" w:rsidRPr="00113C1E" w:rsidRDefault="00B8506F" w:rsidP="0029126E">
      <w:pPr>
        <w:pStyle w:val="Normalnumber"/>
        <w:keepNext/>
        <w:keepLines/>
        <w:rPr>
          <w:lang w:val="es-ES"/>
        </w:rPr>
      </w:pPr>
      <w:r w:rsidRPr="00113C1E">
        <w:rPr>
          <w:lang w:val="es-ES"/>
        </w:rPr>
        <w:t>A continuación se incluye información adicional sobre las dos ubicaciones posibles.</w:t>
      </w:r>
    </w:p>
    <w:tbl>
      <w:tblPr>
        <w:tblStyle w:val="TableGrid"/>
        <w:tblW w:w="8487" w:type="dxa"/>
        <w:tblInd w:w="1260" w:type="dxa"/>
        <w:tblLayout w:type="fixed"/>
        <w:tblLook w:val="04A0" w:firstRow="1" w:lastRow="0" w:firstColumn="1" w:lastColumn="0" w:noHBand="0" w:noVBand="1"/>
      </w:tblPr>
      <w:tblGrid>
        <w:gridCol w:w="5035"/>
        <w:gridCol w:w="3452"/>
      </w:tblGrid>
      <w:tr w:rsidR="009E4050" w:rsidRPr="00113C1E" w14:paraId="6652D85A" w14:textId="77777777">
        <w:tc>
          <w:tcPr>
            <w:tcW w:w="8487" w:type="dxa"/>
            <w:gridSpan w:val="2"/>
            <w:shd w:val="clear" w:color="auto" w:fill="D9D9D9" w:themeFill="background1" w:themeFillShade="D9"/>
          </w:tcPr>
          <w:p w14:paraId="1DD5F103" w14:textId="004920EE" w:rsidR="00346878" w:rsidRPr="00113C1E" w:rsidRDefault="00346878" w:rsidP="0029126E">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lang w:val="es-ES"/>
              </w:rPr>
            </w:pPr>
            <w:r w:rsidRPr="00113C1E">
              <w:rPr>
                <w:b/>
                <w:sz w:val="18"/>
                <w:lang w:val="es-ES"/>
              </w:rPr>
              <w:t>1. Ubicación en el marco del Programa de las Naciones Unidas para el Medio Ambiente</w:t>
            </w:r>
          </w:p>
          <w:p w14:paraId="6A793C88" w14:textId="7295E7A0" w:rsidR="00346878" w:rsidRPr="00113C1E" w:rsidRDefault="005129FA" w:rsidP="0029126E">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Cs/>
                <w:sz w:val="18"/>
                <w:szCs w:val="18"/>
                <w:lang w:val="es-ES"/>
              </w:rPr>
            </w:pPr>
            <w:r w:rsidRPr="00113C1E">
              <w:rPr>
                <w:sz w:val="18"/>
                <w:lang w:val="es-ES"/>
              </w:rPr>
              <w:t xml:space="preserve">La secretaría del programa internacional específico puede integrarse en la Subdivisión de Productos Químicos y Salud </w:t>
            </w:r>
            <w:r w:rsidRPr="007672C0">
              <w:rPr>
                <w:sz w:val="18"/>
                <w:highlight w:val="yellow"/>
                <w:lang w:val="es-ES"/>
              </w:rPr>
              <w:t>de la División de Economía</w:t>
            </w:r>
            <w:r w:rsidRPr="00113C1E">
              <w:rPr>
                <w:sz w:val="18"/>
                <w:lang w:val="es-ES"/>
              </w:rPr>
              <w:t xml:space="preserve"> o e</w:t>
            </w:r>
            <w:r w:rsidR="00444D6A" w:rsidRPr="00113C1E">
              <w:rPr>
                <w:sz w:val="18"/>
                <w:lang w:val="es-ES"/>
              </w:rPr>
              <w:t>n</w:t>
            </w:r>
            <w:r w:rsidRPr="00113C1E">
              <w:rPr>
                <w:sz w:val="18"/>
                <w:lang w:val="es-ES"/>
              </w:rPr>
              <w:t xml:space="preserve"> la secretaría del Convenio de </w:t>
            </w:r>
            <w:proofErr w:type="spellStart"/>
            <w:r w:rsidRPr="00113C1E">
              <w:rPr>
                <w:sz w:val="18"/>
                <w:lang w:val="es-ES"/>
              </w:rPr>
              <w:t>Minamata</w:t>
            </w:r>
            <w:proofErr w:type="spellEnd"/>
            <w:r w:rsidRPr="00113C1E">
              <w:rPr>
                <w:sz w:val="18"/>
                <w:lang w:val="es-ES"/>
              </w:rPr>
              <w:t xml:space="preserve">. </w:t>
            </w:r>
          </w:p>
        </w:tc>
      </w:tr>
      <w:tr w:rsidR="009E4050" w:rsidRPr="00113C1E" w14:paraId="1342E9D0" w14:textId="77777777">
        <w:trPr>
          <w:trHeight w:val="137"/>
        </w:trPr>
        <w:tc>
          <w:tcPr>
            <w:tcW w:w="5035" w:type="dxa"/>
            <w:shd w:val="clear" w:color="auto" w:fill="auto"/>
            <w:vAlign w:val="center"/>
          </w:tcPr>
          <w:p w14:paraId="0AACB8EE" w14:textId="342068E5" w:rsidR="00DA2325" w:rsidRPr="00113C1E" w:rsidRDefault="00DA2325">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i/>
                <w:iCs/>
                <w:sz w:val="18"/>
                <w:szCs w:val="18"/>
                <w:lang w:val="es-ES"/>
              </w:rPr>
            </w:pPr>
            <w:r w:rsidRPr="00113C1E">
              <w:rPr>
                <w:i/>
                <w:sz w:val="18"/>
                <w:lang w:val="es-ES"/>
              </w:rPr>
              <w:t>Subdivisión</w:t>
            </w:r>
          </w:p>
        </w:tc>
        <w:tc>
          <w:tcPr>
            <w:tcW w:w="3452" w:type="dxa"/>
            <w:shd w:val="clear" w:color="auto" w:fill="auto"/>
            <w:vAlign w:val="center"/>
          </w:tcPr>
          <w:p w14:paraId="1F3F4081" w14:textId="5A64F5E0" w:rsidR="00DA2325" w:rsidRPr="00113C1E" w:rsidRDefault="00DA2325">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val="es-ES"/>
              </w:rPr>
            </w:pPr>
            <w:r w:rsidRPr="00113C1E">
              <w:rPr>
                <w:i/>
                <w:sz w:val="18"/>
                <w:lang w:val="es-ES"/>
              </w:rPr>
              <w:t>Secretaría del Convenio</w:t>
            </w:r>
          </w:p>
        </w:tc>
      </w:tr>
      <w:tr w:rsidR="009E4050" w:rsidRPr="00113C1E" w14:paraId="0910805F" w14:textId="77777777">
        <w:tc>
          <w:tcPr>
            <w:tcW w:w="5035" w:type="dxa"/>
            <w:shd w:val="clear" w:color="auto" w:fill="auto"/>
          </w:tcPr>
          <w:p w14:paraId="76DABC3B" w14:textId="13A1F326" w:rsidR="00BC0773" w:rsidRPr="00113C1E" w:rsidRDefault="00C16E6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val="es-ES"/>
              </w:rPr>
            </w:pPr>
            <w:r w:rsidRPr="00113C1E">
              <w:rPr>
                <w:sz w:val="18"/>
                <w:lang w:val="es-ES"/>
              </w:rPr>
              <w:t xml:space="preserve">La Subdivisión ofrece un enfoque amplio para abordar la contaminación por mercurio a nivel mundial. Además de aplicar una porción considerable del subprograma del PNUMA sobre productos químicos, desechos y calidad del aire, acoge también toda una serie de programas internacionales, secretarías, iniciativas y asociaciones que llevan a cabo actividades relacionadas con los productos químicos, la salud y los desechos, incluida la iniciativa </w:t>
            </w:r>
            <w:proofErr w:type="spellStart"/>
            <w:r w:rsidRPr="00113C1E">
              <w:rPr>
                <w:sz w:val="18"/>
                <w:lang w:val="es-ES"/>
              </w:rPr>
              <w:t>AcciónOzono</w:t>
            </w:r>
            <w:proofErr w:type="spellEnd"/>
            <w:r w:rsidRPr="00113C1E">
              <w:rPr>
                <w:sz w:val="18"/>
                <w:lang w:val="es-ES"/>
              </w:rPr>
              <w:t>, el Centro Internacional de Tecnología Ambiental (con sede en Osaka (Japón)), el Enfoque Estratégico para la Gestión de los Productos Químicos a Nivel Internacional</w:t>
            </w:r>
            <w:r w:rsidR="00BB0053" w:rsidRPr="00113C1E">
              <w:rPr>
                <w:sz w:val="18"/>
                <w:lang w:val="es-ES"/>
              </w:rPr>
              <w:t xml:space="preserve"> </w:t>
            </w:r>
            <w:r w:rsidRPr="00113C1E">
              <w:rPr>
                <w:sz w:val="18"/>
                <w:lang w:val="es-ES"/>
              </w:rPr>
              <w:t xml:space="preserve">y la recién creada dependencia centrada en la salud y la contaminación. </w:t>
            </w:r>
          </w:p>
          <w:p w14:paraId="38817299" w14:textId="5C22643D" w:rsidR="00E141C8" w:rsidRPr="00113C1E" w:rsidRDefault="00C16E6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val="es-ES"/>
              </w:rPr>
            </w:pPr>
            <w:r w:rsidRPr="00113C1E">
              <w:rPr>
                <w:sz w:val="18"/>
                <w:lang w:val="es-ES"/>
              </w:rPr>
              <w:t xml:space="preserve">La Subdivisión lleva varios años desarrollando una labor específica sobre el mercurio, en particular a través de la Asociación Mundial sobre el Mercurio del PNUMA. Acoge además la secretaría que prestó sus servicios en el proceso de negociación del Convenio de </w:t>
            </w:r>
            <w:proofErr w:type="spellStart"/>
            <w:r w:rsidRPr="00113C1E">
              <w:rPr>
                <w:sz w:val="18"/>
                <w:lang w:val="es-ES"/>
              </w:rPr>
              <w:t>Minamata</w:t>
            </w:r>
            <w:proofErr w:type="spellEnd"/>
            <w:r w:rsidRPr="00113C1E">
              <w:rPr>
                <w:sz w:val="18"/>
                <w:lang w:val="es-ES"/>
              </w:rPr>
              <w:t xml:space="preserve"> y que ahora es la secretaría provisional del Convenio. La Subdivisión se encarga de los procesos de evaluación mundial del mercurio y el informe </w:t>
            </w:r>
            <w:r w:rsidRPr="00113C1E">
              <w:rPr>
                <w:i/>
                <w:iCs/>
                <w:sz w:val="18"/>
                <w:lang w:val="es-ES"/>
              </w:rPr>
              <w:t xml:space="preserve">Perspectivas de los productos químicos a nivel mundial, </w:t>
            </w:r>
            <w:r w:rsidRPr="00113C1E">
              <w:rPr>
                <w:sz w:val="18"/>
                <w:lang w:val="es-ES"/>
              </w:rPr>
              <w:t xml:space="preserve">y acoge también la Alianza Mundial para Eliminar el Uso del Plomo en la Pintura. La División de Economía desarrolla líneas de trabajo conexas sobre el uso eficiente de los recursos, la energía y la economía circular. </w:t>
            </w:r>
          </w:p>
          <w:p w14:paraId="43F0C75A" w14:textId="102E39D6" w:rsidR="00BA37ED" w:rsidRPr="00113C1E" w:rsidRDefault="00BA37ED">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val="es-ES"/>
              </w:rPr>
            </w:pPr>
            <w:r w:rsidRPr="00113C1E">
              <w:rPr>
                <w:sz w:val="18"/>
                <w:lang w:val="es-ES"/>
              </w:rPr>
              <w:t xml:space="preserve">La Subdivisión tiene amplia experiencia en la gestión de los programas y la movilización de recursos para apoyar el fomento de la capacidad, la asistencia técnica y el fortalecimiento institucional. El PNUMA, por conducto de la Subdivisión, proporciona la Secretaría del Enfoque Estratégico para la Gestión de los Productos Químicos a Nivel Internacional, que gestiona el Programa de Inicio Rápido. El PNUMA proporciona también por conducto de la Subdivisión la secretaría del Programa Especial de apoyo al fortalecimiento institucional a nivel nacional para la aplicación de los convenios de Basilea, Estocolmo y Rotterdam, el Convenio de </w:t>
            </w:r>
            <w:proofErr w:type="spellStart"/>
            <w:r w:rsidRPr="00113C1E">
              <w:rPr>
                <w:sz w:val="18"/>
                <w:lang w:val="es-ES"/>
              </w:rPr>
              <w:t>Minamata</w:t>
            </w:r>
            <w:proofErr w:type="spellEnd"/>
            <w:r w:rsidRPr="00113C1E">
              <w:rPr>
                <w:sz w:val="18"/>
                <w:lang w:val="es-ES"/>
              </w:rPr>
              <w:t xml:space="preserve"> y el Enfoque Estratégico para la Gestión de los Productos Químicos a Nivel Internacional.</w:t>
            </w:r>
          </w:p>
        </w:tc>
        <w:tc>
          <w:tcPr>
            <w:tcW w:w="3452" w:type="dxa"/>
            <w:shd w:val="clear" w:color="auto" w:fill="auto"/>
          </w:tcPr>
          <w:p w14:paraId="70585E67" w14:textId="735E974F" w:rsidR="00E63DD4" w:rsidRPr="00113C1E" w:rsidRDefault="002F3A73">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val="es-ES"/>
              </w:rPr>
            </w:pPr>
            <w:r w:rsidRPr="00113C1E">
              <w:rPr>
                <w:sz w:val="18"/>
                <w:lang w:val="es-ES"/>
              </w:rPr>
              <w:t>Integrar</w:t>
            </w:r>
            <w:r w:rsidR="00BB0053" w:rsidRPr="00113C1E">
              <w:rPr>
                <w:sz w:val="18"/>
                <w:lang w:val="es-ES"/>
              </w:rPr>
              <w:t xml:space="preserve"> </w:t>
            </w:r>
            <w:r w:rsidRPr="00113C1E">
              <w:rPr>
                <w:sz w:val="18"/>
                <w:lang w:val="es-ES"/>
              </w:rPr>
              <w:t>la secretaría del programa internacional específico en la secretaría permanente del Convenio permitiría una mayor concentración de los esfuerzos sobre el mercurio. También ofrecería una proximidad directa al Convenio y las Partes en él. Al acoger la secretaría del programa internacional específico, la secretaría del Convenio aprovecharía la experiencia pertinente recabada por la secretaría provisional. Se prevé que en el futuro la secretaría del Convenio dispondrá de personal científico y técnico como parte de su plantilla.</w:t>
            </w:r>
          </w:p>
          <w:p w14:paraId="6F978EB9" w14:textId="593731AE" w:rsidR="00E141C8" w:rsidRPr="00113C1E" w:rsidRDefault="001F7B7B">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val="es-ES"/>
              </w:rPr>
            </w:pPr>
            <w:r w:rsidRPr="00113C1E">
              <w:rPr>
                <w:sz w:val="18"/>
                <w:lang w:val="es-ES"/>
              </w:rPr>
              <w:t xml:space="preserve">Además, como se establece en el artículo 24 del Convenio, la secretaría del Convenio tiene por función facilitar la prestación de asistencia, cuando así se solicite, y coordinar las actividades con las secretarías de los órganos internacionales pertinentes. </w:t>
            </w:r>
          </w:p>
          <w:p w14:paraId="071C9B18" w14:textId="1DD728E0" w:rsidR="003117BE" w:rsidRPr="00113C1E" w:rsidRDefault="00A577E3">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val="es-ES"/>
              </w:rPr>
            </w:pPr>
            <w:r w:rsidRPr="00113C1E">
              <w:rPr>
                <w:sz w:val="18"/>
                <w:lang w:val="es-ES"/>
              </w:rPr>
              <w:t>Cabe destacar que no se ha decidido todavía en qué forma desempeñará las funciones de secretaría permanente el Director Ejecutivo.</w:t>
            </w:r>
          </w:p>
        </w:tc>
      </w:tr>
    </w:tbl>
    <w:p w14:paraId="4DE623E9" w14:textId="77777777" w:rsidR="00A00029" w:rsidRPr="00113C1E" w:rsidRDefault="00A00029">
      <w:pPr>
        <w:rPr>
          <w:lang w:val="es-ES"/>
        </w:rPr>
      </w:pPr>
    </w:p>
    <w:tbl>
      <w:tblPr>
        <w:tblStyle w:val="TableGrid"/>
        <w:tblW w:w="8526" w:type="dxa"/>
        <w:tblInd w:w="1260" w:type="dxa"/>
        <w:tblLayout w:type="fixed"/>
        <w:tblLook w:val="04A0" w:firstRow="1" w:lastRow="0" w:firstColumn="1" w:lastColumn="0" w:noHBand="0" w:noVBand="1"/>
      </w:tblPr>
      <w:tblGrid>
        <w:gridCol w:w="8526"/>
      </w:tblGrid>
      <w:tr w:rsidR="009E4050" w:rsidRPr="00113C1E" w14:paraId="59196BA4" w14:textId="77777777">
        <w:tc>
          <w:tcPr>
            <w:tcW w:w="8526" w:type="dxa"/>
            <w:shd w:val="clear" w:color="auto" w:fill="D9D9D9" w:themeFill="background1" w:themeFillShade="D9"/>
          </w:tcPr>
          <w:p w14:paraId="12B3B6DD" w14:textId="358CF5A8" w:rsidR="00B44408" w:rsidRPr="00113C1E" w:rsidRDefault="00B44408" w:rsidP="0038208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lang w:val="es-ES"/>
              </w:rPr>
            </w:pPr>
            <w:r w:rsidRPr="00113C1E">
              <w:rPr>
                <w:b/>
                <w:sz w:val="18"/>
                <w:lang w:val="es-ES"/>
              </w:rPr>
              <w:t>2. Órgano rector</w:t>
            </w:r>
          </w:p>
          <w:p w14:paraId="6852B70B" w14:textId="47CFB0D7" w:rsidR="005F6767" w:rsidRPr="00113C1E" w:rsidRDefault="00B44408" w:rsidP="0038208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Cs/>
                <w:sz w:val="18"/>
                <w:szCs w:val="18"/>
                <w:lang w:val="es-ES"/>
              </w:rPr>
            </w:pPr>
            <w:r w:rsidRPr="00113C1E">
              <w:rPr>
                <w:sz w:val="18"/>
                <w:lang w:val="es-ES"/>
              </w:rPr>
              <w:t xml:space="preserve">Si bien la secretaría del programa internacional específico funcionará bajo la orientación de la Conferencia de las Partes y rendirá cuentas ante esta, además de ser directamente responsable del funcionamiento y la administración del programa, la Conferencia podrá delegar la supervisión y la aplicación de sus orientaciones, incluida la adopción de decisiones sobre los proyectos y la gestión de proyectos, en otro órgano –un órgano rector– situado entre la Conferencia y la secretaría. </w:t>
            </w:r>
          </w:p>
        </w:tc>
      </w:tr>
      <w:tr w:rsidR="009E4050" w:rsidRPr="00113C1E" w14:paraId="3F435615" w14:textId="77777777">
        <w:tc>
          <w:tcPr>
            <w:tcW w:w="8526" w:type="dxa"/>
            <w:shd w:val="clear" w:color="auto" w:fill="auto"/>
          </w:tcPr>
          <w:p w14:paraId="1535A905" w14:textId="78A86560" w:rsidR="0008504A" w:rsidRPr="00113C1E" w:rsidRDefault="0008504A" w:rsidP="0038208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00"/>
              <w:rPr>
                <w:b/>
                <w:bCs/>
                <w:sz w:val="18"/>
                <w:szCs w:val="18"/>
                <w:lang w:val="es-ES"/>
              </w:rPr>
            </w:pPr>
            <w:r w:rsidRPr="00113C1E">
              <w:rPr>
                <w:b/>
                <w:sz w:val="18"/>
                <w:lang w:val="es-ES"/>
              </w:rPr>
              <w:t>Consideraciones</w:t>
            </w:r>
          </w:p>
          <w:p w14:paraId="41055328" w14:textId="1C71E9CF" w:rsidR="005F6767" w:rsidRPr="00113C1E" w:rsidRDefault="00B44408" w:rsidP="0038208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00"/>
              <w:rPr>
                <w:bCs/>
                <w:sz w:val="18"/>
                <w:szCs w:val="18"/>
                <w:lang w:val="es-ES"/>
              </w:rPr>
            </w:pPr>
            <w:r w:rsidRPr="00113C1E">
              <w:rPr>
                <w:sz w:val="18"/>
                <w:lang w:val="es-ES"/>
              </w:rPr>
              <w:t xml:space="preserve">Independientemente de la ubicación de la secretaría del programa internacional específico, la Conferencia de las Partes tal vez desee establecer un órgano rector para el programa encargado de supervisar la aplicación de las orientaciones ofrecidas por la Conferencia de las Partes. Este órgano informará a la Conferencia y </w:t>
            </w:r>
            <w:r w:rsidR="00444D6A" w:rsidRPr="00113C1E">
              <w:rPr>
                <w:sz w:val="18"/>
                <w:lang w:val="es-ES"/>
              </w:rPr>
              <w:t xml:space="preserve">contará con los </w:t>
            </w:r>
            <w:r w:rsidRPr="00113C1E">
              <w:rPr>
                <w:sz w:val="18"/>
                <w:lang w:val="es-ES"/>
              </w:rPr>
              <w:t xml:space="preserve">servicios de la secretaría del programa. </w:t>
            </w:r>
          </w:p>
          <w:p w14:paraId="4D4F0040" w14:textId="44624255" w:rsidR="00B44408" w:rsidRPr="00113C1E" w:rsidRDefault="00B44408" w:rsidP="0038208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00"/>
              <w:rPr>
                <w:bCs/>
                <w:sz w:val="18"/>
                <w:szCs w:val="18"/>
                <w:lang w:val="es-ES"/>
              </w:rPr>
            </w:pPr>
            <w:r w:rsidRPr="00113C1E">
              <w:rPr>
                <w:sz w:val="18"/>
                <w:lang w:val="es-ES"/>
              </w:rPr>
              <w:t>Independientemente de la ubicación de la secretaría, el órgano rector estará compuesto por un número determinado de miembros, con una representación equilibrada de las regiones de las Naciones Unidas y de los países donantes y receptores. Los miembros pueden ser nombrados por la Conferencia de las Partes o por conducto de la Mesa.</w:t>
            </w:r>
          </w:p>
          <w:p w14:paraId="4D8B4A3E" w14:textId="2552B245" w:rsidR="0008504A" w:rsidRPr="00113C1E" w:rsidRDefault="0008504A" w:rsidP="0038208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00"/>
              <w:rPr>
                <w:bCs/>
                <w:sz w:val="18"/>
                <w:szCs w:val="18"/>
                <w:lang w:val="es-ES"/>
              </w:rPr>
            </w:pPr>
            <w:r w:rsidRPr="00113C1E">
              <w:rPr>
                <w:sz w:val="18"/>
                <w:lang w:val="es-ES"/>
              </w:rPr>
              <w:t xml:space="preserve">Según el proyecto de decisión sobre el programa internacional específico aprobado en el séptimo período de sesiones del Comité Intergubernamental de Negociación para su examen y aprobación por la Conferencia de las Partes en su primera reunión (véase UNEP(DTIE)/Hg/INC.7.22/Rev.1, </w:t>
            </w:r>
            <w:r w:rsidR="00113C1E">
              <w:rPr>
                <w:sz w:val="18"/>
                <w:lang w:val="es-ES"/>
              </w:rPr>
              <w:t>a</w:t>
            </w:r>
            <w:r w:rsidRPr="00113C1E">
              <w:rPr>
                <w:sz w:val="18"/>
                <w:lang w:val="es-ES"/>
              </w:rPr>
              <w:t xml:space="preserve">nexo VI), las disposiciones de gobernanza del Programa son los siguientes: </w:t>
            </w:r>
            <w:r w:rsidR="00113C1E">
              <w:rPr>
                <w:sz w:val="18"/>
                <w:lang w:val="es-ES"/>
              </w:rPr>
              <w:t>“</w:t>
            </w:r>
            <w:r w:rsidRPr="00113C1E">
              <w:rPr>
                <w:sz w:val="18"/>
                <w:lang w:val="es-ES"/>
              </w:rPr>
              <w:t>La Conferencia de las Partes establecerá [una junta ejecutiva</w:t>
            </w:r>
            <w:r w:rsidRPr="007C1433">
              <w:rPr>
                <w:sz w:val="18"/>
                <w:lang w:val="es-ES"/>
              </w:rPr>
              <w:t>] [un</w:t>
            </w:r>
            <w:r w:rsidRPr="00113C1E">
              <w:rPr>
                <w:sz w:val="18"/>
                <w:lang w:val="es-ES"/>
              </w:rPr>
              <w:t xml:space="preserve"> comité del programa internacional específico], que se encargará de supervisar y aplicar sus orientaciones, en particular para la adopción de decisiones sobre los proyectos y la gestión de proyectos</w:t>
            </w:r>
            <w:r w:rsidR="00113C1E">
              <w:rPr>
                <w:sz w:val="18"/>
                <w:lang w:val="es-ES"/>
              </w:rPr>
              <w:t>”</w:t>
            </w:r>
            <w:r w:rsidRPr="00113C1E">
              <w:rPr>
                <w:sz w:val="18"/>
                <w:lang w:val="es-ES"/>
              </w:rPr>
              <w:t xml:space="preserve">. Tanto para el Programa Especial de apoyo al fortalecimiento institucional a nivel nacional como para el Programa de Inicio Rápido, </w:t>
            </w:r>
            <w:r w:rsidRPr="007C1433">
              <w:rPr>
                <w:sz w:val="18"/>
                <w:lang w:val="es-ES"/>
              </w:rPr>
              <w:t>el órgano rector es una</w:t>
            </w:r>
            <w:r w:rsidRPr="00113C1E">
              <w:rPr>
                <w:sz w:val="18"/>
                <w:lang w:val="es-ES"/>
              </w:rPr>
              <w:t xml:space="preserve"> Junta Ejecutiva. Se invita a la Junta Ejecutiva del Programa Especial a que informe a la Asamblea de las Naciones</w:t>
            </w:r>
            <w:r w:rsidR="00456B68">
              <w:rPr>
                <w:sz w:val="18"/>
                <w:lang w:val="es-ES"/>
              </w:rPr>
              <w:t> </w:t>
            </w:r>
            <w:r w:rsidRPr="00113C1E">
              <w:rPr>
                <w:sz w:val="18"/>
                <w:lang w:val="es-ES"/>
              </w:rPr>
              <w:t xml:space="preserve">Unidas sobre el Medio Ambiente, mientras que la junta ejecutiva del Programa de Inicio </w:t>
            </w:r>
            <w:r w:rsidR="00CA21F1" w:rsidRPr="00113C1E">
              <w:rPr>
                <w:sz w:val="18"/>
                <w:lang w:val="es-ES"/>
              </w:rPr>
              <w:t>R</w:t>
            </w:r>
            <w:r w:rsidRPr="00113C1E">
              <w:rPr>
                <w:sz w:val="18"/>
                <w:lang w:val="es-ES"/>
              </w:rPr>
              <w:t xml:space="preserve">ápido presenta sus informes a la Conferencia Internacional sobre la Gestión de los Productos Químicos. </w:t>
            </w:r>
          </w:p>
          <w:p w14:paraId="5876A477" w14:textId="77777777" w:rsidR="007128B0" w:rsidRPr="00113C1E" w:rsidRDefault="007128B0" w:rsidP="00382083">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Cs/>
                <w:sz w:val="18"/>
                <w:szCs w:val="18"/>
                <w:lang w:val="es-ES"/>
              </w:rPr>
            </w:pPr>
            <w:r w:rsidRPr="00113C1E">
              <w:rPr>
                <w:sz w:val="18"/>
                <w:lang w:val="es-ES"/>
              </w:rPr>
              <w:t xml:space="preserve">La Conferencia de las Partes tal vez desee solicitar al órgano rector del programa internacional específico que elabore su propio reglamento. </w:t>
            </w:r>
          </w:p>
          <w:p w14:paraId="4DB1217E" w14:textId="36E4412C" w:rsidR="003F0566" w:rsidRPr="00113C1E" w:rsidRDefault="00B63100" w:rsidP="00456B68">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Cs/>
                <w:sz w:val="18"/>
                <w:szCs w:val="18"/>
                <w:lang w:val="es-ES"/>
              </w:rPr>
            </w:pPr>
            <w:r w:rsidRPr="00113C1E">
              <w:rPr>
                <w:sz w:val="18"/>
                <w:lang w:val="es-ES"/>
              </w:rPr>
              <w:t xml:space="preserve">Además de las dos opciones presentadas anteriormente, cabe considerar otro modelo que no contempla un nuevo órgano rector: la administración por el Fondo Fiduciario para ayudar a los países en desarrollo y otros países que necesitan asistencia técnica para la aplicación del Convenio, que se estableció originalmente en el marco del Convenio de Basilea. </w:t>
            </w:r>
            <w:r w:rsidRPr="00456B68">
              <w:rPr>
                <w:sz w:val="18"/>
                <w:lang w:val="es-ES"/>
              </w:rPr>
              <w:t>En ca</w:t>
            </w:r>
            <w:r w:rsidR="00456B68" w:rsidRPr="00456B68">
              <w:rPr>
                <w:sz w:val="18"/>
                <w:lang w:val="es-ES"/>
              </w:rPr>
              <w:t>so</w:t>
            </w:r>
            <w:r w:rsidR="00456B68" w:rsidRPr="00113C1E">
              <w:rPr>
                <w:sz w:val="18"/>
                <w:lang w:val="es-ES"/>
              </w:rPr>
              <w:t xml:space="preserve"> de que la Conferencia de las Partes en el Convenio de </w:t>
            </w:r>
            <w:proofErr w:type="spellStart"/>
            <w:r w:rsidR="00456B68" w:rsidRPr="00113C1E">
              <w:rPr>
                <w:sz w:val="18"/>
                <w:lang w:val="es-ES"/>
              </w:rPr>
              <w:t>Minamata</w:t>
            </w:r>
            <w:proofErr w:type="spellEnd"/>
            <w:r w:rsidR="00456B68" w:rsidRPr="00113C1E">
              <w:rPr>
                <w:sz w:val="18"/>
                <w:lang w:val="es-ES"/>
              </w:rPr>
              <w:t xml:space="preserve"> desee considerar la posibilidad de adaptar ese modelo para su uso en relación con el programa internacional específico, dicho programa se convertiría en parte integrante de la secretaría del Convenio y quedaría bajo la supervisión directa de la Conferencia de las Partes.</w:t>
            </w:r>
          </w:p>
        </w:tc>
      </w:tr>
      <w:tr w:rsidR="009E4050" w:rsidRPr="00113C1E" w14:paraId="154A45DD" w14:textId="77777777" w:rsidTr="00382083">
        <w:tc>
          <w:tcPr>
            <w:tcW w:w="8526" w:type="dxa"/>
            <w:shd w:val="clear" w:color="auto" w:fill="auto"/>
          </w:tcPr>
          <w:p w14:paraId="58A6E3F7" w14:textId="71199C1B" w:rsidR="00B44408" w:rsidRPr="00113C1E" w:rsidRDefault="00594CDB" w:rsidP="00382083">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jc w:val="center"/>
              <w:rPr>
                <w:bCs/>
                <w:sz w:val="18"/>
                <w:szCs w:val="18"/>
                <w:lang w:val="es-ES"/>
              </w:rPr>
            </w:pPr>
            <w:r>
              <w:rPr>
                <w:bCs/>
                <w:noProof/>
                <w:sz w:val="18"/>
                <w:szCs w:val="18"/>
                <w:lang w:val="es-ES" w:eastAsia="es-ES"/>
              </w:rPr>
              <w:drawing>
                <wp:inline distT="0" distB="0" distL="0" distR="0" wp14:anchorId="7E86A4FA" wp14:editId="059BE1EC">
                  <wp:extent cx="5276850" cy="395795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7062_graphic page 3 COP 1 9 ADD 1.jpg"/>
                          <pic:cNvPicPr/>
                        </pic:nvPicPr>
                        <pic:blipFill>
                          <a:blip r:embed="rId13">
                            <a:extLst>
                              <a:ext uri="{28A0092B-C50C-407E-A947-70E740481C1C}">
                                <a14:useLocalDpi xmlns:a14="http://schemas.microsoft.com/office/drawing/2010/main" val="0"/>
                              </a:ext>
                            </a:extLst>
                          </a:blip>
                          <a:stretch>
                            <a:fillRect/>
                          </a:stretch>
                        </pic:blipFill>
                        <pic:spPr>
                          <a:xfrm>
                            <a:off x="0" y="0"/>
                            <a:ext cx="5276850" cy="3957955"/>
                          </a:xfrm>
                          <a:prstGeom prst="rect">
                            <a:avLst/>
                          </a:prstGeom>
                        </pic:spPr>
                      </pic:pic>
                    </a:graphicData>
                  </a:graphic>
                </wp:inline>
              </w:drawing>
            </w:r>
          </w:p>
        </w:tc>
      </w:tr>
      <w:tr w:rsidR="009E4050" w:rsidRPr="00113C1E" w14:paraId="5D66E7C8" w14:textId="77777777">
        <w:trPr>
          <w:trHeight w:val="2685"/>
        </w:trPr>
        <w:tc>
          <w:tcPr>
            <w:tcW w:w="8526" w:type="dxa"/>
            <w:shd w:val="clear" w:color="auto" w:fill="D9D9D9" w:themeFill="background1" w:themeFillShade="D9"/>
          </w:tcPr>
          <w:p w14:paraId="3634B55D" w14:textId="51C20780" w:rsidR="00B83DA9" w:rsidRPr="00113C1E" w:rsidRDefault="00A577E3" w:rsidP="00BD69F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center"/>
              <w:rPr>
                <w:b/>
                <w:bCs/>
                <w:sz w:val="18"/>
                <w:szCs w:val="18"/>
                <w:lang w:val="es-ES"/>
              </w:rPr>
            </w:pPr>
            <w:r w:rsidRPr="00113C1E">
              <w:rPr>
                <w:b/>
                <w:sz w:val="18"/>
                <w:lang w:val="es-ES"/>
              </w:rPr>
              <w:t>3. Examen técnico</w:t>
            </w:r>
          </w:p>
          <w:p w14:paraId="1F1E7B57" w14:textId="2279F566" w:rsidR="00B83DA9" w:rsidRPr="00113C1E" w:rsidRDefault="00B83DA9" w:rsidP="002D379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b/>
                <w:bCs/>
                <w:sz w:val="18"/>
                <w:szCs w:val="18"/>
                <w:lang w:val="es-ES"/>
              </w:rPr>
            </w:pPr>
            <w:r w:rsidRPr="00113C1E">
              <w:rPr>
                <w:sz w:val="18"/>
                <w:lang w:val="es-ES"/>
              </w:rPr>
              <w:t xml:space="preserve">El programa internacional específico tiene por objeto prestar apoyo en la creación de capacidad y la prestación de asistencia técnica en beneficio de las Partes que son países en desarrollo, en particular aquellas que son países menos adelantados o pequeños Estados insulares en desarrollo, y las Partes con economías en transición, a fin de ayudarlas a cumplir las obligaciones contraídas en virtud del presente Convenio. </w:t>
            </w:r>
          </w:p>
          <w:p w14:paraId="7C5D322F" w14:textId="072FA8AB" w:rsidR="00134BAE" w:rsidRPr="00113C1E" w:rsidRDefault="00B83DA9" w:rsidP="002D379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b/>
                <w:bCs/>
                <w:sz w:val="18"/>
                <w:szCs w:val="18"/>
                <w:lang w:val="es-ES"/>
              </w:rPr>
            </w:pPr>
            <w:r w:rsidRPr="00113C1E">
              <w:rPr>
                <w:sz w:val="18"/>
                <w:lang w:val="es-ES"/>
              </w:rPr>
              <w:t xml:space="preserve">Si bien la secretaría del programa organizará y gestionará las invitaciones para la presentación de solicitudes y el proceso de solicitud, existen tres posibles modelos, indicados a continuación, para su consideración en cuanto a la forma en que se organizará el examen técnico de las solicitudes y la ubicación de la función de examen. </w:t>
            </w:r>
          </w:p>
          <w:p w14:paraId="25AC38E6" w14:textId="7590DA7E" w:rsidR="00B83DA9" w:rsidRPr="00113C1E" w:rsidRDefault="0000173C" w:rsidP="002D379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rPr>
                <w:b/>
                <w:bCs/>
                <w:sz w:val="18"/>
                <w:szCs w:val="18"/>
                <w:lang w:val="es-ES"/>
              </w:rPr>
            </w:pPr>
            <w:r w:rsidRPr="00113C1E">
              <w:rPr>
                <w:sz w:val="18"/>
                <w:lang w:val="es-ES"/>
              </w:rPr>
              <w:t xml:space="preserve">En el caso de los dos modelos con órganos rectores diferenciados, la ubicación de la función de examen en el flujo de trabajo y las decisiones dimanantes de la revisión de solicitudes, la evaluación de los proyectos y la aprobación de los proyectos </w:t>
            </w:r>
            <w:proofErr w:type="gramStart"/>
            <w:r w:rsidRPr="00113C1E">
              <w:rPr>
                <w:sz w:val="18"/>
                <w:lang w:val="es-ES"/>
              </w:rPr>
              <w:t>es</w:t>
            </w:r>
            <w:proofErr w:type="gramEnd"/>
            <w:r w:rsidRPr="00113C1E">
              <w:rPr>
                <w:sz w:val="18"/>
                <w:lang w:val="es-ES"/>
              </w:rPr>
              <w:t xml:space="preserve"> independiente de la ubicación de la secretaría del programa. En el tercer modelo, en el que no existe órgano rector diferenciado, la secretaría del programa y la función de revisión técnica deberían integrarse en la secretaría del Convenio de </w:t>
            </w:r>
            <w:proofErr w:type="spellStart"/>
            <w:r w:rsidRPr="00113C1E">
              <w:rPr>
                <w:sz w:val="18"/>
                <w:lang w:val="es-ES"/>
              </w:rPr>
              <w:t>Minamata</w:t>
            </w:r>
            <w:proofErr w:type="spellEnd"/>
            <w:r w:rsidRPr="00113C1E">
              <w:rPr>
                <w:sz w:val="18"/>
                <w:lang w:val="es-ES"/>
              </w:rPr>
              <w:t xml:space="preserve">. </w:t>
            </w:r>
          </w:p>
        </w:tc>
      </w:tr>
      <w:tr w:rsidR="009E4050" w:rsidRPr="00113C1E" w14:paraId="4FD6BBD9" w14:textId="77777777">
        <w:tc>
          <w:tcPr>
            <w:tcW w:w="8526" w:type="dxa"/>
            <w:shd w:val="clear" w:color="auto" w:fill="auto"/>
          </w:tcPr>
          <w:p w14:paraId="08F0C309" w14:textId="21B2EB24" w:rsidR="000D2429" w:rsidRPr="00113C1E" w:rsidRDefault="00B83DA9"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rPr>
                <w:b/>
                <w:bCs/>
                <w:sz w:val="18"/>
                <w:szCs w:val="18"/>
                <w:lang w:val="es-ES"/>
              </w:rPr>
            </w:pPr>
            <w:r w:rsidRPr="00113C1E">
              <w:rPr>
                <w:b/>
                <w:sz w:val="18"/>
                <w:lang w:val="es-ES"/>
              </w:rPr>
              <w:t>Función de revisión técnica oficiosa: equipo técnic</w:t>
            </w:r>
            <w:r w:rsidR="003A6D91" w:rsidRPr="00113C1E">
              <w:rPr>
                <w:b/>
                <w:sz w:val="18"/>
                <w:lang w:val="es-ES"/>
              </w:rPr>
              <w:t>o de tareas</w:t>
            </w:r>
            <w:r w:rsidRPr="00113C1E">
              <w:rPr>
                <w:b/>
                <w:sz w:val="18"/>
                <w:lang w:val="es-ES"/>
              </w:rPr>
              <w:t xml:space="preserve"> </w:t>
            </w:r>
          </w:p>
          <w:p w14:paraId="08ECC44A" w14:textId="742765C7" w:rsidR="000D2429" w:rsidRPr="00113C1E" w:rsidRDefault="000D2429"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rPr>
                <w:b/>
                <w:bCs/>
                <w:sz w:val="18"/>
                <w:szCs w:val="18"/>
                <w:lang w:val="es-ES"/>
              </w:rPr>
            </w:pPr>
            <w:r w:rsidRPr="00113C1E">
              <w:rPr>
                <w:sz w:val="18"/>
                <w:lang w:val="es-ES"/>
              </w:rPr>
              <w:t xml:space="preserve">La Conferencia de las Partes tal vez desee examinar el modelo del Programa Especial para prestar apoyo al fortalecimiento institucional a nivel nacional, en el que la secretaría lleva a cabo un examen inicial de la elegibilidad y exhaustividad de las solicitudes, seguido de una evaluación, en consulta con el equipo de tareas oficioso, integrado por representantes de las secretarías de los cuatro convenios, el Enfoque Estratégico y el Fondo para el Medio Ambiente Mundial. Esa evaluación incluye un análisis cualitativo del proyecto y un examen técnico de las actividades que se llevarán a cabo. El resultado es presentado por la secretaría del Programa Especial a la Junta Ejecutiva, su órgano rector, para que se someta a debate y se adopten decisiones sobre la base de las orientaciones y los mandatos establecidos por la Asamblea de las Naciones Unidas sobre el Medio Ambiente. </w:t>
            </w:r>
          </w:p>
          <w:p w14:paraId="140FB4AF" w14:textId="603A8B7F" w:rsidR="000D2429" w:rsidRPr="00113C1E" w:rsidRDefault="006B4D3E"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rPr>
                <w:b/>
                <w:bCs/>
                <w:sz w:val="18"/>
                <w:szCs w:val="18"/>
                <w:lang w:val="es-ES"/>
              </w:rPr>
            </w:pPr>
            <w:r w:rsidRPr="00113C1E">
              <w:rPr>
                <w:sz w:val="18"/>
                <w:lang w:val="es-ES"/>
              </w:rPr>
              <w:t xml:space="preserve">La Conferencia de las Partes tal vez desee considerar la posibilidad de establecer un equipo técnico de tareas para el programa internacional específico, que estaría encargado de realizar un examen técnico oficioso. Este equipo podría estar integrado por representantes con experiencia y conocimientos especializados en el mercurio, el fomento de la capacidad y la asistencia y aplicación técnicas. Entre esos representantes podrían contarse la secretaría del Convenio, la Secretaría de la Alianza Mundial sobre el Mercurio, la Secretaría de los Convenios de Basilea, Estocolmo y Rotterdam, la Subdivisión de Productos Químicos y Salud y el Fondo para el Medio Ambiente Mundial. Tras el examen inicial de las solicitudes, la secretaría del programa evaluará las solicitudes junto con el equipo técnico de tareas para comprobar su solidez técnica y su pertinencia. A continuación, remitirá la evaluación al órgano rector o junta ejecutiva para </w:t>
            </w:r>
            <w:r w:rsidR="00AC503A" w:rsidRPr="00113C1E">
              <w:rPr>
                <w:sz w:val="18"/>
                <w:lang w:val="es-ES"/>
              </w:rPr>
              <w:t>su examen</w:t>
            </w:r>
            <w:r w:rsidRPr="00113C1E">
              <w:rPr>
                <w:sz w:val="18"/>
                <w:lang w:val="es-ES"/>
              </w:rPr>
              <w:t xml:space="preserve">, la adopción de decisiones y la aprobación del proyecto. </w:t>
            </w:r>
          </w:p>
        </w:tc>
      </w:tr>
      <w:tr w:rsidR="009E4050" w:rsidRPr="00113C1E" w14:paraId="7BF145A7" w14:textId="77777777">
        <w:tc>
          <w:tcPr>
            <w:tcW w:w="8526" w:type="dxa"/>
            <w:shd w:val="clear" w:color="auto" w:fill="auto"/>
          </w:tcPr>
          <w:p w14:paraId="0B62DA51" w14:textId="633B858C" w:rsidR="000D2429" w:rsidRPr="00113C1E" w:rsidRDefault="000D2429" w:rsidP="0000173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lang w:val="es-ES"/>
              </w:rPr>
            </w:pPr>
            <w:r w:rsidRPr="00113C1E">
              <w:rPr>
                <w:b/>
                <w:sz w:val="18"/>
                <w:lang w:val="es-ES"/>
              </w:rPr>
              <w:t xml:space="preserve">Función de revisión técnica oficial: órgano de examen técnico </w:t>
            </w:r>
          </w:p>
          <w:p w14:paraId="67CBC861" w14:textId="178E1AB6" w:rsidR="00C604A6" w:rsidRPr="00113C1E" w:rsidRDefault="00C604A6" w:rsidP="00BD69F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sz w:val="18"/>
                <w:szCs w:val="18"/>
                <w:lang w:val="es-ES"/>
              </w:rPr>
            </w:pPr>
            <w:r w:rsidRPr="00113C1E">
              <w:rPr>
                <w:sz w:val="18"/>
                <w:lang w:val="es-ES"/>
              </w:rPr>
              <w:t>La Conferencia de las Partes tal vez desee examinar el modelo del Programa de Inicio Rápido, en el que la secretaría lleva a cabo un examen inicial de las solicitudes, tras lo cual el Comité de Aplicación del Fondo Fiduciario lleva a cabo un examen en profundidad de los proyectos propuestos. El Comité de Aplicación está compuesto por representantes del Programa Interinstitucional de Gestión Racional de los Productos Químicos, en el que participan las nueve organizaciones que se indican a continuación: Banco Mundial, Instituto de las Naciones</w:t>
            </w:r>
            <w:r w:rsidR="00833BF4">
              <w:rPr>
                <w:sz w:val="18"/>
                <w:lang w:val="es-ES"/>
              </w:rPr>
              <w:t> </w:t>
            </w:r>
            <w:r w:rsidRPr="00113C1E">
              <w:rPr>
                <w:sz w:val="18"/>
                <w:lang w:val="es-ES"/>
              </w:rPr>
              <w:t>Unidas para Formación Profesional e Investigaciones, Organización de Cooperación y Desarrollo Económicos, Organización de las Naciones Unidas para la Alimentación y la Agricultura, Organización de las Naciones</w:t>
            </w:r>
            <w:r w:rsidR="00833BF4">
              <w:rPr>
                <w:sz w:val="18"/>
                <w:lang w:val="es-ES"/>
              </w:rPr>
              <w:t> </w:t>
            </w:r>
            <w:r w:rsidRPr="00113C1E">
              <w:rPr>
                <w:sz w:val="18"/>
                <w:lang w:val="es-ES"/>
              </w:rPr>
              <w:t xml:space="preserve">Unidas para el Desarrollo Industrial, Organización Internacional del Trabajo, Organización Mundial de la Salud, PNUMA y Programa de las Naciones Unidas para el Desarrollo. El Comité de Aplicación evalúa y aprueba los proyectos propuestos, que a continuación se remiten a la Junta Ejecutiva, su órgano rector, que supervisa el proceso. </w:t>
            </w:r>
          </w:p>
          <w:p w14:paraId="6D1C032C" w14:textId="14069C7C" w:rsidR="007128B0" w:rsidRPr="00113C1E" w:rsidRDefault="006B4D3E" w:rsidP="002D379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lang w:val="es-ES"/>
              </w:rPr>
            </w:pPr>
            <w:r w:rsidRPr="00113C1E">
              <w:rPr>
                <w:sz w:val="18"/>
                <w:lang w:val="es-ES"/>
              </w:rPr>
              <w:t xml:space="preserve">La Conferencia de las Partes tal vez desee considerar la posibilidad de establecer un órgano de examen técnico para el programa internacional específico que esté compuesto, aunque no exclusivamente, por representantes de las organizaciones que participan en el Programa Interinstitucional de Gestión Racional de los Productos Químicos y un representante de la secretaría del Convenio, la Secretaría de la Alianza Mundial sobre el Mercurio, la Secretaría de los Convenios de Basilea, Estocolmo y Rotterdam y el Fondo para el Medio Ambiente Mundial. Este órgano examinaría y evaluaría los proyectos propuestos y formularía </w:t>
            </w:r>
            <w:r w:rsidRPr="007C1433">
              <w:rPr>
                <w:sz w:val="18"/>
                <w:lang w:val="es-ES"/>
              </w:rPr>
              <w:t>recomendaciones para su aprobación por el órgano rector o junta ejecutiva, que darían su aprobación a los proyectos que superen es</w:t>
            </w:r>
            <w:r w:rsidRPr="00113C1E">
              <w:rPr>
                <w:sz w:val="18"/>
                <w:lang w:val="es-ES"/>
              </w:rPr>
              <w:t xml:space="preserve">e examen. </w:t>
            </w:r>
          </w:p>
        </w:tc>
      </w:tr>
      <w:tr w:rsidR="009E4050" w:rsidRPr="00113C1E" w14:paraId="7209FEFE" w14:textId="77777777">
        <w:tc>
          <w:tcPr>
            <w:tcW w:w="8526" w:type="dxa"/>
            <w:shd w:val="clear" w:color="auto" w:fill="auto"/>
          </w:tcPr>
          <w:p w14:paraId="14A2B5D6" w14:textId="77777777" w:rsidR="006811A4" w:rsidRPr="00382083" w:rsidRDefault="006811A4" w:rsidP="0000173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lang w:val="es-ES"/>
              </w:rPr>
            </w:pPr>
            <w:r w:rsidRPr="00382083">
              <w:rPr>
                <w:b/>
                <w:sz w:val="18"/>
                <w:lang w:val="es-ES"/>
              </w:rPr>
              <w:t>Función de examen técnico interno: examen de la secretaría del Convenio</w:t>
            </w:r>
          </w:p>
          <w:p w14:paraId="2F287BAA" w14:textId="4991D4A9" w:rsidR="006811A4" w:rsidRPr="00113C1E" w:rsidRDefault="006811A4" w:rsidP="00ED3E70">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60" w:after="140"/>
              <w:rPr>
                <w:b/>
                <w:bCs/>
                <w:sz w:val="18"/>
                <w:szCs w:val="18"/>
                <w:lang w:val="es-ES"/>
              </w:rPr>
            </w:pPr>
            <w:r w:rsidRPr="00113C1E">
              <w:rPr>
                <w:sz w:val="18"/>
                <w:lang w:val="es-ES"/>
              </w:rPr>
              <w:t xml:space="preserve">La Conferencia de las Partes tal vez desee examinar el modelo utilizado inicialmente por el Convenio de Basilea para prestar asistencia técnica. Si se adapta este modelo para su uso en relación con el programa internacional específico para el Convenio de </w:t>
            </w:r>
            <w:proofErr w:type="spellStart"/>
            <w:r w:rsidRPr="00113C1E">
              <w:rPr>
                <w:sz w:val="18"/>
                <w:lang w:val="es-ES"/>
              </w:rPr>
              <w:t>Minamata</w:t>
            </w:r>
            <w:proofErr w:type="spellEnd"/>
            <w:r w:rsidRPr="00113C1E">
              <w:rPr>
                <w:sz w:val="18"/>
                <w:lang w:val="es-ES"/>
              </w:rPr>
              <w:t xml:space="preserve">, la secretaría del programa internacional específico se albergaría en la secretaría del Convenio de </w:t>
            </w:r>
            <w:proofErr w:type="spellStart"/>
            <w:r w:rsidRPr="00113C1E">
              <w:rPr>
                <w:sz w:val="18"/>
                <w:lang w:val="es-ES"/>
              </w:rPr>
              <w:t>Minamata</w:t>
            </w:r>
            <w:proofErr w:type="spellEnd"/>
            <w:r w:rsidRPr="00113C1E">
              <w:rPr>
                <w:sz w:val="18"/>
                <w:lang w:val="es-ES"/>
              </w:rPr>
              <w:t xml:space="preserve"> y, aprovechando los funcionarios pertinentes de la secretaría del convenio, se encargaría de todas las funciones de examen técnico, desde el examen de las solicitudes hasta la evaluación y aprobación de proyectos. Realizaría esta labor directamente para la Conferencia de las partes, en tanto que su órgano rector.</w:t>
            </w:r>
          </w:p>
        </w:tc>
      </w:tr>
    </w:tbl>
    <w:p w14:paraId="0AC3251F" w14:textId="77777777" w:rsidR="004D1BF6" w:rsidRPr="00113C1E" w:rsidRDefault="004D1BF6">
      <w:pPr>
        <w:rPr>
          <w:lang w:val="es-ES"/>
        </w:rPr>
      </w:pPr>
    </w:p>
    <w:tbl>
      <w:tblPr>
        <w:tblStyle w:val="TableGrid"/>
        <w:tblW w:w="8487" w:type="dxa"/>
        <w:tblInd w:w="1260" w:type="dxa"/>
        <w:tblLayout w:type="fixed"/>
        <w:tblLook w:val="04A0" w:firstRow="1" w:lastRow="0" w:firstColumn="1" w:lastColumn="0" w:noHBand="0" w:noVBand="1"/>
      </w:tblPr>
      <w:tblGrid>
        <w:gridCol w:w="4225"/>
        <w:gridCol w:w="4262"/>
      </w:tblGrid>
      <w:tr w:rsidR="009E4050" w:rsidRPr="00113C1E" w14:paraId="048842B3" w14:textId="77777777">
        <w:tc>
          <w:tcPr>
            <w:tcW w:w="8487" w:type="dxa"/>
            <w:gridSpan w:val="2"/>
            <w:shd w:val="clear" w:color="auto" w:fill="D9D9D9" w:themeFill="background1" w:themeFillShade="D9"/>
          </w:tcPr>
          <w:p w14:paraId="6745E894" w14:textId="3FFC2C74" w:rsidR="00346878" w:rsidRPr="00113C1E" w:rsidRDefault="0083302D"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lang w:val="es-ES"/>
              </w:rPr>
            </w:pPr>
            <w:r w:rsidRPr="00113C1E">
              <w:rPr>
                <w:b/>
                <w:sz w:val="18"/>
                <w:lang w:val="es-ES"/>
              </w:rPr>
              <w:t xml:space="preserve">4. Consideraciones y consecuencias financieras </w:t>
            </w:r>
          </w:p>
          <w:p w14:paraId="72220FD6" w14:textId="37DD4232" w:rsidR="007B7696" w:rsidRPr="00113C1E" w:rsidRDefault="007B7924"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Cs/>
                <w:sz w:val="18"/>
                <w:szCs w:val="18"/>
                <w:lang w:val="es-ES"/>
              </w:rPr>
            </w:pPr>
            <w:r w:rsidRPr="00113C1E">
              <w:rPr>
                <w:sz w:val="18"/>
                <w:lang w:val="es-ES"/>
              </w:rPr>
              <w:t xml:space="preserve">Según el proyecto de decisión sobre el programa internacional específico mencionado anteriormente, </w:t>
            </w:r>
            <w:r w:rsidR="00113C1E">
              <w:rPr>
                <w:sz w:val="18"/>
                <w:lang w:val="es-ES"/>
              </w:rPr>
              <w:t>“</w:t>
            </w:r>
            <w:r w:rsidRPr="00113C1E">
              <w:rPr>
                <w:sz w:val="18"/>
                <w:lang w:val="es-ES"/>
              </w:rPr>
              <w:t>el Director Ejecutivo del PNUMA prestará apoyo administrativo al programa mediante la asignación de recursos humanos y de otra índole</w:t>
            </w:r>
            <w:r w:rsidR="00113C1E">
              <w:rPr>
                <w:sz w:val="18"/>
                <w:lang w:val="es-ES"/>
              </w:rPr>
              <w:t>”</w:t>
            </w:r>
            <w:r w:rsidRPr="00113C1E">
              <w:rPr>
                <w:sz w:val="18"/>
                <w:lang w:val="es-ES"/>
              </w:rPr>
              <w:t xml:space="preserve">. </w:t>
            </w:r>
          </w:p>
          <w:p w14:paraId="1EE11E7D" w14:textId="5DA69DF0" w:rsidR="00346878" w:rsidRPr="00113C1E" w:rsidRDefault="007B7924"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
                <w:bCs/>
                <w:sz w:val="18"/>
                <w:szCs w:val="18"/>
                <w:lang w:val="es-ES"/>
              </w:rPr>
            </w:pPr>
            <w:r w:rsidRPr="00113C1E">
              <w:rPr>
                <w:sz w:val="18"/>
                <w:lang w:val="es-ES"/>
              </w:rPr>
              <w:t>Independientemente de la ubicación de la secretaría, los gastos de apoyo a los programas generados por el programa internacional específico, así como otros fondos recaudados según sea necesario o cuando proceda, contribuirán a financiar los gastos administrativos del programa con arreglo a las disposiciones existentes. La tasa que aplica</w:t>
            </w:r>
            <w:r w:rsidR="00AC503A" w:rsidRPr="00113C1E">
              <w:rPr>
                <w:sz w:val="18"/>
                <w:lang w:val="es-ES"/>
              </w:rPr>
              <w:t>n</w:t>
            </w:r>
            <w:r w:rsidRPr="00113C1E">
              <w:rPr>
                <w:sz w:val="18"/>
                <w:lang w:val="es-ES"/>
              </w:rPr>
              <w:t xml:space="preserve"> las Naciones Unidas por acoger y administrar los fondos fiduciarios es del 13% de los gastos del Fondo Fiduciario. </w:t>
            </w:r>
          </w:p>
          <w:p w14:paraId="77537D04" w14:textId="5B07CCE6" w:rsidR="007B7696" w:rsidRPr="00113C1E" w:rsidRDefault="007B7696" w:rsidP="006F65A4">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40"/>
              <w:rPr>
                <w:b/>
                <w:bCs/>
                <w:sz w:val="18"/>
                <w:szCs w:val="18"/>
                <w:lang w:val="es-ES"/>
              </w:rPr>
            </w:pPr>
            <w:r w:rsidRPr="00113C1E">
              <w:rPr>
                <w:sz w:val="18"/>
                <w:lang w:val="es-ES"/>
              </w:rPr>
              <w:t xml:space="preserve">La dotación de personal de la secretaría, de ubicarse esta en la Subdivisión, podría ser similar a la que sería precisa si la secretaría se ubicase en la secretaría del Convenio. Se estima que, independientemente de su ubicación, serán necesarios dos oficiales de programas a tiempo completo, junto con el 50% del tiempo de un oficial de gestión de fondos y el 50% del tiempo de un funcionario de apoyo. </w:t>
            </w:r>
          </w:p>
        </w:tc>
      </w:tr>
      <w:tr w:rsidR="009E4050" w:rsidRPr="00113C1E" w14:paraId="7A737A35" w14:textId="77777777">
        <w:tc>
          <w:tcPr>
            <w:tcW w:w="4225" w:type="dxa"/>
            <w:vAlign w:val="center"/>
          </w:tcPr>
          <w:p w14:paraId="33B3AF90" w14:textId="60CE07AD" w:rsidR="00396989" w:rsidRPr="00113C1E" w:rsidRDefault="00396989">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i/>
                <w:iCs/>
                <w:sz w:val="18"/>
                <w:szCs w:val="18"/>
                <w:lang w:val="es-ES"/>
              </w:rPr>
            </w:pPr>
            <w:r w:rsidRPr="00113C1E">
              <w:rPr>
                <w:i/>
                <w:sz w:val="18"/>
                <w:lang w:val="es-ES"/>
              </w:rPr>
              <w:t>Subdivisión</w:t>
            </w:r>
          </w:p>
        </w:tc>
        <w:tc>
          <w:tcPr>
            <w:tcW w:w="4262" w:type="dxa"/>
            <w:vAlign w:val="center"/>
          </w:tcPr>
          <w:p w14:paraId="0F62F611" w14:textId="5B095B5A" w:rsidR="00396989" w:rsidRPr="00113C1E" w:rsidRDefault="00396989">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val="es-ES"/>
              </w:rPr>
            </w:pPr>
            <w:r w:rsidRPr="00113C1E">
              <w:rPr>
                <w:i/>
                <w:sz w:val="18"/>
                <w:lang w:val="es-ES"/>
              </w:rPr>
              <w:t>Secretaría del Convenio</w:t>
            </w:r>
          </w:p>
        </w:tc>
      </w:tr>
      <w:tr w:rsidR="009E4050" w:rsidRPr="00113C1E" w14:paraId="3B243166" w14:textId="77777777">
        <w:tc>
          <w:tcPr>
            <w:tcW w:w="4225" w:type="dxa"/>
          </w:tcPr>
          <w:p w14:paraId="29880CC6" w14:textId="20FFD8C3" w:rsidR="00F809C0" w:rsidRPr="00113C1E" w:rsidRDefault="007B7696">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sz w:val="18"/>
                <w:szCs w:val="18"/>
                <w:lang w:val="es-ES"/>
              </w:rPr>
            </w:pPr>
            <w:r w:rsidRPr="00113C1E">
              <w:rPr>
                <w:sz w:val="18"/>
                <w:lang w:val="es-ES"/>
              </w:rPr>
              <w:t xml:space="preserve">La Subdivisión ha acumulado experiencia mediante el Programa de Inicio Rápido y el Programa Especial para apoyar el fortalecimiento institucional en la prestación de servicios de secretaría a un fondo fiduciario similar al que se necesita para el programa internacional específico. Tanto el Programa de Inicio Rápido como el Fondo Especial financian actividades con las que se apoya y fortalece la aplicación a nivel nacional, de forma similar a la prevista para el programa internacional específico. Consecuentemente, la Subdivisión dispone de la experiencia necesaria en materia de gestión, finanzas, administración y movilización de recursos para administrar el fondo fiduciario pertinente. En la actualidad cuenta en plantilla con un oficial de gestión de fondos a tiempo completo y, desde finales de 2017, con un oficial de gestión de fondos al 50% del tiempo, y tiene acceso a personal </w:t>
            </w:r>
            <w:r w:rsidRPr="007C1433">
              <w:rPr>
                <w:sz w:val="18"/>
                <w:lang w:val="es-ES"/>
              </w:rPr>
              <w:t xml:space="preserve">de respaldo </w:t>
            </w:r>
            <w:r w:rsidR="007C1433" w:rsidRPr="007C1433">
              <w:rPr>
                <w:sz w:val="18"/>
                <w:lang w:val="es-ES"/>
              </w:rPr>
              <w:t xml:space="preserve">a </w:t>
            </w:r>
            <w:r w:rsidRPr="007C1433">
              <w:rPr>
                <w:sz w:val="18"/>
                <w:lang w:val="es-ES"/>
              </w:rPr>
              <w:t>través de</w:t>
            </w:r>
            <w:r w:rsidRPr="00113C1E">
              <w:rPr>
                <w:sz w:val="18"/>
                <w:lang w:val="es-ES"/>
              </w:rPr>
              <w:t xml:space="preserve"> la División de Economía, incluido el apoyo de un oficial superior de gestión de fondos en la Oficina del Director de la División.</w:t>
            </w:r>
          </w:p>
        </w:tc>
        <w:tc>
          <w:tcPr>
            <w:tcW w:w="4262" w:type="dxa"/>
          </w:tcPr>
          <w:p w14:paraId="587D0FEA" w14:textId="6CB912E6" w:rsidR="00C46DD8" w:rsidRPr="00113C1E" w:rsidRDefault="003117BE" w:rsidP="006811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80"/>
              <w:rPr>
                <w:sz w:val="18"/>
                <w:szCs w:val="18"/>
                <w:lang w:val="es-ES"/>
              </w:rPr>
            </w:pPr>
            <w:r w:rsidRPr="00113C1E">
              <w:rPr>
                <w:sz w:val="18"/>
                <w:lang w:val="es-ES"/>
              </w:rPr>
              <w:t>En el momento de su creación, la secretaría del Convenio empleará a un oficial de gestión administrativa y de fondos que se har</w:t>
            </w:r>
            <w:r w:rsidR="00AC503A" w:rsidRPr="00113C1E">
              <w:rPr>
                <w:sz w:val="18"/>
                <w:lang w:val="es-ES"/>
              </w:rPr>
              <w:t>á</w:t>
            </w:r>
            <w:r w:rsidRPr="00113C1E">
              <w:rPr>
                <w:sz w:val="18"/>
                <w:lang w:val="es-ES"/>
              </w:rPr>
              <w:t xml:space="preserve"> cargo de la labor cotidiana en el marco del Convenio y que también podrá apoyar la gestión de fondos para el programa internacional específico de la secretaría. </w:t>
            </w:r>
          </w:p>
          <w:p w14:paraId="635EE18B" w14:textId="342F19E5" w:rsidR="00E141C8" w:rsidRPr="00113C1E" w:rsidRDefault="00581AB9" w:rsidP="006811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sz w:val="18"/>
                <w:szCs w:val="18"/>
                <w:lang w:val="es-ES"/>
              </w:rPr>
            </w:pPr>
            <w:r w:rsidRPr="00113C1E">
              <w:rPr>
                <w:sz w:val="18"/>
                <w:lang w:val="es-ES"/>
              </w:rPr>
              <w:t>Los conocimientos y el apoyo adicionales en materia de fondos y administración</w:t>
            </w:r>
            <w:r w:rsidR="00BB0053" w:rsidRPr="00113C1E">
              <w:rPr>
                <w:sz w:val="18"/>
                <w:lang w:val="es-ES"/>
              </w:rPr>
              <w:t xml:space="preserve"> </w:t>
            </w:r>
            <w:r w:rsidRPr="00113C1E">
              <w:rPr>
                <w:sz w:val="18"/>
                <w:lang w:val="es-ES"/>
              </w:rPr>
              <w:t>dependerán en parte de la forma en que el Director Ejecutivo ejerza las funciones de la secretaría permanente, pero, independientemente del arreglo, se espera que mantengan un nivel capaz de prestar apoyo al programa internacional específico.</w:t>
            </w:r>
          </w:p>
        </w:tc>
      </w:tr>
      <w:tr w:rsidR="009E4050" w:rsidRPr="00113C1E" w14:paraId="7687F07D" w14:textId="77777777">
        <w:tc>
          <w:tcPr>
            <w:tcW w:w="8487" w:type="dxa"/>
            <w:gridSpan w:val="2"/>
            <w:shd w:val="clear" w:color="auto" w:fill="D9D9D9" w:themeFill="background1" w:themeFillShade="D9"/>
          </w:tcPr>
          <w:p w14:paraId="45912A31" w14:textId="56FBC8F1" w:rsidR="00B04509" w:rsidRPr="00113C1E" w:rsidRDefault="009C1644"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80"/>
              <w:jc w:val="center"/>
              <w:rPr>
                <w:b/>
                <w:bCs/>
                <w:sz w:val="18"/>
                <w:szCs w:val="18"/>
                <w:lang w:val="es-ES"/>
              </w:rPr>
            </w:pPr>
            <w:r w:rsidRPr="00113C1E">
              <w:rPr>
                <w:b/>
                <w:sz w:val="18"/>
                <w:lang w:val="es-ES"/>
              </w:rPr>
              <w:t>5. Consideraciones y consecuencias legales</w:t>
            </w:r>
          </w:p>
          <w:p w14:paraId="6CE8C070" w14:textId="5DD4C92D" w:rsidR="00B04509" w:rsidRPr="00113C1E" w:rsidRDefault="00702064" w:rsidP="006F65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80"/>
              <w:rPr>
                <w:b/>
                <w:bCs/>
                <w:sz w:val="18"/>
                <w:szCs w:val="18"/>
                <w:lang w:val="es-ES"/>
              </w:rPr>
            </w:pPr>
            <w:r w:rsidRPr="00113C1E">
              <w:rPr>
                <w:sz w:val="18"/>
                <w:lang w:val="es-ES"/>
              </w:rPr>
              <w:t>Independientemente de su ubicación, la secretaría del programa internacional específico operará</w:t>
            </w:r>
            <w:r w:rsidR="00BB0053" w:rsidRPr="00113C1E">
              <w:rPr>
                <w:sz w:val="18"/>
                <w:lang w:val="es-ES"/>
              </w:rPr>
              <w:t xml:space="preserve"> </w:t>
            </w:r>
            <w:r w:rsidRPr="00113C1E">
              <w:rPr>
                <w:sz w:val="18"/>
                <w:lang w:val="es-ES"/>
              </w:rPr>
              <w:t xml:space="preserve">en última instancia dentro de la estructura institucional general del PNUMA, en particular en lo concerniente a los reglamentos conexos sobre contabilidad, finanzas y recursos humanos, y de los marcos de rendición de cuentas, los requisitos de presentación de informes, las obligaciones de seguimiento y evaluación de las obligaciones y los ciclos de auditoría de las Naciones Unidas. Cabe señalar que el reglamento financiero del Convenio se aplicará también al programa internacional específico. </w:t>
            </w:r>
          </w:p>
          <w:p w14:paraId="0CCB2DC2" w14:textId="2C94FFF1" w:rsidR="00020EEC" w:rsidRPr="00113C1E" w:rsidRDefault="00020EEC">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Cs/>
                <w:sz w:val="18"/>
                <w:szCs w:val="18"/>
                <w:lang w:val="es-ES"/>
              </w:rPr>
            </w:pPr>
            <w:r w:rsidRPr="00113C1E">
              <w:rPr>
                <w:sz w:val="18"/>
                <w:lang w:val="es-ES"/>
              </w:rPr>
              <w:t xml:space="preserve">Además, e independientemente de su ubicación, la secretaría funcionará bajo la orientación de la Conferencia de las Partes, a la que rendirá cuentas. </w:t>
            </w:r>
          </w:p>
        </w:tc>
      </w:tr>
      <w:tr w:rsidR="009E4050" w:rsidRPr="00113C1E" w14:paraId="5821F4D4" w14:textId="77777777">
        <w:tc>
          <w:tcPr>
            <w:tcW w:w="4225" w:type="dxa"/>
            <w:vAlign w:val="center"/>
          </w:tcPr>
          <w:p w14:paraId="67715E28" w14:textId="20C6BFBC" w:rsidR="002B2DAC" w:rsidRPr="00113C1E" w:rsidRDefault="002B2DA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val="es-ES"/>
              </w:rPr>
            </w:pPr>
            <w:r w:rsidRPr="00113C1E">
              <w:rPr>
                <w:i/>
                <w:sz w:val="18"/>
                <w:lang w:val="es-ES"/>
              </w:rPr>
              <w:t>Subdivisión</w:t>
            </w:r>
          </w:p>
        </w:tc>
        <w:tc>
          <w:tcPr>
            <w:tcW w:w="4262" w:type="dxa"/>
            <w:vAlign w:val="center"/>
          </w:tcPr>
          <w:p w14:paraId="0336003F" w14:textId="03B65788" w:rsidR="002B2DAC" w:rsidRPr="00113C1E" w:rsidRDefault="002B2DAC">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val="es-ES"/>
              </w:rPr>
            </w:pPr>
            <w:r w:rsidRPr="00113C1E">
              <w:rPr>
                <w:i/>
                <w:sz w:val="18"/>
                <w:lang w:val="es-ES"/>
              </w:rPr>
              <w:t>Secretaría del Convenio</w:t>
            </w:r>
          </w:p>
        </w:tc>
      </w:tr>
      <w:tr w:rsidR="009E4050" w:rsidRPr="00113C1E" w14:paraId="29BA47F4" w14:textId="77777777">
        <w:tc>
          <w:tcPr>
            <w:tcW w:w="4225" w:type="dxa"/>
          </w:tcPr>
          <w:p w14:paraId="682A03E0" w14:textId="38EEA235" w:rsidR="009377F6" w:rsidRPr="00113C1E" w:rsidRDefault="00CE460E" w:rsidP="006811A4">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i/>
                <w:sz w:val="18"/>
                <w:szCs w:val="18"/>
                <w:lang w:val="es-ES"/>
              </w:rPr>
            </w:pPr>
            <w:r w:rsidRPr="00113C1E">
              <w:rPr>
                <w:sz w:val="18"/>
                <w:lang w:val="es-ES"/>
              </w:rPr>
              <w:t>Puede elaborarse un memorando de entendimiento entre la Conferencia de las Partes y el Director Ejecutivo a fin de definir, entre otras cosas, funciones y responsabilidades, cargos administrativos, el marco de rendición de cuentas y los requisitos de presentación de informes y, en particular, para estipular que la Secretaría funcionará bajo la orientación de la Conferencia de las Partes, a la que rendirá cuentas.</w:t>
            </w:r>
          </w:p>
        </w:tc>
        <w:tc>
          <w:tcPr>
            <w:tcW w:w="4262" w:type="dxa"/>
          </w:tcPr>
          <w:p w14:paraId="2EE39BD7" w14:textId="27E719DF" w:rsidR="00D832FC" w:rsidRPr="00113C1E" w:rsidRDefault="00CE460E">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sz w:val="18"/>
                <w:szCs w:val="18"/>
                <w:lang w:val="es-ES"/>
              </w:rPr>
            </w:pPr>
            <w:r w:rsidRPr="00113C1E">
              <w:rPr>
                <w:sz w:val="18"/>
                <w:lang w:val="es-ES"/>
              </w:rPr>
              <w:t xml:space="preserve">No es necesario un memorando de entendimiento, habida cuenta de que la secretaría del Convenio opera directamente bajo la orientación de la Conferencia de las Partes, ante la que debe rendir cuentas. Se da también por entendido que, dada esta situación, el programa internacional específico es parte integrante de la secretaría del Convenio, y que el Secretario Ejecutivo rendirá cuentas a la Conferencia de las Partes sobre el programa. </w:t>
            </w:r>
          </w:p>
        </w:tc>
      </w:tr>
      <w:tr w:rsidR="009E4050" w:rsidRPr="00113C1E" w14:paraId="6A67146F" w14:textId="77777777">
        <w:tc>
          <w:tcPr>
            <w:tcW w:w="8487" w:type="dxa"/>
            <w:gridSpan w:val="2"/>
            <w:shd w:val="clear" w:color="auto" w:fill="D9D9D9" w:themeFill="background1" w:themeFillShade="D9"/>
          </w:tcPr>
          <w:p w14:paraId="4C2699F7" w14:textId="23E44E40" w:rsidR="00D50731" w:rsidRPr="00382083" w:rsidRDefault="0065554B"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120"/>
              <w:jc w:val="center"/>
              <w:rPr>
                <w:b/>
                <w:bCs/>
                <w:sz w:val="18"/>
                <w:szCs w:val="18"/>
                <w:lang w:val="es-ES"/>
              </w:rPr>
            </w:pPr>
            <w:r w:rsidRPr="00382083">
              <w:rPr>
                <w:b/>
                <w:sz w:val="18"/>
                <w:lang w:val="es-ES"/>
              </w:rPr>
              <w:t>6. Consideraciones administrativas</w:t>
            </w:r>
          </w:p>
          <w:p w14:paraId="6F90802D" w14:textId="308C7648" w:rsidR="00D50731" w:rsidRPr="00113C1E" w:rsidRDefault="00861A7F" w:rsidP="0029126E">
            <w:pPr>
              <w:pStyle w:val="Brdtext"/>
              <w:keepN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sz w:val="18"/>
                <w:szCs w:val="18"/>
                <w:lang w:val="es-ES"/>
              </w:rPr>
            </w:pPr>
            <w:r w:rsidRPr="00113C1E">
              <w:rPr>
                <w:sz w:val="18"/>
                <w:lang w:val="es-ES"/>
              </w:rPr>
              <w:t xml:space="preserve">Será necesario establecer un fondo fiduciario para reunir y gestionar las contribuciones al programa internacional específico. </w:t>
            </w:r>
          </w:p>
        </w:tc>
      </w:tr>
      <w:tr w:rsidR="009E4050" w:rsidRPr="00113C1E" w14:paraId="0F87DA64" w14:textId="77777777">
        <w:tc>
          <w:tcPr>
            <w:tcW w:w="4225" w:type="dxa"/>
            <w:vAlign w:val="center"/>
          </w:tcPr>
          <w:p w14:paraId="6E7533E9" w14:textId="182A9ECD" w:rsidR="00B8506F" w:rsidRPr="00113C1E" w:rsidRDefault="00B8506F">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val="es-ES"/>
              </w:rPr>
            </w:pPr>
            <w:r w:rsidRPr="00113C1E">
              <w:rPr>
                <w:i/>
                <w:sz w:val="18"/>
                <w:lang w:val="es-ES"/>
              </w:rPr>
              <w:t>Subdivisión</w:t>
            </w:r>
          </w:p>
        </w:tc>
        <w:tc>
          <w:tcPr>
            <w:tcW w:w="4262" w:type="dxa"/>
            <w:vAlign w:val="center"/>
          </w:tcPr>
          <w:p w14:paraId="21555AC5" w14:textId="361AE847" w:rsidR="00B8506F" w:rsidRPr="00113C1E" w:rsidRDefault="00B8506F">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before="60" w:after="60"/>
              <w:rPr>
                <w:b/>
                <w:bCs/>
                <w:i/>
                <w:iCs/>
                <w:sz w:val="18"/>
                <w:szCs w:val="18"/>
                <w:lang w:val="es-ES"/>
              </w:rPr>
            </w:pPr>
            <w:r w:rsidRPr="00113C1E">
              <w:rPr>
                <w:i/>
                <w:sz w:val="18"/>
                <w:lang w:val="es-ES"/>
              </w:rPr>
              <w:t>Secretaría del Convenio</w:t>
            </w:r>
          </w:p>
        </w:tc>
      </w:tr>
      <w:tr w:rsidR="009E4050" w:rsidRPr="00113C1E" w14:paraId="69D1EFAA" w14:textId="77777777">
        <w:tc>
          <w:tcPr>
            <w:tcW w:w="4225" w:type="dxa"/>
          </w:tcPr>
          <w:p w14:paraId="78E1B1D0" w14:textId="17751260" w:rsidR="00E141C8" w:rsidRPr="00113C1E" w:rsidRDefault="008353CA" w:rsidP="009E3138">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bCs/>
                <w:sz w:val="18"/>
                <w:szCs w:val="18"/>
                <w:lang w:val="es-ES"/>
              </w:rPr>
            </w:pPr>
            <w:r w:rsidRPr="00113C1E">
              <w:rPr>
                <w:sz w:val="18"/>
                <w:lang w:val="es-ES"/>
              </w:rPr>
              <w:t>Será necesario establecer un nuevo fondo fiduciario de contribuciones voluntarias ante el Contralor</w:t>
            </w:r>
            <w:r w:rsidR="00BB0053" w:rsidRPr="00113C1E">
              <w:rPr>
                <w:sz w:val="18"/>
                <w:lang w:val="es-ES"/>
              </w:rPr>
              <w:t xml:space="preserve"> </w:t>
            </w:r>
            <w:r w:rsidRPr="00113C1E">
              <w:rPr>
                <w:sz w:val="18"/>
                <w:lang w:val="es-ES"/>
              </w:rPr>
              <w:t xml:space="preserve">de Nueva York a través de la División de Servicios Corporativos del PNUMA en Nairobi. Su creación no entrañaría costos directos. El Fondo Fiduciario será administrado a través de la Subdivisión, de forma similar a la forma en que están gestionados y administrados los fondos fiduciarios del Programa de Inicio Rápido y el Programa Especial. </w:t>
            </w:r>
          </w:p>
        </w:tc>
        <w:tc>
          <w:tcPr>
            <w:tcW w:w="4262" w:type="dxa"/>
          </w:tcPr>
          <w:p w14:paraId="424D7F95" w14:textId="572AE07E" w:rsidR="008353CA" w:rsidRPr="00113C1E" w:rsidRDefault="00861A7F" w:rsidP="00E2019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
                <w:bCs/>
                <w:sz w:val="18"/>
                <w:szCs w:val="18"/>
                <w:lang w:val="es-ES"/>
              </w:rPr>
            </w:pPr>
            <w:r w:rsidRPr="00113C1E">
              <w:rPr>
                <w:sz w:val="18"/>
                <w:lang w:val="es-ES"/>
              </w:rPr>
              <w:t>Pueden darse dos situaciones:</w:t>
            </w:r>
          </w:p>
          <w:p w14:paraId="5F03C3FF" w14:textId="465E8B07" w:rsidR="008353CA" w:rsidRPr="00113C1E" w:rsidRDefault="008353CA" w:rsidP="00E2019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after="120"/>
              <w:rPr>
                <w:b/>
                <w:bCs/>
                <w:sz w:val="18"/>
                <w:szCs w:val="18"/>
                <w:lang w:val="es-ES"/>
              </w:rPr>
            </w:pPr>
            <w:r w:rsidRPr="00113C1E">
              <w:rPr>
                <w:sz w:val="18"/>
                <w:lang w:val="es-ES"/>
              </w:rPr>
              <w:t>a) Tras la primera reunión de la Conferencia de las Partes, la secretaría del Convenio, a través de la División de Servicios Corporativos de Nairobi, establece un fondo fiduciario de contribuciones voluntarias para el Convenio ante el Contralor de Nueva York. El programa internacional específico podría incluirse en ese fondo como un epígrafe separado;</w:t>
            </w:r>
          </w:p>
          <w:p w14:paraId="056F74A6" w14:textId="11C3C679" w:rsidR="00E141C8" w:rsidRPr="00113C1E" w:rsidRDefault="008353CA" w:rsidP="00E20196">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 w:val="left" w:pos="4082"/>
              </w:tabs>
              <w:spacing w:after="120"/>
              <w:rPr>
                <w:bCs/>
                <w:sz w:val="18"/>
                <w:szCs w:val="18"/>
                <w:lang w:val="es-ES"/>
              </w:rPr>
            </w:pPr>
            <w:r w:rsidRPr="00113C1E">
              <w:rPr>
                <w:sz w:val="18"/>
                <w:lang w:val="es-ES"/>
              </w:rPr>
              <w:t xml:space="preserve">b) </w:t>
            </w:r>
            <w:r w:rsidR="00AC503A" w:rsidRPr="00113C1E">
              <w:rPr>
                <w:sz w:val="18"/>
                <w:lang w:val="es-ES"/>
              </w:rPr>
              <w:t>S</w:t>
            </w:r>
            <w:r w:rsidRPr="00113C1E">
              <w:rPr>
                <w:sz w:val="18"/>
                <w:lang w:val="es-ES"/>
              </w:rPr>
              <w:t xml:space="preserve">e establece el fondo fiduciario de contribuciones voluntarias en el marco del Convenio, cuya secretaría presenta una segunda solicitud para crear un fondo fiduciario independiente dedicado al programa internacional específico. </w:t>
            </w:r>
          </w:p>
        </w:tc>
      </w:tr>
    </w:tbl>
    <w:p w14:paraId="5D4ED77C" w14:textId="3EB6D77D" w:rsidR="00CB2B2B" w:rsidRPr="00113C1E" w:rsidRDefault="00E035F6" w:rsidP="00BD69FE">
      <w:pPr>
        <w:pStyle w:val="CH1"/>
        <w:rPr>
          <w:lang w:val="es-ES"/>
        </w:rPr>
      </w:pPr>
      <w:r>
        <w:rPr>
          <w:lang w:val="es-ES"/>
        </w:rPr>
        <w:tab/>
      </w:r>
      <w:r w:rsidR="002E371D" w:rsidRPr="00113C1E">
        <w:rPr>
          <w:lang w:val="es-ES"/>
        </w:rPr>
        <w:t>III.</w:t>
      </w:r>
      <w:r w:rsidR="002E371D" w:rsidRPr="00113C1E">
        <w:rPr>
          <w:lang w:val="es-ES"/>
        </w:rPr>
        <w:tab/>
        <w:t xml:space="preserve">Duración del programa internacional específico </w:t>
      </w:r>
    </w:p>
    <w:p w14:paraId="0BA44DDA" w14:textId="6B2D9590" w:rsidR="004529F3" w:rsidRPr="00113C1E" w:rsidRDefault="00C144B8" w:rsidP="00E20196">
      <w:pPr>
        <w:pStyle w:val="Normalnumber"/>
        <w:rPr>
          <w:lang w:val="es-ES"/>
        </w:rPr>
      </w:pPr>
      <w:r w:rsidRPr="00113C1E">
        <w:rPr>
          <w:lang w:val="es-ES"/>
        </w:rPr>
        <w:t xml:space="preserve">A la conclusión de la séptima reunión del Comité Intergubernamental de Negociación, la duración del programa internacional específico se dejó entre corchetes a fin de reflejar tres opciones. El programa podría recibir contribuciones voluntarias y solicitudes de apoyo: </w:t>
      </w:r>
    </w:p>
    <w:p w14:paraId="0D7E3436" w14:textId="2C998280" w:rsidR="004529F3" w:rsidRPr="00113C1E" w:rsidRDefault="004529F3" w:rsidP="00382083">
      <w:pPr>
        <w:pStyle w:val="Normalnumber"/>
        <w:numPr>
          <w:ilvl w:val="0"/>
          <w:numId w:val="57"/>
        </w:numPr>
        <w:tabs>
          <w:tab w:val="clear" w:pos="1247"/>
          <w:tab w:val="clear" w:pos="1814"/>
          <w:tab w:val="clear" w:pos="2381"/>
          <w:tab w:val="clear" w:pos="2948"/>
          <w:tab w:val="clear" w:pos="3515"/>
          <w:tab w:val="clear" w:pos="4082"/>
        </w:tabs>
        <w:ind w:left="1247" w:firstLine="624"/>
        <w:rPr>
          <w:lang w:val="es-ES"/>
        </w:rPr>
      </w:pPr>
      <w:r w:rsidRPr="00113C1E">
        <w:rPr>
          <w:lang w:val="es-ES"/>
        </w:rPr>
        <w:t xml:space="preserve">Durante un período determinado; </w:t>
      </w:r>
    </w:p>
    <w:p w14:paraId="36E6FFB3" w14:textId="1146E2AB" w:rsidR="004529F3" w:rsidRPr="00113C1E" w:rsidRDefault="004529F3" w:rsidP="00382083">
      <w:pPr>
        <w:pStyle w:val="Normalnumber"/>
        <w:numPr>
          <w:ilvl w:val="0"/>
          <w:numId w:val="57"/>
        </w:numPr>
        <w:tabs>
          <w:tab w:val="clear" w:pos="1247"/>
          <w:tab w:val="clear" w:pos="1814"/>
          <w:tab w:val="clear" w:pos="2381"/>
          <w:tab w:val="clear" w:pos="2948"/>
          <w:tab w:val="clear" w:pos="3515"/>
          <w:tab w:val="clear" w:pos="4082"/>
        </w:tabs>
        <w:ind w:left="1247" w:firstLine="624"/>
        <w:rPr>
          <w:lang w:val="es-ES"/>
        </w:rPr>
      </w:pPr>
      <w:r w:rsidRPr="00113C1E">
        <w:rPr>
          <w:lang w:val="es-ES"/>
        </w:rPr>
        <w:t xml:space="preserve">Durante un período ilimitado; </w:t>
      </w:r>
    </w:p>
    <w:p w14:paraId="50B56C63" w14:textId="452F1710" w:rsidR="00A42B32" w:rsidRPr="00113C1E" w:rsidRDefault="004529F3" w:rsidP="00382083">
      <w:pPr>
        <w:pStyle w:val="Normalnumber"/>
        <w:numPr>
          <w:ilvl w:val="0"/>
          <w:numId w:val="57"/>
        </w:numPr>
        <w:tabs>
          <w:tab w:val="clear" w:pos="1247"/>
          <w:tab w:val="clear" w:pos="1814"/>
          <w:tab w:val="clear" w:pos="2381"/>
          <w:tab w:val="clear" w:pos="2948"/>
          <w:tab w:val="clear" w:pos="3515"/>
          <w:tab w:val="clear" w:pos="4082"/>
        </w:tabs>
        <w:ind w:left="1247" w:firstLine="624"/>
        <w:rPr>
          <w:lang w:val="es-ES"/>
        </w:rPr>
      </w:pPr>
      <w:r w:rsidRPr="00113C1E">
        <w:rPr>
          <w:lang w:val="es-ES"/>
        </w:rPr>
        <w:t xml:space="preserve">Durante un período determinado como parte del examen del mecanismo financiero, de conformidad con el párrafo 11 del artículo 13 del Convenio. </w:t>
      </w:r>
    </w:p>
    <w:p w14:paraId="5A5632F2" w14:textId="7898BDD9" w:rsidR="00AE35B6" w:rsidRPr="00113C1E" w:rsidRDefault="00CC52C1" w:rsidP="00E20196">
      <w:pPr>
        <w:pStyle w:val="Normalnumber"/>
        <w:rPr>
          <w:lang w:val="es-ES"/>
        </w:rPr>
      </w:pPr>
      <w:r w:rsidRPr="00113C1E">
        <w:rPr>
          <w:lang w:val="es-ES"/>
        </w:rPr>
        <w:t>El grupo de trabajo especial de expertos sobre financiación, que se reunió en São Paulo (Brasil) del 26 al 29 de octubre de 2015, consideró que era prematuro debatir la duración del programa internacional específico. El Comité tampoco profundizó en esta cuestión en su séptimo período de sesiones. Cabe señalar que el grupo de trabajo especial consensuó que el programa debería considerar la adopción de un programa para su aplicación, que podría revisarse, de ser necesario, y que indicaría en qué</w:t>
      </w:r>
      <w:r w:rsidR="00BB0053" w:rsidRPr="00113C1E">
        <w:rPr>
          <w:lang w:val="es-ES"/>
        </w:rPr>
        <w:t xml:space="preserve"> </w:t>
      </w:r>
      <w:r w:rsidRPr="00113C1E">
        <w:rPr>
          <w:lang w:val="es-ES"/>
        </w:rPr>
        <w:t>esferas del Convenio debía centrarse la atención durante un período determinado de tiempo. Algunas obligaciones dimanantes de algunos artículos del Convenio están sujetas a plazos y son de duración limitada. Por consiguiente, un enfoque programático basado en los períodos de reducción establecidos en los artículos del Convenio</w:t>
      </w:r>
      <w:r w:rsidR="00EB6052" w:rsidRPr="00113C1E">
        <w:rPr>
          <w:lang w:val="es-ES"/>
        </w:rPr>
        <w:t xml:space="preserve"> </w:t>
      </w:r>
      <w:r w:rsidRPr="00113C1E">
        <w:rPr>
          <w:lang w:val="es-ES"/>
        </w:rPr>
        <w:t>sujetos a plazos podría ser la manera de determinar los parámetros de duración apropiados para la aplicación del Convenio mediante el fomento de la capacidad y la asistencia técnica financiados en el marco del programa internacional específico</w:t>
      </w:r>
      <w:r w:rsidR="00764537" w:rsidRPr="00113C1E">
        <w:rPr>
          <w:vertAlign w:val="superscript"/>
          <w:lang w:val="es-ES"/>
        </w:rPr>
        <w:footnoteReference w:id="4"/>
      </w:r>
      <w:r w:rsidRPr="00113C1E">
        <w:rPr>
          <w:lang w:val="es-ES"/>
        </w:rPr>
        <w:t>.</w:t>
      </w:r>
    </w:p>
    <w:p w14:paraId="238DCCEF" w14:textId="14CA98AB" w:rsidR="004D0B6A" w:rsidRPr="00113C1E" w:rsidRDefault="00ED3E70" w:rsidP="006F65A4">
      <w:pPr>
        <w:pStyle w:val="Normalnumber"/>
        <w:keepNext/>
        <w:keepLines/>
        <w:rPr>
          <w:lang w:val="es-ES"/>
        </w:rPr>
      </w:pPr>
      <w:r w:rsidRPr="00113C1E">
        <w:rPr>
          <w:lang w:val="es-ES"/>
        </w:rPr>
        <w:t xml:space="preserve">En el cuadro siguiente se ofrece un </w:t>
      </w:r>
      <w:r w:rsidR="00EB6052" w:rsidRPr="00113C1E">
        <w:rPr>
          <w:lang w:val="es-ES"/>
        </w:rPr>
        <w:t>resumen</w:t>
      </w:r>
      <w:r w:rsidRPr="00113C1E">
        <w:rPr>
          <w:lang w:val="es-ES"/>
        </w:rPr>
        <w:t xml:space="preserve"> general de las fechas de eliminación y artículos con plazos determinados. </w:t>
      </w:r>
    </w:p>
    <w:p w14:paraId="4B6A75AB" w14:textId="7AC6C957" w:rsidR="00EB6052" w:rsidRPr="00113C1E" w:rsidRDefault="00DA5F41" w:rsidP="006F65A4">
      <w:pPr>
        <w:pStyle w:val="Titlefigure"/>
        <w:rPr>
          <w:b w:val="0"/>
          <w:sz w:val="18"/>
          <w:szCs w:val="18"/>
          <w:lang w:val="es-ES"/>
        </w:rPr>
      </w:pPr>
      <w:r w:rsidRPr="00113C1E">
        <w:rPr>
          <w:b w:val="0"/>
          <w:sz w:val="18"/>
          <w:szCs w:val="18"/>
          <w:lang w:val="es-ES"/>
        </w:rPr>
        <w:t>Cuadro</w:t>
      </w:r>
    </w:p>
    <w:p w14:paraId="2CEEF9E0" w14:textId="47741585" w:rsidR="00DA5F41" w:rsidRPr="00113C1E" w:rsidRDefault="00DA5F41" w:rsidP="006F65A4">
      <w:pPr>
        <w:pStyle w:val="Titlefigure"/>
        <w:rPr>
          <w:sz w:val="18"/>
          <w:szCs w:val="18"/>
          <w:lang w:val="es-ES"/>
        </w:rPr>
      </w:pPr>
      <w:r w:rsidRPr="00113C1E">
        <w:rPr>
          <w:sz w:val="18"/>
          <w:szCs w:val="18"/>
          <w:lang w:val="es-ES"/>
        </w:rPr>
        <w:t>Fechas de eliminación y artículos con plazos determinados</w:t>
      </w:r>
    </w:p>
    <w:tbl>
      <w:tblPr>
        <w:tblStyle w:val="TableGrid"/>
        <w:tblW w:w="0" w:type="auto"/>
        <w:tblInd w:w="1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0"/>
        <w:gridCol w:w="3151"/>
        <w:gridCol w:w="3919"/>
      </w:tblGrid>
      <w:tr w:rsidR="009E4050" w:rsidRPr="00113C1E" w14:paraId="0EE87364" w14:textId="77777777" w:rsidTr="000F02C2">
        <w:trPr>
          <w:tblHeader/>
        </w:trPr>
        <w:tc>
          <w:tcPr>
            <w:tcW w:w="1150" w:type="dxa"/>
            <w:tcBorders>
              <w:top w:val="single" w:sz="4" w:space="0" w:color="auto"/>
              <w:bottom w:val="single" w:sz="12" w:space="0" w:color="auto"/>
            </w:tcBorders>
            <w:shd w:val="clear" w:color="auto" w:fill="auto"/>
          </w:tcPr>
          <w:p w14:paraId="751B116C" w14:textId="50F590C4" w:rsidR="00457F03" w:rsidRPr="00113C1E" w:rsidRDefault="00457F0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i/>
                <w:sz w:val="18"/>
                <w:szCs w:val="18"/>
                <w:lang w:val="es-ES"/>
              </w:rPr>
            </w:pPr>
            <w:r w:rsidRPr="00113C1E">
              <w:rPr>
                <w:i/>
                <w:sz w:val="18"/>
                <w:szCs w:val="18"/>
                <w:lang w:val="es-ES"/>
              </w:rPr>
              <w:t>Fecha</w:t>
            </w:r>
          </w:p>
        </w:tc>
        <w:tc>
          <w:tcPr>
            <w:tcW w:w="3151" w:type="dxa"/>
            <w:tcBorders>
              <w:top w:val="single" w:sz="4" w:space="0" w:color="auto"/>
              <w:bottom w:val="single" w:sz="12" w:space="0" w:color="auto"/>
            </w:tcBorders>
            <w:shd w:val="clear" w:color="auto" w:fill="auto"/>
          </w:tcPr>
          <w:p w14:paraId="2A7843B6" w14:textId="3478C84A" w:rsidR="00457F03" w:rsidRPr="00113C1E" w:rsidRDefault="00457F0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i/>
                <w:sz w:val="18"/>
                <w:szCs w:val="18"/>
                <w:lang w:val="es-ES"/>
              </w:rPr>
            </w:pPr>
            <w:r w:rsidRPr="00113C1E">
              <w:rPr>
                <w:i/>
                <w:sz w:val="18"/>
                <w:szCs w:val="18"/>
                <w:lang w:val="es-ES"/>
              </w:rPr>
              <w:t>Artículo y</w:t>
            </w:r>
            <w:r w:rsidR="00BB0053" w:rsidRPr="00113C1E">
              <w:rPr>
                <w:i/>
                <w:sz w:val="18"/>
                <w:szCs w:val="18"/>
                <w:lang w:val="es-ES"/>
              </w:rPr>
              <w:t xml:space="preserve"> </w:t>
            </w:r>
            <w:r w:rsidRPr="00113C1E">
              <w:rPr>
                <w:i/>
                <w:sz w:val="18"/>
                <w:szCs w:val="18"/>
                <w:lang w:val="es-ES"/>
              </w:rPr>
              <w:t>anexo del Convenio</w:t>
            </w:r>
          </w:p>
        </w:tc>
        <w:tc>
          <w:tcPr>
            <w:tcW w:w="3919" w:type="dxa"/>
            <w:tcBorders>
              <w:top w:val="single" w:sz="4" w:space="0" w:color="auto"/>
              <w:bottom w:val="single" w:sz="12" w:space="0" w:color="auto"/>
            </w:tcBorders>
            <w:shd w:val="clear" w:color="auto" w:fill="auto"/>
          </w:tcPr>
          <w:p w14:paraId="62CA711C" w14:textId="099A60F0" w:rsidR="00457F03" w:rsidRPr="00113C1E" w:rsidRDefault="00457F0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i/>
                <w:sz w:val="18"/>
                <w:szCs w:val="18"/>
                <w:lang w:val="es-ES"/>
              </w:rPr>
            </w:pPr>
            <w:r w:rsidRPr="00113C1E">
              <w:rPr>
                <w:i/>
                <w:sz w:val="18"/>
                <w:szCs w:val="18"/>
                <w:lang w:val="es-ES"/>
              </w:rPr>
              <w:t>Descripción</w:t>
            </w:r>
          </w:p>
        </w:tc>
      </w:tr>
      <w:tr w:rsidR="009E4050" w:rsidRPr="00113C1E" w14:paraId="069F8A24" w14:textId="77777777">
        <w:trPr>
          <w:trHeight w:val="494"/>
        </w:trPr>
        <w:tc>
          <w:tcPr>
            <w:tcW w:w="1150" w:type="dxa"/>
            <w:tcBorders>
              <w:top w:val="single" w:sz="12" w:space="0" w:color="auto"/>
            </w:tcBorders>
            <w:shd w:val="clear" w:color="auto" w:fill="auto"/>
          </w:tcPr>
          <w:p w14:paraId="6DFEE0FA" w14:textId="1B515411" w:rsidR="002B66A3" w:rsidRPr="00113C1E" w:rsidRDefault="002B66A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2018</w:t>
            </w:r>
          </w:p>
        </w:tc>
        <w:tc>
          <w:tcPr>
            <w:tcW w:w="3151" w:type="dxa"/>
            <w:tcBorders>
              <w:top w:val="single" w:sz="12" w:space="0" w:color="auto"/>
            </w:tcBorders>
            <w:shd w:val="clear" w:color="auto" w:fill="auto"/>
          </w:tcPr>
          <w:p w14:paraId="480255A8" w14:textId="208FC53E" w:rsidR="002B66A3" w:rsidRPr="00113C1E" w:rsidRDefault="004B7FCF"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5 2) y anexo B</w:t>
            </w:r>
          </w:p>
        </w:tc>
        <w:tc>
          <w:tcPr>
            <w:tcW w:w="3919" w:type="dxa"/>
            <w:tcBorders>
              <w:top w:val="single" w:sz="12" w:space="0" w:color="auto"/>
            </w:tcBorders>
            <w:shd w:val="clear" w:color="auto" w:fill="auto"/>
          </w:tcPr>
          <w:p w14:paraId="6609DA8B" w14:textId="335775B8" w:rsidR="002B66A3" w:rsidRPr="00113C1E" w:rsidRDefault="002B66A3" w:rsidP="006F65A4">
            <w:pPr>
              <w:pStyle w:val="Brdtext"/>
              <w:keepNext/>
              <w:keepLines/>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Producción de acetaldehído en la que se utiliza mercurio o compuestos de mercurio como catalizador</w:t>
            </w:r>
          </w:p>
        </w:tc>
      </w:tr>
      <w:tr w:rsidR="009E4050" w:rsidRPr="00113C1E" w14:paraId="31832D25" w14:textId="77777777">
        <w:tc>
          <w:tcPr>
            <w:tcW w:w="1150" w:type="dxa"/>
            <w:vMerge w:val="restart"/>
            <w:shd w:val="clear" w:color="auto" w:fill="auto"/>
          </w:tcPr>
          <w:p w14:paraId="7AF1DE78" w14:textId="0459FDE4" w:rsidR="003F3DD9" w:rsidRPr="00113C1E"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2020</w:t>
            </w:r>
          </w:p>
        </w:tc>
        <w:tc>
          <w:tcPr>
            <w:tcW w:w="3151" w:type="dxa"/>
            <w:shd w:val="clear" w:color="auto" w:fill="auto"/>
          </w:tcPr>
          <w:p w14:paraId="2BF0A77E" w14:textId="15319751" w:rsidR="003F3DD9" w:rsidRPr="00113C1E"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4 1) y</w:t>
            </w:r>
            <w:r w:rsidR="00BB0053" w:rsidRPr="00113C1E">
              <w:rPr>
                <w:sz w:val="18"/>
                <w:szCs w:val="18"/>
                <w:lang w:val="es-ES"/>
              </w:rPr>
              <w:t xml:space="preserve"> </w:t>
            </w:r>
            <w:r w:rsidRPr="00113C1E">
              <w:rPr>
                <w:sz w:val="18"/>
                <w:szCs w:val="18"/>
                <w:lang w:val="es-ES"/>
              </w:rPr>
              <w:t>anexo A</w:t>
            </w:r>
          </w:p>
        </w:tc>
        <w:tc>
          <w:tcPr>
            <w:tcW w:w="3919" w:type="dxa"/>
            <w:shd w:val="clear" w:color="auto" w:fill="auto"/>
          </w:tcPr>
          <w:p w14:paraId="4A565707" w14:textId="52364348" w:rsidR="003F3DD9" w:rsidRPr="007C1433"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7C1433">
              <w:rPr>
                <w:sz w:val="18"/>
                <w:szCs w:val="18"/>
                <w:lang w:val="es-ES"/>
              </w:rPr>
              <w:t xml:space="preserve">No se permitirá la fabricación, importación o exportación de diversos productos con mercurio añadido (incluidas baterías, interruptores y relés, lámparas fluorescentes compactas y lineales, lámparas de vapor de mercurio a alta presión, lámparas fluorescentes de cátodo frío y lámparas fluorescentes de electrodo externo para pantallas, cosméticos, plaguicidas, </w:t>
            </w:r>
            <w:proofErr w:type="spellStart"/>
            <w:r w:rsidRPr="007C1433">
              <w:rPr>
                <w:sz w:val="18"/>
                <w:szCs w:val="18"/>
                <w:lang w:val="es-ES"/>
              </w:rPr>
              <w:t>biocidas</w:t>
            </w:r>
            <w:proofErr w:type="spellEnd"/>
            <w:r w:rsidRPr="007C1433">
              <w:rPr>
                <w:sz w:val="18"/>
                <w:szCs w:val="18"/>
                <w:lang w:val="es-ES"/>
              </w:rPr>
              <w:t xml:space="preserve"> y antisépticos de uso tópico y barómetros, higrómetros, manómetros, termómetros y esfigmomanómetros) </w:t>
            </w:r>
          </w:p>
        </w:tc>
      </w:tr>
      <w:tr w:rsidR="009E4050" w:rsidRPr="00113C1E" w14:paraId="1067A269" w14:textId="77777777">
        <w:tc>
          <w:tcPr>
            <w:tcW w:w="1150" w:type="dxa"/>
            <w:vMerge/>
            <w:shd w:val="clear" w:color="auto" w:fill="auto"/>
          </w:tcPr>
          <w:p w14:paraId="01BAFF31" w14:textId="2EF20666" w:rsidR="003F3DD9" w:rsidRPr="00113C1E"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p>
        </w:tc>
        <w:tc>
          <w:tcPr>
            <w:tcW w:w="3151" w:type="dxa"/>
            <w:vMerge w:val="restart"/>
            <w:shd w:val="clear" w:color="auto" w:fill="auto"/>
          </w:tcPr>
          <w:p w14:paraId="4C5DF1D4" w14:textId="2ED2FAED" w:rsidR="003F3DD9" w:rsidRPr="00113C1E"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5 3) y anexo B</w:t>
            </w:r>
          </w:p>
        </w:tc>
        <w:tc>
          <w:tcPr>
            <w:tcW w:w="3919" w:type="dxa"/>
            <w:shd w:val="clear" w:color="auto" w:fill="auto"/>
          </w:tcPr>
          <w:p w14:paraId="7DDCAC06" w14:textId="6EF112DD" w:rsidR="003F3DD9" w:rsidRPr="00113C1E"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En la producción de monómeros de cloruro de vinilo, reducir el uso de mercurio en términos de producción por unidad en un 50% para 2020, en relación con el uso en 2010</w:t>
            </w:r>
          </w:p>
        </w:tc>
      </w:tr>
      <w:tr w:rsidR="009E4050" w:rsidRPr="00113C1E" w14:paraId="72CE51EF" w14:textId="77777777">
        <w:tc>
          <w:tcPr>
            <w:tcW w:w="1150" w:type="dxa"/>
            <w:vMerge/>
            <w:shd w:val="clear" w:color="auto" w:fill="auto"/>
          </w:tcPr>
          <w:p w14:paraId="3E271612" w14:textId="241662FB" w:rsidR="003F3DD9" w:rsidRPr="00113C1E"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p>
        </w:tc>
        <w:tc>
          <w:tcPr>
            <w:tcW w:w="3151" w:type="dxa"/>
            <w:vMerge/>
            <w:shd w:val="clear" w:color="auto" w:fill="auto"/>
          </w:tcPr>
          <w:p w14:paraId="7C868A00" w14:textId="0432EBD9" w:rsidR="003F3DD9" w:rsidRPr="00113C1E" w:rsidRDefault="003F3DD9"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p>
        </w:tc>
        <w:tc>
          <w:tcPr>
            <w:tcW w:w="3919" w:type="dxa"/>
            <w:shd w:val="clear" w:color="auto" w:fill="auto"/>
          </w:tcPr>
          <w:p w14:paraId="50691D8E" w14:textId="6F0C7716" w:rsidR="003F3DD9" w:rsidRPr="00113C1E" w:rsidRDefault="003F3DD9" w:rsidP="00F83723">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 xml:space="preserve">En relación con el </w:t>
            </w:r>
            <w:proofErr w:type="spellStart"/>
            <w:r w:rsidRPr="00113C1E">
              <w:rPr>
                <w:sz w:val="18"/>
                <w:szCs w:val="18"/>
                <w:lang w:val="es-ES"/>
              </w:rPr>
              <w:t>metilato</w:t>
            </w:r>
            <w:proofErr w:type="spellEnd"/>
            <w:r w:rsidRPr="00113C1E">
              <w:rPr>
                <w:sz w:val="18"/>
                <w:szCs w:val="18"/>
                <w:lang w:val="es-ES"/>
              </w:rPr>
              <w:t xml:space="preserve"> o </w:t>
            </w:r>
            <w:proofErr w:type="spellStart"/>
            <w:r w:rsidRPr="00113C1E">
              <w:rPr>
                <w:sz w:val="18"/>
                <w:szCs w:val="18"/>
                <w:lang w:val="es-ES"/>
              </w:rPr>
              <w:t>etilato</w:t>
            </w:r>
            <w:proofErr w:type="spellEnd"/>
            <w:r w:rsidRPr="00113C1E">
              <w:rPr>
                <w:sz w:val="18"/>
                <w:szCs w:val="18"/>
                <w:lang w:val="es-ES"/>
              </w:rPr>
              <w:t xml:space="preserve"> potásico, reducir las emisiones y liberaciones en términos de producción por unidad en un 50% antes del año</w:t>
            </w:r>
            <w:r w:rsidR="00F83723">
              <w:rPr>
                <w:sz w:val="18"/>
                <w:szCs w:val="18"/>
                <w:lang w:val="es-ES"/>
              </w:rPr>
              <w:t> </w:t>
            </w:r>
            <w:r w:rsidRPr="00113C1E">
              <w:rPr>
                <w:sz w:val="18"/>
                <w:szCs w:val="18"/>
                <w:lang w:val="es-ES"/>
              </w:rPr>
              <w:t>2020 en relación con 2010</w:t>
            </w:r>
          </w:p>
        </w:tc>
      </w:tr>
      <w:tr w:rsidR="009E4050" w:rsidRPr="00113C1E" w14:paraId="702A3C13" w14:textId="77777777">
        <w:tc>
          <w:tcPr>
            <w:tcW w:w="1150" w:type="dxa"/>
            <w:shd w:val="clear" w:color="auto" w:fill="auto"/>
          </w:tcPr>
          <w:p w14:paraId="127C7BFB" w14:textId="29E03BBB" w:rsidR="002B66A3" w:rsidRPr="00113C1E" w:rsidRDefault="002B66A3"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2025</w:t>
            </w:r>
          </w:p>
        </w:tc>
        <w:tc>
          <w:tcPr>
            <w:tcW w:w="3151" w:type="dxa"/>
            <w:shd w:val="clear" w:color="auto" w:fill="auto"/>
          </w:tcPr>
          <w:p w14:paraId="3891ED39" w14:textId="168E9BBF" w:rsidR="002B66A3" w:rsidRPr="00113C1E" w:rsidRDefault="004B7FCF">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5 2) y anexo B</w:t>
            </w:r>
          </w:p>
        </w:tc>
        <w:tc>
          <w:tcPr>
            <w:tcW w:w="3919" w:type="dxa"/>
            <w:shd w:val="clear" w:color="auto" w:fill="auto"/>
          </w:tcPr>
          <w:p w14:paraId="4CAD0D12" w14:textId="3ACDC2FC" w:rsidR="002B66A3" w:rsidRPr="00113C1E" w:rsidRDefault="002B66A3"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Producción de cloro-álcali</w:t>
            </w:r>
          </w:p>
        </w:tc>
      </w:tr>
      <w:tr w:rsidR="009E4050" w:rsidRPr="00113C1E" w14:paraId="1F4FA7A8" w14:textId="77777777">
        <w:trPr>
          <w:trHeight w:val="784"/>
        </w:trPr>
        <w:tc>
          <w:tcPr>
            <w:tcW w:w="1150" w:type="dxa"/>
            <w:tcBorders>
              <w:bottom w:val="single" w:sz="12" w:space="0" w:color="auto"/>
            </w:tcBorders>
            <w:shd w:val="clear" w:color="auto" w:fill="auto"/>
          </w:tcPr>
          <w:p w14:paraId="69BC17FE" w14:textId="4C06FFC4" w:rsidR="002B66A3" w:rsidRPr="00113C1E" w:rsidRDefault="004B7FCF" w:rsidP="00DA5F41">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2027</w:t>
            </w:r>
          </w:p>
        </w:tc>
        <w:tc>
          <w:tcPr>
            <w:tcW w:w="3151" w:type="dxa"/>
            <w:tcBorders>
              <w:bottom w:val="single" w:sz="12" w:space="0" w:color="auto"/>
            </w:tcBorders>
            <w:shd w:val="clear" w:color="auto" w:fill="auto"/>
          </w:tcPr>
          <w:p w14:paraId="18FA8DA5" w14:textId="657B0A04" w:rsidR="002B66A3" w:rsidRPr="00113C1E" w:rsidRDefault="003F3DD9">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5 3) y anexo B</w:t>
            </w:r>
          </w:p>
        </w:tc>
        <w:tc>
          <w:tcPr>
            <w:tcW w:w="3919" w:type="dxa"/>
            <w:tcBorders>
              <w:bottom w:val="single" w:sz="12" w:space="0" w:color="auto"/>
            </w:tcBorders>
            <w:shd w:val="clear" w:color="auto" w:fill="auto"/>
          </w:tcPr>
          <w:p w14:paraId="6FF15632" w14:textId="4A4C6286" w:rsidR="002B66A3" w:rsidRPr="00113C1E" w:rsidRDefault="004B7FCF">
            <w:pPr>
              <w:pStyle w:val="Brdtext"/>
              <w:pBdr>
                <w:top w:val="none" w:sz="0" w:space="0" w:color="auto"/>
                <w:left w:val="none" w:sz="0" w:space="0" w:color="auto"/>
                <w:bottom w:val="none" w:sz="0" w:space="0" w:color="auto"/>
                <w:right w:val="none" w:sz="0" w:space="0" w:color="auto"/>
                <w:bar w:val="none" w:sz="0" w:color="auto"/>
              </w:pBdr>
              <w:tabs>
                <w:tab w:val="clear" w:pos="1814"/>
                <w:tab w:val="left" w:pos="624"/>
                <w:tab w:val="left" w:pos="1134"/>
                <w:tab w:val="left" w:pos="3119"/>
              </w:tabs>
              <w:spacing w:before="40" w:after="40"/>
              <w:rPr>
                <w:sz w:val="18"/>
                <w:szCs w:val="18"/>
                <w:lang w:val="es-ES"/>
              </w:rPr>
            </w:pPr>
            <w:r w:rsidRPr="00113C1E">
              <w:rPr>
                <w:sz w:val="18"/>
                <w:szCs w:val="18"/>
                <w:lang w:val="es-ES"/>
              </w:rPr>
              <w:t xml:space="preserve">En relación con el </w:t>
            </w:r>
            <w:proofErr w:type="spellStart"/>
            <w:r w:rsidRPr="00113C1E">
              <w:rPr>
                <w:sz w:val="18"/>
                <w:szCs w:val="18"/>
                <w:lang w:val="es-ES"/>
              </w:rPr>
              <w:t>metilato</w:t>
            </w:r>
            <w:proofErr w:type="spellEnd"/>
            <w:r w:rsidRPr="00113C1E">
              <w:rPr>
                <w:sz w:val="18"/>
                <w:szCs w:val="18"/>
                <w:lang w:val="es-ES"/>
              </w:rPr>
              <w:t xml:space="preserve"> o </w:t>
            </w:r>
            <w:proofErr w:type="spellStart"/>
            <w:r w:rsidRPr="00113C1E">
              <w:rPr>
                <w:sz w:val="18"/>
                <w:szCs w:val="18"/>
                <w:lang w:val="es-ES"/>
              </w:rPr>
              <w:t>etilato</w:t>
            </w:r>
            <w:proofErr w:type="spellEnd"/>
            <w:r w:rsidRPr="00113C1E">
              <w:rPr>
                <w:sz w:val="18"/>
                <w:szCs w:val="18"/>
                <w:lang w:val="es-ES"/>
              </w:rPr>
              <w:t xml:space="preserve"> potásico, reducir el uso de mercurio con el propósito de eliminar este uso lo antes posible y en un plazo de diez años a partir de la entrada en vigor del Convenio</w:t>
            </w:r>
          </w:p>
        </w:tc>
      </w:tr>
    </w:tbl>
    <w:p w14:paraId="7596F540" w14:textId="6D1A46C0" w:rsidR="00EA291A" w:rsidRPr="00113C1E" w:rsidRDefault="00EA291A" w:rsidP="0029126E">
      <w:pPr>
        <w:pStyle w:val="Normalnumber"/>
        <w:spacing w:before="120"/>
        <w:rPr>
          <w:lang w:val="es-ES"/>
        </w:rPr>
      </w:pPr>
      <w:r w:rsidRPr="00113C1E">
        <w:rPr>
          <w:lang w:val="es-ES"/>
        </w:rPr>
        <w:t xml:space="preserve">Las obligaciones correspondientes a la presentación de informes en virtud del artículo 21 no se han incluido en los cuadros porque la Conferencia de las Partes aún no ha acordado ni el calendario ni la frecuencia de la presentación de informes. </w:t>
      </w:r>
    </w:p>
    <w:p w14:paraId="3B09C2FB" w14:textId="46BE3287" w:rsidR="00720825" w:rsidRPr="00113C1E" w:rsidRDefault="00E035F6" w:rsidP="00E20196">
      <w:pPr>
        <w:pStyle w:val="CH1"/>
        <w:rPr>
          <w:lang w:val="es-ES"/>
        </w:rPr>
      </w:pPr>
      <w:r>
        <w:rPr>
          <w:lang w:val="es-ES"/>
        </w:rPr>
        <w:tab/>
      </w:r>
      <w:r w:rsidR="00BD69FE" w:rsidRPr="00113C1E">
        <w:rPr>
          <w:lang w:val="es-ES"/>
        </w:rPr>
        <w:t>IV.</w:t>
      </w:r>
      <w:r w:rsidR="00BD69FE" w:rsidRPr="00113C1E">
        <w:rPr>
          <w:lang w:val="es-ES"/>
        </w:rPr>
        <w:tab/>
        <w:t>Medida que podría adoptar la Conferencia de las Partes</w:t>
      </w:r>
    </w:p>
    <w:p w14:paraId="769395E8" w14:textId="5DD35D33" w:rsidR="00720825" w:rsidRPr="00113C1E" w:rsidRDefault="00720825" w:rsidP="00E20196">
      <w:pPr>
        <w:pStyle w:val="Normalnumber"/>
        <w:rPr>
          <w:lang w:val="es-ES"/>
        </w:rPr>
      </w:pPr>
      <w:r w:rsidRPr="00113C1E">
        <w:rPr>
          <w:lang w:val="es-ES"/>
        </w:rPr>
        <w:t xml:space="preserve">La Conferencia </w:t>
      </w:r>
      <w:bookmarkStart w:id="0" w:name="_GoBack"/>
      <w:bookmarkEnd w:id="0"/>
      <w:r w:rsidRPr="00113C1E">
        <w:rPr>
          <w:lang w:val="es-ES"/>
        </w:rPr>
        <w:t>de las Partes tal vez desee considerar la presente nota en relación con la información que figuraba en el documento UNEP/MC/COP.1/9, en particular el apéndice II, para ultimar el examen del establecimiento del programa internacional específico como parte de la decisión general de dar efecto al mecanismo financiero del Convenio.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41"/>
        <w:gridCol w:w="1941"/>
        <w:gridCol w:w="1941"/>
        <w:gridCol w:w="1941"/>
        <w:gridCol w:w="1942"/>
      </w:tblGrid>
      <w:tr w:rsidR="009E4050" w:rsidRPr="00113C1E" w14:paraId="4DDF8A28" w14:textId="77777777">
        <w:tc>
          <w:tcPr>
            <w:tcW w:w="1941" w:type="dxa"/>
          </w:tcPr>
          <w:p w14:paraId="3639C00D" w14:textId="77777777" w:rsidR="002E371D" w:rsidRPr="00113C1E" w:rsidRDefault="002E371D" w:rsidP="002E371D">
            <w:pPr>
              <w:pStyle w:val="Normal-pool"/>
              <w:spacing w:before="520"/>
              <w:rPr>
                <w:lang w:val="es-ES"/>
              </w:rPr>
            </w:pPr>
          </w:p>
        </w:tc>
        <w:tc>
          <w:tcPr>
            <w:tcW w:w="1941" w:type="dxa"/>
          </w:tcPr>
          <w:p w14:paraId="60897914" w14:textId="77777777" w:rsidR="002E371D" w:rsidRPr="00113C1E" w:rsidRDefault="002E371D" w:rsidP="002E371D">
            <w:pPr>
              <w:pStyle w:val="Normal-pool"/>
              <w:spacing w:before="520"/>
              <w:rPr>
                <w:lang w:val="es-ES"/>
              </w:rPr>
            </w:pPr>
          </w:p>
        </w:tc>
        <w:tc>
          <w:tcPr>
            <w:tcW w:w="1941" w:type="dxa"/>
            <w:tcBorders>
              <w:bottom w:val="single" w:sz="4" w:space="0" w:color="auto"/>
            </w:tcBorders>
          </w:tcPr>
          <w:p w14:paraId="14F6E39D" w14:textId="77777777" w:rsidR="002E371D" w:rsidRPr="00113C1E" w:rsidRDefault="002E371D" w:rsidP="002E371D">
            <w:pPr>
              <w:pStyle w:val="Normal-pool"/>
              <w:spacing w:before="520"/>
              <w:rPr>
                <w:lang w:val="es-ES"/>
              </w:rPr>
            </w:pPr>
          </w:p>
        </w:tc>
        <w:tc>
          <w:tcPr>
            <w:tcW w:w="1941" w:type="dxa"/>
          </w:tcPr>
          <w:p w14:paraId="5E86AE5D" w14:textId="77777777" w:rsidR="002E371D" w:rsidRPr="00113C1E" w:rsidRDefault="002E371D" w:rsidP="002E371D">
            <w:pPr>
              <w:pStyle w:val="Normal-pool"/>
              <w:spacing w:before="520"/>
              <w:rPr>
                <w:lang w:val="es-ES"/>
              </w:rPr>
            </w:pPr>
          </w:p>
        </w:tc>
        <w:tc>
          <w:tcPr>
            <w:tcW w:w="1942" w:type="dxa"/>
          </w:tcPr>
          <w:p w14:paraId="6FDC05B1" w14:textId="77777777" w:rsidR="002E371D" w:rsidRPr="00113C1E" w:rsidRDefault="002E371D" w:rsidP="002E371D">
            <w:pPr>
              <w:pStyle w:val="Normal-pool"/>
              <w:spacing w:before="520"/>
              <w:rPr>
                <w:lang w:val="es-ES"/>
              </w:rPr>
            </w:pPr>
          </w:p>
        </w:tc>
      </w:tr>
    </w:tbl>
    <w:p w14:paraId="09FE60DE" w14:textId="77777777" w:rsidR="00677B7A" w:rsidRPr="00113C1E" w:rsidRDefault="00677B7A" w:rsidP="002E371D">
      <w:pPr>
        <w:pStyle w:val="Normal-pool"/>
        <w:rPr>
          <w:lang w:val="es-ES"/>
        </w:rPr>
      </w:pPr>
    </w:p>
    <w:sectPr w:rsidR="00677B7A" w:rsidRPr="00113C1E" w:rsidSect="00A17EF3">
      <w:headerReference w:type="even" r:id="rId14"/>
      <w:headerReference w:type="default" r:id="rId15"/>
      <w:footerReference w:type="even" r:id="rId16"/>
      <w:footerReference w:type="default" r:id="rId17"/>
      <w:headerReference w:type="first" r:id="rId18"/>
      <w:footerReference w:type="first" r:id="rId19"/>
      <w:footnotePr>
        <w:numRestart w:val="eachSect"/>
      </w:footnotePr>
      <w:type w:val="continuous"/>
      <w:pgSz w:w="11900" w:h="16840"/>
      <w:pgMar w:top="907" w:right="992" w:bottom="1418" w:left="1418" w:header="539" w:footer="975"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4D84B" w14:textId="77777777" w:rsidR="007C1433" w:rsidRDefault="007C1433">
      <w:r>
        <w:separator/>
      </w:r>
    </w:p>
  </w:endnote>
  <w:endnote w:type="continuationSeparator" w:id="0">
    <w:p w14:paraId="6CB89B78" w14:textId="77777777" w:rsidR="007C1433" w:rsidRDefault="007C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B8A8D" w14:textId="5961D0B4" w:rsidR="007C1433" w:rsidRDefault="007C1433">
    <w:pPr>
      <w:pStyle w:val="Footer"/>
    </w:pPr>
    <w:r>
      <w:rPr>
        <w:rStyle w:val="PageNumber"/>
      </w:rPr>
      <w:fldChar w:fldCharType="begin"/>
    </w:r>
    <w:r>
      <w:rPr>
        <w:rStyle w:val="PageNumber"/>
      </w:rPr>
      <w:instrText xml:space="preserve"> PAGE </w:instrText>
    </w:r>
    <w:r>
      <w:rPr>
        <w:rStyle w:val="PageNumber"/>
      </w:rPr>
      <w:fldChar w:fldCharType="separate"/>
    </w:r>
    <w:r w:rsidR="004648F0">
      <w:rPr>
        <w:rStyle w:val="PageNumber"/>
        <w:noProof/>
      </w:rPr>
      <w:t>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578DF" w14:textId="76E53879" w:rsidR="007C1433" w:rsidRDefault="007C1433"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648F0">
      <w:rPr>
        <w:rStyle w:val="PageNumber"/>
        <w:noProof/>
      </w:rPr>
      <w:t>7</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9AC4" w14:textId="13860E4E" w:rsidR="007C1433" w:rsidRPr="002E371D" w:rsidRDefault="007C1433" w:rsidP="002E371D">
    <w:pPr>
      <w:pStyle w:val="Footer"/>
      <w:tabs>
        <w:tab w:val="clear" w:pos="1247"/>
        <w:tab w:val="clear" w:pos="1814"/>
        <w:tab w:val="clear" w:pos="2381"/>
        <w:tab w:val="clear" w:pos="2948"/>
        <w:tab w:val="clear" w:pos="3515"/>
        <w:tab w:val="clear" w:pos="4320"/>
        <w:tab w:val="clear" w:pos="8640"/>
        <w:tab w:val="left" w:pos="624"/>
      </w:tabs>
      <w:rPr>
        <w:sz w:val="20"/>
      </w:rPr>
    </w:pPr>
    <w:r>
      <w:rPr>
        <w:lang w:val="es-ES"/>
      </w:rPr>
      <w:t>K1707062</w:t>
    </w:r>
    <w:r>
      <w:rPr>
        <w:lang w:val="es-ES"/>
      </w:rPr>
      <w:tab/>
      <w:t>140817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78B01" w14:textId="77777777" w:rsidR="007C1433" w:rsidRDefault="007C1433" w:rsidP="002E371D">
      <w:pPr>
        <w:spacing w:before="60"/>
        <w:ind w:left="624"/>
      </w:pPr>
      <w:r>
        <w:separator/>
      </w:r>
    </w:p>
  </w:footnote>
  <w:footnote w:type="continuationSeparator" w:id="0">
    <w:p w14:paraId="2FB7084A" w14:textId="77777777" w:rsidR="007C1433" w:rsidRDefault="007C1433">
      <w:r>
        <w:continuationSeparator/>
      </w:r>
    </w:p>
  </w:footnote>
  <w:footnote w:id="1">
    <w:p w14:paraId="7BE29B76" w14:textId="77777777" w:rsidR="007C1433" w:rsidRPr="00BB0053" w:rsidRDefault="007C1433" w:rsidP="004B4518">
      <w:pPr>
        <w:tabs>
          <w:tab w:val="left" w:pos="624"/>
        </w:tabs>
        <w:spacing w:before="20" w:after="40"/>
        <w:ind w:left="1247"/>
        <w:rPr>
          <w:sz w:val="18"/>
          <w:szCs w:val="18"/>
          <w:lang w:val="es-ES_tradnl"/>
        </w:rPr>
      </w:pPr>
      <w:r>
        <w:rPr>
          <w:lang w:val="es-ES"/>
        </w:rPr>
        <w:t>* UNEP/MC/COP.1/1.</w:t>
      </w:r>
    </w:p>
  </w:footnote>
  <w:footnote w:id="2">
    <w:p w14:paraId="4C7E893E" w14:textId="36834F82" w:rsidR="007C1433" w:rsidRPr="002E371D" w:rsidRDefault="007C1433" w:rsidP="00126067">
      <w:pPr>
        <w:pStyle w:val="FootnoteText"/>
        <w:rPr>
          <w:szCs w:val="18"/>
        </w:rPr>
      </w:pPr>
      <w:r w:rsidRPr="002E371D">
        <w:rPr>
          <w:rStyle w:val="FootnoteReference"/>
          <w:sz w:val="18"/>
          <w:lang w:val="es-ES"/>
        </w:rPr>
        <w:footnoteRef/>
      </w:r>
      <w:r>
        <w:rPr>
          <w:lang w:val="es-ES"/>
        </w:rPr>
        <w:t xml:space="preserve"> Véase el documento UNEP/MC/COP.1/9, y en particular el apéndice II, para consultar el texto elaborado en el séptimo período de sesiones del Comité. </w:t>
      </w:r>
    </w:p>
  </w:footnote>
  <w:footnote w:id="3">
    <w:p w14:paraId="620ED92C" w14:textId="40642C81" w:rsidR="007C1433" w:rsidRPr="002E371D" w:rsidRDefault="007C1433">
      <w:pPr>
        <w:pStyle w:val="FootnoteText"/>
        <w:rPr>
          <w:szCs w:val="18"/>
        </w:rPr>
      </w:pPr>
      <w:r w:rsidRPr="002E371D">
        <w:rPr>
          <w:rStyle w:val="FootnoteReference"/>
          <w:sz w:val="18"/>
          <w:lang w:val="es-ES"/>
        </w:rPr>
        <w:footnoteRef/>
      </w:r>
      <w:r>
        <w:rPr>
          <w:lang w:val="es-ES"/>
        </w:rPr>
        <w:t xml:space="preserve"> En 2017, la Subdivisión de Productos Químicos y Desechos fue rebautizada como Subdivisión de Productos Químicos y Salud, mientras que la División de Tecnología, Industria y Economía pasó a denominarse División de Economía.</w:t>
      </w:r>
    </w:p>
  </w:footnote>
  <w:footnote w:id="4">
    <w:p w14:paraId="7469C5D6" w14:textId="449CA75C" w:rsidR="007C1433" w:rsidRPr="002E371D" w:rsidRDefault="007C1433">
      <w:pPr>
        <w:pStyle w:val="FootnoteText"/>
        <w:rPr>
          <w:szCs w:val="18"/>
        </w:rPr>
      </w:pPr>
      <w:r w:rsidRPr="002E371D">
        <w:rPr>
          <w:rStyle w:val="FootnoteReference"/>
          <w:sz w:val="18"/>
          <w:lang w:val="es-ES"/>
        </w:rPr>
        <w:footnoteRef/>
      </w:r>
      <w:r>
        <w:rPr>
          <w:lang w:val="es-ES"/>
        </w:rPr>
        <w:t xml:space="preserve"> Un enfoque programático fundamenta, por ejemplo, el Fondo Fiduciario de la Plataforma Intergubernamental Científico-normativa sobre Diversidad Biológica y Servicios de los Ecosistemas.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14E6C" w14:textId="03BBA1CC" w:rsidR="007C1433" w:rsidRPr="00CA5CA9" w:rsidRDefault="007C1433" w:rsidP="00312543">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9/Add.1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51BFD" w14:textId="4F3A1EC7" w:rsidR="007C1433" w:rsidRPr="00CA5CA9" w:rsidRDefault="007C1433" w:rsidP="00312543">
    <w:pPr>
      <w:pStyle w:val="Header"/>
      <w:jc w:val="right"/>
      <w:rPr>
        <w:szCs w:val="18"/>
      </w:rPr>
    </w:pPr>
    <w:r>
      <w:rPr>
        <w:bCs/>
        <w:szCs w:val="18"/>
      </w:rPr>
      <w:t>UNEP/MC/COP.1.9/Add.1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B481" w14:textId="18DF728C" w:rsidR="007C1433" w:rsidRDefault="007C1433" w:rsidP="00032E4E">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6D5F"/>
    <w:multiLevelType w:val="hybridMultilevel"/>
    <w:tmpl w:val="686C86F4"/>
    <w:styleLink w:val="Importeradestilen4"/>
    <w:lvl w:ilvl="0" w:tplc="A948DB4A">
      <w:start w:val="1"/>
      <w:numFmt w:val="lowerRoman"/>
      <w:lvlText w:val="%1."/>
      <w:lvlJc w:val="left"/>
      <w:pPr>
        <w:tabs>
          <w:tab w:val="left" w:pos="1247"/>
          <w:tab w:val="left" w:pos="1814"/>
          <w:tab w:val="num" w:pos="2381"/>
          <w:tab w:val="left" w:pos="2410"/>
          <w:tab w:val="left" w:pos="3515"/>
        </w:tabs>
        <w:ind w:left="2405" w:hanging="662"/>
      </w:pPr>
      <w:rPr>
        <w:rFonts w:hAnsi="Arial Unicode MS" w:cs="Times New Roman"/>
        <w:i/>
        <w:iCs/>
        <w:caps w:val="0"/>
        <w:smallCaps w:val="0"/>
        <w:strike w:val="0"/>
        <w:dstrike w:val="0"/>
        <w:color w:val="000000"/>
        <w:spacing w:val="0"/>
        <w:w w:val="100"/>
        <w:kern w:val="0"/>
        <w:position w:val="0"/>
        <w:vertAlign w:val="baseline"/>
      </w:rPr>
    </w:lvl>
    <w:lvl w:ilvl="1" w:tplc="3CF62038">
      <w:start w:val="1"/>
      <w:numFmt w:val="lowerLetter"/>
      <w:lvlText w:val="%2."/>
      <w:lvlJc w:val="left"/>
      <w:pPr>
        <w:tabs>
          <w:tab w:val="left" w:pos="1247"/>
          <w:tab w:val="left" w:pos="1814"/>
          <w:tab w:val="left" w:pos="2381"/>
          <w:tab w:val="left" w:pos="2410"/>
          <w:tab w:val="num" w:pos="3125"/>
          <w:tab w:val="left" w:pos="3515"/>
        </w:tabs>
        <w:ind w:left="3149" w:hanging="586"/>
      </w:pPr>
      <w:rPr>
        <w:rFonts w:hAnsi="Arial Unicode MS" w:cs="Times New Roman"/>
        <w:i/>
        <w:iCs/>
        <w:caps w:val="0"/>
        <w:smallCaps w:val="0"/>
        <w:strike w:val="0"/>
        <w:dstrike w:val="0"/>
        <w:color w:val="000000"/>
        <w:spacing w:val="0"/>
        <w:w w:val="100"/>
        <w:kern w:val="0"/>
        <w:position w:val="0"/>
        <w:vertAlign w:val="baseline"/>
      </w:rPr>
    </w:lvl>
    <w:lvl w:ilvl="2" w:tplc="7416E0EE">
      <w:start w:val="1"/>
      <w:numFmt w:val="lowerRoman"/>
      <w:lvlText w:val="%3."/>
      <w:lvlJc w:val="left"/>
      <w:pPr>
        <w:tabs>
          <w:tab w:val="left" w:pos="1247"/>
          <w:tab w:val="left" w:pos="1814"/>
          <w:tab w:val="left" w:pos="2381"/>
          <w:tab w:val="left" w:pos="2410"/>
          <w:tab w:val="num" w:pos="3515"/>
        </w:tabs>
        <w:ind w:left="3539" w:hanging="176"/>
      </w:pPr>
      <w:rPr>
        <w:rFonts w:hAnsi="Arial Unicode MS" w:cs="Times New Roman"/>
        <w:i/>
        <w:iCs/>
        <w:caps w:val="0"/>
        <w:smallCaps w:val="0"/>
        <w:strike w:val="0"/>
        <w:dstrike w:val="0"/>
        <w:color w:val="000000"/>
        <w:spacing w:val="0"/>
        <w:w w:val="100"/>
        <w:kern w:val="0"/>
        <w:position w:val="0"/>
        <w:vertAlign w:val="baseline"/>
      </w:rPr>
    </w:lvl>
    <w:lvl w:ilvl="3" w:tplc="8EE08DD6">
      <w:start w:val="1"/>
      <w:numFmt w:val="decimal"/>
      <w:lvlText w:val="%4."/>
      <w:lvlJc w:val="left"/>
      <w:pPr>
        <w:tabs>
          <w:tab w:val="left" w:pos="1247"/>
          <w:tab w:val="left" w:pos="1814"/>
          <w:tab w:val="left" w:pos="2381"/>
          <w:tab w:val="left" w:pos="2410"/>
          <w:tab w:val="left" w:pos="3515"/>
          <w:tab w:val="num" w:pos="4565"/>
        </w:tabs>
        <w:ind w:left="4589" w:hanging="586"/>
      </w:pPr>
      <w:rPr>
        <w:rFonts w:hAnsi="Arial Unicode MS" w:cs="Times New Roman"/>
        <w:i/>
        <w:iCs/>
        <w:caps w:val="0"/>
        <w:smallCaps w:val="0"/>
        <w:strike w:val="0"/>
        <w:dstrike w:val="0"/>
        <w:color w:val="000000"/>
        <w:spacing w:val="0"/>
        <w:w w:val="100"/>
        <w:kern w:val="0"/>
        <w:position w:val="0"/>
        <w:vertAlign w:val="baseline"/>
      </w:rPr>
    </w:lvl>
    <w:lvl w:ilvl="4" w:tplc="CF50AE04">
      <w:start w:val="1"/>
      <w:numFmt w:val="lowerLetter"/>
      <w:lvlText w:val="%5."/>
      <w:lvlJc w:val="left"/>
      <w:pPr>
        <w:tabs>
          <w:tab w:val="left" w:pos="1247"/>
          <w:tab w:val="left" w:pos="1814"/>
          <w:tab w:val="left" w:pos="2381"/>
          <w:tab w:val="left" w:pos="2410"/>
          <w:tab w:val="left" w:pos="3515"/>
          <w:tab w:val="num" w:pos="5285"/>
        </w:tabs>
        <w:ind w:left="5309" w:hanging="586"/>
      </w:pPr>
      <w:rPr>
        <w:rFonts w:hAnsi="Arial Unicode MS" w:cs="Times New Roman"/>
        <w:i/>
        <w:iCs/>
        <w:caps w:val="0"/>
        <w:smallCaps w:val="0"/>
        <w:strike w:val="0"/>
        <w:dstrike w:val="0"/>
        <w:color w:val="000000"/>
        <w:spacing w:val="0"/>
        <w:w w:val="100"/>
        <w:kern w:val="0"/>
        <w:position w:val="0"/>
        <w:vertAlign w:val="baseline"/>
      </w:rPr>
    </w:lvl>
    <w:lvl w:ilvl="5" w:tplc="3D22CE6A">
      <w:start w:val="1"/>
      <w:numFmt w:val="lowerRoman"/>
      <w:lvlText w:val="%6."/>
      <w:lvlJc w:val="left"/>
      <w:pPr>
        <w:tabs>
          <w:tab w:val="left" w:pos="1247"/>
          <w:tab w:val="left" w:pos="1814"/>
          <w:tab w:val="left" w:pos="2381"/>
          <w:tab w:val="left" w:pos="2410"/>
          <w:tab w:val="left" w:pos="3515"/>
          <w:tab w:val="num" w:pos="6005"/>
        </w:tabs>
        <w:ind w:left="6029" w:hanging="506"/>
      </w:pPr>
      <w:rPr>
        <w:rFonts w:hAnsi="Arial Unicode MS" w:cs="Times New Roman"/>
        <w:i/>
        <w:iCs/>
        <w:caps w:val="0"/>
        <w:smallCaps w:val="0"/>
        <w:strike w:val="0"/>
        <w:dstrike w:val="0"/>
        <w:color w:val="000000"/>
        <w:spacing w:val="0"/>
        <w:w w:val="100"/>
        <w:kern w:val="0"/>
        <w:position w:val="0"/>
        <w:vertAlign w:val="baseline"/>
      </w:rPr>
    </w:lvl>
    <w:lvl w:ilvl="6" w:tplc="5268D452">
      <w:start w:val="1"/>
      <w:numFmt w:val="decimal"/>
      <w:lvlText w:val="%7."/>
      <w:lvlJc w:val="left"/>
      <w:pPr>
        <w:tabs>
          <w:tab w:val="left" w:pos="1247"/>
          <w:tab w:val="left" w:pos="1814"/>
          <w:tab w:val="left" w:pos="2381"/>
          <w:tab w:val="left" w:pos="2410"/>
          <w:tab w:val="left" w:pos="3515"/>
          <w:tab w:val="num" w:pos="6725"/>
        </w:tabs>
        <w:ind w:left="6749" w:hanging="586"/>
      </w:pPr>
      <w:rPr>
        <w:rFonts w:hAnsi="Arial Unicode MS" w:cs="Times New Roman"/>
        <w:i/>
        <w:iCs/>
        <w:caps w:val="0"/>
        <w:smallCaps w:val="0"/>
        <w:strike w:val="0"/>
        <w:dstrike w:val="0"/>
        <w:color w:val="000000"/>
        <w:spacing w:val="0"/>
        <w:w w:val="100"/>
        <w:kern w:val="0"/>
        <w:position w:val="0"/>
        <w:vertAlign w:val="baseline"/>
      </w:rPr>
    </w:lvl>
    <w:lvl w:ilvl="7" w:tplc="F496AE96">
      <w:start w:val="1"/>
      <w:numFmt w:val="lowerLetter"/>
      <w:lvlText w:val="%8."/>
      <w:lvlJc w:val="left"/>
      <w:pPr>
        <w:tabs>
          <w:tab w:val="left" w:pos="1247"/>
          <w:tab w:val="left" w:pos="1814"/>
          <w:tab w:val="left" w:pos="2381"/>
          <w:tab w:val="left" w:pos="2410"/>
          <w:tab w:val="left" w:pos="3515"/>
          <w:tab w:val="num" w:pos="7445"/>
        </w:tabs>
        <w:ind w:left="7469" w:hanging="586"/>
      </w:pPr>
      <w:rPr>
        <w:rFonts w:hAnsi="Arial Unicode MS" w:cs="Times New Roman"/>
        <w:i/>
        <w:iCs/>
        <w:caps w:val="0"/>
        <w:smallCaps w:val="0"/>
        <w:strike w:val="0"/>
        <w:dstrike w:val="0"/>
        <w:color w:val="000000"/>
        <w:spacing w:val="0"/>
        <w:w w:val="100"/>
        <w:kern w:val="0"/>
        <w:position w:val="0"/>
        <w:vertAlign w:val="baseline"/>
      </w:rPr>
    </w:lvl>
    <w:lvl w:ilvl="8" w:tplc="31D8BC1C">
      <w:start w:val="1"/>
      <w:numFmt w:val="lowerRoman"/>
      <w:lvlText w:val="%9."/>
      <w:lvlJc w:val="left"/>
      <w:pPr>
        <w:tabs>
          <w:tab w:val="left" w:pos="1247"/>
          <w:tab w:val="left" w:pos="1814"/>
          <w:tab w:val="left" w:pos="2381"/>
          <w:tab w:val="left" w:pos="2410"/>
          <w:tab w:val="left" w:pos="3515"/>
          <w:tab w:val="num" w:pos="8165"/>
        </w:tabs>
        <w:ind w:left="8189" w:hanging="506"/>
      </w:pPr>
      <w:rPr>
        <w:rFonts w:hAnsi="Arial Unicode MS" w:cs="Times New Roman"/>
        <w:i/>
        <w:iCs/>
        <w:caps w:val="0"/>
        <w:smallCaps w:val="0"/>
        <w:strike w:val="0"/>
        <w:dstrike w:val="0"/>
        <w:color w:val="000000"/>
        <w:spacing w:val="0"/>
        <w:w w:val="100"/>
        <w:kern w:val="0"/>
        <w:position w:val="0"/>
        <w:vertAlign w:val="baseline"/>
      </w:rPr>
    </w:lvl>
  </w:abstractNum>
  <w:abstractNum w:abstractNumId="1">
    <w:nsid w:val="073D51BA"/>
    <w:multiLevelType w:val="hybridMultilevel"/>
    <w:tmpl w:val="29B2D844"/>
    <w:numStyleLink w:val="Importeradestilen6"/>
  </w:abstractNum>
  <w:abstractNum w:abstractNumId="2">
    <w:nsid w:val="0B96391C"/>
    <w:multiLevelType w:val="hybridMultilevel"/>
    <w:tmpl w:val="81E0EFB8"/>
    <w:numStyleLink w:val="Importeradestilen5"/>
  </w:abstractNum>
  <w:abstractNum w:abstractNumId="3">
    <w:nsid w:val="11907B63"/>
    <w:multiLevelType w:val="hybridMultilevel"/>
    <w:tmpl w:val="E7BA5328"/>
    <w:lvl w:ilvl="0" w:tplc="BF521CC4">
      <w:start w:val="1"/>
      <w:numFmt w:val="upperLetter"/>
      <w:lvlText w:val="%1."/>
      <w:lvlJc w:val="left"/>
      <w:pPr>
        <w:ind w:left="1215" w:hanging="85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1113A7"/>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5">
    <w:nsid w:val="182F0B2F"/>
    <w:multiLevelType w:val="hybridMultilevel"/>
    <w:tmpl w:val="2E6C305C"/>
    <w:lvl w:ilvl="0" w:tplc="DA6E4AE2">
      <w:start w:val="1"/>
      <w:numFmt w:val="lowerLetter"/>
      <w:lvlText w:val="%1)"/>
      <w:lvlJc w:val="left"/>
      <w:pPr>
        <w:ind w:left="2174" w:hanging="360"/>
      </w:pPr>
      <w:rPr>
        <w:rFonts w:hint="default"/>
      </w:rPr>
    </w:lvl>
    <w:lvl w:ilvl="1" w:tplc="0C0A0019" w:tentative="1">
      <w:start w:val="1"/>
      <w:numFmt w:val="lowerLetter"/>
      <w:lvlText w:val="%2."/>
      <w:lvlJc w:val="left"/>
      <w:pPr>
        <w:ind w:left="2894" w:hanging="360"/>
      </w:pPr>
    </w:lvl>
    <w:lvl w:ilvl="2" w:tplc="0C0A001B" w:tentative="1">
      <w:start w:val="1"/>
      <w:numFmt w:val="lowerRoman"/>
      <w:lvlText w:val="%3."/>
      <w:lvlJc w:val="right"/>
      <w:pPr>
        <w:ind w:left="3614" w:hanging="180"/>
      </w:pPr>
    </w:lvl>
    <w:lvl w:ilvl="3" w:tplc="0C0A000F" w:tentative="1">
      <w:start w:val="1"/>
      <w:numFmt w:val="decimal"/>
      <w:lvlText w:val="%4."/>
      <w:lvlJc w:val="left"/>
      <w:pPr>
        <w:ind w:left="4334" w:hanging="360"/>
      </w:pPr>
    </w:lvl>
    <w:lvl w:ilvl="4" w:tplc="0C0A0019" w:tentative="1">
      <w:start w:val="1"/>
      <w:numFmt w:val="lowerLetter"/>
      <w:lvlText w:val="%5."/>
      <w:lvlJc w:val="left"/>
      <w:pPr>
        <w:ind w:left="5054" w:hanging="360"/>
      </w:pPr>
    </w:lvl>
    <w:lvl w:ilvl="5" w:tplc="0C0A001B" w:tentative="1">
      <w:start w:val="1"/>
      <w:numFmt w:val="lowerRoman"/>
      <w:lvlText w:val="%6."/>
      <w:lvlJc w:val="right"/>
      <w:pPr>
        <w:ind w:left="5774" w:hanging="180"/>
      </w:pPr>
    </w:lvl>
    <w:lvl w:ilvl="6" w:tplc="0C0A000F" w:tentative="1">
      <w:start w:val="1"/>
      <w:numFmt w:val="decimal"/>
      <w:lvlText w:val="%7."/>
      <w:lvlJc w:val="left"/>
      <w:pPr>
        <w:ind w:left="6494" w:hanging="360"/>
      </w:pPr>
    </w:lvl>
    <w:lvl w:ilvl="7" w:tplc="0C0A0019" w:tentative="1">
      <w:start w:val="1"/>
      <w:numFmt w:val="lowerLetter"/>
      <w:lvlText w:val="%8."/>
      <w:lvlJc w:val="left"/>
      <w:pPr>
        <w:ind w:left="7214" w:hanging="360"/>
      </w:pPr>
    </w:lvl>
    <w:lvl w:ilvl="8" w:tplc="0C0A001B" w:tentative="1">
      <w:start w:val="1"/>
      <w:numFmt w:val="lowerRoman"/>
      <w:lvlText w:val="%9."/>
      <w:lvlJc w:val="right"/>
      <w:pPr>
        <w:ind w:left="7934" w:hanging="180"/>
      </w:pPr>
    </w:lvl>
  </w:abstractNum>
  <w:abstractNum w:abstractNumId="6">
    <w:nsid w:val="19D95965"/>
    <w:multiLevelType w:val="hybridMultilevel"/>
    <w:tmpl w:val="F044000E"/>
    <w:numStyleLink w:val="Importeradestilen8"/>
  </w:abstractNum>
  <w:abstractNum w:abstractNumId="7">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8">
    <w:nsid w:val="1DD51BB8"/>
    <w:multiLevelType w:val="hybridMultilevel"/>
    <w:tmpl w:val="0B422B62"/>
    <w:styleLink w:val="Importeradestilen9"/>
    <w:lvl w:ilvl="0" w:tplc="AB18604A">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6FDCE6AC">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D206CC5C">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9D32FDC6">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4EB4C744">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2B42CA6C">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15EE9F1C">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8FCA9F60">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CDAE376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9">
    <w:nsid w:val="21BB3DBA"/>
    <w:multiLevelType w:val="hybridMultilevel"/>
    <w:tmpl w:val="81E0EFB8"/>
    <w:styleLink w:val="Importeradestilen5"/>
    <w:lvl w:ilvl="0" w:tplc="14CC428C">
      <w:start w:val="1"/>
      <w:numFmt w:val="lowerRoman"/>
      <w:lvlText w:val="(%1)"/>
      <w:lvlJc w:val="left"/>
      <w:pPr>
        <w:tabs>
          <w:tab w:val="left" w:pos="1247"/>
        </w:tabs>
        <w:ind w:left="2410" w:hanging="567"/>
      </w:pPr>
      <w:rPr>
        <w:rFonts w:hAnsi="Arial Unicode MS" w:cs="Times New Roman"/>
        <w:i/>
        <w:iCs/>
        <w:caps w:val="0"/>
        <w:smallCaps w:val="0"/>
        <w:strike w:val="0"/>
        <w:dstrike w:val="0"/>
        <w:color w:val="000000"/>
        <w:spacing w:val="0"/>
        <w:w w:val="100"/>
        <w:kern w:val="0"/>
        <w:position w:val="0"/>
        <w:vertAlign w:val="baseline"/>
      </w:rPr>
    </w:lvl>
    <w:lvl w:ilvl="1" w:tplc="75500BD6">
      <w:start w:val="1"/>
      <w:numFmt w:val="lowerLetter"/>
      <w:lvlText w:val="%2."/>
      <w:lvlJc w:val="left"/>
      <w:pPr>
        <w:tabs>
          <w:tab w:val="left" w:pos="1247"/>
        </w:tabs>
        <w:ind w:left="2770" w:hanging="207"/>
      </w:pPr>
      <w:rPr>
        <w:rFonts w:hAnsi="Arial Unicode MS" w:cs="Times New Roman"/>
        <w:i/>
        <w:iCs/>
        <w:caps w:val="0"/>
        <w:smallCaps w:val="0"/>
        <w:strike w:val="0"/>
        <w:dstrike w:val="0"/>
        <w:color w:val="000000"/>
        <w:spacing w:val="0"/>
        <w:w w:val="100"/>
        <w:kern w:val="0"/>
        <w:position w:val="0"/>
        <w:vertAlign w:val="baseline"/>
      </w:rPr>
    </w:lvl>
    <w:lvl w:ilvl="2" w:tplc="6AC21258">
      <w:start w:val="1"/>
      <w:numFmt w:val="lowerRoman"/>
      <w:lvlText w:val="%3."/>
      <w:lvlJc w:val="left"/>
      <w:pPr>
        <w:tabs>
          <w:tab w:val="left" w:pos="1247"/>
        </w:tabs>
        <w:ind w:left="3490" w:hanging="118"/>
      </w:pPr>
      <w:rPr>
        <w:rFonts w:hAnsi="Arial Unicode MS" w:cs="Times New Roman"/>
        <w:i/>
        <w:iCs/>
        <w:caps w:val="0"/>
        <w:smallCaps w:val="0"/>
        <w:strike w:val="0"/>
        <w:dstrike w:val="0"/>
        <w:color w:val="000000"/>
        <w:spacing w:val="0"/>
        <w:w w:val="100"/>
        <w:kern w:val="0"/>
        <w:position w:val="0"/>
        <w:vertAlign w:val="baseline"/>
      </w:rPr>
    </w:lvl>
    <w:lvl w:ilvl="3" w:tplc="145A3474">
      <w:start w:val="1"/>
      <w:numFmt w:val="decimal"/>
      <w:lvlText w:val="%4."/>
      <w:lvlJc w:val="left"/>
      <w:pPr>
        <w:tabs>
          <w:tab w:val="left" w:pos="1247"/>
        </w:tabs>
        <w:ind w:left="4210" w:hanging="207"/>
      </w:pPr>
      <w:rPr>
        <w:rFonts w:hAnsi="Arial Unicode MS" w:cs="Times New Roman"/>
        <w:i/>
        <w:iCs/>
        <w:caps w:val="0"/>
        <w:smallCaps w:val="0"/>
        <w:strike w:val="0"/>
        <w:dstrike w:val="0"/>
        <w:color w:val="000000"/>
        <w:spacing w:val="0"/>
        <w:w w:val="100"/>
        <w:kern w:val="0"/>
        <w:position w:val="0"/>
        <w:vertAlign w:val="baseline"/>
      </w:rPr>
    </w:lvl>
    <w:lvl w:ilvl="4" w:tplc="9572CBB2">
      <w:start w:val="1"/>
      <w:numFmt w:val="lowerLetter"/>
      <w:lvlText w:val="%5."/>
      <w:lvlJc w:val="left"/>
      <w:pPr>
        <w:tabs>
          <w:tab w:val="left" w:pos="1247"/>
        </w:tabs>
        <w:ind w:left="4930" w:hanging="207"/>
      </w:pPr>
      <w:rPr>
        <w:rFonts w:hAnsi="Arial Unicode MS" w:cs="Times New Roman"/>
        <w:i/>
        <w:iCs/>
        <w:caps w:val="0"/>
        <w:smallCaps w:val="0"/>
        <w:strike w:val="0"/>
        <w:dstrike w:val="0"/>
        <w:color w:val="000000"/>
        <w:spacing w:val="0"/>
        <w:w w:val="100"/>
        <w:kern w:val="0"/>
        <w:position w:val="0"/>
        <w:vertAlign w:val="baseline"/>
      </w:rPr>
    </w:lvl>
    <w:lvl w:ilvl="5" w:tplc="2AC4E8F2">
      <w:start w:val="1"/>
      <w:numFmt w:val="lowerRoman"/>
      <w:lvlText w:val="%6."/>
      <w:lvlJc w:val="left"/>
      <w:pPr>
        <w:tabs>
          <w:tab w:val="left" w:pos="1247"/>
        </w:tabs>
        <w:ind w:left="5650" w:hanging="118"/>
      </w:pPr>
      <w:rPr>
        <w:rFonts w:hAnsi="Arial Unicode MS" w:cs="Times New Roman"/>
        <w:i/>
        <w:iCs/>
        <w:caps w:val="0"/>
        <w:smallCaps w:val="0"/>
        <w:strike w:val="0"/>
        <w:dstrike w:val="0"/>
        <w:color w:val="000000"/>
        <w:spacing w:val="0"/>
        <w:w w:val="100"/>
        <w:kern w:val="0"/>
        <w:position w:val="0"/>
        <w:vertAlign w:val="baseline"/>
      </w:rPr>
    </w:lvl>
    <w:lvl w:ilvl="6" w:tplc="24C276FA">
      <w:start w:val="1"/>
      <w:numFmt w:val="decimal"/>
      <w:lvlText w:val="%7."/>
      <w:lvlJc w:val="left"/>
      <w:pPr>
        <w:tabs>
          <w:tab w:val="left" w:pos="1247"/>
        </w:tabs>
        <w:ind w:left="6370" w:hanging="207"/>
      </w:pPr>
      <w:rPr>
        <w:rFonts w:hAnsi="Arial Unicode MS" w:cs="Times New Roman"/>
        <w:i/>
        <w:iCs/>
        <w:caps w:val="0"/>
        <w:smallCaps w:val="0"/>
        <w:strike w:val="0"/>
        <w:dstrike w:val="0"/>
        <w:color w:val="000000"/>
        <w:spacing w:val="0"/>
        <w:w w:val="100"/>
        <w:kern w:val="0"/>
        <w:position w:val="0"/>
        <w:vertAlign w:val="baseline"/>
      </w:rPr>
    </w:lvl>
    <w:lvl w:ilvl="7" w:tplc="DAA22FF2">
      <w:start w:val="1"/>
      <w:numFmt w:val="lowerLetter"/>
      <w:lvlText w:val="%8."/>
      <w:lvlJc w:val="left"/>
      <w:pPr>
        <w:tabs>
          <w:tab w:val="left" w:pos="1247"/>
        </w:tabs>
        <w:ind w:left="7090" w:hanging="207"/>
      </w:pPr>
      <w:rPr>
        <w:rFonts w:hAnsi="Arial Unicode MS" w:cs="Times New Roman"/>
        <w:i/>
        <w:iCs/>
        <w:caps w:val="0"/>
        <w:smallCaps w:val="0"/>
        <w:strike w:val="0"/>
        <w:dstrike w:val="0"/>
        <w:color w:val="000000"/>
        <w:spacing w:val="0"/>
        <w:w w:val="100"/>
        <w:kern w:val="0"/>
        <w:position w:val="0"/>
        <w:vertAlign w:val="baseline"/>
      </w:rPr>
    </w:lvl>
    <w:lvl w:ilvl="8" w:tplc="DA2C83F0">
      <w:start w:val="1"/>
      <w:numFmt w:val="lowerRoman"/>
      <w:lvlText w:val="%9."/>
      <w:lvlJc w:val="left"/>
      <w:pPr>
        <w:tabs>
          <w:tab w:val="left" w:pos="1247"/>
        </w:tabs>
        <w:ind w:left="7810" w:hanging="118"/>
      </w:pPr>
      <w:rPr>
        <w:rFonts w:hAnsi="Arial Unicode MS" w:cs="Times New Roman"/>
        <w:i/>
        <w:iCs/>
        <w:caps w:val="0"/>
        <w:smallCaps w:val="0"/>
        <w:strike w:val="0"/>
        <w:dstrike w:val="0"/>
        <w:color w:val="000000"/>
        <w:spacing w:val="0"/>
        <w:w w:val="100"/>
        <w:kern w:val="0"/>
        <w:position w:val="0"/>
        <w:vertAlign w:val="baseline"/>
      </w:rPr>
    </w:lvl>
  </w:abstractNum>
  <w:abstractNum w:abstractNumId="1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EAD5BAD"/>
    <w:multiLevelType w:val="hybridMultilevel"/>
    <w:tmpl w:val="5622D6EE"/>
    <w:lvl w:ilvl="0" w:tplc="C0B0BEF4">
      <w:start w:val="1"/>
      <w:numFmt w:val="upperLetter"/>
      <w:lvlText w:val="%1."/>
      <w:lvlJc w:val="left"/>
      <w:pPr>
        <w:ind w:left="1215" w:hanging="855"/>
      </w:pPr>
      <w:rPr>
        <w:rFonts w:cs="Arial Unicode M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4">
    <w:nsid w:val="464E5D14"/>
    <w:multiLevelType w:val="hybridMultilevel"/>
    <w:tmpl w:val="29B2D844"/>
    <w:styleLink w:val="Importeradestilen6"/>
    <w:lvl w:ilvl="0" w:tplc="5192BC10">
      <w:start w:val="1"/>
      <w:numFmt w:val="decimal"/>
      <w:lvlText w:val="%1."/>
      <w:lvlJc w:val="left"/>
      <w:pPr>
        <w:tabs>
          <w:tab w:val="left" w:pos="624"/>
          <w:tab w:val="num" w:pos="1872"/>
        </w:tabs>
        <w:ind w:left="1247"/>
      </w:pPr>
      <w:rPr>
        <w:rFonts w:hAnsi="Arial Unicode MS" w:cs="Times New Roman"/>
        <w:caps w:val="0"/>
        <w:smallCaps w:val="0"/>
        <w:strike w:val="0"/>
        <w:dstrike w:val="0"/>
        <w:color w:val="000000"/>
        <w:spacing w:val="0"/>
        <w:w w:val="100"/>
        <w:kern w:val="0"/>
        <w:position w:val="0"/>
        <w:vertAlign w:val="baseline"/>
      </w:rPr>
    </w:lvl>
    <w:lvl w:ilvl="1" w:tplc="3CF61AF0">
      <w:start w:val="1"/>
      <w:numFmt w:val="lowerLetter"/>
      <w:lvlText w:val="%2."/>
      <w:lvlJc w:val="left"/>
      <w:pPr>
        <w:tabs>
          <w:tab w:val="left" w:pos="624"/>
          <w:tab w:val="num" w:pos="2592"/>
        </w:tabs>
        <w:ind w:left="1967" w:firstLine="96"/>
      </w:pPr>
      <w:rPr>
        <w:rFonts w:hAnsi="Arial Unicode MS" w:cs="Times New Roman"/>
        <w:caps w:val="0"/>
        <w:smallCaps w:val="0"/>
        <w:strike w:val="0"/>
        <w:dstrike w:val="0"/>
        <w:color w:val="000000"/>
        <w:spacing w:val="0"/>
        <w:w w:val="100"/>
        <w:kern w:val="0"/>
        <w:position w:val="0"/>
        <w:vertAlign w:val="baseline"/>
      </w:rPr>
    </w:lvl>
    <w:lvl w:ilvl="2" w:tplc="C2F6DCCA">
      <w:start w:val="1"/>
      <w:numFmt w:val="lowerRoman"/>
      <w:lvlText w:val="%3."/>
      <w:lvlJc w:val="left"/>
      <w:pPr>
        <w:tabs>
          <w:tab w:val="left" w:pos="624"/>
          <w:tab w:val="num" w:pos="3312"/>
        </w:tabs>
        <w:ind w:left="2687" w:firstLine="285"/>
      </w:pPr>
      <w:rPr>
        <w:rFonts w:hAnsi="Arial Unicode MS" w:cs="Times New Roman"/>
        <w:caps w:val="0"/>
        <w:smallCaps w:val="0"/>
        <w:strike w:val="0"/>
        <w:dstrike w:val="0"/>
        <w:color w:val="000000"/>
        <w:spacing w:val="0"/>
        <w:w w:val="100"/>
        <w:kern w:val="0"/>
        <w:position w:val="0"/>
        <w:vertAlign w:val="baseline"/>
      </w:rPr>
    </w:lvl>
    <w:lvl w:ilvl="3" w:tplc="B8B6A152">
      <w:start w:val="1"/>
      <w:numFmt w:val="decimal"/>
      <w:lvlText w:val="%4."/>
      <w:lvlJc w:val="left"/>
      <w:pPr>
        <w:tabs>
          <w:tab w:val="left" w:pos="624"/>
          <w:tab w:val="num" w:pos="4032"/>
        </w:tabs>
        <w:ind w:left="3407" w:firstLine="288"/>
      </w:pPr>
      <w:rPr>
        <w:rFonts w:hAnsi="Arial Unicode MS" w:cs="Times New Roman"/>
        <w:caps w:val="0"/>
        <w:smallCaps w:val="0"/>
        <w:strike w:val="0"/>
        <w:dstrike w:val="0"/>
        <w:color w:val="000000"/>
        <w:spacing w:val="0"/>
        <w:w w:val="100"/>
        <w:kern w:val="0"/>
        <w:position w:val="0"/>
        <w:vertAlign w:val="baseline"/>
      </w:rPr>
    </w:lvl>
    <w:lvl w:ilvl="4" w:tplc="761A4934">
      <w:start w:val="1"/>
      <w:numFmt w:val="lowerLetter"/>
      <w:lvlText w:val="%5."/>
      <w:lvlJc w:val="left"/>
      <w:pPr>
        <w:tabs>
          <w:tab w:val="left" w:pos="624"/>
          <w:tab w:val="num" w:pos="4752"/>
        </w:tabs>
        <w:ind w:left="4127" w:firstLine="384"/>
      </w:pPr>
      <w:rPr>
        <w:rFonts w:hAnsi="Arial Unicode MS" w:cs="Times New Roman"/>
        <w:caps w:val="0"/>
        <w:smallCaps w:val="0"/>
        <w:strike w:val="0"/>
        <w:dstrike w:val="0"/>
        <w:color w:val="000000"/>
        <w:spacing w:val="0"/>
        <w:w w:val="100"/>
        <w:kern w:val="0"/>
        <w:position w:val="0"/>
        <w:vertAlign w:val="baseline"/>
      </w:rPr>
    </w:lvl>
    <w:lvl w:ilvl="5" w:tplc="B636BAB8">
      <w:start w:val="1"/>
      <w:numFmt w:val="lowerRoman"/>
      <w:lvlText w:val="%6."/>
      <w:lvlJc w:val="left"/>
      <w:pPr>
        <w:tabs>
          <w:tab w:val="left" w:pos="624"/>
          <w:tab w:val="num" w:pos="5472"/>
        </w:tabs>
        <w:ind w:left="4847" w:hanging="51"/>
      </w:pPr>
      <w:rPr>
        <w:rFonts w:hAnsi="Arial Unicode MS" w:cs="Times New Roman"/>
        <w:caps w:val="0"/>
        <w:smallCaps w:val="0"/>
        <w:strike w:val="0"/>
        <w:dstrike w:val="0"/>
        <w:color w:val="000000"/>
        <w:spacing w:val="0"/>
        <w:w w:val="100"/>
        <w:kern w:val="0"/>
        <w:position w:val="0"/>
        <w:vertAlign w:val="baseline"/>
      </w:rPr>
    </w:lvl>
    <w:lvl w:ilvl="6" w:tplc="C3DA2A78">
      <w:start w:val="1"/>
      <w:numFmt w:val="decimal"/>
      <w:lvlText w:val="%7."/>
      <w:lvlJc w:val="left"/>
      <w:pPr>
        <w:tabs>
          <w:tab w:val="left" w:pos="624"/>
          <w:tab w:val="num" w:pos="6192"/>
        </w:tabs>
        <w:ind w:left="5567" w:hanging="48"/>
      </w:pPr>
      <w:rPr>
        <w:rFonts w:hAnsi="Arial Unicode MS" w:cs="Times New Roman"/>
        <w:caps w:val="0"/>
        <w:smallCaps w:val="0"/>
        <w:strike w:val="0"/>
        <w:dstrike w:val="0"/>
        <w:color w:val="000000"/>
        <w:spacing w:val="0"/>
        <w:w w:val="100"/>
        <w:kern w:val="0"/>
        <w:position w:val="0"/>
        <w:vertAlign w:val="baseline"/>
      </w:rPr>
    </w:lvl>
    <w:lvl w:ilvl="7" w:tplc="9A623B32">
      <w:start w:val="1"/>
      <w:numFmt w:val="lowerLetter"/>
      <w:lvlText w:val="%8."/>
      <w:lvlJc w:val="left"/>
      <w:pPr>
        <w:tabs>
          <w:tab w:val="left" w:pos="624"/>
          <w:tab w:val="num" w:pos="6912"/>
        </w:tabs>
        <w:ind w:left="6287" w:firstLine="48"/>
      </w:pPr>
      <w:rPr>
        <w:rFonts w:hAnsi="Arial Unicode MS" w:cs="Times New Roman"/>
        <w:caps w:val="0"/>
        <w:smallCaps w:val="0"/>
        <w:strike w:val="0"/>
        <w:dstrike w:val="0"/>
        <w:color w:val="000000"/>
        <w:spacing w:val="0"/>
        <w:w w:val="100"/>
        <w:kern w:val="0"/>
        <w:position w:val="0"/>
        <w:vertAlign w:val="baseline"/>
      </w:rPr>
    </w:lvl>
    <w:lvl w:ilvl="8" w:tplc="794018E6">
      <w:start w:val="1"/>
      <w:numFmt w:val="lowerRoman"/>
      <w:lvlText w:val="%9."/>
      <w:lvlJc w:val="left"/>
      <w:pPr>
        <w:tabs>
          <w:tab w:val="left" w:pos="624"/>
          <w:tab w:val="num" w:pos="7632"/>
        </w:tabs>
        <w:ind w:left="7007" w:firstLine="237"/>
      </w:pPr>
      <w:rPr>
        <w:rFonts w:hAnsi="Arial Unicode MS" w:cs="Times New Roman"/>
        <w:caps w:val="0"/>
        <w:smallCaps w:val="0"/>
        <w:strike w:val="0"/>
        <w:dstrike w:val="0"/>
        <w:color w:val="000000"/>
        <w:spacing w:val="0"/>
        <w:w w:val="100"/>
        <w:kern w:val="0"/>
        <w:position w:val="0"/>
        <w:vertAlign w:val="baseline"/>
      </w:rPr>
    </w:lvl>
  </w:abstractNum>
  <w:abstractNum w:abstractNumId="15">
    <w:nsid w:val="472805C1"/>
    <w:multiLevelType w:val="hybridMultilevel"/>
    <w:tmpl w:val="3F200CE6"/>
    <w:lvl w:ilvl="0" w:tplc="C0B0BEF4">
      <w:start w:val="1"/>
      <w:numFmt w:val="upperLetter"/>
      <w:lvlText w:val="%1."/>
      <w:lvlJc w:val="left"/>
      <w:pPr>
        <w:ind w:left="1215" w:hanging="855"/>
      </w:pPr>
      <w:rPr>
        <w:rFonts w:cs="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7F0F77"/>
    <w:multiLevelType w:val="hybridMultilevel"/>
    <w:tmpl w:val="63900D4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E322D5"/>
    <w:multiLevelType w:val="hybridMultilevel"/>
    <w:tmpl w:val="F044000E"/>
    <w:styleLink w:val="Importeradestilen8"/>
    <w:lvl w:ilvl="0" w:tplc="518860AE">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4EF6AE9E">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784ED090">
      <w:start w:val="1"/>
      <w:numFmt w:val="lowerRoman"/>
      <w:lvlText w:val="%3."/>
      <w:lvlJc w:val="left"/>
      <w:pPr>
        <w:tabs>
          <w:tab w:val="left" w:pos="624"/>
          <w:tab w:val="num" w:pos="3383"/>
        </w:tabs>
        <w:ind w:left="2134" w:firstLine="980"/>
      </w:pPr>
      <w:rPr>
        <w:rFonts w:hAnsi="Arial Unicode MS" w:cs="Times New Roman"/>
        <w:caps w:val="0"/>
        <w:smallCaps w:val="0"/>
        <w:strike w:val="0"/>
        <w:dstrike w:val="0"/>
        <w:color w:val="000000"/>
        <w:spacing w:val="0"/>
        <w:w w:val="100"/>
        <w:kern w:val="0"/>
        <w:position w:val="0"/>
        <w:vertAlign w:val="baseline"/>
      </w:rPr>
    </w:lvl>
    <w:lvl w:ilvl="3" w:tplc="BF14D68C">
      <w:start w:val="1"/>
      <w:numFmt w:val="decimal"/>
      <w:lvlText w:val="%4."/>
      <w:lvlJc w:val="left"/>
      <w:pPr>
        <w:tabs>
          <w:tab w:val="left" w:pos="624"/>
          <w:tab w:val="num" w:pos="4103"/>
        </w:tabs>
        <w:ind w:left="2854" w:firstLine="983"/>
      </w:pPr>
      <w:rPr>
        <w:rFonts w:hAnsi="Arial Unicode MS" w:cs="Times New Roman"/>
        <w:caps w:val="0"/>
        <w:smallCaps w:val="0"/>
        <w:strike w:val="0"/>
        <w:dstrike w:val="0"/>
        <w:color w:val="000000"/>
        <w:spacing w:val="0"/>
        <w:w w:val="100"/>
        <w:kern w:val="0"/>
        <w:position w:val="0"/>
        <w:vertAlign w:val="baseline"/>
      </w:rPr>
    </w:lvl>
    <w:lvl w:ilvl="4" w:tplc="3CC82438">
      <w:start w:val="1"/>
      <w:numFmt w:val="lowerLetter"/>
      <w:lvlText w:val="%5."/>
      <w:lvlJc w:val="left"/>
      <w:pPr>
        <w:tabs>
          <w:tab w:val="left" w:pos="624"/>
          <w:tab w:val="num" w:pos="4823"/>
        </w:tabs>
        <w:ind w:left="3574" w:firstLine="1079"/>
      </w:pPr>
      <w:rPr>
        <w:rFonts w:hAnsi="Arial Unicode MS" w:cs="Times New Roman"/>
        <w:caps w:val="0"/>
        <w:smallCaps w:val="0"/>
        <w:strike w:val="0"/>
        <w:dstrike w:val="0"/>
        <w:color w:val="000000"/>
        <w:spacing w:val="0"/>
        <w:w w:val="100"/>
        <w:kern w:val="0"/>
        <w:position w:val="0"/>
        <w:vertAlign w:val="baseline"/>
      </w:rPr>
    </w:lvl>
    <w:lvl w:ilvl="5" w:tplc="FE4E9C60">
      <w:start w:val="1"/>
      <w:numFmt w:val="lowerRoman"/>
      <w:lvlText w:val="%6."/>
      <w:lvlJc w:val="left"/>
      <w:pPr>
        <w:tabs>
          <w:tab w:val="left" w:pos="624"/>
          <w:tab w:val="num" w:pos="5543"/>
        </w:tabs>
        <w:ind w:left="4294" w:firstLine="644"/>
      </w:pPr>
      <w:rPr>
        <w:rFonts w:hAnsi="Arial Unicode MS" w:cs="Times New Roman"/>
        <w:caps w:val="0"/>
        <w:smallCaps w:val="0"/>
        <w:strike w:val="0"/>
        <w:dstrike w:val="0"/>
        <w:color w:val="000000"/>
        <w:spacing w:val="0"/>
        <w:w w:val="100"/>
        <w:kern w:val="0"/>
        <w:position w:val="0"/>
        <w:vertAlign w:val="baseline"/>
      </w:rPr>
    </w:lvl>
    <w:lvl w:ilvl="6" w:tplc="9906F734">
      <w:start w:val="1"/>
      <w:numFmt w:val="decimal"/>
      <w:lvlText w:val="%7."/>
      <w:lvlJc w:val="left"/>
      <w:pPr>
        <w:tabs>
          <w:tab w:val="left" w:pos="624"/>
          <w:tab w:val="num" w:pos="6263"/>
        </w:tabs>
        <w:ind w:left="5014" w:firstLine="647"/>
      </w:pPr>
      <w:rPr>
        <w:rFonts w:hAnsi="Arial Unicode MS" w:cs="Times New Roman"/>
        <w:caps w:val="0"/>
        <w:smallCaps w:val="0"/>
        <w:strike w:val="0"/>
        <w:dstrike w:val="0"/>
        <w:color w:val="000000"/>
        <w:spacing w:val="0"/>
        <w:w w:val="100"/>
        <w:kern w:val="0"/>
        <w:position w:val="0"/>
        <w:vertAlign w:val="baseline"/>
      </w:rPr>
    </w:lvl>
    <w:lvl w:ilvl="7" w:tplc="318AE5D0">
      <w:start w:val="1"/>
      <w:numFmt w:val="lowerLetter"/>
      <w:lvlText w:val="%8."/>
      <w:lvlJc w:val="left"/>
      <w:pPr>
        <w:tabs>
          <w:tab w:val="left" w:pos="624"/>
          <w:tab w:val="num" w:pos="6983"/>
        </w:tabs>
        <w:ind w:left="5734" w:firstLine="743"/>
      </w:pPr>
      <w:rPr>
        <w:rFonts w:hAnsi="Arial Unicode MS" w:cs="Times New Roman"/>
        <w:caps w:val="0"/>
        <w:smallCaps w:val="0"/>
        <w:strike w:val="0"/>
        <w:dstrike w:val="0"/>
        <w:color w:val="000000"/>
        <w:spacing w:val="0"/>
        <w:w w:val="100"/>
        <w:kern w:val="0"/>
        <w:position w:val="0"/>
        <w:vertAlign w:val="baseline"/>
      </w:rPr>
    </w:lvl>
    <w:lvl w:ilvl="8" w:tplc="0DC6DFAE">
      <w:start w:val="1"/>
      <w:numFmt w:val="lowerRoman"/>
      <w:lvlText w:val="%9."/>
      <w:lvlJc w:val="left"/>
      <w:pPr>
        <w:tabs>
          <w:tab w:val="left" w:pos="624"/>
          <w:tab w:val="num" w:pos="7703"/>
        </w:tabs>
        <w:ind w:left="6454" w:firstLine="932"/>
      </w:pPr>
      <w:rPr>
        <w:rFonts w:hAnsi="Arial Unicode MS" w:cs="Times New Roman"/>
        <w:caps w:val="0"/>
        <w:smallCaps w:val="0"/>
        <w:strike w:val="0"/>
        <w:dstrike w:val="0"/>
        <w:color w:val="000000"/>
        <w:spacing w:val="0"/>
        <w:w w:val="100"/>
        <w:kern w:val="0"/>
        <w:position w:val="0"/>
        <w:vertAlign w:val="baseline"/>
      </w:rPr>
    </w:lvl>
  </w:abstractNum>
  <w:abstractNum w:abstractNumId="18">
    <w:nsid w:val="4A0608AF"/>
    <w:multiLevelType w:val="hybridMultilevel"/>
    <w:tmpl w:val="156885FC"/>
    <w:numStyleLink w:val="Importeradestilen3"/>
  </w:abstractNum>
  <w:abstractNum w:abstractNumId="19">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nsid w:val="58AA3667"/>
    <w:multiLevelType w:val="hybridMultilevel"/>
    <w:tmpl w:val="A72A60C0"/>
    <w:numStyleLink w:val="Importeradestilen7"/>
  </w:abstractNum>
  <w:abstractNum w:abstractNumId="22">
    <w:nsid w:val="5BF5183E"/>
    <w:multiLevelType w:val="hybridMultilevel"/>
    <w:tmpl w:val="686C86F4"/>
    <w:numStyleLink w:val="Importeradestilen4"/>
  </w:abstractNum>
  <w:abstractNum w:abstractNumId="23">
    <w:nsid w:val="5DBF43B4"/>
    <w:multiLevelType w:val="hybridMultilevel"/>
    <w:tmpl w:val="19925C48"/>
    <w:lvl w:ilvl="0" w:tplc="C6880616">
      <w:start w:val="1"/>
      <w:numFmt w:val="decimal"/>
      <w:lvlText w:val="%1."/>
      <w:lvlJc w:val="left"/>
      <w:pPr>
        <w:ind w:left="19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216D7B"/>
    <w:multiLevelType w:val="hybridMultilevel"/>
    <w:tmpl w:val="0B422B62"/>
    <w:numStyleLink w:val="Importeradestilen9"/>
  </w:abstractNum>
  <w:abstractNum w:abstractNumId="25">
    <w:nsid w:val="5ED54E99"/>
    <w:multiLevelType w:val="hybridMultilevel"/>
    <w:tmpl w:val="34B201DA"/>
    <w:lvl w:ilvl="0" w:tplc="0409000F">
      <w:start w:val="1"/>
      <w:numFmt w:val="decimal"/>
      <w:lvlText w:val="%1."/>
      <w:lvlJc w:val="left"/>
      <w:pPr>
        <w:ind w:left="2454" w:hanging="360"/>
      </w:pPr>
    </w:lvl>
    <w:lvl w:ilvl="1" w:tplc="04090019" w:tentative="1">
      <w:start w:val="1"/>
      <w:numFmt w:val="lowerLetter"/>
      <w:lvlText w:val="%2."/>
      <w:lvlJc w:val="left"/>
      <w:pPr>
        <w:ind w:left="3174" w:hanging="360"/>
      </w:pPr>
    </w:lvl>
    <w:lvl w:ilvl="2" w:tplc="0409001B" w:tentative="1">
      <w:start w:val="1"/>
      <w:numFmt w:val="lowerRoman"/>
      <w:lvlText w:val="%3."/>
      <w:lvlJc w:val="right"/>
      <w:pPr>
        <w:ind w:left="3894" w:hanging="180"/>
      </w:pPr>
    </w:lvl>
    <w:lvl w:ilvl="3" w:tplc="0409000F" w:tentative="1">
      <w:start w:val="1"/>
      <w:numFmt w:val="decimal"/>
      <w:lvlText w:val="%4."/>
      <w:lvlJc w:val="left"/>
      <w:pPr>
        <w:ind w:left="4614" w:hanging="360"/>
      </w:pPr>
    </w:lvl>
    <w:lvl w:ilvl="4" w:tplc="04090019" w:tentative="1">
      <w:start w:val="1"/>
      <w:numFmt w:val="lowerLetter"/>
      <w:lvlText w:val="%5."/>
      <w:lvlJc w:val="left"/>
      <w:pPr>
        <w:ind w:left="5334" w:hanging="360"/>
      </w:pPr>
    </w:lvl>
    <w:lvl w:ilvl="5" w:tplc="0409001B" w:tentative="1">
      <w:start w:val="1"/>
      <w:numFmt w:val="lowerRoman"/>
      <w:lvlText w:val="%6."/>
      <w:lvlJc w:val="right"/>
      <w:pPr>
        <w:ind w:left="6054" w:hanging="180"/>
      </w:pPr>
    </w:lvl>
    <w:lvl w:ilvl="6" w:tplc="0409000F" w:tentative="1">
      <w:start w:val="1"/>
      <w:numFmt w:val="decimal"/>
      <w:lvlText w:val="%7."/>
      <w:lvlJc w:val="left"/>
      <w:pPr>
        <w:ind w:left="6774" w:hanging="360"/>
      </w:pPr>
    </w:lvl>
    <w:lvl w:ilvl="7" w:tplc="04090019" w:tentative="1">
      <w:start w:val="1"/>
      <w:numFmt w:val="lowerLetter"/>
      <w:lvlText w:val="%8."/>
      <w:lvlJc w:val="left"/>
      <w:pPr>
        <w:ind w:left="7494" w:hanging="360"/>
      </w:pPr>
    </w:lvl>
    <w:lvl w:ilvl="8" w:tplc="0409001B" w:tentative="1">
      <w:start w:val="1"/>
      <w:numFmt w:val="lowerRoman"/>
      <w:lvlText w:val="%9."/>
      <w:lvlJc w:val="right"/>
      <w:pPr>
        <w:ind w:left="8214" w:hanging="180"/>
      </w:pPr>
    </w:lvl>
  </w:abstractNum>
  <w:abstractNum w:abstractNumId="26">
    <w:nsid w:val="5FE34526"/>
    <w:multiLevelType w:val="hybridMultilevel"/>
    <w:tmpl w:val="D07A6E4C"/>
    <w:numStyleLink w:val="Normallist"/>
  </w:abstractNum>
  <w:abstractNum w:abstractNumId="27">
    <w:nsid w:val="61DD32C7"/>
    <w:multiLevelType w:val="hybridMultilevel"/>
    <w:tmpl w:val="9458A21E"/>
    <w:lvl w:ilvl="0" w:tplc="BEE6064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9">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nsid w:val="712E4442"/>
    <w:multiLevelType w:val="hybridMultilevel"/>
    <w:tmpl w:val="A72A60C0"/>
    <w:styleLink w:val="Importeradestilen7"/>
    <w:lvl w:ilvl="0" w:tplc="3AECE516">
      <w:start w:val="1"/>
      <w:numFmt w:val="decimal"/>
      <w:lvlText w:val="%1."/>
      <w:lvlJc w:val="left"/>
      <w:pPr>
        <w:tabs>
          <w:tab w:val="left" w:pos="624"/>
          <w:tab w:val="num" w:pos="3029"/>
        </w:tabs>
        <w:ind w:left="1780" w:firstLine="1077"/>
      </w:pPr>
      <w:rPr>
        <w:rFonts w:hAnsi="Arial Unicode MS" w:cs="Times New Roman"/>
        <w:caps w:val="0"/>
        <w:smallCaps w:val="0"/>
        <w:strike w:val="0"/>
        <w:dstrike w:val="0"/>
        <w:color w:val="000000"/>
        <w:spacing w:val="0"/>
        <w:w w:val="100"/>
        <w:kern w:val="0"/>
        <w:position w:val="0"/>
        <w:vertAlign w:val="baseline"/>
      </w:rPr>
    </w:lvl>
    <w:lvl w:ilvl="1" w:tplc="2A3A6E32">
      <w:start w:val="1"/>
      <w:numFmt w:val="lowerLetter"/>
      <w:lvlText w:val="(%2)"/>
      <w:lvlJc w:val="left"/>
      <w:pPr>
        <w:tabs>
          <w:tab w:val="left" w:pos="624"/>
          <w:tab w:val="num" w:pos="2496"/>
        </w:tabs>
        <w:ind w:left="1247" w:firstLine="624"/>
      </w:pPr>
      <w:rPr>
        <w:rFonts w:hAnsi="Arial Unicode MS" w:cs="Times New Roman"/>
        <w:caps w:val="0"/>
        <w:smallCaps w:val="0"/>
        <w:strike w:val="0"/>
        <w:dstrike w:val="0"/>
        <w:color w:val="000000"/>
        <w:spacing w:val="0"/>
        <w:w w:val="100"/>
        <w:kern w:val="0"/>
        <w:position w:val="0"/>
        <w:vertAlign w:val="baseline"/>
      </w:rPr>
    </w:lvl>
    <w:lvl w:ilvl="2" w:tplc="FF3EAC60">
      <w:start w:val="1"/>
      <w:numFmt w:val="lowerRoman"/>
      <w:lvlText w:val="%3."/>
      <w:lvlJc w:val="left"/>
      <w:pPr>
        <w:tabs>
          <w:tab w:val="left" w:pos="624"/>
          <w:tab w:val="num" w:pos="3216"/>
        </w:tabs>
        <w:ind w:left="1967" w:firstLine="813"/>
      </w:pPr>
      <w:rPr>
        <w:rFonts w:hAnsi="Arial Unicode MS" w:cs="Times New Roman"/>
        <w:caps w:val="0"/>
        <w:smallCaps w:val="0"/>
        <w:strike w:val="0"/>
        <w:dstrike w:val="0"/>
        <w:color w:val="000000"/>
        <w:spacing w:val="0"/>
        <w:w w:val="100"/>
        <w:kern w:val="0"/>
        <w:position w:val="0"/>
        <w:vertAlign w:val="baseline"/>
      </w:rPr>
    </w:lvl>
    <w:lvl w:ilvl="3" w:tplc="4F52579C">
      <w:start w:val="1"/>
      <w:numFmt w:val="decimal"/>
      <w:lvlText w:val="%4."/>
      <w:lvlJc w:val="left"/>
      <w:pPr>
        <w:tabs>
          <w:tab w:val="left" w:pos="624"/>
          <w:tab w:val="num" w:pos="3936"/>
        </w:tabs>
        <w:ind w:left="2687" w:firstLine="816"/>
      </w:pPr>
      <w:rPr>
        <w:rFonts w:hAnsi="Arial Unicode MS" w:cs="Times New Roman"/>
        <w:caps w:val="0"/>
        <w:smallCaps w:val="0"/>
        <w:strike w:val="0"/>
        <w:dstrike w:val="0"/>
        <w:color w:val="000000"/>
        <w:spacing w:val="0"/>
        <w:w w:val="100"/>
        <w:kern w:val="0"/>
        <w:position w:val="0"/>
        <w:vertAlign w:val="baseline"/>
      </w:rPr>
    </w:lvl>
    <w:lvl w:ilvl="4" w:tplc="5C42B46C">
      <w:start w:val="1"/>
      <w:numFmt w:val="lowerLetter"/>
      <w:lvlText w:val="%5."/>
      <w:lvlJc w:val="left"/>
      <w:pPr>
        <w:tabs>
          <w:tab w:val="left" w:pos="624"/>
          <w:tab w:val="num" w:pos="4656"/>
        </w:tabs>
        <w:ind w:left="3407" w:firstLine="912"/>
      </w:pPr>
      <w:rPr>
        <w:rFonts w:hAnsi="Arial Unicode MS" w:cs="Times New Roman"/>
        <w:caps w:val="0"/>
        <w:smallCaps w:val="0"/>
        <w:strike w:val="0"/>
        <w:dstrike w:val="0"/>
        <w:color w:val="000000"/>
        <w:spacing w:val="0"/>
        <w:w w:val="100"/>
        <w:kern w:val="0"/>
        <w:position w:val="0"/>
        <w:vertAlign w:val="baseline"/>
      </w:rPr>
    </w:lvl>
    <w:lvl w:ilvl="5" w:tplc="0B24B91E">
      <w:start w:val="1"/>
      <w:numFmt w:val="lowerRoman"/>
      <w:lvlText w:val="%6."/>
      <w:lvlJc w:val="left"/>
      <w:pPr>
        <w:tabs>
          <w:tab w:val="left" w:pos="624"/>
          <w:tab w:val="num" w:pos="5376"/>
        </w:tabs>
        <w:ind w:left="4127" w:firstLine="1101"/>
      </w:pPr>
      <w:rPr>
        <w:rFonts w:hAnsi="Arial Unicode MS" w:cs="Times New Roman"/>
        <w:caps w:val="0"/>
        <w:smallCaps w:val="0"/>
        <w:strike w:val="0"/>
        <w:dstrike w:val="0"/>
        <w:color w:val="000000"/>
        <w:spacing w:val="0"/>
        <w:w w:val="100"/>
        <w:kern w:val="0"/>
        <w:position w:val="0"/>
        <w:vertAlign w:val="baseline"/>
      </w:rPr>
    </w:lvl>
    <w:lvl w:ilvl="6" w:tplc="2BD8721A">
      <w:start w:val="1"/>
      <w:numFmt w:val="decimal"/>
      <w:lvlText w:val="%7."/>
      <w:lvlJc w:val="left"/>
      <w:pPr>
        <w:tabs>
          <w:tab w:val="left" w:pos="624"/>
          <w:tab w:val="num" w:pos="6096"/>
        </w:tabs>
        <w:ind w:left="4847" w:firstLine="1104"/>
      </w:pPr>
      <w:rPr>
        <w:rFonts w:hAnsi="Arial Unicode MS" w:cs="Times New Roman"/>
        <w:caps w:val="0"/>
        <w:smallCaps w:val="0"/>
        <w:strike w:val="0"/>
        <w:dstrike w:val="0"/>
        <w:color w:val="000000"/>
        <w:spacing w:val="0"/>
        <w:w w:val="100"/>
        <w:kern w:val="0"/>
        <w:position w:val="0"/>
        <w:vertAlign w:val="baseline"/>
      </w:rPr>
    </w:lvl>
    <w:lvl w:ilvl="7" w:tplc="E6CA511E">
      <w:start w:val="1"/>
      <w:numFmt w:val="lowerLetter"/>
      <w:lvlText w:val="%8."/>
      <w:lvlJc w:val="left"/>
      <w:pPr>
        <w:tabs>
          <w:tab w:val="left" w:pos="624"/>
          <w:tab w:val="num" w:pos="6816"/>
        </w:tabs>
        <w:ind w:left="5567" w:firstLine="576"/>
      </w:pPr>
      <w:rPr>
        <w:rFonts w:hAnsi="Arial Unicode MS" w:cs="Times New Roman"/>
        <w:caps w:val="0"/>
        <w:smallCaps w:val="0"/>
        <w:strike w:val="0"/>
        <w:dstrike w:val="0"/>
        <w:color w:val="000000"/>
        <w:spacing w:val="0"/>
        <w:w w:val="100"/>
        <w:kern w:val="0"/>
        <w:position w:val="0"/>
        <w:vertAlign w:val="baseline"/>
      </w:rPr>
    </w:lvl>
    <w:lvl w:ilvl="8" w:tplc="719ABA78">
      <w:start w:val="1"/>
      <w:numFmt w:val="lowerRoman"/>
      <w:lvlText w:val="%9."/>
      <w:lvlJc w:val="left"/>
      <w:pPr>
        <w:tabs>
          <w:tab w:val="left" w:pos="624"/>
          <w:tab w:val="num" w:pos="7536"/>
        </w:tabs>
        <w:ind w:left="6287" w:firstLine="765"/>
      </w:pPr>
      <w:rPr>
        <w:rFonts w:hAnsi="Arial Unicode MS" w:cs="Times New Roman"/>
        <w:caps w:val="0"/>
        <w:smallCaps w:val="0"/>
        <w:strike w:val="0"/>
        <w:dstrike w:val="0"/>
        <w:color w:val="000000"/>
        <w:spacing w:val="0"/>
        <w:w w:val="100"/>
        <w:kern w:val="0"/>
        <w:position w:val="0"/>
        <w:vertAlign w:val="baseline"/>
      </w:rPr>
    </w:lvl>
  </w:abstractNum>
  <w:abstractNum w:abstractNumId="31">
    <w:nsid w:val="75436F1A"/>
    <w:multiLevelType w:val="hybridMultilevel"/>
    <w:tmpl w:val="156885FC"/>
    <w:styleLink w:val="Importeradestilen3"/>
    <w:lvl w:ilvl="0" w:tplc="755A5C66">
      <w:start w:val="1"/>
      <w:numFmt w:val="lowerRoman"/>
      <w:lvlText w:val="%1."/>
      <w:lvlJc w:val="left"/>
      <w:pPr>
        <w:tabs>
          <w:tab w:val="left" w:pos="3969"/>
        </w:tabs>
        <w:ind w:left="2410" w:hanging="658"/>
      </w:pPr>
      <w:rPr>
        <w:rFonts w:hAnsi="Arial Unicode MS" w:cs="Times New Roman"/>
        <w:i/>
        <w:iCs/>
        <w:caps w:val="0"/>
        <w:smallCaps w:val="0"/>
        <w:strike w:val="0"/>
        <w:dstrike w:val="0"/>
        <w:color w:val="000000"/>
        <w:spacing w:val="0"/>
        <w:w w:val="100"/>
        <w:kern w:val="0"/>
        <w:position w:val="0"/>
        <w:vertAlign w:val="baseline"/>
      </w:rPr>
    </w:lvl>
    <w:lvl w:ilvl="1" w:tplc="14208E1C">
      <w:start w:val="1"/>
      <w:numFmt w:val="lowerLetter"/>
      <w:lvlText w:val="%2."/>
      <w:lvlJc w:val="left"/>
      <w:pPr>
        <w:tabs>
          <w:tab w:val="left" w:pos="2410"/>
          <w:tab w:val="left" w:pos="3969"/>
        </w:tabs>
        <w:ind w:left="3130" w:hanging="567"/>
      </w:pPr>
      <w:rPr>
        <w:rFonts w:hAnsi="Arial Unicode MS" w:cs="Times New Roman"/>
        <w:i/>
        <w:iCs/>
        <w:caps w:val="0"/>
        <w:smallCaps w:val="0"/>
        <w:strike w:val="0"/>
        <w:dstrike w:val="0"/>
        <w:color w:val="000000"/>
        <w:spacing w:val="0"/>
        <w:w w:val="100"/>
        <w:kern w:val="0"/>
        <w:position w:val="0"/>
        <w:vertAlign w:val="baseline"/>
      </w:rPr>
    </w:lvl>
    <w:lvl w:ilvl="2" w:tplc="370C4956">
      <w:start w:val="1"/>
      <w:numFmt w:val="lowerRoman"/>
      <w:lvlText w:val="%3."/>
      <w:lvlJc w:val="left"/>
      <w:pPr>
        <w:tabs>
          <w:tab w:val="left" w:pos="2410"/>
          <w:tab w:val="left" w:pos="3969"/>
        </w:tabs>
        <w:ind w:left="3850" w:hanging="478"/>
      </w:pPr>
      <w:rPr>
        <w:rFonts w:hAnsi="Arial Unicode MS" w:cs="Times New Roman"/>
        <w:i/>
        <w:iCs/>
        <w:caps w:val="0"/>
        <w:smallCaps w:val="0"/>
        <w:strike w:val="0"/>
        <w:dstrike w:val="0"/>
        <w:color w:val="000000"/>
        <w:spacing w:val="0"/>
        <w:w w:val="100"/>
        <w:kern w:val="0"/>
        <w:position w:val="0"/>
        <w:vertAlign w:val="baseline"/>
      </w:rPr>
    </w:lvl>
    <w:lvl w:ilvl="3" w:tplc="D5CED5BA">
      <w:start w:val="1"/>
      <w:numFmt w:val="decimal"/>
      <w:lvlText w:val="%4."/>
      <w:lvlJc w:val="left"/>
      <w:pPr>
        <w:tabs>
          <w:tab w:val="left" w:pos="2410"/>
          <w:tab w:val="left" w:pos="3969"/>
        </w:tabs>
        <w:ind w:left="4570" w:hanging="567"/>
      </w:pPr>
      <w:rPr>
        <w:rFonts w:hAnsi="Arial Unicode MS" w:cs="Times New Roman"/>
        <w:i/>
        <w:iCs/>
        <w:caps w:val="0"/>
        <w:smallCaps w:val="0"/>
        <w:strike w:val="0"/>
        <w:dstrike w:val="0"/>
        <w:color w:val="000000"/>
        <w:spacing w:val="0"/>
        <w:w w:val="100"/>
        <w:kern w:val="0"/>
        <w:position w:val="0"/>
        <w:vertAlign w:val="baseline"/>
      </w:rPr>
    </w:lvl>
    <w:lvl w:ilvl="4" w:tplc="C2CA4012">
      <w:start w:val="1"/>
      <w:numFmt w:val="lowerLetter"/>
      <w:lvlText w:val="%5."/>
      <w:lvlJc w:val="left"/>
      <w:pPr>
        <w:tabs>
          <w:tab w:val="left" w:pos="2410"/>
          <w:tab w:val="left" w:pos="3969"/>
        </w:tabs>
        <w:ind w:left="5290" w:hanging="567"/>
      </w:pPr>
      <w:rPr>
        <w:rFonts w:hAnsi="Arial Unicode MS" w:cs="Times New Roman"/>
        <w:i/>
        <w:iCs/>
        <w:caps w:val="0"/>
        <w:smallCaps w:val="0"/>
        <w:strike w:val="0"/>
        <w:dstrike w:val="0"/>
        <w:color w:val="000000"/>
        <w:spacing w:val="0"/>
        <w:w w:val="100"/>
        <w:kern w:val="0"/>
        <w:position w:val="0"/>
        <w:vertAlign w:val="baseline"/>
      </w:rPr>
    </w:lvl>
    <w:lvl w:ilvl="5" w:tplc="53D22708">
      <w:start w:val="1"/>
      <w:numFmt w:val="lowerRoman"/>
      <w:lvlText w:val="%6."/>
      <w:lvlJc w:val="left"/>
      <w:pPr>
        <w:tabs>
          <w:tab w:val="left" w:pos="2410"/>
          <w:tab w:val="left" w:pos="3969"/>
        </w:tabs>
        <w:ind w:left="6010" w:hanging="478"/>
      </w:pPr>
      <w:rPr>
        <w:rFonts w:hAnsi="Arial Unicode MS" w:cs="Times New Roman"/>
        <w:i/>
        <w:iCs/>
        <w:caps w:val="0"/>
        <w:smallCaps w:val="0"/>
        <w:strike w:val="0"/>
        <w:dstrike w:val="0"/>
        <w:color w:val="000000"/>
        <w:spacing w:val="0"/>
        <w:w w:val="100"/>
        <w:kern w:val="0"/>
        <w:position w:val="0"/>
        <w:vertAlign w:val="baseline"/>
      </w:rPr>
    </w:lvl>
    <w:lvl w:ilvl="6" w:tplc="ACF274A6">
      <w:start w:val="1"/>
      <w:numFmt w:val="decimal"/>
      <w:lvlText w:val="%7."/>
      <w:lvlJc w:val="left"/>
      <w:pPr>
        <w:tabs>
          <w:tab w:val="left" w:pos="2410"/>
          <w:tab w:val="left" w:pos="3969"/>
        </w:tabs>
        <w:ind w:left="6730" w:hanging="567"/>
      </w:pPr>
      <w:rPr>
        <w:rFonts w:hAnsi="Arial Unicode MS" w:cs="Times New Roman"/>
        <w:i/>
        <w:iCs/>
        <w:caps w:val="0"/>
        <w:smallCaps w:val="0"/>
        <w:strike w:val="0"/>
        <w:dstrike w:val="0"/>
        <w:color w:val="000000"/>
        <w:spacing w:val="0"/>
        <w:w w:val="100"/>
        <w:kern w:val="0"/>
        <w:position w:val="0"/>
        <w:vertAlign w:val="baseline"/>
      </w:rPr>
    </w:lvl>
    <w:lvl w:ilvl="7" w:tplc="9B3A71C2">
      <w:start w:val="1"/>
      <w:numFmt w:val="lowerLetter"/>
      <w:lvlText w:val="%8."/>
      <w:lvlJc w:val="left"/>
      <w:pPr>
        <w:tabs>
          <w:tab w:val="left" w:pos="2410"/>
          <w:tab w:val="left" w:pos="3969"/>
        </w:tabs>
        <w:ind w:left="7450" w:hanging="567"/>
      </w:pPr>
      <w:rPr>
        <w:rFonts w:hAnsi="Arial Unicode MS" w:cs="Times New Roman"/>
        <w:i/>
        <w:iCs/>
        <w:caps w:val="0"/>
        <w:smallCaps w:val="0"/>
        <w:strike w:val="0"/>
        <w:dstrike w:val="0"/>
        <w:color w:val="000000"/>
        <w:spacing w:val="0"/>
        <w:w w:val="100"/>
        <w:kern w:val="0"/>
        <w:position w:val="0"/>
        <w:vertAlign w:val="baseline"/>
      </w:rPr>
    </w:lvl>
    <w:lvl w:ilvl="8" w:tplc="867A808A">
      <w:start w:val="1"/>
      <w:numFmt w:val="lowerRoman"/>
      <w:lvlText w:val="%9."/>
      <w:lvlJc w:val="left"/>
      <w:pPr>
        <w:tabs>
          <w:tab w:val="left" w:pos="2410"/>
          <w:tab w:val="left" w:pos="3969"/>
        </w:tabs>
        <w:ind w:left="8170" w:hanging="478"/>
      </w:pPr>
      <w:rPr>
        <w:rFonts w:hAnsi="Arial Unicode MS" w:cs="Times New Roman"/>
        <w:i/>
        <w:iCs/>
        <w:caps w:val="0"/>
        <w:smallCaps w:val="0"/>
        <w:strike w:val="0"/>
        <w:dstrike w:val="0"/>
        <w:color w:val="000000"/>
        <w:spacing w:val="0"/>
        <w:w w:val="100"/>
        <w:kern w:val="0"/>
        <w:position w:val="0"/>
        <w:vertAlign w:val="baseline"/>
      </w:rPr>
    </w:lvl>
  </w:abstractNum>
  <w:abstractNum w:abstractNumId="32">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0"/>
  </w:num>
  <w:num w:numId="2">
    <w:abstractNumId w:val="7"/>
  </w:num>
  <w:num w:numId="3">
    <w:abstractNumId w:val="13"/>
  </w:num>
  <w:num w:numId="4">
    <w:abstractNumId w:val="20"/>
  </w:num>
  <w:num w:numId="5">
    <w:abstractNumId w:val="20"/>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0"/>
  </w:num>
  <w:num w:numId="7">
    <w:abstractNumId w:val="4"/>
  </w:num>
  <w:num w:numId="8">
    <w:abstractNumId w:val="28"/>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9"/>
  </w:num>
  <w:num w:numId="13">
    <w:abstractNumId w:val="29"/>
  </w:num>
  <w:num w:numId="14">
    <w:abstractNumId w:val="31"/>
  </w:num>
  <w:num w:numId="15">
    <w:abstractNumId w:val="18"/>
  </w:num>
  <w:num w:numId="16">
    <w:abstractNumId w:val="0"/>
  </w:num>
  <w:num w:numId="17">
    <w:abstractNumId w:val="22"/>
  </w:num>
  <w:num w:numId="18">
    <w:abstractNumId w:val="9"/>
  </w:num>
  <w:num w:numId="19">
    <w:abstractNumId w:val="2"/>
  </w:num>
  <w:num w:numId="20">
    <w:abstractNumId w:val="14"/>
  </w:num>
  <w:num w:numId="21">
    <w:abstractNumId w:val="1"/>
  </w:num>
  <w:num w:numId="22">
    <w:abstractNumId w:val="30"/>
  </w:num>
  <w:num w:numId="23">
    <w:abstractNumId w:val="21"/>
  </w:num>
  <w:num w:numId="24">
    <w:abstractNumId w:val="1"/>
    <w:lvlOverride w:ilvl="0">
      <w:startOverride w:val="10"/>
      <w:lvl w:ilvl="0" w:tplc="A53A44C0">
        <w:start w:val="10"/>
        <w:numFmt w:val="decimal"/>
        <w:lvlText w:val="%1."/>
        <w:lvlJc w:val="left"/>
        <w:pPr>
          <w:tabs>
            <w:tab w:val="left" w:pos="624"/>
            <w:tab w:val="num" w:pos="1872"/>
          </w:tabs>
          <w:ind w:left="1247"/>
        </w:pPr>
        <w:rPr>
          <w:rFonts w:hAnsi="Arial Unicode MS" w:cs="Times New Roman"/>
          <w:b w:val="0"/>
          <w:bCs/>
          <w:caps w:val="0"/>
          <w:smallCaps w:val="0"/>
          <w:strike w:val="0"/>
          <w:dstrike w:val="0"/>
          <w:outline w:val="0"/>
          <w:emboss w:val="0"/>
          <w:imprint w:val="0"/>
          <w:spacing w:val="0"/>
          <w:w w:val="100"/>
          <w:kern w:val="0"/>
          <w:position w:val="0"/>
          <w:vertAlign w:val="baseline"/>
        </w:rPr>
      </w:lvl>
    </w:lvlOverride>
    <w:lvlOverride w:ilvl="1">
      <w:startOverride w:val="1"/>
      <w:lvl w:ilvl="1" w:tplc="D154048E">
        <w:start w:val="1"/>
        <w:numFmt w:val="lowerLetter"/>
        <w:lvlText w:val="%2."/>
        <w:lvlJc w:val="left"/>
        <w:pPr>
          <w:tabs>
            <w:tab w:val="left" w:pos="624"/>
            <w:tab w:val="num" w:pos="2592"/>
          </w:tabs>
          <w:ind w:left="1967" w:firstLine="96"/>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2">
      <w:startOverride w:val="1"/>
      <w:lvl w:ilvl="2" w:tplc="247C0370">
        <w:start w:val="1"/>
        <w:numFmt w:val="lowerRoman"/>
        <w:lvlText w:val="%3."/>
        <w:lvlJc w:val="left"/>
        <w:pPr>
          <w:tabs>
            <w:tab w:val="left" w:pos="624"/>
            <w:tab w:val="num" w:pos="3312"/>
          </w:tabs>
          <w:ind w:left="2687" w:firstLine="287"/>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3">
      <w:startOverride w:val="1"/>
      <w:lvl w:ilvl="3" w:tplc="4F52658A">
        <w:start w:val="1"/>
        <w:numFmt w:val="decimal"/>
        <w:lvlText w:val="%4."/>
        <w:lvlJc w:val="left"/>
        <w:pPr>
          <w:tabs>
            <w:tab w:val="left" w:pos="624"/>
            <w:tab w:val="num" w:pos="4032"/>
          </w:tabs>
          <w:ind w:left="3407" w:firstLine="28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4">
      <w:startOverride w:val="1"/>
      <w:lvl w:ilvl="4" w:tplc="E17AC084">
        <w:start w:val="1"/>
        <w:numFmt w:val="lowerLetter"/>
        <w:lvlText w:val="%5."/>
        <w:lvlJc w:val="left"/>
        <w:pPr>
          <w:tabs>
            <w:tab w:val="left" w:pos="624"/>
            <w:tab w:val="num" w:pos="4752"/>
          </w:tabs>
          <w:ind w:left="4127" w:firstLine="384"/>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5">
      <w:startOverride w:val="1"/>
      <w:lvl w:ilvl="5" w:tplc="F8020E26">
        <w:start w:val="1"/>
        <w:numFmt w:val="lowerRoman"/>
        <w:lvlText w:val="%6."/>
        <w:lvlJc w:val="left"/>
        <w:pPr>
          <w:tabs>
            <w:tab w:val="left" w:pos="624"/>
            <w:tab w:val="num" w:pos="5472"/>
          </w:tabs>
          <w:ind w:left="4847" w:hanging="49"/>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6">
      <w:startOverride w:val="1"/>
      <w:lvl w:ilvl="6" w:tplc="17A22412">
        <w:start w:val="1"/>
        <w:numFmt w:val="decimal"/>
        <w:lvlText w:val="%7."/>
        <w:lvlJc w:val="left"/>
        <w:pPr>
          <w:tabs>
            <w:tab w:val="left" w:pos="624"/>
            <w:tab w:val="num" w:pos="6192"/>
          </w:tabs>
          <w:ind w:left="5567" w:hanging="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7">
      <w:startOverride w:val="1"/>
      <w:lvl w:ilvl="7" w:tplc="322E9DE0">
        <w:start w:val="1"/>
        <w:numFmt w:val="lowerLetter"/>
        <w:lvlText w:val="%8."/>
        <w:lvlJc w:val="left"/>
        <w:pPr>
          <w:tabs>
            <w:tab w:val="left" w:pos="624"/>
            <w:tab w:val="num" w:pos="6912"/>
          </w:tabs>
          <w:ind w:left="6287" w:firstLine="48"/>
        </w:pPr>
        <w:rPr>
          <w:rFonts w:hAnsi="Arial Unicode MS" w:cs="Times New Roman"/>
          <w:b/>
          <w:bCs/>
          <w:caps w:val="0"/>
          <w:smallCaps w:val="0"/>
          <w:strike w:val="0"/>
          <w:dstrike w:val="0"/>
          <w:outline w:val="0"/>
          <w:emboss w:val="0"/>
          <w:imprint w:val="0"/>
          <w:spacing w:val="0"/>
          <w:w w:val="100"/>
          <w:kern w:val="0"/>
          <w:position w:val="0"/>
          <w:vertAlign w:val="baseline"/>
        </w:rPr>
      </w:lvl>
    </w:lvlOverride>
    <w:lvlOverride w:ilvl="8">
      <w:startOverride w:val="1"/>
      <w:lvl w:ilvl="8" w:tplc="4C4084BA">
        <w:start w:val="1"/>
        <w:numFmt w:val="lowerRoman"/>
        <w:lvlText w:val="%9."/>
        <w:lvlJc w:val="left"/>
        <w:pPr>
          <w:tabs>
            <w:tab w:val="left" w:pos="624"/>
            <w:tab w:val="num" w:pos="7632"/>
          </w:tabs>
          <w:ind w:left="7007" w:firstLine="239"/>
        </w:pPr>
        <w:rPr>
          <w:rFonts w:hAnsi="Arial Unicode MS" w:cs="Times New Roman"/>
          <w:b/>
          <w:bCs/>
          <w:caps w:val="0"/>
          <w:smallCaps w:val="0"/>
          <w:strike w:val="0"/>
          <w:dstrike w:val="0"/>
          <w:outline w:val="0"/>
          <w:emboss w:val="0"/>
          <w:imprint w:val="0"/>
          <w:spacing w:val="0"/>
          <w:w w:val="100"/>
          <w:kern w:val="0"/>
          <w:position w:val="0"/>
          <w:vertAlign w:val="baseline"/>
        </w:rPr>
      </w:lvl>
    </w:lvlOverride>
  </w:num>
  <w:num w:numId="25">
    <w:abstractNumId w:val="17"/>
  </w:num>
  <w:num w:numId="26">
    <w:abstractNumId w:val="6"/>
  </w:num>
  <w:num w:numId="27">
    <w:abstractNumId w:val="1"/>
    <w:lvlOverride w:ilvl="0">
      <w:startOverride w:val="12"/>
    </w:lvlOverride>
  </w:num>
  <w:num w:numId="28">
    <w:abstractNumId w:val="8"/>
  </w:num>
  <w:num w:numId="29">
    <w:abstractNumId w:val="24"/>
  </w:num>
  <w:num w:numId="30">
    <w:abstractNumId w:val="2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1">
    <w:abstractNumId w:val="26"/>
    <w:lvlOverride w:ilvl="0">
      <w:startOverride w:val="1"/>
      <w:lvl w:ilvl="0" w:tplc="496ABD68">
        <w:start w:val="1"/>
        <w:numFmt w:val="decimal"/>
        <w:lvlText w:val="%1."/>
        <w:lvlJc w:val="left"/>
        <w:pPr>
          <w:tabs>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B3AC3EFE">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56AE9A8">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780F4DA">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02827D6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3FBA193E">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BE82FBE0">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B189B6E">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4E6AC1DC">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2">
    <w:abstractNumId w:val="26"/>
    <w:lvlOverride w:ilvl="0">
      <w:startOverride w:val="10"/>
      <w:lvl w:ilvl="0" w:tplc="496ABD68">
        <w:start w:val="10"/>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B3AC3EFE">
        <w:start w:val="1"/>
        <w:numFmt w:val="lowerLetter"/>
        <w:lvlText w:val="(%2)"/>
        <w:lvlJc w:val="left"/>
        <w:pPr>
          <w:tabs>
            <w:tab w:val="num" w:pos="2381"/>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56AE9A8">
        <w:start w:val="1"/>
        <w:numFmt w:val="lowerRoman"/>
        <w:lvlText w:val="(%3)"/>
        <w:lvlJc w:val="left"/>
        <w:pPr>
          <w:ind w:left="2948"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780F4DA">
        <w:start w:val="1"/>
        <w:numFmt w:val="lowerLetter"/>
        <w:lvlText w:val="%4."/>
        <w:lvlJc w:val="left"/>
        <w:pPr>
          <w:ind w:left="3515"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02827D60">
        <w:start w:val="1"/>
        <w:numFmt w:val="lowerRoman"/>
        <w:lvlText w:val="%5."/>
        <w:lvlJc w:val="left"/>
        <w:pPr>
          <w:ind w:left="4082" w:hanging="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3FBA193E">
        <w:start w:val="1"/>
        <w:numFmt w:val="lowerRoman"/>
        <w:lvlText w:val="%6."/>
        <w:lvlJc w:val="left"/>
        <w:pPr>
          <w:ind w:left="7835"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BE82FBE0">
        <w:start w:val="1"/>
        <w:numFmt w:val="decimal"/>
        <w:lvlText w:val="%7."/>
        <w:lvlJc w:val="left"/>
        <w:pPr>
          <w:ind w:left="855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B189B6E">
        <w:start w:val="1"/>
        <w:numFmt w:val="lowerLetter"/>
        <w:lvlText w:val="%8."/>
        <w:lvlJc w:val="left"/>
        <w:pPr>
          <w:ind w:left="9275"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4E6AC1DC">
        <w:start w:val="1"/>
        <w:numFmt w:val="lowerRoman"/>
        <w:lvlText w:val="%9."/>
        <w:lvlJc w:val="left"/>
        <w:pPr>
          <w:ind w:left="9995"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3">
    <w:abstractNumId w:val="26"/>
    <w:lvlOverride w:ilvl="0">
      <w:lvl w:ilvl="0" w:tplc="496ABD68">
        <w:start w:val="1"/>
        <w:numFmt w:val="decimal"/>
        <w:lvlText w:val="%1."/>
        <w:lvlJc w:val="left"/>
        <w:pPr>
          <w:tabs>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3AC3EFE">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56AE9A8">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7780F4DA">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02827D6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FBA193E">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BE82FBE0">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B189B6E">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4E6AC1DC">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4">
    <w:abstractNumId w:val="11"/>
  </w:num>
  <w:num w:numId="35">
    <w:abstractNumId w:val="25"/>
  </w:num>
  <w:num w:numId="36">
    <w:abstractNumId w:val="20"/>
    <w:lvlOverride w:ilvl="1">
      <w:lvl w:ilvl="1">
        <w:start w:val="1"/>
        <w:numFmt w:val="lowerLetter"/>
        <w:lvlText w:val="(%2)"/>
        <w:lvlJc w:val="left"/>
        <w:pPr>
          <w:tabs>
            <w:tab w:val="num" w:pos="6970"/>
          </w:tabs>
          <w:ind w:left="7083" w:firstLine="567"/>
        </w:pPr>
        <w:rPr>
          <w:rFonts w:hint="default"/>
          <w:sz w:val="20"/>
          <w:szCs w:val="20"/>
        </w:rPr>
      </w:lvl>
    </w:lvlOverride>
  </w:num>
  <w:num w:numId="37">
    <w:abstractNumId w:val="26"/>
    <w:lvlOverride w:ilvl="0">
      <w:startOverride w:val="1"/>
      <w:lvl w:ilvl="0" w:tplc="496ABD68">
        <w:start w:val="1"/>
        <w:numFmt w:val="decimal"/>
        <w:lvlText w:val="%1."/>
        <w:lvlJc w:val="left"/>
        <w:pPr>
          <w:tabs>
            <w:tab w:val="left" w:pos="624"/>
            <w:tab w:val="left" w:pos="1134"/>
            <w:tab w:val="left" w:pos="1247"/>
            <w:tab w:val="num" w:pos="1871"/>
            <w:tab w:val="left" w:pos="3119"/>
            <w:tab w:val="left" w:pos="408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B3AC3EFE">
        <w:start w:val="1"/>
        <w:numFmt w:val="lowerLetter"/>
        <w:lvlText w:val="(%2)"/>
        <w:lvlJc w:val="left"/>
        <w:pPr>
          <w:tabs>
            <w:tab w:val="left" w:pos="624"/>
            <w:tab w:val="left" w:pos="3119"/>
            <w:tab w:val="left" w:pos="4082"/>
          </w:tabs>
          <w:ind w:left="1305"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156AE9A8">
        <w:start w:val="1"/>
        <w:numFmt w:val="lowerRoman"/>
        <w:lvlText w:val="(%3)"/>
        <w:lvlJc w:val="left"/>
        <w:pPr>
          <w:tabs>
            <w:tab w:val="left" w:pos="624"/>
            <w:tab w:val="left" w:pos="1134"/>
            <w:tab w:val="left" w:pos="1247"/>
            <w:tab w:val="left" w:pos="1871"/>
            <w:tab w:val="num" w:pos="3572"/>
            <w:tab w:val="left" w:pos="4082"/>
          </w:tabs>
          <w:ind w:left="2948"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7780F4DA">
        <w:start w:val="1"/>
        <w:numFmt w:val="lowerLetter"/>
        <w:lvlText w:val="%4."/>
        <w:lvlJc w:val="left"/>
        <w:pPr>
          <w:tabs>
            <w:tab w:val="left" w:pos="624"/>
            <w:tab w:val="left" w:pos="1134"/>
            <w:tab w:val="left" w:pos="1247"/>
            <w:tab w:val="left" w:pos="1871"/>
            <w:tab w:val="left" w:pos="3119"/>
            <w:tab w:val="num" w:pos="3743"/>
            <w:tab w:val="left" w:pos="4082"/>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02827D60">
        <w:start w:val="1"/>
        <w:numFmt w:val="lowerRoman"/>
        <w:lvlText w:val="%5."/>
        <w:lvlJc w:val="left"/>
        <w:pPr>
          <w:tabs>
            <w:tab w:val="left" w:pos="624"/>
            <w:tab w:val="left" w:pos="1134"/>
            <w:tab w:val="left" w:pos="1247"/>
            <w:tab w:val="left" w:pos="1871"/>
            <w:tab w:val="left" w:pos="3119"/>
            <w:tab w:val="left" w:pos="4082"/>
            <w:tab w:val="num" w:pos="4706"/>
          </w:tabs>
          <w:ind w:left="4082" w:firstLine="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3FBA193E">
        <w:start w:val="1"/>
        <w:numFmt w:val="lowerRoman"/>
        <w:lvlText w:val="%6."/>
        <w:lvlJc w:val="left"/>
        <w:pPr>
          <w:tabs>
            <w:tab w:val="left" w:pos="624"/>
            <w:tab w:val="left" w:pos="1134"/>
            <w:tab w:val="left" w:pos="1247"/>
            <w:tab w:val="left" w:pos="1871"/>
            <w:tab w:val="left" w:pos="3119"/>
            <w:tab w:val="left" w:pos="4082"/>
            <w:tab w:val="num" w:pos="8459"/>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BE82FBE0">
        <w:start w:val="1"/>
        <w:numFmt w:val="decimal"/>
        <w:lvlText w:val="%7."/>
        <w:lvlJc w:val="left"/>
        <w:pPr>
          <w:tabs>
            <w:tab w:val="left" w:pos="624"/>
            <w:tab w:val="left" w:pos="1134"/>
            <w:tab w:val="left" w:pos="1247"/>
            <w:tab w:val="left" w:pos="1871"/>
            <w:tab w:val="left" w:pos="3119"/>
            <w:tab w:val="left" w:pos="4082"/>
            <w:tab w:val="num" w:pos="9179"/>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8B189B6E">
        <w:start w:val="1"/>
        <w:numFmt w:val="lowerLetter"/>
        <w:lvlText w:val="%8."/>
        <w:lvlJc w:val="left"/>
        <w:pPr>
          <w:tabs>
            <w:tab w:val="left" w:pos="624"/>
            <w:tab w:val="left" w:pos="1134"/>
            <w:tab w:val="left" w:pos="1247"/>
            <w:tab w:val="left" w:pos="1871"/>
            <w:tab w:val="left" w:pos="3119"/>
            <w:tab w:val="left" w:pos="4082"/>
            <w:tab w:val="num" w:pos="9899"/>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4E6AC1DC">
        <w:start w:val="1"/>
        <w:numFmt w:val="lowerRoman"/>
        <w:lvlText w:val="%9."/>
        <w:lvlJc w:val="left"/>
        <w:pPr>
          <w:tabs>
            <w:tab w:val="left" w:pos="624"/>
            <w:tab w:val="left" w:pos="1134"/>
            <w:tab w:val="left" w:pos="1247"/>
            <w:tab w:val="left" w:pos="1871"/>
            <w:tab w:val="left" w:pos="3119"/>
            <w:tab w:val="left" w:pos="4082"/>
            <w:tab w:val="num" w:pos="10619"/>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8">
    <w:abstractNumId w:val="26"/>
    <w:lvlOverride w:ilvl="0">
      <w:lvl w:ilvl="0" w:tplc="496ABD68">
        <w:start w:val="1"/>
        <w:numFmt w:val="decimal"/>
        <w:lvlText w:val="%1."/>
        <w:lvlJc w:val="left"/>
        <w:pPr>
          <w:tabs>
            <w:tab w:val="left" w:pos="624"/>
            <w:tab w:val="left" w:pos="1134"/>
            <w:tab w:val="left" w:pos="1247"/>
            <w:tab w:val="num" w:pos="1871"/>
            <w:tab w:val="left" w:pos="3119"/>
          </w:tabs>
          <w:ind w:left="1259"/>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3AC3EFE">
        <w:start w:val="1"/>
        <w:numFmt w:val="lowerLetter"/>
        <w:lvlText w:val="(%2)"/>
        <w:lvlJc w:val="left"/>
        <w:pPr>
          <w:tabs>
            <w:tab w:val="left" w:pos="624"/>
            <w:tab w:val="left" w:pos="3119"/>
          </w:tabs>
          <w:ind w:left="1293" w:hanging="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56AE9A8">
        <w:start w:val="1"/>
        <w:numFmt w:val="lowerRoman"/>
        <w:lvlText w:val="(%3)"/>
        <w:lvlJc w:val="left"/>
        <w:pPr>
          <w:tabs>
            <w:tab w:val="left" w:pos="624"/>
            <w:tab w:val="left" w:pos="1134"/>
            <w:tab w:val="left" w:pos="1247"/>
            <w:tab w:val="left" w:pos="1871"/>
            <w:tab w:val="num" w:pos="3572"/>
          </w:tabs>
          <w:ind w:left="2960"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7780F4DA">
        <w:start w:val="1"/>
        <w:numFmt w:val="lowerLetter"/>
        <w:lvlText w:val="%4."/>
        <w:lvlJc w:val="left"/>
        <w:pPr>
          <w:tabs>
            <w:tab w:val="left" w:pos="624"/>
            <w:tab w:val="left" w:pos="1134"/>
            <w:tab w:val="left" w:pos="1247"/>
            <w:tab w:val="left" w:pos="1871"/>
            <w:tab w:val="left" w:pos="3119"/>
            <w:tab w:val="num" w:pos="3731"/>
          </w:tabs>
          <w:ind w:left="3119" w:firstLine="453"/>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02827D60">
        <w:start w:val="1"/>
        <w:numFmt w:val="lowerRoman"/>
        <w:lvlText w:val="%5."/>
        <w:lvlJc w:val="left"/>
        <w:pPr>
          <w:tabs>
            <w:tab w:val="left" w:pos="624"/>
            <w:tab w:val="left" w:pos="1134"/>
            <w:tab w:val="left" w:pos="1247"/>
            <w:tab w:val="left" w:pos="1871"/>
            <w:tab w:val="left" w:pos="3119"/>
            <w:tab w:val="num" w:pos="4706"/>
          </w:tabs>
          <w:ind w:left="4094" w:firstLine="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FBA193E">
        <w:start w:val="1"/>
        <w:numFmt w:val="lowerRoman"/>
        <w:lvlText w:val="%6."/>
        <w:lvlJc w:val="left"/>
        <w:pPr>
          <w:tabs>
            <w:tab w:val="left" w:pos="624"/>
            <w:tab w:val="left" w:pos="1134"/>
            <w:tab w:val="left" w:pos="1247"/>
            <w:tab w:val="left" w:pos="1871"/>
            <w:tab w:val="left" w:pos="3119"/>
            <w:tab w:val="num" w:pos="8447"/>
          </w:tabs>
          <w:ind w:left="783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BE82FBE0">
        <w:start w:val="1"/>
        <w:numFmt w:val="decimal"/>
        <w:lvlText w:val="%7."/>
        <w:lvlJc w:val="left"/>
        <w:pPr>
          <w:tabs>
            <w:tab w:val="left" w:pos="624"/>
            <w:tab w:val="left" w:pos="1134"/>
            <w:tab w:val="left" w:pos="1247"/>
            <w:tab w:val="left" w:pos="1871"/>
            <w:tab w:val="left" w:pos="3119"/>
            <w:tab w:val="num" w:pos="9167"/>
          </w:tabs>
          <w:ind w:left="855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B189B6E">
        <w:start w:val="1"/>
        <w:numFmt w:val="lowerLetter"/>
        <w:lvlText w:val="%8."/>
        <w:lvlJc w:val="left"/>
        <w:pPr>
          <w:tabs>
            <w:tab w:val="left" w:pos="624"/>
            <w:tab w:val="left" w:pos="1134"/>
            <w:tab w:val="left" w:pos="1247"/>
            <w:tab w:val="left" w:pos="1871"/>
            <w:tab w:val="left" w:pos="3119"/>
            <w:tab w:val="num" w:pos="9887"/>
          </w:tabs>
          <w:ind w:left="9275" w:firstLine="26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4E6AC1DC">
        <w:start w:val="1"/>
        <w:numFmt w:val="lowerRoman"/>
        <w:lvlText w:val="%9."/>
        <w:lvlJc w:val="left"/>
        <w:pPr>
          <w:tabs>
            <w:tab w:val="left" w:pos="624"/>
            <w:tab w:val="left" w:pos="1134"/>
            <w:tab w:val="left" w:pos="1247"/>
            <w:tab w:val="left" w:pos="1871"/>
            <w:tab w:val="left" w:pos="3119"/>
            <w:tab w:val="num" w:pos="10607"/>
          </w:tabs>
          <w:ind w:left="9995" w:firstLine="35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39">
    <w:abstractNumId w:val="26"/>
    <w:lvlOverride w:ilvl="0">
      <w:lvl w:ilvl="0" w:tplc="496ABD68">
        <w:start w:val="1"/>
        <w:numFmt w:val="decimal"/>
        <w:lvlText w:val="%1."/>
        <w:lvlJc w:val="left"/>
        <w:pPr>
          <w:tabs>
            <w:tab w:val="left" w:pos="624"/>
            <w:tab w:val="left" w:pos="1134"/>
            <w:tab w:val="left" w:pos="1247"/>
            <w:tab w:val="num" w:pos="1871"/>
            <w:tab w:val="left" w:pos="3119"/>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3AC3EFE">
        <w:start w:val="1"/>
        <w:numFmt w:val="lowerLetter"/>
        <w:lvlText w:val="(%2)"/>
        <w:lvlJc w:val="left"/>
        <w:pPr>
          <w:tabs>
            <w:tab w:val="left" w:pos="624"/>
            <w:tab w:val="left" w:pos="1134"/>
            <w:tab w:val="left" w:pos="1247"/>
            <w:tab w:val="left" w:pos="1871"/>
            <w:tab w:val="num" w:pos="2495"/>
            <w:tab w:val="left" w:pos="3119"/>
          </w:tabs>
          <w:ind w:left="1247" w:firstLine="5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56AE9A8">
        <w:start w:val="1"/>
        <w:numFmt w:val="lowerRoman"/>
        <w:lvlText w:val="(%3)"/>
        <w:lvlJc w:val="left"/>
        <w:pPr>
          <w:tabs>
            <w:tab w:val="left" w:pos="624"/>
            <w:tab w:val="left" w:pos="1134"/>
            <w:tab w:val="left" w:pos="1247"/>
            <w:tab w:val="left" w:pos="1871"/>
            <w:tab w:val="left" w:pos="2495"/>
            <w:tab w:val="left" w:pos="3119"/>
            <w:tab w:val="num" w:pos="3743"/>
          </w:tabs>
          <w:ind w:left="2495"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7780F4DA">
        <w:start w:val="1"/>
        <w:numFmt w:val="lowerLetter"/>
        <w:lvlText w:val="%4."/>
        <w:lvlJc w:val="left"/>
        <w:pPr>
          <w:tabs>
            <w:tab w:val="left" w:pos="624"/>
            <w:tab w:val="left" w:pos="1134"/>
            <w:tab w:val="left" w:pos="1247"/>
            <w:tab w:val="left" w:pos="1871"/>
            <w:tab w:val="left" w:pos="2495"/>
            <w:tab w:val="left" w:pos="3119"/>
            <w:tab w:val="num" w:pos="4367"/>
          </w:tabs>
          <w:ind w:left="3119" w:firstLine="10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02827D60">
        <w:start w:val="1"/>
        <w:numFmt w:val="lowerRoman"/>
        <w:lvlText w:val="%5."/>
        <w:lvlJc w:val="left"/>
        <w:pPr>
          <w:tabs>
            <w:tab w:val="left" w:pos="624"/>
            <w:tab w:val="left" w:pos="1134"/>
            <w:tab w:val="left" w:pos="1247"/>
            <w:tab w:val="left" w:pos="1871"/>
            <w:tab w:val="left" w:pos="2495"/>
            <w:tab w:val="left" w:pos="3119"/>
            <w:tab w:val="num" w:pos="5330"/>
          </w:tabs>
          <w:ind w:left="4082" w:firstLine="6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FBA193E">
        <w:start w:val="1"/>
        <w:numFmt w:val="lowerRoman"/>
        <w:lvlText w:val="%6."/>
        <w:lvlJc w:val="left"/>
        <w:pPr>
          <w:tabs>
            <w:tab w:val="left" w:pos="624"/>
            <w:tab w:val="left" w:pos="1134"/>
            <w:tab w:val="left" w:pos="1247"/>
            <w:tab w:val="left" w:pos="1871"/>
            <w:tab w:val="left" w:pos="2495"/>
            <w:tab w:val="left" w:pos="3119"/>
            <w:tab w:val="num" w:pos="9083"/>
          </w:tabs>
          <w:ind w:left="783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BE82FBE0">
        <w:start w:val="1"/>
        <w:numFmt w:val="decimal"/>
        <w:lvlText w:val="%7."/>
        <w:lvlJc w:val="left"/>
        <w:pPr>
          <w:tabs>
            <w:tab w:val="left" w:pos="624"/>
            <w:tab w:val="left" w:pos="1134"/>
            <w:tab w:val="left" w:pos="1247"/>
            <w:tab w:val="left" w:pos="1871"/>
            <w:tab w:val="left" w:pos="2495"/>
            <w:tab w:val="left" w:pos="3119"/>
            <w:tab w:val="num" w:pos="9803"/>
          </w:tabs>
          <w:ind w:left="855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B189B6E">
        <w:start w:val="1"/>
        <w:numFmt w:val="lowerLetter"/>
        <w:lvlText w:val="%8."/>
        <w:lvlJc w:val="left"/>
        <w:pPr>
          <w:tabs>
            <w:tab w:val="left" w:pos="624"/>
            <w:tab w:val="left" w:pos="1134"/>
            <w:tab w:val="left" w:pos="1247"/>
            <w:tab w:val="left" w:pos="1871"/>
            <w:tab w:val="left" w:pos="2495"/>
            <w:tab w:val="left" w:pos="3119"/>
            <w:tab w:val="num" w:pos="10523"/>
          </w:tabs>
          <w:ind w:left="9275" w:firstLine="88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4E6AC1DC">
        <w:start w:val="1"/>
        <w:numFmt w:val="lowerRoman"/>
        <w:lvlText w:val="%9."/>
        <w:lvlJc w:val="left"/>
        <w:pPr>
          <w:tabs>
            <w:tab w:val="left" w:pos="624"/>
            <w:tab w:val="left" w:pos="1134"/>
            <w:tab w:val="left" w:pos="1247"/>
            <w:tab w:val="left" w:pos="1871"/>
            <w:tab w:val="left" w:pos="2495"/>
            <w:tab w:val="left" w:pos="3119"/>
            <w:tab w:val="num" w:pos="11243"/>
          </w:tabs>
          <w:ind w:left="9995" w:firstLine="981"/>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0">
    <w:abstractNumId w:val="26"/>
    <w:lvlOverride w:ilvl="0">
      <w:lvl w:ilvl="0" w:tplc="496ABD68">
        <w:start w:val="1"/>
        <w:numFmt w:val="decimal"/>
        <w:lvlText w:val="%1."/>
        <w:lvlJc w:val="left"/>
        <w:pPr>
          <w:tabs>
            <w:tab w:val="num" w:pos="1871"/>
          </w:tabs>
          <w:ind w:left="12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B3AC3EFE">
        <w:start w:val="1"/>
        <w:numFmt w:val="lowerLetter"/>
        <w:lvlText w:val="(%2)"/>
        <w:lvlJc w:val="left"/>
        <w:pPr>
          <w:tabs>
            <w:tab w:val="left" w:pos="624"/>
            <w:tab w:val="left" w:pos="1134"/>
            <w:tab w:val="left" w:pos="1247"/>
            <w:tab w:val="left" w:pos="1871"/>
            <w:tab w:val="num" w:pos="2495"/>
            <w:tab w:val="left" w:pos="3119"/>
          </w:tabs>
          <w:ind w:left="1247" w:firstLine="62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156AE9A8">
        <w:start w:val="1"/>
        <w:numFmt w:val="lowerRoman"/>
        <w:lvlText w:val="(%3)"/>
        <w:lvlJc w:val="left"/>
        <w:pPr>
          <w:tabs>
            <w:tab w:val="left" w:pos="624"/>
            <w:tab w:val="left" w:pos="1134"/>
            <w:tab w:val="left" w:pos="1247"/>
            <w:tab w:val="left" w:pos="1871"/>
            <w:tab w:val="left" w:pos="2495"/>
            <w:tab w:val="left" w:pos="3119"/>
            <w:tab w:val="num" w:pos="4196"/>
          </w:tabs>
          <w:ind w:left="2948"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7780F4DA">
        <w:start w:val="1"/>
        <w:numFmt w:val="lowerLetter"/>
        <w:lvlText w:val="%4."/>
        <w:lvlJc w:val="left"/>
        <w:pPr>
          <w:tabs>
            <w:tab w:val="left" w:pos="624"/>
            <w:tab w:val="left" w:pos="1134"/>
            <w:tab w:val="left" w:pos="1247"/>
            <w:tab w:val="left" w:pos="1871"/>
            <w:tab w:val="left" w:pos="2495"/>
            <w:tab w:val="left" w:pos="3119"/>
            <w:tab w:val="num" w:pos="4367"/>
          </w:tabs>
          <w:ind w:left="3119" w:firstLine="1134"/>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02827D60">
        <w:start w:val="1"/>
        <w:numFmt w:val="lowerRoman"/>
        <w:lvlText w:val="%5."/>
        <w:lvlJc w:val="left"/>
        <w:pPr>
          <w:tabs>
            <w:tab w:val="left" w:pos="624"/>
            <w:tab w:val="left" w:pos="1134"/>
            <w:tab w:val="left" w:pos="1247"/>
            <w:tab w:val="left" w:pos="1871"/>
            <w:tab w:val="left" w:pos="2495"/>
            <w:tab w:val="left" w:pos="3119"/>
            <w:tab w:val="num" w:pos="5330"/>
          </w:tabs>
          <w:ind w:left="4082" w:firstLine="7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3FBA193E">
        <w:start w:val="1"/>
        <w:numFmt w:val="lowerRoman"/>
        <w:lvlText w:val="%6."/>
        <w:lvlJc w:val="left"/>
        <w:pPr>
          <w:tabs>
            <w:tab w:val="left" w:pos="624"/>
            <w:tab w:val="left" w:pos="1134"/>
            <w:tab w:val="left" w:pos="1247"/>
            <w:tab w:val="left" w:pos="1871"/>
            <w:tab w:val="left" w:pos="2495"/>
            <w:tab w:val="left" w:pos="3119"/>
            <w:tab w:val="num" w:pos="9083"/>
          </w:tabs>
          <w:ind w:left="783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BE82FBE0">
        <w:start w:val="1"/>
        <w:numFmt w:val="decimal"/>
        <w:lvlText w:val="%7."/>
        <w:lvlJc w:val="left"/>
        <w:pPr>
          <w:tabs>
            <w:tab w:val="left" w:pos="624"/>
            <w:tab w:val="left" w:pos="1134"/>
            <w:tab w:val="left" w:pos="1247"/>
            <w:tab w:val="left" w:pos="1871"/>
            <w:tab w:val="left" w:pos="2495"/>
            <w:tab w:val="left" w:pos="3119"/>
            <w:tab w:val="num" w:pos="9803"/>
          </w:tabs>
          <w:ind w:left="855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8B189B6E">
        <w:start w:val="1"/>
        <w:numFmt w:val="lowerLetter"/>
        <w:lvlText w:val="%8."/>
        <w:lvlJc w:val="left"/>
        <w:pPr>
          <w:tabs>
            <w:tab w:val="left" w:pos="624"/>
            <w:tab w:val="left" w:pos="1134"/>
            <w:tab w:val="left" w:pos="1247"/>
            <w:tab w:val="left" w:pos="1871"/>
            <w:tab w:val="left" w:pos="2495"/>
            <w:tab w:val="left" w:pos="3119"/>
            <w:tab w:val="num" w:pos="10523"/>
          </w:tabs>
          <w:ind w:left="9275" w:firstLine="94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4E6AC1DC">
        <w:start w:val="1"/>
        <w:numFmt w:val="lowerRoman"/>
        <w:lvlText w:val="%9."/>
        <w:lvlJc w:val="left"/>
        <w:pPr>
          <w:tabs>
            <w:tab w:val="left" w:pos="624"/>
            <w:tab w:val="left" w:pos="1134"/>
            <w:tab w:val="left" w:pos="1247"/>
            <w:tab w:val="left" w:pos="1871"/>
            <w:tab w:val="left" w:pos="2495"/>
            <w:tab w:val="left" w:pos="3119"/>
            <w:tab w:val="num" w:pos="11243"/>
          </w:tabs>
          <w:ind w:left="9995" w:firstLine="103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41">
    <w:abstractNumId w:val="20"/>
  </w:num>
  <w:num w:numId="42">
    <w:abstractNumId w:val="20"/>
  </w:num>
  <w:num w:numId="43">
    <w:abstractNumId w:val="16"/>
  </w:num>
  <w:num w:numId="44">
    <w:abstractNumId w:val="12"/>
  </w:num>
  <w:num w:numId="45">
    <w:abstractNumId w:val="15"/>
  </w:num>
  <w:num w:numId="46">
    <w:abstractNumId w:val="23"/>
  </w:num>
  <w:num w:numId="47">
    <w:abstractNumId w:val="27"/>
  </w:num>
  <w:num w:numId="48">
    <w:abstractNumId w:val="20"/>
  </w:num>
  <w:num w:numId="49">
    <w:abstractNumId w:val="3"/>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5"/>
  </w:num>
  <w:num w:numId="58">
    <w:abstractNumId w:val="20"/>
    <w:lvlOverride w:ilvl="0">
      <w:lvl w:ilvl="0">
        <w:start w:val="1"/>
        <w:numFmt w:val="decimal"/>
        <w:pStyle w:val="Normalnumber"/>
        <w:lvlText w:val="%1."/>
        <w:lvlJc w:val="left"/>
        <w:pPr>
          <w:tabs>
            <w:tab w:val="num" w:pos="1134"/>
          </w:tabs>
          <w:ind w:left="1247" w:firstLine="0"/>
        </w:pPr>
        <w:rPr>
          <w:rFonts w:hint="default"/>
        </w:rPr>
      </w:lvl>
    </w:lvlOverride>
  </w:num>
  <w:num w:numId="59">
    <w:abstractNumId w:val="20"/>
    <w:lvlOverride w:ilvl="0">
      <w:lvl w:ilvl="0">
        <w:start w:val="1"/>
        <w:numFmt w:val="decimal"/>
        <w:pStyle w:val="Normalnumber"/>
        <w:lvlText w:val="%1."/>
        <w:lvlJc w:val="left"/>
        <w:pPr>
          <w:tabs>
            <w:tab w:val="num" w:pos="1134"/>
          </w:tabs>
          <w:ind w:left="1247" w:firstLine="0"/>
        </w:pPr>
        <w:rPr>
          <w:rFonts w:hint="default"/>
        </w:rPr>
      </w:lvl>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H" w:vendorID="64" w:dllVersion="0" w:nlCheck="1" w:checkStyle="1"/>
  <w:activeWritingStyle w:appName="MSWord" w:lang="es-ES_tradnl" w:vendorID="64" w:dllVersion="0" w:nlCheck="1" w:checkStyle="0"/>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comments="0" w:insDel="0" w:formatting="0" w:inkAnnotations="0"/>
  <w:defaultTabStop w:val="624"/>
  <w:hyphenationZone w:val="425"/>
  <w:evenAndOddHeaders/>
  <w:noPunctuationKerning/>
  <w:characterSpacingControl w:val="doNotCompress"/>
  <w:hdrShapeDefaults>
    <o:shapedefaults v:ext="edit" spidmax="2052"/>
  </w:hdrShapeDefaults>
  <w:footnotePr>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73C"/>
    <w:rsid w:val="000024A3"/>
    <w:rsid w:val="00007070"/>
    <w:rsid w:val="0000730E"/>
    <w:rsid w:val="00011C84"/>
    <w:rsid w:val="0001242D"/>
    <w:rsid w:val="00012610"/>
    <w:rsid w:val="00012BD1"/>
    <w:rsid w:val="00013B94"/>
    <w:rsid w:val="00014194"/>
    <w:rsid w:val="000149E6"/>
    <w:rsid w:val="00015484"/>
    <w:rsid w:val="00016C6C"/>
    <w:rsid w:val="000179C0"/>
    <w:rsid w:val="00020EEC"/>
    <w:rsid w:val="00021211"/>
    <w:rsid w:val="0002253F"/>
    <w:rsid w:val="00023DA9"/>
    <w:rsid w:val="000247B0"/>
    <w:rsid w:val="00025A60"/>
    <w:rsid w:val="00026997"/>
    <w:rsid w:val="00026A08"/>
    <w:rsid w:val="00032E4E"/>
    <w:rsid w:val="00033E0B"/>
    <w:rsid w:val="0003414E"/>
    <w:rsid w:val="00035EDE"/>
    <w:rsid w:val="00046B89"/>
    <w:rsid w:val="00046E83"/>
    <w:rsid w:val="000509B4"/>
    <w:rsid w:val="00053227"/>
    <w:rsid w:val="00057FB7"/>
    <w:rsid w:val="0006035B"/>
    <w:rsid w:val="0006096F"/>
    <w:rsid w:val="00062F77"/>
    <w:rsid w:val="000649C5"/>
    <w:rsid w:val="00071886"/>
    <w:rsid w:val="0007282C"/>
    <w:rsid w:val="00073C01"/>
    <w:rsid w:val="000742BC"/>
    <w:rsid w:val="000742CF"/>
    <w:rsid w:val="00075AA7"/>
    <w:rsid w:val="00076CC6"/>
    <w:rsid w:val="00081F16"/>
    <w:rsid w:val="00082699"/>
    <w:rsid w:val="00082A0C"/>
    <w:rsid w:val="00083504"/>
    <w:rsid w:val="0008504A"/>
    <w:rsid w:val="00091F8F"/>
    <w:rsid w:val="0009640C"/>
    <w:rsid w:val="0009740E"/>
    <w:rsid w:val="000A4383"/>
    <w:rsid w:val="000B122B"/>
    <w:rsid w:val="000B1972"/>
    <w:rsid w:val="000B22A2"/>
    <w:rsid w:val="000B42A1"/>
    <w:rsid w:val="000B6F10"/>
    <w:rsid w:val="000B73F9"/>
    <w:rsid w:val="000C257A"/>
    <w:rsid w:val="000C2838"/>
    <w:rsid w:val="000C2A52"/>
    <w:rsid w:val="000D22CA"/>
    <w:rsid w:val="000D2429"/>
    <w:rsid w:val="000D26D7"/>
    <w:rsid w:val="000D33C0"/>
    <w:rsid w:val="000D4CF6"/>
    <w:rsid w:val="000D63C8"/>
    <w:rsid w:val="000D6941"/>
    <w:rsid w:val="000E0657"/>
    <w:rsid w:val="000E282C"/>
    <w:rsid w:val="000E5B95"/>
    <w:rsid w:val="000E7773"/>
    <w:rsid w:val="000F02C2"/>
    <w:rsid w:val="000F36ED"/>
    <w:rsid w:val="000F4829"/>
    <w:rsid w:val="000F4F37"/>
    <w:rsid w:val="000F5807"/>
    <w:rsid w:val="000F767A"/>
    <w:rsid w:val="00100AD8"/>
    <w:rsid w:val="00102A55"/>
    <w:rsid w:val="00102C7D"/>
    <w:rsid w:val="001052DE"/>
    <w:rsid w:val="00110A3A"/>
    <w:rsid w:val="00113C1E"/>
    <w:rsid w:val="001202E3"/>
    <w:rsid w:val="0012047C"/>
    <w:rsid w:val="00120793"/>
    <w:rsid w:val="00120A8C"/>
    <w:rsid w:val="00123699"/>
    <w:rsid w:val="00123983"/>
    <w:rsid w:val="001241FB"/>
    <w:rsid w:val="00126067"/>
    <w:rsid w:val="00127707"/>
    <w:rsid w:val="00127BAA"/>
    <w:rsid w:val="0013059D"/>
    <w:rsid w:val="00134BAE"/>
    <w:rsid w:val="00136187"/>
    <w:rsid w:val="00136503"/>
    <w:rsid w:val="00137C47"/>
    <w:rsid w:val="00141A55"/>
    <w:rsid w:val="00141C3E"/>
    <w:rsid w:val="0014293F"/>
    <w:rsid w:val="00142E7F"/>
    <w:rsid w:val="0014397D"/>
    <w:rsid w:val="00143ADA"/>
    <w:rsid w:val="001446A3"/>
    <w:rsid w:val="00151B1B"/>
    <w:rsid w:val="00152B6B"/>
    <w:rsid w:val="00154C85"/>
    <w:rsid w:val="00155095"/>
    <w:rsid w:val="00155395"/>
    <w:rsid w:val="00156B6B"/>
    <w:rsid w:val="00156D61"/>
    <w:rsid w:val="001575F4"/>
    <w:rsid w:val="00160D74"/>
    <w:rsid w:val="0016132B"/>
    <w:rsid w:val="00163631"/>
    <w:rsid w:val="001646EA"/>
    <w:rsid w:val="00164C04"/>
    <w:rsid w:val="00167D02"/>
    <w:rsid w:val="001759D8"/>
    <w:rsid w:val="0017600F"/>
    <w:rsid w:val="00177010"/>
    <w:rsid w:val="00177D7F"/>
    <w:rsid w:val="00180C3F"/>
    <w:rsid w:val="00181EC8"/>
    <w:rsid w:val="00182605"/>
    <w:rsid w:val="00184349"/>
    <w:rsid w:val="00186352"/>
    <w:rsid w:val="001872F0"/>
    <w:rsid w:val="00190CD7"/>
    <w:rsid w:val="00193786"/>
    <w:rsid w:val="00195F33"/>
    <w:rsid w:val="001A0EB6"/>
    <w:rsid w:val="001A3EBE"/>
    <w:rsid w:val="001A576D"/>
    <w:rsid w:val="001B1617"/>
    <w:rsid w:val="001B504B"/>
    <w:rsid w:val="001B6160"/>
    <w:rsid w:val="001B6224"/>
    <w:rsid w:val="001B6F98"/>
    <w:rsid w:val="001C191A"/>
    <w:rsid w:val="001C5F20"/>
    <w:rsid w:val="001D119B"/>
    <w:rsid w:val="001D22B6"/>
    <w:rsid w:val="001D3874"/>
    <w:rsid w:val="001D7C7A"/>
    <w:rsid w:val="001D7E75"/>
    <w:rsid w:val="001E0D73"/>
    <w:rsid w:val="001E45BD"/>
    <w:rsid w:val="001E56D2"/>
    <w:rsid w:val="001E7D56"/>
    <w:rsid w:val="001F1A86"/>
    <w:rsid w:val="001F75DE"/>
    <w:rsid w:val="001F7B7B"/>
    <w:rsid w:val="00200D58"/>
    <w:rsid w:val="002011C1"/>
    <w:rsid w:val="002013BE"/>
    <w:rsid w:val="00201EDC"/>
    <w:rsid w:val="002063A4"/>
    <w:rsid w:val="00206B3C"/>
    <w:rsid w:val="0021145B"/>
    <w:rsid w:val="00213993"/>
    <w:rsid w:val="00217D06"/>
    <w:rsid w:val="00220C23"/>
    <w:rsid w:val="002228E0"/>
    <w:rsid w:val="00223B1F"/>
    <w:rsid w:val="002247F6"/>
    <w:rsid w:val="00225E21"/>
    <w:rsid w:val="002343B4"/>
    <w:rsid w:val="00234E78"/>
    <w:rsid w:val="002368A8"/>
    <w:rsid w:val="00241232"/>
    <w:rsid w:val="00243D36"/>
    <w:rsid w:val="0024582D"/>
    <w:rsid w:val="00246151"/>
    <w:rsid w:val="002465AC"/>
    <w:rsid w:val="002469BE"/>
    <w:rsid w:val="00247707"/>
    <w:rsid w:val="0025097E"/>
    <w:rsid w:val="00252E70"/>
    <w:rsid w:val="002539F6"/>
    <w:rsid w:val="0026018E"/>
    <w:rsid w:val="0026553C"/>
    <w:rsid w:val="002676BF"/>
    <w:rsid w:val="00277299"/>
    <w:rsid w:val="00283ED0"/>
    <w:rsid w:val="00286740"/>
    <w:rsid w:val="002878F5"/>
    <w:rsid w:val="0029126E"/>
    <w:rsid w:val="00291EAE"/>
    <w:rsid w:val="002929D8"/>
    <w:rsid w:val="0029570E"/>
    <w:rsid w:val="002A0E16"/>
    <w:rsid w:val="002A237D"/>
    <w:rsid w:val="002A4C53"/>
    <w:rsid w:val="002A5A89"/>
    <w:rsid w:val="002A5E08"/>
    <w:rsid w:val="002B04BD"/>
    <w:rsid w:val="002B0672"/>
    <w:rsid w:val="002B0CEC"/>
    <w:rsid w:val="002B247F"/>
    <w:rsid w:val="002B27A8"/>
    <w:rsid w:val="002B2DAC"/>
    <w:rsid w:val="002B302D"/>
    <w:rsid w:val="002B50D4"/>
    <w:rsid w:val="002B58A3"/>
    <w:rsid w:val="002B66A3"/>
    <w:rsid w:val="002C10F0"/>
    <w:rsid w:val="002C145D"/>
    <w:rsid w:val="002C2066"/>
    <w:rsid w:val="002C2C3E"/>
    <w:rsid w:val="002C309F"/>
    <w:rsid w:val="002C4F63"/>
    <w:rsid w:val="002C533E"/>
    <w:rsid w:val="002C6870"/>
    <w:rsid w:val="002D027F"/>
    <w:rsid w:val="002D317E"/>
    <w:rsid w:val="002D379C"/>
    <w:rsid w:val="002D3E15"/>
    <w:rsid w:val="002D528D"/>
    <w:rsid w:val="002D66E1"/>
    <w:rsid w:val="002D7A85"/>
    <w:rsid w:val="002D7B60"/>
    <w:rsid w:val="002E01A5"/>
    <w:rsid w:val="002E1A11"/>
    <w:rsid w:val="002E2148"/>
    <w:rsid w:val="002E30AB"/>
    <w:rsid w:val="002E371D"/>
    <w:rsid w:val="002E47C0"/>
    <w:rsid w:val="002E7B6B"/>
    <w:rsid w:val="002F3A73"/>
    <w:rsid w:val="002F458C"/>
    <w:rsid w:val="002F4761"/>
    <w:rsid w:val="002F5C79"/>
    <w:rsid w:val="002F627D"/>
    <w:rsid w:val="002F68EE"/>
    <w:rsid w:val="003019E2"/>
    <w:rsid w:val="00301EAF"/>
    <w:rsid w:val="00303532"/>
    <w:rsid w:val="00307AB7"/>
    <w:rsid w:val="00310BEB"/>
    <w:rsid w:val="003117BE"/>
    <w:rsid w:val="00312543"/>
    <w:rsid w:val="003127E5"/>
    <w:rsid w:val="00313A62"/>
    <w:rsid w:val="0031413F"/>
    <w:rsid w:val="00314854"/>
    <w:rsid w:val="003148BB"/>
    <w:rsid w:val="003160A0"/>
    <w:rsid w:val="00317976"/>
    <w:rsid w:val="003201CF"/>
    <w:rsid w:val="00320F2F"/>
    <w:rsid w:val="00321593"/>
    <w:rsid w:val="003235B3"/>
    <w:rsid w:val="003251B7"/>
    <w:rsid w:val="00326990"/>
    <w:rsid w:val="00333915"/>
    <w:rsid w:val="00335226"/>
    <w:rsid w:val="00343E76"/>
    <w:rsid w:val="003447E7"/>
    <w:rsid w:val="0034653C"/>
    <w:rsid w:val="00346878"/>
    <w:rsid w:val="003529ED"/>
    <w:rsid w:val="00353081"/>
    <w:rsid w:val="00355EA9"/>
    <w:rsid w:val="003578DE"/>
    <w:rsid w:val="00361688"/>
    <w:rsid w:val="003635FE"/>
    <w:rsid w:val="00382083"/>
    <w:rsid w:val="003824BE"/>
    <w:rsid w:val="003825B7"/>
    <w:rsid w:val="00385588"/>
    <w:rsid w:val="003877D5"/>
    <w:rsid w:val="003929B8"/>
    <w:rsid w:val="0039545C"/>
    <w:rsid w:val="00396257"/>
    <w:rsid w:val="00396989"/>
    <w:rsid w:val="00397EB8"/>
    <w:rsid w:val="003A0458"/>
    <w:rsid w:val="003A4FD0"/>
    <w:rsid w:val="003A69D1"/>
    <w:rsid w:val="003A6D91"/>
    <w:rsid w:val="003A7705"/>
    <w:rsid w:val="003A77F1"/>
    <w:rsid w:val="003B0DC5"/>
    <w:rsid w:val="003B1060"/>
    <w:rsid w:val="003B12DA"/>
    <w:rsid w:val="003B1545"/>
    <w:rsid w:val="003B307D"/>
    <w:rsid w:val="003B5C60"/>
    <w:rsid w:val="003C17AF"/>
    <w:rsid w:val="003C3219"/>
    <w:rsid w:val="003C409D"/>
    <w:rsid w:val="003C46FB"/>
    <w:rsid w:val="003C5583"/>
    <w:rsid w:val="003C5BA6"/>
    <w:rsid w:val="003C6839"/>
    <w:rsid w:val="003C74CF"/>
    <w:rsid w:val="003D3752"/>
    <w:rsid w:val="003D49B8"/>
    <w:rsid w:val="003D4A81"/>
    <w:rsid w:val="003E2AED"/>
    <w:rsid w:val="003E35DA"/>
    <w:rsid w:val="003E3C02"/>
    <w:rsid w:val="003E455D"/>
    <w:rsid w:val="003F01CC"/>
    <w:rsid w:val="003F0566"/>
    <w:rsid w:val="003F0E85"/>
    <w:rsid w:val="003F3DD9"/>
    <w:rsid w:val="003F3E8C"/>
    <w:rsid w:val="003F4ADD"/>
    <w:rsid w:val="003F70FF"/>
    <w:rsid w:val="00401525"/>
    <w:rsid w:val="00403191"/>
    <w:rsid w:val="00406A7D"/>
    <w:rsid w:val="00410B43"/>
    <w:rsid w:val="00410C55"/>
    <w:rsid w:val="0041352A"/>
    <w:rsid w:val="00413FC3"/>
    <w:rsid w:val="00416854"/>
    <w:rsid w:val="00417725"/>
    <w:rsid w:val="0041795B"/>
    <w:rsid w:val="00422A98"/>
    <w:rsid w:val="00426445"/>
    <w:rsid w:val="00430F99"/>
    <w:rsid w:val="00437F26"/>
    <w:rsid w:val="00444097"/>
    <w:rsid w:val="00444D6A"/>
    <w:rsid w:val="00445487"/>
    <w:rsid w:val="00445512"/>
    <w:rsid w:val="00447E0D"/>
    <w:rsid w:val="00447E30"/>
    <w:rsid w:val="004529F3"/>
    <w:rsid w:val="00454769"/>
    <w:rsid w:val="00456952"/>
    <w:rsid w:val="00456B68"/>
    <w:rsid w:val="00457F03"/>
    <w:rsid w:val="004648F0"/>
    <w:rsid w:val="00465D27"/>
    <w:rsid w:val="004660AF"/>
    <w:rsid w:val="00466991"/>
    <w:rsid w:val="00467497"/>
    <w:rsid w:val="0047064C"/>
    <w:rsid w:val="004738BD"/>
    <w:rsid w:val="00474687"/>
    <w:rsid w:val="00475AA7"/>
    <w:rsid w:val="00476122"/>
    <w:rsid w:val="00480508"/>
    <w:rsid w:val="004822B7"/>
    <w:rsid w:val="00484216"/>
    <w:rsid w:val="00487AC8"/>
    <w:rsid w:val="00487B3F"/>
    <w:rsid w:val="00491432"/>
    <w:rsid w:val="00493784"/>
    <w:rsid w:val="0049469E"/>
    <w:rsid w:val="004A07E6"/>
    <w:rsid w:val="004A2217"/>
    <w:rsid w:val="004A24F9"/>
    <w:rsid w:val="004A2539"/>
    <w:rsid w:val="004A4049"/>
    <w:rsid w:val="004A42E1"/>
    <w:rsid w:val="004A6A62"/>
    <w:rsid w:val="004B162C"/>
    <w:rsid w:val="004B2ABE"/>
    <w:rsid w:val="004B4518"/>
    <w:rsid w:val="004B7FCF"/>
    <w:rsid w:val="004C3DBE"/>
    <w:rsid w:val="004C58DA"/>
    <w:rsid w:val="004C5C96"/>
    <w:rsid w:val="004D06A4"/>
    <w:rsid w:val="004D0B6A"/>
    <w:rsid w:val="004D0FB5"/>
    <w:rsid w:val="004D1BF6"/>
    <w:rsid w:val="004D3102"/>
    <w:rsid w:val="004D49E7"/>
    <w:rsid w:val="004E46F3"/>
    <w:rsid w:val="004E5DAD"/>
    <w:rsid w:val="004F1A81"/>
    <w:rsid w:val="004F3E22"/>
    <w:rsid w:val="004F6934"/>
    <w:rsid w:val="00501761"/>
    <w:rsid w:val="005023B8"/>
    <w:rsid w:val="005050D2"/>
    <w:rsid w:val="0051075E"/>
    <w:rsid w:val="005129FA"/>
    <w:rsid w:val="00513B22"/>
    <w:rsid w:val="005218D9"/>
    <w:rsid w:val="00521B62"/>
    <w:rsid w:val="00527EFE"/>
    <w:rsid w:val="00534604"/>
    <w:rsid w:val="00535E42"/>
    <w:rsid w:val="00535FF4"/>
    <w:rsid w:val="00536186"/>
    <w:rsid w:val="00536F6F"/>
    <w:rsid w:val="005409B1"/>
    <w:rsid w:val="00543AFC"/>
    <w:rsid w:val="00544CBB"/>
    <w:rsid w:val="00550A37"/>
    <w:rsid w:val="005526F1"/>
    <w:rsid w:val="005556EE"/>
    <w:rsid w:val="00557496"/>
    <w:rsid w:val="005608B0"/>
    <w:rsid w:val="00564E38"/>
    <w:rsid w:val="005656D7"/>
    <w:rsid w:val="00565D20"/>
    <w:rsid w:val="0057315F"/>
    <w:rsid w:val="00573D02"/>
    <w:rsid w:val="00576104"/>
    <w:rsid w:val="00576DAA"/>
    <w:rsid w:val="00581AB9"/>
    <w:rsid w:val="00585B6B"/>
    <w:rsid w:val="0059181E"/>
    <w:rsid w:val="00592B21"/>
    <w:rsid w:val="005939D8"/>
    <w:rsid w:val="00594CDB"/>
    <w:rsid w:val="00595C31"/>
    <w:rsid w:val="005A000C"/>
    <w:rsid w:val="005A1F6B"/>
    <w:rsid w:val="005A61B9"/>
    <w:rsid w:val="005B246C"/>
    <w:rsid w:val="005B306B"/>
    <w:rsid w:val="005B44BF"/>
    <w:rsid w:val="005B7AD3"/>
    <w:rsid w:val="005C4DDE"/>
    <w:rsid w:val="005C51BB"/>
    <w:rsid w:val="005C67C8"/>
    <w:rsid w:val="005C7CC4"/>
    <w:rsid w:val="005D0249"/>
    <w:rsid w:val="005D18FA"/>
    <w:rsid w:val="005D2EBB"/>
    <w:rsid w:val="005D4FD4"/>
    <w:rsid w:val="005D5017"/>
    <w:rsid w:val="005D543F"/>
    <w:rsid w:val="005D6E8C"/>
    <w:rsid w:val="005E098A"/>
    <w:rsid w:val="005E1F8B"/>
    <w:rsid w:val="005E3004"/>
    <w:rsid w:val="005E3584"/>
    <w:rsid w:val="005E3881"/>
    <w:rsid w:val="005E3E8B"/>
    <w:rsid w:val="005F100C"/>
    <w:rsid w:val="005F3A64"/>
    <w:rsid w:val="005F4274"/>
    <w:rsid w:val="005F4A86"/>
    <w:rsid w:val="005F6767"/>
    <w:rsid w:val="005F68DA"/>
    <w:rsid w:val="00600363"/>
    <w:rsid w:val="00600A7E"/>
    <w:rsid w:val="00601BC9"/>
    <w:rsid w:val="006020A2"/>
    <w:rsid w:val="00602DB0"/>
    <w:rsid w:val="006035A3"/>
    <w:rsid w:val="006042E7"/>
    <w:rsid w:val="006073E6"/>
    <w:rsid w:val="0060773B"/>
    <w:rsid w:val="00607DD3"/>
    <w:rsid w:val="00613FD6"/>
    <w:rsid w:val="006157B5"/>
    <w:rsid w:val="00615D0B"/>
    <w:rsid w:val="0061659A"/>
    <w:rsid w:val="00617224"/>
    <w:rsid w:val="00620D92"/>
    <w:rsid w:val="006255E0"/>
    <w:rsid w:val="006267AF"/>
    <w:rsid w:val="00626A57"/>
    <w:rsid w:val="00626FC6"/>
    <w:rsid w:val="006303B4"/>
    <w:rsid w:val="00630927"/>
    <w:rsid w:val="00630ADC"/>
    <w:rsid w:val="00631597"/>
    <w:rsid w:val="006319AA"/>
    <w:rsid w:val="00633D3D"/>
    <w:rsid w:val="00641703"/>
    <w:rsid w:val="006431A6"/>
    <w:rsid w:val="006432E0"/>
    <w:rsid w:val="00643E3A"/>
    <w:rsid w:val="006459F6"/>
    <w:rsid w:val="006501AD"/>
    <w:rsid w:val="00650D05"/>
    <w:rsid w:val="00650FD6"/>
    <w:rsid w:val="00651BFA"/>
    <w:rsid w:val="00654475"/>
    <w:rsid w:val="0065554B"/>
    <w:rsid w:val="00655F6B"/>
    <w:rsid w:val="00656D67"/>
    <w:rsid w:val="00656DF0"/>
    <w:rsid w:val="00656F66"/>
    <w:rsid w:val="00657AB7"/>
    <w:rsid w:val="00662B16"/>
    <w:rsid w:val="00665A4B"/>
    <w:rsid w:val="00666255"/>
    <w:rsid w:val="00670249"/>
    <w:rsid w:val="00670896"/>
    <w:rsid w:val="006723B7"/>
    <w:rsid w:val="00673E28"/>
    <w:rsid w:val="00673E6D"/>
    <w:rsid w:val="00676D9D"/>
    <w:rsid w:val="00677B7A"/>
    <w:rsid w:val="00680825"/>
    <w:rsid w:val="006811A4"/>
    <w:rsid w:val="00681AC0"/>
    <w:rsid w:val="00682B0B"/>
    <w:rsid w:val="00690250"/>
    <w:rsid w:val="00690B69"/>
    <w:rsid w:val="00692E2A"/>
    <w:rsid w:val="00693794"/>
    <w:rsid w:val="00693B53"/>
    <w:rsid w:val="006A0361"/>
    <w:rsid w:val="006A09DF"/>
    <w:rsid w:val="006A6E23"/>
    <w:rsid w:val="006A76F2"/>
    <w:rsid w:val="006A77B7"/>
    <w:rsid w:val="006B0583"/>
    <w:rsid w:val="006B0B7E"/>
    <w:rsid w:val="006B1418"/>
    <w:rsid w:val="006B4D3E"/>
    <w:rsid w:val="006C2824"/>
    <w:rsid w:val="006C415B"/>
    <w:rsid w:val="006D09F1"/>
    <w:rsid w:val="006D19D4"/>
    <w:rsid w:val="006D4328"/>
    <w:rsid w:val="006D5095"/>
    <w:rsid w:val="006D5141"/>
    <w:rsid w:val="006D7EFB"/>
    <w:rsid w:val="006E3ABF"/>
    <w:rsid w:val="006E5956"/>
    <w:rsid w:val="006E6672"/>
    <w:rsid w:val="006E6722"/>
    <w:rsid w:val="006E7B0C"/>
    <w:rsid w:val="006F4413"/>
    <w:rsid w:val="006F65A4"/>
    <w:rsid w:val="006F7AFF"/>
    <w:rsid w:val="0070122D"/>
    <w:rsid w:val="00702064"/>
    <w:rsid w:val="007027B9"/>
    <w:rsid w:val="0070321C"/>
    <w:rsid w:val="00703BD6"/>
    <w:rsid w:val="007066B5"/>
    <w:rsid w:val="007128B0"/>
    <w:rsid w:val="00713F17"/>
    <w:rsid w:val="007145DA"/>
    <w:rsid w:val="00715731"/>
    <w:rsid w:val="00715A5A"/>
    <w:rsid w:val="00715E88"/>
    <w:rsid w:val="007160EE"/>
    <w:rsid w:val="0071731B"/>
    <w:rsid w:val="007206DB"/>
    <w:rsid w:val="00720825"/>
    <w:rsid w:val="007214F9"/>
    <w:rsid w:val="007215A0"/>
    <w:rsid w:val="0072308C"/>
    <w:rsid w:val="00725717"/>
    <w:rsid w:val="0073374C"/>
    <w:rsid w:val="00734CAA"/>
    <w:rsid w:val="007362CD"/>
    <w:rsid w:val="0073700C"/>
    <w:rsid w:val="00741552"/>
    <w:rsid w:val="00742680"/>
    <w:rsid w:val="00746ECE"/>
    <w:rsid w:val="00755202"/>
    <w:rsid w:val="0075533C"/>
    <w:rsid w:val="007573DB"/>
    <w:rsid w:val="00757581"/>
    <w:rsid w:val="007602F5"/>
    <w:rsid w:val="00760D36"/>
    <w:rsid w:val="007611A0"/>
    <w:rsid w:val="00761253"/>
    <w:rsid w:val="007628C1"/>
    <w:rsid w:val="00764537"/>
    <w:rsid w:val="00766D5C"/>
    <w:rsid w:val="007672C0"/>
    <w:rsid w:val="00770BB9"/>
    <w:rsid w:val="00770C7B"/>
    <w:rsid w:val="00770F77"/>
    <w:rsid w:val="00773E54"/>
    <w:rsid w:val="00776E9E"/>
    <w:rsid w:val="007774F5"/>
    <w:rsid w:val="00781489"/>
    <w:rsid w:val="00781C6B"/>
    <w:rsid w:val="007832AA"/>
    <w:rsid w:val="00787688"/>
    <w:rsid w:val="00791EB3"/>
    <w:rsid w:val="007935E6"/>
    <w:rsid w:val="00794EE2"/>
    <w:rsid w:val="00796BA0"/>
    <w:rsid w:val="00796D3F"/>
    <w:rsid w:val="007A1683"/>
    <w:rsid w:val="007A24FE"/>
    <w:rsid w:val="007A48DC"/>
    <w:rsid w:val="007A5C12"/>
    <w:rsid w:val="007A7595"/>
    <w:rsid w:val="007A7CB0"/>
    <w:rsid w:val="007B1F67"/>
    <w:rsid w:val="007B28A1"/>
    <w:rsid w:val="007B4279"/>
    <w:rsid w:val="007B529C"/>
    <w:rsid w:val="007B6039"/>
    <w:rsid w:val="007B68A3"/>
    <w:rsid w:val="007B6EB6"/>
    <w:rsid w:val="007B7696"/>
    <w:rsid w:val="007B7924"/>
    <w:rsid w:val="007C0E5D"/>
    <w:rsid w:val="007C1433"/>
    <w:rsid w:val="007C2541"/>
    <w:rsid w:val="007D2D36"/>
    <w:rsid w:val="007D4832"/>
    <w:rsid w:val="007D66A8"/>
    <w:rsid w:val="007E003F"/>
    <w:rsid w:val="007E060C"/>
    <w:rsid w:val="007E3A01"/>
    <w:rsid w:val="007E58BB"/>
    <w:rsid w:val="007F0CF8"/>
    <w:rsid w:val="007F322F"/>
    <w:rsid w:val="007F41F5"/>
    <w:rsid w:val="007F62CB"/>
    <w:rsid w:val="007F78E9"/>
    <w:rsid w:val="00805BB0"/>
    <w:rsid w:val="00811FD6"/>
    <w:rsid w:val="00812046"/>
    <w:rsid w:val="008142EC"/>
    <w:rsid w:val="008164F2"/>
    <w:rsid w:val="00817A17"/>
    <w:rsid w:val="00821395"/>
    <w:rsid w:val="008249E8"/>
    <w:rsid w:val="00830E26"/>
    <w:rsid w:val="008313A0"/>
    <w:rsid w:val="0083302D"/>
    <w:rsid w:val="00833BF4"/>
    <w:rsid w:val="00834D96"/>
    <w:rsid w:val="008350BB"/>
    <w:rsid w:val="008353CA"/>
    <w:rsid w:val="008370FA"/>
    <w:rsid w:val="00837D46"/>
    <w:rsid w:val="00842578"/>
    <w:rsid w:val="00843576"/>
    <w:rsid w:val="00843B64"/>
    <w:rsid w:val="0084666C"/>
    <w:rsid w:val="00846A2A"/>
    <w:rsid w:val="008478FC"/>
    <w:rsid w:val="00850D2C"/>
    <w:rsid w:val="008512FA"/>
    <w:rsid w:val="00851659"/>
    <w:rsid w:val="00851C51"/>
    <w:rsid w:val="00853DB1"/>
    <w:rsid w:val="00856CDB"/>
    <w:rsid w:val="00861A7F"/>
    <w:rsid w:val="0086694D"/>
    <w:rsid w:val="00867BFF"/>
    <w:rsid w:val="00870470"/>
    <w:rsid w:val="00871542"/>
    <w:rsid w:val="00872BF6"/>
    <w:rsid w:val="008758C8"/>
    <w:rsid w:val="0088480A"/>
    <w:rsid w:val="0088757A"/>
    <w:rsid w:val="008900B2"/>
    <w:rsid w:val="00893185"/>
    <w:rsid w:val="00893431"/>
    <w:rsid w:val="00893FB1"/>
    <w:rsid w:val="0089431B"/>
    <w:rsid w:val="00894B22"/>
    <w:rsid w:val="00895668"/>
    <w:rsid w:val="008957DD"/>
    <w:rsid w:val="00897976"/>
    <w:rsid w:val="00897D98"/>
    <w:rsid w:val="008A6DF2"/>
    <w:rsid w:val="008A7807"/>
    <w:rsid w:val="008B0264"/>
    <w:rsid w:val="008B0522"/>
    <w:rsid w:val="008B3B71"/>
    <w:rsid w:val="008B4CC9"/>
    <w:rsid w:val="008B7623"/>
    <w:rsid w:val="008B7CE9"/>
    <w:rsid w:val="008C362C"/>
    <w:rsid w:val="008C55AF"/>
    <w:rsid w:val="008D12F2"/>
    <w:rsid w:val="008D2FBE"/>
    <w:rsid w:val="008D39EB"/>
    <w:rsid w:val="008D51B2"/>
    <w:rsid w:val="008D5EF4"/>
    <w:rsid w:val="008D75E4"/>
    <w:rsid w:val="008D7C99"/>
    <w:rsid w:val="008E0FCB"/>
    <w:rsid w:val="008E1572"/>
    <w:rsid w:val="008E5BF8"/>
    <w:rsid w:val="008E7826"/>
    <w:rsid w:val="008E7AD7"/>
    <w:rsid w:val="008F250E"/>
    <w:rsid w:val="008F6DFE"/>
    <w:rsid w:val="009008D9"/>
    <w:rsid w:val="00900D32"/>
    <w:rsid w:val="00902056"/>
    <w:rsid w:val="0090529F"/>
    <w:rsid w:val="0090674F"/>
    <w:rsid w:val="00907795"/>
    <w:rsid w:val="00916C56"/>
    <w:rsid w:val="00917005"/>
    <w:rsid w:val="009206FF"/>
    <w:rsid w:val="0092092A"/>
    <w:rsid w:val="00920B74"/>
    <w:rsid w:val="00921330"/>
    <w:rsid w:val="0092178C"/>
    <w:rsid w:val="00921841"/>
    <w:rsid w:val="00921CA5"/>
    <w:rsid w:val="00924A60"/>
    <w:rsid w:val="0092778A"/>
    <w:rsid w:val="00930B88"/>
    <w:rsid w:val="00931F11"/>
    <w:rsid w:val="00935845"/>
    <w:rsid w:val="0093672D"/>
    <w:rsid w:val="009377B4"/>
    <w:rsid w:val="009377F6"/>
    <w:rsid w:val="009404C9"/>
    <w:rsid w:val="00940DCC"/>
    <w:rsid w:val="0094179A"/>
    <w:rsid w:val="009424C7"/>
    <w:rsid w:val="0094459E"/>
    <w:rsid w:val="00944DBC"/>
    <w:rsid w:val="00950977"/>
    <w:rsid w:val="00951A7B"/>
    <w:rsid w:val="00951ECA"/>
    <w:rsid w:val="00954868"/>
    <w:rsid w:val="00955A3B"/>
    <w:rsid w:val="00955B0F"/>
    <w:rsid w:val="009564A6"/>
    <w:rsid w:val="00957461"/>
    <w:rsid w:val="009600D3"/>
    <w:rsid w:val="009604FB"/>
    <w:rsid w:val="00960C99"/>
    <w:rsid w:val="009637E8"/>
    <w:rsid w:val="00966A53"/>
    <w:rsid w:val="00967621"/>
    <w:rsid w:val="00967E6A"/>
    <w:rsid w:val="00977801"/>
    <w:rsid w:val="009825BB"/>
    <w:rsid w:val="009907B9"/>
    <w:rsid w:val="00990918"/>
    <w:rsid w:val="009923E3"/>
    <w:rsid w:val="0099283B"/>
    <w:rsid w:val="009970D2"/>
    <w:rsid w:val="00997B03"/>
    <w:rsid w:val="009A3A83"/>
    <w:rsid w:val="009A554B"/>
    <w:rsid w:val="009A6B67"/>
    <w:rsid w:val="009B4196"/>
    <w:rsid w:val="009B4A0F"/>
    <w:rsid w:val="009B52F4"/>
    <w:rsid w:val="009B7170"/>
    <w:rsid w:val="009C11D2"/>
    <w:rsid w:val="009C1644"/>
    <w:rsid w:val="009C2177"/>
    <w:rsid w:val="009C2AE3"/>
    <w:rsid w:val="009C6C70"/>
    <w:rsid w:val="009C7B0A"/>
    <w:rsid w:val="009D0B63"/>
    <w:rsid w:val="009D485C"/>
    <w:rsid w:val="009D5CB8"/>
    <w:rsid w:val="009E307E"/>
    <w:rsid w:val="009E3138"/>
    <w:rsid w:val="009E4050"/>
    <w:rsid w:val="009F13F4"/>
    <w:rsid w:val="009F367D"/>
    <w:rsid w:val="009F3F4F"/>
    <w:rsid w:val="009F53C6"/>
    <w:rsid w:val="00A00029"/>
    <w:rsid w:val="00A0646B"/>
    <w:rsid w:val="00A07870"/>
    <w:rsid w:val="00A07C54"/>
    <w:rsid w:val="00A07F19"/>
    <w:rsid w:val="00A10785"/>
    <w:rsid w:val="00A1348D"/>
    <w:rsid w:val="00A13C99"/>
    <w:rsid w:val="00A17EF3"/>
    <w:rsid w:val="00A20E24"/>
    <w:rsid w:val="00A232EE"/>
    <w:rsid w:val="00A24D71"/>
    <w:rsid w:val="00A31459"/>
    <w:rsid w:val="00A33AC4"/>
    <w:rsid w:val="00A368C4"/>
    <w:rsid w:val="00A414F6"/>
    <w:rsid w:val="00A4175F"/>
    <w:rsid w:val="00A42B32"/>
    <w:rsid w:val="00A44411"/>
    <w:rsid w:val="00A469FA"/>
    <w:rsid w:val="00A50AAD"/>
    <w:rsid w:val="00A5125F"/>
    <w:rsid w:val="00A51CF2"/>
    <w:rsid w:val="00A53662"/>
    <w:rsid w:val="00A53829"/>
    <w:rsid w:val="00A55B01"/>
    <w:rsid w:val="00A56B5B"/>
    <w:rsid w:val="00A577E3"/>
    <w:rsid w:val="00A603FF"/>
    <w:rsid w:val="00A619B6"/>
    <w:rsid w:val="00A61FBD"/>
    <w:rsid w:val="00A63562"/>
    <w:rsid w:val="00A648CA"/>
    <w:rsid w:val="00A657DD"/>
    <w:rsid w:val="00A65E91"/>
    <w:rsid w:val="00A666A6"/>
    <w:rsid w:val="00A675FD"/>
    <w:rsid w:val="00A72437"/>
    <w:rsid w:val="00A76465"/>
    <w:rsid w:val="00A76F84"/>
    <w:rsid w:val="00A8048B"/>
    <w:rsid w:val="00A80611"/>
    <w:rsid w:val="00A82641"/>
    <w:rsid w:val="00A8337B"/>
    <w:rsid w:val="00A91C70"/>
    <w:rsid w:val="00A95EC7"/>
    <w:rsid w:val="00AA25E4"/>
    <w:rsid w:val="00AA423D"/>
    <w:rsid w:val="00AA5BF4"/>
    <w:rsid w:val="00AB09F8"/>
    <w:rsid w:val="00AB1972"/>
    <w:rsid w:val="00AB5340"/>
    <w:rsid w:val="00AB6A2A"/>
    <w:rsid w:val="00AC0A89"/>
    <w:rsid w:val="00AC104B"/>
    <w:rsid w:val="00AC1B84"/>
    <w:rsid w:val="00AC2059"/>
    <w:rsid w:val="00AC3266"/>
    <w:rsid w:val="00AC4D3A"/>
    <w:rsid w:val="00AC503A"/>
    <w:rsid w:val="00AC7C96"/>
    <w:rsid w:val="00AD17E3"/>
    <w:rsid w:val="00AD7761"/>
    <w:rsid w:val="00AE237D"/>
    <w:rsid w:val="00AE2987"/>
    <w:rsid w:val="00AE2F7E"/>
    <w:rsid w:val="00AE35B6"/>
    <w:rsid w:val="00AE502A"/>
    <w:rsid w:val="00AE5516"/>
    <w:rsid w:val="00AE7F44"/>
    <w:rsid w:val="00AF0010"/>
    <w:rsid w:val="00AF01EB"/>
    <w:rsid w:val="00AF2C1F"/>
    <w:rsid w:val="00AF4DDF"/>
    <w:rsid w:val="00AF5647"/>
    <w:rsid w:val="00AF6C11"/>
    <w:rsid w:val="00AF7C07"/>
    <w:rsid w:val="00AF7C68"/>
    <w:rsid w:val="00B02F7E"/>
    <w:rsid w:val="00B04509"/>
    <w:rsid w:val="00B06B4D"/>
    <w:rsid w:val="00B06C64"/>
    <w:rsid w:val="00B07FCB"/>
    <w:rsid w:val="00B11CAC"/>
    <w:rsid w:val="00B12DDE"/>
    <w:rsid w:val="00B15A29"/>
    <w:rsid w:val="00B2145F"/>
    <w:rsid w:val="00B22253"/>
    <w:rsid w:val="00B22C93"/>
    <w:rsid w:val="00B27589"/>
    <w:rsid w:val="00B33800"/>
    <w:rsid w:val="00B345FD"/>
    <w:rsid w:val="00B405B7"/>
    <w:rsid w:val="00B43CD3"/>
    <w:rsid w:val="00B44408"/>
    <w:rsid w:val="00B46A82"/>
    <w:rsid w:val="00B52222"/>
    <w:rsid w:val="00B523F4"/>
    <w:rsid w:val="00B531DA"/>
    <w:rsid w:val="00B54895"/>
    <w:rsid w:val="00B54FE7"/>
    <w:rsid w:val="00B60418"/>
    <w:rsid w:val="00B6090E"/>
    <w:rsid w:val="00B63100"/>
    <w:rsid w:val="00B647C6"/>
    <w:rsid w:val="00B655F9"/>
    <w:rsid w:val="00B665F1"/>
    <w:rsid w:val="00B66901"/>
    <w:rsid w:val="00B670E9"/>
    <w:rsid w:val="00B679CD"/>
    <w:rsid w:val="00B71E6D"/>
    <w:rsid w:val="00B72049"/>
    <w:rsid w:val="00B72070"/>
    <w:rsid w:val="00B72C1E"/>
    <w:rsid w:val="00B745A7"/>
    <w:rsid w:val="00B77575"/>
    <w:rsid w:val="00B779E1"/>
    <w:rsid w:val="00B81C7A"/>
    <w:rsid w:val="00B81E3A"/>
    <w:rsid w:val="00B8294F"/>
    <w:rsid w:val="00B83DA9"/>
    <w:rsid w:val="00B84355"/>
    <w:rsid w:val="00B8506F"/>
    <w:rsid w:val="00B85CFB"/>
    <w:rsid w:val="00B8656E"/>
    <w:rsid w:val="00B91EE1"/>
    <w:rsid w:val="00B92B3E"/>
    <w:rsid w:val="00B94602"/>
    <w:rsid w:val="00BA0090"/>
    <w:rsid w:val="00BA1A67"/>
    <w:rsid w:val="00BA2021"/>
    <w:rsid w:val="00BA2E2F"/>
    <w:rsid w:val="00BA37ED"/>
    <w:rsid w:val="00BA6A80"/>
    <w:rsid w:val="00BB0053"/>
    <w:rsid w:val="00BB2D61"/>
    <w:rsid w:val="00BB3D5C"/>
    <w:rsid w:val="00BB4ABB"/>
    <w:rsid w:val="00BB4ABE"/>
    <w:rsid w:val="00BC0773"/>
    <w:rsid w:val="00BC13D0"/>
    <w:rsid w:val="00BD1743"/>
    <w:rsid w:val="00BD59FA"/>
    <w:rsid w:val="00BD69FE"/>
    <w:rsid w:val="00BE3FD8"/>
    <w:rsid w:val="00BE5B5F"/>
    <w:rsid w:val="00BE7993"/>
    <w:rsid w:val="00BF03AE"/>
    <w:rsid w:val="00BF30CD"/>
    <w:rsid w:val="00BF6CAD"/>
    <w:rsid w:val="00BF71FF"/>
    <w:rsid w:val="00C01B5C"/>
    <w:rsid w:val="00C038F6"/>
    <w:rsid w:val="00C144B8"/>
    <w:rsid w:val="00C1470E"/>
    <w:rsid w:val="00C16E61"/>
    <w:rsid w:val="00C211CB"/>
    <w:rsid w:val="00C24101"/>
    <w:rsid w:val="00C24774"/>
    <w:rsid w:val="00C26F55"/>
    <w:rsid w:val="00C272B6"/>
    <w:rsid w:val="00C30C63"/>
    <w:rsid w:val="00C30FA6"/>
    <w:rsid w:val="00C30FF3"/>
    <w:rsid w:val="00C364D7"/>
    <w:rsid w:val="00C36B8B"/>
    <w:rsid w:val="00C415C1"/>
    <w:rsid w:val="00C449EE"/>
    <w:rsid w:val="00C46DD8"/>
    <w:rsid w:val="00C4702C"/>
    <w:rsid w:val="00C47DBF"/>
    <w:rsid w:val="00C51CCE"/>
    <w:rsid w:val="00C52876"/>
    <w:rsid w:val="00C54B9A"/>
    <w:rsid w:val="00C552FF"/>
    <w:rsid w:val="00C558DA"/>
    <w:rsid w:val="00C55AF3"/>
    <w:rsid w:val="00C568B0"/>
    <w:rsid w:val="00C604A6"/>
    <w:rsid w:val="00C6119D"/>
    <w:rsid w:val="00C6685F"/>
    <w:rsid w:val="00C670F9"/>
    <w:rsid w:val="00C71040"/>
    <w:rsid w:val="00C721CB"/>
    <w:rsid w:val="00C74C8C"/>
    <w:rsid w:val="00C75188"/>
    <w:rsid w:val="00C76FD1"/>
    <w:rsid w:val="00C771A9"/>
    <w:rsid w:val="00C77687"/>
    <w:rsid w:val="00C832CE"/>
    <w:rsid w:val="00C84759"/>
    <w:rsid w:val="00C9124D"/>
    <w:rsid w:val="00C927B9"/>
    <w:rsid w:val="00C97E90"/>
    <w:rsid w:val="00CA21F1"/>
    <w:rsid w:val="00CA3A35"/>
    <w:rsid w:val="00CA5161"/>
    <w:rsid w:val="00CA58FD"/>
    <w:rsid w:val="00CA5CA9"/>
    <w:rsid w:val="00CA65DF"/>
    <w:rsid w:val="00CA6C7F"/>
    <w:rsid w:val="00CA75B3"/>
    <w:rsid w:val="00CB0607"/>
    <w:rsid w:val="00CB2B2B"/>
    <w:rsid w:val="00CB4DB9"/>
    <w:rsid w:val="00CB6B35"/>
    <w:rsid w:val="00CB6D80"/>
    <w:rsid w:val="00CC0E62"/>
    <w:rsid w:val="00CC0FC7"/>
    <w:rsid w:val="00CC10A6"/>
    <w:rsid w:val="00CC21C5"/>
    <w:rsid w:val="00CC26DF"/>
    <w:rsid w:val="00CC52C1"/>
    <w:rsid w:val="00CC6C56"/>
    <w:rsid w:val="00CD0814"/>
    <w:rsid w:val="00CD1258"/>
    <w:rsid w:val="00CD5EB8"/>
    <w:rsid w:val="00CD7044"/>
    <w:rsid w:val="00CD7134"/>
    <w:rsid w:val="00CE08B9"/>
    <w:rsid w:val="00CE460E"/>
    <w:rsid w:val="00CE5069"/>
    <w:rsid w:val="00CE524C"/>
    <w:rsid w:val="00CE7F94"/>
    <w:rsid w:val="00CF0122"/>
    <w:rsid w:val="00CF141F"/>
    <w:rsid w:val="00CF2646"/>
    <w:rsid w:val="00CF27B0"/>
    <w:rsid w:val="00CF358E"/>
    <w:rsid w:val="00CF4777"/>
    <w:rsid w:val="00CF65C8"/>
    <w:rsid w:val="00D006F7"/>
    <w:rsid w:val="00D00E37"/>
    <w:rsid w:val="00D013F5"/>
    <w:rsid w:val="00D01C66"/>
    <w:rsid w:val="00D03953"/>
    <w:rsid w:val="00D03D32"/>
    <w:rsid w:val="00D05492"/>
    <w:rsid w:val="00D05E3F"/>
    <w:rsid w:val="00D067BB"/>
    <w:rsid w:val="00D06C5B"/>
    <w:rsid w:val="00D11038"/>
    <w:rsid w:val="00D1352A"/>
    <w:rsid w:val="00D169AF"/>
    <w:rsid w:val="00D17E7B"/>
    <w:rsid w:val="00D21F50"/>
    <w:rsid w:val="00D225C6"/>
    <w:rsid w:val="00D24CE8"/>
    <w:rsid w:val="00D25249"/>
    <w:rsid w:val="00D265E4"/>
    <w:rsid w:val="00D35E1A"/>
    <w:rsid w:val="00D35E88"/>
    <w:rsid w:val="00D3697C"/>
    <w:rsid w:val="00D434F0"/>
    <w:rsid w:val="00D44172"/>
    <w:rsid w:val="00D466EE"/>
    <w:rsid w:val="00D468C8"/>
    <w:rsid w:val="00D47BE3"/>
    <w:rsid w:val="00D47ECC"/>
    <w:rsid w:val="00D50731"/>
    <w:rsid w:val="00D52FB9"/>
    <w:rsid w:val="00D540B8"/>
    <w:rsid w:val="00D5636E"/>
    <w:rsid w:val="00D604E3"/>
    <w:rsid w:val="00D63B8C"/>
    <w:rsid w:val="00D673F7"/>
    <w:rsid w:val="00D67BFE"/>
    <w:rsid w:val="00D739CC"/>
    <w:rsid w:val="00D775AA"/>
    <w:rsid w:val="00D8093D"/>
    <w:rsid w:val="00D8108C"/>
    <w:rsid w:val="00D81F23"/>
    <w:rsid w:val="00D832FC"/>
    <w:rsid w:val="00D842AE"/>
    <w:rsid w:val="00D87EE1"/>
    <w:rsid w:val="00D9211C"/>
    <w:rsid w:val="00D92DE0"/>
    <w:rsid w:val="00D92FEF"/>
    <w:rsid w:val="00D93A0F"/>
    <w:rsid w:val="00D97581"/>
    <w:rsid w:val="00D97F8D"/>
    <w:rsid w:val="00DA0F8E"/>
    <w:rsid w:val="00DA1630"/>
    <w:rsid w:val="00DA1BCA"/>
    <w:rsid w:val="00DA2325"/>
    <w:rsid w:val="00DA33F3"/>
    <w:rsid w:val="00DA5D66"/>
    <w:rsid w:val="00DA5F41"/>
    <w:rsid w:val="00DB004B"/>
    <w:rsid w:val="00DB1328"/>
    <w:rsid w:val="00DB13FA"/>
    <w:rsid w:val="00DB2061"/>
    <w:rsid w:val="00DB278B"/>
    <w:rsid w:val="00DB38D0"/>
    <w:rsid w:val="00DB4FAA"/>
    <w:rsid w:val="00DB5270"/>
    <w:rsid w:val="00DC46FF"/>
    <w:rsid w:val="00DC509D"/>
    <w:rsid w:val="00DC5254"/>
    <w:rsid w:val="00DC5257"/>
    <w:rsid w:val="00DC569D"/>
    <w:rsid w:val="00DC5841"/>
    <w:rsid w:val="00DD1A4F"/>
    <w:rsid w:val="00DD3107"/>
    <w:rsid w:val="00DD431C"/>
    <w:rsid w:val="00DD49A4"/>
    <w:rsid w:val="00DD5DF8"/>
    <w:rsid w:val="00DD6E80"/>
    <w:rsid w:val="00DD7C2C"/>
    <w:rsid w:val="00DE03C3"/>
    <w:rsid w:val="00DE265F"/>
    <w:rsid w:val="00DE5BDA"/>
    <w:rsid w:val="00DE6006"/>
    <w:rsid w:val="00DF23BC"/>
    <w:rsid w:val="00DF433C"/>
    <w:rsid w:val="00DF768A"/>
    <w:rsid w:val="00DF7E29"/>
    <w:rsid w:val="00E0035A"/>
    <w:rsid w:val="00E016D8"/>
    <w:rsid w:val="00E035F6"/>
    <w:rsid w:val="00E05E58"/>
    <w:rsid w:val="00E060D7"/>
    <w:rsid w:val="00E06797"/>
    <w:rsid w:val="00E12361"/>
    <w:rsid w:val="00E1265B"/>
    <w:rsid w:val="00E13B48"/>
    <w:rsid w:val="00E1404F"/>
    <w:rsid w:val="00E141C8"/>
    <w:rsid w:val="00E15DF7"/>
    <w:rsid w:val="00E16C65"/>
    <w:rsid w:val="00E20196"/>
    <w:rsid w:val="00E21C83"/>
    <w:rsid w:val="00E21E54"/>
    <w:rsid w:val="00E24ADA"/>
    <w:rsid w:val="00E32F59"/>
    <w:rsid w:val="00E3729A"/>
    <w:rsid w:val="00E41908"/>
    <w:rsid w:val="00E430A4"/>
    <w:rsid w:val="00E45719"/>
    <w:rsid w:val="00E46585"/>
    <w:rsid w:val="00E46D9A"/>
    <w:rsid w:val="00E50AEC"/>
    <w:rsid w:val="00E54144"/>
    <w:rsid w:val="00E565FF"/>
    <w:rsid w:val="00E5689E"/>
    <w:rsid w:val="00E6378B"/>
    <w:rsid w:val="00E63DD4"/>
    <w:rsid w:val="00E65388"/>
    <w:rsid w:val="00E65ADB"/>
    <w:rsid w:val="00E7490E"/>
    <w:rsid w:val="00E74AF6"/>
    <w:rsid w:val="00E75AFC"/>
    <w:rsid w:val="00E7741D"/>
    <w:rsid w:val="00E808CD"/>
    <w:rsid w:val="00E81067"/>
    <w:rsid w:val="00E8348F"/>
    <w:rsid w:val="00E85B7D"/>
    <w:rsid w:val="00E85E8A"/>
    <w:rsid w:val="00E879BF"/>
    <w:rsid w:val="00E90A76"/>
    <w:rsid w:val="00E9121B"/>
    <w:rsid w:val="00E9302E"/>
    <w:rsid w:val="00E938A2"/>
    <w:rsid w:val="00E94ACC"/>
    <w:rsid w:val="00E976AB"/>
    <w:rsid w:val="00E97D2F"/>
    <w:rsid w:val="00EA0AE2"/>
    <w:rsid w:val="00EA13F8"/>
    <w:rsid w:val="00EA157A"/>
    <w:rsid w:val="00EA24D3"/>
    <w:rsid w:val="00EA291A"/>
    <w:rsid w:val="00EA39E5"/>
    <w:rsid w:val="00EA4CC1"/>
    <w:rsid w:val="00EA4F39"/>
    <w:rsid w:val="00EA57A3"/>
    <w:rsid w:val="00EA798B"/>
    <w:rsid w:val="00EB0F30"/>
    <w:rsid w:val="00EB3269"/>
    <w:rsid w:val="00EB6052"/>
    <w:rsid w:val="00EB7F13"/>
    <w:rsid w:val="00EC2813"/>
    <w:rsid w:val="00EC3208"/>
    <w:rsid w:val="00EC5A46"/>
    <w:rsid w:val="00EC63E2"/>
    <w:rsid w:val="00ED366A"/>
    <w:rsid w:val="00ED3E70"/>
    <w:rsid w:val="00ED6BB7"/>
    <w:rsid w:val="00EE1723"/>
    <w:rsid w:val="00EE204B"/>
    <w:rsid w:val="00EE48A1"/>
    <w:rsid w:val="00EE4FF7"/>
    <w:rsid w:val="00EF0092"/>
    <w:rsid w:val="00EF22B3"/>
    <w:rsid w:val="00EF3121"/>
    <w:rsid w:val="00F00314"/>
    <w:rsid w:val="00F014A2"/>
    <w:rsid w:val="00F03B69"/>
    <w:rsid w:val="00F052AF"/>
    <w:rsid w:val="00F07A50"/>
    <w:rsid w:val="00F10F3E"/>
    <w:rsid w:val="00F111C9"/>
    <w:rsid w:val="00F113DA"/>
    <w:rsid w:val="00F20541"/>
    <w:rsid w:val="00F21D9E"/>
    <w:rsid w:val="00F266FC"/>
    <w:rsid w:val="00F3037A"/>
    <w:rsid w:val="00F3465A"/>
    <w:rsid w:val="00F37DC8"/>
    <w:rsid w:val="00F40F4B"/>
    <w:rsid w:val="00F41B03"/>
    <w:rsid w:val="00F4388B"/>
    <w:rsid w:val="00F439B3"/>
    <w:rsid w:val="00F47133"/>
    <w:rsid w:val="00F52E11"/>
    <w:rsid w:val="00F547CA"/>
    <w:rsid w:val="00F5785A"/>
    <w:rsid w:val="00F60465"/>
    <w:rsid w:val="00F62473"/>
    <w:rsid w:val="00F6323C"/>
    <w:rsid w:val="00F650C3"/>
    <w:rsid w:val="00F65D85"/>
    <w:rsid w:val="00F6700B"/>
    <w:rsid w:val="00F727B0"/>
    <w:rsid w:val="00F728BC"/>
    <w:rsid w:val="00F76F6C"/>
    <w:rsid w:val="00F8091E"/>
    <w:rsid w:val="00F809C0"/>
    <w:rsid w:val="00F80B1B"/>
    <w:rsid w:val="00F811DB"/>
    <w:rsid w:val="00F82906"/>
    <w:rsid w:val="00F83723"/>
    <w:rsid w:val="00F84EEE"/>
    <w:rsid w:val="00F85B53"/>
    <w:rsid w:val="00F85F21"/>
    <w:rsid w:val="00F8615C"/>
    <w:rsid w:val="00F90FEB"/>
    <w:rsid w:val="00F94D5C"/>
    <w:rsid w:val="00F969E5"/>
    <w:rsid w:val="00FA0122"/>
    <w:rsid w:val="00FA1164"/>
    <w:rsid w:val="00FA4972"/>
    <w:rsid w:val="00FA6BB0"/>
    <w:rsid w:val="00FB0444"/>
    <w:rsid w:val="00FB2C77"/>
    <w:rsid w:val="00FB2DBD"/>
    <w:rsid w:val="00FB2FB5"/>
    <w:rsid w:val="00FB53D9"/>
    <w:rsid w:val="00FB5616"/>
    <w:rsid w:val="00FC30DC"/>
    <w:rsid w:val="00FC60B6"/>
    <w:rsid w:val="00FC7DFA"/>
    <w:rsid w:val="00FD0CA1"/>
    <w:rsid w:val="00FD48DF"/>
    <w:rsid w:val="00FD5860"/>
    <w:rsid w:val="00FE1DD5"/>
    <w:rsid w:val="00FE352D"/>
    <w:rsid w:val="00FE40EB"/>
    <w:rsid w:val="00FE489F"/>
    <w:rsid w:val="00FE4D02"/>
    <w:rsid w:val="00FE7D62"/>
    <w:rsid w:val="00FF2734"/>
    <w:rsid w:val="00FF33A3"/>
    <w:rsid w:val="00FF3819"/>
    <w:rsid w:val="00FF53B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C2AD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character" w:customStyle="1" w:styleId="HeaderChar">
    <w:name w:val="Header Char"/>
    <w:basedOn w:val="DefaultParagraphFont"/>
    <w:link w:val="Header"/>
    <w:rsid w:val="006A6E23"/>
    <w:rPr>
      <w:b/>
      <w:sz w:val="18"/>
      <w:lang w:eastAsia="en-US"/>
    </w:rPr>
  </w:style>
  <w:style w:type="paragraph" w:styleId="Revision">
    <w:name w:val="Revision"/>
    <w:hidden/>
    <w:uiPriority w:val="99"/>
    <w:semiHidden/>
    <w:rsid w:val="00B6310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link w:val="CH3Cha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A24F9"/>
    <w:pPr>
      <w:ind w:left="720"/>
    </w:pPr>
  </w:style>
  <w:style w:type="character" w:customStyle="1" w:styleId="BBTitleChar">
    <w:name w:val="BB_Title Char"/>
    <w:link w:val="BBTitle"/>
    <w:rsid w:val="00312543"/>
    <w:rPr>
      <w:b/>
      <w:sz w:val="28"/>
      <w:szCs w:val="28"/>
      <w:lang w:eastAsia="en-US"/>
    </w:rPr>
  </w:style>
  <w:style w:type="character" w:customStyle="1" w:styleId="CH2Char">
    <w:name w:val="CH2 Char"/>
    <w:link w:val="CH2"/>
    <w:rsid w:val="00312543"/>
    <w:rPr>
      <w:b/>
      <w:sz w:val="24"/>
      <w:szCs w:val="24"/>
      <w:lang w:eastAsia="en-US"/>
    </w:rPr>
  </w:style>
  <w:style w:type="character" w:customStyle="1" w:styleId="CH3Char">
    <w:name w:val="CH3 Char"/>
    <w:link w:val="CH3"/>
    <w:rsid w:val="00312543"/>
    <w:rPr>
      <w:b/>
      <w:lang w:eastAsia="en-US"/>
    </w:rPr>
  </w:style>
  <w:style w:type="character" w:customStyle="1" w:styleId="ZZAnxtitleChar">
    <w:name w:val="ZZ_Anx_title Char"/>
    <w:link w:val="ZZAnxtitle"/>
    <w:rsid w:val="00312543"/>
    <w:rPr>
      <w:b/>
      <w:bCs/>
      <w:sz w:val="28"/>
      <w:szCs w:val="26"/>
      <w:lang w:eastAsia="en-US"/>
    </w:rPr>
  </w:style>
  <w:style w:type="paragraph" w:customStyle="1" w:styleId="Articleheading">
    <w:name w:val="Article heading"/>
    <w:basedOn w:val="Normal"/>
    <w:next w:val="Subtitle"/>
    <w:rsid w:val="00312543"/>
    <w:pPr>
      <w:numPr>
        <w:numId w:val="8"/>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312543"/>
    <w:rPr>
      <w:b/>
      <w:bCs/>
      <w:sz w:val="28"/>
      <w:szCs w:val="22"/>
      <w:lang w:eastAsia="en-US"/>
    </w:rPr>
  </w:style>
  <w:style w:type="paragraph" w:styleId="Subtitle">
    <w:name w:val="Subtitle"/>
    <w:basedOn w:val="Normal"/>
    <w:next w:val="Normal"/>
    <w:link w:val="SubtitleChar"/>
    <w:qFormat/>
    <w:rsid w:val="00312543"/>
    <w:pPr>
      <w:spacing w:after="60"/>
      <w:jc w:val="center"/>
      <w:outlineLvl w:val="1"/>
    </w:pPr>
    <w:rPr>
      <w:rFonts w:ascii="Cambria" w:eastAsia="SimSun" w:hAnsi="Cambria"/>
      <w:sz w:val="24"/>
      <w:szCs w:val="24"/>
    </w:rPr>
  </w:style>
  <w:style w:type="character" w:customStyle="1" w:styleId="SubtitleChar">
    <w:name w:val="Subtitle Char"/>
    <w:link w:val="Subtitle"/>
    <w:rsid w:val="00312543"/>
    <w:rPr>
      <w:rFonts w:ascii="Cambria" w:eastAsia="SimSun" w:hAnsi="Cambria" w:cs="Times New Roman"/>
      <w:sz w:val="24"/>
      <w:szCs w:val="24"/>
      <w:lang w:eastAsia="en-US"/>
    </w:rPr>
  </w:style>
  <w:style w:type="character" w:customStyle="1" w:styleId="Normal-poolChar">
    <w:name w:val="Normal-pool Char"/>
    <w:link w:val="Normal-pool"/>
    <w:rsid w:val="00573D02"/>
    <w:rPr>
      <w:lang w:eastAsia="en-US"/>
    </w:rPr>
  </w:style>
  <w:style w:type="character" w:customStyle="1" w:styleId="Inget">
    <w:name w:val="Inget"/>
    <w:rsid w:val="00573D02"/>
  </w:style>
  <w:style w:type="numbering" w:customStyle="1" w:styleId="Importeradestilen4">
    <w:name w:val="Importerade stilen 4"/>
    <w:rsid w:val="00573D02"/>
    <w:pPr>
      <w:numPr>
        <w:numId w:val="16"/>
      </w:numPr>
    </w:pPr>
  </w:style>
  <w:style w:type="numbering" w:customStyle="1" w:styleId="Importeradestilen9">
    <w:name w:val="Importerade stilen 9"/>
    <w:rsid w:val="00573D02"/>
    <w:pPr>
      <w:numPr>
        <w:numId w:val="28"/>
      </w:numPr>
    </w:pPr>
  </w:style>
  <w:style w:type="numbering" w:customStyle="1" w:styleId="Importeradestilen5">
    <w:name w:val="Importerade stilen 5"/>
    <w:rsid w:val="00573D02"/>
    <w:pPr>
      <w:numPr>
        <w:numId w:val="18"/>
      </w:numPr>
    </w:pPr>
  </w:style>
  <w:style w:type="numbering" w:customStyle="1" w:styleId="Importeradestilen6">
    <w:name w:val="Importerade stilen 6"/>
    <w:rsid w:val="00573D02"/>
    <w:pPr>
      <w:numPr>
        <w:numId w:val="20"/>
      </w:numPr>
    </w:pPr>
  </w:style>
  <w:style w:type="numbering" w:customStyle="1" w:styleId="Importeradestilen8">
    <w:name w:val="Importerade stilen 8"/>
    <w:rsid w:val="00573D02"/>
    <w:pPr>
      <w:numPr>
        <w:numId w:val="25"/>
      </w:numPr>
    </w:pPr>
  </w:style>
  <w:style w:type="numbering" w:customStyle="1" w:styleId="Importeradestilen7">
    <w:name w:val="Importerade stilen 7"/>
    <w:rsid w:val="00573D02"/>
    <w:pPr>
      <w:numPr>
        <w:numId w:val="22"/>
      </w:numPr>
    </w:pPr>
  </w:style>
  <w:style w:type="numbering" w:customStyle="1" w:styleId="Importeradestilen3">
    <w:name w:val="Importerade stilen 3"/>
    <w:rsid w:val="00573D02"/>
    <w:pPr>
      <w:numPr>
        <w:numId w:val="14"/>
      </w:numPr>
    </w:p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customStyle="1" w:styleId="Brdtext">
    <w:name w:val="Brödtext"/>
    <w:rsid w:val="003C46F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Hyperlink0">
    <w:name w:val="Hyperlink.0"/>
    <w:rsid w:val="003C46FB"/>
    <w:rPr>
      <w:rFonts w:cs="Times New Roman"/>
      <w:lang w:val="en-US" w:eastAsia="x-none"/>
    </w:rPr>
  </w:style>
  <w:style w:type="character" w:customStyle="1" w:styleId="HeaderChar">
    <w:name w:val="Header Char"/>
    <w:basedOn w:val="DefaultParagraphFont"/>
    <w:link w:val="Header"/>
    <w:rsid w:val="006A6E23"/>
    <w:rPr>
      <w:b/>
      <w:sz w:val="18"/>
      <w:lang w:eastAsia="en-US"/>
    </w:rPr>
  </w:style>
  <w:style w:type="paragraph" w:styleId="Revision">
    <w:name w:val="Revision"/>
    <w:hidden/>
    <w:uiPriority w:val="99"/>
    <w:semiHidden/>
    <w:rsid w:val="00B6310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0694670">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94639821">
      <w:bodyDiv w:val="1"/>
      <w:marLeft w:val="0"/>
      <w:marRight w:val="0"/>
      <w:marTop w:val="0"/>
      <w:marBottom w:val="0"/>
      <w:divBdr>
        <w:top w:val="none" w:sz="0" w:space="0" w:color="auto"/>
        <w:left w:val="none" w:sz="0" w:space="0" w:color="auto"/>
        <w:bottom w:val="none" w:sz="0" w:space="0" w:color="auto"/>
        <w:right w:val="none" w:sz="0" w:space="0" w:color="auto"/>
      </w:divBdr>
    </w:div>
    <w:div w:id="1500190680">
      <w:bodyDiv w:val="1"/>
      <w:marLeft w:val="0"/>
      <w:marRight w:val="0"/>
      <w:marTop w:val="0"/>
      <w:marBottom w:val="0"/>
      <w:divBdr>
        <w:top w:val="none" w:sz="0" w:space="0" w:color="auto"/>
        <w:left w:val="none" w:sz="0" w:space="0" w:color="auto"/>
        <w:bottom w:val="none" w:sz="0" w:space="0" w:color="auto"/>
        <w:right w:val="none" w:sz="0" w:space="0" w:color="auto"/>
      </w:divBdr>
      <w:divsChild>
        <w:div w:id="542527046">
          <w:marLeft w:val="0"/>
          <w:marRight w:val="0"/>
          <w:marTop w:val="0"/>
          <w:marBottom w:val="0"/>
          <w:divBdr>
            <w:top w:val="none" w:sz="0" w:space="0" w:color="auto"/>
            <w:left w:val="none" w:sz="0" w:space="0" w:color="auto"/>
            <w:bottom w:val="none" w:sz="0" w:space="0" w:color="auto"/>
            <w:right w:val="none" w:sz="0" w:space="0" w:color="auto"/>
          </w:divBdr>
        </w:div>
        <w:div w:id="79178246">
          <w:marLeft w:val="0"/>
          <w:marRight w:val="0"/>
          <w:marTop w:val="0"/>
          <w:marBottom w:val="0"/>
          <w:divBdr>
            <w:top w:val="none" w:sz="0" w:space="0" w:color="auto"/>
            <w:left w:val="none" w:sz="0" w:space="0" w:color="auto"/>
            <w:bottom w:val="none" w:sz="0" w:space="0" w:color="auto"/>
            <w:right w:val="none" w:sz="0" w:space="0" w:color="auto"/>
          </w:divBdr>
        </w:div>
        <w:div w:id="986859926">
          <w:marLeft w:val="0"/>
          <w:marRight w:val="0"/>
          <w:marTop w:val="0"/>
          <w:marBottom w:val="0"/>
          <w:divBdr>
            <w:top w:val="none" w:sz="0" w:space="0" w:color="auto"/>
            <w:left w:val="none" w:sz="0" w:space="0" w:color="auto"/>
            <w:bottom w:val="none" w:sz="0" w:space="0" w:color="auto"/>
            <w:right w:val="none" w:sz="0" w:space="0" w:color="auto"/>
          </w:divBdr>
        </w:div>
        <w:div w:id="718822617">
          <w:marLeft w:val="0"/>
          <w:marRight w:val="0"/>
          <w:marTop w:val="0"/>
          <w:marBottom w:val="0"/>
          <w:divBdr>
            <w:top w:val="none" w:sz="0" w:space="0" w:color="auto"/>
            <w:left w:val="none" w:sz="0" w:space="0" w:color="auto"/>
            <w:bottom w:val="none" w:sz="0" w:space="0" w:color="auto"/>
            <w:right w:val="none" w:sz="0" w:space="0" w:color="auto"/>
          </w:divBdr>
        </w:div>
        <w:div w:id="624041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501E74-861D-4240-8724-C785BA224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4103</Words>
  <Characters>22717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26767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Silvia Serrano</cp:lastModifiedBy>
  <cp:revision>2</cp:revision>
  <cp:lastPrinted>2017-08-14T13:43:00Z</cp:lastPrinted>
  <dcterms:created xsi:type="dcterms:W3CDTF">2017-08-15T06:08:00Z</dcterms:created>
  <dcterms:modified xsi:type="dcterms:W3CDTF">2017-08-15T06:08:00Z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pablo.alvarez</vt:lpwstr>
  </property>
  <property fmtid="{D5CDD505-2E9C-101B-9397-08002B2CF9AE}" pid="4" name="GeneratedDate">
    <vt:lpwstr>8/14/2017 7:19:24 AM</vt:lpwstr>
  </property>
  <property fmtid="{D5CDD505-2E9C-101B-9397-08002B2CF9AE}" pid="5" name="OriginalDocID">
    <vt:lpwstr>f066f609-e533-40f7-bc93-1bf30620a272</vt:lpwstr>
  </property>
</Properties>
</file>