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right"/>
        <w:tblLayout w:type="fixed"/>
        <w:tblLook w:val="04A0" w:firstRow="1" w:lastRow="0" w:firstColumn="1" w:lastColumn="0" w:noHBand="0" w:noVBand="1"/>
      </w:tblPr>
      <w:tblGrid>
        <w:gridCol w:w="1740"/>
        <w:gridCol w:w="4561"/>
        <w:gridCol w:w="3411"/>
      </w:tblGrid>
      <w:tr w:rsidR="007C51E6" w:rsidTr="00C03DD0">
        <w:trPr>
          <w:cantSplit/>
          <w:trHeight w:val="850"/>
          <w:jc w:val="right"/>
        </w:trPr>
        <w:tc>
          <w:tcPr>
            <w:tcW w:w="1701" w:type="dxa"/>
            <w:hideMark/>
          </w:tcPr>
          <w:p w:rsidR="007C51E6" w:rsidRDefault="007C51E6" w:rsidP="002E6D12">
            <w:pPr>
              <w:rPr>
                <w:rFonts w:ascii="Univers" w:hAnsi="Univers"/>
                <w:b/>
                <w:noProof/>
                <w:sz w:val="27"/>
                <w:szCs w:val="27"/>
              </w:rPr>
            </w:pPr>
            <w:r>
              <w:rPr>
                <w:rFonts w:ascii="Arial" w:hAnsi="Arial" w:cs="Arial"/>
                <w:b/>
                <w:noProof/>
                <w:sz w:val="27"/>
                <w:szCs w:val="27"/>
              </w:rPr>
              <w:t>NACIONES UNIDAS</w:t>
            </w:r>
          </w:p>
        </w:tc>
        <w:tc>
          <w:tcPr>
            <w:tcW w:w="4460" w:type="dxa"/>
          </w:tcPr>
          <w:p w:rsidR="007C51E6" w:rsidRDefault="007C51E6" w:rsidP="002E6D12">
            <w:pPr>
              <w:rPr>
                <w:rFonts w:ascii="Univers" w:hAnsi="Univers"/>
                <w:b/>
                <w:sz w:val="27"/>
                <w:szCs w:val="27"/>
              </w:rPr>
            </w:pPr>
          </w:p>
        </w:tc>
        <w:tc>
          <w:tcPr>
            <w:tcW w:w="3335" w:type="dxa"/>
            <w:hideMark/>
          </w:tcPr>
          <w:p w:rsidR="007C51E6" w:rsidRDefault="007C51E6" w:rsidP="002E6D12">
            <w:pPr>
              <w:jc w:val="right"/>
              <w:rPr>
                <w:rFonts w:ascii="Arial" w:hAnsi="Arial" w:cs="Arial"/>
                <w:b/>
                <w:sz w:val="64"/>
                <w:szCs w:val="64"/>
              </w:rPr>
            </w:pPr>
            <w:r>
              <w:rPr>
                <w:rFonts w:ascii="Arial" w:hAnsi="Arial" w:cs="Arial"/>
                <w:b/>
                <w:sz w:val="64"/>
                <w:szCs w:val="64"/>
              </w:rPr>
              <w:t>MC</w:t>
            </w:r>
          </w:p>
        </w:tc>
      </w:tr>
      <w:tr w:rsidR="007C51E6" w:rsidTr="00C03DD0">
        <w:trPr>
          <w:cantSplit/>
          <w:trHeight w:val="281"/>
          <w:jc w:val="right"/>
        </w:trPr>
        <w:tc>
          <w:tcPr>
            <w:tcW w:w="1701" w:type="dxa"/>
            <w:tcBorders>
              <w:top w:val="nil"/>
              <w:left w:val="nil"/>
              <w:bottom w:val="single" w:sz="4" w:space="0" w:color="auto"/>
              <w:right w:val="nil"/>
            </w:tcBorders>
          </w:tcPr>
          <w:p w:rsidR="007C51E6" w:rsidRDefault="007C51E6" w:rsidP="002E6D12">
            <w:pPr>
              <w:rPr>
                <w:noProof/>
                <w:sz w:val="18"/>
                <w:szCs w:val="18"/>
              </w:rPr>
            </w:pPr>
          </w:p>
        </w:tc>
        <w:tc>
          <w:tcPr>
            <w:tcW w:w="4460" w:type="dxa"/>
            <w:tcBorders>
              <w:top w:val="nil"/>
              <w:left w:val="nil"/>
              <w:bottom w:val="single" w:sz="4" w:space="0" w:color="auto"/>
              <w:right w:val="nil"/>
            </w:tcBorders>
          </w:tcPr>
          <w:p w:rsidR="007C51E6" w:rsidRDefault="007C51E6" w:rsidP="002E6D12">
            <w:pPr>
              <w:rPr>
                <w:rFonts w:ascii="Univers" w:hAnsi="Univers"/>
                <w:b/>
                <w:sz w:val="18"/>
                <w:szCs w:val="18"/>
              </w:rPr>
            </w:pPr>
          </w:p>
        </w:tc>
        <w:tc>
          <w:tcPr>
            <w:tcW w:w="3335" w:type="dxa"/>
            <w:tcBorders>
              <w:top w:val="nil"/>
              <w:left w:val="nil"/>
              <w:bottom w:val="single" w:sz="4" w:space="0" w:color="auto"/>
              <w:right w:val="nil"/>
            </w:tcBorders>
            <w:hideMark/>
          </w:tcPr>
          <w:p w:rsidR="007C51E6" w:rsidRDefault="007C51E6" w:rsidP="007C51E6">
            <w:pPr>
              <w:rPr>
                <w:noProof/>
                <w:sz w:val="18"/>
                <w:szCs w:val="18"/>
              </w:rPr>
            </w:pPr>
            <w:r>
              <w:rPr>
                <w:b/>
                <w:bCs/>
                <w:sz w:val="28"/>
              </w:rPr>
              <w:t>UNEP</w:t>
            </w:r>
            <w:r w:rsidRPr="002E6754">
              <w:rPr>
                <w:b/>
                <w:bCs/>
              </w:rPr>
              <w:t>/</w:t>
            </w:r>
            <w:r>
              <w:t>MC/COP.1/26/Add.1</w:t>
            </w:r>
          </w:p>
        </w:tc>
      </w:tr>
      <w:tr w:rsidR="007C51E6" w:rsidRPr="002E6754" w:rsidTr="00C03DD0">
        <w:trPr>
          <w:cantSplit/>
          <w:trHeight w:val="2549"/>
          <w:jc w:val="right"/>
        </w:trPr>
        <w:tc>
          <w:tcPr>
            <w:tcW w:w="1701" w:type="dxa"/>
            <w:tcBorders>
              <w:top w:val="single" w:sz="4" w:space="0" w:color="auto"/>
              <w:left w:val="nil"/>
              <w:bottom w:val="single" w:sz="24" w:space="0" w:color="auto"/>
              <w:right w:val="nil"/>
            </w:tcBorders>
            <w:hideMark/>
          </w:tcPr>
          <w:p w:rsidR="007C51E6" w:rsidRDefault="007C51E6" w:rsidP="002E6D12">
            <w:pPr>
              <w:rPr>
                <w:noProof/>
              </w:rPr>
            </w:pPr>
            <w:r>
              <w:rPr>
                <w:noProof/>
              </w:rPr>
              <w:object w:dxaOrig="1305" w:dyaOrig="12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35pt;height:60.5pt" o:ole="" fillcolor="window">
                  <v:imagedata r:id="rId9" o:title=""/>
                </v:shape>
                <o:OLEObject Type="Embed" ProgID="Word.Picture.8" ShapeID="_x0000_i1025" DrawAspect="Content" ObjectID="_1564312028" r:id="rId10"/>
              </w:object>
            </w:r>
            <w:r>
              <w:rPr>
                <w:noProof/>
                <w:lang w:val="es-ES" w:eastAsia="es-ES"/>
              </w:rPr>
              <w:drawing>
                <wp:inline distT="0" distB="0" distL="0" distR="0" wp14:anchorId="44D0050E" wp14:editId="7B5EC80B">
                  <wp:extent cx="723265" cy="771525"/>
                  <wp:effectExtent l="0" t="0" r="635" b="9525"/>
                  <wp:docPr id="3" name="Picture 3" descr="Description: 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E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3265" cy="771525"/>
                          </a:xfrm>
                          <a:prstGeom prst="rect">
                            <a:avLst/>
                          </a:prstGeom>
                          <a:noFill/>
                          <a:ln>
                            <a:noFill/>
                          </a:ln>
                        </pic:spPr>
                      </pic:pic>
                    </a:graphicData>
                  </a:graphic>
                </wp:inline>
              </w:drawing>
            </w:r>
          </w:p>
        </w:tc>
        <w:tc>
          <w:tcPr>
            <w:tcW w:w="4460" w:type="dxa"/>
            <w:tcBorders>
              <w:top w:val="single" w:sz="4" w:space="0" w:color="auto"/>
              <w:left w:val="nil"/>
              <w:bottom w:val="single" w:sz="24" w:space="0" w:color="auto"/>
              <w:right w:val="nil"/>
            </w:tcBorders>
            <w:hideMark/>
          </w:tcPr>
          <w:p w:rsidR="007C51E6" w:rsidRPr="000D22CD" w:rsidRDefault="007C51E6" w:rsidP="002E6D12">
            <w:pPr>
              <w:spacing w:before="1200"/>
              <w:rPr>
                <w:rFonts w:ascii="Arial" w:hAnsi="Arial" w:cs="Arial"/>
                <w:b/>
                <w:sz w:val="28"/>
                <w:lang w:val="es-ES"/>
              </w:rPr>
            </w:pPr>
            <w:r w:rsidRPr="000D22CD">
              <w:rPr>
                <w:rFonts w:ascii="Arial" w:hAnsi="Arial" w:cs="Arial"/>
                <w:b/>
                <w:sz w:val="32"/>
                <w:szCs w:val="32"/>
                <w:lang w:val="es-ES"/>
              </w:rPr>
              <w:t xml:space="preserve">Programa de las </w:t>
            </w:r>
            <w:r>
              <w:rPr>
                <w:rFonts w:ascii="Arial" w:hAnsi="Arial" w:cs="Arial"/>
                <w:b/>
                <w:sz w:val="32"/>
                <w:szCs w:val="32"/>
                <w:lang w:val="es-ES"/>
              </w:rPr>
              <w:br/>
            </w:r>
            <w:r w:rsidRPr="000D22CD">
              <w:rPr>
                <w:rFonts w:ascii="Arial" w:hAnsi="Arial" w:cs="Arial"/>
                <w:b/>
                <w:sz w:val="32"/>
                <w:szCs w:val="32"/>
                <w:lang w:val="es-ES"/>
              </w:rPr>
              <w:t>Naciones Unidas</w:t>
            </w:r>
            <w:r>
              <w:rPr>
                <w:rFonts w:ascii="Arial" w:hAnsi="Arial" w:cs="Arial"/>
                <w:b/>
                <w:sz w:val="32"/>
                <w:szCs w:val="32"/>
                <w:lang w:val="es-ES"/>
              </w:rPr>
              <w:t xml:space="preserve"> para el Medio Ambiente</w:t>
            </w:r>
          </w:p>
        </w:tc>
        <w:tc>
          <w:tcPr>
            <w:tcW w:w="3335" w:type="dxa"/>
            <w:tcBorders>
              <w:top w:val="single" w:sz="4" w:space="0" w:color="auto"/>
              <w:left w:val="nil"/>
              <w:bottom w:val="single" w:sz="24" w:space="0" w:color="auto"/>
              <w:right w:val="nil"/>
            </w:tcBorders>
            <w:hideMark/>
          </w:tcPr>
          <w:p w:rsidR="007C51E6" w:rsidRPr="000D22CD" w:rsidRDefault="007C51E6" w:rsidP="002E6D12">
            <w:pPr>
              <w:spacing w:before="120"/>
              <w:rPr>
                <w:lang w:val="es-ES"/>
              </w:rPr>
            </w:pPr>
            <w:proofErr w:type="spellStart"/>
            <w:r w:rsidRPr="000D22CD">
              <w:rPr>
                <w:lang w:val="es-ES"/>
              </w:rPr>
              <w:t>Distr</w:t>
            </w:r>
            <w:proofErr w:type="spellEnd"/>
            <w:r w:rsidRPr="000D22CD">
              <w:rPr>
                <w:lang w:val="es-ES"/>
              </w:rPr>
              <w:t>.</w:t>
            </w:r>
            <w:r>
              <w:rPr>
                <w:lang w:val="es-ES"/>
              </w:rPr>
              <w:t xml:space="preserve"> g</w:t>
            </w:r>
            <w:r w:rsidRPr="000D22CD">
              <w:rPr>
                <w:lang w:val="es-ES"/>
              </w:rPr>
              <w:t>eneral</w:t>
            </w:r>
            <w:r w:rsidRPr="000D22CD">
              <w:rPr>
                <w:lang w:val="es-ES"/>
              </w:rPr>
              <w:br w:type="textWrapping" w:clear="all"/>
            </w:r>
            <w:r>
              <w:rPr>
                <w:lang w:val="es-ES"/>
              </w:rPr>
              <w:t>27 de</w:t>
            </w:r>
            <w:r w:rsidR="00F83D08">
              <w:rPr>
                <w:lang w:val="es-ES"/>
              </w:rPr>
              <w:t xml:space="preserve"> abril</w:t>
            </w:r>
            <w:r>
              <w:rPr>
                <w:lang w:val="es-ES"/>
              </w:rPr>
              <w:t xml:space="preserve"> de</w:t>
            </w:r>
            <w:r w:rsidRPr="000D22CD">
              <w:rPr>
                <w:lang w:val="es-ES"/>
              </w:rPr>
              <w:t xml:space="preserve"> 2017</w:t>
            </w:r>
          </w:p>
          <w:p w:rsidR="007C51E6" w:rsidRDefault="007C51E6" w:rsidP="002E6D12">
            <w:pPr>
              <w:spacing w:before="240"/>
              <w:rPr>
                <w:lang w:val="es-ES"/>
              </w:rPr>
            </w:pPr>
            <w:r>
              <w:rPr>
                <w:lang w:val="es-ES"/>
              </w:rPr>
              <w:t>Español</w:t>
            </w:r>
            <w:r w:rsidRPr="000D22CD">
              <w:rPr>
                <w:lang w:val="es-ES"/>
              </w:rPr>
              <w:t xml:space="preserve"> </w:t>
            </w:r>
            <w:r>
              <w:rPr>
                <w:lang w:val="es-ES"/>
              </w:rPr>
              <w:br/>
            </w:r>
            <w:r w:rsidRPr="000D22CD">
              <w:rPr>
                <w:lang w:val="es-ES"/>
              </w:rPr>
              <w:t xml:space="preserve">Original: </w:t>
            </w:r>
            <w:r>
              <w:rPr>
                <w:lang w:val="es-ES"/>
              </w:rPr>
              <w:t>inglés</w:t>
            </w:r>
          </w:p>
          <w:p w:rsidR="007C51E6" w:rsidRPr="000D22CD" w:rsidRDefault="007C51E6" w:rsidP="002E6D12">
            <w:pPr>
              <w:spacing w:before="240"/>
              <w:rPr>
                <w:lang w:val="es-ES"/>
              </w:rPr>
            </w:pPr>
          </w:p>
        </w:tc>
      </w:tr>
    </w:tbl>
    <w:p w:rsidR="007C51E6" w:rsidRPr="003D33C0" w:rsidRDefault="007C51E6" w:rsidP="007C51E6">
      <w:pPr>
        <w:pStyle w:val="AATitle"/>
        <w:rPr>
          <w:lang w:val="es-ES"/>
        </w:rPr>
      </w:pPr>
      <w:r>
        <w:rPr>
          <w:lang w:val="es-ES"/>
        </w:rPr>
        <w:t>Conferencia de las Partes en el Convenio de Minamata sobre el Mercurio</w:t>
      </w:r>
    </w:p>
    <w:p w:rsidR="007C51E6" w:rsidRPr="003D76A2" w:rsidRDefault="007C51E6" w:rsidP="007C51E6">
      <w:pPr>
        <w:pStyle w:val="AATitle"/>
        <w:rPr>
          <w:lang w:val="es-ES"/>
        </w:rPr>
      </w:pPr>
      <w:r>
        <w:rPr>
          <w:lang w:val="es-ES"/>
        </w:rPr>
        <w:t>Primera reunión</w:t>
      </w:r>
    </w:p>
    <w:p w:rsidR="00E976AB" w:rsidRPr="00665AB4" w:rsidRDefault="00787688" w:rsidP="00CA170B">
      <w:pPr>
        <w:pStyle w:val="AATitle"/>
        <w:rPr>
          <w:b w:val="0"/>
          <w:lang w:val="es-ES"/>
        </w:rPr>
      </w:pPr>
      <w:r w:rsidRPr="00665AB4">
        <w:rPr>
          <w:b w:val="0"/>
          <w:lang w:val="es-ES"/>
        </w:rPr>
        <w:t>Ginebra, 24 a 29 de septiembre de 2017</w:t>
      </w:r>
    </w:p>
    <w:p w:rsidR="00C20379" w:rsidRPr="00665AB4" w:rsidRDefault="00C20379" w:rsidP="00C20379">
      <w:pPr>
        <w:pStyle w:val="AATitle"/>
        <w:keepNext w:val="0"/>
        <w:keepLines w:val="0"/>
        <w:rPr>
          <w:b w:val="0"/>
          <w:lang w:val="es-ES"/>
        </w:rPr>
      </w:pPr>
      <w:r w:rsidRPr="00665AB4">
        <w:rPr>
          <w:b w:val="0"/>
          <w:lang w:val="es-ES"/>
        </w:rPr>
        <w:t>Tema 6 h) del programa provisional</w:t>
      </w:r>
      <w:r w:rsidRPr="00665AB4">
        <w:rPr>
          <w:b w:val="0"/>
          <w:lang w:val="es-ES"/>
        </w:rPr>
        <w:footnoteReference w:customMarkFollows="1" w:id="1"/>
        <w:t>*</w:t>
      </w:r>
    </w:p>
    <w:p w:rsidR="00C20379" w:rsidRPr="00665AB4" w:rsidRDefault="00C20379" w:rsidP="00C510F4">
      <w:pPr>
        <w:pStyle w:val="AATitle2"/>
        <w:rPr>
          <w:lang w:val="es-ES"/>
        </w:rPr>
      </w:pPr>
      <w:r>
        <w:rPr>
          <w:lang w:val="es-ES"/>
        </w:rPr>
        <w:t>Cuestiones estipuladas por el Convenio para la adopción de medidas por la Conferencia de las Partes: definición de los umbrales de desechos de mercurio a que se hace referencia en el párrafo 2 del artículo 11</w:t>
      </w:r>
    </w:p>
    <w:p w:rsidR="0015219A" w:rsidRPr="00665AB4" w:rsidRDefault="0015219A" w:rsidP="00EC0F68">
      <w:pPr>
        <w:pStyle w:val="BBTitle"/>
        <w:rPr>
          <w:lang w:val="es-ES"/>
        </w:rPr>
      </w:pPr>
      <w:r>
        <w:rPr>
          <w:lang w:val="es-ES"/>
        </w:rPr>
        <w:t xml:space="preserve">Recopilación de información adicional sobre el uso de los umbrales de desechos de mercurio </w:t>
      </w:r>
    </w:p>
    <w:p w:rsidR="007D6CD3" w:rsidRDefault="00BB465F" w:rsidP="00EC0F68">
      <w:pPr>
        <w:pStyle w:val="BBTitle"/>
        <w:rPr>
          <w:lang w:val="es-ES"/>
        </w:rPr>
      </w:pPr>
      <w:r>
        <w:rPr>
          <w:lang w:val="es-ES"/>
        </w:rPr>
        <w:t>Adición</w:t>
      </w:r>
    </w:p>
    <w:p w:rsidR="00BB465F" w:rsidRPr="00665AB4" w:rsidRDefault="00BB465F" w:rsidP="00EC0F68">
      <w:pPr>
        <w:pStyle w:val="BBTitle"/>
        <w:rPr>
          <w:lang w:val="es-ES"/>
        </w:rPr>
      </w:pPr>
      <w:r>
        <w:rPr>
          <w:lang w:val="es-ES"/>
        </w:rPr>
        <w:t xml:space="preserve">Decisión en relación con el artículo 11 remitida </w:t>
      </w:r>
      <w:r w:rsidR="00665AB4">
        <w:rPr>
          <w:lang w:val="es-ES"/>
        </w:rPr>
        <w:t>por</w:t>
      </w:r>
      <w:r>
        <w:rPr>
          <w:lang w:val="es-ES"/>
        </w:rPr>
        <w:t xml:space="preserve"> el</w:t>
      </w:r>
      <w:r w:rsidR="002E6D12">
        <w:rPr>
          <w:lang w:val="es-ES"/>
        </w:rPr>
        <w:t> </w:t>
      </w:r>
      <w:r>
        <w:rPr>
          <w:lang w:val="es-ES"/>
        </w:rPr>
        <w:t xml:space="preserve">séptimo período de sesiones del Comité </w:t>
      </w:r>
      <w:r w:rsidR="00F83D08">
        <w:rPr>
          <w:lang w:val="es-ES"/>
        </w:rPr>
        <w:t>I</w:t>
      </w:r>
      <w:r w:rsidR="00665AB4">
        <w:rPr>
          <w:lang w:val="es-ES"/>
        </w:rPr>
        <w:t xml:space="preserve">ntergubernamental de </w:t>
      </w:r>
      <w:r w:rsidR="00F83D08">
        <w:rPr>
          <w:lang w:val="es-ES"/>
        </w:rPr>
        <w:t>N</w:t>
      </w:r>
      <w:r w:rsidR="00665AB4">
        <w:rPr>
          <w:lang w:val="es-ES"/>
        </w:rPr>
        <w:t>egociación</w:t>
      </w:r>
    </w:p>
    <w:p w:rsidR="0015219A" w:rsidRPr="00CD7E37" w:rsidRDefault="0015219A" w:rsidP="00EC0F68">
      <w:pPr>
        <w:pStyle w:val="CH2"/>
      </w:pPr>
      <w:r>
        <w:rPr>
          <w:lang w:val="es-ES"/>
        </w:rPr>
        <w:tab/>
      </w:r>
      <w:r>
        <w:rPr>
          <w:lang w:val="es-ES"/>
        </w:rPr>
        <w:tab/>
        <w:t>Nota de la secretaría</w:t>
      </w:r>
    </w:p>
    <w:p w:rsidR="00BB01AC" w:rsidRPr="00665AB4" w:rsidRDefault="00BB465F" w:rsidP="00BB465F">
      <w:pPr>
        <w:pStyle w:val="Normalnumber"/>
        <w:rPr>
          <w:lang w:val="es-ES"/>
        </w:rPr>
      </w:pPr>
      <w:r>
        <w:rPr>
          <w:lang w:val="es-ES"/>
        </w:rPr>
        <w:t xml:space="preserve">En el séptimo período de sesiones del Comité </w:t>
      </w:r>
      <w:r w:rsidR="00F83D08">
        <w:rPr>
          <w:lang w:val="es-ES"/>
        </w:rPr>
        <w:t>I</w:t>
      </w:r>
      <w:r>
        <w:rPr>
          <w:lang w:val="es-ES"/>
        </w:rPr>
        <w:t xml:space="preserve">ntergubernamental de </w:t>
      </w:r>
      <w:r w:rsidR="00F83D08">
        <w:rPr>
          <w:lang w:val="es-ES"/>
        </w:rPr>
        <w:t>N</w:t>
      </w:r>
      <w:r>
        <w:rPr>
          <w:lang w:val="es-ES"/>
        </w:rPr>
        <w:t xml:space="preserve">egociación encargado de elaborar un instrumento mundial jurídicamente vinculante sobre el mercurio, se presentó para su examen un proyecto de decisión sobre las cuestiones relativas al artículo 11 del Convenio sobre los desechos de mercurio. Tras un debate sobre la cuestión, </w:t>
      </w:r>
      <w:r w:rsidR="00F83D08">
        <w:rPr>
          <w:lang w:val="es-ES"/>
        </w:rPr>
        <w:t xml:space="preserve">no </w:t>
      </w:r>
      <w:r>
        <w:rPr>
          <w:lang w:val="es-ES"/>
        </w:rPr>
        <w:t xml:space="preserve">se llegó a ninguna conclusión definitiva acerca del texto. Por consiguiente, el Comité decidió que tanto el texto existente como el propuesto, que figura en el anexo XI del documento </w:t>
      </w:r>
      <w:proofErr w:type="gramStart"/>
      <w:r>
        <w:rPr>
          <w:lang w:val="es-ES"/>
        </w:rPr>
        <w:t>UNEP(</w:t>
      </w:r>
      <w:proofErr w:type="gramEnd"/>
      <w:r>
        <w:rPr>
          <w:lang w:val="es-ES"/>
        </w:rPr>
        <w:t>DTIE)/Hg/INC.7/22/Rev.1, se presentarán como alternativas para su examen por la Conferencia de las Partes en el Convenio de Minamata sobre el Mercurio</w:t>
      </w:r>
      <w:r w:rsidR="007D6CD3">
        <w:rPr>
          <w:lang w:val="es-ES"/>
        </w:rPr>
        <w:t xml:space="preserve"> en su primera reunión</w:t>
      </w:r>
      <w:r>
        <w:rPr>
          <w:lang w:val="es-ES"/>
        </w:rPr>
        <w:t xml:space="preserve">. El texto del proyecto de decisión figura en el anexo de la presente nota. </w:t>
      </w:r>
    </w:p>
    <w:p w:rsidR="00FB075B" w:rsidRPr="00665AB4" w:rsidRDefault="00885EE4" w:rsidP="0025525A">
      <w:pPr>
        <w:pStyle w:val="CH3"/>
        <w:rPr>
          <w:lang w:val="es-ES"/>
        </w:rPr>
      </w:pPr>
      <w:r>
        <w:rPr>
          <w:lang w:val="es-ES"/>
        </w:rPr>
        <w:tab/>
      </w:r>
      <w:r>
        <w:rPr>
          <w:lang w:val="es-ES"/>
        </w:rPr>
        <w:tab/>
        <w:t>Medida que podría adoptar la Conferencia de las Partes</w:t>
      </w:r>
    </w:p>
    <w:p w:rsidR="00BB01AC" w:rsidRPr="00665AB4" w:rsidRDefault="00803074" w:rsidP="00F8604C">
      <w:pPr>
        <w:pStyle w:val="Normalnumber"/>
        <w:tabs>
          <w:tab w:val="clear" w:pos="1134"/>
          <w:tab w:val="clear" w:pos="1247"/>
          <w:tab w:val="clear" w:pos="1814"/>
          <w:tab w:val="clear" w:pos="2381"/>
          <w:tab w:val="clear" w:pos="2948"/>
          <w:tab w:val="clear" w:pos="3515"/>
          <w:tab w:val="clear" w:pos="4082"/>
          <w:tab w:val="left" w:pos="624"/>
        </w:tabs>
        <w:rPr>
          <w:lang w:val="es-ES"/>
        </w:rPr>
      </w:pPr>
      <w:r>
        <w:rPr>
          <w:lang w:val="es-ES"/>
        </w:rPr>
        <w:t xml:space="preserve">La Conferencia tal vez deseará examinar el proyecto de decisión remitido por el Comité </w:t>
      </w:r>
      <w:r w:rsidR="00F83D08">
        <w:rPr>
          <w:lang w:val="es-ES"/>
        </w:rPr>
        <w:t>I</w:t>
      </w:r>
      <w:r>
        <w:rPr>
          <w:lang w:val="es-ES"/>
        </w:rPr>
        <w:t xml:space="preserve">ntergubernamental de </w:t>
      </w:r>
      <w:r w:rsidR="00F83D08">
        <w:rPr>
          <w:lang w:val="es-ES"/>
        </w:rPr>
        <w:t>N</w:t>
      </w:r>
      <w:r>
        <w:rPr>
          <w:lang w:val="es-ES"/>
        </w:rPr>
        <w:t xml:space="preserve">egociación </w:t>
      </w:r>
      <w:r w:rsidR="007D6CD3">
        <w:rPr>
          <w:lang w:val="es-ES"/>
        </w:rPr>
        <w:t xml:space="preserve">en su séptimo período de sesiones </w:t>
      </w:r>
      <w:r>
        <w:rPr>
          <w:lang w:val="es-ES"/>
        </w:rPr>
        <w:t>como parte de sus deliberaciones en relación con el artículo 11 del Convenio.</w:t>
      </w:r>
    </w:p>
    <w:p w:rsidR="0015219A" w:rsidRPr="00665AB4" w:rsidRDefault="0015219A" w:rsidP="0015219A">
      <w:pPr>
        <w:tabs>
          <w:tab w:val="left" w:pos="4082"/>
        </w:tabs>
        <w:spacing w:before="360" w:after="120"/>
        <w:rPr>
          <w:b/>
          <w:bCs/>
          <w:lang w:val="es-ES"/>
        </w:rPr>
        <w:sectPr w:rsidR="0015219A" w:rsidRPr="00665AB4" w:rsidSect="004300D6">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907" w:right="992" w:bottom="1418" w:left="1418" w:header="539" w:footer="975" w:gutter="0"/>
          <w:cols w:space="539"/>
          <w:titlePg/>
          <w:docGrid w:linePitch="360"/>
        </w:sectPr>
      </w:pPr>
    </w:p>
    <w:p w:rsidR="0015219A" w:rsidRPr="00665AB4" w:rsidRDefault="0015219A" w:rsidP="00EC0F68">
      <w:pPr>
        <w:pStyle w:val="ZZAnxheader"/>
        <w:rPr>
          <w:lang w:val="es-ES"/>
        </w:rPr>
      </w:pPr>
      <w:r>
        <w:rPr>
          <w:lang w:val="es-ES"/>
        </w:rPr>
        <w:lastRenderedPageBreak/>
        <w:t>Anexo</w:t>
      </w:r>
    </w:p>
    <w:p w:rsidR="00BB465F" w:rsidRPr="00665AB4" w:rsidRDefault="00BB465F" w:rsidP="00BB465F">
      <w:pPr>
        <w:pStyle w:val="ZZAnxtitle"/>
        <w:rPr>
          <w:lang w:val="es-ES"/>
        </w:rPr>
      </w:pPr>
      <w:r>
        <w:rPr>
          <w:lang w:val="es-ES"/>
        </w:rPr>
        <w:t>Texto propuesto para su aprobación por la Conferencia de las Partes en su primera reunión sobre el artículo 11, “Los desechos de mercurio”</w:t>
      </w:r>
    </w:p>
    <w:p w:rsidR="00BB465F" w:rsidRPr="00665AB4" w:rsidRDefault="00BB465F" w:rsidP="00BB465F">
      <w:pPr>
        <w:pStyle w:val="NormalNonumber"/>
        <w:rPr>
          <w:rStyle w:val="Inget"/>
          <w:lang w:val="es-ES"/>
        </w:rPr>
      </w:pPr>
      <w:r>
        <w:rPr>
          <w:lang w:val="es-ES"/>
        </w:rPr>
        <w:t>La Conferencia de las Partes en el Convenio de Basilea sobre el Control de los Movimientos Transfronterizos de los Desechos Peligrosos y su Eliminación ha preparado, bajo la dirección del Gobierno del Japón, directrices técnicas sobre el manejo ambientalmente racional de los desechos de mercurio. Las directrices fueron aprobadas el año pasado en la 12ª reunión de la Conferencia de las Partes en el Convenio de Basilea. Están listas para ser aplicadas. Es importante que se utilicen las directrices de manera coherente, a fin de asegurar la gestión racional de esos desechos peligrosos. Las Partes en el Convenio de Minamata deberían emplearlas en ese sentido y de conformidad con el Convenio de Minamata. En consecuencia, se propone el texto siguiente para una decisión sobre este asunto en la primera reunión de la Conferencia de las Partes en el Convenio de Minamata.</w:t>
      </w:r>
    </w:p>
    <w:p w:rsidR="00BB465F" w:rsidRPr="00D66653" w:rsidRDefault="00BB465F" w:rsidP="00BB465F">
      <w:pPr>
        <w:pStyle w:val="CH1"/>
      </w:pPr>
      <w:r>
        <w:rPr>
          <w:lang w:val="es-ES"/>
        </w:rPr>
        <w:tab/>
      </w:r>
      <w:r>
        <w:rPr>
          <w:lang w:val="es-ES"/>
        </w:rPr>
        <w:tab/>
        <w:t>La Conferencia de las Partes</w:t>
      </w:r>
    </w:p>
    <w:p w:rsidR="00BB465F" w:rsidRPr="00665AB4" w:rsidRDefault="00BB465F" w:rsidP="00BB465F">
      <w:pPr>
        <w:pStyle w:val="Normalnumber"/>
        <w:numPr>
          <w:ilvl w:val="0"/>
          <w:numId w:val="24"/>
        </w:numPr>
        <w:ind w:firstLine="625"/>
        <w:rPr>
          <w:rStyle w:val="Inget"/>
          <w:lang w:val="es-ES"/>
        </w:rPr>
      </w:pPr>
      <w:r w:rsidRPr="00665AB4">
        <w:rPr>
          <w:i/>
          <w:lang w:val="es-ES"/>
        </w:rPr>
        <w:t>Acoge con aprecio</w:t>
      </w:r>
      <w:r>
        <w:rPr>
          <w:lang w:val="es-ES"/>
        </w:rPr>
        <w:t xml:space="preserve"> la decisión BC-12/4 de la Conferencia de las Partes en el Convenio de Basilea sobre el Control de los Movimientos Transfronterizos de los Desechos Peligrosos y su Eliminación en relación con las directrices técnicas sobre el manejo ambientalmente racional de los desechos consistentes en mercurio o compuestos de mercurio, que los contengan o estén contaminados con ellos;</w:t>
      </w:r>
    </w:p>
    <w:p w:rsidR="00BB465F" w:rsidRPr="00665AB4" w:rsidRDefault="00BB465F" w:rsidP="00BB465F">
      <w:pPr>
        <w:pStyle w:val="Normalnumber"/>
        <w:numPr>
          <w:ilvl w:val="0"/>
          <w:numId w:val="24"/>
        </w:numPr>
        <w:ind w:firstLine="625"/>
        <w:rPr>
          <w:rStyle w:val="Inget"/>
          <w:lang w:val="es-ES"/>
        </w:rPr>
      </w:pPr>
      <w:r>
        <w:rPr>
          <w:lang w:val="es-ES"/>
        </w:rPr>
        <w:t>[</w:t>
      </w:r>
      <w:r w:rsidRPr="00665AB4">
        <w:rPr>
          <w:i/>
          <w:lang w:val="es-ES"/>
        </w:rPr>
        <w:t>Pide</w:t>
      </w:r>
      <w:r>
        <w:rPr>
          <w:lang w:val="es-ES"/>
        </w:rPr>
        <w:t xml:space="preserve"> a las Partes en el presente Convenio que son Parte en el Convenio de Basilea que apliquen esas directrices.</w:t>
      </w:r>
    </w:p>
    <w:p w:rsidR="00BB465F" w:rsidRPr="00665AB4" w:rsidRDefault="00BB465F" w:rsidP="00BB465F">
      <w:pPr>
        <w:pStyle w:val="Normalnumber"/>
        <w:numPr>
          <w:ilvl w:val="0"/>
          <w:numId w:val="24"/>
        </w:numPr>
        <w:ind w:firstLine="625"/>
        <w:rPr>
          <w:rStyle w:val="Inget"/>
          <w:lang w:val="es-ES"/>
        </w:rPr>
      </w:pPr>
      <w:r w:rsidRPr="00665AB4">
        <w:rPr>
          <w:i/>
          <w:lang w:val="es-ES"/>
        </w:rPr>
        <w:t>Invita</w:t>
      </w:r>
      <w:r>
        <w:rPr>
          <w:lang w:val="es-ES"/>
        </w:rPr>
        <w:t xml:space="preserve"> a las Partes en el presente Convenio que no son Parte en el Convenio de Basilea a que utilicen estas directrices como orientación.]</w:t>
      </w:r>
    </w:p>
    <w:p w:rsidR="00BB465F" w:rsidRPr="00665AB4" w:rsidRDefault="00BB465F" w:rsidP="004300D6">
      <w:pPr>
        <w:pStyle w:val="Normalnumber"/>
        <w:tabs>
          <w:tab w:val="clear" w:pos="1134"/>
          <w:tab w:val="clear" w:pos="1247"/>
          <w:tab w:val="clear" w:pos="1814"/>
          <w:tab w:val="clear" w:pos="2381"/>
          <w:tab w:val="clear" w:pos="2948"/>
          <w:tab w:val="clear" w:pos="3515"/>
          <w:tab w:val="clear" w:pos="4082"/>
          <w:tab w:val="num" w:pos="624"/>
        </w:tabs>
        <w:rPr>
          <w:rStyle w:val="Inget"/>
          <w:lang w:val="es-ES"/>
        </w:rPr>
      </w:pPr>
      <w:r>
        <w:rPr>
          <w:lang w:val="es-ES"/>
        </w:rPr>
        <w:t>[2.</w:t>
      </w:r>
      <w:r>
        <w:rPr>
          <w:lang w:val="es-ES"/>
        </w:rPr>
        <w:tab/>
      </w:r>
      <w:r w:rsidRPr="00665AB4">
        <w:rPr>
          <w:i/>
          <w:lang w:val="es-ES"/>
        </w:rPr>
        <w:t>Recue</w:t>
      </w:r>
      <w:bookmarkStart w:id="0" w:name="_GoBack"/>
      <w:bookmarkEnd w:id="0"/>
      <w:r w:rsidRPr="00665AB4">
        <w:rPr>
          <w:i/>
          <w:lang w:val="es-ES"/>
        </w:rPr>
        <w:t>rda</w:t>
      </w:r>
      <w:r>
        <w:rPr>
          <w:lang w:val="es-ES"/>
        </w:rPr>
        <w:t xml:space="preserve"> que en el artículo 11 del Convenio de Minamata se pide a las Partes en el Convenio de Minamata que son Parte en el Convenio de Basilea que apliquen las directrices mencionadas en el párrafo anterior e invita a las Partes en el Convenio de Minamata que no son Parte en el Convenio de Basilea a utilizar las directrices como orientación.]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9"/>
        <w:gridCol w:w="1959"/>
        <w:gridCol w:w="1959"/>
        <w:gridCol w:w="1960"/>
        <w:gridCol w:w="1960"/>
      </w:tblGrid>
      <w:tr w:rsidR="004300D6" w:rsidRPr="003E1C12" w:rsidTr="004300D6">
        <w:tc>
          <w:tcPr>
            <w:tcW w:w="1959" w:type="dxa"/>
          </w:tcPr>
          <w:p w:rsidR="004300D6" w:rsidRPr="00665AB4" w:rsidRDefault="004300D6" w:rsidP="004300D6">
            <w:pPr>
              <w:pStyle w:val="Normal-pool"/>
              <w:spacing w:before="520"/>
              <w:rPr>
                <w:lang w:val="es-ES"/>
              </w:rPr>
            </w:pPr>
          </w:p>
        </w:tc>
        <w:tc>
          <w:tcPr>
            <w:tcW w:w="1959" w:type="dxa"/>
          </w:tcPr>
          <w:p w:rsidR="004300D6" w:rsidRPr="00665AB4" w:rsidRDefault="004300D6" w:rsidP="004300D6">
            <w:pPr>
              <w:pStyle w:val="Normal-pool"/>
              <w:spacing w:before="520"/>
              <w:rPr>
                <w:lang w:val="es-ES"/>
              </w:rPr>
            </w:pPr>
          </w:p>
        </w:tc>
        <w:tc>
          <w:tcPr>
            <w:tcW w:w="1959" w:type="dxa"/>
            <w:tcBorders>
              <w:bottom w:val="single" w:sz="4" w:space="0" w:color="auto"/>
            </w:tcBorders>
          </w:tcPr>
          <w:p w:rsidR="004300D6" w:rsidRPr="00665AB4" w:rsidRDefault="004300D6" w:rsidP="004300D6">
            <w:pPr>
              <w:pStyle w:val="Normal-pool"/>
              <w:spacing w:before="520"/>
              <w:rPr>
                <w:lang w:val="es-ES"/>
              </w:rPr>
            </w:pPr>
          </w:p>
        </w:tc>
        <w:tc>
          <w:tcPr>
            <w:tcW w:w="1960" w:type="dxa"/>
          </w:tcPr>
          <w:p w:rsidR="004300D6" w:rsidRPr="00665AB4" w:rsidRDefault="004300D6" w:rsidP="004300D6">
            <w:pPr>
              <w:pStyle w:val="Normal-pool"/>
              <w:spacing w:before="520"/>
              <w:rPr>
                <w:lang w:val="es-ES"/>
              </w:rPr>
            </w:pPr>
          </w:p>
        </w:tc>
        <w:tc>
          <w:tcPr>
            <w:tcW w:w="1960" w:type="dxa"/>
          </w:tcPr>
          <w:p w:rsidR="004300D6" w:rsidRPr="00665AB4" w:rsidRDefault="004300D6" w:rsidP="004300D6">
            <w:pPr>
              <w:pStyle w:val="Normal-pool"/>
              <w:spacing w:before="520"/>
              <w:rPr>
                <w:lang w:val="es-ES"/>
              </w:rPr>
            </w:pPr>
          </w:p>
        </w:tc>
      </w:tr>
    </w:tbl>
    <w:p w:rsidR="00BB465F" w:rsidRPr="00665AB4" w:rsidRDefault="00BB465F" w:rsidP="004300D6">
      <w:pPr>
        <w:pStyle w:val="Normal-pool"/>
        <w:rPr>
          <w:lang w:val="es-ES"/>
        </w:rPr>
      </w:pPr>
    </w:p>
    <w:sectPr w:rsidR="00BB465F" w:rsidRPr="00665AB4" w:rsidSect="004300D6">
      <w:headerReference w:type="even" r:id="rId18"/>
      <w:headerReference w:type="default" r:id="rId19"/>
      <w:footerReference w:type="even" r:id="rId20"/>
      <w:footerReference w:type="default" r:id="rId21"/>
      <w:headerReference w:type="first" r:id="rId22"/>
      <w:footerReference w:type="first" r:id="rId23"/>
      <w:pgSz w:w="11906" w:h="16838" w:code="9"/>
      <w:pgMar w:top="992" w:right="1418" w:bottom="1418" w:left="907" w:header="539" w:footer="975" w:gutter="0"/>
      <w:cols w:space="53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910" w:rsidRDefault="00C44910">
      <w:r>
        <w:separator/>
      </w:r>
    </w:p>
  </w:endnote>
  <w:endnote w:type="continuationSeparator" w:id="0">
    <w:p w:rsidR="00C44910" w:rsidRDefault="00C44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D12" w:rsidRDefault="002E6D12">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D12" w:rsidRDefault="002E6D12"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D12" w:rsidRPr="00F83D08" w:rsidRDefault="002E6D12">
    <w:pPr>
      <w:pStyle w:val="Footer"/>
      <w:rPr>
        <w:sz w:val="20"/>
      </w:rPr>
    </w:pPr>
    <w:r w:rsidRPr="00F83D08">
      <w:rPr>
        <w:sz w:val="20"/>
        <w:lang w:val="es-ES"/>
      </w:rPr>
      <w:t>K1707181</w:t>
    </w:r>
    <w:r w:rsidRPr="00F83D08">
      <w:rPr>
        <w:sz w:val="20"/>
        <w:lang w:val="es-ES"/>
      </w:rPr>
      <w:tab/>
    </w:r>
    <w:r w:rsidR="0052356B">
      <w:rPr>
        <w:sz w:val="20"/>
        <w:lang w:val="es-ES"/>
      </w:rPr>
      <w:t>15</w:t>
    </w:r>
    <w:r w:rsidRPr="00F83D08">
      <w:rPr>
        <w:sz w:val="20"/>
        <w:lang w:val="es-ES"/>
      </w:rPr>
      <w:t>0817</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D12" w:rsidRDefault="002E6D12" w:rsidP="00EF11DA">
    <w:pPr>
      <w:pStyle w:val="Normal-pool"/>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D12" w:rsidRDefault="002E6D12" w:rsidP="00EF11DA">
    <w:pPr>
      <w:pStyle w:val="Normal-pool"/>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18"/>
        <w:szCs w:val="18"/>
      </w:rPr>
      <w:id w:val="-2030090927"/>
      <w:docPartObj>
        <w:docPartGallery w:val="Page Numbers (Bottom of Page)"/>
        <w:docPartUnique/>
      </w:docPartObj>
    </w:sdtPr>
    <w:sdtEndPr>
      <w:rPr>
        <w:noProof/>
      </w:rPr>
    </w:sdtEndPr>
    <w:sdtContent>
      <w:p w:rsidR="002E6D12" w:rsidRPr="00EF11DA" w:rsidRDefault="002E6D12" w:rsidP="00EF11DA">
        <w:pPr>
          <w:pStyle w:val="Normal-pool"/>
          <w:jc w:val="right"/>
          <w:rPr>
            <w:b/>
            <w:sz w:val="18"/>
            <w:szCs w:val="18"/>
          </w:rPr>
        </w:pPr>
        <w:r w:rsidRPr="00EF11DA">
          <w:rPr>
            <w:b/>
            <w:sz w:val="18"/>
            <w:szCs w:val="18"/>
          </w:rPr>
          <w:fldChar w:fldCharType="begin"/>
        </w:r>
        <w:r w:rsidRPr="00EF11DA">
          <w:rPr>
            <w:b/>
            <w:sz w:val="18"/>
            <w:szCs w:val="18"/>
          </w:rPr>
          <w:instrText xml:space="preserve"> PAGE   \* MERGEFORMAT </w:instrText>
        </w:r>
        <w:r w:rsidRPr="00EF11DA">
          <w:rPr>
            <w:b/>
            <w:sz w:val="18"/>
            <w:szCs w:val="18"/>
          </w:rPr>
          <w:fldChar w:fldCharType="separate"/>
        </w:r>
        <w:r w:rsidR="003E1C12">
          <w:rPr>
            <w:b/>
            <w:noProof/>
            <w:sz w:val="18"/>
            <w:szCs w:val="18"/>
          </w:rPr>
          <w:t>2</w:t>
        </w:r>
        <w:r w:rsidRPr="00EF11DA">
          <w:rPr>
            <w:b/>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910" w:rsidRPr="00EC0F68" w:rsidRDefault="00C44910" w:rsidP="00EC0F68">
      <w:pPr>
        <w:tabs>
          <w:tab w:val="clear" w:pos="1247"/>
          <w:tab w:val="clear" w:pos="1814"/>
          <w:tab w:val="clear" w:pos="2381"/>
          <w:tab w:val="clear" w:pos="2948"/>
          <w:tab w:val="clear" w:pos="3515"/>
          <w:tab w:val="left" w:pos="624"/>
        </w:tabs>
        <w:spacing w:before="60"/>
        <w:ind w:left="624"/>
        <w:rPr>
          <w:sz w:val="18"/>
          <w:szCs w:val="18"/>
        </w:rPr>
      </w:pPr>
      <w:r w:rsidRPr="00EC0F68">
        <w:rPr>
          <w:sz w:val="18"/>
          <w:szCs w:val="18"/>
        </w:rPr>
        <w:separator/>
      </w:r>
    </w:p>
  </w:footnote>
  <w:footnote w:type="continuationSeparator" w:id="0">
    <w:p w:rsidR="00C44910" w:rsidRDefault="00C44910">
      <w:r>
        <w:continuationSeparator/>
      </w:r>
    </w:p>
  </w:footnote>
  <w:footnote w:id="1">
    <w:p w:rsidR="002E6D12" w:rsidRPr="00F83D08" w:rsidRDefault="002E6D12" w:rsidP="0025525A">
      <w:pPr>
        <w:tabs>
          <w:tab w:val="clear" w:pos="1247"/>
          <w:tab w:val="clear" w:pos="1814"/>
          <w:tab w:val="clear" w:pos="2381"/>
          <w:tab w:val="clear" w:pos="2948"/>
          <w:tab w:val="clear" w:pos="3515"/>
          <w:tab w:val="left" w:pos="624"/>
        </w:tabs>
        <w:spacing w:before="20" w:after="40"/>
        <w:ind w:left="1247"/>
        <w:rPr>
          <w:sz w:val="18"/>
          <w:szCs w:val="18"/>
        </w:rPr>
      </w:pPr>
      <w:r w:rsidRPr="00F83D08">
        <w:rPr>
          <w:sz w:val="18"/>
          <w:szCs w:val="18"/>
          <w:lang w:val="es-ES"/>
        </w:rPr>
        <w:t>* UNEP/MC/COP.1/1.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D12" w:rsidRPr="00592326" w:rsidRDefault="003E1C12" w:rsidP="00592326">
    <w:pPr>
      <w:pStyle w:val="Header"/>
      <w:rPr>
        <w:szCs w:val="18"/>
        <w:lang w:val="fr-CH"/>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906531" o:spid="_x0000_s2050" type="#_x0000_t136" style="position:absolute;margin-left:0;margin-top:0;width:520.65pt;height:148.75pt;rotation:315;z-index:-251655168;mso-position-horizontal:center;mso-position-horizontal-relative:margin;mso-position-vertical:center;mso-position-vertical-relative:margin" o:allowincell="f" fillcolor="silver" stroked="f">
          <v:textpath style="font-family:&quot;Times New Roman&quot;;font-size:1pt" string="ADVANCE"/>
          <w10:wrap anchorx="margin" anchory="margin"/>
        </v:shape>
      </w:pict>
    </w:r>
    <w:r w:rsidR="002E6D12" w:rsidRPr="00592326">
      <w:rPr>
        <w:bCs/>
        <w:szCs w:val="18"/>
        <w:lang w:val="fr-CH"/>
      </w:rPr>
      <w:t>UNEP</w:t>
    </w:r>
    <w:r w:rsidR="002E6D12" w:rsidRPr="00592326">
      <w:rPr>
        <w:szCs w:val="18"/>
        <w:lang w:val="fr-CH"/>
      </w:rPr>
      <w:t>/MC/COP.1/</w:t>
    </w:r>
    <w:r w:rsidR="002E6D12">
      <w:rPr>
        <w:szCs w:val="18"/>
        <w:lang w:val="fr-CH"/>
      </w:rPr>
      <w:t>26/Add.1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D12" w:rsidRPr="00CA5CA9" w:rsidRDefault="003E1C12" w:rsidP="00F43DA1">
    <w:pPr>
      <w:pStyle w:val="Header"/>
      <w:jc w:val="right"/>
      <w:rPr>
        <w:szCs w:val="1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906532" o:spid="_x0000_s2051" type="#_x0000_t136" style="position:absolute;left:0;text-align:left;margin-left:0;margin-top:0;width:520.65pt;height:148.75pt;rotation:315;z-index:-251653120;mso-position-horizontal:center;mso-position-horizontal-relative:margin;mso-position-vertical:center;mso-position-vertical-relative:margin" o:allowincell="f" fillcolor="silver" stroked="f">
          <v:textpath style="font-family:&quot;Times New Roman&quot;;font-size:1pt" string="ADVANCE"/>
          <w10:wrap anchorx="margin" anchory="margin"/>
        </v:shape>
      </w:pict>
    </w:r>
    <w:r w:rsidR="002E6D12" w:rsidRPr="00CA5CA9">
      <w:rPr>
        <w:bCs/>
        <w:szCs w:val="18"/>
      </w:rPr>
      <w:t>UNEP</w:t>
    </w:r>
    <w:r w:rsidR="002E6D12">
      <w:rPr>
        <w:szCs w:val="18"/>
      </w:rPr>
      <w:t>(DTIE)/Hg/INC.7</w:t>
    </w:r>
    <w:r w:rsidR="002E6D12" w:rsidRPr="00CA5CA9">
      <w:rPr>
        <w:szCs w:val="18"/>
      </w:rPr>
      <w:t>/</w:t>
    </w:r>
    <w:r w:rsidR="002E6D12">
      <w:rPr>
        <w:szCs w:val="18"/>
      </w:rPr>
      <w:t>19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D12" w:rsidRPr="00202268" w:rsidRDefault="002E6D12" w:rsidP="00F43DA1">
    <w:pPr>
      <w:pStyle w:val="Header"/>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D12" w:rsidRPr="00CA5CA9" w:rsidRDefault="003E1C12" w:rsidP="001646EA">
    <w:pPr>
      <w:pStyle w:val="Header"/>
      <w:rPr>
        <w:szCs w:val="1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906534" o:spid="_x0000_s2053" type="#_x0000_t136" style="position:absolute;margin-left:0;margin-top:0;width:520.65pt;height:148.75pt;rotation:315;z-index:-251649024;mso-position-horizontal:center;mso-position-horizontal-relative:margin;mso-position-vertical:center;mso-position-vertical-relative:margin" o:allowincell="f" fillcolor="silver" stroked="f">
          <v:textpath style="font-family:&quot;Times New Roman&quot;;font-size:1pt" string="ADVANCE"/>
          <w10:wrap anchorx="margin" anchory="margin"/>
        </v:shape>
      </w:pict>
    </w:r>
    <w:r w:rsidR="002E6D12" w:rsidRPr="00CA5CA9">
      <w:rPr>
        <w:bCs/>
        <w:szCs w:val="18"/>
      </w:rPr>
      <w:t>UNEP</w:t>
    </w:r>
    <w:r w:rsidR="002E6D12" w:rsidRPr="00CA5CA9">
      <w:rPr>
        <w:szCs w:val="18"/>
      </w:rPr>
      <w:t>/</w:t>
    </w:r>
    <w:r w:rsidR="002E6D12">
      <w:rPr>
        <w:szCs w:val="18"/>
      </w:rPr>
      <w:t>MC</w:t>
    </w:r>
    <w:r w:rsidR="002E6D12" w:rsidRPr="00CA5CA9">
      <w:rPr>
        <w:szCs w:val="18"/>
      </w:rPr>
      <w:t>/</w:t>
    </w:r>
    <w:r w:rsidR="002E6D12">
      <w:rPr>
        <w:szCs w:val="18"/>
      </w:rPr>
      <w:t>COP.1</w:t>
    </w:r>
    <w:r w:rsidR="002E6D12" w:rsidRPr="00CA5CA9">
      <w:rPr>
        <w:szCs w:val="18"/>
      </w:rPr>
      <w:t>/</w:t>
    </w:r>
    <w:r w:rsidR="002E6D12">
      <w:rPr>
        <w:szCs w:val="18"/>
      </w:rPr>
      <w:t>26</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D12" w:rsidRPr="00592326" w:rsidRDefault="003E1C12" w:rsidP="00592326">
    <w:pPr>
      <w:pStyle w:val="Header"/>
      <w:jc w:val="right"/>
      <w:rPr>
        <w:szCs w:val="18"/>
        <w:lang w:val="fr-CH"/>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906535" o:spid="_x0000_s2054" type="#_x0000_t136" style="position:absolute;left:0;text-align:left;margin-left:0;margin-top:0;width:520.65pt;height:148.75pt;rotation:315;z-index:-251646976;mso-position-horizontal:center;mso-position-horizontal-relative:margin;mso-position-vertical:center;mso-position-vertical-relative:margin" o:allowincell="f" fillcolor="silver" stroked="f">
          <v:textpath style="font-family:&quot;Times New Roman&quot;;font-size:1pt" string="ADVANCE"/>
          <w10:wrap anchorx="margin" anchory="margin"/>
        </v:shape>
      </w:pict>
    </w:r>
    <w:r w:rsidR="002E6D12" w:rsidRPr="00592326">
      <w:rPr>
        <w:bCs/>
        <w:szCs w:val="18"/>
        <w:lang w:val="fr-CH"/>
      </w:rPr>
      <w:t>UNEP</w:t>
    </w:r>
    <w:r w:rsidR="002E6D12" w:rsidRPr="00592326">
      <w:rPr>
        <w:szCs w:val="18"/>
        <w:lang w:val="fr-CH"/>
      </w:rPr>
      <w:t>/</w:t>
    </w:r>
    <w:r w:rsidR="002E6D12">
      <w:rPr>
        <w:szCs w:val="18"/>
        <w:lang w:val="fr-CH"/>
      </w:rPr>
      <w:t>MC</w:t>
    </w:r>
    <w:r w:rsidR="002E6D12" w:rsidRPr="00592326">
      <w:rPr>
        <w:szCs w:val="18"/>
        <w:lang w:val="fr-CH"/>
      </w:rPr>
      <w:t>/</w:t>
    </w:r>
    <w:r w:rsidR="002E6D12">
      <w:rPr>
        <w:szCs w:val="18"/>
        <w:lang w:val="fr-CH"/>
      </w:rPr>
      <w:t>COP.1/26</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D12" w:rsidRPr="00EF11DA" w:rsidRDefault="002E6D12" w:rsidP="00EF11DA">
    <w:pPr>
      <w:pStyle w:val="Header"/>
      <w:jc w:val="right"/>
      <w:rPr>
        <w:szCs w:val="18"/>
        <w:lang w:val="fr-CH"/>
      </w:rPr>
    </w:pPr>
    <w:r w:rsidRPr="00592326">
      <w:rPr>
        <w:bCs/>
        <w:szCs w:val="18"/>
        <w:lang w:val="fr-CH"/>
      </w:rPr>
      <w:t>UNEP</w:t>
    </w:r>
    <w:r w:rsidRPr="00592326">
      <w:rPr>
        <w:szCs w:val="18"/>
        <w:lang w:val="fr-CH"/>
      </w:rPr>
      <w:t>/MC/COP.1/</w:t>
    </w:r>
    <w:r>
      <w:rPr>
        <w:szCs w:val="18"/>
        <w:lang w:val="fr-CH"/>
      </w:rPr>
      <w:t>26/Add.1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65C4E"/>
    <w:multiLevelType w:val="hybridMultilevel"/>
    <w:tmpl w:val="E0581DCA"/>
    <w:lvl w:ilvl="0" w:tplc="04090001">
      <w:start w:val="1"/>
      <w:numFmt w:val="bullet"/>
      <w:lvlText w:val=""/>
      <w:lvlJc w:val="left"/>
      <w:pPr>
        <w:ind w:left="72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667EF1"/>
    <w:multiLevelType w:val="hybridMultilevel"/>
    <w:tmpl w:val="11904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7963C1"/>
    <w:multiLevelType w:val="hybridMultilevel"/>
    <w:tmpl w:val="652849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AD24F55"/>
    <w:multiLevelType w:val="hybridMultilevel"/>
    <w:tmpl w:val="65109BA6"/>
    <w:lvl w:ilvl="0" w:tplc="06900B56">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5">
    <w:nsid w:val="28C127C6"/>
    <w:multiLevelType w:val="multilevel"/>
    <w:tmpl w:val="4D36A53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854"/>
        </w:tabs>
        <w:ind w:left="1494" w:hanging="360"/>
      </w:pPr>
      <w:rPr>
        <w:rFonts w:ascii="Times New Roman" w:hAnsi="Times New Roman" w:hint="default"/>
        <w:b w:val="0"/>
        <w:i w:val="0"/>
        <w:sz w:val="20"/>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2E3C001F"/>
    <w:multiLevelType w:val="hybridMultilevel"/>
    <w:tmpl w:val="932A34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8">
    <w:nsid w:val="3F154A84"/>
    <w:multiLevelType w:val="hybridMultilevel"/>
    <w:tmpl w:val="18B67C72"/>
    <w:lvl w:ilvl="0" w:tplc="08090011">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22E7D96"/>
    <w:multiLevelType w:val="hybridMultilevel"/>
    <w:tmpl w:val="0ABE5E9E"/>
    <w:lvl w:ilvl="0" w:tplc="96826D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A66A9D"/>
    <w:multiLevelType w:val="multilevel"/>
    <w:tmpl w:val="D07A6E4C"/>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1">
    <w:nsid w:val="5C932A35"/>
    <w:multiLevelType w:val="hybridMultilevel"/>
    <w:tmpl w:val="CCBAAB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5FE34526"/>
    <w:multiLevelType w:val="hybridMultilevel"/>
    <w:tmpl w:val="D07A6E4C"/>
    <w:numStyleLink w:val="Normallist"/>
  </w:abstractNum>
  <w:abstractNum w:abstractNumId="13">
    <w:nsid w:val="68444F34"/>
    <w:multiLevelType w:val="hybridMultilevel"/>
    <w:tmpl w:val="868ACE82"/>
    <w:lvl w:ilvl="0" w:tplc="EAFE9C00">
      <w:start w:val="1"/>
      <w:numFmt w:val="low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B50E98"/>
    <w:multiLevelType w:val="hybridMultilevel"/>
    <w:tmpl w:val="17BCCCCE"/>
    <w:lvl w:ilvl="0" w:tplc="B792DDCE">
      <w:start w:val="1"/>
      <w:numFmt w:val="low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557A96"/>
    <w:multiLevelType w:val="hybridMultilevel"/>
    <w:tmpl w:val="65109BA6"/>
    <w:lvl w:ilvl="0" w:tplc="06900B56">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74C16823"/>
    <w:multiLevelType w:val="hybridMultilevel"/>
    <w:tmpl w:val="C1DCBB0E"/>
    <w:lvl w:ilvl="0" w:tplc="04090017">
      <w:start w:val="1"/>
      <w:numFmt w:val="lowerLetter"/>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76253511"/>
    <w:multiLevelType w:val="hybridMultilevel"/>
    <w:tmpl w:val="CB0E7BD2"/>
    <w:lvl w:ilvl="0" w:tplc="08090011">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69F0E09"/>
    <w:multiLevelType w:val="hybridMultilevel"/>
    <w:tmpl w:val="4CFCEB4C"/>
    <w:lvl w:ilvl="0" w:tplc="04090017">
      <w:start w:val="1"/>
      <w:numFmt w:val="low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num>
  <w:num w:numId="2">
    <w:abstractNumId w:val="4"/>
  </w:num>
  <w:num w:numId="3">
    <w:abstractNumId w:val="7"/>
  </w:num>
  <w:num w:numId="4">
    <w:abstractNumId w:val="10"/>
  </w:num>
  <w:num w:numId="5">
    <w:abstractNumId w:val="10"/>
  </w:num>
  <w:num w:numId="6">
    <w:abstractNumId w:val="5"/>
  </w:num>
  <w:num w:numId="7">
    <w:abstractNumId w:val="9"/>
  </w:num>
  <w:num w:numId="8">
    <w:abstractNumId w:val="12"/>
  </w:num>
  <w:num w:numId="9">
    <w:abstractNumId w:val="3"/>
  </w:num>
  <w:num w:numId="10">
    <w:abstractNumId w:val="15"/>
  </w:num>
  <w:num w:numId="11">
    <w:abstractNumId w:val="17"/>
  </w:num>
  <w:num w:numId="12">
    <w:abstractNumId w:val="8"/>
  </w:num>
  <w:num w:numId="13">
    <w:abstractNumId w:val="2"/>
  </w:num>
  <w:num w:numId="14">
    <w:abstractNumId w:val="11"/>
  </w:num>
  <w:num w:numId="15">
    <w:abstractNumId w:val="6"/>
  </w:num>
  <w:num w:numId="16">
    <w:abstractNumId w:val="1"/>
  </w:num>
  <w:num w:numId="17">
    <w:abstractNumId w:val="10"/>
    <w:lvlOverride w:ilvl="1">
      <w:lvl w:ilvl="1">
        <w:start w:val="1"/>
        <w:numFmt w:val="lowerLetter"/>
        <w:lvlText w:val="(%2)"/>
        <w:lvlJc w:val="left"/>
        <w:pPr>
          <w:tabs>
            <w:tab w:val="num" w:pos="1134"/>
          </w:tabs>
          <w:ind w:left="1247" w:firstLine="567"/>
        </w:pPr>
        <w:rPr>
          <w:rFonts w:hint="default"/>
        </w:rPr>
      </w:lvl>
    </w:lvlOverride>
  </w:num>
  <w:num w:numId="18">
    <w:abstractNumId w:val="10"/>
    <w:lvlOverride w:ilvl="1">
      <w:lvl w:ilvl="1">
        <w:start w:val="1"/>
        <w:numFmt w:val="lowerLetter"/>
        <w:lvlText w:val="(%2)"/>
        <w:lvlJc w:val="left"/>
        <w:pPr>
          <w:tabs>
            <w:tab w:val="num" w:pos="1134"/>
          </w:tabs>
          <w:ind w:left="1247" w:firstLine="567"/>
        </w:pPr>
        <w:rPr>
          <w:rFonts w:hint="default"/>
        </w:rPr>
      </w:lvl>
    </w:lvlOverride>
  </w:num>
  <w:num w:numId="19">
    <w:abstractNumId w:val="18"/>
  </w:num>
  <w:num w:numId="20">
    <w:abstractNumId w:val="16"/>
  </w:num>
  <w:num w:numId="21">
    <w:abstractNumId w:val="14"/>
  </w:num>
  <w:num w:numId="22">
    <w:abstractNumId w:val="13"/>
  </w:num>
  <w:num w:numId="23">
    <w:abstractNumId w:val="0"/>
  </w:num>
  <w:num w:numId="24">
    <w:abstractNumId w:val="12"/>
    <w:lvlOverride w:ilvl="0">
      <w:startOverride w:val="1"/>
      <w:lvl w:ilvl="0" w:tplc="20A6D090">
        <w:start w:val="1"/>
        <w:numFmt w:val="decimal"/>
        <w:lvlText w:val="%1."/>
        <w:lvlJc w:val="left"/>
        <w:pPr>
          <w:tabs>
            <w:tab w:val="left" w:pos="624"/>
            <w:tab w:val="left" w:pos="1134"/>
            <w:tab w:val="num" w:pos="1872"/>
          </w:tabs>
          <w:ind w:left="124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1">
      <w:startOverride w:val="1"/>
      <w:lvl w:ilvl="1" w:tplc="E2C88EC8">
        <w:start w:val="1"/>
        <w:numFmt w:val="lowerLetter"/>
        <w:lvlText w:val="(%2)"/>
        <w:lvlJc w:val="left"/>
        <w:pPr>
          <w:tabs>
            <w:tab w:val="left" w:pos="624"/>
            <w:tab w:val="left" w:pos="1134"/>
            <w:tab w:val="num" w:pos="1872"/>
          </w:tabs>
          <w:ind w:left="1247" w:hanging="5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2">
      <w:startOverride w:val="1"/>
      <w:lvl w:ilvl="2" w:tplc="31422678">
        <w:start w:val="1"/>
        <w:numFmt w:val="lowerRoman"/>
        <w:lvlText w:val="(%3)"/>
        <w:lvlJc w:val="left"/>
        <w:pPr>
          <w:tabs>
            <w:tab w:val="left" w:pos="624"/>
            <w:tab w:val="left" w:pos="1134"/>
            <w:tab w:val="num" w:pos="3573"/>
          </w:tabs>
          <w:ind w:left="2948" w:firstLine="58"/>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3">
      <w:startOverride w:val="1"/>
      <w:lvl w:ilvl="3" w:tplc="3E22EFDA">
        <w:start w:val="1"/>
        <w:numFmt w:val="lowerLetter"/>
        <w:lvlText w:val="%4."/>
        <w:lvlJc w:val="left"/>
        <w:pPr>
          <w:tabs>
            <w:tab w:val="left" w:pos="624"/>
            <w:tab w:val="left" w:pos="1134"/>
            <w:tab w:val="num" w:pos="4140"/>
          </w:tabs>
          <w:ind w:left="3515" w:firstLine="58"/>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4">
      <w:startOverride w:val="1"/>
      <w:lvl w:ilvl="4" w:tplc="4198E68C">
        <w:start w:val="1"/>
        <w:numFmt w:val="lowerRoman"/>
        <w:lvlText w:val="%5."/>
        <w:lvlJc w:val="left"/>
        <w:pPr>
          <w:tabs>
            <w:tab w:val="left" w:pos="624"/>
            <w:tab w:val="left" w:pos="1134"/>
            <w:tab w:val="num" w:pos="4707"/>
          </w:tabs>
          <w:ind w:left="4082" w:firstLine="58"/>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5">
      <w:startOverride w:val="1"/>
      <w:lvl w:ilvl="5" w:tplc="22769272">
        <w:start w:val="1"/>
        <w:numFmt w:val="lowerRoman"/>
        <w:lvlText w:val="%6."/>
        <w:lvlJc w:val="left"/>
        <w:pPr>
          <w:tabs>
            <w:tab w:val="left" w:pos="624"/>
            <w:tab w:val="left" w:pos="1134"/>
            <w:tab w:val="num" w:pos="8460"/>
          </w:tabs>
          <w:ind w:left="7835" w:firstLine="358"/>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6">
      <w:startOverride w:val="1"/>
      <w:lvl w:ilvl="6" w:tplc="BBD2EE0C">
        <w:start w:val="1"/>
        <w:numFmt w:val="decimal"/>
        <w:lvlText w:val="%7."/>
        <w:lvlJc w:val="left"/>
        <w:pPr>
          <w:tabs>
            <w:tab w:val="left" w:pos="624"/>
            <w:tab w:val="left" w:pos="1134"/>
            <w:tab w:val="num" w:pos="9180"/>
          </w:tabs>
          <w:ind w:left="8555" w:firstLine="265"/>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7">
      <w:startOverride w:val="1"/>
      <w:lvl w:ilvl="7" w:tplc="ECA897D2">
        <w:start w:val="1"/>
        <w:numFmt w:val="lowerLetter"/>
        <w:lvlText w:val="%8."/>
        <w:lvlJc w:val="left"/>
        <w:pPr>
          <w:tabs>
            <w:tab w:val="left" w:pos="624"/>
            <w:tab w:val="left" w:pos="1134"/>
            <w:tab w:val="num" w:pos="9900"/>
          </w:tabs>
          <w:ind w:left="9275" w:firstLine="265"/>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8">
      <w:startOverride w:val="1"/>
      <w:lvl w:ilvl="8" w:tplc="FFE0CC10">
        <w:start w:val="1"/>
        <w:numFmt w:val="lowerRoman"/>
        <w:lvlText w:val="%9."/>
        <w:lvlJc w:val="left"/>
        <w:pPr>
          <w:tabs>
            <w:tab w:val="left" w:pos="624"/>
            <w:tab w:val="left" w:pos="1134"/>
            <w:tab w:val="num" w:pos="10620"/>
          </w:tabs>
          <w:ind w:left="9995" w:firstLine="358"/>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25">
    <w:abstractNumId w:val="10"/>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num>
  <w:num w:numId="26">
    <w:abstractNumId w:val="10"/>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activeWritingStyle w:appName="MSWord" w:lang="fr-FR" w:vendorID="64" w:dllVersion="0" w:nlCheck="1" w:checkStyle="1"/>
  <w:activeWritingStyle w:appName="MSWord" w:lang="en-US" w:vendorID="64" w:dllVersion="0" w:nlCheck="1" w:checkStyle="1"/>
  <w:activeWritingStyle w:appName="MSWord" w:lang="en-GB" w:vendorID="64" w:dllVersion="0" w:nlCheck="1" w:checkStyle="1"/>
  <w:activeWritingStyle w:appName="MSWord" w:lang="es-ES" w:vendorID="64" w:dllVersion="0" w:nlCheck="1" w:checkStyle="0"/>
  <w:activeWritingStyle w:appName="MSWord" w:lang="fr-CH" w:vendorID="64" w:dllVersion="0" w:nlCheck="1" w:checkStyle="0"/>
  <w:activeWritingStyle w:appName="MSWord" w:lang="zh-CN" w:vendorID="64" w:dllVersion="0" w:nlCheck="1" w:checkStyle="1"/>
  <w:activeWritingStyle w:appName="MSWord" w:lang="en-GB" w:vendorID="64" w:dllVersion="6" w:nlCheck="1" w:checkStyle="1"/>
  <w:activeWritingStyle w:appName="MSWord" w:lang="fr-CH" w:vendorID="64" w:dllVersion="6" w:nlCheck="1" w:checkStyle="1"/>
  <w:activeWritingStyle w:appName="MSWord" w:lang="es-ES" w:vendorID="64" w:dllVersion="6" w:nlCheck="1" w:checkStyle="1"/>
  <w:activeWritingStyle w:appName="MSWord" w:lang="es-ES" w:vendorID="64" w:dllVersion="131078" w:nlCheck="1" w:checkStyle="1"/>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markup="0" w:comments="0" w:insDel="0" w:formatting="0" w:inkAnnotations="0"/>
  <w:defaultTabStop w:val="624"/>
  <w:hyphenationZone w:val="425"/>
  <w:evenAndOddHeaders/>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D7F"/>
    <w:rsid w:val="00000E4A"/>
    <w:rsid w:val="00001974"/>
    <w:rsid w:val="000024A3"/>
    <w:rsid w:val="000114D1"/>
    <w:rsid w:val="000149E6"/>
    <w:rsid w:val="00023DA9"/>
    <w:rsid w:val="000247B0"/>
    <w:rsid w:val="00024BBF"/>
    <w:rsid w:val="00026997"/>
    <w:rsid w:val="00026A08"/>
    <w:rsid w:val="00032273"/>
    <w:rsid w:val="00032E4E"/>
    <w:rsid w:val="00033E0B"/>
    <w:rsid w:val="00035EDE"/>
    <w:rsid w:val="00047B5B"/>
    <w:rsid w:val="000509B4"/>
    <w:rsid w:val="0006035B"/>
    <w:rsid w:val="0006096F"/>
    <w:rsid w:val="000649C5"/>
    <w:rsid w:val="00071886"/>
    <w:rsid w:val="000742BC"/>
    <w:rsid w:val="00076CC6"/>
    <w:rsid w:val="00082A0C"/>
    <w:rsid w:val="00083504"/>
    <w:rsid w:val="00085D28"/>
    <w:rsid w:val="0009640C"/>
    <w:rsid w:val="000A47FF"/>
    <w:rsid w:val="000B22A2"/>
    <w:rsid w:val="000B3902"/>
    <w:rsid w:val="000B73F9"/>
    <w:rsid w:val="000C2A52"/>
    <w:rsid w:val="000D33C0"/>
    <w:rsid w:val="000D4CF6"/>
    <w:rsid w:val="000D6941"/>
    <w:rsid w:val="000E30E6"/>
    <w:rsid w:val="000F3A83"/>
    <w:rsid w:val="000F4829"/>
    <w:rsid w:val="000F738B"/>
    <w:rsid w:val="00111B4D"/>
    <w:rsid w:val="00112A4A"/>
    <w:rsid w:val="00113F26"/>
    <w:rsid w:val="001202E3"/>
    <w:rsid w:val="00123699"/>
    <w:rsid w:val="001241FB"/>
    <w:rsid w:val="0013059D"/>
    <w:rsid w:val="00135713"/>
    <w:rsid w:val="00136187"/>
    <w:rsid w:val="00141A55"/>
    <w:rsid w:val="0014293F"/>
    <w:rsid w:val="0014397D"/>
    <w:rsid w:val="001446A3"/>
    <w:rsid w:val="0015219A"/>
    <w:rsid w:val="00152B6B"/>
    <w:rsid w:val="00155395"/>
    <w:rsid w:val="00156B6B"/>
    <w:rsid w:val="00160D74"/>
    <w:rsid w:val="0016317F"/>
    <w:rsid w:val="001646EA"/>
    <w:rsid w:val="00167D02"/>
    <w:rsid w:val="00174BC7"/>
    <w:rsid w:val="001759D8"/>
    <w:rsid w:val="00177D7F"/>
    <w:rsid w:val="00180C3F"/>
    <w:rsid w:val="00181EC8"/>
    <w:rsid w:val="00184349"/>
    <w:rsid w:val="00195F33"/>
    <w:rsid w:val="00197237"/>
    <w:rsid w:val="001B1617"/>
    <w:rsid w:val="001B504B"/>
    <w:rsid w:val="001B6F98"/>
    <w:rsid w:val="001C191A"/>
    <w:rsid w:val="001D3874"/>
    <w:rsid w:val="001D7E75"/>
    <w:rsid w:val="001E0D73"/>
    <w:rsid w:val="001E1EB3"/>
    <w:rsid w:val="001E2AC2"/>
    <w:rsid w:val="001E45BD"/>
    <w:rsid w:val="001E56D2"/>
    <w:rsid w:val="001E7D56"/>
    <w:rsid w:val="001F75DE"/>
    <w:rsid w:val="00200D58"/>
    <w:rsid w:val="002011C1"/>
    <w:rsid w:val="002013BE"/>
    <w:rsid w:val="00201EDC"/>
    <w:rsid w:val="002063A4"/>
    <w:rsid w:val="0021145B"/>
    <w:rsid w:val="00220C23"/>
    <w:rsid w:val="00223893"/>
    <w:rsid w:val="002247F6"/>
    <w:rsid w:val="00225E21"/>
    <w:rsid w:val="00234E78"/>
    <w:rsid w:val="00235811"/>
    <w:rsid w:val="00243D36"/>
    <w:rsid w:val="00246151"/>
    <w:rsid w:val="0024738B"/>
    <w:rsid w:val="00247707"/>
    <w:rsid w:val="0025525A"/>
    <w:rsid w:val="0026018E"/>
    <w:rsid w:val="0026449D"/>
    <w:rsid w:val="00280DB8"/>
    <w:rsid w:val="0028599B"/>
    <w:rsid w:val="00286740"/>
    <w:rsid w:val="00291EAE"/>
    <w:rsid w:val="002929D8"/>
    <w:rsid w:val="002A237D"/>
    <w:rsid w:val="002A4C53"/>
    <w:rsid w:val="002A7CF3"/>
    <w:rsid w:val="002B0672"/>
    <w:rsid w:val="002B1C41"/>
    <w:rsid w:val="002B247F"/>
    <w:rsid w:val="002B50D4"/>
    <w:rsid w:val="002C145D"/>
    <w:rsid w:val="002C2C3E"/>
    <w:rsid w:val="002C533E"/>
    <w:rsid w:val="002D027F"/>
    <w:rsid w:val="002D3E15"/>
    <w:rsid w:val="002D7A85"/>
    <w:rsid w:val="002D7B60"/>
    <w:rsid w:val="002E5832"/>
    <w:rsid w:val="002E6D12"/>
    <w:rsid w:val="002F3966"/>
    <w:rsid w:val="002F4761"/>
    <w:rsid w:val="002F5C79"/>
    <w:rsid w:val="002F68EE"/>
    <w:rsid w:val="003019E2"/>
    <w:rsid w:val="00310057"/>
    <w:rsid w:val="00310BEB"/>
    <w:rsid w:val="0031413F"/>
    <w:rsid w:val="00314854"/>
    <w:rsid w:val="003148BB"/>
    <w:rsid w:val="00314A45"/>
    <w:rsid w:val="00317976"/>
    <w:rsid w:val="00320F2F"/>
    <w:rsid w:val="00355EA9"/>
    <w:rsid w:val="003578DE"/>
    <w:rsid w:val="00361688"/>
    <w:rsid w:val="003877D5"/>
    <w:rsid w:val="003929B8"/>
    <w:rsid w:val="00396257"/>
    <w:rsid w:val="00397EB8"/>
    <w:rsid w:val="003A0B88"/>
    <w:rsid w:val="003A4FD0"/>
    <w:rsid w:val="003A69D1"/>
    <w:rsid w:val="003A7705"/>
    <w:rsid w:val="003A77F1"/>
    <w:rsid w:val="003B1545"/>
    <w:rsid w:val="003C2546"/>
    <w:rsid w:val="003C3219"/>
    <w:rsid w:val="003C409D"/>
    <w:rsid w:val="003C5583"/>
    <w:rsid w:val="003C5BA6"/>
    <w:rsid w:val="003C74CF"/>
    <w:rsid w:val="003D3752"/>
    <w:rsid w:val="003E15F1"/>
    <w:rsid w:val="003E1C12"/>
    <w:rsid w:val="003E35DA"/>
    <w:rsid w:val="003E455D"/>
    <w:rsid w:val="003E6A8E"/>
    <w:rsid w:val="003F0E85"/>
    <w:rsid w:val="003F32EA"/>
    <w:rsid w:val="003F3591"/>
    <w:rsid w:val="00404B2E"/>
    <w:rsid w:val="00410C55"/>
    <w:rsid w:val="00416854"/>
    <w:rsid w:val="00417725"/>
    <w:rsid w:val="004233E2"/>
    <w:rsid w:val="00426FB2"/>
    <w:rsid w:val="004300D6"/>
    <w:rsid w:val="00437F26"/>
    <w:rsid w:val="00444097"/>
    <w:rsid w:val="00445487"/>
    <w:rsid w:val="00447E0D"/>
    <w:rsid w:val="00452933"/>
    <w:rsid w:val="00454769"/>
    <w:rsid w:val="00466991"/>
    <w:rsid w:val="0047064C"/>
    <w:rsid w:val="004822B7"/>
    <w:rsid w:val="0049469E"/>
    <w:rsid w:val="004A2217"/>
    <w:rsid w:val="004A24F9"/>
    <w:rsid w:val="004A42E1"/>
    <w:rsid w:val="004A667A"/>
    <w:rsid w:val="004B162C"/>
    <w:rsid w:val="004B2ABE"/>
    <w:rsid w:val="004C3DBE"/>
    <w:rsid w:val="004C5C96"/>
    <w:rsid w:val="004D06A4"/>
    <w:rsid w:val="004E4EF1"/>
    <w:rsid w:val="004F1A81"/>
    <w:rsid w:val="005050D2"/>
    <w:rsid w:val="00514BEE"/>
    <w:rsid w:val="005208F1"/>
    <w:rsid w:val="005218D9"/>
    <w:rsid w:val="0052356B"/>
    <w:rsid w:val="00523A79"/>
    <w:rsid w:val="00536186"/>
    <w:rsid w:val="00544CBB"/>
    <w:rsid w:val="005644D3"/>
    <w:rsid w:val="005656D7"/>
    <w:rsid w:val="005675E8"/>
    <w:rsid w:val="0057315F"/>
    <w:rsid w:val="00576104"/>
    <w:rsid w:val="00590D73"/>
    <w:rsid w:val="00592326"/>
    <w:rsid w:val="00592B21"/>
    <w:rsid w:val="005B44BF"/>
    <w:rsid w:val="005C67C8"/>
    <w:rsid w:val="005C78D2"/>
    <w:rsid w:val="005D0249"/>
    <w:rsid w:val="005D04E8"/>
    <w:rsid w:val="005D18FA"/>
    <w:rsid w:val="005D4FD4"/>
    <w:rsid w:val="005D6E8C"/>
    <w:rsid w:val="005E3004"/>
    <w:rsid w:val="005F100C"/>
    <w:rsid w:val="005F34B7"/>
    <w:rsid w:val="005F68DA"/>
    <w:rsid w:val="00601BC9"/>
    <w:rsid w:val="0060773B"/>
    <w:rsid w:val="00613FD6"/>
    <w:rsid w:val="006157B5"/>
    <w:rsid w:val="00615A97"/>
    <w:rsid w:val="00617224"/>
    <w:rsid w:val="00626FC6"/>
    <w:rsid w:val="006303B4"/>
    <w:rsid w:val="00630ADC"/>
    <w:rsid w:val="00633D3D"/>
    <w:rsid w:val="006414DA"/>
    <w:rsid w:val="00641703"/>
    <w:rsid w:val="006431A6"/>
    <w:rsid w:val="00643E3A"/>
    <w:rsid w:val="006459F6"/>
    <w:rsid w:val="00646803"/>
    <w:rsid w:val="006501AD"/>
    <w:rsid w:val="00651BFA"/>
    <w:rsid w:val="00654475"/>
    <w:rsid w:val="00656DF0"/>
    <w:rsid w:val="00665A4B"/>
    <w:rsid w:val="00665AB4"/>
    <w:rsid w:val="006734DC"/>
    <w:rsid w:val="00673E24"/>
    <w:rsid w:val="00677EBB"/>
    <w:rsid w:val="00683158"/>
    <w:rsid w:val="00692E2A"/>
    <w:rsid w:val="006A76F2"/>
    <w:rsid w:val="006A7CA0"/>
    <w:rsid w:val="006C2FA4"/>
    <w:rsid w:val="006D19D4"/>
    <w:rsid w:val="006D7EFB"/>
    <w:rsid w:val="006D7FE0"/>
    <w:rsid w:val="006E6672"/>
    <w:rsid w:val="006E6722"/>
    <w:rsid w:val="006F6848"/>
    <w:rsid w:val="006F7AFF"/>
    <w:rsid w:val="007027B9"/>
    <w:rsid w:val="007066B5"/>
    <w:rsid w:val="007145DA"/>
    <w:rsid w:val="0071491A"/>
    <w:rsid w:val="00715E88"/>
    <w:rsid w:val="00734CAA"/>
    <w:rsid w:val="00735C09"/>
    <w:rsid w:val="00742680"/>
    <w:rsid w:val="00751B05"/>
    <w:rsid w:val="0075533C"/>
    <w:rsid w:val="00757581"/>
    <w:rsid w:val="007602F5"/>
    <w:rsid w:val="00760D36"/>
    <w:rsid w:val="007611A0"/>
    <w:rsid w:val="007674E3"/>
    <w:rsid w:val="00773E54"/>
    <w:rsid w:val="00787688"/>
    <w:rsid w:val="007935E6"/>
    <w:rsid w:val="00796D3F"/>
    <w:rsid w:val="007A1683"/>
    <w:rsid w:val="007A3C60"/>
    <w:rsid w:val="007A5C12"/>
    <w:rsid w:val="007A7CB0"/>
    <w:rsid w:val="007B143F"/>
    <w:rsid w:val="007B68A3"/>
    <w:rsid w:val="007C2541"/>
    <w:rsid w:val="007C51E6"/>
    <w:rsid w:val="007D66A8"/>
    <w:rsid w:val="007D6CD3"/>
    <w:rsid w:val="007E003F"/>
    <w:rsid w:val="007E1B83"/>
    <w:rsid w:val="007E793D"/>
    <w:rsid w:val="007F0CF8"/>
    <w:rsid w:val="007F1288"/>
    <w:rsid w:val="007F62CB"/>
    <w:rsid w:val="0080186F"/>
    <w:rsid w:val="00803074"/>
    <w:rsid w:val="008142EC"/>
    <w:rsid w:val="00815A43"/>
    <w:rsid w:val="008164F2"/>
    <w:rsid w:val="0082076E"/>
    <w:rsid w:val="00821395"/>
    <w:rsid w:val="00830E26"/>
    <w:rsid w:val="0083468E"/>
    <w:rsid w:val="00841C32"/>
    <w:rsid w:val="00843576"/>
    <w:rsid w:val="00843B64"/>
    <w:rsid w:val="00846B82"/>
    <w:rsid w:val="008478FC"/>
    <w:rsid w:val="00851C51"/>
    <w:rsid w:val="00862EC0"/>
    <w:rsid w:val="00867BFF"/>
    <w:rsid w:val="008711BF"/>
    <w:rsid w:val="00871542"/>
    <w:rsid w:val="00872BF6"/>
    <w:rsid w:val="00880DCA"/>
    <w:rsid w:val="0088480A"/>
    <w:rsid w:val="00885EE4"/>
    <w:rsid w:val="0088757A"/>
    <w:rsid w:val="00892ADF"/>
    <w:rsid w:val="0089431B"/>
    <w:rsid w:val="00895668"/>
    <w:rsid w:val="008957DD"/>
    <w:rsid w:val="00897D98"/>
    <w:rsid w:val="008A6DF2"/>
    <w:rsid w:val="008A7807"/>
    <w:rsid w:val="008B06CD"/>
    <w:rsid w:val="008B4CC9"/>
    <w:rsid w:val="008B74D2"/>
    <w:rsid w:val="008B7DFC"/>
    <w:rsid w:val="008C1B76"/>
    <w:rsid w:val="008C798B"/>
    <w:rsid w:val="008D75E4"/>
    <w:rsid w:val="008D7C99"/>
    <w:rsid w:val="008E0FCB"/>
    <w:rsid w:val="008F207F"/>
    <w:rsid w:val="008F6DFE"/>
    <w:rsid w:val="0090529F"/>
    <w:rsid w:val="0092178C"/>
    <w:rsid w:val="00930B88"/>
    <w:rsid w:val="00940DCC"/>
    <w:rsid w:val="0094179A"/>
    <w:rsid w:val="0094459E"/>
    <w:rsid w:val="00944DBC"/>
    <w:rsid w:val="009508ED"/>
    <w:rsid w:val="00950977"/>
    <w:rsid w:val="00951A7B"/>
    <w:rsid w:val="00955109"/>
    <w:rsid w:val="009564A6"/>
    <w:rsid w:val="00966A53"/>
    <w:rsid w:val="00967621"/>
    <w:rsid w:val="00967E6A"/>
    <w:rsid w:val="009907B9"/>
    <w:rsid w:val="00990918"/>
    <w:rsid w:val="009A04E4"/>
    <w:rsid w:val="009A3A83"/>
    <w:rsid w:val="009B4A0F"/>
    <w:rsid w:val="009C11D2"/>
    <w:rsid w:val="009C6C70"/>
    <w:rsid w:val="009C7B0A"/>
    <w:rsid w:val="009D0B63"/>
    <w:rsid w:val="009D1111"/>
    <w:rsid w:val="009D4107"/>
    <w:rsid w:val="009D5CB8"/>
    <w:rsid w:val="009E307E"/>
    <w:rsid w:val="00A07870"/>
    <w:rsid w:val="00A07C54"/>
    <w:rsid w:val="00A07F19"/>
    <w:rsid w:val="00A1348D"/>
    <w:rsid w:val="00A13C99"/>
    <w:rsid w:val="00A17246"/>
    <w:rsid w:val="00A232EE"/>
    <w:rsid w:val="00A4175F"/>
    <w:rsid w:val="00A44411"/>
    <w:rsid w:val="00A469FA"/>
    <w:rsid w:val="00A47680"/>
    <w:rsid w:val="00A53662"/>
    <w:rsid w:val="00A55B01"/>
    <w:rsid w:val="00A56B5B"/>
    <w:rsid w:val="00A603FF"/>
    <w:rsid w:val="00A619B6"/>
    <w:rsid w:val="00A63ADC"/>
    <w:rsid w:val="00A63B6A"/>
    <w:rsid w:val="00A64300"/>
    <w:rsid w:val="00A648CA"/>
    <w:rsid w:val="00A657DD"/>
    <w:rsid w:val="00A666A6"/>
    <w:rsid w:val="00A675FD"/>
    <w:rsid w:val="00A72437"/>
    <w:rsid w:val="00A727C6"/>
    <w:rsid w:val="00A73FED"/>
    <w:rsid w:val="00A77149"/>
    <w:rsid w:val="00A8048B"/>
    <w:rsid w:val="00A80611"/>
    <w:rsid w:val="00A817E9"/>
    <w:rsid w:val="00AA5BF4"/>
    <w:rsid w:val="00AA5F6B"/>
    <w:rsid w:val="00AB4AC8"/>
    <w:rsid w:val="00AB5340"/>
    <w:rsid w:val="00AC0A89"/>
    <w:rsid w:val="00AC3BFE"/>
    <w:rsid w:val="00AC7C96"/>
    <w:rsid w:val="00AD6CAF"/>
    <w:rsid w:val="00AE237D"/>
    <w:rsid w:val="00AE502A"/>
    <w:rsid w:val="00AF0010"/>
    <w:rsid w:val="00AF2C1F"/>
    <w:rsid w:val="00AF374C"/>
    <w:rsid w:val="00AF7C07"/>
    <w:rsid w:val="00B06C64"/>
    <w:rsid w:val="00B11CAC"/>
    <w:rsid w:val="00B1432D"/>
    <w:rsid w:val="00B15A29"/>
    <w:rsid w:val="00B1730F"/>
    <w:rsid w:val="00B22C93"/>
    <w:rsid w:val="00B27589"/>
    <w:rsid w:val="00B3554E"/>
    <w:rsid w:val="00B405B7"/>
    <w:rsid w:val="00B43AE4"/>
    <w:rsid w:val="00B43B22"/>
    <w:rsid w:val="00B52182"/>
    <w:rsid w:val="00B52222"/>
    <w:rsid w:val="00B531DA"/>
    <w:rsid w:val="00B54895"/>
    <w:rsid w:val="00B54FE7"/>
    <w:rsid w:val="00B647C6"/>
    <w:rsid w:val="00B655F9"/>
    <w:rsid w:val="00B66901"/>
    <w:rsid w:val="00B71E6D"/>
    <w:rsid w:val="00B72070"/>
    <w:rsid w:val="00B779E1"/>
    <w:rsid w:val="00B803EF"/>
    <w:rsid w:val="00B81E3A"/>
    <w:rsid w:val="00B85CFB"/>
    <w:rsid w:val="00B900C0"/>
    <w:rsid w:val="00B91EE1"/>
    <w:rsid w:val="00B9321D"/>
    <w:rsid w:val="00B93C01"/>
    <w:rsid w:val="00B94602"/>
    <w:rsid w:val="00BA0090"/>
    <w:rsid w:val="00BA1A67"/>
    <w:rsid w:val="00BA36E5"/>
    <w:rsid w:val="00BA6A80"/>
    <w:rsid w:val="00BB01AC"/>
    <w:rsid w:val="00BB465F"/>
    <w:rsid w:val="00BB4ABB"/>
    <w:rsid w:val="00BE0C49"/>
    <w:rsid w:val="00BE1699"/>
    <w:rsid w:val="00BE5B5F"/>
    <w:rsid w:val="00BE7993"/>
    <w:rsid w:val="00C02FB6"/>
    <w:rsid w:val="00C03DD0"/>
    <w:rsid w:val="00C20379"/>
    <w:rsid w:val="00C23CBC"/>
    <w:rsid w:val="00C26F55"/>
    <w:rsid w:val="00C30C63"/>
    <w:rsid w:val="00C30FF3"/>
    <w:rsid w:val="00C3600E"/>
    <w:rsid w:val="00C36B8B"/>
    <w:rsid w:val="00C415C1"/>
    <w:rsid w:val="00C44910"/>
    <w:rsid w:val="00C47DBF"/>
    <w:rsid w:val="00C510F4"/>
    <w:rsid w:val="00C552FF"/>
    <w:rsid w:val="00C558DA"/>
    <w:rsid w:val="00C55AF3"/>
    <w:rsid w:val="00C61C72"/>
    <w:rsid w:val="00C74894"/>
    <w:rsid w:val="00C75D51"/>
    <w:rsid w:val="00C771A9"/>
    <w:rsid w:val="00C84759"/>
    <w:rsid w:val="00C867DC"/>
    <w:rsid w:val="00C92996"/>
    <w:rsid w:val="00C968BB"/>
    <w:rsid w:val="00CA170B"/>
    <w:rsid w:val="00CA5CA9"/>
    <w:rsid w:val="00CA6C7F"/>
    <w:rsid w:val="00CA70B2"/>
    <w:rsid w:val="00CC02FF"/>
    <w:rsid w:val="00CC0FC7"/>
    <w:rsid w:val="00CC10A6"/>
    <w:rsid w:val="00CD5EB8"/>
    <w:rsid w:val="00CD7044"/>
    <w:rsid w:val="00CD7E37"/>
    <w:rsid w:val="00CE08B9"/>
    <w:rsid w:val="00CE524C"/>
    <w:rsid w:val="00CF141F"/>
    <w:rsid w:val="00CF2843"/>
    <w:rsid w:val="00CF4777"/>
    <w:rsid w:val="00CF65C8"/>
    <w:rsid w:val="00D013F5"/>
    <w:rsid w:val="00D05E3F"/>
    <w:rsid w:val="00D067BB"/>
    <w:rsid w:val="00D1352A"/>
    <w:rsid w:val="00D169AF"/>
    <w:rsid w:val="00D24E85"/>
    <w:rsid w:val="00D25249"/>
    <w:rsid w:val="00D25486"/>
    <w:rsid w:val="00D32406"/>
    <w:rsid w:val="00D44172"/>
    <w:rsid w:val="00D44E89"/>
    <w:rsid w:val="00D47BE3"/>
    <w:rsid w:val="00D63B8C"/>
    <w:rsid w:val="00D6719D"/>
    <w:rsid w:val="00D739CC"/>
    <w:rsid w:val="00D8093D"/>
    <w:rsid w:val="00D8108C"/>
    <w:rsid w:val="00D842AE"/>
    <w:rsid w:val="00D9211C"/>
    <w:rsid w:val="00D92DE0"/>
    <w:rsid w:val="00D92FEF"/>
    <w:rsid w:val="00D93A0F"/>
    <w:rsid w:val="00DA1BCA"/>
    <w:rsid w:val="00DC20FB"/>
    <w:rsid w:val="00DC46FF"/>
    <w:rsid w:val="00DC5254"/>
    <w:rsid w:val="00DC569D"/>
    <w:rsid w:val="00DD1A4F"/>
    <w:rsid w:val="00DD3107"/>
    <w:rsid w:val="00DD746C"/>
    <w:rsid w:val="00DD7C2C"/>
    <w:rsid w:val="00DE5BDA"/>
    <w:rsid w:val="00DF3944"/>
    <w:rsid w:val="00DF433C"/>
    <w:rsid w:val="00E0035A"/>
    <w:rsid w:val="00E06797"/>
    <w:rsid w:val="00E1265B"/>
    <w:rsid w:val="00E13714"/>
    <w:rsid w:val="00E13B48"/>
    <w:rsid w:val="00E1404F"/>
    <w:rsid w:val="00E21C83"/>
    <w:rsid w:val="00E24ADA"/>
    <w:rsid w:val="00E25B92"/>
    <w:rsid w:val="00E32F59"/>
    <w:rsid w:val="00E40F10"/>
    <w:rsid w:val="00E41908"/>
    <w:rsid w:val="00E43C3A"/>
    <w:rsid w:val="00E46D9A"/>
    <w:rsid w:val="00E565FF"/>
    <w:rsid w:val="00E65388"/>
    <w:rsid w:val="00E7741D"/>
    <w:rsid w:val="00E808CD"/>
    <w:rsid w:val="00E8348F"/>
    <w:rsid w:val="00E85B7D"/>
    <w:rsid w:val="00E9121B"/>
    <w:rsid w:val="00E9302E"/>
    <w:rsid w:val="00E976AB"/>
    <w:rsid w:val="00EA0AE2"/>
    <w:rsid w:val="00EA0D17"/>
    <w:rsid w:val="00EA39E5"/>
    <w:rsid w:val="00EA57A3"/>
    <w:rsid w:val="00EB1B0D"/>
    <w:rsid w:val="00EB1D3E"/>
    <w:rsid w:val="00EB2BF2"/>
    <w:rsid w:val="00EB789E"/>
    <w:rsid w:val="00EC0F68"/>
    <w:rsid w:val="00EC2813"/>
    <w:rsid w:val="00EC3B68"/>
    <w:rsid w:val="00EC5A46"/>
    <w:rsid w:val="00EC63E2"/>
    <w:rsid w:val="00ED366A"/>
    <w:rsid w:val="00ED6BB7"/>
    <w:rsid w:val="00EE3823"/>
    <w:rsid w:val="00EF11DA"/>
    <w:rsid w:val="00EF22B3"/>
    <w:rsid w:val="00F015F3"/>
    <w:rsid w:val="00F03B69"/>
    <w:rsid w:val="00F07A50"/>
    <w:rsid w:val="00F113DA"/>
    <w:rsid w:val="00F266FC"/>
    <w:rsid w:val="00F3037A"/>
    <w:rsid w:val="00F3465A"/>
    <w:rsid w:val="00F37DC8"/>
    <w:rsid w:val="00F439B3"/>
    <w:rsid w:val="00F43DA1"/>
    <w:rsid w:val="00F510F5"/>
    <w:rsid w:val="00F56CA5"/>
    <w:rsid w:val="00F61ADD"/>
    <w:rsid w:val="00F650C3"/>
    <w:rsid w:val="00F65D85"/>
    <w:rsid w:val="00F6700B"/>
    <w:rsid w:val="00F8091E"/>
    <w:rsid w:val="00F83D08"/>
    <w:rsid w:val="00F8604C"/>
    <w:rsid w:val="00F8615C"/>
    <w:rsid w:val="00F96035"/>
    <w:rsid w:val="00F969E5"/>
    <w:rsid w:val="00FA4972"/>
    <w:rsid w:val="00FA6BB0"/>
    <w:rsid w:val="00FB075B"/>
    <w:rsid w:val="00FB2DBD"/>
    <w:rsid w:val="00FD1B4C"/>
    <w:rsid w:val="00FD48DF"/>
    <w:rsid w:val="00FD5860"/>
    <w:rsid w:val="00FE2D5B"/>
    <w:rsid w:val="00FE352D"/>
    <w:rsid w:val="00FE40EB"/>
    <w:rsid w:val="00FE4BCD"/>
    <w:rsid w:val="00FE4D02"/>
    <w:rsid w:val="00FE7D62"/>
    <w:rsid w:val="00FF3819"/>
    <w:rsid w:val="00FF77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E4E"/>
    <w:pPr>
      <w:tabs>
        <w:tab w:val="left" w:pos="1247"/>
        <w:tab w:val="left" w:pos="1814"/>
        <w:tab w:val="left" w:pos="2381"/>
        <w:tab w:val="left" w:pos="2948"/>
        <w:tab w:val="left" w:pos="3515"/>
      </w:tabs>
    </w:pPr>
    <w:rPr>
      <w:lang w:eastAsia="en-US"/>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
    <w:semiHidden/>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
    <w:basedOn w:val="Normalpool"/>
    <w:link w:val="FootnoteTextChar"/>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rPr>
      <w:lang w:val="x-none"/>
    </w:rPr>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sz w:val="16"/>
      <w:szCs w:val="16"/>
      <w:lang w:val="x-none"/>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14293F"/>
    <w:rPr>
      <w:sz w:val="18"/>
      <w:lang w:val="fr-FR" w:eastAsia="en-US"/>
    </w:rPr>
  </w:style>
  <w:style w:type="table" w:styleId="TableGrid">
    <w:name w:val="Table Grid"/>
    <w:basedOn w:val="TableNormal"/>
    <w:rsid w:val="00E976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A24F9"/>
    <w:pPr>
      <w:ind w:left="720"/>
    </w:pPr>
  </w:style>
  <w:style w:type="numbering" w:customStyle="1" w:styleId="Normallist1">
    <w:name w:val="Normal_list1"/>
    <w:basedOn w:val="NoList"/>
    <w:rsid w:val="0015219A"/>
  </w:style>
  <w:style w:type="paragraph" w:customStyle="1" w:styleId="Default">
    <w:name w:val="Default"/>
    <w:rsid w:val="008711BF"/>
    <w:pPr>
      <w:autoSpaceDE w:val="0"/>
      <w:autoSpaceDN w:val="0"/>
      <w:adjustRightInd w:val="0"/>
    </w:pPr>
    <w:rPr>
      <w:rFonts w:ascii="Arial" w:hAnsi="Arial" w:cs="Arial"/>
      <w:color w:val="000000"/>
      <w:sz w:val="24"/>
      <w:szCs w:val="24"/>
    </w:rPr>
  </w:style>
  <w:style w:type="table" w:customStyle="1" w:styleId="AATable">
    <w:name w:val="AA_Table"/>
    <w:basedOn w:val="TableNormal"/>
    <w:semiHidden/>
    <w:rsid w:val="003A77F1"/>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C510F4"/>
    <w:pPr>
      <w:tabs>
        <w:tab w:val="clear" w:pos="4082"/>
      </w:tabs>
      <w:spacing w:before="60" w:after="6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4"/>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rsid w:val="00160D74"/>
    <w:pPr>
      <w:numPr>
        <w:numId w:val="1"/>
      </w:numPr>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 w:type="character" w:customStyle="1" w:styleId="FooterChar">
    <w:name w:val="Footer Char"/>
    <w:basedOn w:val="DefaultParagraphFont"/>
    <w:link w:val="Footer"/>
    <w:uiPriority w:val="99"/>
    <w:rsid w:val="00EF11DA"/>
    <w:rPr>
      <w:sz w:val="18"/>
      <w:lang w:eastAsia="en-US"/>
    </w:rPr>
  </w:style>
  <w:style w:type="paragraph" w:styleId="Revision">
    <w:name w:val="Revision"/>
    <w:hidden/>
    <w:uiPriority w:val="99"/>
    <w:semiHidden/>
    <w:rsid w:val="006A7CA0"/>
    <w:rPr>
      <w:lang w:eastAsia="en-US"/>
    </w:rPr>
  </w:style>
  <w:style w:type="character" w:customStyle="1" w:styleId="apple-converted-space">
    <w:name w:val="apple-converted-space"/>
    <w:basedOn w:val="DefaultParagraphFont"/>
    <w:rsid w:val="00683158"/>
  </w:style>
  <w:style w:type="character" w:customStyle="1" w:styleId="Inget">
    <w:name w:val="Inget"/>
    <w:rsid w:val="00BB46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E4E"/>
    <w:pPr>
      <w:tabs>
        <w:tab w:val="left" w:pos="1247"/>
        <w:tab w:val="left" w:pos="1814"/>
        <w:tab w:val="left" w:pos="2381"/>
        <w:tab w:val="left" w:pos="2948"/>
        <w:tab w:val="left" w:pos="3515"/>
      </w:tabs>
    </w:pPr>
    <w:rPr>
      <w:lang w:eastAsia="en-US"/>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
    <w:semiHidden/>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
    <w:basedOn w:val="Normalpool"/>
    <w:link w:val="FootnoteTextChar"/>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rPr>
      <w:lang w:val="x-none"/>
    </w:rPr>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sz w:val="16"/>
      <w:szCs w:val="16"/>
      <w:lang w:val="x-none"/>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14293F"/>
    <w:rPr>
      <w:sz w:val="18"/>
      <w:lang w:val="fr-FR" w:eastAsia="en-US"/>
    </w:rPr>
  </w:style>
  <w:style w:type="table" w:styleId="TableGrid">
    <w:name w:val="Table Grid"/>
    <w:basedOn w:val="TableNormal"/>
    <w:rsid w:val="00E976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A24F9"/>
    <w:pPr>
      <w:ind w:left="720"/>
    </w:pPr>
  </w:style>
  <w:style w:type="numbering" w:customStyle="1" w:styleId="Normallist1">
    <w:name w:val="Normal_list1"/>
    <w:basedOn w:val="NoList"/>
    <w:rsid w:val="0015219A"/>
  </w:style>
  <w:style w:type="paragraph" w:customStyle="1" w:styleId="Default">
    <w:name w:val="Default"/>
    <w:rsid w:val="008711BF"/>
    <w:pPr>
      <w:autoSpaceDE w:val="0"/>
      <w:autoSpaceDN w:val="0"/>
      <w:adjustRightInd w:val="0"/>
    </w:pPr>
    <w:rPr>
      <w:rFonts w:ascii="Arial" w:hAnsi="Arial" w:cs="Arial"/>
      <w:color w:val="000000"/>
      <w:sz w:val="24"/>
      <w:szCs w:val="24"/>
    </w:rPr>
  </w:style>
  <w:style w:type="table" w:customStyle="1" w:styleId="AATable">
    <w:name w:val="AA_Table"/>
    <w:basedOn w:val="TableNormal"/>
    <w:semiHidden/>
    <w:rsid w:val="003A77F1"/>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C510F4"/>
    <w:pPr>
      <w:tabs>
        <w:tab w:val="clear" w:pos="4082"/>
      </w:tabs>
      <w:spacing w:before="60" w:after="6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4"/>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rsid w:val="00160D74"/>
    <w:pPr>
      <w:numPr>
        <w:numId w:val="1"/>
      </w:numPr>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 w:type="character" w:customStyle="1" w:styleId="FooterChar">
    <w:name w:val="Footer Char"/>
    <w:basedOn w:val="DefaultParagraphFont"/>
    <w:link w:val="Footer"/>
    <w:uiPriority w:val="99"/>
    <w:rsid w:val="00EF11DA"/>
    <w:rPr>
      <w:sz w:val="18"/>
      <w:lang w:eastAsia="en-US"/>
    </w:rPr>
  </w:style>
  <w:style w:type="paragraph" w:styleId="Revision">
    <w:name w:val="Revision"/>
    <w:hidden/>
    <w:uiPriority w:val="99"/>
    <w:semiHidden/>
    <w:rsid w:val="006A7CA0"/>
    <w:rPr>
      <w:lang w:eastAsia="en-US"/>
    </w:rPr>
  </w:style>
  <w:style w:type="character" w:customStyle="1" w:styleId="apple-converted-space">
    <w:name w:val="apple-converted-space"/>
    <w:basedOn w:val="DefaultParagraphFont"/>
    <w:rsid w:val="00683158"/>
  </w:style>
  <w:style w:type="character" w:customStyle="1" w:styleId="Inget">
    <w:name w:val="Inget"/>
    <w:rsid w:val="00BB46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oleObject" Target="embeddings/oleObject1.bin"/><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D37F0-6649-49B2-99C7-535A44890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635</Words>
  <Characters>3308</Characters>
  <Application>Microsoft Office Word</Application>
  <DocSecurity>0</DocSecurity>
  <Lines>27</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NATIONS UNIES</vt:lpstr>
      <vt:lpstr>NATIONS UNIES</vt:lpstr>
    </vt:vector>
  </TitlesOfParts>
  <Company>unon</Company>
  <LinksUpToDate>false</LinksUpToDate>
  <CharactersWithSpaces>3936</CharactersWithSpaces>
  <SharedDoc>false</SharedDoc>
  <HLinks>
    <vt:vector size="6" baseType="variant">
      <vt:variant>
        <vt:i4>4456455</vt:i4>
      </vt:variant>
      <vt:variant>
        <vt:i4>3</vt:i4>
      </vt:variant>
      <vt:variant>
        <vt:i4>0</vt:i4>
      </vt:variant>
      <vt:variant>
        <vt:i4>5</vt:i4>
      </vt:variant>
      <vt:variant>
        <vt:lpwstr>http://mercuryconvention.org/Negotiations/submissionsforCOP1/tabid/5535/Default.aspx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Silvia Serrano</cp:lastModifiedBy>
  <cp:revision>3</cp:revision>
  <cp:lastPrinted>2017-05-25T08:00:00Z</cp:lastPrinted>
  <dcterms:created xsi:type="dcterms:W3CDTF">2017-08-15T11:19:00Z</dcterms:created>
  <dcterms:modified xsi:type="dcterms:W3CDTF">2017-08-15T11:19:00Z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joan.trujillo</vt:lpwstr>
  </property>
  <property fmtid="{D5CDD505-2E9C-101B-9397-08002B2CF9AE}" pid="4" name="GeneratedDate">
    <vt:lpwstr>7/26/2017 3:20:54 PM</vt:lpwstr>
  </property>
  <property fmtid="{D5CDD505-2E9C-101B-9397-08002B2CF9AE}" pid="5" name="OriginalDocID">
    <vt:lpwstr>9ac1781b-029e-4e5e-8f1b-9e86ad0a26a0</vt:lpwstr>
  </property>
</Properties>
</file>