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6C2DAF" w:rsidTr="006C2DAF">
        <w:trPr>
          <w:cantSplit/>
          <w:trHeight w:val="850"/>
          <w:jc w:val="right"/>
        </w:trPr>
        <w:tc>
          <w:tcPr>
            <w:tcW w:w="1668" w:type="dxa"/>
            <w:hideMark/>
          </w:tcPr>
          <w:p w:rsidR="006C2DAF" w:rsidRDefault="006C2DAF" w:rsidP="006C2DAF">
            <w:pPr>
              <w:rPr>
                <w:rFonts w:ascii="Univers" w:hAnsi="Univers"/>
                <w:b/>
                <w:noProof/>
                <w:sz w:val="27"/>
                <w:szCs w:val="27"/>
                <w:lang w:val="en-GB"/>
              </w:rPr>
            </w:pPr>
            <w:r>
              <w:rPr>
                <w:rFonts w:ascii="Arial" w:hAnsi="Arial" w:cs="Arial"/>
                <w:b/>
                <w:noProof/>
                <w:sz w:val="27"/>
                <w:szCs w:val="27"/>
              </w:rPr>
              <w:t>NACIONES UNIDAS</w:t>
            </w:r>
          </w:p>
        </w:tc>
        <w:tc>
          <w:tcPr>
            <w:tcW w:w="4633" w:type="dxa"/>
          </w:tcPr>
          <w:p w:rsidR="006C2DAF" w:rsidRDefault="006C2DAF" w:rsidP="006C2DAF">
            <w:pPr>
              <w:rPr>
                <w:rFonts w:ascii="Univers" w:hAnsi="Univers"/>
                <w:b/>
                <w:sz w:val="27"/>
                <w:szCs w:val="27"/>
                <w:lang w:val="en-GB"/>
              </w:rPr>
            </w:pPr>
          </w:p>
        </w:tc>
        <w:tc>
          <w:tcPr>
            <w:tcW w:w="3411" w:type="dxa"/>
            <w:hideMark/>
          </w:tcPr>
          <w:p w:rsidR="006C2DAF" w:rsidRDefault="006C2DAF" w:rsidP="006C2DAF">
            <w:pPr>
              <w:jc w:val="right"/>
              <w:rPr>
                <w:rFonts w:ascii="Arial" w:hAnsi="Arial" w:cs="Arial"/>
                <w:b/>
                <w:sz w:val="64"/>
                <w:szCs w:val="64"/>
                <w:lang w:val="en-GB"/>
              </w:rPr>
            </w:pPr>
            <w:r>
              <w:rPr>
                <w:rFonts w:ascii="Arial" w:hAnsi="Arial" w:cs="Arial"/>
                <w:b/>
                <w:sz w:val="64"/>
                <w:szCs w:val="64"/>
              </w:rPr>
              <w:t>MC</w:t>
            </w:r>
          </w:p>
        </w:tc>
      </w:tr>
      <w:tr w:rsidR="006C2DAF" w:rsidTr="006C2DAF">
        <w:trPr>
          <w:cantSplit/>
          <w:trHeight w:val="281"/>
          <w:jc w:val="right"/>
        </w:trPr>
        <w:tc>
          <w:tcPr>
            <w:tcW w:w="1668" w:type="dxa"/>
            <w:tcBorders>
              <w:top w:val="nil"/>
              <w:left w:val="nil"/>
              <w:bottom w:val="single" w:sz="4" w:space="0" w:color="auto"/>
              <w:right w:val="nil"/>
            </w:tcBorders>
          </w:tcPr>
          <w:p w:rsidR="006C2DAF" w:rsidRDefault="006C2DAF" w:rsidP="006C2DAF">
            <w:pPr>
              <w:rPr>
                <w:noProof/>
                <w:sz w:val="18"/>
                <w:szCs w:val="18"/>
                <w:lang w:val="en-GB"/>
              </w:rPr>
            </w:pPr>
          </w:p>
        </w:tc>
        <w:tc>
          <w:tcPr>
            <w:tcW w:w="4633" w:type="dxa"/>
            <w:tcBorders>
              <w:top w:val="nil"/>
              <w:left w:val="nil"/>
              <w:bottom w:val="single" w:sz="4" w:space="0" w:color="auto"/>
              <w:right w:val="nil"/>
            </w:tcBorders>
          </w:tcPr>
          <w:p w:rsidR="006C2DAF" w:rsidRDefault="006C2DAF" w:rsidP="006C2DAF">
            <w:pPr>
              <w:rPr>
                <w:rFonts w:ascii="Univers" w:hAnsi="Univers"/>
                <w:b/>
                <w:sz w:val="18"/>
                <w:szCs w:val="18"/>
                <w:lang w:val="en-GB"/>
              </w:rPr>
            </w:pPr>
          </w:p>
        </w:tc>
        <w:tc>
          <w:tcPr>
            <w:tcW w:w="3411" w:type="dxa"/>
            <w:tcBorders>
              <w:top w:val="nil"/>
              <w:left w:val="nil"/>
              <w:bottom w:val="single" w:sz="4" w:space="0" w:color="auto"/>
              <w:right w:val="nil"/>
            </w:tcBorders>
            <w:hideMark/>
          </w:tcPr>
          <w:p w:rsidR="006C2DAF" w:rsidRDefault="006C2DAF" w:rsidP="003366AC">
            <w:pPr>
              <w:rPr>
                <w:noProof/>
                <w:sz w:val="18"/>
                <w:szCs w:val="18"/>
                <w:lang w:val="en-GB"/>
              </w:rPr>
            </w:pPr>
            <w:r>
              <w:rPr>
                <w:b/>
                <w:bCs/>
                <w:sz w:val="28"/>
              </w:rPr>
              <w:t>UNEP</w:t>
            </w:r>
            <w:r w:rsidRPr="006C2DAF">
              <w:rPr>
                <w:b/>
                <w:bCs/>
              </w:rPr>
              <w:t>/</w:t>
            </w:r>
            <w:r>
              <w:t>MC/COP.1/2</w:t>
            </w:r>
            <w:r w:rsidR="003366AC">
              <w:t>7</w:t>
            </w:r>
          </w:p>
        </w:tc>
      </w:tr>
      <w:tr w:rsidR="006C2DAF" w:rsidTr="006C2DAF">
        <w:trPr>
          <w:cantSplit/>
          <w:trHeight w:val="2549"/>
          <w:jc w:val="right"/>
        </w:trPr>
        <w:tc>
          <w:tcPr>
            <w:tcW w:w="1668" w:type="dxa"/>
            <w:tcBorders>
              <w:top w:val="single" w:sz="4" w:space="0" w:color="auto"/>
              <w:left w:val="nil"/>
              <w:bottom w:val="single" w:sz="24" w:space="0" w:color="auto"/>
              <w:right w:val="nil"/>
            </w:tcBorders>
            <w:hideMark/>
          </w:tcPr>
          <w:p w:rsidR="006C2DAF" w:rsidRDefault="006C2DAF" w:rsidP="006C2DAF">
            <w:pPr>
              <w:rPr>
                <w:noProof/>
                <w:lang w:val="en-GB"/>
              </w:rPr>
            </w:pPr>
            <w:r>
              <w:rPr>
                <w:noProof/>
                <w:lang w:val="en-GB"/>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0.35pt" o:ole="" fillcolor="window">
                  <v:imagedata r:id="rId9" o:title=""/>
                </v:shape>
                <o:OLEObject Type="Embed" ProgID="Word.Picture.8" ShapeID="_x0000_i1025" DrawAspect="Content" ObjectID="_1560586231" r:id="rId10"/>
              </w:object>
            </w:r>
            <w:r>
              <w:rPr>
                <w:noProof/>
                <w:lang w:val="en-GB" w:eastAsia="zh-CN"/>
              </w:rPr>
              <w:drawing>
                <wp:inline distT="0" distB="0" distL="0" distR="0" wp14:anchorId="777D7156" wp14:editId="2271F491">
                  <wp:extent cx="723900" cy="774700"/>
                  <wp:effectExtent l="0" t="0" r="0" b="6350"/>
                  <wp:docPr id="1"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74700"/>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rsidR="006C2DAF" w:rsidRDefault="006C2DAF" w:rsidP="006C2DAF">
            <w:pPr>
              <w:spacing w:before="1200"/>
              <w:rPr>
                <w:rFonts w:ascii="Arial" w:hAnsi="Arial" w:cs="Arial"/>
                <w:b/>
                <w:sz w:val="28"/>
                <w:lang w:val="es-ES"/>
              </w:rPr>
            </w:pPr>
            <w:r>
              <w:rPr>
                <w:rFonts w:ascii="Arial" w:hAnsi="Arial" w:cs="Arial"/>
                <w:b/>
                <w:sz w:val="32"/>
                <w:szCs w:val="32"/>
                <w:lang w:val="es-ES"/>
              </w:rPr>
              <w:t xml:space="preserve">Programa de las </w:t>
            </w:r>
            <w:r>
              <w:rPr>
                <w:rFonts w:ascii="Arial" w:hAnsi="Arial" w:cs="Arial"/>
                <w:b/>
                <w:sz w:val="32"/>
                <w:szCs w:val="32"/>
                <w:lang w:val="es-ES"/>
              </w:rPr>
              <w:br/>
              <w:t>Naciones Unidas para el Medio Ambiente</w:t>
            </w:r>
          </w:p>
        </w:tc>
        <w:tc>
          <w:tcPr>
            <w:tcW w:w="3411" w:type="dxa"/>
            <w:tcBorders>
              <w:top w:val="single" w:sz="4" w:space="0" w:color="auto"/>
              <w:left w:val="nil"/>
              <w:bottom w:val="single" w:sz="24" w:space="0" w:color="auto"/>
              <w:right w:val="nil"/>
            </w:tcBorders>
            <w:hideMark/>
          </w:tcPr>
          <w:p w:rsidR="006C2DAF" w:rsidRDefault="006C2DAF" w:rsidP="006C2DAF">
            <w:pPr>
              <w:spacing w:before="120"/>
              <w:rPr>
                <w:lang w:val="es-ES"/>
              </w:rPr>
            </w:pPr>
            <w:proofErr w:type="spellStart"/>
            <w:r>
              <w:rPr>
                <w:lang w:val="es-ES"/>
              </w:rPr>
              <w:t>Distr</w:t>
            </w:r>
            <w:proofErr w:type="spellEnd"/>
            <w:r>
              <w:rPr>
                <w:lang w:val="es-ES"/>
              </w:rPr>
              <w:t>. general</w:t>
            </w:r>
            <w:r>
              <w:rPr>
                <w:lang w:val="es-ES"/>
              </w:rPr>
              <w:br w:type="textWrapping" w:clear="all"/>
              <w:t>27 de abril de 2017</w:t>
            </w:r>
          </w:p>
          <w:p w:rsidR="006C2DAF" w:rsidRDefault="006C2DAF" w:rsidP="006C2DAF">
            <w:pPr>
              <w:spacing w:before="240"/>
              <w:rPr>
                <w:lang w:val="es-ES"/>
              </w:rPr>
            </w:pPr>
            <w:r>
              <w:rPr>
                <w:lang w:val="es-ES"/>
              </w:rPr>
              <w:t xml:space="preserve">Español </w:t>
            </w:r>
            <w:r>
              <w:rPr>
                <w:lang w:val="es-ES"/>
              </w:rPr>
              <w:br/>
              <w:t>Original: inglés</w:t>
            </w:r>
          </w:p>
        </w:tc>
      </w:tr>
    </w:tbl>
    <w:p w:rsidR="006C2DAF" w:rsidRPr="004D0D75" w:rsidRDefault="006C2DAF" w:rsidP="006C2DAF">
      <w:pPr>
        <w:pStyle w:val="AATitle"/>
        <w:keepNext w:val="0"/>
        <w:keepLines w:val="0"/>
        <w:rPr>
          <w:lang w:val="es-ES_tradnl"/>
        </w:rPr>
      </w:pPr>
      <w:r w:rsidRPr="004D0D75">
        <w:rPr>
          <w:lang w:val="es-ES_tradnl"/>
        </w:rPr>
        <w:t>Conferencia de las Partes en el</w:t>
      </w:r>
      <w:r>
        <w:rPr>
          <w:lang w:val="es-ES_tradnl"/>
        </w:rPr>
        <w:t xml:space="preserve"> </w:t>
      </w:r>
      <w:r w:rsidRPr="004D0D75">
        <w:rPr>
          <w:lang w:val="es-ES_tradnl"/>
        </w:rPr>
        <w:t>Convenio de Minamata sobre el Mercurio</w:t>
      </w:r>
    </w:p>
    <w:p w:rsidR="006C2DAF" w:rsidRPr="004D0D75" w:rsidRDefault="006C2DAF" w:rsidP="006C2DAF">
      <w:pPr>
        <w:pStyle w:val="AATitle"/>
        <w:keepNext w:val="0"/>
        <w:keepLines w:val="0"/>
        <w:rPr>
          <w:lang w:val="es-ES_tradnl"/>
        </w:rPr>
      </w:pPr>
      <w:r w:rsidRPr="004D0D75">
        <w:rPr>
          <w:lang w:val="es-ES_tradnl"/>
        </w:rPr>
        <w:t>Primera reunión</w:t>
      </w:r>
    </w:p>
    <w:p w:rsidR="00E976AB" w:rsidRPr="00E427BC" w:rsidRDefault="00787688" w:rsidP="00465D27">
      <w:pPr>
        <w:pStyle w:val="AATitle"/>
        <w:rPr>
          <w:b w:val="0"/>
          <w:lang w:val="es-ES_tradnl"/>
        </w:rPr>
      </w:pPr>
      <w:r w:rsidRPr="00E427BC">
        <w:rPr>
          <w:b w:val="0"/>
          <w:lang w:val="es-ES"/>
        </w:rPr>
        <w:t>Ginebra, 24 a 29 de septiembre de 2017</w:t>
      </w:r>
    </w:p>
    <w:p w:rsidR="00312543" w:rsidRPr="00E427BC" w:rsidRDefault="00312543" w:rsidP="00323C25">
      <w:pPr>
        <w:pStyle w:val="AATitle"/>
        <w:keepNext w:val="0"/>
        <w:keepLines w:val="0"/>
        <w:rPr>
          <w:b w:val="0"/>
          <w:lang w:val="es-ES_tradnl"/>
        </w:rPr>
      </w:pPr>
      <w:r w:rsidRPr="00E427BC">
        <w:rPr>
          <w:b w:val="0"/>
          <w:lang w:val="es-ES"/>
        </w:rPr>
        <w:t>Tema 6 i) del programa provisional</w:t>
      </w:r>
      <w:r w:rsidRPr="00E427BC">
        <w:rPr>
          <w:b w:val="0"/>
          <w:lang w:val="es-ES"/>
        </w:rPr>
        <w:footnoteReference w:customMarkFollows="1" w:id="1"/>
        <w:t>*</w:t>
      </w:r>
    </w:p>
    <w:p w:rsidR="00787688" w:rsidRPr="00E427BC" w:rsidRDefault="00131DD4" w:rsidP="00DC6E45">
      <w:pPr>
        <w:pStyle w:val="AATitle2"/>
        <w:rPr>
          <w:lang w:val="es-ES_tradnl"/>
        </w:rPr>
      </w:pPr>
      <w:r>
        <w:rPr>
          <w:lang w:val="es-ES"/>
        </w:rPr>
        <w:t>Cuestiones estipuladas por el Convenio para la adopción de medidas por la Conferencia de las Partes: orientaci</w:t>
      </w:r>
      <w:r w:rsidR="006C2DAF">
        <w:rPr>
          <w:lang w:val="es-ES"/>
        </w:rPr>
        <w:t>o</w:t>
      </w:r>
      <w:r>
        <w:rPr>
          <w:lang w:val="es-ES"/>
        </w:rPr>
        <w:t>n</w:t>
      </w:r>
      <w:r w:rsidR="006C2DAF">
        <w:rPr>
          <w:lang w:val="es-ES"/>
        </w:rPr>
        <w:t>es</w:t>
      </w:r>
      <w:r>
        <w:rPr>
          <w:lang w:val="es-ES"/>
        </w:rPr>
        <w:t xml:space="preserve"> sobre la gestión de sitios contaminados a que se hace referencia en el párrafo 3 del artículo 12</w:t>
      </w:r>
    </w:p>
    <w:p w:rsidR="00312543" w:rsidRPr="00E427BC" w:rsidRDefault="00323C25">
      <w:pPr>
        <w:pStyle w:val="BBTitle"/>
        <w:rPr>
          <w:lang w:val="es-ES_tradnl"/>
        </w:rPr>
      </w:pPr>
      <w:r>
        <w:rPr>
          <w:lang w:val="es-ES"/>
        </w:rPr>
        <w:t xml:space="preserve">Orientaciones sobre la gestión de sitios contaminados a que se hace referencia </w:t>
      </w:r>
      <w:r w:rsidR="00F15AA8">
        <w:rPr>
          <w:lang w:val="es-ES"/>
        </w:rPr>
        <w:t>en el párrafo 3 del artículo 12</w:t>
      </w:r>
    </w:p>
    <w:p w:rsidR="00312543" w:rsidRPr="00BF3CDD" w:rsidRDefault="00F15AA8" w:rsidP="00312543">
      <w:pPr>
        <w:pStyle w:val="CH2"/>
      </w:pPr>
      <w:r>
        <w:rPr>
          <w:lang w:val="es-ES"/>
        </w:rPr>
        <w:tab/>
      </w:r>
      <w:r>
        <w:rPr>
          <w:lang w:val="es-ES"/>
        </w:rPr>
        <w:tab/>
        <w:t>Nota de la s</w:t>
      </w:r>
      <w:r w:rsidR="00312543">
        <w:rPr>
          <w:lang w:val="es-ES"/>
        </w:rPr>
        <w:t>ecretaría</w:t>
      </w:r>
    </w:p>
    <w:p w:rsidR="00323C25" w:rsidRPr="00E427BC" w:rsidRDefault="006321A9" w:rsidP="003366AC">
      <w:pPr>
        <w:pStyle w:val="Normalnumber"/>
        <w:tabs>
          <w:tab w:val="clear" w:pos="624"/>
          <w:tab w:val="clear" w:pos="1305"/>
        </w:tabs>
        <w:ind w:left="1247"/>
        <w:rPr>
          <w:lang w:val="es-ES_tradnl"/>
        </w:rPr>
      </w:pPr>
      <w:r>
        <w:rPr>
          <w:lang w:val="es-ES"/>
        </w:rPr>
        <w:t xml:space="preserve">En el párrafo 3 del artículo 12 del Convenio de Minamata sobre el Mercurio, relativo a los sitios contaminados, se estipula que la Conferencia de las Partes aprobará orientaciones sobre la gestión de sitios contaminados, que podrán incluir métodos y criterios en relación con: </w:t>
      </w:r>
    </w:p>
    <w:p w:rsidR="00323C25" w:rsidRPr="00E427BC" w:rsidRDefault="00323C25" w:rsidP="003366AC">
      <w:pPr>
        <w:pStyle w:val="Normalnumber"/>
        <w:numPr>
          <w:ilvl w:val="1"/>
          <w:numId w:val="5"/>
        </w:numPr>
        <w:tabs>
          <w:tab w:val="clear" w:pos="624"/>
          <w:tab w:val="clear" w:pos="1134"/>
        </w:tabs>
        <w:ind w:firstLine="624"/>
        <w:rPr>
          <w:lang w:val="es-ES_tradnl"/>
        </w:rPr>
      </w:pPr>
      <w:r>
        <w:rPr>
          <w:lang w:val="es-ES"/>
        </w:rPr>
        <w:t>La identificación y caracterización de sitios;</w:t>
      </w:r>
    </w:p>
    <w:p w:rsidR="00323C25" w:rsidRPr="00BF3CDD" w:rsidRDefault="00323C25" w:rsidP="00DC6E45">
      <w:pPr>
        <w:pStyle w:val="Normalnumber"/>
        <w:numPr>
          <w:ilvl w:val="1"/>
          <w:numId w:val="5"/>
        </w:numPr>
        <w:tabs>
          <w:tab w:val="clear" w:pos="1134"/>
        </w:tabs>
        <w:ind w:firstLine="624"/>
      </w:pPr>
      <w:r>
        <w:rPr>
          <w:lang w:val="es-ES"/>
        </w:rPr>
        <w:t>La participación del público;</w:t>
      </w:r>
    </w:p>
    <w:p w:rsidR="00323C25" w:rsidRPr="00E427BC" w:rsidRDefault="00323C25" w:rsidP="00DC6E45">
      <w:pPr>
        <w:pStyle w:val="Normalnumber"/>
        <w:numPr>
          <w:ilvl w:val="1"/>
          <w:numId w:val="5"/>
        </w:numPr>
        <w:tabs>
          <w:tab w:val="clear" w:pos="1134"/>
        </w:tabs>
        <w:ind w:firstLine="624"/>
        <w:rPr>
          <w:lang w:val="es-ES_tradnl"/>
        </w:rPr>
      </w:pPr>
      <w:r>
        <w:rPr>
          <w:lang w:val="es-ES"/>
        </w:rPr>
        <w:t>La evaluación de los riesgos para la salud humana y el medio ambiente;</w:t>
      </w:r>
    </w:p>
    <w:p w:rsidR="00323C25" w:rsidRPr="00E427BC" w:rsidRDefault="00323C25" w:rsidP="00DC6E45">
      <w:pPr>
        <w:pStyle w:val="Normalnumber"/>
        <w:numPr>
          <w:ilvl w:val="1"/>
          <w:numId w:val="5"/>
        </w:numPr>
        <w:tabs>
          <w:tab w:val="clear" w:pos="1134"/>
        </w:tabs>
        <w:ind w:firstLine="624"/>
        <w:rPr>
          <w:lang w:val="es-ES_tradnl"/>
        </w:rPr>
      </w:pPr>
      <w:r>
        <w:rPr>
          <w:lang w:val="es-ES"/>
        </w:rPr>
        <w:t>Las opciones para gestionar los riesgos que plantean los sitios contaminados;</w:t>
      </w:r>
    </w:p>
    <w:p w:rsidR="00323C25" w:rsidRPr="00E427BC" w:rsidRDefault="00323C25" w:rsidP="00DC6E45">
      <w:pPr>
        <w:pStyle w:val="Normalnumber"/>
        <w:numPr>
          <w:ilvl w:val="1"/>
          <w:numId w:val="5"/>
        </w:numPr>
        <w:tabs>
          <w:tab w:val="clear" w:pos="1134"/>
        </w:tabs>
        <w:ind w:firstLine="624"/>
        <w:rPr>
          <w:lang w:val="es-ES_tradnl"/>
        </w:rPr>
      </w:pPr>
      <w:r>
        <w:rPr>
          <w:lang w:val="es-ES"/>
        </w:rPr>
        <w:t>La evaluación de los costos y beneficios;</w:t>
      </w:r>
    </w:p>
    <w:p w:rsidR="0046072B" w:rsidRPr="00E427BC" w:rsidRDefault="00323C25" w:rsidP="00DC6E45">
      <w:pPr>
        <w:pStyle w:val="Normalnumber"/>
        <w:numPr>
          <w:ilvl w:val="1"/>
          <w:numId w:val="5"/>
        </w:numPr>
        <w:tabs>
          <w:tab w:val="clear" w:pos="1134"/>
        </w:tabs>
        <w:ind w:firstLine="624"/>
        <w:rPr>
          <w:lang w:val="es-ES_tradnl"/>
        </w:rPr>
      </w:pPr>
      <w:r>
        <w:rPr>
          <w:lang w:val="es-ES"/>
        </w:rPr>
        <w:t xml:space="preserve">La validación de los resultados. </w:t>
      </w:r>
    </w:p>
    <w:p w:rsidR="0046072B" w:rsidRPr="00E427BC" w:rsidRDefault="00E9338F" w:rsidP="00DC6E45">
      <w:pPr>
        <w:pStyle w:val="Normalnumber"/>
        <w:tabs>
          <w:tab w:val="clear" w:pos="1305"/>
        </w:tabs>
        <w:ind w:left="1247"/>
        <w:rPr>
          <w:lang w:val="es-ES_tradnl"/>
        </w:rPr>
      </w:pPr>
      <w:r>
        <w:rPr>
          <w:lang w:val="es-ES"/>
        </w:rPr>
        <w:t xml:space="preserve">En su sexto período de sesiones, el Comité Intergubernamental de Negociación encargado de elaborar un instrumento jurídicamente vinculante a nivel mundial sobre el mercurio, examinó la cuestión de las orientaciones sobre los sitios contaminados y aplazó su examen hasta su séptimo período de sesiones. En su séptimo período de sesiones, el Comité solicitó a la secretaría que consultase con los Gobiernos, las secretarías pertinentes sobre productos químicos y desechos y otros interesados, y solicitase sus aportaciones sobre documentos de orientación o recomendaciones en relación con la </w:t>
      </w:r>
      <w:r w:rsidR="009842D5">
        <w:rPr>
          <w:lang w:val="es-ES"/>
        </w:rPr>
        <w:t xml:space="preserve">gestión de sitios </w:t>
      </w:r>
      <w:r>
        <w:rPr>
          <w:lang w:val="es-ES"/>
        </w:rPr>
        <w:t xml:space="preserve">contaminados por el mercurio. El Comité solicitó también a la secretaría que preparase una compilación que se utilizaría como base para un proyecto de orientaciones sobre la </w:t>
      </w:r>
      <w:r w:rsidR="009842D5">
        <w:rPr>
          <w:lang w:val="es-ES"/>
        </w:rPr>
        <w:t xml:space="preserve">gestión de sitios </w:t>
      </w:r>
      <w:r>
        <w:rPr>
          <w:lang w:val="es-ES"/>
        </w:rPr>
        <w:t>contaminados por el mercurio, un esbozo de su estructura y contenido, y una hoja de ruta para su examen por la Conferencia de las Partes en su primera reunión, utilizando los documentos presentados como base de su labor e incorporando los elementos descritos en el párrafo 3 del artículo 12, y teniendo también en cuenta el párrafo 4 del artículo 12.</w:t>
      </w:r>
    </w:p>
    <w:p w:rsidR="005F71EF" w:rsidRPr="00E427BC" w:rsidRDefault="00693583" w:rsidP="00DC6E45">
      <w:pPr>
        <w:pStyle w:val="Normalnumber"/>
        <w:tabs>
          <w:tab w:val="clear" w:pos="1305"/>
        </w:tabs>
        <w:ind w:left="1247"/>
        <w:rPr>
          <w:lang w:val="es-ES_tradnl"/>
        </w:rPr>
      </w:pPr>
      <w:r>
        <w:rPr>
          <w:lang w:val="es-ES"/>
        </w:rPr>
        <w:t>La secretaría provisional invitó a los Gobiernos y a otros interesados a que presentasen información sobre documento</w:t>
      </w:r>
      <w:r w:rsidR="004818DE">
        <w:rPr>
          <w:lang w:val="es-ES"/>
        </w:rPr>
        <w:t>s</w:t>
      </w:r>
      <w:r>
        <w:rPr>
          <w:lang w:val="es-ES"/>
        </w:rPr>
        <w:t xml:space="preserve"> de orientaci</w:t>
      </w:r>
      <w:r w:rsidR="004818DE">
        <w:rPr>
          <w:lang w:val="es-ES"/>
        </w:rPr>
        <w:t>ón</w:t>
      </w:r>
      <w:r>
        <w:rPr>
          <w:lang w:val="es-ES"/>
        </w:rPr>
        <w:t xml:space="preserve"> u otras recomendaciones en relación con la gestión de </w:t>
      </w:r>
      <w:r>
        <w:rPr>
          <w:lang w:val="es-ES"/>
        </w:rPr>
        <w:lastRenderedPageBreak/>
        <w:t xml:space="preserve">sitios contaminados con el mercurio. La información recibida se ha publicado en el sitio web del Convenio (www.mercuryconvention.org/Negotiations/submissionsforCOP1/tabid/5535/Default.aspx). Con vistas a dar respuesta a la primera parte de la solicitud del Comité, la secretaría provisional ha extraído la información relativa a los documentos relativos a las orientaciones sobre la gestión de sitios contaminados recibidos como parte del proceso de presentación de información, y la ha compilado como fuente de referencia para todas aquellas personas que inicien actividades relacionadas con los sitios contaminados. La recopilación, con enlaces a los documentos de orientación pertinentes, figura en el anexo II de la presente nota. El esbozo de la estructura y el contenido del documento sobre las orientaciones y la hoja de ruta para la preparación del documento relativo a las orientaciones figuran en los anexos III y IV, respectivamente. </w:t>
      </w:r>
      <w:r w:rsidR="00E427BC">
        <w:rPr>
          <w:lang w:val="es-ES"/>
        </w:rPr>
        <w:t xml:space="preserve">En el anexo I se reproduce un proyecto de decisión relativo a las orientaciones sobre la </w:t>
      </w:r>
      <w:r w:rsidR="009842D5">
        <w:rPr>
          <w:lang w:val="es-ES"/>
        </w:rPr>
        <w:t xml:space="preserve">gestión de sitios </w:t>
      </w:r>
      <w:r w:rsidR="00E427BC">
        <w:rPr>
          <w:lang w:val="es-ES"/>
        </w:rPr>
        <w:t>contaminados.</w:t>
      </w:r>
    </w:p>
    <w:p w:rsidR="00312543" w:rsidRPr="00E427BC" w:rsidRDefault="00240CA2" w:rsidP="00DC6E45">
      <w:pPr>
        <w:pStyle w:val="CH2"/>
        <w:rPr>
          <w:lang w:val="es-ES_tradnl"/>
        </w:rPr>
      </w:pPr>
      <w:r>
        <w:rPr>
          <w:lang w:val="es-ES"/>
        </w:rPr>
        <w:tab/>
      </w:r>
      <w:r>
        <w:rPr>
          <w:lang w:val="es-ES"/>
        </w:rPr>
        <w:tab/>
        <w:t>Medida que podría adoptar la Conferencia de las Partes</w:t>
      </w:r>
    </w:p>
    <w:p w:rsidR="00BC602A" w:rsidRPr="00E427BC" w:rsidRDefault="00312543" w:rsidP="00626B1D">
      <w:pPr>
        <w:pStyle w:val="Normalnumber"/>
        <w:tabs>
          <w:tab w:val="clear" w:pos="1305"/>
        </w:tabs>
        <w:ind w:left="1247"/>
        <w:rPr>
          <w:lang w:val="es-ES_tradnl"/>
        </w:rPr>
      </w:pPr>
      <w:r>
        <w:rPr>
          <w:lang w:val="es-ES"/>
        </w:rPr>
        <w:t xml:space="preserve">La Conferencia tal vez desee considerar la posibilidad de seguir trabajando en las orientaciones sobre la gestión de sitios contaminados, tomando como base el esbozo de la estructura y el contenido de </w:t>
      </w:r>
      <w:r w:rsidR="00E427BC">
        <w:rPr>
          <w:lang w:val="es-ES"/>
        </w:rPr>
        <w:t xml:space="preserve">las orientaciones </w:t>
      </w:r>
      <w:r w:rsidR="00F15AA8">
        <w:rPr>
          <w:lang w:val="es-ES"/>
        </w:rPr>
        <w:t xml:space="preserve">de </w:t>
      </w:r>
      <w:r w:rsidR="009842D5">
        <w:rPr>
          <w:lang w:val="es-ES"/>
        </w:rPr>
        <w:t>la gestión de</w:t>
      </w:r>
      <w:r>
        <w:rPr>
          <w:lang w:val="es-ES"/>
        </w:rPr>
        <w:t xml:space="preserve"> sitios contaminados, y utilizando el proyecto de hoja de ruta como base para organizar esa labor. </w:t>
      </w:r>
    </w:p>
    <w:p w:rsidR="009F0B3C" w:rsidRPr="00E427BC" w:rsidRDefault="009F0B3C" w:rsidP="009F0B3C">
      <w:pPr>
        <w:pStyle w:val="Normal-pool"/>
        <w:rPr>
          <w:lang w:val="es-ES_tradnl"/>
        </w:rPr>
        <w:sectPr w:rsidR="009F0B3C" w:rsidRPr="00E427BC"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79673F" w:rsidRPr="00E427BC" w:rsidRDefault="0079673F" w:rsidP="009F0B3C">
      <w:pPr>
        <w:pStyle w:val="ZZAnxheader"/>
        <w:rPr>
          <w:lang w:val="es-ES_tradnl"/>
        </w:rPr>
      </w:pPr>
      <w:r>
        <w:rPr>
          <w:lang w:val="es-ES"/>
        </w:rPr>
        <w:t xml:space="preserve">Anexo I </w:t>
      </w:r>
    </w:p>
    <w:p w:rsidR="00152D30" w:rsidRPr="00E427BC" w:rsidRDefault="00152D30" w:rsidP="00076166">
      <w:pPr>
        <w:pStyle w:val="ZZAnxtitle"/>
        <w:rPr>
          <w:lang w:val="es-ES_tradnl"/>
        </w:rPr>
      </w:pPr>
      <w:r>
        <w:rPr>
          <w:lang w:val="es-ES"/>
        </w:rPr>
        <w:t xml:space="preserve">Proyecto de decisión  </w:t>
      </w:r>
    </w:p>
    <w:p w:rsidR="0079673F" w:rsidRPr="008D66EB" w:rsidRDefault="00152D30" w:rsidP="009F0B3C">
      <w:pPr>
        <w:pStyle w:val="CH2"/>
        <w:rPr>
          <w:sz w:val="28"/>
          <w:szCs w:val="28"/>
          <w:lang w:val="es-ES_tradnl"/>
        </w:rPr>
      </w:pPr>
      <w:r>
        <w:rPr>
          <w:lang w:val="es-ES"/>
        </w:rPr>
        <w:tab/>
      </w:r>
      <w:r>
        <w:rPr>
          <w:lang w:val="es-ES"/>
        </w:rPr>
        <w:tab/>
      </w:r>
      <w:r w:rsidRPr="008D66EB">
        <w:rPr>
          <w:sz w:val="28"/>
          <w:szCs w:val="28"/>
          <w:lang w:val="es-ES"/>
        </w:rPr>
        <w:t xml:space="preserve">MC-1/X: Orientaciones sobre la </w:t>
      </w:r>
      <w:r w:rsidR="009842D5" w:rsidRPr="008D66EB">
        <w:rPr>
          <w:sz w:val="28"/>
          <w:szCs w:val="28"/>
          <w:lang w:val="es-ES"/>
        </w:rPr>
        <w:t xml:space="preserve">gestión de sitios </w:t>
      </w:r>
      <w:r w:rsidRPr="008D66EB">
        <w:rPr>
          <w:sz w:val="28"/>
          <w:szCs w:val="28"/>
          <w:lang w:val="es-ES"/>
        </w:rPr>
        <w:t>contaminados</w:t>
      </w:r>
    </w:p>
    <w:p w:rsidR="0079673F" w:rsidRPr="006530C9" w:rsidRDefault="0079673F" w:rsidP="009F0B3C">
      <w:pPr>
        <w:pStyle w:val="Normalnumber"/>
        <w:numPr>
          <w:ilvl w:val="0"/>
          <w:numId w:val="0"/>
        </w:numPr>
        <w:tabs>
          <w:tab w:val="left" w:pos="426"/>
        </w:tabs>
        <w:ind w:left="1247" w:firstLine="624"/>
        <w:rPr>
          <w:i/>
          <w:lang w:val="es-ES_tradnl"/>
        </w:rPr>
      </w:pPr>
      <w:r w:rsidRPr="006530C9">
        <w:rPr>
          <w:i/>
          <w:lang w:val="es-ES"/>
        </w:rPr>
        <w:t>La Conferencia de las Partes</w:t>
      </w:r>
    </w:p>
    <w:p w:rsidR="0079673F" w:rsidRPr="00E427BC" w:rsidRDefault="0079673F" w:rsidP="00DC6E45">
      <w:pPr>
        <w:pStyle w:val="Normal-pool"/>
        <w:tabs>
          <w:tab w:val="clear" w:pos="1247"/>
          <w:tab w:val="clear" w:pos="1814"/>
          <w:tab w:val="clear" w:pos="2381"/>
          <w:tab w:val="clear" w:pos="2948"/>
          <w:tab w:val="clear" w:pos="3515"/>
          <w:tab w:val="clear" w:pos="4082"/>
          <w:tab w:val="left" w:pos="624"/>
        </w:tabs>
        <w:spacing w:after="120"/>
        <w:ind w:left="1247" w:firstLine="624"/>
        <w:rPr>
          <w:iCs/>
          <w:lang w:val="es-ES_tradnl"/>
        </w:rPr>
      </w:pPr>
      <w:r w:rsidRPr="006530C9">
        <w:rPr>
          <w:i/>
          <w:lang w:val="es-ES"/>
        </w:rPr>
        <w:t>Da su conformidad</w:t>
      </w:r>
      <w:r>
        <w:rPr>
          <w:lang w:val="es-ES"/>
        </w:rPr>
        <w:t xml:space="preserve"> para la elaboración del proyecto de orientaciones sobre la gestión de sitios contaminados en consonancia con el programa de trabajo </w:t>
      </w:r>
      <w:r w:rsidR="006530C9">
        <w:rPr>
          <w:lang w:val="es-ES"/>
        </w:rPr>
        <w:t xml:space="preserve">contenido </w:t>
      </w:r>
      <w:r>
        <w:rPr>
          <w:lang w:val="es-ES"/>
        </w:rPr>
        <w:t>en la hoja de</w:t>
      </w:r>
      <w:r w:rsidR="003366AC">
        <w:rPr>
          <w:lang w:val="es-ES"/>
        </w:rPr>
        <w:t xml:space="preserve"> ruta que figura en el anexo [-</w:t>
      </w:r>
      <w:r>
        <w:rPr>
          <w:lang w:val="es-ES"/>
        </w:rPr>
        <w:t>-] de la presente decisión, y sobre la base de</w:t>
      </w:r>
      <w:r w:rsidR="000E0226">
        <w:rPr>
          <w:lang w:val="es-ES"/>
        </w:rPr>
        <w:t>l proyecto de</w:t>
      </w:r>
      <w:r>
        <w:rPr>
          <w:lang w:val="es-ES"/>
        </w:rPr>
        <w:t xml:space="preserve"> estructura y contenido </w:t>
      </w:r>
      <w:r w:rsidR="006530C9">
        <w:rPr>
          <w:lang w:val="es-ES"/>
        </w:rPr>
        <w:t xml:space="preserve">de las orientaciones </w:t>
      </w:r>
      <w:r>
        <w:rPr>
          <w:lang w:val="es-ES"/>
        </w:rPr>
        <w:t>que figura</w:t>
      </w:r>
      <w:r w:rsidR="006530C9">
        <w:rPr>
          <w:lang w:val="es-ES"/>
        </w:rPr>
        <w:t>n</w:t>
      </w:r>
      <w:r w:rsidR="003366AC">
        <w:rPr>
          <w:lang w:val="es-ES"/>
        </w:rPr>
        <w:t xml:space="preserve"> en el anexo [-</w:t>
      </w:r>
      <w:r>
        <w:rPr>
          <w:lang w:val="es-ES"/>
        </w:rPr>
        <w:t>-] de la presente decisión.</w:t>
      </w:r>
    </w:p>
    <w:p w:rsidR="003366AC" w:rsidRDefault="003366AC">
      <w:pPr>
        <w:tabs>
          <w:tab w:val="clear" w:pos="1247"/>
          <w:tab w:val="clear" w:pos="1814"/>
          <w:tab w:val="clear" w:pos="2381"/>
          <w:tab w:val="clear" w:pos="2948"/>
          <w:tab w:val="clear" w:pos="3515"/>
        </w:tabs>
        <w:rPr>
          <w:b/>
          <w:bCs/>
          <w:sz w:val="28"/>
          <w:szCs w:val="22"/>
          <w:lang w:val="es-ES"/>
        </w:rPr>
      </w:pPr>
      <w:r>
        <w:rPr>
          <w:lang w:val="es-ES"/>
        </w:rPr>
        <w:br w:type="page"/>
      </w:r>
    </w:p>
    <w:p w:rsidR="009F0B3C" w:rsidRPr="00E427BC" w:rsidRDefault="0079673F" w:rsidP="00ED1863">
      <w:pPr>
        <w:pStyle w:val="ZZAnxheader"/>
        <w:rPr>
          <w:lang w:val="es-ES_tradnl"/>
        </w:rPr>
      </w:pPr>
      <w:r>
        <w:rPr>
          <w:lang w:val="es-ES"/>
        </w:rPr>
        <w:t xml:space="preserve">Anexo II </w:t>
      </w:r>
    </w:p>
    <w:p w:rsidR="00410C59" w:rsidRPr="00E427BC" w:rsidRDefault="0021053C" w:rsidP="00DC6E45">
      <w:pPr>
        <w:pStyle w:val="ZZAnxtitle"/>
        <w:rPr>
          <w:lang w:val="es-ES_tradnl"/>
        </w:rPr>
      </w:pPr>
      <w:r>
        <w:rPr>
          <w:lang w:val="es-ES"/>
        </w:rPr>
        <w:t>Compilación de la información presentada en documentos de orientación o recomendaciones en relación con la gestión de sitios contaminados con mercurio</w:t>
      </w:r>
    </w:p>
    <w:p w:rsidR="00D23105" w:rsidRPr="00F15AA8" w:rsidRDefault="009F0B3C" w:rsidP="009F0B3C">
      <w:pPr>
        <w:pStyle w:val="CH2"/>
        <w:rPr>
          <w:sz w:val="22"/>
          <w:szCs w:val="22"/>
        </w:rPr>
      </w:pPr>
      <w:r>
        <w:rPr>
          <w:lang w:val="es-ES"/>
        </w:rPr>
        <w:tab/>
      </w:r>
      <w:r w:rsidRPr="00F15AA8">
        <w:rPr>
          <w:sz w:val="22"/>
          <w:szCs w:val="22"/>
          <w:lang w:val="es-ES"/>
        </w:rPr>
        <w:tab/>
      </w:r>
      <w:proofErr w:type="spellStart"/>
      <w:r w:rsidRPr="00F15AA8">
        <w:rPr>
          <w:sz w:val="22"/>
          <w:szCs w:val="22"/>
          <w:lang w:val="en-US"/>
        </w:rPr>
        <w:t>Canadá</w:t>
      </w:r>
      <w:proofErr w:type="spellEnd"/>
    </w:p>
    <w:p w:rsidR="00D23105" w:rsidRPr="00BF3CDD" w:rsidRDefault="00D23105" w:rsidP="008D66EB">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i/>
        </w:rPr>
      </w:pPr>
      <w:r w:rsidRPr="00E427BC">
        <w:rPr>
          <w:i/>
          <w:iCs/>
          <w:lang w:val="en-US"/>
        </w:rPr>
        <w:t>Guidance Manual for Environmental Site Characterization in Support of Environmental and Human Health Risk Assessment</w:t>
      </w:r>
      <w:r w:rsidRPr="00E427BC">
        <w:rPr>
          <w:lang w:val="en-US"/>
        </w:rPr>
        <w:t xml:space="preserve"> </w:t>
      </w:r>
    </w:p>
    <w:p w:rsidR="00D23105" w:rsidRPr="00E427BC" w:rsidRDefault="00D23105" w:rsidP="008D66EB">
      <w:pPr>
        <w:pStyle w:val="NormalNonumber"/>
        <w:numPr>
          <w:ilvl w:val="0"/>
          <w:numId w:val="19"/>
        </w:numPr>
        <w:tabs>
          <w:tab w:val="clear" w:pos="1247"/>
          <w:tab w:val="clear" w:pos="1814"/>
          <w:tab w:val="clear" w:pos="2381"/>
          <w:tab w:val="clear" w:pos="2948"/>
          <w:tab w:val="clear" w:pos="3515"/>
          <w:tab w:val="clear" w:pos="4082"/>
          <w:tab w:val="left" w:pos="624"/>
        </w:tabs>
        <w:ind w:left="2495" w:hanging="624"/>
        <w:rPr>
          <w:lang w:val="es-ES_tradnl"/>
        </w:rPr>
      </w:pPr>
      <w:proofErr w:type="spellStart"/>
      <w:r w:rsidRPr="00F63F6C">
        <w:rPr>
          <w:i/>
          <w:lang w:val="es-ES"/>
        </w:rPr>
        <w:t>Volume</w:t>
      </w:r>
      <w:proofErr w:type="spellEnd"/>
      <w:r w:rsidRPr="00F63F6C">
        <w:rPr>
          <w:i/>
          <w:lang w:val="es-ES"/>
        </w:rPr>
        <w:t xml:space="preserve"> I: </w:t>
      </w:r>
      <w:proofErr w:type="spellStart"/>
      <w:r w:rsidRPr="00F63F6C">
        <w:rPr>
          <w:i/>
          <w:lang w:val="es-ES"/>
        </w:rPr>
        <w:t>Guidance</w:t>
      </w:r>
      <w:proofErr w:type="spellEnd"/>
      <w:r w:rsidRPr="00F63F6C">
        <w:rPr>
          <w:i/>
          <w:lang w:val="es-ES"/>
        </w:rPr>
        <w:t xml:space="preserve"> Manual (Consejo Canadiense de Ministros de Medio Ambiente, 2016).</w:t>
      </w:r>
      <w:r>
        <w:rPr>
          <w:lang w:val="es-ES"/>
        </w:rPr>
        <w:t xml:space="preserve"> Puede consultarse en http://www.ccme.ca/en/files/Resources/csm/Volume%201-Guidance%20Manual-Environmental%20Site%20Characterization_e%20PN%201551.pdf.</w:t>
      </w:r>
    </w:p>
    <w:p w:rsidR="00D23105" w:rsidRPr="00E427BC" w:rsidRDefault="00D23105" w:rsidP="008D66EB">
      <w:pPr>
        <w:pStyle w:val="NormalNonumber"/>
        <w:numPr>
          <w:ilvl w:val="0"/>
          <w:numId w:val="19"/>
        </w:numPr>
        <w:tabs>
          <w:tab w:val="clear" w:pos="1247"/>
          <w:tab w:val="clear" w:pos="1814"/>
          <w:tab w:val="clear" w:pos="2381"/>
          <w:tab w:val="clear" w:pos="2948"/>
          <w:tab w:val="clear" w:pos="3515"/>
          <w:tab w:val="clear" w:pos="4082"/>
          <w:tab w:val="left" w:pos="624"/>
        </w:tabs>
        <w:ind w:left="2495" w:hanging="624"/>
        <w:rPr>
          <w:lang w:val="es-ES_tradnl"/>
        </w:rPr>
      </w:pPr>
      <w:proofErr w:type="spellStart"/>
      <w:r w:rsidRPr="00F63F6C">
        <w:rPr>
          <w:i/>
          <w:lang w:val="es-ES"/>
        </w:rPr>
        <w:t>Volume</w:t>
      </w:r>
      <w:proofErr w:type="spellEnd"/>
      <w:r w:rsidRPr="00F63F6C">
        <w:rPr>
          <w:i/>
          <w:lang w:val="es-ES"/>
        </w:rPr>
        <w:t xml:space="preserve"> II: </w:t>
      </w:r>
      <w:proofErr w:type="spellStart"/>
      <w:r w:rsidRPr="00F63F6C">
        <w:rPr>
          <w:i/>
          <w:lang w:val="es-ES"/>
        </w:rPr>
        <w:t>Checklists</w:t>
      </w:r>
      <w:proofErr w:type="spellEnd"/>
      <w:r w:rsidRPr="00F63F6C">
        <w:rPr>
          <w:i/>
          <w:lang w:val="es-ES"/>
        </w:rPr>
        <w:t xml:space="preserve"> (Consejo Canadiense de Ministros de Medio Ambiente, 2016).</w:t>
      </w:r>
      <w:r>
        <w:rPr>
          <w:lang w:val="es-ES"/>
        </w:rPr>
        <w:t xml:space="preserve"> Puede consultarse en http://www.ccme.ca/en/files/Resources/csm/Volume%202-Checklists-Environmental%20Site%20Characterization_e%20PN%201553.pdf.</w:t>
      </w:r>
    </w:p>
    <w:p w:rsidR="00D23105" w:rsidRPr="00E427BC" w:rsidRDefault="00D23105" w:rsidP="008D66EB">
      <w:pPr>
        <w:pStyle w:val="NormalNonumber"/>
        <w:numPr>
          <w:ilvl w:val="0"/>
          <w:numId w:val="19"/>
        </w:numPr>
        <w:tabs>
          <w:tab w:val="clear" w:pos="1247"/>
          <w:tab w:val="clear" w:pos="1814"/>
          <w:tab w:val="clear" w:pos="2381"/>
          <w:tab w:val="clear" w:pos="2948"/>
          <w:tab w:val="clear" w:pos="3515"/>
          <w:tab w:val="clear" w:pos="4082"/>
          <w:tab w:val="left" w:pos="624"/>
        </w:tabs>
        <w:ind w:left="2495" w:hanging="624"/>
        <w:rPr>
          <w:lang w:val="es-ES_tradnl"/>
        </w:rPr>
      </w:pPr>
      <w:proofErr w:type="spellStart"/>
      <w:r w:rsidRPr="00F63F6C">
        <w:rPr>
          <w:i/>
          <w:lang w:val="es-ES"/>
        </w:rPr>
        <w:t>Subsurface</w:t>
      </w:r>
      <w:proofErr w:type="spellEnd"/>
      <w:r w:rsidRPr="00F63F6C">
        <w:rPr>
          <w:i/>
          <w:lang w:val="es-ES"/>
        </w:rPr>
        <w:t xml:space="preserve"> </w:t>
      </w:r>
      <w:proofErr w:type="spellStart"/>
      <w:r w:rsidRPr="00F63F6C">
        <w:rPr>
          <w:i/>
          <w:lang w:val="es-ES"/>
        </w:rPr>
        <w:t>Assessment</w:t>
      </w:r>
      <w:proofErr w:type="spellEnd"/>
      <w:r w:rsidRPr="00F63F6C">
        <w:rPr>
          <w:i/>
          <w:lang w:val="es-ES"/>
        </w:rPr>
        <w:t xml:space="preserve"> </w:t>
      </w:r>
      <w:proofErr w:type="spellStart"/>
      <w:r w:rsidRPr="00F63F6C">
        <w:rPr>
          <w:i/>
          <w:lang w:val="es-ES"/>
        </w:rPr>
        <w:t>Handbook</w:t>
      </w:r>
      <w:proofErr w:type="spellEnd"/>
      <w:r w:rsidRPr="00F63F6C">
        <w:rPr>
          <w:i/>
          <w:lang w:val="es-ES"/>
        </w:rPr>
        <w:t xml:space="preserve"> </w:t>
      </w:r>
      <w:proofErr w:type="spellStart"/>
      <w:r w:rsidRPr="00F63F6C">
        <w:rPr>
          <w:i/>
          <w:lang w:val="es-ES"/>
        </w:rPr>
        <w:t>for</w:t>
      </w:r>
      <w:proofErr w:type="spellEnd"/>
      <w:r w:rsidRPr="00F63F6C">
        <w:rPr>
          <w:i/>
          <w:lang w:val="es-ES"/>
        </w:rPr>
        <w:t xml:space="preserve"> </w:t>
      </w:r>
      <w:proofErr w:type="spellStart"/>
      <w:r w:rsidRPr="00F63F6C">
        <w:rPr>
          <w:i/>
          <w:lang w:val="es-ES"/>
        </w:rPr>
        <w:t>Contaminated</w:t>
      </w:r>
      <w:proofErr w:type="spellEnd"/>
      <w:r w:rsidRPr="00F63F6C">
        <w:rPr>
          <w:i/>
          <w:lang w:val="es-ES"/>
        </w:rPr>
        <w:t xml:space="preserve"> </w:t>
      </w:r>
      <w:proofErr w:type="spellStart"/>
      <w:r w:rsidRPr="00F63F6C">
        <w:rPr>
          <w:i/>
          <w:lang w:val="es-ES"/>
        </w:rPr>
        <w:t>Sites</w:t>
      </w:r>
      <w:proofErr w:type="spellEnd"/>
      <w:r>
        <w:rPr>
          <w:lang w:val="es-ES"/>
        </w:rPr>
        <w:t xml:space="preserve"> (Consejo Canadiense de Ministros de Medio Ambiente, 1994). Puede consultar en http://www.ccme.ca/files/Resources/csm/pn_1144_e.pdf</w:t>
      </w:r>
    </w:p>
    <w:p w:rsidR="00D23105" w:rsidRPr="00E427BC" w:rsidRDefault="00D23105" w:rsidP="008D66EB">
      <w:pPr>
        <w:pStyle w:val="NormalNonumber"/>
        <w:numPr>
          <w:ilvl w:val="0"/>
          <w:numId w:val="19"/>
        </w:numPr>
        <w:tabs>
          <w:tab w:val="clear" w:pos="1247"/>
          <w:tab w:val="clear" w:pos="1814"/>
          <w:tab w:val="clear" w:pos="2381"/>
          <w:tab w:val="clear" w:pos="2948"/>
          <w:tab w:val="clear" w:pos="3515"/>
          <w:tab w:val="clear" w:pos="4082"/>
          <w:tab w:val="left" w:pos="624"/>
        </w:tabs>
        <w:ind w:left="2495" w:hanging="624"/>
        <w:rPr>
          <w:lang w:val="es-ES_tradnl"/>
        </w:rPr>
      </w:pPr>
      <w:proofErr w:type="spellStart"/>
      <w:r w:rsidRPr="00F63F6C">
        <w:rPr>
          <w:i/>
          <w:lang w:val="es-ES"/>
        </w:rPr>
        <w:t>Canada</w:t>
      </w:r>
      <w:proofErr w:type="spellEnd"/>
      <w:r w:rsidRPr="00F63F6C">
        <w:rPr>
          <w:i/>
          <w:lang w:val="es-ES"/>
        </w:rPr>
        <w:t xml:space="preserve">–Ontario </w:t>
      </w:r>
      <w:proofErr w:type="spellStart"/>
      <w:r w:rsidRPr="00F63F6C">
        <w:rPr>
          <w:i/>
          <w:lang w:val="es-ES"/>
        </w:rPr>
        <w:t>Decision-Making</w:t>
      </w:r>
      <w:proofErr w:type="spellEnd"/>
      <w:r w:rsidRPr="00F63F6C">
        <w:rPr>
          <w:i/>
          <w:lang w:val="es-ES"/>
        </w:rPr>
        <w:t xml:space="preserve"> Framework </w:t>
      </w:r>
      <w:proofErr w:type="spellStart"/>
      <w:r w:rsidRPr="00F63F6C">
        <w:rPr>
          <w:i/>
          <w:lang w:val="es-ES"/>
        </w:rPr>
        <w:t>for</w:t>
      </w:r>
      <w:proofErr w:type="spellEnd"/>
      <w:r w:rsidRPr="00F63F6C">
        <w:rPr>
          <w:i/>
          <w:lang w:val="es-ES"/>
        </w:rPr>
        <w:t xml:space="preserve"> </w:t>
      </w:r>
      <w:proofErr w:type="spellStart"/>
      <w:r w:rsidRPr="00F63F6C">
        <w:rPr>
          <w:i/>
          <w:lang w:val="es-ES"/>
        </w:rPr>
        <w:t>Assessment</w:t>
      </w:r>
      <w:proofErr w:type="spellEnd"/>
      <w:r w:rsidRPr="00F63F6C">
        <w:rPr>
          <w:i/>
          <w:lang w:val="es-ES"/>
        </w:rPr>
        <w:t xml:space="preserve"> of Great </w:t>
      </w:r>
      <w:proofErr w:type="spellStart"/>
      <w:r w:rsidRPr="00F63F6C">
        <w:rPr>
          <w:i/>
          <w:lang w:val="es-ES"/>
        </w:rPr>
        <w:t>Lakes</w:t>
      </w:r>
      <w:proofErr w:type="spellEnd"/>
      <w:r w:rsidRPr="00F63F6C">
        <w:rPr>
          <w:i/>
          <w:lang w:val="es-ES"/>
        </w:rPr>
        <w:t xml:space="preserve"> </w:t>
      </w:r>
      <w:proofErr w:type="spellStart"/>
      <w:r w:rsidRPr="00F63F6C">
        <w:rPr>
          <w:i/>
          <w:lang w:val="es-ES"/>
        </w:rPr>
        <w:t>Contaminated</w:t>
      </w:r>
      <w:proofErr w:type="spellEnd"/>
      <w:r w:rsidRPr="00F63F6C">
        <w:rPr>
          <w:i/>
          <w:lang w:val="es-ES"/>
        </w:rPr>
        <w:t xml:space="preserve"> </w:t>
      </w:r>
      <w:proofErr w:type="spellStart"/>
      <w:r w:rsidRPr="00F63F6C">
        <w:rPr>
          <w:i/>
          <w:lang w:val="es-ES"/>
        </w:rPr>
        <w:t>Sediment</w:t>
      </w:r>
      <w:proofErr w:type="spellEnd"/>
      <w:r>
        <w:rPr>
          <w:lang w:val="es-ES"/>
        </w:rPr>
        <w:t xml:space="preserve"> (Medio Ambiente y Cambio Climático Canadá y Ministerio del Medio Ambiente, 2008). Puede consultarse en http://publications.gc.ca/collections/collection_2010/ec/En164-14-2007-eng.pdf</w:t>
      </w:r>
    </w:p>
    <w:p w:rsidR="00D23105" w:rsidRPr="00BF3CDD" w:rsidRDefault="004818DE" w:rsidP="008D66EB">
      <w:pPr>
        <w:pStyle w:val="NormalNonumber"/>
        <w:numPr>
          <w:ilvl w:val="0"/>
          <w:numId w:val="19"/>
        </w:numPr>
        <w:tabs>
          <w:tab w:val="clear" w:pos="1247"/>
          <w:tab w:val="clear" w:pos="1814"/>
          <w:tab w:val="clear" w:pos="2381"/>
          <w:tab w:val="clear" w:pos="2948"/>
          <w:tab w:val="clear" w:pos="3515"/>
          <w:tab w:val="clear" w:pos="4082"/>
          <w:tab w:val="left" w:pos="624"/>
        </w:tabs>
        <w:ind w:left="2495" w:hanging="624"/>
      </w:pPr>
      <w:r w:rsidRPr="00BF3CDD">
        <w:t xml:space="preserve">Guidance and orientation for the </w:t>
      </w:r>
      <w:r>
        <w:t>s</w:t>
      </w:r>
      <w:r w:rsidRPr="00BF3CDD">
        <w:t xml:space="preserve">election of technologies </w:t>
      </w:r>
      <w:r w:rsidRPr="00D44B81">
        <w:t>(P</w:t>
      </w:r>
      <w:r w:rsidRPr="009E09E3">
        <w:t>ublic Works and Government Services Canada</w:t>
      </w:r>
      <w:r w:rsidRPr="00D44B81">
        <w:t>/</w:t>
      </w:r>
      <w:r w:rsidRPr="00BF3CDD">
        <w:t>National Research Council, 2012</w:t>
      </w:r>
      <w:r w:rsidR="00D23105" w:rsidRPr="00E427BC">
        <w:rPr>
          <w:lang w:val="en-US"/>
        </w:rPr>
        <w:t xml:space="preserve">; se </w:t>
      </w:r>
      <w:proofErr w:type="spellStart"/>
      <w:r w:rsidR="00D23105" w:rsidRPr="00E427BC">
        <w:rPr>
          <w:lang w:val="en-US"/>
        </w:rPr>
        <w:t>requiere</w:t>
      </w:r>
      <w:proofErr w:type="spellEnd"/>
      <w:r w:rsidR="00D23105" w:rsidRPr="00E427BC">
        <w:rPr>
          <w:lang w:val="en-US"/>
        </w:rPr>
        <w:t xml:space="preserve"> </w:t>
      </w:r>
      <w:proofErr w:type="spellStart"/>
      <w:r w:rsidR="00D23105" w:rsidRPr="00E427BC">
        <w:rPr>
          <w:lang w:val="en-US"/>
        </w:rPr>
        <w:t>inscripción</w:t>
      </w:r>
      <w:proofErr w:type="spellEnd"/>
      <w:r w:rsidR="00D23105" w:rsidRPr="00E427BC">
        <w:rPr>
          <w:lang w:val="en-US"/>
        </w:rPr>
        <w:t xml:space="preserve">) </w:t>
      </w:r>
      <w:proofErr w:type="spellStart"/>
      <w:r w:rsidR="00D23105" w:rsidRPr="00E427BC">
        <w:rPr>
          <w:lang w:val="en-US"/>
        </w:rPr>
        <w:t>Puede</w:t>
      </w:r>
      <w:proofErr w:type="spellEnd"/>
      <w:r w:rsidR="00D23105" w:rsidRPr="00E427BC">
        <w:rPr>
          <w:lang w:val="en-US"/>
        </w:rPr>
        <w:t xml:space="preserve"> </w:t>
      </w:r>
      <w:proofErr w:type="spellStart"/>
      <w:r w:rsidR="00D23105" w:rsidRPr="00E427BC">
        <w:rPr>
          <w:lang w:val="en-US"/>
        </w:rPr>
        <w:t>consultarse</w:t>
      </w:r>
      <w:proofErr w:type="spellEnd"/>
      <w:r w:rsidR="00D23105" w:rsidRPr="00E427BC">
        <w:rPr>
          <w:lang w:val="en-US"/>
        </w:rPr>
        <w:t xml:space="preserve"> en http://gost.irb-bri.cnrc-nrc.gc.ca/hm.aspx?ind_lang=en</w:t>
      </w:r>
    </w:p>
    <w:p w:rsidR="00D23105" w:rsidRPr="00E427BC" w:rsidRDefault="00D23105" w:rsidP="008D66EB">
      <w:pPr>
        <w:pStyle w:val="NormalNonumber"/>
        <w:numPr>
          <w:ilvl w:val="0"/>
          <w:numId w:val="19"/>
        </w:numPr>
        <w:tabs>
          <w:tab w:val="clear" w:pos="1247"/>
          <w:tab w:val="clear" w:pos="1814"/>
          <w:tab w:val="clear" w:pos="2381"/>
          <w:tab w:val="clear" w:pos="2948"/>
          <w:tab w:val="clear" w:pos="3515"/>
          <w:tab w:val="clear" w:pos="4082"/>
          <w:tab w:val="left" w:pos="624"/>
        </w:tabs>
        <w:ind w:left="2495" w:hanging="624"/>
        <w:rPr>
          <w:lang w:val="es-ES_tradnl"/>
        </w:rPr>
      </w:pPr>
      <w:r w:rsidRPr="00F63F6C">
        <w:rPr>
          <w:i/>
          <w:lang w:val="en-US"/>
        </w:rPr>
        <w:t xml:space="preserve">Federal </w:t>
      </w:r>
      <w:r w:rsidRPr="008D66EB">
        <w:t>Contaminated</w:t>
      </w:r>
      <w:r w:rsidRPr="00F63F6C">
        <w:rPr>
          <w:i/>
          <w:lang w:val="en-US"/>
        </w:rPr>
        <w:t xml:space="preserve"> Sites P</w:t>
      </w:r>
      <w:r w:rsidR="004818DE">
        <w:rPr>
          <w:i/>
          <w:lang w:val="en-US"/>
        </w:rPr>
        <w:t>ortal</w:t>
      </w:r>
      <w:r w:rsidRPr="00F63F6C">
        <w:rPr>
          <w:i/>
          <w:lang w:val="en-US"/>
        </w:rPr>
        <w:t xml:space="preserve"> Decision-Making Framework (2013). </w:t>
      </w:r>
      <w:r>
        <w:rPr>
          <w:lang w:val="es-ES"/>
        </w:rPr>
        <w:t>Puede consultarse en http://www.federalcontaminatedsites.gc.ca/default.asp?lang=En&amp;n=B15E990A-1</w:t>
      </w:r>
    </w:p>
    <w:p w:rsidR="00D23105" w:rsidRPr="00E427BC" w:rsidRDefault="00D23105" w:rsidP="008D66EB">
      <w:pPr>
        <w:pStyle w:val="NormalNonumber"/>
        <w:numPr>
          <w:ilvl w:val="0"/>
          <w:numId w:val="19"/>
        </w:numPr>
        <w:tabs>
          <w:tab w:val="clear" w:pos="1247"/>
          <w:tab w:val="clear" w:pos="1814"/>
          <w:tab w:val="clear" w:pos="2381"/>
          <w:tab w:val="clear" w:pos="2948"/>
          <w:tab w:val="clear" w:pos="3515"/>
          <w:tab w:val="clear" w:pos="4082"/>
          <w:tab w:val="left" w:pos="624"/>
        </w:tabs>
        <w:ind w:left="2495" w:hanging="624"/>
        <w:rPr>
          <w:lang w:val="es-ES_tradnl"/>
        </w:rPr>
      </w:pPr>
      <w:r w:rsidRPr="00F63F6C">
        <w:rPr>
          <w:lang w:val="en-US"/>
        </w:rPr>
        <w:t xml:space="preserve">Sustainable </w:t>
      </w:r>
      <w:r w:rsidRPr="008D66EB">
        <w:t>development</w:t>
      </w:r>
      <w:r w:rsidRPr="00F63F6C">
        <w:rPr>
          <w:lang w:val="en-US"/>
        </w:rPr>
        <w:t xml:space="preserve"> analysis tool</w:t>
      </w:r>
      <w:r w:rsidRPr="00E427BC">
        <w:rPr>
          <w:lang w:val="en-US"/>
        </w:rPr>
        <w:t xml:space="preserve"> (Public Services and Procurement Canada, 2016). </w:t>
      </w:r>
      <w:r>
        <w:rPr>
          <w:lang w:val="es-ES"/>
        </w:rPr>
        <w:t>Puede consultarse en http://sdat.pwgsc.gc.ca/index.aspx?lang=eng</w:t>
      </w:r>
    </w:p>
    <w:p w:rsidR="00D23105" w:rsidRPr="00E427BC" w:rsidRDefault="00D23105" w:rsidP="008D66EB">
      <w:pPr>
        <w:pStyle w:val="NormalNonumber"/>
        <w:numPr>
          <w:ilvl w:val="0"/>
          <w:numId w:val="19"/>
        </w:numPr>
        <w:tabs>
          <w:tab w:val="clear" w:pos="1247"/>
          <w:tab w:val="clear" w:pos="1814"/>
          <w:tab w:val="clear" w:pos="2381"/>
          <w:tab w:val="clear" w:pos="2948"/>
          <w:tab w:val="clear" w:pos="3515"/>
          <w:tab w:val="clear" w:pos="4082"/>
          <w:tab w:val="left" w:pos="624"/>
        </w:tabs>
        <w:ind w:left="2495" w:hanging="624"/>
        <w:rPr>
          <w:lang w:val="es-ES_tradnl"/>
        </w:rPr>
      </w:pPr>
      <w:proofErr w:type="spellStart"/>
      <w:r w:rsidRPr="00F63F6C">
        <w:rPr>
          <w:i/>
          <w:lang w:val="es-ES_tradnl"/>
        </w:rPr>
        <w:t>Guidance</w:t>
      </w:r>
      <w:proofErr w:type="spellEnd"/>
      <w:r w:rsidRPr="00F63F6C">
        <w:rPr>
          <w:i/>
          <w:lang w:val="es-ES_tradnl"/>
        </w:rPr>
        <w:t xml:space="preserve"> </w:t>
      </w:r>
      <w:proofErr w:type="spellStart"/>
      <w:r w:rsidRPr="00F63F6C">
        <w:rPr>
          <w:i/>
          <w:lang w:val="es-ES_tradnl"/>
        </w:rPr>
        <w:t>for</w:t>
      </w:r>
      <w:proofErr w:type="spellEnd"/>
      <w:r w:rsidRPr="00F63F6C">
        <w:rPr>
          <w:i/>
          <w:lang w:val="es-ES_tradnl"/>
        </w:rPr>
        <w:t xml:space="preserve"> </w:t>
      </w:r>
      <w:proofErr w:type="spellStart"/>
      <w:r w:rsidRPr="00F63F6C">
        <w:rPr>
          <w:i/>
          <w:lang w:val="es-ES_tradnl"/>
        </w:rPr>
        <w:t>Site</w:t>
      </w:r>
      <w:proofErr w:type="spellEnd"/>
      <w:r w:rsidRPr="00F63F6C">
        <w:rPr>
          <w:i/>
          <w:lang w:val="es-ES_tradnl"/>
        </w:rPr>
        <w:t xml:space="preserve"> </w:t>
      </w:r>
      <w:proofErr w:type="spellStart"/>
      <w:r w:rsidRPr="00F63F6C">
        <w:rPr>
          <w:i/>
          <w:lang w:val="es-ES_tradnl"/>
        </w:rPr>
        <w:t>Closure</w:t>
      </w:r>
      <w:proofErr w:type="spellEnd"/>
      <w:r w:rsidRPr="00F63F6C">
        <w:rPr>
          <w:i/>
          <w:lang w:val="es-ES_tradnl"/>
        </w:rPr>
        <w:t xml:space="preserve"> </w:t>
      </w:r>
      <w:proofErr w:type="spellStart"/>
      <w:r w:rsidRPr="00F63F6C">
        <w:rPr>
          <w:i/>
          <w:lang w:val="es-ES_tradnl"/>
        </w:rPr>
        <w:t>Tool</w:t>
      </w:r>
      <w:proofErr w:type="spellEnd"/>
      <w:r w:rsidRPr="00F63F6C">
        <w:rPr>
          <w:i/>
          <w:lang w:val="es-ES_tradnl"/>
        </w:rPr>
        <w:t xml:space="preserve"> </w:t>
      </w:r>
      <w:proofErr w:type="spellStart"/>
      <w:r w:rsidRPr="00F63F6C">
        <w:rPr>
          <w:i/>
          <w:lang w:val="es-ES_tradnl"/>
        </w:rPr>
        <w:t>for</w:t>
      </w:r>
      <w:proofErr w:type="spellEnd"/>
      <w:r w:rsidRPr="00F63F6C">
        <w:rPr>
          <w:i/>
          <w:lang w:val="es-ES_tradnl"/>
        </w:rPr>
        <w:t xml:space="preserve"> Federal </w:t>
      </w:r>
      <w:proofErr w:type="spellStart"/>
      <w:r w:rsidRPr="00F63F6C">
        <w:rPr>
          <w:i/>
          <w:lang w:val="es-ES_tradnl"/>
        </w:rPr>
        <w:t>Contaminated</w:t>
      </w:r>
      <w:proofErr w:type="spellEnd"/>
      <w:r w:rsidRPr="00F63F6C">
        <w:rPr>
          <w:i/>
          <w:lang w:val="es-ES_tradnl"/>
        </w:rPr>
        <w:t xml:space="preserve"> </w:t>
      </w:r>
      <w:proofErr w:type="spellStart"/>
      <w:r w:rsidRPr="00F63F6C">
        <w:rPr>
          <w:i/>
          <w:lang w:val="es-ES_tradnl"/>
        </w:rPr>
        <w:t>Sites</w:t>
      </w:r>
      <w:proofErr w:type="spellEnd"/>
      <w:r w:rsidRPr="00F63F6C">
        <w:rPr>
          <w:i/>
          <w:lang w:val="es-ES_tradnl"/>
        </w:rPr>
        <w:t xml:space="preserve">: Federal </w:t>
      </w:r>
      <w:proofErr w:type="spellStart"/>
      <w:r w:rsidRPr="00F63F6C">
        <w:rPr>
          <w:i/>
          <w:lang w:val="es-ES_tradnl"/>
        </w:rPr>
        <w:t>Contaminated</w:t>
      </w:r>
      <w:proofErr w:type="spellEnd"/>
      <w:r w:rsidRPr="00F63F6C">
        <w:rPr>
          <w:i/>
          <w:lang w:val="es-ES_tradnl"/>
        </w:rPr>
        <w:t xml:space="preserve"> </w:t>
      </w:r>
      <w:proofErr w:type="spellStart"/>
      <w:r w:rsidRPr="00F63F6C">
        <w:rPr>
          <w:i/>
          <w:lang w:val="es-ES_tradnl"/>
        </w:rPr>
        <w:t>Sites</w:t>
      </w:r>
      <w:proofErr w:type="spellEnd"/>
      <w:r w:rsidRPr="00F63F6C">
        <w:rPr>
          <w:i/>
          <w:lang w:val="es-ES_tradnl"/>
        </w:rPr>
        <w:t xml:space="preserve"> </w:t>
      </w:r>
      <w:proofErr w:type="spellStart"/>
      <w:r w:rsidRPr="00F63F6C">
        <w:rPr>
          <w:i/>
          <w:lang w:val="es-ES_tradnl"/>
        </w:rPr>
        <w:t>Action</w:t>
      </w:r>
      <w:proofErr w:type="spellEnd"/>
      <w:r w:rsidRPr="00F63F6C">
        <w:rPr>
          <w:i/>
          <w:lang w:val="es-ES_tradnl"/>
        </w:rPr>
        <w:t xml:space="preserve"> Plan (</w:t>
      </w:r>
      <w:r w:rsidRPr="008D66EB">
        <w:rPr>
          <w:lang w:val="es-ES"/>
        </w:rPr>
        <w:t>2012</w:t>
      </w:r>
      <w:r w:rsidRPr="00F63F6C">
        <w:rPr>
          <w:i/>
          <w:lang w:val="es-ES_tradnl"/>
        </w:rPr>
        <w:t>),</w:t>
      </w:r>
      <w:r w:rsidRPr="00F63F6C">
        <w:rPr>
          <w:lang w:val="es-ES_tradnl"/>
        </w:rPr>
        <w:t xml:space="preserve"> inclu</w:t>
      </w:r>
      <w:r w:rsidR="00F63F6C" w:rsidRPr="00F63F6C">
        <w:rPr>
          <w:lang w:val="es-ES_tradnl"/>
        </w:rPr>
        <w:t>ida la herramienta para la validación de la evaluaci</w:t>
      </w:r>
      <w:r w:rsidR="00F63F6C">
        <w:rPr>
          <w:lang w:val="es-ES_tradnl"/>
        </w:rPr>
        <w:t>ón de los riesgos</w:t>
      </w:r>
      <w:r w:rsidRPr="00F63F6C">
        <w:rPr>
          <w:lang w:val="es-ES_tradnl"/>
        </w:rPr>
        <w:t xml:space="preserve">. </w:t>
      </w:r>
      <w:r>
        <w:rPr>
          <w:lang w:val="es-ES"/>
        </w:rPr>
        <w:t>Puede consultarse en http://www.federalcontaminatedsites.gc.ca/default.asp?lang=En&amp;n=B 15E 990A-1</w:t>
      </w:r>
    </w:p>
    <w:p w:rsidR="00D23105" w:rsidRPr="00F63F6C" w:rsidRDefault="009F0B3C" w:rsidP="00D909FF">
      <w:pPr>
        <w:pStyle w:val="CH3"/>
        <w:rPr>
          <w:lang w:val="es-ES_tradnl"/>
        </w:rPr>
      </w:pPr>
      <w:r>
        <w:rPr>
          <w:lang w:val="es-ES"/>
        </w:rPr>
        <w:tab/>
      </w:r>
      <w:r>
        <w:rPr>
          <w:lang w:val="es-ES"/>
        </w:rPr>
        <w:tab/>
      </w:r>
      <w:r w:rsidR="00F63F6C">
        <w:rPr>
          <w:lang w:val="es-ES"/>
        </w:rPr>
        <w:t>Orientaciones p</w:t>
      </w:r>
      <w:r>
        <w:rPr>
          <w:lang w:val="es-ES"/>
        </w:rPr>
        <w:t>rovincial</w:t>
      </w:r>
      <w:r w:rsidR="00F63F6C">
        <w:rPr>
          <w:lang w:val="es-ES"/>
        </w:rPr>
        <w:t>es</w:t>
      </w:r>
      <w:r>
        <w:rPr>
          <w:lang w:val="es-ES"/>
        </w:rPr>
        <w:t xml:space="preserve"> o territorial</w:t>
      </w:r>
      <w:r w:rsidR="00F63F6C">
        <w:rPr>
          <w:lang w:val="es-ES"/>
        </w:rPr>
        <w:t>es del Canadá</w:t>
      </w:r>
    </w:p>
    <w:p w:rsidR="00D23105" w:rsidRPr="00E427B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r w:rsidRPr="00E427BC">
        <w:rPr>
          <w:lang w:val="en-US"/>
        </w:rPr>
        <w:t xml:space="preserve">British Columbia: guidance and resources. </w:t>
      </w:r>
      <w:r>
        <w:rPr>
          <w:lang w:val="es-ES"/>
        </w:rPr>
        <w:t>Puede consultarse en http://www2.gov.bc.ca/gov/content/environment/air-land-water/site-remediation/guidance-resources</w:t>
      </w:r>
    </w:p>
    <w:p w:rsidR="00D23105" w:rsidRPr="00E427BC"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r>
        <w:rPr>
          <w:lang w:val="es-ES"/>
        </w:rPr>
        <w:t xml:space="preserve">Territorios del Noroeste: </w:t>
      </w:r>
      <w:proofErr w:type="spellStart"/>
      <w:r w:rsidRPr="006D3E87">
        <w:rPr>
          <w:i/>
          <w:lang w:val="es-ES"/>
        </w:rPr>
        <w:t>Environmental</w:t>
      </w:r>
      <w:proofErr w:type="spellEnd"/>
      <w:r w:rsidRPr="006D3E87">
        <w:rPr>
          <w:i/>
          <w:lang w:val="es-ES"/>
        </w:rPr>
        <w:t xml:space="preserve"> </w:t>
      </w:r>
      <w:proofErr w:type="spellStart"/>
      <w:r w:rsidRPr="006D3E87">
        <w:rPr>
          <w:i/>
          <w:lang w:val="es-ES"/>
        </w:rPr>
        <w:t>Guideline</w:t>
      </w:r>
      <w:proofErr w:type="spellEnd"/>
      <w:r w:rsidRPr="006D3E87">
        <w:rPr>
          <w:i/>
          <w:lang w:val="es-ES"/>
        </w:rPr>
        <w:t xml:space="preserve"> </w:t>
      </w:r>
      <w:proofErr w:type="spellStart"/>
      <w:r w:rsidRPr="006D3E87">
        <w:rPr>
          <w:i/>
          <w:lang w:val="es-ES"/>
        </w:rPr>
        <w:t>for</w:t>
      </w:r>
      <w:proofErr w:type="spellEnd"/>
      <w:r w:rsidRPr="006D3E87">
        <w:rPr>
          <w:i/>
          <w:lang w:val="es-ES"/>
        </w:rPr>
        <w:t xml:space="preserve"> </w:t>
      </w:r>
      <w:proofErr w:type="spellStart"/>
      <w:r w:rsidRPr="006D3E87">
        <w:rPr>
          <w:i/>
          <w:lang w:val="es-ES"/>
        </w:rPr>
        <w:t>Contaminated</w:t>
      </w:r>
      <w:proofErr w:type="spellEnd"/>
      <w:r w:rsidRPr="006D3E87">
        <w:rPr>
          <w:i/>
          <w:lang w:val="es-ES"/>
        </w:rPr>
        <w:t xml:space="preserve"> </w:t>
      </w:r>
      <w:proofErr w:type="spellStart"/>
      <w:r w:rsidRPr="006D3E87">
        <w:rPr>
          <w:i/>
          <w:lang w:val="es-ES"/>
        </w:rPr>
        <w:t>Site</w:t>
      </w:r>
      <w:proofErr w:type="spellEnd"/>
      <w:r w:rsidRPr="006D3E87">
        <w:rPr>
          <w:i/>
          <w:lang w:val="es-ES"/>
        </w:rPr>
        <w:t xml:space="preserve"> </w:t>
      </w:r>
      <w:proofErr w:type="spellStart"/>
      <w:r w:rsidRPr="006D3E87">
        <w:rPr>
          <w:i/>
          <w:lang w:val="es-ES"/>
        </w:rPr>
        <w:t>Remediation</w:t>
      </w:r>
      <w:proofErr w:type="spellEnd"/>
      <w:r w:rsidRPr="006D3E87">
        <w:rPr>
          <w:i/>
          <w:lang w:val="es-ES"/>
        </w:rPr>
        <w:t>.</w:t>
      </w:r>
      <w:r>
        <w:rPr>
          <w:lang w:val="es-ES"/>
        </w:rPr>
        <w:t xml:space="preserve"> Puede consultarse en http://www.enr.gov.nt.ca/sites/default/files/guidelines/siteremediation.pdf</w:t>
      </w:r>
    </w:p>
    <w:p w:rsidR="00D23105" w:rsidRPr="00E427BC" w:rsidRDefault="00D23105" w:rsidP="00CA4C76">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r w:rsidRPr="008D66EB">
        <w:rPr>
          <w:lang w:val="fr-CH"/>
        </w:rPr>
        <w:t xml:space="preserve">Quebec: </w:t>
      </w:r>
      <w:r w:rsidRPr="008D66EB">
        <w:rPr>
          <w:i/>
          <w:lang w:val="fr-CH"/>
        </w:rPr>
        <w:t>Guide d’intervention: Protection des sols et réhabilitation des terrains contaminés [Response Guide: Soil Protection and Contaminated Land Rehabilitation].</w:t>
      </w:r>
      <w:r w:rsidRPr="008D66EB">
        <w:rPr>
          <w:lang w:val="fr-CH"/>
        </w:rPr>
        <w:t xml:space="preserve"> </w:t>
      </w:r>
      <w:r>
        <w:rPr>
          <w:lang w:val="es-ES"/>
        </w:rPr>
        <w:t xml:space="preserve">Puede consultarse en </w:t>
      </w:r>
      <w:hyperlink r:id="rId18" w:history="1">
        <w:r w:rsidR="004818DE" w:rsidRPr="008D66EB">
          <w:rPr>
            <w:rStyle w:val="Hyperlink"/>
            <w:lang w:val="es-ES"/>
          </w:rPr>
          <w:t>https://mvlwb.com/sites/default/files/documents/Environmental-Guideline-for-Contaminated-Site-Remediation.pdf</w:t>
        </w:r>
      </w:hyperlink>
    </w:p>
    <w:p w:rsidR="00D23105" w:rsidRPr="00BF3CDD" w:rsidRDefault="00D909FF" w:rsidP="00D909FF">
      <w:pPr>
        <w:pStyle w:val="CH3"/>
      </w:pPr>
      <w:r>
        <w:rPr>
          <w:lang w:val="es-ES"/>
        </w:rPr>
        <w:tab/>
      </w:r>
      <w:r>
        <w:rPr>
          <w:lang w:val="es-ES"/>
        </w:rPr>
        <w:tab/>
        <w:t>Unión Europea</w:t>
      </w:r>
    </w:p>
    <w:p w:rsidR="00D23105" w:rsidRPr="006C2DAF"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
        </w:rPr>
      </w:pPr>
      <w:proofErr w:type="spellStart"/>
      <w:r w:rsidRPr="008D66EB">
        <w:rPr>
          <w:i/>
          <w:lang w:val="es-ES"/>
        </w:rPr>
        <w:t>Guidelines</w:t>
      </w:r>
      <w:proofErr w:type="spellEnd"/>
      <w:r w:rsidRPr="008D66EB">
        <w:rPr>
          <w:i/>
          <w:lang w:val="es-ES"/>
        </w:rPr>
        <w:t xml:space="preserve"> </w:t>
      </w:r>
      <w:proofErr w:type="spellStart"/>
      <w:r w:rsidRPr="008D66EB">
        <w:rPr>
          <w:i/>
          <w:lang w:val="es-ES"/>
        </w:rPr>
        <w:t>on</w:t>
      </w:r>
      <w:proofErr w:type="spellEnd"/>
      <w:r w:rsidRPr="008D66EB">
        <w:rPr>
          <w:i/>
          <w:lang w:val="es-ES"/>
        </w:rPr>
        <w:t xml:space="preserve"> </w:t>
      </w:r>
      <w:proofErr w:type="spellStart"/>
      <w:r w:rsidRPr="008D66EB">
        <w:rPr>
          <w:i/>
          <w:lang w:val="es-ES"/>
        </w:rPr>
        <w:t>Best</w:t>
      </w:r>
      <w:proofErr w:type="spellEnd"/>
      <w:r w:rsidRPr="008D66EB">
        <w:rPr>
          <w:i/>
          <w:lang w:val="es-ES"/>
        </w:rPr>
        <w:t xml:space="preserve"> </w:t>
      </w:r>
      <w:proofErr w:type="spellStart"/>
      <w:r w:rsidRPr="008D66EB">
        <w:rPr>
          <w:i/>
          <w:lang w:val="es-ES"/>
        </w:rPr>
        <w:t>Environmental</w:t>
      </w:r>
      <w:proofErr w:type="spellEnd"/>
      <w:r w:rsidRPr="008D66EB">
        <w:rPr>
          <w:i/>
          <w:lang w:val="es-ES"/>
        </w:rPr>
        <w:t xml:space="preserve"> </w:t>
      </w:r>
      <w:proofErr w:type="spellStart"/>
      <w:r w:rsidRPr="008D66EB">
        <w:rPr>
          <w:i/>
          <w:lang w:val="es-ES"/>
        </w:rPr>
        <w:t>Practices</w:t>
      </w:r>
      <w:proofErr w:type="spellEnd"/>
      <w:r w:rsidRPr="008D66EB">
        <w:rPr>
          <w:i/>
          <w:lang w:val="es-ES"/>
        </w:rPr>
        <w:t xml:space="preserve"> </w:t>
      </w:r>
      <w:proofErr w:type="spellStart"/>
      <w:r w:rsidRPr="008D66EB">
        <w:rPr>
          <w:i/>
          <w:lang w:val="es-ES"/>
        </w:rPr>
        <w:t>for</w:t>
      </w:r>
      <w:proofErr w:type="spellEnd"/>
      <w:r w:rsidRPr="008D66EB">
        <w:rPr>
          <w:i/>
          <w:lang w:val="es-ES"/>
        </w:rPr>
        <w:t xml:space="preserve"> </w:t>
      </w:r>
      <w:proofErr w:type="spellStart"/>
      <w:r w:rsidRPr="008D66EB">
        <w:rPr>
          <w:i/>
          <w:lang w:val="es-ES"/>
        </w:rPr>
        <w:t>Environmentally</w:t>
      </w:r>
      <w:proofErr w:type="spellEnd"/>
      <w:r w:rsidRPr="008D66EB">
        <w:rPr>
          <w:i/>
          <w:lang w:val="es-ES"/>
        </w:rPr>
        <w:t xml:space="preserve"> </w:t>
      </w:r>
      <w:proofErr w:type="spellStart"/>
      <w:r w:rsidRPr="008D66EB">
        <w:rPr>
          <w:i/>
          <w:lang w:val="es-ES"/>
        </w:rPr>
        <w:t>Sound</w:t>
      </w:r>
      <w:proofErr w:type="spellEnd"/>
      <w:r w:rsidRPr="008D66EB">
        <w:rPr>
          <w:i/>
          <w:lang w:val="es-ES"/>
        </w:rPr>
        <w:t xml:space="preserve"> Management of Mercury </w:t>
      </w:r>
      <w:proofErr w:type="spellStart"/>
      <w:r w:rsidRPr="008D66EB">
        <w:rPr>
          <w:i/>
          <w:lang w:val="es-ES"/>
        </w:rPr>
        <w:t>Contaminated</w:t>
      </w:r>
      <w:proofErr w:type="spellEnd"/>
      <w:r w:rsidRPr="008D66EB">
        <w:rPr>
          <w:i/>
          <w:lang w:val="es-ES"/>
        </w:rPr>
        <w:t xml:space="preserve"> </w:t>
      </w:r>
      <w:proofErr w:type="spellStart"/>
      <w:r w:rsidRPr="008D66EB">
        <w:rPr>
          <w:i/>
          <w:lang w:val="es-ES"/>
        </w:rPr>
        <w:t>Sites</w:t>
      </w:r>
      <w:proofErr w:type="spellEnd"/>
      <w:r w:rsidRPr="008D66EB">
        <w:rPr>
          <w:i/>
          <w:lang w:val="es-ES"/>
        </w:rPr>
        <w:t xml:space="preserve"> in </w:t>
      </w:r>
      <w:proofErr w:type="spellStart"/>
      <w:r w:rsidRPr="008D66EB">
        <w:rPr>
          <w:i/>
          <w:lang w:val="es-ES"/>
        </w:rPr>
        <w:t>the</w:t>
      </w:r>
      <w:proofErr w:type="spellEnd"/>
      <w:r w:rsidRPr="008D66EB">
        <w:rPr>
          <w:i/>
          <w:lang w:val="es-ES"/>
        </w:rPr>
        <w:t xml:space="preserve"> </w:t>
      </w:r>
      <w:proofErr w:type="spellStart"/>
      <w:r w:rsidRPr="008D66EB">
        <w:rPr>
          <w:i/>
          <w:lang w:val="es-ES"/>
        </w:rPr>
        <w:t>Mediterranean</w:t>
      </w:r>
      <w:proofErr w:type="spellEnd"/>
      <w:r w:rsidRPr="008D66EB">
        <w:rPr>
          <w:i/>
          <w:lang w:val="es-ES"/>
        </w:rPr>
        <w:t xml:space="preserve"> </w:t>
      </w:r>
      <w:r w:rsidRPr="008D66EB">
        <w:rPr>
          <w:lang w:val="es-ES"/>
        </w:rPr>
        <w:t xml:space="preserve"> (Plan de Acción para el Mediterráneo/Programa de las Naciones Unidas para el Medio Ambiente). </w:t>
      </w:r>
      <w:r>
        <w:rPr>
          <w:lang w:val="es-ES"/>
        </w:rPr>
        <w:t>Puede consultarse en https://wedocs.unep.org/rest/bitstreams/45236/retrieve</w:t>
      </w:r>
    </w:p>
    <w:p w:rsidR="00D23105" w:rsidRPr="00E427BC" w:rsidRDefault="000A550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r w:rsidRPr="00E427BC">
        <w:rPr>
          <w:lang w:val="en-US"/>
        </w:rPr>
        <w:t xml:space="preserve">Final Report of the Remediation of Mercury Contaminated Sites Sino-German Workshop (2008). </w:t>
      </w:r>
      <w:r>
        <w:rPr>
          <w:lang w:val="es-ES"/>
        </w:rPr>
        <w:t xml:space="preserve">Puede consultarse en https://www.grs.de/sites/default/files/pdf/Remcosite 2008 </w:t>
      </w:r>
      <w:proofErr w:type="spellStart"/>
      <w:r>
        <w:rPr>
          <w:lang w:val="es-ES"/>
        </w:rPr>
        <w:t>Chemieabfaelle</w:t>
      </w:r>
      <w:proofErr w:type="spellEnd"/>
      <w:r>
        <w:rPr>
          <w:lang w:val="es-ES"/>
        </w:rPr>
        <w:t xml:space="preserve"> 0.pdf</w:t>
      </w:r>
    </w:p>
    <w:p w:rsidR="00D23105" w:rsidRPr="00BF3CDD"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proofErr w:type="spellStart"/>
      <w:r w:rsidRPr="00E427BC">
        <w:rPr>
          <w:lang w:val="en-US"/>
        </w:rPr>
        <w:t>ImaHg</w:t>
      </w:r>
      <w:proofErr w:type="spellEnd"/>
      <w:r w:rsidRPr="00E427BC">
        <w:rPr>
          <w:lang w:val="en-US"/>
        </w:rPr>
        <w:t xml:space="preserve"> project – Improved management </w:t>
      </w:r>
      <w:r w:rsidR="004818DE">
        <w:rPr>
          <w:lang w:val="en-US"/>
        </w:rPr>
        <w:t>of</w:t>
      </w:r>
      <w:r w:rsidRPr="00E427BC">
        <w:rPr>
          <w:lang w:val="en-US"/>
        </w:rPr>
        <w:t xml:space="preserve"> Hg</w:t>
      </w:r>
      <w:r w:rsidR="004818DE">
        <w:rPr>
          <w:lang w:val="en-US"/>
        </w:rPr>
        <w:t xml:space="preserve"> soil </w:t>
      </w:r>
      <w:r w:rsidRPr="00E427BC">
        <w:rPr>
          <w:lang w:val="en-US"/>
        </w:rPr>
        <w:t>contaminat</w:t>
      </w:r>
      <w:r w:rsidR="004818DE">
        <w:rPr>
          <w:lang w:val="en-US"/>
        </w:rPr>
        <w:t>ion</w:t>
      </w:r>
      <w:r w:rsidRPr="00E427BC">
        <w:rPr>
          <w:lang w:val="en-US"/>
        </w:rPr>
        <w:t xml:space="preserve"> – final-workshop-overheads (2013), </w:t>
      </w:r>
      <w:proofErr w:type="spellStart"/>
      <w:r w:rsidRPr="00E427BC">
        <w:rPr>
          <w:lang w:val="en-US"/>
        </w:rPr>
        <w:t>más</w:t>
      </w:r>
      <w:proofErr w:type="spellEnd"/>
      <w:r w:rsidRPr="00E427BC">
        <w:rPr>
          <w:lang w:val="en-US"/>
        </w:rPr>
        <w:t xml:space="preserve"> </w:t>
      </w:r>
      <w:proofErr w:type="spellStart"/>
      <w:r w:rsidRPr="00E427BC">
        <w:rPr>
          <w:lang w:val="en-US"/>
        </w:rPr>
        <w:t>información</w:t>
      </w:r>
      <w:proofErr w:type="spellEnd"/>
      <w:r w:rsidRPr="00E427BC">
        <w:rPr>
          <w:lang w:val="en-US"/>
        </w:rPr>
        <w:t xml:space="preserve"> </w:t>
      </w:r>
      <w:proofErr w:type="spellStart"/>
      <w:r w:rsidRPr="00E427BC">
        <w:rPr>
          <w:lang w:val="en-US"/>
        </w:rPr>
        <w:t>disponible</w:t>
      </w:r>
      <w:proofErr w:type="spellEnd"/>
      <w:r w:rsidRPr="00E427BC">
        <w:rPr>
          <w:lang w:val="en-US"/>
        </w:rPr>
        <w:t xml:space="preserve"> </w:t>
      </w:r>
      <w:proofErr w:type="spellStart"/>
      <w:r w:rsidRPr="00E427BC">
        <w:rPr>
          <w:lang w:val="en-US"/>
        </w:rPr>
        <w:t>en</w:t>
      </w:r>
      <w:proofErr w:type="spellEnd"/>
      <w:r w:rsidRPr="00E427BC">
        <w:rPr>
          <w:lang w:val="en-US"/>
        </w:rPr>
        <w:t xml:space="preserve"> http://snowmannetwork.com/?page id 256</w:t>
      </w:r>
    </w:p>
    <w:p w:rsidR="00D23105" w:rsidRPr="00E427BC" w:rsidRDefault="00D23105" w:rsidP="000D2BEB">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r w:rsidRPr="00E427BC">
        <w:rPr>
          <w:lang w:val="en-US"/>
        </w:rPr>
        <w:t>Mercury Contaminated Sites – Network for Industrially Co-ordinated Sustainable Land Management in Europe, Technical Meeting Summary Paper (</w:t>
      </w:r>
      <w:r w:rsidR="004818DE" w:rsidRPr="00E427BC">
        <w:rPr>
          <w:lang w:val="en-US"/>
        </w:rPr>
        <w:t>201</w:t>
      </w:r>
      <w:r w:rsidR="004818DE">
        <w:rPr>
          <w:lang w:val="en-US"/>
        </w:rPr>
        <w:t>2</w:t>
      </w:r>
      <w:r w:rsidRPr="00E427BC">
        <w:rPr>
          <w:lang w:val="en-US"/>
        </w:rPr>
        <w:t xml:space="preserve">). </w:t>
      </w:r>
      <w:r>
        <w:rPr>
          <w:lang w:val="es-ES"/>
        </w:rPr>
        <w:t>Puede consultarse en http://www.nicole.org/pagina/19/Workshop Reports.html</w:t>
      </w:r>
    </w:p>
    <w:p w:rsidR="00D23105" w:rsidRPr="00E427BC" w:rsidRDefault="00D23105" w:rsidP="000D2BEB">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r w:rsidRPr="00E427BC">
        <w:rPr>
          <w:lang w:val="en-US"/>
        </w:rPr>
        <w:t xml:space="preserve">Mercury contaminated land management – State of the Art – NICOLE Mercury Working Group Paper (2012). </w:t>
      </w:r>
      <w:r w:rsidR="00F15AA8">
        <w:rPr>
          <w:lang w:val="es-ES"/>
        </w:rPr>
        <w:t xml:space="preserve">Puede consultarse en </w:t>
      </w:r>
      <w:r>
        <w:rPr>
          <w:lang w:val="es-ES"/>
        </w:rPr>
        <w:t xml:space="preserve">http://www.nicole.org/pagina/22/Thematic_Documents.html </w:t>
      </w:r>
    </w:p>
    <w:p w:rsidR="00D23105" w:rsidRPr="00BF3CDD"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Pr>
          <w:lang w:val="es-ES"/>
        </w:rPr>
        <w:tab/>
      </w:r>
      <w:r w:rsidRPr="008D66EB">
        <w:t>Kocman</w:t>
      </w:r>
      <w:r w:rsidR="00DE166D" w:rsidRPr="008D66EB">
        <w:t>,</w:t>
      </w:r>
      <w:r w:rsidRPr="008D66EB">
        <w:t xml:space="preserve"> D., Horvat</w:t>
      </w:r>
      <w:r w:rsidR="00DE166D" w:rsidRPr="008D66EB">
        <w:t>,</w:t>
      </w:r>
      <w:r w:rsidRPr="008D66EB">
        <w:t xml:space="preserve"> M., Pirrone</w:t>
      </w:r>
      <w:r w:rsidR="00DE166D" w:rsidRPr="008D66EB">
        <w:t>,</w:t>
      </w:r>
      <w:r w:rsidRPr="008D66EB">
        <w:t xml:space="preserve"> N.</w:t>
      </w:r>
      <w:r w:rsidR="004818DE" w:rsidRPr="008D66EB">
        <w:t xml:space="preserve"> y</w:t>
      </w:r>
      <w:r w:rsidRPr="008D66EB">
        <w:t>Cinnirella</w:t>
      </w:r>
      <w:r w:rsidR="00DE166D" w:rsidRPr="008D66EB">
        <w:t>,</w:t>
      </w:r>
      <w:r w:rsidRPr="008D66EB">
        <w:t xml:space="preserve"> S. (2013)</w:t>
      </w:r>
      <w:r w:rsidR="00DE166D" w:rsidRPr="008D66EB">
        <w:t>.</w:t>
      </w:r>
      <w:r w:rsidRPr="008D66EB">
        <w:t xml:space="preserve"> </w:t>
      </w:r>
      <w:r w:rsidRPr="00E427BC">
        <w:rPr>
          <w:lang w:val="en-US"/>
        </w:rPr>
        <w:t xml:space="preserve">“Contribution of contaminated sites to the global mercury budget”. </w:t>
      </w:r>
      <w:r w:rsidRPr="008D66EB">
        <w:rPr>
          <w:lang w:val="en-US"/>
        </w:rPr>
        <w:t>Environmental Research, 125: 160 a 170. Doi:10.1016/j.envres.2012.12.011</w:t>
      </w:r>
    </w:p>
    <w:p w:rsidR="00D23105" w:rsidRPr="00BF3CDD"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427BC">
        <w:rPr>
          <w:lang w:val="en-US"/>
        </w:rPr>
        <w:tab/>
      </w:r>
      <w:proofErr w:type="spellStart"/>
      <w:r w:rsidRPr="00E427BC">
        <w:rPr>
          <w:lang w:val="en-US"/>
        </w:rPr>
        <w:t>Kovalick</w:t>
      </w:r>
      <w:proofErr w:type="spellEnd"/>
      <w:r w:rsidR="00DE166D">
        <w:rPr>
          <w:lang w:val="en-US"/>
        </w:rPr>
        <w:t>,</w:t>
      </w:r>
      <w:r w:rsidRPr="00E427BC">
        <w:rPr>
          <w:lang w:val="en-US"/>
        </w:rPr>
        <w:t xml:space="preserve"> W</w:t>
      </w:r>
      <w:r w:rsidR="004818DE">
        <w:rPr>
          <w:lang w:val="en-US"/>
        </w:rPr>
        <w:t>alter W</w:t>
      </w:r>
      <w:r w:rsidR="00DE166D">
        <w:rPr>
          <w:lang w:val="en-US"/>
        </w:rPr>
        <w:t>.</w:t>
      </w:r>
      <w:r w:rsidR="004818DE">
        <w:rPr>
          <w:lang w:val="en-US"/>
        </w:rPr>
        <w:t xml:space="preserve">, Jr. y </w:t>
      </w:r>
      <w:r w:rsidRPr="00E427BC">
        <w:rPr>
          <w:lang w:val="en-US"/>
        </w:rPr>
        <w:t xml:space="preserve">Montgomery, </w:t>
      </w:r>
      <w:r w:rsidR="004818DE" w:rsidRPr="00BF3CDD">
        <w:t>R</w:t>
      </w:r>
      <w:r w:rsidR="004818DE">
        <w:t>obert H</w:t>
      </w:r>
      <w:r w:rsidR="004818DE" w:rsidRPr="00BF3CDD">
        <w:t>.</w:t>
      </w:r>
      <w:r w:rsidR="004818DE">
        <w:t xml:space="preserve"> (2014).</w:t>
      </w:r>
      <w:r w:rsidRPr="00E427BC">
        <w:rPr>
          <w:lang w:val="en-US"/>
        </w:rPr>
        <w:t xml:space="preserve">, </w:t>
      </w:r>
      <w:r w:rsidRPr="006D3E87">
        <w:rPr>
          <w:i/>
          <w:lang w:val="en-US"/>
        </w:rPr>
        <w:t>Developing a Program for Contaminated Site Management in Low and Middle Income Countries</w:t>
      </w:r>
      <w:r w:rsidRPr="00E427BC">
        <w:rPr>
          <w:lang w:val="en-US"/>
        </w:rPr>
        <w:t xml:space="preserve">. </w:t>
      </w:r>
      <w:r w:rsidR="004818DE">
        <w:t xml:space="preserve">Washington, D.C., </w:t>
      </w:r>
      <w:proofErr w:type="spellStart"/>
      <w:r w:rsidR="004818DE">
        <w:t>Grupo</w:t>
      </w:r>
      <w:proofErr w:type="spellEnd"/>
      <w:r w:rsidR="004818DE">
        <w:t xml:space="preserve"> del </w:t>
      </w:r>
      <w:r w:rsidRPr="008D66EB">
        <w:rPr>
          <w:lang w:val="en-US"/>
        </w:rPr>
        <w:t>Banco Mundial.</w:t>
      </w:r>
    </w:p>
    <w:p w:rsidR="00D23105" w:rsidRPr="00BF3CDD"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E427BC">
        <w:rPr>
          <w:lang w:val="en-US"/>
        </w:rPr>
        <w:tab/>
        <w:t xml:space="preserve">Sustainable Management of Contaminated Land in the EU: An Overview. </w:t>
      </w:r>
      <w:r w:rsidR="004818DE">
        <w:t>Contaminated Land Rehabilitation Network for Environmental Technologies</w:t>
      </w:r>
      <w:r w:rsidR="004818DE">
        <w:rPr>
          <w:lang w:val="es-ES"/>
        </w:rPr>
        <w:t xml:space="preserve"> (</w:t>
      </w:r>
      <w:r>
        <w:rPr>
          <w:lang w:val="es-ES"/>
        </w:rPr>
        <w:t>CLARINET</w:t>
      </w:r>
      <w:r w:rsidR="004818DE">
        <w:rPr>
          <w:lang w:val="es-ES"/>
        </w:rPr>
        <w:t>)</w:t>
      </w:r>
      <w:r>
        <w:rPr>
          <w:lang w:val="es-ES"/>
        </w:rPr>
        <w:t xml:space="preserve"> (2002).</w:t>
      </w:r>
    </w:p>
    <w:p w:rsidR="00D23105" w:rsidRPr="00BF3CDD"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Pr>
          <w:lang w:val="es-ES"/>
        </w:rPr>
        <w:tab/>
        <w:t xml:space="preserve">Reducción de la exposición al mercurio para la salud humana y el medioambiente mediante una gestión racional de productos químicos en </w:t>
      </w:r>
      <w:proofErr w:type="spellStart"/>
      <w:r>
        <w:rPr>
          <w:lang w:val="es-ES"/>
        </w:rPr>
        <w:t>Boroo</w:t>
      </w:r>
      <w:proofErr w:type="spellEnd"/>
      <w:r>
        <w:rPr>
          <w:lang w:val="es-ES"/>
        </w:rPr>
        <w:t xml:space="preserve"> (Mongolia), a cargo del Centro Tecnológico del Mercurio y </w:t>
      </w:r>
      <w:proofErr w:type="spellStart"/>
      <w:r>
        <w:rPr>
          <w:lang w:val="es-ES"/>
        </w:rPr>
        <w:t>Emgrisa</w:t>
      </w:r>
      <w:proofErr w:type="spellEnd"/>
      <w:r>
        <w:rPr>
          <w:lang w:val="es-ES"/>
        </w:rPr>
        <w:t xml:space="preserve"> en España en cooperación con </w:t>
      </w:r>
      <w:proofErr w:type="spellStart"/>
      <w:r>
        <w:rPr>
          <w:lang w:val="es-ES"/>
        </w:rPr>
        <w:t>Polyeco</w:t>
      </w:r>
      <w:proofErr w:type="spellEnd"/>
      <w:r>
        <w:rPr>
          <w:lang w:val="es-ES"/>
        </w:rPr>
        <w:t xml:space="preserve"> en Grecia, de julio de 2015 a diciembre de 2016. </w:t>
      </w:r>
      <w:r w:rsidRPr="00E427BC">
        <w:rPr>
          <w:lang w:val="en-US"/>
        </w:rPr>
        <w:t xml:space="preserve">Monitoring of surface and groundwater for the remediation of mercury-contaminated soils (i.e., phytoremediation, mercury fixation and zero-valent iron nanoparticles or chemical stabilization). </w:t>
      </w:r>
      <w:r w:rsidRPr="006C2DAF">
        <w:rPr>
          <w:lang w:val="en-US"/>
        </w:rPr>
        <w:t>http://www.ctndm.es/proyectos/7-in.php</w:t>
      </w:r>
    </w:p>
    <w:p w:rsidR="00D23105" w:rsidRPr="00E427BC" w:rsidRDefault="00D23105" w:rsidP="008D66EB">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bookmarkStart w:id="0" w:name="_GoBack"/>
      <w:r w:rsidRPr="008D66EB">
        <w:t>Training</w:t>
      </w:r>
      <w:bookmarkEnd w:id="0"/>
      <w:r w:rsidRPr="00E427BC">
        <w:rPr>
          <w:lang w:val="en-US"/>
        </w:rPr>
        <w:t xml:space="preserve"> on mercury management and remediation of contaminated soils. </w:t>
      </w:r>
      <w:r>
        <w:rPr>
          <w:lang w:val="es-ES"/>
        </w:rPr>
        <w:t>Puede consultarse en http://www.cprac.org/es/archivo-de-noticias/genericas/training-on-mercury-management-and-remediation-of-contaminated-soils-a</w:t>
      </w:r>
    </w:p>
    <w:p w:rsidR="00D23105" w:rsidRPr="00E427BC"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r>
        <w:rPr>
          <w:lang w:val="es-ES"/>
        </w:rPr>
        <w:tab/>
      </w:r>
      <w:r w:rsidRPr="00E427BC">
        <w:rPr>
          <w:lang w:val="en-US"/>
        </w:rPr>
        <w:t xml:space="preserve">Environmental Protection Act 1990: Part 2A Contaminated Land Statutory Guidance. </w:t>
      </w:r>
      <w:r>
        <w:rPr>
          <w:lang w:val="es-ES"/>
        </w:rPr>
        <w:t>Disponible en:</w:t>
      </w:r>
      <w:r w:rsidR="00F15AA8">
        <w:rPr>
          <w:lang w:val="es-ES"/>
        </w:rPr>
        <w:t xml:space="preserve"> </w:t>
      </w:r>
      <w:r>
        <w:rPr>
          <w:lang w:val="es-ES"/>
        </w:rPr>
        <w:t>https://www.gov.uk/government/uploads/system/uploads/attachment_data/file/223705/pb13735cont-land-guidance.pdf</w:t>
      </w:r>
    </w:p>
    <w:p w:rsidR="00D23105" w:rsidRPr="00BF3CDD" w:rsidRDefault="00D909FF" w:rsidP="00D909FF">
      <w:pPr>
        <w:pStyle w:val="CH3"/>
      </w:pPr>
      <w:r>
        <w:rPr>
          <w:lang w:val="es-ES"/>
        </w:rPr>
        <w:tab/>
      </w:r>
      <w:r>
        <w:rPr>
          <w:lang w:val="es-ES"/>
        </w:rPr>
        <w:tab/>
        <w:t>Noruega</w:t>
      </w:r>
    </w:p>
    <w:p w:rsidR="00D23105" w:rsidRPr="00E427BC" w:rsidRDefault="00CB1DFA"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r w:rsidRPr="00DE166D">
        <w:rPr>
          <w:lang w:val="en-US"/>
        </w:rPr>
        <w:t>“Working together towards a non-toxic environment and a safer future”</w:t>
      </w:r>
      <w:r w:rsidR="004818DE" w:rsidRPr="00DE166D">
        <w:rPr>
          <w:lang w:val="en-US"/>
        </w:rPr>
        <w:t xml:space="preserve">. </w:t>
      </w:r>
      <w:r w:rsidRPr="008D66EB">
        <w:rPr>
          <w:lang w:val="es-ES_tradnl"/>
        </w:rPr>
        <w:t>Libro Blanco núm. 14 200 6-2007</w:t>
      </w:r>
      <w:r w:rsidR="004818DE">
        <w:rPr>
          <w:lang w:val="es-ES_tradnl"/>
        </w:rPr>
        <w:t xml:space="preserve"> (véanse</w:t>
      </w:r>
      <w:r w:rsidRPr="008D66EB">
        <w:rPr>
          <w:lang w:val="es-ES_tradnl"/>
        </w:rPr>
        <w:t xml:space="preserve"> págs. </w:t>
      </w:r>
      <w:r>
        <w:rPr>
          <w:lang w:val="es-ES"/>
        </w:rPr>
        <w:t>9</w:t>
      </w:r>
      <w:r w:rsidR="004818DE">
        <w:rPr>
          <w:lang w:val="es-ES"/>
        </w:rPr>
        <w:t>2</w:t>
      </w:r>
      <w:r>
        <w:rPr>
          <w:lang w:val="es-ES"/>
        </w:rPr>
        <w:t xml:space="preserve"> a 100, capítulo 10.2 a 10.3) Puede consultarse en</w:t>
      </w:r>
      <w:r w:rsidR="00F15AA8">
        <w:rPr>
          <w:lang w:val="es-ES"/>
        </w:rPr>
        <w:t xml:space="preserve"> </w:t>
      </w:r>
      <w:r>
        <w:rPr>
          <w:lang w:val="es-ES"/>
        </w:rPr>
        <w:t xml:space="preserve">https://www.regjeringen.no/contentassets/abe386e25e0e4d788e868d5f7f991362/en-gb/pdfs/stm200620070014000en_pdfs.pdf </w:t>
      </w:r>
    </w:p>
    <w:p w:rsidR="00D23105" w:rsidRPr="00E427BC" w:rsidRDefault="004818DE" w:rsidP="00763AE7">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r w:rsidRPr="004818DE">
        <w:rPr>
          <w:lang w:val="es-ES_tradnl"/>
        </w:rPr>
        <w:t xml:space="preserve">IPEN (2016). </w:t>
      </w:r>
      <w:r w:rsidR="00990936">
        <w:rPr>
          <w:lang w:val="es-ES_tradnl"/>
        </w:rPr>
        <w:t>“</w:t>
      </w:r>
      <w:r w:rsidR="00D23105" w:rsidRPr="006530C9">
        <w:rPr>
          <w:i/>
          <w:lang w:val="es-ES"/>
        </w:rPr>
        <w:t>Orientación sobre la identificación, la gestión y la rehabilitación de sitios contaminados por mercurio</w:t>
      </w:r>
      <w:r w:rsidR="00990936">
        <w:rPr>
          <w:i/>
          <w:lang w:val="es-ES"/>
        </w:rPr>
        <w:t>”</w:t>
      </w:r>
      <w:r w:rsidR="00D23105">
        <w:rPr>
          <w:lang w:val="es-ES"/>
        </w:rPr>
        <w:t>. Puede consultarse en http://ipen.org/documents/ipen-guidance-identification-management-and-remediation-mercury-contaminated-sites</w:t>
      </w:r>
    </w:p>
    <w:p w:rsidR="00D23105" w:rsidRPr="00BF3CDD" w:rsidRDefault="00D909FF" w:rsidP="00D909FF">
      <w:pPr>
        <w:pStyle w:val="CH3"/>
      </w:pPr>
      <w:r>
        <w:rPr>
          <w:lang w:val="es-ES"/>
        </w:rPr>
        <w:tab/>
      </w:r>
      <w:r>
        <w:rPr>
          <w:lang w:val="es-ES"/>
        </w:rPr>
        <w:tab/>
        <w:t>Suiza</w:t>
      </w:r>
    </w:p>
    <w:p w:rsidR="00D23105" w:rsidRPr="00E427BC" w:rsidRDefault="00A14D44"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r w:rsidRPr="00E427BC">
        <w:rPr>
          <w:lang w:val="en-US"/>
        </w:rPr>
        <w:t xml:space="preserve">Step-by-step guidance on the management of contaminated sites. </w:t>
      </w:r>
      <w:r>
        <w:rPr>
          <w:lang w:val="es-ES"/>
        </w:rPr>
        <w:t>Puede consultarse en</w:t>
      </w:r>
      <w:r w:rsidR="00F15AA8">
        <w:rPr>
          <w:lang w:val="es-ES"/>
        </w:rPr>
        <w:t xml:space="preserve"> </w:t>
      </w:r>
      <w:r>
        <w:rPr>
          <w:lang w:val="es-ES"/>
        </w:rPr>
        <w:t>http://www.bafu.admin.ch/altlasten/12163/12168/index.html?lang=en</w:t>
      </w:r>
    </w:p>
    <w:p w:rsidR="00D23105" w:rsidRPr="00E427BC" w:rsidRDefault="004818DE" w:rsidP="00763AE7">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val="es-ES_tradnl"/>
        </w:rPr>
      </w:pPr>
      <w:r w:rsidRPr="00AF05AA">
        <w:rPr>
          <w:color w:val="000000" w:themeColor="text1"/>
        </w:rPr>
        <w:t xml:space="preserve">Mercury thresholds in the contaminated sites ordinance. </w:t>
      </w:r>
      <w:hyperlink r:id="rId19" w:history="1">
        <w:r w:rsidR="00BF3CDD" w:rsidRPr="00E427BC">
          <w:rPr>
            <w:lang w:val="es-ES_tradnl"/>
          </w:rPr>
          <w:t>https://www.admin.ch/opc/de/classified-compilation/19983151/index.html</w:t>
        </w:r>
      </w:hyperlink>
    </w:p>
    <w:p w:rsidR="00D23105" w:rsidRPr="00E427BC" w:rsidRDefault="00D909FF" w:rsidP="00771355">
      <w:pPr>
        <w:pStyle w:val="CH3"/>
        <w:tabs>
          <w:tab w:val="clear" w:pos="2381"/>
          <w:tab w:val="clear" w:pos="2948"/>
          <w:tab w:val="clear" w:pos="3515"/>
          <w:tab w:val="clear" w:pos="4082"/>
          <w:tab w:val="left" w:pos="5377"/>
        </w:tabs>
        <w:rPr>
          <w:lang w:val="es-ES_tradnl"/>
        </w:rPr>
      </w:pPr>
      <w:r>
        <w:rPr>
          <w:lang w:val="es-ES"/>
        </w:rPr>
        <w:tab/>
      </w:r>
      <w:r>
        <w:rPr>
          <w:lang w:val="es-ES"/>
        </w:rPr>
        <w:tab/>
        <w:t>Red Internacional de Eliminación de COP</w:t>
      </w:r>
    </w:p>
    <w:p w:rsidR="007D6882" w:rsidRPr="00E427BC" w:rsidRDefault="004818DE" w:rsidP="009F0B3C">
      <w:pPr>
        <w:pStyle w:val="NormalNonumber"/>
        <w:rPr>
          <w:lang w:val="es-ES_tradnl"/>
        </w:rPr>
      </w:pPr>
      <w:r w:rsidRPr="004818DE">
        <w:rPr>
          <w:lang w:val="es-ES_tradnl"/>
        </w:rPr>
        <w:t>IPEN (2016). “</w:t>
      </w:r>
      <w:r w:rsidR="007D6882" w:rsidRPr="00F15AA8">
        <w:rPr>
          <w:i/>
          <w:lang w:val="es-ES"/>
        </w:rPr>
        <w:t>Orientación sobre la identificación, la gestión y la rehabilitación de sitios contaminados por mercurio</w:t>
      </w:r>
      <w:r w:rsidR="00990936">
        <w:rPr>
          <w:i/>
          <w:lang w:val="es-ES"/>
        </w:rPr>
        <w:t>”</w:t>
      </w:r>
      <w:r w:rsidR="007D6882">
        <w:rPr>
          <w:lang w:val="es-ES"/>
        </w:rPr>
        <w:t>. Puede consultarse en http://ipen.org/documents/ipen-guidance-identification-management-and-remediation-mercury-contaminated-sites</w:t>
      </w:r>
    </w:p>
    <w:p w:rsidR="00D23105" w:rsidRPr="00BF3CDD" w:rsidRDefault="00D909FF" w:rsidP="00D909FF">
      <w:pPr>
        <w:pStyle w:val="CH3"/>
      </w:pPr>
      <w:r>
        <w:rPr>
          <w:lang w:val="es-ES"/>
        </w:rPr>
        <w:tab/>
      </w:r>
      <w:r>
        <w:rPr>
          <w:lang w:val="es-ES"/>
        </w:rPr>
        <w:tab/>
      </w:r>
      <w:r w:rsidR="00990936" w:rsidRPr="008D66EB">
        <w:rPr>
          <w:lang w:val="en-US"/>
        </w:rPr>
        <w:t>Pure</w:t>
      </w:r>
      <w:r w:rsidRPr="00E427BC">
        <w:rPr>
          <w:lang w:val="en-US"/>
        </w:rPr>
        <w:t xml:space="preserve"> Earth</w:t>
      </w:r>
    </w:p>
    <w:p w:rsidR="006D3E87" w:rsidRDefault="00990936" w:rsidP="00771355">
      <w:pPr>
        <w:pStyle w:val="NormalNonumber"/>
        <w:rPr>
          <w:lang w:val="es-ES"/>
        </w:rPr>
      </w:pPr>
      <w:r>
        <w:t>Pure Earth. “</w:t>
      </w:r>
      <w:r w:rsidR="00D23105" w:rsidRPr="00E427BC">
        <w:rPr>
          <w:lang w:val="en-US"/>
        </w:rPr>
        <w:t>Recommendations for Technical Guidance on Identification, Assessment and Management of Mercury Contaminated Sites</w:t>
      </w:r>
      <w:r>
        <w:rPr>
          <w:lang w:val="en-US"/>
        </w:rPr>
        <w:t>”</w:t>
      </w:r>
      <w:r w:rsidR="00D23105" w:rsidRPr="00E427BC">
        <w:rPr>
          <w:lang w:val="en-US"/>
        </w:rPr>
        <w:t xml:space="preserve">. </w:t>
      </w:r>
      <w:r w:rsidR="00D23105">
        <w:rPr>
          <w:lang w:val="es-ES"/>
        </w:rPr>
        <w:t xml:space="preserve">Puede consultase en </w:t>
      </w:r>
      <w:hyperlink r:id="rId20" w:history="1">
        <w:r w:rsidR="006D3E87" w:rsidRPr="00956994">
          <w:rPr>
            <w:rStyle w:val="Hyperlink"/>
            <w:lang w:val="es-ES"/>
          </w:rPr>
          <w:t>http://www.mercuryconvention.org/Portals/11/documents/2016%20call%20for%20submissions/Pure%20Earth%20Technical%20Guidance%20on%20Mercury-Contaminated%20Sites%20.pdf</w:t>
        </w:r>
      </w:hyperlink>
    </w:p>
    <w:p w:rsidR="006D3E87" w:rsidRDefault="006D3E87">
      <w:pPr>
        <w:tabs>
          <w:tab w:val="clear" w:pos="1247"/>
          <w:tab w:val="clear" w:pos="1814"/>
          <w:tab w:val="clear" w:pos="2381"/>
          <w:tab w:val="clear" w:pos="2948"/>
          <w:tab w:val="clear" w:pos="3515"/>
        </w:tabs>
        <w:rPr>
          <w:lang w:val="es-ES"/>
        </w:rPr>
      </w:pPr>
      <w:r>
        <w:rPr>
          <w:lang w:val="es-ES"/>
        </w:rPr>
        <w:br w:type="page"/>
      </w:r>
    </w:p>
    <w:p w:rsidR="00410C59" w:rsidRPr="00E427BC" w:rsidRDefault="00410C59" w:rsidP="00BA2788">
      <w:pPr>
        <w:pStyle w:val="ZZAnxheader"/>
        <w:rPr>
          <w:lang w:val="es-ES_tradnl"/>
        </w:rPr>
      </w:pPr>
      <w:r>
        <w:rPr>
          <w:lang w:val="es-ES"/>
        </w:rPr>
        <w:t>Anexo III</w:t>
      </w:r>
    </w:p>
    <w:p w:rsidR="0021053C" w:rsidRPr="00E427BC" w:rsidRDefault="0021053C" w:rsidP="00BA2788">
      <w:pPr>
        <w:pStyle w:val="ZZAnxtitle"/>
        <w:rPr>
          <w:lang w:val="es-ES_tradnl"/>
        </w:rPr>
      </w:pPr>
      <w:r>
        <w:rPr>
          <w:lang w:val="es-ES"/>
        </w:rPr>
        <w:t xml:space="preserve">Esbozo de la estructura y el contenido de las orientaciones sobre la </w:t>
      </w:r>
      <w:r w:rsidR="009842D5">
        <w:rPr>
          <w:lang w:val="es-ES"/>
        </w:rPr>
        <w:t xml:space="preserve">gestión de sitios </w:t>
      </w:r>
      <w:r>
        <w:rPr>
          <w:lang w:val="es-ES"/>
        </w:rPr>
        <w:t>contaminados</w:t>
      </w:r>
    </w:p>
    <w:p w:rsidR="00154AF0" w:rsidRPr="00E427BC" w:rsidRDefault="00BA2788" w:rsidP="00CC1B0A">
      <w:pPr>
        <w:pStyle w:val="CH2"/>
        <w:rPr>
          <w:lang w:val="es-ES_tradnl"/>
        </w:rPr>
      </w:pPr>
      <w:r>
        <w:rPr>
          <w:lang w:val="es-ES"/>
        </w:rPr>
        <w:tab/>
      </w:r>
      <w:r>
        <w:rPr>
          <w:lang w:val="es-ES"/>
        </w:rPr>
        <w:tab/>
        <w:t xml:space="preserve">Orientaciones sobre la </w:t>
      </w:r>
      <w:r w:rsidR="009842D5">
        <w:rPr>
          <w:lang w:val="es-ES"/>
        </w:rPr>
        <w:t xml:space="preserve">gestión de sitios </w:t>
      </w:r>
      <w:r>
        <w:rPr>
          <w:lang w:val="es-ES"/>
        </w:rPr>
        <w:t>contaminados</w:t>
      </w:r>
    </w:p>
    <w:p w:rsidR="00154AF0" w:rsidRPr="00E427BC" w:rsidRDefault="00BA2788" w:rsidP="008D66EB">
      <w:pPr>
        <w:pStyle w:val="CH3"/>
        <w:numPr>
          <w:ilvl w:val="0"/>
          <w:numId w:val="21"/>
        </w:numPr>
        <w:tabs>
          <w:tab w:val="clear" w:pos="851"/>
          <w:tab w:val="clear" w:pos="1247"/>
          <w:tab w:val="clear" w:pos="1814"/>
          <w:tab w:val="clear" w:pos="2381"/>
          <w:tab w:val="clear" w:pos="2948"/>
          <w:tab w:val="clear" w:pos="3515"/>
          <w:tab w:val="clear" w:pos="4082"/>
        </w:tabs>
        <w:ind w:left="624" w:firstLine="0"/>
        <w:rPr>
          <w:lang w:val="es-ES_tradnl"/>
        </w:rPr>
      </w:pPr>
      <w:r>
        <w:rPr>
          <w:lang w:val="es-ES"/>
        </w:rPr>
        <w:t>Introducción</w:t>
      </w:r>
    </w:p>
    <w:p w:rsidR="00F60098" w:rsidRPr="00E427BC" w:rsidRDefault="00F60098" w:rsidP="00BA2788">
      <w:pPr>
        <w:pStyle w:val="NormalNonumber"/>
        <w:rPr>
          <w:b/>
          <w:bCs/>
          <w:lang w:val="es-ES_tradnl"/>
        </w:rPr>
      </w:pPr>
      <w:r>
        <w:rPr>
          <w:lang w:val="es-ES"/>
        </w:rPr>
        <w:t xml:space="preserve">En la introducción se proporcionará información general sobre los riesgos para la salud humana y el medio ambiente relacionados con la exposición al mercurio. Se dará información también sobre la utilización del mercurio a nivel mundial, con especial atención en los usos que hayan dado lugar </w:t>
      </w:r>
      <w:r w:rsidR="00F15AA8">
        <w:rPr>
          <w:lang w:val="es-ES"/>
        </w:rPr>
        <w:t>−</w:t>
      </w:r>
      <w:r>
        <w:rPr>
          <w:lang w:val="es-ES"/>
        </w:rPr>
        <w:t>o que puedan dar lugar-</w:t>
      </w:r>
      <w:r w:rsidR="00F15AA8">
        <w:rPr>
          <w:lang w:val="es-ES"/>
        </w:rPr>
        <w:t>−</w:t>
      </w:r>
      <w:r>
        <w:rPr>
          <w:lang w:val="es-ES"/>
        </w:rPr>
        <w:t xml:space="preserve">a sitios contaminados (en particular la extracción de oro artesanal, el uso de cloro-álcali en la producción, la gestión de los desechos industriales o sitios que puedan resultar contaminados como resultado de las escorrentías). En la introducción también se proporcionará una reseña general de las obligaciones dimanantes del Convenio de Minamata sobre el Mercurio en relación con la </w:t>
      </w:r>
      <w:r w:rsidR="009842D5">
        <w:rPr>
          <w:lang w:val="es-ES"/>
        </w:rPr>
        <w:t xml:space="preserve">gestión de sitios </w:t>
      </w:r>
      <w:r>
        <w:rPr>
          <w:lang w:val="es-ES"/>
        </w:rPr>
        <w:t xml:space="preserve">contaminados, y se pondrán de relieve algunas de las actuales políticas nacionales pertinentes. </w:t>
      </w:r>
    </w:p>
    <w:p w:rsidR="00154AF0" w:rsidRPr="00E427BC" w:rsidRDefault="00CC1B0A" w:rsidP="008D66EB">
      <w:pPr>
        <w:pStyle w:val="CH3"/>
        <w:numPr>
          <w:ilvl w:val="0"/>
          <w:numId w:val="21"/>
        </w:numPr>
        <w:tabs>
          <w:tab w:val="clear" w:pos="851"/>
          <w:tab w:val="clear" w:pos="1247"/>
          <w:tab w:val="clear" w:pos="1814"/>
          <w:tab w:val="clear" w:pos="2381"/>
          <w:tab w:val="clear" w:pos="2948"/>
          <w:tab w:val="clear" w:pos="3515"/>
          <w:tab w:val="clear" w:pos="4082"/>
        </w:tabs>
        <w:ind w:left="624" w:firstLine="0"/>
        <w:rPr>
          <w:lang w:val="es-ES_tradnl"/>
        </w:rPr>
      </w:pPr>
      <w:r>
        <w:rPr>
          <w:lang w:val="es-ES"/>
        </w:rPr>
        <w:t>Identificación y caracterización de sitios</w:t>
      </w:r>
    </w:p>
    <w:p w:rsidR="004D575D" w:rsidRPr="00E427BC" w:rsidRDefault="00A14D44" w:rsidP="00BA2788">
      <w:pPr>
        <w:pStyle w:val="NormalNonumber"/>
        <w:rPr>
          <w:b/>
          <w:bCs/>
          <w:lang w:val="es-ES_tradnl"/>
        </w:rPr>
      </w:pPr>
      <w:r>
        <w:rPr>
          <w:lang w:val="es-ES"/>
        </w:rPr>
        <w:t xml:space="preserve">En esta sección se establecen los mecanismos que pueden utilizar los países para identificar los sitios contaminados con mercurio o compuestos de mercurio, así como las técnicas para caracterizar el tipo de contaminación una vez que se haya identificado un sitio supuestamente contaminado. </w:t>
      </w:r>
      <w:r w:rsidR="00E427BC">
        <w:rPr>
          <w:lang w:val="es-ES"/>
        </w:rPr>
        <w:t>Las orientaciones</w:t>
      </w:r>
      <w:r w:rsidR="00F15AA8">
        <w:rPr>
          <w:lang w:val="es-ES"/>
        </w:rPr>
        <w:t xml:space="preserve"> </w:t>
      </w:r>
      <w:r>
        <w:rPr>
          <w:lang w:val="es-ES"/>
        </w:rPr>
        <w:t>describirá</w:t>
      </w:r>
      <w:r w:rsidR="00E427BC">
        <w:rPr>
          <w:lang w:val="es-ES"/>
        </w:rPr>
        <w:t>n</w:t>
      </w:r>
      <w:r>
        <w:rPr>
          <w:lang w:val="es-ES"/>
        </w:rPr>
        <w:t xml:space="preserve"> qué medidas habría que adoptar en la elaboración de una lista nacional de sitios contaminados, y que pueden incluir, entre otras, la determinación del nivel nacional de contaminación por mercurio o compuestos de mercurio que llevaría a clasificar un sitio como sitio contaminado. Habría también q</w:t>
      </w:r>
      <w:r w:rsidR="00F15AA8">
        <w:rPr>
          <w:lang w:val="es-ES"/>
        </w:rPr>
        <w:t>ue definir qué se entiende por “</w:t>
      </w:r>
      <w:r>
        <w:rPr>
          <w:lang w:val="es-ES"/>
        </w:rPr>
        <w:t>sitio</w:t>
      </w:r>
      <w:r w:rsidR="00E427BC">
        <w:rPr>
          <w:lang w:val="es-ES"/>
        </w:rPr>
        <w:t>”,</w:t>
      </w:r>
      <w:r>
        <w:rPr>
          <w:lang w:val="es-ES"/>
        </w:rPr>
        <w:t xml:space="preserve"> teniendo en cuenta que las zonas afectadas por </w:t>
      </w:r>
      <w:r w:rsidR="00E427BC">
        <w:rPr>
          <w:lang w:val="es-ES"/>
        </w:rPr>
        <w:t>escorrentías</w:t>
      </w:r>
      <w:r>
        <w:rPr>
          <w:lang w:val="es-ES"/>
        </w:rPr>
        <w:t xml:space="preserve"> de un sitio principal pudieran incluso resultar más contaminadas. </w:t>
      </w:r>
      <w:r w:rsidR="00E427BC">
        <w:rPr>
          <w:lang w:val="es-ES"/>
        </w:rPr>
        <w:t xml:space="preserve">Las orientaciones </w:t>
      </w:r>
      <w:r>
        <w:rPr>
          <w:lang w:val="es-ES"/>
        </w:rPr>
        <w:t>podría</w:t>
      </w:r>
      <w:r w:rsidR="00E427BC">
        <w:rPr>
          <w:lang w:val="es-ES"/>
        </w:rPr>
        <w:t xml:space="preserve">n </w:t>
      </w:r>
      <w:r>
        <w:rPr>
          <w:lang w:val="es-ES"/>
        </w:rPr>
        <w:t xml:space="preserve">abordar además el mecanismo necesario a nivel nacional para determinar sitios posiblemente contaminados. Ello puede incluir una combinación de un ejercicio teórico de recopilación de información sobre actividades industriales o de extracción, en curso o anteriores, en las que se haya utilizado o liberado mercurio o compuestos de mercurio, o la ubicación de una zona de vertido de desechos, así como información reunida como resultado del seguimiento de los sitios y locales que deben rendir informe. </w:t>
      </w:r>
    </w:p>
    <w:p w:rsidR="00F60098" w:rsidRPr="00E427BC" w:rsidRDefault="004D575D" w:rsidP="00CC1B0A">
      <w:pPr>
        <w:pStyle w:val="NormalNonumber"/>
        <w:rPr>
          <w:b/>
          <w:bCs/>
          <w:lang w:val="es-ES_tradnl"/>
        </w:rPr>
      </w:pPr>
      <w:r>
        <w:rPr>
          <w:lang w:val="es-ES"/>
        </w:rPr>
        <w:t xml:space="preserve">Por intermedio de un protocolo de evaluación se podría ampliar la caracterización de los sitios posiblemente contaminados identificados gracias a este mecanismo. </w:t>
      </w:r>
      <w:r w:rsidR="00E427BC">
        <w:rPr>
          <w:lang w:val="es-ES"/>
        </w:rPr>
        <w:t>Las orientaciones</w:t>
      </w:r>
      <w:r w:rsidR="00F15AA8">
        <w:rPr>
          <w:lang w:val="es-ES"/>
        </w:rPr>
        <w:t xml:space="preserve"> </w:t>
      </w:r>
      <w:r w:rsidR="00990936">
        <w:rPr>
          <w:lang w:val="es-ES"/>
        </w:rPr>
        <w:t xml:space="preserve">abarcarían también </w:t>
      </w:r>
      <w:r>
        <w:rPr>
          <w:lang w:val="es-ES"/>
        </w:rPr>
        <w:t xml:space="preserve">información sobre el posible alcance del protocolo, y señalaría que el protocolo tendría que ser acordado a nivel nacional. El protocolo de evaluación podría incluir una inspección del sitio para determinar sus características (entre otras, la topografía, la posibilidad de escorrentías o contaminación procedente de fuentes de aguas locales, la utilización actual del sitio y pruebas de usos anteriores). Habría que tomar muestras exhaustivas del aire, el suelo y el agua del sitio para caracterizar los riesgos, y </w:t>
      </w:r>
      <w:r w:rsidR="00E427BC">
        <w:rPr>
          <w:lang w:val="es-ES"/>
        </w:rPr>
        <w:t xml:space="preserve">las orientaciones </w:t>
      </w:r>
      <w:r>
        <w:rPr>
          <w:lang w:val="es-ES"/>
        </w:rPr>
        <w:t xml:space="preserve">incluiría información sobre la toma de muestras para caracterizar mejor el sitio, así como de una serie de metodologías analíticas que podrían utilizarse para determinar el nivel de mercurio o compuestos de mercurio presentes. La toma de muestras de la biota, en particular de peces, en zonas afectadas por la contaminación por mercurio puede dar información útil, concretamente sobre los riesgos para la población local como resultado de la exposición a través de la dieta. Podría ser necesario también tomar muestras de las propias poblaciones locales. En las orientaciones se incluiría también una descripción de las técnicas de muestreo y las metodologías analíticas. Las orientaciones podrían incluir también información sobre el establecimiento de prioridades de las actividades en los casos en que se haya llevado a cabo una actividad de evaluación inicial para determinar los lugares que se consideran de mayor riesgo (teniendo en cuenta factores como la ubicación cerca de los centros de población, la posibilidad de contaminación de las aguas subterráneas o de los sistemas fluviales y los niveles reales del mercurio en el lugar). </w:t>
      </w:r>
    </w:p>
    <w:p w:rsidR="00154AF0" w:rsidRPr="00E427BC" w:rsidRDefault="00CC1B0A" w:rsidP="008D66EB">
      <w:pPr>
        <w:pStyle w:val="CH3"/>
        <w:numPr>
          <w:ilvl w:val="0"/>
          <w:numId w:val="21"/>
        </w:numPr>
        <w:tabs>
          <w:tab w:val="clear" w:pos="851"/>
          <w:tab w:val="clear" w:pos="1247"/>
          <w:tab w:val="clear" w:pos="1814"/>
          <w:tab w:val="clear" w:pos="2381"/>
          <w:tab w:val="clear" w:pos="2948"/>
          <w:tab w:val="clear" w:pos="3515"/>
          <w:tab w:val="clear" w:pos="4082"/>
        </w:tabs>
        <w:ind w:left="624" w:firstLine="0"/>
        <w:rPr>
          <w:lang w:val="es-ES_tradnl"/>
        </w:rPr>
      </w:pPr>
      <w:r>
        <w:rPr>
          <w:lang w:val="es-ES"/>
        </w:rPr>
        <w:t>La participación del público</w:t>
      </w:r>
    </w:p>
    <w:p w:rsidR="00A10B17" w:rsidRPr="00E427BC" w:rsidRDefault="00A10B17" w:rsidP="00BA2788">
      <w:pPr>
        <w:pStyle w:val="NormalNonumber"/>
        <w:rPr>
          <w:b/>
          <w:bCs/>
          <w:lang w:val="es-ES_tradnl"/>
        </w:rPr>
      </w:pPr>
      <w:r>
        <w:rPr>
          <w:lang w:val="es-ES"/>
        </w:rPr>
        <w:t xml:space="preserve">Se reconoce que es fundamental recabar la participación del público. En las orientaciones se incluirá información sobre el desarrollo de un proceso de consultas públicas, que incluya mecanismos para recoger y distribuir información, la participación del público y de los interesados en el establecimiento de compromisos y un plan en relación con el proceso de evaluación y cualquier posible proceso de rehabilitación, así como métodos de recopilación de información para evaluar la participación del público y los niveles de satisfacción. Las orientaciones recogerán también información sobre las actividades para sensibilizar al público y crear capacidad, en particular en lo que respecta a los requisitos necesarios para reducir la exposición. </w:t>
      </w:r>
    </w:p>
    <w:p w:rsidR="00154AF0" w:rsidRPr="00E427BC" w:rsidRDefault="00CC1B0A" w:rsidP="008D66EB">
      <w:pPr>
        <w:pStyle w:val="CH3"/>
        <w:numPr>
          <w:ilvl w:val="0"/>
          <w:numId w:val="21"/>
        </w:numPr>
        <w:tabs>
          <w:tab w:val="clear" w:pos="851"/>
          <w:tab w:val="clear" w:pos="1247"/>
          <w:tab w:val="clear" w:pos="1814"/>
          <w:tab w:val="clear" w:pos="2381"/>
          <w:tab w:val="clear" w:pos="2948"/>
          <w:tab w:val="clear" w:pos="3515"/>
          <w:tab w:val="clear" w:pos="4082"/>
        </w:tabs>
        <w:ind w:left="624" w:firstLine="0"/>
        <w:rPr>
          <w:lang w:val="es-ES_tradnl"/>
        </w:rPr>
      </w:pPr>
      <w:r>
        <w:rPr>
          <w:lang w:val="es-ES"/>
        </w:rPr>
        <w:t>Evaluación de los riesgos para la salud humana y el medio ambiente</w:t>
      </w:r>
    </w:p>
    <w:p w:rsidR="00947CEA" w:rsidRPr="00E427BC" w:rsidRDefault="00947CEA" w:rsidP="00BA2788">
      <w:pPr>
        <w:pStyle w:val="NormalNonumber"/>
        <w:rPr>
          <w:b/>
          <w:bCs/>
          <w:lang w:val="es-ES_tradnl"/>
        </w:rPr>
      </w:pPr>
      <w:r>
        <w:rPr>
          <w:lang w:val="es-ES"/>
        </w:rPr>
        <w:t xml:space="preserve">El impacto de un sitio está determinado por la evaluación de sus efectos tanto en la salud humana como en el medio ambiente. Si bien los peligros del mercurio están bien caracterizados y son universales, la exposición resultante de la presencia de mercurio es específica del sitio de que se trate. Las orientaciones proporcionarán información sobre los peligros del mercurio y los compuestos de mercurio, pero se centrarán más en consideraciones acerca de cómo las características del sitio pueden estar relacionadas con la exposición de los seres humanos y el medio ambiente, y en cómo evaluar esa exposición. También proporcionarán información sobre la manera de determinar el riesgo asociado con el sitio, por ejemplo la determinación de los lugares en los que se planteen riesgos principalmente para el medio ambiente, para la salud humana, o para ambos. </w:t>
      </w:r>
    </w:p>
    <w:p w:rsidR="00154AF0" w:rsidRPr="00E427BC" w:rsidRDefault="00CC1B0A" w:rsidP="008D66EB">
      <w:pPr>
        <w:pStyle w:val="CH3"/>
        <w:numPr>
          <w:ilvl w:val="0"/>
          <w:numId w:val="21"/>
        </w:numPr>
        <w:tabs>
          <w:tab w:val="clear" w:pos="851"/>
          <w:tab w:val="clear" w:pos="1247"/>
          <w:tab w:val="clear" w:pos="1814"/>
          <w:tab w:val="clear" w:pos="2381"/>
          <w:tab w:val="clear" w:pos="2948"/>
          <w:tab w:val="clear" w:pos="3515"/>
          <w:tab w:val="clear" w:pos="4082"/>
        </w:tabs>
        <w:ind w:left="624" w:firstLine="0"/>
        <w:rPr>
          <w:lang w:val="es-ES_tradnl"/>
        </w:rPr>
      </w:pPr>
      <w:r>
        <w:rPr>
          <w:lang w:val="es-ES"/>
        </w:rPr>
        <w:t>Opciones para gestionar los riesgos que plantean los sitios contaminados</w:t>
      </w:r>
    </w:p>
    <w:p w:rsidR="00947CEA" w:rsidRPr="00E427BC" w:rsidRDefault="00947CEA" w:rsidP="00BA2788">
      <w:pPr>
        <w:pStyle w:val="NormalNonumber"/>
        <w:rPr>
          <w:b/>
          <w:bCs/>
          <w:lang w:val="es-ES_tradnl"/>
        </w:rPr>
      </w:pPr>
      <w:r>
        <w:rPr>
          <w:lang w:val="es-ES"/>
        </w:rPr>
        <w:t xml:space="preserve">Una vez concluida la evaluación de un sitio contaminado, habría que adoptar decisiones a nivel nacional sobre los medios más apropiados para gestionarlo. </w:t>
      </w:r>
      <w:r w:rsidR="00E427BC">
        <w:rPr>
          <w:lang w:val="es-ES"/>
        </w:rPr>
        <w:t>Las orientaciones</w:t>
      </w:r>
      <w:r w:rsidR="00F15AA8">
        <w:rPr>
          <w:lang w:val="es-ES"/>
        </w:rPr>
        <w:t xml:space="preserve"> </w:t>
      </w:r>
      <w:r w:rsidR="00E427BC">
        <w:rPr>
          <w:lang w:val="es-ES"/>
        </w:rPr>
        <w:t>proporcionarán</w:t>
      </w:r>
      <w:r>
        <w:rPr>
          <w:lang w:val="es-ES"/>
        </w:rPr>
        <w:t xml:space="preserve"> información sobre una serie de opciones para gestionar los riesgos que plantean los sitios contaminados. Se examinará la necesidad de proteger a las personas y el medio ambiente en todo el proceso de gestión de riesgos, y se tendrá en cuenta la necesidad de llevar a cabo todas las acciones de manera ambientalmente racional. </w:t>
      </w:r>
    </w:p>
    <w:p w:rsidR="00154AF0" w:rsidRPr="00E427BC" w:rsidRDefault="00CC1B0A" w:rsidP="008D66EB">
      <w:pPr>
        <w:pStyle w:val="CH3"/>
        <w:numPr>
          <w:ilvl w:val="0"/>
          <w:numId w:val="21"/>
        </w:numPr>
        <w:tabs>
          <w:tab w:val="clear" w:pos="851"/>
          <w:tab w:val="clear" w:pos="1247"/>
          <w:tab w:val="clear" w:pos="1814"/>
          <w:tab w:val="clear" w:pos="2381"/>
          <w:tab w:val="clear" w:pos="2948"/>
          <w:tab w:val="clear" w:pos="3515"/>
          <w:tab w:val="clear" w:pos="4082"/>
        </w:tabs>
        <w:ind w:left="624" w:firstLine="0"/>
        <w:rPr>
          <w:lang w:val="es-ES_tradnl"/>
        </w:rPr>
      </w:pPr>
      <w:r>
        <w:rPr>
          <w:lang w:val="es-ES"/>
        </w:rPr>
        <w:t>Evaluación de los costos y beneficios</w:t>
      </w:r>
    </w:p>
    <w:p w:rsidR="00D23105" w:rsidRPr="00E427BC" w:rsidRDefault="00D23105" w:rsidP="00BA2788">
      <w:pPr>
        <w:pStyle w:val="NormalNonumber"/>
        <w:rPr>
          <w:b/>
          <w:bCs/>
          <w:lang w:val="es-ES_tradnl"/>
        </w:rPr>
      </w:pPr>
      <w:r>
        <w:rPr>
          <w:lang w:val="es-ES"/>
        </w:rPr>
        <w:t xml:space="preserve">Se reconoce que la identificación, caracterización, evaluación y rehabilitación de los sitios contaminados generarán gastos; sin embargo, también se reconoce que los efectos del mercurio y los compuestos de mercurio en las poblaciones locales y el medio ambiente tienen también su costo. Las orientaciones facilitarán información sobre cómo evaluar los costos y beneficios de las actividades dirigidas a rehabilitar los sitios contaminados en la medida de lo posible, y reconocen que los costes de las intervenciones no serán iguales en todos países. </w:t>
      </w:r>
    </w:p>
    <w:p w:rsidR="00154AF0" w:rsidRPr="00E427BC" w:rsidRDefault="00CC1B0A" w:rsidP="008D66EB">
      <w:pPr>
        <w:pStyle w:val="CH3"/>
        <w:numPr>
          <w:ilvl w:val="0"/>
          <w:numId w:val="21"/>
        </w:numPr>
        <w:tabs>
          <w:tab w:val="clear" w:pos="851"/>
          <w:tab w:val="clear" w:pos="1247"/>
          <w:tab w:val="clear" w:pos="1814"/>
          <w:tab w:val="clear" w:pos="2381"/>
          <w:tab w:val="clear" w:pos="2948"/>
          <w:tab w:val="clear" w:pos="3515"/>
          <w:tab w:val="clear" w:pos="4082"/>
        </w:tabs>
        <w:ind w:left="624" w:firstLine="0"/>
        <w:rPr>
          <w:lang w:val="es-ES_tradnl"/>
        </w:rPr>
      </w:pPr>
      <w:r>
        <w:rPr>
          <w:lang w:val="es-ES"/>
        </w:rPr>
        <w:t>Validación de los resultados</w:t>
      </w:r>
    </w:p>
    <w:p w:rsidR="00D23105" w:rsidRPr="00E427BC" w:rsidRDefault="00D23105" w:rsidP="00BA2788">
      <w:pPr>
        <w:pStyle w:val="NormalNonumber"/>
        <w:rPr>
          <w:b/>
          <w:bCs/>
          <w:lang w:val="es-ES_tradnl"/>
        </w:rPr>
      </w:pPr>
      <w:r>
        <w:rPr>
          <w:lang w:val="es-ES"/>
        </w:rPr>
        <w:t xml:space="preserve">Es necesario validar los resultados de cualquier actividad realizada en relación con los sitios contaminados, en particular para determinar la eficacia de las intervenciones, así como para considerar la necesidad de llevar a cabo más actividades. Las orientaciones incluirán información sobre las actividades necesarias para validar los resultados. </w:t>
      </w:r>
    </w:p>
    <w:p w:rsidR="00580C85" w:rsidRPr="00E427BC" w:rsidRDefault="00CC1B0A" w:rsidP="008D66EB">
      <w:pPr>
        <w:pStyle w:val="CH3"/>
        <w:numPr>
          <w:ilvl w:val="0"/>
          <w:numId w:val="21"/>
        </w:numPr>
        <w:tabs>
          <w:tab w:val="clear" w:pos="851"/>
          <w:tab w:val="clear" w:pos="1247"/>
          <w:tab w:val="clear" w:pos="1814"/>
          <w:tab w:val="clear" w:pos="2381"/>
          <w:tab w:val="clear" w:pos="2948"/>
          <w:tab w:val="clear" w:pos="3515"/>
          <w:tab w:val="clear" w:pos="4082"/>
        </w:tabs>
        <w:ind w:left="1248" w:hanging="624"/>
        <w:rPr>
          <w:lang w:val="es-ES_tradnl"/>
        </w:rPr>
      </w:pPr>
      <w:r>
        <w:rPr>
          <w:lang w:val="es-ES"/>
        </w:rPr>
        <w:t xml:space="preserve">Cooperación en la formulación de estrategias y la ejecución de actividades para identificar, evaluar, priorizar, gestionar y, según proceda, rehabilitar sitios contaminados. </w:t>
      </w:r>
    </w:p>
    <w:p w:rsidR="00580C85" w:rsidRPr="00E427BC" w:rsidRDefault="00EE6464" w:rsidP="00BA2788">
      <w:pPr>
        <w:pStyle w:val="NormalNonumber"/>
        <w:rPr>
          <w:b/>
          <w:bCs/>
          <w:lang w:val="es-ES_tradnl"/>
        </w:rPr>
      </w:pPr>
      <w:r>
        <w:rPr>
          <w:lang w:val="es-ES"/>
        </w:rPr>
        <w:t xml:space="preserve">En esa sección se indicarán posibles estrategias que pueden adoptar las Partes que deseen cooperar en actividades relacionadas con los sitios contaminados. Entre las posibles estrategias cabría mencionar las actividades de intercambio de </w:t>
      </w:r>
      <w:r w:rsidR="00E427BC">
        <w:rPr>
          <w:lang w:val="es-ES"/>
        </w:rPr>
        <w:t>información</w:t>
      </w:r>
      <w:r>
        <w:rPr>
          <w:lang w:val="es-ES"/>
        </w:rPr>
        <w:t xml:space="preserve">, la identificación de oportunidades para la evaluación conjunta de los sitios, la coordinación de los planes de comunicación en relación con los sitios, y otras actividades de cooperación, según proceda. </w:t>
      </w:r>
    </w:p>
    <w:p w:rsidR="003366AC" w:rsidRDefault="003366AC">
      <w:pPr>
        <w:tabs>
          <w:tab w:val="clear" w:pos="1247"/>
          <w:tab w:val="clear" w:pos="1814"/>
          <w:tab w:val="clear" w:pos="2381"/>
          <w:tab w:val="clear" w:pos="2948"/>
          <w:tab w:val="clear" w:pos="3515"/>
        </w:tabs>
        <w:rPr>
          <w:b/>
          <w:bCs/>
          <w:sz w:val="28"/>
          <w:szCs w:val="22"/>
          <w:lang w:val="es-ES"/>
        </w:rPr>
      </w:pPr>
      <w:r>
        <w:rPr>
          <w:lang w:val="es-ES"/>
        </w:rPr>
        <w:br w:type="page"/>
      </w:r>
    </w:p>
    <w:p w:rsidR="0021053C" w:rsidRPr="00E427BC" w:rsidRDefault="0021053C">
      <w:pPr>
        <w:pStyle w:val="ZZAnxheader"/>
        <w:rPr>
          <w:lang w:val="es-ES_tradnl"/>
        </w:rPr>
      </w:pPr>
      <w:r>
        <w:rPr>
          <w:lang w:val="es-ES"/>
        </w:rPr>
        <w:t>Anexo IV</w:t>
      </w:r>
    </w:p>
    <w:p w:rsidR="00AC6EC6" w:rsidRPr="00E427BC" w:rsidRDefault="0021053C" w:rsidP="00771355">
      <w:pPr>
        <w:pStyle w:val="ZZAnxtitle"/>
        <w:rPr>
          <w:lang w:val="es-ES_tradnl"/>
        </w:rPr>
      </w:pPr>
      <w:r>
        <w:rPr>
          <w:lang w:val="es-ES"/>
        </w:rPr>
        <w:t>Proyecto de hoja de ruta para la preparación de las orientaciones sobre la gestión de sitios contaminados</w:t>
      </w:r>
    </w:p>
    <w:p w:rsidR="0021053C" w:rsidRPr="00E427BC" w:rsidRDefault="0021053C" w:rsidP="008D66EB">
      <w:pPr>
        <w:pStyle w:val="NormalNonumber"/>
        <w:tabs>
          <w:tab w:val="clear" w:pos="1247"/>
          <w:tab w:val="clear" w:pos="1814"/>
          <w:tab w:val="clear" w:pos="2381"/>
          <w:tab w:val="clear" w:pos="2948"/>
          <w:tab w:val="clear" w:pos="3515"/>
          <w:tab w:val="clear" w:pos="4082"/>
        </w:tabs>
        <w:ind w:firstLine="624"/>
        <w:rPr>
          <w:lang w:val="es-ES_tradnl"/>
        </w:rPr>
      </w:pPr>
      <w:r>
        <w:rPr>
          <w:lang w:val="es-ES"/>
        </w:rPr>
        <w:t xml:space="preserve">La secretaría provisional del Convenio de Minamata ha elaborado un proyecto de hoja de ruta sobre la preparación de un proyecto de orientaciones sobre la gestión de sitios contaminados con mercurio, conforme a lo solicitado por el Comité Intergubernamental de Negociación encargado de elaborar un instrumento jurídicamente vinculante a nivel mundial sobre el mercurio en su séptimo período de sesiones. </w:t>
      </w:r>
    </w:p>
    <w:p w:rsidR="0021053C" w:rsidRPr="00E427BC" w:rsidRDefault="0021053C" w:rsidP="008D66EB">
      <w:pPr>
        <w:pStyle w:val="NormalNonumber"/>
        <w:tabs>
          <w:tab w:val="clear" w:pos="1247"/>
          <w:tab w:val="clear" w:pos="1814"/>
          <w:tab w:val="clear" w:pos="2381"/>
          <w:tab w:val="clear" w:pos="2948"/>
          <w:tab w:val="clear" w:pos="3515"/>
          <w:tab w:val="clear" w:pos="4082"/>
        </w:tabs>
        <w:ind w:firstLine="624"/>
        <w:rPr>
          <w:lang w:val="es-ES_tradnl"/>
        </w:rPr>
      </w:pPr>
      <w:r>
        <w:rPr>
          <w:lang w:val="es-ES"/>
        </w:rPr>
        <w:t>El proyecto de hoja de ruta establece las actividades que podrían llevarse a cabo después de la primera reunión de la Conferencia de las Partes, con sujeción a un acuerdo con respecto a esas actividades, sus plazos y la disponibilidad de recursos financieros y de otro tipo necesarios para su aplicación.</w:t>
      </w:r>
    </w:p>
    <w:p w:rsidR="0021053C" w:rsidRPr="00E427BC" w:rsidRDefault="00EE2914" w:rsidP="008D66EB">
      <w:pPr>
        <w:pStyle w:val="NormalNonumber"/>
        <w:tabs>
          <w:tab w:val="clear" w:pos="1247"/>
          <w:tab w:val="clear" w:pos="1814"/>
          <w:tab w:val="clear" w:pos="2381"/>
          <w:tab w:val="clear" w:pos="2948"/>
          <w:tab w:val="clear" w:pos="3515"/>
          <w:tab w:val="clear" w:pos="4082"/>
        </w:tabs>
        <w:ind w:firstLine="624"/>
        <w:rPr>
          <w:lang w:val="es-ES_tradnl"/>
        </w:rPr>
      </w:pPr>
      <w:r>
        <w:rPr>
          <w:lang w:val="es-ES"/>
        </w:rPr>
        <w:t>Habida cuenta del alcance de la labor y la necesidad de contar con aportaciones de expertos en algunas esferas, se propone la hoja de ruta siguiente.</w:t>
      </w:r>
    </w:p>
    <w:tbl>
      <w:tblPr>
        <w:tblW w:w="836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158"/>
        <w:gridCol w:w="2205"/>
      </w:tblGrid>
      <w:tr w:rsidR="0021053C" w:rsidRPr="004F0722" w:rsidTr="008D66EB">
        <w:trPr>
          <w:trHeight w:val="212"/>
          <w:tblHeader/>
          <w:jc w:val="right"/>
        </w:trPr>
        <w:tc>
          <w:tcPr>
            <w:tcW w:w="6158" w:type="dxa"/>
            <w:tcBorders>
              <w:top w:val="single" w:sz="4" w:space="0" w:color="000000"/>
              <w:left w:val="nil"/>
              <w:bottom w:val="single" w:sz="12" w:space="0" w:color="000000"/>
              <w:right w:val="nil"/>
            </w:tcBorders>
            <w:tcMar>
              <w:top w:w="80" w:type="dxa"/>
              <w:left w:w="80" w:type="dxa"/>
              <w:bottom w:w="80" w:type="dxa"/>
              <w:right w:w="80" w:type="dxa"/>
            </w:tcMar>
          </w:tcPr>
          <w:p w:rsidR="0021053C" w:rsidRPr="003366AC" w:rsidRDefault="0021053C" w:rsidP="00CC1B0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i/>
                <w:sz w:val="20"/>
                <w:szCs w:val="20"/>
              </w:rPr>
            </w:pPr>
            <w:r w:rsidRPr="003366AC">
              <w:rPr>
                <w:i/>
                <w:sz w:val="20"/>
                <w:szCs w:val="20"/>
                <w:lang w:val="es-ES"/>
              </w:rPr>
              <w:t>Actividad</w:t>
            </w:r>
          </w:p>
        </w:tc>
        <w:tc>
          <w:tcPr>
            <w:tcW w:w="2205" w:type="dxa"/>
            <w:tcBorders>
              <w:top w:val="single" w:sz="4" w:space="0" w:color="000000"/>
              <w:left w:val="nil"/>
              <w:bottom w:val="single" w:sz="12" w:space="0" w:color="000000"/>
              <w:right w:val="nil"/>
            </w:tcBorders>
            <w:tcMar>
              <w:top w:w="80" w:type="dxa"/>
              <w:left w:w="80" w:type="dxa"/>
              <w:bottom w:w="80" w:type="dxa"/>
              <w:right w:w="80" w:type="dxa"/>
            </w:tcMar>
          </w:tcPr>
          <w:p w:rsidR="0021053C" w:rsidRPr="003366AC"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i/>
                <w:sz w:val="20"/>
                <w:szCs w:val="20"/>
              </w:rPr>
            </w:pPr>
            <w:r w:rsidRPr="003366AC">
              <w:rPr>
                <w:i/>
                <w:sz w:val="20"/>
                <w:szCs w:val="20"/>
                <w:lang w:val="es-ES"/>
              </w:rPr>
              <w:t>Calendario</w:t>
            </w:r>
          </w:p>
        </w:tc>
      </w:tr>
      <w:tr w:rsidR="0021053C" w:rsidRPr="004F0722" w:rsidTr="008D66EB">
        <w:trPr>
          <w:trHeight w:val="1007"/>
          <w:jc w:val="right"/>
        </w:trPr>
        <w:tc>
          <w:tcPr>
            <w:tcW w:w="6158" w:type="dxa"/>
            <w:tcBorders>
              <w:top w:val="single" w:sz="12" w:space="0" w:color="000000"/>
              <w:left w:val="nil"/>
              <w:bottom w:val="nil"/>
              <w:right w:val="nil"/>
            </w:tcBorders>
            <w:tcMar>
              <w:top w:w="80" w:type="dxa"/>
              <w:left w:w="80" w:type="dxa"/>
              <w:bottom w:w="80" w:type="dxa"/>
              <w:right w:w="80" w:type="dxa"/>
            </w:tcMar>
          </w:tcPr>
          <w:p w:rsidR="0021053C" w:rsidRPr="004F0722" w:rsidRDefault="0021053C" w:rsidP="00CC1B0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es-ES_tradnl"/>
              </w:rPr>
            </w:pPr>
            <w:r w:rsidRPr="004F0722">
              <w:rPr>
                <w:sz w:val="20"/>
                <w:szCs w:val="20"/>
                <w:lang w:val="es-ES"/>
              </w:rPr>
              <w:t xml:space="preserve">La primera reunión de la Conferencia de las Partes establece un proceso para preparar orientaciones sobre la </w:t>
            </w:r>
            <w:r w:rsidR="009842D5">
              <w:rPr>
                <w:sz w:val="20"/>
                <w:szCs w:val="20"/>
                <w:lang w:val="es-ES"/>
              </w:rPr>
              <w:t xml:space="preserve">gestión de sitios </w:t>
            </w:r>
            <w:r w:rsidRPr="004F0722">
              <w:rPr>
                <w:sz w:val="20"/>
                <w:szCs w:val="20"/>
                <w:lang w:val="es-ES"/>
              </w:rPr>
              <w:t xml:space="preserve">contaminados, como se pide en el párrafo 3 del artículo 12 del Convenio de Minamata, para su examen y aprobación por la Conferencia de las Partes en una próxima reunión. Los elementos de este proceso se exponen en la hoja de ruta que figura a continuación. </w:t>
            </w:r>
          </w:p>
        </w:tc>
        <w:tc>
          <w:tcPr>
            <w:tcW w:w="2205" w:type="dxa"/>
            <w:tcBorders>
              <w:top w:val="single" w:sz="12" w:space="0" w:color="000000"/>
              <w:left w:val="nil"/>
              <w:bottom w:val="nil"/>
              <w:right w:val="nil"/>
            </w:tcBorders>
            <w:tcMar>
              <w:top w:w="80" w:type="dxa"/>
              <w:left w:w="80" w:type="dxa"/>
              <w:bottom w:w="80" w:type="dxa"/>
              <w:right w:w="80" w:type="dxa"/>
            </w:tcMar>
          </w:tcPr>
          <w:p w:rsidR="0021053C" w:rsidRPr="004F0722"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rPr>
            </w:pPr>
            <w:r w:rsidRPr="004F0722">
              <w:rPr>
                <w:sz w:val="20"/>
                <w:szCs w:val="20"/>
                <w:lang w:val="es-ES"/>
              </w:rPr>
              <w:t>septiembre de 2017</w:t>
            </w:r>
          </w:p>
        </w:tc>
      </w:tr>
      <w:tr w:rsidR="0021053C" w:rsidRPr="004F0722" w:rsidTr="008D66EB">
        <w:trPr>
          <w:trHeight w:val="392"/>
          <w:jc w:val="right"/>
        </w:trPr>
        <w:tc>
          <w:tcPr>
            <w:tcW w:w="6158" w:type="dxa"/>
            <w:tcBorders>
              <w:top w:val="nil"/>
              <w:left w:val="nil"/>
              <w:bottom w:val="nil"/>
              <w:right w:val="nil"/>
            </w:tcBorders>
            <w:tcMar>
              <w:top w:w="80" w:type="dxa"/>
              <w:left w:w="80" w:type="dxa"/>
              <w:bottom w:w="80" w:type="dxa"/>
              <w:right w:w="80" w:type="dxa"/>
            </w:tcMar>
          </w:tcPr>
          <w:p w:rsidR="0021053C" w:rsidRPr="004F0722" w:rsidRDefault="002105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es-ES_tradnl"/>
              </w:rPr>
            </w:pPr>
            <w:r w:rsidRPr="004F0722">
              <w:rPr>
                <w:sz w:val="20"/>
                <w:szCs w:val="20"/>
                <w:lang w:val="es-ES"/>
              </w:rPr>
              <w:t xml:space="preserve">La Conferencia reconoce la complejidad de la </w:t>
            </w:r>
            <w:r w:rsidR="009842D5">
              <w:rPr>
                <w:sz w:val="20"/>
                <w:szCs w:val="20"/>
                <w:lang w:val="es-ES"/>
              </w:rPr>
              <w:t xml:space="preserve">gestión de sitios </w:t>
            </w:r>
            <w:r w:rsidRPr="004F0722">
              <w:rPr>
                <w:sz w:val="20"/>
                <w:szCs w:val="20"/>
                <w:lang w:val="es-ES"/>
              </w:rPr>
              <w:t xml:space="preserve">contaminados, así como los requisitos técnicos necesarios para elaborar un proyecto de orientaciones; sin embargo, también reconoce que en varios otros foros se han elaborado orientaciones pertinentes que podrían aprovecharse en la elaboración del proyecto de orientaciones. Por consiguiente, la Conferencia reconoce la necesidad de contar con contribuciones de expertos en esta esfera, y exhorta a los Gobiernos y a otros interesados a proponer expertos interesados en participar en esta labor. </w:t>
            </w:r>
          </w:p>
        </w:tc>
        <w:tc>
          <w:tcPr>
            <w:tcW w:w="2205" w:type="dxa"/>
            <w:tcBorders>
              <w:top w:val="nil"/>
              <w:left w:val="nil"/>
              <w:bottom w:val="nil"/>
              <w:right w:val="nil"/>
            </w:tcBorders>
            <w:tcMar>
              <w:top w:w="80" w:type="dxa"/>
              <w:left w:w="80" w:type="dxa"/>
              <w:bottom w:w="80" w:type="dxa"/>
              <w:right w:w="80" w:type="dxa"/>
            </w:tcMar>
          </w:tcPr>
          <w:p w:rsidR="0021053C" w:rsidRPr="004F0722"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rPr>
            </w:pPr>
            <w:r w:rsidRPr="004F0722">
              <w:rPr>
                <w:sz w:val="20"/>
                <w:szCs w:val="20"/>
                <w:lang w:val="es-ES"/>
              </w:rPr>
              <w:t>septiembre de 2017</w:t>
            </w:r>
          </w:p>
        </w:tc>
      </w:tr>
      <w:tr w:rsidR="0021053C" w:rsidRPr="004F0722" w:rsidTr="008D66EB">
        <w:trPr>
          <w:trHeight w:val="622"/>
          <w:jc w:val="right"/>
        </w:trPr>
        <w:tc>
          <w:tcPr>
            <w:tcW w:w="6158" w:type="dxa"/>
            <w:tcBorders>
              <w:top w:val="nil"/>
              <w:left w:val="nil"/>
              <w:bottom w:val="nil"/>
              <w:right w:val="nil"/>
            </w:tcBorders>
            <w:tcMar>
              <w:top w:w="80" w:type="dxa"/>
              <w:left w:w="80" w:type="dxa"/>
              <w:bottom w:w="80" w:type="dxa"/>
              <w:right w:w="80" w:type="dxa"/>
            </w:tcMar>
          </w:tcPr>
          <w:p w:rsidR="0021053C" w:rsidRPr="004F0722" w:rsidRDefault="0021053C" w:rsidP="00CC1B0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es-ES_tradnl"/>
              </w:rPr>
            </w:pPr>
            <w:r w:rsidRPr="004F0722">
              <w:rPr>
                <w:sz w:val="20"/>
                <w:szCs w:val="20"/>
                <w:lang w:val="es-ES"/>
              </w:rPr>
              <w:t xml:space="preserve">Se presentan a la secretaría las candidaturas de expertos para su inclusión en un grupo de trabajo de expertos que desarrollarán su labor por medios electrónicos. </w:t>
            </w:r>
          </w:p>
        </w:tc>
        <w:tc>
          <w:tcPr>
            <w:tcW w:w="2205" w:type="dxa"/>
            <w:tcBorders>
              <w:top w:val="nil"/>
              <w:left w:val="nil"/>
              <w:bottom w:val="nil"/>
              <w:right w:val="nil"/>
            </w:tcBorders>
            <w:tcMar>
              <w:top w:w="80" w:type="dxa"/>
              <w:left w:w="80" w:type="dxa"/>
              <w:bottom w:w="80" w:type="dxa"/>
              <w:right w:w="80" w:type="dxa"/>
            </w:tcMar>
          </w:tcPr>
          <w:p w:rsidR="0021053C" w:rsidRPr="004F0722"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rPr>
            </w:pPr>
            <w:r w:rsidRPr="004F0722">
              <w:rPr>
                <w:sz w:val="20"/>
                <w:szCs w:val="20"/>
                <w:lang w:val="es-ES"/>
              </w:rPr>
              <w:t>diciembre de 2017</w:t>
            </w:r>
          </w:p>
        </w:tc>
      </w:tr>
      <w:tr w:rsidR="0021053C" w:rsidRPr="004F0722" w:rsidTr="008D66EB">
        <w:trPr>
          <w:trHeight w:val="192"/>
          <w:jc w:val="right"/>
        </w:trPr>
        <w:tc>
          <w:tcPr>
            <w:tcW w:w="6158" w:type="dxa"/>
            <w:tcBorders>
              <w:top w:val="nil"/>
              <w:left w:val="nil"/>
              <w:bottom w:val="nil"/>
              <w:right w:val="nil"/>
            </w:tcBorders>
            <w:tcMar>
              <w:top w:w="80" w:type="dxa"/>
              <w:left w:w="80" w:type="dxa"/>
              <w:bottom w:w="80" w:type="dxa"/>
              <w:right w:w="80" w:type="dxa"/>
            </w:tcMar>
          </w:tcPr>
          <w:p w:rsidR="0021053C" w:rsidRPr="004F0722" w:rsidRDefault="002105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es-ES_tradnl"/>
              </w:rPr>
            </w:pPr>
            <w:r w:rsidRPr="004F0722">
              <w:rPr>
                <w:sz w:val="20"/>
                <w:szCs w:val="20"/>
                <w:lang w:val="es-ES"/>
              </w:rPr>
              <w:t xml:space="preserve">La secretaría, sobre la base de la información presentada anteriormente y la labor realizada en otros foros, y utilizando el esbozo de la estructura y el contenido de </w:t>
            </w:r>
            <w:r w:rsidR="00E427BC" w:rsidRPr="004F0722">
              <w:rPr>
                <w:sz w:val="20"/>
                <w:szCs w:val="20"/>
                <w:lang w:val="es-ES"/>
              </w:rPr>
              <w:t>las orientaciones</w:t>
            </w:r>
            <w:r w:rsidR="00F15AA8">
              <w:rPr>
                <w:sz w:val="20"/>
                <w:szCs w:val="20"/>
                <w:lang w:val="es-ES"/>
              </w:rPr>
              <w:t xml:space="preserve"> </w:t>
            </w:r>
            <w:r w:rsidRPr="004F0722">
              <w:rPr>
                <w:sz w:val="20"/>
                <w:szCs w:val="20"/>
                <w:lang w:val="es-ES"/>
              </w:rPr>
              <w:t xml:space="preserve">que acuerde la Conferencia de las Partes como base, prepara un primer proyecto de orientaciones sobre sitios contaminados y lo remite a los expertos por vía electrónica. </w:t>
            </w:r>
          </w:p>
        </w:tc>
        <w:tc>
          <w:tcPr>
            <w:tcW w:w="2205" w:type="dxa"/>
            <w:tcBorders>
              <w:top w:val="nil"/>
              <w:left w:val="nil"/>
              <w:bottom w:val="nil"/>
              <w:right w:val="nil"/>
            </w:tcBorders>
            <w:tcMar>
              <w:top w:w="80" w:type="dxa"/>
              <w:left w:w="80" w:type="dxa"/>
              <w:bottom w:w="80" w:type="dxa"/>
              <w:right w:w="80" w:type="dxa"/>
            </w:tcMar>
          </w:tcPr>
          <w:p w:rsidR="0021053C" w:rsidRPr="004F0722"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rPr>
            </w:pPr>
            <w:r w:rsidRPr="004F0722">
              <w:rPr>
                <w:sz w:val="20"/>
                <w:szCs w:val="20"/>
                <w:lang w:val="es-ES"/>
              </w:rPr>
              <w:t>febrero de 2018</w:t>
            </w:r>
          </w:p>
        </w:tc>
      </w:tr>
      <w:tr w:rsidR="0021053C" w:rsidRPr="004F0722" w:rsidTr="008D66EB">
        <w:trPr>
          <w:trHeight w:val="792"/>
          <w:jc w:val="right"/>
        </w:trPr>
        <w:tc>
          <w:tcPr>
            <w:tcW w:w="6158" w:type="dxa"/>
            <w:tcBorders>
              <w:top w:val="nil"/>
              <w:left w:val="nil"/>
              <w:bottom w:val="nil"/>
              <w:right w:val="nil"/>
            </w:tcBorders>
            <w:tcMar>
              <w:top w:w="80" w:type="dxa"/>
              <w:left w:w="80" w:type="dxa"/>
              <w:bottom w:w="80" w:type="dxa"/>
              <w:right w:w="80" w:type="dxa"/>
            </w:tcMar>
          </w:tcPr>
          <w:p w:rsidR="0021053C" w:rsidRPr="004F0722" w:rsidRDefault="002105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es-ES_tradnl"/>
              </w:rPr>
            </w:pPr>
            <w:r w:rsidRPr="004F0722">
              <w:rPr>
                <w:sz w:val="20"/>
                <w:szCs w:val="20"/>
                <w:lang w:val="es-ES"/>
              </w:rPr>
              <w:t xml:space="preserve">Los expertos examinan el proyecto inicial de propuestas y remiten sus observaciones a la secretaría por vía electrónica. Se pueden celebrar teleconferencias o seminarios en la web para examinar el proyecto de orientaciones según sea necesario. </w:t>
            </w:r>
          </w:p>
        </w:tc>
        <w:tc>
          <w:tcPr>
            <w:tcW w:w="2205" w:type="dxa"/>
            <w:tcBorders>
              <w:top w:val="nil"/>
              <w:left w:val="nil"/>
              <w:bottom w:val="nil"/>
              <w:right w:val="nil"/>
            </w:tcBorders>
            <w:tcMar>
              <w:top w:w="80" w:type="dxa"/>
              <w:left w:w="80" w:type="dxa"/>
              <w:bottom w:w="80" w:type="dxa"/>
              <w:right w:w="80" w:type="dxa"/>
            </w:tcMar>
          </w:tcPr>
          <w:p w:rsidR="0021053C" w:rsidRPr="004F0722"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rPr>
            </w:pPr>
            <w:r w:rsidRPr="004F0722">
              <w:rPr>
                <w:sz w:val="20"/>
                <w:szCs w:val="20"/>
                <w:lang w:val="es-ES"/>
              </w:rPr>
              <w:t>abril de 2018</w:t>
            </w:r>
          </w:p>
        </w:tc>
      </w:tr>
      <w:tr w:rsidR="0021053C" w:rsidRPr="004F0722" w:rsidTr="008D66EB">
        <w:trPr>
          <w:trHeight w:val="192"/>
          <w:jc w:val="right"/>
        </w:trPr>
        <w:tc>
          <w:tcPr>
            <w:tcW w:w="6158" w:type="dxa"/>
            <w:tcBorders>
              <w:top w:val="nil"/>
              <w:left w:val="nil"/>
              <w:bottom w:val="nil"/>
              <w:right w:val="nil"/>
            </w:tcBorders>
            <w:tcMar>
              <w:top w:w="80" w:type="dxa"/>
              <w:left w:w="80" w:type="dxa"/>
              <w:bottom w:w="80" w:type="dxa"/>
              <w:right w:w="80" w:type="dxa"/>
            </w:tcMar>
          </w:tcPr>
          <w:p w:rsidR="0021053C" w:rsidRPr="004F0722" w:rsidRDefault="00EE6464">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es-ES_tradnl"/>
              </w:rPr>
            </w:pPr>
            <w:r w:rsidRPr="004F0722">
              <w:rPr>
                <w:sz w:val="20"/>
                <w:szCs w:val="20"/>
                <w:lang w:val="es-ES"/>
              </w:rPr>
              <w:t>La secretaría prepara una versión revisada del proyecto de orientaciones y la remite a los expertos para su examen y posible debate por medios electrónicos.</w:t>
            </w:r>
          </w:p>
        </w:tc>
        <w:tc>
          <w:tcPr>
            <w:tcW w:w="2205" w:type="dxa"/>
            <w:tcBorders>
              <w:top w:val="nil"/>
              <w:left w:val="nil"/>
              <w:bottom w:val="nil"/>
              <w:right w:val="nil"/>
            </w:tcBorders>
            <w:tcMar>
              <w:top w:w="80" w:type="dxa"/>
              <w:left w:w="80" w:type="dxa"/>
              <w:bottom w:w="80" w:type="dxa"/>
              <w:right w:w="80" w:type="dxa"/>
            </w:tcMar>
          </w:tcPr>
          <w:p w:rsidR="0021053C" w:rsidRPr="004F0722"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rPr>
            </w:pPr>
            <w:r w:rsidRPr="004F0722">
              <w:rPr>
                <w:sz w:val="20"/>
                <w:szCs w:val="20"/>
                <w:lang w:val="es-ES"/>
              </w:rPr>
              <w:t>mayo de 2018</w:t>
            </w:r>
          </w:p>
        </w:tc>
      </w:tr>
      <w:tr w:rsidR="0021053C" w:rsidRPr="004F0722" w:rsidTr="008D66EB">
        <w:trPr>
          <w:trHeight w:val="807"/>
          <w:jc w:val="right"/>
        </w:trPr>
        <w:tc>
          <w:tcPr>
            <w:tcW w:w="6158" w:type="dxa"/>
            <w:tcBorders>
              <w:top w:val="nil"/>
              <w:left w:val="nil"/>
              <w:bottom w:val="nil"/>
              <w:right w:val="nil"/>
            </w:tcBorders>
            <w:tcMar>
              <w:top w:w="80" w:type="dxa"/>
              <w:left w:w="80" w:type="dxa"/>
              <w:bottom w:w="80" w:type="dxa"/>
              <w:right w:w="80" w:type="dxa"/>
            </w:tcMar>
          </w:tcPr>
          <w:p w:rsidR="0021053C" w:rsidRPr="004F0722" w:rsidRDefault="00EE6464">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sz w:val="20"/>
                <w:szCs w:val="20"/>
                <w:lang w:val="es-ES_tradnl"/>
              </w:rPr>
            </w:pPr>
            <w:r w:rsidRPr="004F0722">
              <w:rPr>
                <w:sz w:val="20"/>
                <w:szCs w:val="20"/>
                <w:lang w:val="es-ES"/>
              </w:rPr>
              <w:t>Los expertos estudian la propuesta revisada y preparan recomendaciones para la Conferencia de las Partes en su segunda reunión, incluidas recomendaciones nuevas o adicionales sobre la labor que habría que emprender.</w:t>
            </w:r>
          </w:p>
        </w:tc>
        <w:tc>
          <w:tcPr>
            <w:tcW w:w="2205" w:type="dxa"/>
            <w:tcBorders>
              <w:top w:val="nil"/>
              <w:left w:val="nil"/>
              <w:bottom w:val="nil"/>
              <w:right w:val="nil"/>
            </w:tcBorders>
            <w:tcMar>
              <w:top w:w="80" w:type="dxa"/>
              <w:left w:w="80" w:type="dxa"/>
              <w:bottom w:w="80" w:type="dxa"/>
              <w:right w:w="80" w:type="dxa"/>
            </w:tcMar>
          </w:tcPr>
          <w:p w:rsidR="0021053C" w:rsidRPr="004F0722"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sz w:val="20"/>
                <w:szCs w:val="20"/>
              </w:rPr>
            </w:pPr>
            <w:r w:rsidRPr="004F0722">
              <w:rPr>
                <w:sz w:val="20"/>
                <w:szCs w:val="20"/>
                <w:lang w:val="es-ES"/>
              </w:rPr>
              <w:t>junio de 2018</w:t>
            </w:r>
          </w:p>
        </w:tc>
      </w:tr>
      <w:tr w:rsidR="0021053C" w:rsidRPr="004F0722" w:rsidTr="008D66EB">
        <w:trPr>
          <w:trHeight w:val="807"/>
          <w:jc w:val="right"/>
        </w:trPr>
        <w:tc>
          <w:tcPr>
            <w:tcW w:w="6158" w:type="dxa"/>
            <w:tcBorders>
              <w:top w:val="nil"/>
              <w:left w:val="nil"/>
              <w:bottom w:val="single" w:sz="12" w:space="0" w:color="000000"/>
              <w:right w:val="nil"/>
            </w:tcBorders>
            <w:tcMar>
              <w:top w:w="80" w:type="dxa"/>
              <w:left w:w="80" w:type="dxa"/>
              <w:bottom w:w="80" w:type="dxa"/>
              <w:right w:w="80" w:type="dxa"/>
            </w:tcMar>
          </w:tcPr>
          <w:p w:rsidR="0021053C" w:rsidRPr="004F0722" w:rsidRDefault="002105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Style w:val="Hyperlink0"/>
                <w:color w:val="auto"/>
                <w:sz w:val="20"/>
                <w:szCs w:val="20"/>
                <w:lang w:val="es-ES_tradnl"/>
              </w:rPr>
            </w:pPr>
            <w:r w:rsidRPr="004F0722">
              <w:rPr>
                <w:sz w:val="20"/>
                <w:szCs w:val="20"/>
                <w:lang w:val="es-ES"/>
              </w:rPr>
              <w:t xml:space="preserve">La secretaría presenta a la Conferencia de las Partes en su segunda reunión el proyecto de orientaciones y cualesquiera recomendaciones </w:t>
            </w:r>
            <w:r w:rsidR="00E427BC" w:rsidRPr="004F0722">
              <w:rPr>
                <w:sz w:val="20"/>
                <w:szCs w:val="20"/>
                <w:lang w:val="es-ES"/>
              </w:rPr>
              <w:t>formuladas</w:t>
            </w:r>
            <w:r w:rsidRPr="004F0722">
              <w:rPr>
                <w:sz w:val="20"/>
                <w:szCs w:val="20"/>
                <w:lang w:val="es-ES"/>
              </w:rPr>
              <w:t xml:space="preserve"> al respecto para que esta los examine y formule nuevas recomendaciones.</w:t>
            </w:r>
          </w:p>
        </w:tc>
        <w:tc>
          <w:tcPr>
            <w:tcW w:w="2205" w:type="dxa"/>
            <w:tcBorders>
              <w:top w:val="nil"/>
              <w:left w:val="nil"/>
              <w:bottom w:val="single" w:sz="12" w:space="0" w:color="000000"/>
              <w:right w:val="nil"/>
            </w:tcBorders>
            <w:tcMar>
              <w:top w:w="80" w:type="dxa"/>
              <w:left w:w="80" w:type="dxa"/>
              <w:bottom w:w="80" w:type="dxa"/>
              <w:right w:w="80" w:type="dxa"/>
            </w:tcMar>
          </w:tcPr>
          <w:p w:rsidR="0021053C" w:rsidRPr="004F0722"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Style w:val="Hyperlink0"/>
                <w:sz w:val="20"/>
                <w:szCs w:val="20"/>
                <w:lang w:val="es-ES_tradnl"/>
              </w:rPr>
            </w:pPr>
            <w:r w:rsidRPr="004F0722">
              <w:rPr>
                <w:sz w:val="20"/>
                <w:szCs w:val="20"/>
                <w:lang w:val="es-ES"/>
              </w:rPr>
              <w:t>La reunión está tentativamente programada para noviembre de 2018, con sujeción a la decisión que adopte la Conferencia de las Partes en su primera reunión.</w:t>
            </w:r>
          </w:p>
        </w:tc>
      </w:tr>
    </w:tbl>
    <w:p w:rsidR="00312543" w:rsidRPr="004F0722" w:rsidRDefault="00312543" w:rsidP="00763AE7">
      <w:pPr>
        <w:pStyle w:val="Normal-pool"/>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763AE7" w:rsidRPr="004F0722" w:rsidTr="00763AE7">
        <w:tc>
          <w:tcPr>
            <w:tcW w:w="1942" w:type="dxa"/>
          </w:tcPr>
          <w:p w:rsidR="00763AE7" w:rsidRPr="004F0722" w:rsidRDefault="00763AE7" w:rsidP="00763AE7">
            <w:pPr>
              <w:pStyle w:val="Normal-pool"/>
              <w:spacing w:before="520"/>
              <w:rPr>
                <w:lang w:val="es-ES_tradnl"/>
              </w:rPr>
            </w:pPr>
          </w:p>
        </w:tc>
        <w:tc>
          <w:tcPr>
            <w:tcW w:w="1942" w:type="dxa"/>
          </w:tcPr>
          <w:p w:rsidR="00763AE7" w:rsidRPr="004F0722" w:rsidRDefault="00763AE7" w:rsidP="00763AE7">
            <w:pPr>
              <w:pStyle w:val="Normal-pool"/>
              <w:spacing w:before="520"/>
              <w:rPr>
                <w:lang w:val="es-ES_tradnl"/>
              </w:rPr>
            </w:pPr>
          </w:p>
        </w:tc>
        <w:tc>
          <w:tcPr>
            <w:tcW w:w="1942" w:type="dxa"/>
            <w:tcBorders>
              <w:bottom w:val="single" w:sz="4" w:space="0" w:color="auto"/>
            </w:tcBorders>
          </w:tcPr>
          <w:p w:rsidR="00763AE7" w:rsidRPr="004F0722" w:rsidRDefault="00763AE7" w:rsidP="00763AE7">
            <w:pPr>
              <w:pStyle w:val="Normal-pool"/>
              <w:spacing w:before="520"/>
              <w:rPr>
                <w:lang w:val="es-ES_tradnl"/>
              </w:rPr>
            </w:pPr>
          </w:p>
        </w:tc>
        <w:tc>
          <w:tcPr>
            <w:tcW w:w="1943" w:type="dxa"/>
          </w:tcPr>
          <w:p w:rsidR="00763AE7" w:rsidRPr="004F0722" w:rsidRDefault="00763AE7" w:rsidP="00763AE7">
            <w:pPr>
              <w:pStyle w:val="Normal-pool"/>
              <w:spacing w:before="520"/>
              <w:rPr>
                <w:lang w:val="es-ES_tradnl"/>
              </w:rPr>
            </w:pPr>
          </w:p>
        </w:tc>
        <w:tc>
          <w:tcPr>
            <w:tcW w:w="1943" w:type="dxa"/>
          </w:tcPr>
          <w:p w:rsidR="00763AE7" w:rsidRPr="004F0722" w:rsidRDefault="00763AE7" w:rsidP="00763AE7">
            <w:pPr>
              <w:pStyle w:val="Normal-pool"/>
              <w:spacing w:before="520"/>
              <w:rPr>
                <w:lang w:val="es-ES_tradnl"/>
              </w:rPr>
            </w:pPr>
          </w:p>
        </w:tc>
      </w:tr>
    </w:tbl>
    <w:p w:rsidR="00763AE7" w:rsidRPr="00E427BC" w:rsidRDefault="00763AE7" w:rsidP="00763AE7">
      <w:pPr>
        <w:pStyle w:val="Normal-pool"/>
        <w:rPr>
          <w:lang w:val="es-ES_tradnl"/>
        </w:rPr>
      </w:pPr>
    </w:p>
    <w:sectPr w:rsidR="00763AE7" w:rsidRPr="00E427BC" w:rsidSect="009F0B3C">
      <w:headerReference w:type="even" r:id="rId21"/>
      <w:headerReference w:type="default" r:id="rId22"/>
      <w:headerReference w:type="first" r:id="rId23"/>
      <w:footerReference w:type="first" r:id="rId2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B1" w:rsidRDefault="007B44B1">
      <w:r>
        <w:separator/>
      </w:r>
    </w:p>
  </w:endnote>
  <w:endnote w:type="continuationSeparator" w:id="0">
    <w:p w:rsidR="007B44B1" w:rsidRDefault="007B4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AC" w:rsidRDefault="003366AC">
    <w:pPr>
      <w:pStyle w:val="Footer"/>
    </w:pPr>
    <w:r>
      <w:rPr>
        <w:rStyle w:val="PageNumber"/>
      </w:rPr>
      <w:fldChar w:fldCharType="begin"/>
    </w:r>
    <w:r>
      <w:rPr>
        <w:rStyle w:val="PageNumber"/>
      </w:rPr>
      <w:instrText xml:space="preserve"> PAGE </w:instrText>
    </w:r>
    <w:r>
      <w:rPr>
        <w:rStyle w:val="PageNumber"/>
      </w:rPr>
      <w:fldChar w:fldCharType="separate"/>
    </w:r>
    <w:r w:rsidR="008D66EB">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AC" w:rsidRDefault="003366A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D66EB">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AC" w:rsidRDefault="003366AC" w:rsidP="0015444E">
    <w:pPr>
      <w:pStyle w:val="Normal-pool"/>
    </w:pPr>
    <w:r>
      <w:rPr>
        <w:lang w:val="es-ES"/>
      </w:rPr>
      <w:t>K1704240</w:t>
    </w:r>
    <w:r>
      <w:rPr>
        <w:lang w:val="es-ES"/>
      </w:rPr>
      <w:tab/>
    </w:r>
    <w:r w:rsidR="00DE166D">
      <w:rPr>
        <w:lang w:val="es-ES"/>
      </w:rPr>
      <w:t>23</w:t>
    </w:r>
    <w:r>
      <w:rPr>
        <w:lang w:val="es-ES"/>
      </w:rPr>
      <w:t>0617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95343889"/>
      <w:docPartObj>
        <w:docPartGallery w:val="Page Numbers (Bottom of Page)"/>
        <w:docPartUnique/>
      </w:docPartObj>
    </w:sdtPr>
    <w:sdtEndPr>
      <w:rPr>
        <w:b/>
        <w:noProof/>
      </w:rPr>
    </w:sdtEndPr>
    <w:sdtContent>
      <w:p w:rsidR="003366AC" w:rsidRPr="00BD6F57" w:rsidRDefault="003366AC" w:rsidP="009F0B3C">
        <w:pPr>
          <w:pStyle w:val="Normal-pool"/>
          <w:jc w:val="right"/>
          <w:rPr>
            <w:b/>
            <w:sz w:val="18"/>
            <w:szCs w:val="18"/>
          </w:rPr>
        </w:pPr>
        <w:r w:rsidRPr="00BD6F57">
          <w:rPr>
            <w:b/>
            <w:sz w:val="18"/>
            <w:szCs w:val="18"/>
          </w:rPr>
          <w:fldChar w:fldCharType="begin"/>
        </w:r>
        <w:r w:rsidRPr="00BD6F57">
          <w:rPr>
            <w:b/>
            <w:sz w:val="18"/>
            <w:szCs w:val="18"/>
          </w:rPr>
          <w:instrText xml:space="preserve"> PAGE   \* MERGEFORMAT </w:instrText>
        </w:r>
        <w:r w:rsidRPr="00BD6F57">
          <w:rPr>
            <w:b/>
            <w:sz w:val="18"/>
            <w:szCs w:val="18"/>
          </w:rPr>
          <w:fldChar w:fldCharType="separate"/>
        </w:r>
        <w:r w:rsidR="008D66EB">
          <w:rPr>
            <w:b/>
            <w:noProof/>
            <w:sz w:val="18"/>
            <w:szCs w:val="18"/>
          </w:rPr>
          <w:t>3</w:t>
        </w:r>
        <w:r w:rsidRPr="00BD6F57">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B1" w:rsidRPr="00BD6F57" w:rsidRDefault="007B44B1" w:rsidP="00BD6F57">
      <w:pPr>
        <w:tabs>
          <w:tab w:val="clear" w:pos="1247"/>
          <w:tab w:val="clear" w:pos="1814"/>
          <w:tab w:val="clear" w:pos="2381"/>
          <w:tab w:val="clear" w:pos="2948"/>
          <w:tab w:val="clear" w:pos="3515"/>
          <w:tab w:val="left" w:pos="624"/>
        </w:tabs>
        <w:spacing w:before="60"/>
        <w:ind w:left="624"/>
        <w:rPr>
          <w:sz w:val="18"/>
          <w:szCs w:val="18"/>
        </w:rPr>
      </w:pPr>
      <w:r w:rsidRPr="00BD6F57">
        <w:rPr>
          <w:sz w:val="18"/>
          <w:szCs w:val="18"/>
        </w:rPr>
        <w:separator/>
      </w:r>
    </w:p>
  </w:footnote>
  <w:footnote w:type="continuationSeparator" w:id="0">
    <w:p w:rsidR="007B44B1" w:rsidRDefault="007B44B1">
      <w:r>
        <w:continuationSeparator/>
      </w:r>
    </w:p>
  </w:footnote>
  <w:footnote w:id="1">
    <w:p w:rsidR="003366AC" w:rsidRPr="00067B00" w:rsidRDefault="003366AC" w:rsidP="00BD6F57">
      <w:pPr>
        <w:tabs>
          <w:tab w:val="clear" w:pos="1247"/>
          <w:tab w:val="clear" w:pos="1814"/>
          <w:tab w:val="clear" w:pos="2381"/>
          <w:tab w:val="clear" w:pos="2948"/>
          <w:tab w:val="clear" w:pos="3515"/>
          <w:tab w:val="left" w:pos="624"/>
        </w:tabs>
        <w:spacing w:before="20" w:after="40"/>
        <w:ind w:left="1247"/>
        <w:rPr>
          <w:sz w:val="18"/>
          <w:szCs w:val="18"/>
        </w:rPr>
      </w:pPr>
      <w:r>
        <w:rPr>
          <w:lang w:val="es-ES"/>
        </w:rPr>
        <w:t>* UNEP/MC/COP.1/</w:t>
      </w:r>
      <w:r w:rsidR="00F15AA8">
        <w:rPr>
          <w:lang w:val="es-ES"/>
        </w:rPr>
        <w:t>1</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AC" w:rsidRPr="00CA5CA9" w:rsidRDefault="003366AC" w:rsidP="00154AF0">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AC" w:rsidRPr="00CA5CA9" w:rsidRDefault="007B44B1" w:rsidP="00154AF0">
    <w:pPr>
      <w:pStyle w:val="Header"/>
      <w:jc w:val="right"/>
      <w:rPr>
        <w:szCs w:val="18"/>
      </w:rPr>
    </w:pPr>
    <w:r>
      <w:rPr>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510937" o:spid="_x0000_s2051" type="#_x0000_t136" style="position:absolute;left:0;text-align:left;margin-left:0;margin-top:0;width:520.65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3366AC">
      <w:rPr>
        <w:bCs/>
        <w:szCs w:val="18"/>
      </w:rPr>
      <w:t>UNEP/MC/COP.1/27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AC" w:rsidRDefault="003366AC" w:rsidP="00032E4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AC" w:rsidRPr="00BD6F57" w:rsidRDefault="003366AC" w:rsidP="00BD6F57">
    <w:pPr>
      <w:pStyle w:val="Header"/>
      <w:rPr>
        <w:szCs w:val="18"/>
      </w:rPr>
    </w:pPr>
    <w:r>
      <w:rPr>
        <w:bCs/>
        <w:szCs w:val="18"/>
      </w:rPr>
      <w:t>U</w:t>
    </w:r>
    <w:r w:rsidRPr="00CA5CA9">
      <w:rPr>
        <w:bCs/>
        <w:szCs w:val="18"/>
      </w:rPr>
      <w:t>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AC" w:rsidRPr="00BD6F57" w:rsidRDefault="003366AC" w:rsidP="00BD6F57">
    <w:pPr>
      <w:pStyle w:val="Header"/>
      <w:jc w:val="right"/>
      <w:rPr>
        <w:szCs w:val="18"/>
      </w:rPr>
    </w:pPr>
    <w:r>
      <w:rPr>
        <w:bCs/>
        <w:szCs w:val="18"/>
      </w:rPr>
      <w:t>U</w:t>
    </w:r>
    <w:r w:rsidRPr="00CA5CA9">
      <w:rPr>
        <w:bCs/>
        <w:szCs w:val="18"/>
      </w:rPr>
      <w:t>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AC" w:rsidRPr="009F0B3C" w:rsidRDefault="003366AC" w:rsidP="009F0B3C">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1E9"/>
    <w:multiLevelType w:val="hybridMultilevel"/>
    <w:tmpl w:val="2906392A"/>
    <w:lvl w:ilvl="0" w:tplc="23B8C90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49E649E3"/>
    <w:multiLevelType w:val="hybridMultilevel"/>
    <w:tmpl w:val="2424ED92"/>
    <w:lvl w:ilvl="0" w:tplc="E75EA658">
      <w:numFmt w:val="bullet"/>
      <w:lvlText w:val="-"/>
      <w:lvlJc w:val="left"/>
      <w:pPr>
        <w:ind w:left="1817" w:hanging="570"/>
      </w:pPr>
      <w:rPr>
        <w:rFonts w:ascii="Times New Roman" w:eastAsia="Times New Roman" w:hAnsi="Times New Roman" w:cs="Times New Roman"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6">
    <w:nsid w:val="52A66A9D"/>
    <w:multiLevelType w:val="multilevel"/>
    <w:tmpl w:val="B1D4BDC6"/>
    <w:styleLink w:val="Normallist"/>
    <w:lvl w:ilvl="0">
      <w:start w:val="1"/>
      <w:numFmt w:val="decimal"/>
      <w:pStyle w:val="Normalnumber"/>
      <w:lvlText w:val="%1."/>
      <w:lvlJc w:val="left"/>
      <w:pPr>
        <w:tabs>
          <w:tab w:val="num" w:pos="1305"/>
        </w:tabs>
        <w:ind w:left="1418"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5D500CAD"/>
    <w:multiLevelType w:val="hybridMultilevel"/>
    <w:tmpl w:val="B98E2C0C"/>
    <w:lvl w:ilvl="0" w:tplc="C6FA15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E81C92"/>
    <w:multiLevelType w:val="hybridMultilevel"/>
    <w:tmpl w:val="77487990"/>
    <w:lvl w:ilvl="0" w:tplc="DE5C0F04">
      <w:start w:val="1"/>
      <w:numFmt w:val="upperLetter"/>
      <w:lvlText w:val="%1."/>
      <w:lvlJc w:val="left"/>
      <w:pPr>
        <w:ind w:left="1605" w:hanging="360"/>
      </w:pPr>
      <w:rPr>
        <w:rFonts w:hint="default"/>
      </w:rPr>
    </w:lvl>
    <w:lvl w:ilvl="1" w:tplc="0C0A0019" w:tentative="1">
      <w:start w:val="1"/>
      <w:numFmt w:val="lowerLetter"/>
      <w:lvlText w:val="%2."/>
      <w:lvlJc w:val="left"/>
      <w:pPr>
        <w:ind w:left="2325" w:hanging="360"/>
      </w:pPr>
    </w:lvl>
    <w:lvl w:ilvl="2" w:tplc="0C0A001B" w:tentative="1">
      <w:start w:val="1"/>
      <w:numFmt w:val="lowerRoman"/>
      <w:lvlText w:val="%3."/>
      <w:lvlJc w:val="right"/>
      <w:pPr>
        <w:ind w:left="3045" w:hanging="180"/>
      </w:pPr>
    </w:lvl>
    <w:lvl w:ilvl="3" w:tplc="0C0A000F" w:tentative="1">
      <w:start w:val="1"/>
      <w:numFmt w:val="decimal"/>
      <w:lvlText w:val="%4."/>
      <w:lvlJc w:val="left"/>
      <w:pPr>
        <w:ind w:left="3765" w:hanging="360"/>
      </w:pPr>
    </w:lvl>
    <w:lvl w:ilvl="4" w:tplc="0C0A0019" w:tentative="1">
      <w:start w:val="1"/>
      <w:numFmt w:val="lowerLetter"/>
      <w:lvlText w:val="%5."/>
      <w:lvlJc w:val="left"/>
      <w:pPr>
        <w:ind w:left="4485" w:hanging="360"/>
      </w:pPr>
    </w:lvl>
    <w:lvl w:ilvl="5" w:tplc="0C0A001B" w:tentative="1">
      <w:start w:val="1"/>
      <w:numFmt w:val="lowerRoman"/>
      <w:lvlText w:val="%6."/>
      <w:lvlJc w:val="right"/>
      <w:pPr>
        <w:ind w:left="5205" w:hanging="180"/>
      </w:pPr>
    </w:lvl>
    <w:lvl w:ilvl="6" w:tplc="0C0A000F" w:tentative="1">
      <w:start w:val="1"/>
      <w:numFmt w:val="decimal"/>
      <w:lvlText w:val="%7."/>
      <w:lvlJc w:val="left"/>
      <w:pPr>
        <w:ind w:left="5925" w:hanging="360"/>
      </w:pPr>
    </w:lvl>
    <w:lvl w:ilvl="7" w:tplc="0C0A0019" w:tentative="1">
      <w:start w:val="1"/>
      <w:numFmt w:val="lowerLetter"/>
      <w:lvlText w:val="%8."/>
      <w:lvlJc w:val="left"/>
      <w:pPr>
        <w:ind w:left="6645" w:hanging="360"/>
      </w:pPr>
    </w:lvl>
    <w:lvl w:ilvl="8" w:tplc="0C0A001B" w:tentative="1">
      <w:start w:val="1"/>
      <w:numFmt w:val="lowerRoman"/>
      <w:lvlText w:val="%9."/>
      <w:lvlJc w:val="right"/>
      <w:pPr>
        <w:ind w:left="7365" w:hanging="180"/>
      </w:pPr>
    </w:lvl>
  </w:abstractNum>
  <w:abstractNum w:abstractNumId="9">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6AF17C29"/>
    <w:multiLevelType w:val="hybridMultilevel"/>
    <w:tmpl w:val="209A394C"/>
    <w:lvl w:ilvl="0" w:tplc="AF8E6E0E">
      <w:start w:val="1"/>
      <w:numFmt w:val="bullet"/>
      <w:lvlText w:val=""/>
      <w:lvlJc w:val="left"/>
      <w:pPr>
        <w:ind w:left="1967" w:hanging="360"/>
      </w:pPr>
      <w:rPr>
        <w:rFonts w:ascii="Symbol" w:hAnsi="Symbol" w:hint="default"/>
      </w:rPr>
    </w:lvl>
    <w:lvl w:ilvl="1" w:tplc="08090003">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num w:numId="1">
    <w:abstractNumId w:val="6"/>
  </w:num>
  <w:num w:numId="2">
    <w:abstractNumId w:val="2"/>
  </w:num>
  <w:num w:numId="3">
    <w:abstractNumId w:val="4"/>
  </w:num>
  <w:num w:numId="4">
    <w:abstractNumId w:val="6"/>
  </w:num>
  <w:num w:numId="5">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6">
    <w:abstractNumId w:val="3"/>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
      <w:lvl w:ilvl="0">
        <w:start w:val="9"/>
        <w:numFmt w:val="decimal"/>
        <w:pStyle w:val="Normalnumber"/>
        <w:lvlText w:val="%1."/>
        <w:lvlJc w:val="left"/>
        <w:pPr>
          <w:tabs>
            <w:tab w:val="num" w:pos="1305"/>
          </w:tabs>
          <w:ind w:left="1418" w:firstLine="0"/>
        </w:pPr>
        <w:rPr>
          <w:rFonts w:hint="default"/>
          <w:b w:val="0"/>
          <w:bCs w:val="0"/>
        </w:rPr>
      </w:lvl>
    </w:lvlOverride>
  </w:num>
  <w:num w:numId="12">
    <w:abstractNumId w:val="0"/>
  </w:num>
  <w:num w:numId="13">
    <w:abstractNumId w:val="6"/>
    <w:lvlOverride w:ilvl="0">
      <w:lvl w:ilvl="0">
        <w:start w:val="6"/>
        <w:numFmt w:val="decimal"/>
        <w:pStyle w:val="Normalnumber"/>
        <w:lvlText w:val="%1."/>
        <w:lvlJc w:val="left"/>
        <w:pPr>
          <w:tabs>
            <w:tab w:val="num" w:pos="1305"/>
          </w:tabs>
          <w:ind w:left="1418" w:firstLine="0"/>
        </w:pPr>
        <w:rPr>
          <w:rFonts w:hint="default"/>
          <w:b w:val="0"/>
          <w:bCs w:val="0"/>
        </w:rPr>
      </w:lvl>
    </w:lvlOverride>
  </w:num>
  <w:num w:numId="14">
    <w:abstractNumId w:val="6"/>
    <w:lvlOverride w:ilvl="0">
      <w:startOverride w:val="7"/>
      <w:lvl w:ilvl="0">
        <w:start w:val="7"/>
        <w:numFmt w:val="decimal"/>
        <w:pStyle w:val="Normalnumber"/>
        <w:lvlText w:val="%1."/>
        <w:lvlJc w:val="left"/>
        <w:pPr>
          <w:tabs>
            <w:tab w:val="num" w:pos="1305"/>
          </w:tabs>
          <w:ind w:left="1418" w:firstLine="0"/>
        </w:pPr>
        <w:rPr>
          <w:rFonts w:hint="default"/>
          <w:b w:val="0"/>
          <w:bCs w:val="0"/>
        </w:rPr>
      </w:lvl>
    </w:lvlOverride>
  </w:num>
  <w:num w:numId="15">
    <w:abstractNumId w:val="7"/>
  </w:num>
  <w:num w:numId="16">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17">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18">
    <w:abstractNumId w:val="6"/>
    <w:lvlOverride w:ilvl="0">
      <w:lvl w:ilvl="0">
        <w:start w:val="1"/>
        <w:numFmt w:val="decimal"/>
        <w:pStyle w:val="Normalnumber"/>
        <w:lvlText w:val="%1."/>
        <w:lvlJc w:val="left"/>
        <w:pPr>
          <w:tabs>
            <w:tab w:val="num" w:pos="1305"/>
          </w:tabs>
          <w:ind w:left="1418" w:firstLine="0"/>
        </w:pPr>
        <w:rPr>
          <w:rFonts w:hint="default"/>
          <w:b w:val="0"/>
          <w:bCs w:val="0"/>
        </w:rPr>
      </w:lvl>
    </w:lvlOverride>
  </w:num>
  <w:num w:numId="19">
    <w:abstractNumId w:val="10"/>
    <w:lvlOverride w:ilvl="0">
      <w:lvl w:ilvl="0" w:tplc="AF8E6E0E">
        <w:start w:val="1"/>
        <w:numFmt w:val="bullet"/>
        <w:lvlText w:val=""/>
        <w:lvlJc w:val="left"/>
        <w:pPr>
          <w:ind w:left="1967" w:hanging="360"/>
        </w:pPr>
        <w:rPr>
          <w:rFonts w:ascii="Symbol" w:hAnsi="Symbol" w:hint="default"/>
        </w:rPr>
      </w:lvl>
    </w:lvlOverride>
  </w:num>
  <w:num w:numId="20">
    <w:abstractNumId w:val="5"/>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5570"/>
    <w:rsid w:val="000149E6"/>
    <w:rsid w:val="00023DA9"/>
    <w:rsid w:val="000247B0"/>
    <w:rsid w:val="00024CFD"/>
    <w:rsid w:val="00026997"/>
    <w:rsid w:val="00026A08"/>
    <w:rsid w:val="00032E4E"/>
    <w:rsid w:val="00033E0B"/>
    <w:rsid w:val="00035EDE"/>
    <w:rsid w:val="000509B4"/>
    <w:rsid w:val="0006035B"/>
    <w:rsid w:val="0006096F"/>
    <w:rsid w:val="000649C5"/>
    <w:rsid w:val="00071886"/>
    <w:rsid w:val="000742BC"/>
    <w:rsid w:val="00075FB7"/>
    <w:rsid w:val="00076166"/>
    <w:rsid w:val="00076CC6"/>
    <w:rsid w:val="00082A0C"/>
    <w:rsid w:val="00083504"/>
    <w:rsid w:val="0009640C"/>
    <w:rsid w:val="000A5502"/>
    <w:rsid w:val="000B22A2"/>
    <w:rsid w:val="000B68F0"/>
    <w:rsid w:val="000B73F9"/>
    <w:rsid w:val="000C1298"/>
    <w:rsid w:val="000C2A52"/>
    <w:rsid w:val="000D0B57"/>
    <w:rsid w:val="000D2BEB"/>
    <w:rsid w:val="000D33C0"/>
    <w:rsid w:val="000D4CF6"/>
    <w:rsid w:val="000D6941"/>
    <w:rsid w:val="000E0226"/>
    <w:rsid w:val="000F4829"/>
    <w:rsid w:val="001202E3"/>
    <w:rsid w:val="00123699"/>
    <w:rsid w:val="001241FB"/>
    <w:rsid w:val="00130529"/>
    <w:rsid w:val="0013059D"/>
    <w:rsid w:val="00131DD4"/>
    <w:rsid w:val="00136187"/>
    <w:rsid w:val="00141A55"/>
    <w:rsid w:val="0014293F"/>
    <w:rsid w:val="0014397D"/>
    <w:rsid w:val="001446A3"/>
    <w:rsid w:val="00152B6B"/>
    <w:rsid w:val="00152D30"/>
    <w:rsid w:val="00152EA9"/>
    <w:rsid w:val="0015444E"/>
    <w:rsid w:val="00154AF0"/>
    <w:rsid w:val="00155395"/>
    <w:rsid w:val="00156B6B"/>
    <w:rsid w:val="00156E19"/>
    <w:rsid w:val="00160D74"/>
    <w:rsid w:val="001646EA"/>
    <w:rsid w:val="00167D02"/>
    <w:rsid w:val="001759D8"/>
    <w:rsid w:val="00177D7F"/>
    <w:rsid w:val="00180C3F"/>
    <w:rsid w:val="00181EC8"/>
    <w:rsid w:val="00184349"/>
    <w:rsid w:val="00195F33"/>
    <w:rsid w:val="001B1617"/>
    <w:rsid w:val="001B504B"/>
    <w:rsid w:val="001B6F98"/>
    <w:rsid w:val="001C191A"/>
    <w:rsid w:val="001D3874"/>
    <w:rsid w:val="001D422C"/>
    <w:rsid w:val="001D7E75"/>
    <w:rsid w:val="001E0D73"/>
    <w:rsid w:val="001E45BD"/>
    <w:rsid w:val="001E56D2"/>
    <w:rsid w:val="001E7D56"/>
    <w:rsid w:val="001F75DE"/>
    <w:rsid w:val="00200D58"/>
    <w:rsid w:val="002011C1"/>
    <w:rsid w:val="002013BE"/>
    <w:rsid w:val="00201EDC"/>
    <w:rsid w:val="002063A4"/>
    <w:rsid w:val="0021053C"/>
    <w:rsid w:val="0021145B"/>
    <w:rsid w:val="00220C23"/>
    <w:rsid w:val="002247F6"/>
    <w:rsid w:val="00225E21"/>
    <w:rsid w:val="00226C47"/>
    <w:rsid w:val="00234E78"/>
    <w:rsid w:val="0023673D"/>
    <w:rsid w:val="00240CA2"/>
    <w:rsid w:val="00243D36"/>
    <w:rsid w:val="00246151"/>
    <w:rsid w:val="00247707"/>
    <w:rsid w:val="0026018E"/>
    <w:rsid w:val="00286740"/>
    <w:rsid w:val="00291EAE"/>
    <w:rsid w:val="002929D8"/>
    <w:rsid w:val="0029570E"/>
    <w:rsid w:val="002A237D"/>
    <w:rsid w:val="002A4C53"/>
    <w:rsid w:val="002B0672"/>
    <w:rsid w:val="002B247F"/>
    <w:rsid w:val="002B50D4"/>
    <w:rsid w:val="002C145D"/>
    <w:rsid w:val="002C2C3E"/>
    <w:rsid w:val="002C533E"/>
    <w:rsid w:val="002D027F"/>
    <w:rsid w:val="002D3E15"/>
    <w:rsid w:val="002D7A85"/>
    <w:rsid w:val="002D7B60"/>
    <w:rsid w:val="002F4761"/>
    <w:rsid w:val="002F5C79"/>
    <w:rsid w:val="002F68EE"/>
    <w:rsid w:val="003019E2"/>
    <w:rsid w:val="00310BEB"/>
    <w:rsid w:val="00312543"/>
    <w:rsid w:val="0031413F"/>
    <w:rsid w:val="00314854"/>
    <w:rsid w:val="003148BB"/>
    <w:rsid w:val="00317976"/>
    <w:rsid w:val="00320F2F"/>
    <w:rsid w:val="00323C25"/>
    <w:rsid w:val="00332962"/>
    <w:rsid w:val="003366AC"/>
    <w:rsid w:val="00355EA9"/>
    <w:rsid w:val="003578DE"/>
    <w:rsid w:val="00361688"/>
    <w:rsid w:val="003740A7"/>
    <w:rsid w:val="003752B8"/>
    <w:rsid w:val="003877D5"/>
    <w:rsid w:val="003929B8"/>
    <w:rsid w:val="00396257"/>
    <w:rsid w:val="003976E9"/>
    <w:rsid w:val="00397EB8"/>
    <w:rsid w:val="003A4FD0"/>
    <w:rsid w:val="003A69D1"/>
    <w:rsid w:val="003A7705"/>
    <w:rsid w:val="003A77F1"/>
    <w:rsid w:val="003B1545"/>
    <w:rsid w:val="003C3219"/>
    <w:rsid w:val="003C409D"/>
    <w:rsid w:val="003C5583"/>
    <w:rsid w:val="003C5BA6"/>
    <w:rsid w:val="003C74CF"/>
    <w:rsid w:val="003D3752"/>
    <w:rsid w:val="003E35DA"/>
    <w:rsid w:val="003E455D"/>
    <w:rsid w:val="003F0E85"/>
    <w:rsid w:val="00401602"/>
    <w:rsid w:val="00410C55"/>
    <w:rsid w:val="00410C59"/>
    <w:rsid w:val="00416854"/>
    <w:rsid w:val="00417725"/>
    <w:rsid w:val="00437F26"/>
    <w:rsid w:val="00444097"/>
    <w:rsid w:val="00445487"/>
    <w:rsid w:val="00447430"/>
    <w:rsid w:val="00447E0D"/>
    <w:rsid w:val="00454769"/>
    <w:rsid w:val="0046072B"/>
    <w:rsid w:val="00465D27"/>
    <w:rsid w:val="00466991"/>
    <w:rsid w:val="0047064C"/>
    <w:rsid w:val="004818DE"/>
    <w:rsid w:val="004822B7"/>
    <w:rsid w:val="0049469E"/>
    <w:rsid w:val="004A2217"/>
    <w:rsid w:val="004A24F9"/>
    <w:rsid w:val="004A42E1"/>
    <w:rsid w:val="004B0403"/>
    <w:rsid w:val="004B162C"/>
    <w:rsid w:val="004B2ABE"/>
    <w:rsid w:val="004C2C18"/>
    <w:rsid w:val="004C3DBE"/>
    <w:rsid w:val="004C5C96"/>
    <w:rsid w:val="004D06A4"/>
    <w:rsid w:val="004D575D"/>
    <w:rsid w:val="004F0722"/>
    <w:rsid w:val="004F1A81"/>
    <w:rsid w:val="005050D2"/>
    <w:rsid w:val="005218D9"/>
    <w:rsid w:val="00536186"/>
    <w:rsid w:val="00544CBB"/>
    <w:rsid w:val="005656D7"/>
    <w:rsid w:val="0057315F"/>
    <w:rsid w:val="00576104"/>
    <w:rsid w:val="00580C85"/>
    <w:rsid w:val="00581213"/>
    <w:rsid w:val="005877AA"/>
    <w:rsid w:val="00592B21"/>
    <w:rsid w:val="005B44BF"/>
    <w:rsid w:val="005C62FC"/>
    <w:rsid w:val="005C67C8"/>
    <w:rsid w:val="005D0249"/>
    <w:rsid w:val="005D18FA"/>
    <w:rsid w:val="005D4FD4"/>
    <w:rsid w:val="005D6E8C"/>
    <w:rsid w:val="005E3004"/>
    <w:rsid w:val="005F100C"/>
    <w:rsid w:val="005F3621"/>
    <w:rsid w:val="005F68DA"/>
    <w:rsid w:val="005F71EF"/>
    <w:rsid w:val="00601BC9"/>
    <w:rsid w:val="0060773B"/>
    <w:rsid w:val="00613FD6"/>
    <w:rsid w:val="00614117"/>
    <w:rsid w:val="006157B5"/>
    <w:rsid w:val="00617224"/>
    <w:rsid w:val="00626B1D"/>
    <w:rsid w:val="00626FC6"/>
    <w:rsid w:val="006303B4"/>
    <w:rsid w:val="00630ADC"/>
    <w:rsid w:val="006321A9"/>
    <w:rsid w:val="00633D3D"/>
    <w:rsid w:val="00641703"/>
    <w:rsid w:val="006431A6"/>
    <w:rsid w:val="00643E3A"/>
    <w:rsid w:val="006459F6"/>
    <w:rsid w:val="006501AD"/>
    <w:rsid w:val="00651BFA"/>
    <w:rsid w:val="006530C9"/>
    <w:rsid w:val="00654475"/>
    <w:rsid w:val="00656DF0"/>
    <w:rsid w:val="00665A4B"/>
    <w:rsid w:val="00692E2A"/>
    <w:rsid w:val="00693583"/>
    <w:rsid w:val="006A418C"/>
    <w:rsid w:val="006A76F2"/>
    <w:rsid w:val="006C2DAF"/>
    <w:rsid w:val="006C6B34"/>
    <w:rsid w:val="006D19D4"/>
    <w:rsid w:val="006D3E87"/>
    <w:rsid w:val="006D7EFB"/>
    <w:rsid w:val="006E6672"/>
    <w:rsid w:val="006E6722"/>
    <w:rsid w:val="006F0945"/>
    <w:rsid w:val="006F7AFF"/>
    <w:rsid w:val="007027B9"/>
    <w:rsid w:val="007066B5"/>
    <w:rsid w:val="007114E5"/>
    <w:rsid w:val="007145DA"/>
    <w:rsid w:val="00715E88"/>
    <w:rsid w:val="00734210"/>
    <w:rsid w:val="00734CAA"/>
    <w:rsid w:val="00741552"/>
    <w:rsid w:val="00742680"/>
    <w:rsid w:val="0075533C"/>
    <w:rsid w:val="00757581"/>
    <w:rsid w:val="007602F5"/>
    <w:rsid w:val="00760D36"/>
    <w:rsid w:val="007611A0"/>
    <w:rsid w:val="00763AE7"/>
    <w:rsid w:val="00771355"/>
    <w:rsid w:val="00773E54"/>
    <w:rsid w:val="00787688"/>
    <w:rsid w:val="00791B78"/>
    <w:rsid w:val="007935E6"/>
    <w:rsid w:val="0079673F"/>
    <w:rsid w:val="00796D3F"/>
    <w:rsid w:val="00796E1C"/>
    <w:rsid w:val="007A1683"/>
    <w:rsid w:val="007A5C12"/>
    <w:rsid w:val="007A7CB0"/>
    <w:rsid w:val="007B44B1"/>
    <w:rsid w:val="007B68A3"/>
    <w:rsid w:val="007C180F"/>
    <w:rsid w:val="007C2541"/>
    <w:rsid w:val="007D66A8"/>
    <w:rsid w:val="007D6882"/>
    <w:rsid w:val="007E003F"/>
    <w:rsid w:val="007E7720"/>
    <w:rsid w:val="007F0CF8"/>
    <w:rsid w:val="007F62CB"/>
    <w:rsid w:val="008142EC"/>
    <w:rsid w:val="008164F2"/>
    <w:rsid w:val="00821395"/>
    <w:rsid w:val="00830E26"/>
    <w:rsid w:val="00843576"/>
    <w:rsid w:val="00843B64"/>
    <w:rsid w:val="00844DC3"/>
    <w:rsid w:val="008478FC"/>
    <w:rsid w:val="00851C51"/>
    <w:rsid w:val="00856CDB"/>
    <w:rsid w:val="00867BFF"/>
    <w:rsid w:val="00871542"/>
    <w:rsid w:val="00872BF6"/>
    <w:rsid w:val="0088480A"/>
    <w:rsid w:val="0088757A"/>
    <w:rsid w:val="0089431B"/>
    <w:rsid w:val="00894479"/>
    <w:rsid w:val="00895668"/>
    <w:rsid w:val="008957DD"/>
    <w:rsid w:val="00897D98"/>
    <w:rsid w:val="008A6DF2"/>
    <w:rsid w:val="008A7807"/>
    <w:rsid w:val="008B4CC9"/>
    <w:rsid w:val="008D66EB"/>
    <w:rsid w:val="008D75E4"/>
    <w:rsid w:val="008D7C99"/>
    <w:rsid w:val="008E0FCB"/>
    <w:rsid w:val="008E1454"/>
    <w:rsid w:val="008E49C5"/>
    <w:rsid w:val="008E4A2F"/>
    <w:rsid w:val="008F1F64"/>
    <w:rsid w:val="008F30A7"/>
    <w:rsid w:val="008F6DFE"/>
    <w:rsid w:val="0090529F"/>
    <w:rsid w:val="0092178C"/>
    <w:rsid w:val="00930B88"/>
    <w:rsid w:val="00940DCC"/>
    <w:rsid w:val="0094179A"/>
    <w:rsid w:val="0094459E"/>
    <w:rsid w:val="00944DBC"/>
    <w:rsid w:val="00947CEA"/>
    <w:rsid w:val="00950977"/>
    <w:rsid w:val="00951A7B"/>
    <w:rsid w:val="009564A6"/>
    <w:rsid w:val="00966A53"/>
    <w:rsid w:val="00967621"/>
    <w:rsid w:val="00967E6A"/>
    <w:rsid w:val="009842D5"/>
    <w:rsid w:val="009907B9"/>
    <w:rsid w:val="00990918"/>
    <w:rsid w:val="00990936"/>
    <w:rsid w:val="009941A2"/>
    <w:rsid w:val="009A26F6"/>
    <w:rsid w:val="009A3A83"/>
    <w:rsid w:val="009B4A0F"/>
    <w:rsid w:val="009C11D2"/>
    <w:rsid w:val="009C6C70"/>
    <w:rsid w:val="009C7B0A"/>
    <w:rsid w:val="009D0B63"/>
    <w:rsid w:val="009D5CB8"/>
    <w:rsid w:val="009E307E"/>
    <w:rsid w:val="009F0B3C"/>
    <w:rsid w:val="009F1AA5"/>
    <w:rsid w:val="00A07870"/>
    <w:rsid w:val="00A07C54"/>
    <w:rsid w:val="00A07F19"/>
    <w:rsid w:val="00A1003D"/>
    <w:rsid w:val="00A10B17"/>
    <w:rsid w:val="00A1348D"/>
    <w:rsid w:val="00A13C99"/>
    <w:rsid w:val="00A14D44"/>
    <w:rsid w:val="00A17537"/>
    <w:rsid w:val="00A232EE"/>
    <w:rsid w:val="00A41276"/>
    <w:rsid w:val="00A414F6"/>
    <w:rsid w:val="00A4175F"/>
    <w:rsid w:val="00A44411"/>
    <w:rsid w:val="00A469FA"/>
    <w:rsid w:val="00A47026"/>
    <w:rsid w:val="00A53662"/>
    <w:rsid w:val="00A53875"/>
    <w:rsid w:val="00A55B01"/>
    <w:rsid w:val="00A56B5B"/>
    <w:rsid w:val="00A603FF"/>
    <w:rsid w:val="00A619B6"/>
    <w:rsid w:val="00A648CA"/>
    <w:rsid w:val="00A657DD"/>
    <w:rsid w:val="00A661B3"/>
    <w:rsid w:val="00A666A6"/>
    <w:rsid w:val="00A675FD"/>
    <w:rsid w:val="00A72437"/>
    <w:rsid w:val="00A8048B"/>
    <w:rsid w:val="00A80611"/>
    <w:rsid w:val="00AA5BF4"/>
    <w:rsid w:val="00AA6125"/>
    <w:rsid w:val="00AB5340"/>
    <w:rsid w:val="00AC0A89"/>
    <w:rsid w:val="00AC6EC6"/>
    <w:rsid w:val="00AC7C96"/>
    <w:rsid w:val="00AE237D"/>
    <w:rsid w:val="00AE502A"/>
    <w:rsid w:val="00AF0010"/>
    <w:rsid w:val="00AF2C1F"/>
    <w:rsid w:val="00AF7C07"/>
    <w:rsid w:val="00B06C64"/>
    <w:rsid w:val="00B11CAC"/>
    <w:rsid w:val="00B120F2"/>
    <w:rsid w:val="00B15A29"/>
    <w:rsid w:val="00B20249"/>
    <w:rsid w:val="00B22C93"/>
    <w:rsid w:val="00B27589"/>
    <w:rsid w:val="00B31A42"/>
    <w:rsid w:val="00B405B7"/>
    <w:rsid w:val="00B5015C"/>
    <w:rsid w:val="00B52222"/>
    <w:rsid w:val="00B531DA"/>
    <w:rsid w:val="00B54895"/>
    <w:rsid w:val="00B54FE7"/>
    <w:rsid w:val="00B647C6"/>
    <w:rsid w:val="00B655F9"/>
    <w:rsid w:val="00B66901"/>
    <w:rsid w:val="00B71E6D"/>
    <w:rsid w:val="00B72070"/>
    <w:rsid w:val="00B7211B"/>
    <w:rsid w:val="00B779E1"/>
    <w:rsid w:val="00B81E3A"/>
    <w:rsid w:val="00B85CFB"/>
    <w:rsid w:val="00B91EE1"/>
    <w:rsid w:val="00B94602"/>
    <w:rsid w:val="00BA0090"/>
    <w:rsid w:val="00BA1A67"/>
    <w:rsid w:val="00BA2788"/>
    <w:rsid w:val="00BA6A80"/>
    <w:rsid w:val="00BB4ABB"/>
    <w:rsid w:val="00BC602A"/>
    <w:rsid w:val="00BD3D2F"/>
    <w:rsid w:val="00BD5312"/>
    <w:rsid w:val="00BD6F57"/>
    <w:rsid w:val="00BE5A71"/>
    <w:rsid w:val="00BE5B5F"/>
    <w:rsid w:val="00BE7993"/>
    <w:rsid w:val="00BF3CDD"/>
    <w:rsid w:val="00BF6745"/>
    <w:rsid w:val="00C26F55"/>
    <w:rsid w:val="00C30C63"/>
    <w:rsid w:val="00C30FF3"/>
    <w:rsid w:val="00C36B8B"/>
    <w:rsid w:val="00C415C1"/>
    <w:rsid w:val="00C47DBF"/>
    <w:rsid w:val="00C552FF"/>
    <w:rsid w:val="00C558DA"/>
    <w:rsid w:val="00C55AF3"/>
    <w:rsid w:val="00C73A86"/>
    <w:rsid w:val="00C771A9"/>
    <w:rsid w:val="00C84759"/>
    <w:rsid w:val="00C96912"/>
    <w:rsid w:val="00CA4C76"/>
    <w:rsid w:val="00CA5CA9"/>
    <w:rsid w:val="00CA6C7F"/>
    <w:rsid w:val="00CB1DFA"/>
    <w:rsid w:val="00CB6B35"/>
    <w:rsid w:val="00CC0FC7"/>
    <w:rsid w:val="00CC0FE6"/>
    <w:rsid w:val="00CC10A6"/>
    <w:rsid w:val="00CC1B0A"/>
    <w:rsid w:val="00CD5EB8"/>
    <w:rsid w:val="00CD7044"/>
    <w:rsid w:val="00CE08B9"/>
    <w:rsid w:val="00CE524C"/>
    <w:rsid w:val="00CF141F"/>
    <w:rsid w:val="00CF4777"/>
    <w:rsid w:val="00CF65C8"/>
    <w:rsid w:val="00D013F5"/>
    <w:rsid w:val="00D05E3F"/>
    <w:rsid w:val="00D067BB"/>
    <w:rsid w:val="00D1352A"/>
    <w:rsid w:val="00D169AF"/>
    <w:rsid w:val="00D23105"/>
    <w:rsid w:val="00D25249"/>
    <w:rsid w:val="00D31664"/>
    <w:rsid w:val="00D44172"/>
    <w:rsid w:val="00D47BE3"/>
    <w:rsid w:val="00D63B8C"/>
    <w:rsid w:val="00D739CC"/>
    <w:rsid w:val="00D8093D"/>
    <w:rsid w:val="00D8108C"/>
    <w:rsid w:val="00D842AE"/>
    <w:rsid w:val="00D909FF"/>
    <w:rsid w:val="00D9211C"/>
    <w:rsid w:val="00D92DE0"/>
    <w:rsid w:val="00D92FE7"/>
    <w:rsid w:val="00D92FEF"/>
    <w:rsid w:val="00D93A0F"/>
    <w:rsid w:val="00DA1BCA"/>
    <w:rsid w:val="00DC46FF"/>
    <w:rsid w:val="00DC5254"/>
    <w:rsid w:val="00DC569D"/>
    <w:rsid w:val="00DC6E45"/>
    <w:rsid w:val="00DD1A4F"/>
    <w:rsid w:val="00DD3107"/>
    <w:rsid w:val="00DD7C2C"/>
    <w:rsid w:val="00DE166D"/>
    <w:rsid w:val="00DE5BDA"/>
    <w:rsid w:val="00DF433C"/>
    <w:rsid w:val="00E0035A"/>
    <w:rsid w:val="00E02231"/>
    <w:rsid w:val="00E04F7A"/>
    <w:rsid w:val="00E06797"/>
    <w:rsid w:val="00E1265B"/>
    <w:rsid w:val="00E13378"/>
    <w:rsid w:val="00E13B48"/>
    <w:rsid w:val="00E1404F"/>
    <w:rsid w:val="00E21C83"/>
    <w:rsid w:val="00E24ADA"/>
    <w:rsid w:val="00E32F59"/>
    <w:rsid w:val="00E41908"/>
    <w:rsid w:val="00E427BC"/>
    <w:rsid w:val="00E45ADE"/>
    <w:rsid w:val="00E46D9A"/>
    <w:rsid w:val="00E565FF"/>
    <w:rsid w:val="00E65388"/>
    <w:rsid w:val="00E665A5"/>
    <w:rsid w:val="00E7741D"/>
    <w:rsid w:val="00E808CD"/>
    <w:rsid w:val="00E8348F"/>
    <w:rsid w:val="00E85B7D"/>
    <w:rsid w:val="00E9121B"/>
    <w:rsid w:val="00E9302E"/>
    <w:rsid w:val="00E9338F"/>
    <w:rsid w:val="00E9715D"/>
    <w:rsid w:val="00E976AB"/>
    <w:rsid w:val="00EA0AE2"/>
    <w:rsid w:val="00EA1F4D"/>
    <w:rsid w:val="00EA39E5"/>
    <w:rsid w:val="00EA57A3"/>
    <w:rsid w:val="00EC2813"/>
    <w:rsid w:val="00EC3FD7"/>
    <w:rsid w:val="00EC5A46"/>
    <w:rsid w:val="00EC5B32"/>
    <w:rsid w:val="00EC613E"/>
    <w:rsid w:val="00EC63E2"/>
    <w:rsid w:val="00ED1863"/>
    <w:rsid w:val="00ED366A"/>
    <w:rsid w:val="00ED42D3"/>
    <w:rsid w:val="00ED6BB7"/>
    <w:rsid w:val="00EE1723"/>
    <w:rsid w:val="00EE2914"/>
    <w:rsid w:val="00EE6464"/>
    <w:rsid w:val="00EE66AA"/>
    <w:rsid w:val="00EF22B3"/>
    <w:rsid w:val="00F024EB"/>
    <w:rsid w:val="00F03802"/>
    <w:rsid w:val="00F03B69"/>
    <w:rsid w:val="00F079E5"/>
    <w:rsid w:val="00F07A50"/>
    <w:rsid w:val="00F113DA"/>
    <w:rsid w:val="00F15AA8"/>
    <w:rsid w:val="00F21FE8"/>
    <w:rsid w:val="00F266FC"/>
    <w:rsid w:val="00F3037A"/>
    <w:rsid w:val="00F331EC"/>
    <w:rsid w:val="00F3465A"/>
    <w:rsid w:val="00F37DC8"/>
    <w:rsid w:val="00F439B3"/>
    <w:rsid w:val="00F60098"/>
    <w:rsid w:val="00F63F6C"/>
    <w:rsid w:val="00F650C3"/>
    <w:rsid w:val="00F65D85"/>
    <w:rsid w:val="00F6700B"/>
    <w:rsid w:val="00F8091E"/>
    <w:rsid w:val="00F8615C"/>
    <w:rsid w:val="00F969E5"/>
    <w:rsid w:val="00FA4972"/>
    <w:rsid w:val="00FA6BB0"/>
    <w:rsid w:val="00FB2DBD"/>
    <w:rsid w:val="00FB53D9"/>
    <w:rsid w:val="00FD48DF"/>
    <w:rsid w:val="00FD5860"/>
    <w:rsid w:val="00FE352D"/>
    <w:rsid w:val="00FE40EB"/>
    <w:rsid w:val="00FE4D02"/>
    <w:rsid w:val="00FE7D62"/>
    <w:rsid w:val="00FF31C0"/>
    <w:rsid w:val="00FF3819"/>
    <w:rsid w:val="00FF65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paragraph" w:customStyle="1" w:styleId="Brdtext">
    <w:name w:val="Brödtext"/>
    <w:rsid w:val="0021053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paragraph" w:styleId="Revision">
    <w:name w:val="Revision"/>
    <w:hidden/>
    <w:uiPriority w:val="99"/>
    <w:semiHidden/>
    <w:rsid w:val="00EA1F4D"/>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5444E"/>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5444E"/>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9F0B3C"/>
    <w:rPr>
      <w:sz w:val="18"/>
      <w:lang w:eastAsia="en-US"/>
    </w:rPr>
  </w:style>
  <w:style w:type="character" w:styleId="Emphasis">
    <w:name w:val="Emphasis"/>
    <w:basedOn w:val="DefaultParagraphFont"/>
    <w:qFormat/>
    <w:rsid w:val="006C2D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paragraph" w:customStyle="1" w:styleId="Brdtext">
    <w:name w:val="Brödtext"/>
    <w:rsid w:val="0021053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paragraph" w:styleId="Revision">
    <w:name w:val="Revision"/>
    <w:hidden/>
    <w:uiPriority w:val="99"/>
    <w:semiHidden/>
    <w:rsid w:val="00EA1F4D"/>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5444E"/>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5444E"/>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9F0B3C"/>
    <w:rPr>
      <w:sz w:val="18"/>
      <w:lang w:eastAsia="en-US"/>
    </w:rPr>
  </w:style>
  <w:style w:type="character" w:styleId="Emphasis">
    <w:name w:val="Emphasis"/>
    <w:basedOn w:val="DefaultParagraphFont"/>
    <w:qFormat/>
    <w:rsid w:val="006C2D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8962861">
      <w:bodyDiv w:val="1"/>
      <w:marLeft w:val="0"/>
      <w:marRight w:val="0"/>
      <w:marTop w:val="0"/>
      <w:marBottom w:val="0"/>
      <w:divBdr>
        <w:top w:val="none" w:sz="0" w:space="0" w:color="auto"/>
        <w:left w:val="none" w:sz="0" w:space="0" w:color="auto"/>
        <w:bottom w:val="none" w:sz="0" w:space="0" w:color="auto"/>
        <w:right w:val="none" w:sz="0" w:space="0" w:color="auto"/>
      </w:divBdr>
    </w:div>
    <w:div w:id="66178307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mvlwb.com/sites/default/files/documents/Environmental-Guideline-for-Contaminated-Site-Remediatio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ercuryconvention.org/Portals/11/documents/2016%20call%20for%20submissions/Pure%20Earth%20Technical%20Guidance%20on%20Mercury-Contaminated%20Sites%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yperlink" Target="https://www.admin.ch/opc/de/classified-compilation/19983151/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F87C-EAB8-445F-A6DC-66276451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3496</Words>
  <Characters>19928</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23378</CharactersWithSpaces>
  <SharedDoc>false</SharedDoc>
  <HLinks>
    <vt:vector size="144" baseType="variant">
      <vt:variant>
        <vt:i4>1835039</vt:i4>
      </vt:variant>
      <vt:variant>
        <vt:i4>72</vt:i4>
      </vt:variant>
      <vt:variant>
        <vt:i4>0</vt:i4>
      </vt:variant>
      <vt:variant>
        <vt:i4>5</vt:i4>
      </vt:variant>
      <vt:variant>
        <vt:lpwstr>http://www.mercuryconvention.org/Portals/11/documents/2016 call for submissions/Pure Earth Technical Guidance on Mercury-Contaminated Sites .pdf</vt:lpwstr>
      </vt:variant>
      <vt:variant>
        <vt:lpwstr/>
      </vt:variant>
      <vt:variant>
        <vt:i4>5242951</vt:i4>
      </vt:variant>
      <vt:variant>
        <vt:i4>69</vt:i4>
      </vt:variant>
      <vt:variant>
        <vt:i4>0</vt:i4>
      </vt:variant>
      <vt:variant>
        <vt:i4>5</vt:i4>
      </vt:variant>
      <vt:variant>
        <vt:lpwstr>http://ipen.org/documents/ipen-guidance-identification-management-and-remediation-mercury-contaminated-sites</vt:lpwstr>
      </vt:variant>
      <vt:variant>
        <vt:lpwstr/>
      </vt:variant>
      <vt:variant>
        <vt:i4>2228285</vt:i4>
      </vt:variant>
      <vt:variant>
        <vt:i4>66</vt:i4>
      </vt:variant>
      <vt:variant>
        <vt:i4>0</vt:i4>
      </vt:variant>
      <vt:variant>
        <vt:i4>5</vt:i4>
      </vt:variant>
      <vt:variant>
        <vt:lpwstr>https://www.admin.ch/opc/de/classified-compilation/19983151/index.html</vt:lpwstr>
      </vt:variant>
      <vt:variant>
        <vt:lpwstr/>
      </vt:variant>
      <vt:variant>
        <vt:i4>196689</vt:i4>
      </vt:variant>
      <vt:variant>
        <vt:i4>63</vt:i4>
      </vt:variant>
      <vt:variant>
        <vt:i4>0</vt:i4>
      </vt:variant>
      <vt:variant>
        <vt:i4>5</vt:i4>
      </vt:variant>
      <vt:variant>
        <vt:lpwstr>http://www.bafu.admin.ch/altlasten/12163/12168/index.html?lang=en</vt:lpwstr>
      </vt:variant>
      <vt:variant>
        <vt:lpwstr/>
      </vt:variant>
      <vt:variant>
        <vt:i4>5242951</vt:i4>
      </vt:variant>
      <vt:variant>
        <vt:i4>60</vt:i4>
      </vt:variant>
      <vt:variant>
        <vt:i4>0</vt:i4>
      </vt:variant>
      <vt:variant>
        <vt:i4>5</vt:i4>
      </vt:variant>
      <vt:variant>
        <vt:lpwstr>http://ipen.org/documents/ipen-guidance-identification-management-and-remediation-mercury-contaminated-sites</vt:lpwstr>
      </vt:variant>
      <vt:variant>
        <vt:lpwstr/>
      </vt:variant>
      <vt:variant>
        <vt:i4>5636139</vt:i4>
      </vt:variant>
      <vt:variant>
        <vt:i4>57</vt:i4>
      </vt:variant>
      <vt:variant>
        <vt:i4>0</vt:i4>
      </vt:variant>
      <vt:variant>
        <vt:i4>5</vt:i4>
      </vt:variant>
      <vt:variant>
        <vt:lpwstr>https://www.gov.uk/government/uploads/system/uploads/attachment_data/file/223705/pb13735cont-land-guidance.pdf</vt:lpwstr>
      </vt:variant>
      <vt:variant>
        <vt:lpwstr/>
      </vt:variant>
      <vt:variant>
        <vt:i4>983052</vt:i4>
      </vt:variant>
      <vt:variant>
        <vt:i4>54</vt:i4>
      </vt:variant>
      <vt:variant>
        <vt:i4>0</vt:i4>
      </vt:variant>
      <vt:variant>
        <vt:i4>5</vt:i4>
      </vt:variant>
      <vt:variant>
        <vt:lpwstr>http://www.cprac.org/es/archivo-de-noticias/genericas/training-on-mercury-management-and-remediation-of-contaminated-soils-a</vt:lpwstr>
      </vt:variant>
      <vt:variant>
        <vt:lpwstr/>
      </vt:variant>
      <vt:variant>
        <vt:i4>6946936</vt:i4>
      </vt:variant>
      <vt:variant>
        <vt:i4>51</vt:i4>
      </vt:variant>
      <vt:variant>
        <vt:i4>0</vt:i4>
      </vt:variant>
      <vt:variant>
        <vt:i4>5</vt:i4>
      </vt:variant>
      <vt:variant>
        <vt:lpwstr>http://www.ctndm.es/proyectos/7-in.php</vt:lpwstr>
      </vt:variant>
      <vt:variant>
        <vt:lpwstr/>
      </vt:variant>
      <vt:variant>
        <vt:i4>3735611</vt:i4>
      </vt:variant>
      <vt:variant>
        <vt:i4>48</vt:i4>
      </vt:variant>
      <vt:variant>
        <vt:i4>0</vt:i4>
      </vt:variant>
      <vt:variant>
        <vt:i4>5</vt:i4>
      </vt:variant>
      <vt:variant>
        <vt:lpwstr>http://www.nicole.org/</vt:lpwstr>
      </vt:variant>
      <vt:variant>
        <vt:lpwstr/>
      </vt:variant>
      <vt:variant>
        <vt:i4>3735611</vt:i4>
      </vt:variant>
      <vt:variant>
        <vt:i4>45</vt:i4>
      </vt:variant>
      <vt:variant>
        <vt:i4>0</vt:i4>
      </vt:variant>
      <vt:variant>
        <vt:i4>5</vt:i4>
      </vt:variant>
      <vt:variant>
        <vt:lpwstr>http://www.nicole.org/</vt:lpwstr>
      </vt:variant>
      <vt:variant>
        <vt:lpwstr/>
      </vt:variant>
      <vt:variant>
        <vt:i4>1179707</vt:i4>
      </vt:variant>
      <vt:variant>
        <vt:i4>42</vt:i4>
      </vt:variant>
      <vt:variant>
        <vt:i4>0</vt:i4>
      </vt:variant>
      <vt:variant>
        <vt:i4>5</vt:i4>
      </vt:variant>
      <vt:variant>
        <vt:lpwstr>http://snowmannetwork.com/?page_id=256</vt:lpwstr>
      </vt:variant>
      <vt:variant>
        <vt:lpwstr/>
      </vt:variant>
      <vt:variant>
        <vt:i4>262193</vt:i4>
      </vt:variant>
      <vt:variant>
        <vt:i4>39</vt:i4>
      </vt:variant>
      <vt:variant>
        <vt:i4>0</vt:i4>
      </vt:variant>
      <vt:variant>
        <vt:i4>5</vt:i4>
      </vt:variant>
      <vt:variant>
        <vt:lpwstr>https://www.grs.de/sites/default/files/pdf/Remcosite_2008_Chemieabfaelle_0.pdf</vt:lpwstr>
      </vt:variant>
      <vt:variant>
        <vt:lpwstr/>
      </vt:variant>
      <vt:variant>
        <vt:i4>6357109</vt:i4>
      </vt:variant>
      <vt:variant>
        <vt:i4>36</vt:i4>
      </vt:variant>
      <vt:variant>
        <vt:i4>0</vt:i4>
      </vt:variant>
      <vt:variant>
        <vt:i4>5</vt:i4>
      </vt:variant>
      <vt:variant>
        <vt:lpwstr>https://wedocs.unep.org/rest/bitstreams/45236/retrieve</vt:lpwstr>
      </vt:variant>
      <vt:variant>
        <vt:lpwstr/>
      </vt:variant>
      <vt:variant>
        <vt:i4>7798839</vt:i4>
      </vt:variant>
      <vt:variant>
        <vt:i4>33</vt:i4>
      </vt:variant>
      <vt:variant>
        <vt:i4>0</vt:i4>
      </vt:variant>
      <vt:variant>
        <vt:i4>5</vt:i4>
      </vt:variant>
      <vt:variant>
        <vt:lpwstr>http://www.mddelcc.gouv.qc.ca/sol/terrains/guide-intervention/index.htm</vt:lpwstr>
      </vt:variant>
      <vt:variant>
        <vt:lpwstr/>
      </vt:variant>
      <vt:variant>
        <vt:i4>8257572</vt:i4>
      </vt:variant>
      <vt:variant>
        <vt:i4>30</vt:i4>
      </vt:variant>
      <vt:variant>
        <vt:i4>0</vt:i4>
      </vt:variant>
      <vt:variant>
        <vt:i4>5</vt:i4>
      </vt:variant>
      <vt:variant>
        <vt:lpwstr>http://www.enr.gov.nt.ca/sites/default/files/guidelines/siteremediation.pdf</vt:lpwstr>
      </vt:variant>
      <vt:variant>
        <vt:lpwstr/>
      </vt:variant>
      <vt:variant>
        <vt:i4>786521</vt:i4>
      </vt:variant>
      <vt:variant>
        <vt:i4>27</vt:i4>
      </vt:variant>
      <vt:variant>
        <vt:i4>0</vt:i4>
      </vt:variant>
      <vt:variant>
        <vt:i4>5</vt:i4>
      </vt:variant>
      <vt:variant>
        <vt:lpwstr>http://www2.gov.bc.ca/gov/content/environment/air-land-water/site-remediation/guidance-resources</vt:lpwstr>
      </vt:variant>
      <vt:variant>
        <vt:lpwstr/>
      </vt:variant>
      <vt:variant>
        <vt:i4>8192050</vt:i4>
      </vt:variant>
      <vt:variant>
        <vt:i4>24</vt:i4>
      </vt:variant>
      <vt:variant>
        <vt:i4>0</vt:i4>
      </vt:variant>
      <vt:variant>
        <vt:i4>5</vt:i4>
      </vt:variant>
      <vt:variant>
        <vt:lpwstr>http://www.federalcontaminatedsites.gc.ca/default.asp?lang=En&amp;n=B15E990A-1</vt:lpwstr>
      </vt:variant>
      <vt:variant>
        <vt:lpwstr/>
      </vt:variant>
      <vt:variant>
        <vt:i4>7143549</vt:i4>
      </vt:variant>
      <vt:variant>
        <vt:i4>21</vt:i4>
      </vt:variant>
      <vt:variant>
        <vt:i4>0</vt:i4>
      </vt:variant>
      <vt:variant>
        <vt:i4>5</vt:i4>
      </vt:variant>
      <vt:variant>
        <vt:lpwstr>http://sdat.pwgsc.gc.ca/index.aspx?lang=eng</vt:lpwstr>
      </vt:variant>
      <vt:variant>
        <vt:lpwstr/>
      </vt:variant>
      <vt:variant>
        <vt:i4>8192050</vt:i4>
      </vt:variant>
      <vt:variant>
        <vt:i4>18</vt:i4>
      </vt:variant>
      <vt:variant>
        <vt:i4>0</vt:i4>
      </vt:variant>
      <vt:variant>
        <vt:i4>5</vt:i4>
      </vt:variant>
      <vt:variant>
        <vt:lpwstr>http://www.federalcontaminatedsites.gc.ca/default.asp?lang=En&amp;n=B15E990A-1</vt:lpwstr>
      </vt:variant>
      <vt:variant>
        <vt:lpwstr/>
      </vt:variant>
      <vt:variant>
        <vt:i4>2818124</vt:i4>
      </vt:variant>
      <vt:variant>
        <vt:i4>15</vt:i4>
      </vt:variant>
      <vt:variant>
        <vt:i4>0</vt:i4>
      </vt:variant>
      <vt:variant>
        <vt:i4>5</vt:i4>
      </vt:variant>
      <vt:variant>
        <vt:lpwstr>http://gost.irb-bri.cnrc-nrc.gc.ca/hm.aspx?ind_lang=en</vt:lpwstr>
      </vt:variant>
      <vt:variant>
        <vt:lpwstr/>
      </vt:variant>
      <vt:variant>
        <vt:i4>3670047</vt:i4>
      </vt:variant>
      <vt:variant>
        <vt:i4>12</vt:i4>
      </vt:variant>
      <vt:variant>
        <vt:i4>0</vt:i4>
      </vt:variant>
      <vt:variant>
        <vt:i4>5</vt:i4>
      </vt:variant>
      <vt:variant>
        <vt:lpwstr>http://publications.gc.ca/collections/collection_2010/ec/En164-14-2007-eng.pdf</vt:lpwstr>
      </vt:variant>
      <vt:variant>
        <vt:lpwstr/>
      </vt:variant>
      <vt:variant>
        <vt:i4>2097193</vt:i4>
      </vt:variant>
      <vt:variant>
        <vt:i4>9</vt:i4>
      </vt:variant>
      <vt:variant>
        <vt:i4>0</vt:i4>
      </vt:variant>
      <vt:variant>
        <vt:i4>5</vt:i4>
      </vt:variant>
      <vt:variant>
        <vt:lpwstr>http://www.ccme.ca/files/Resources/csm/pn_1144_e.pdf</vt:lpwstr>
      </vt:variant>
      <vt:variant>
        <vt:lpwstr/>
      </vt:variant>
      <vt:variant>
        <vt:i4>127</vt:i4>
      </vt:variant>
      <vt:variant>
        <vt:i4>6</vt:i4>
      </vt:variant>
      <vt:variant>
        <vt:i4>0</vt:i4>
      </vt:variant>
      <vt:variant>
        <vt:i4>5</vt:i4>
      </vt:variant>
      <vt:variant>
        <vt:lpwstr>http://www.ccme.ca/en/files/Resources/csm/Volume 2-Checklists-Environmental Site Characterization_e PN 1553.pdf</vt:lpwstr>
      </vt:variant>
      <vt:variant>
        <vt:lpwstr/>
      </vt:variant>
      <vt:variant>
        <vt:i4>1441845</vt:i4>
      </vt:variant>
      <vt:variant>
        <vt:i4>3</vt:i4>
      </vt:variant>
      <vt:variant>
        <vt:i4>0</vt:i4>
      </vt:variant>
      <vt:variant>
        <vt:i4>5</vt:i4>
      </vt:variant>
      <vt:variant>
        <vt:lpwstr>http://www.ccme.ca/en/files/Resources/csm/Volume 1-Guidance Manual-Environmental Site Characterization_e PN 1551.pdf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LOGAN</cp:lastModifiedBy>
  <cp:revision>3</cp:revision>
  <cp:lastPrinted>2017-06-08T12:46:00Z</cp:lastPrinted>
  <dcterms:created xsi:type="dcterms:W3CDTF">2017-06-23T10:49:00Z</dcterms:created>
  <dcterms:modified xsi:type="dcterms:W3CDTF">2017-07-03T09:24:00Z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6/7/2017 11:13:21 AM</vt:lpwstr>
  </property>
  <property fmtid="{D5CDD505-2E9C-101B-9397-08002B2CF9AE}" pid="5" name="OriginalDocID">
    <vt:lpwstr>f59fb7ce-a506-4960-ac78-d88800df01c4</vt:lpwstr>
  </property>
</Properties>
</file>