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756F9C" w:rsidTr="00756F9C">
        <w:trPr>
          <w:cantSplit/>
          <w:trHeight w:val="850"/>
          <w:jc w:val="right"/>
        </w:trPr>
        <w:tc>
          <w:tcPr>
            <w:tcW w:w="1668" w:type="dxa"/>
            <w:hideMark/>
          </w:tcPr>
          <w:p w:rsidR="00756F9C" w:rsidRDefault="00756F9C">
            <w:pPr>
              <w:rPr>
                <w:rFonts w:ascii="Univers" w:hAnsi="Univers"/>
                <w:b/>
                <w:noProof/>
                <w:sz w:val="27"/>
                <w:szCs w:val="27"/>
                <w:lang w:val="en-GB"/>
              </w:rPr>
            </w:pPr>
            <w:r>
              <w:rPr>
                <w:rFonts w:ascii="Arial" w:hAnsi="Arial" w:cs="Arial"/>
                <w:b/>
                <w:noProof/>
                <w:sz w:val="27"/>
                <w:szCs w:val="27"/>
              </w:rPr>
              <w:t>NACIONES UNIDAS</w:t>
            </w:r>
          </w:p>
        </w:tc>
        <w:tc>
          <w:tcPr>
            <w:tcW w:w="4633" w:type="dxa"/>
          </w:tcPr>
          <w:p w:rsidR="00756F9C" w:rsidRDefault="00756F9C">
            <w:pPr>
              <w:rPr>
                <w:rFonts w:ascii="Univers" w:hAnsi="Univers"/>
                <w:b/>
                <w:sz w:val="27"/>
                <w:szCs w:val="27"/>
                <w:lang w:val="en-GB"/>
              </w:rPr>
            </w:pPr>
          </w:p>
        </w:tc>
        <w:tc>
          <w:tcPr>
            <w:tcW w:w="3411" w:type="dxa"/>
            <w:hideMark/>
          </w:tcPr>
          <w:p w:rsidR="00756F9C" w:rsidRDefault="00756F9C">
            <w:pPr>
              <w:jc w:val="right"/>
              <w:rPr>
                <w:rFonts w:ascii="Arial" w:hAnsi="Arial" w:cs="Arial"/>
                <w:b/>
                <w:sz w:val="64"/>
                <w:szCs w:val="64"/>
                <w:lang w:val="en-GB"/>
              </w:rPr>
            </w:pPr>
            <w:r>
              <w:rPr>
                <w:rFonts w:ascii="Arial" w:hAnsi="Arial" w:cs="Arial"/>
                <w:b/>
                <w:sz w:val="64"/>
                <w:szCs w:val="64"/>
              </w:rPr>
              <w:t>MC</w:t>
            </w:r>
          </w:p>
        </w:tc>
      </w:tr>
      <w:tr w:rsidR="00756F9C" w:rsidTr="00756F9C">
        <w:trPr>
          <w:cantSplit/>
          <w:trHeight w:val="281"/>
          <w:jc w:val="right"/>
        </w:trPr>
        <w:tc>
          <w:tcPr>
            <w:tcW w:w="1668" w:type="dxa"/>
            <w:tcBorders>
              <w:top w:val="nil"/>
              <w:left w:val="nil"/>
              <w:bottom w:val="single" w:sz="4" w:space="0" w:color="auto"/>
              <w:right w:val="nil"/>
            </w:tcBorders>
          </w:tcPr>
          <w:p w:rsidR="00756F9C" w:rsidRDefault="00756F9C">
            <w:pPr>
              <w:rPr>
                <w:noProof/>
                <w:sz w:val="18"/>
                <w:szCs w:val="18"/>
                <w:lang w:val="en-GB"/>
              </w:rPr>
            </w:pPr>
          </w:p>
        </w:tc>
        <w:tc>
          <w:tcPr>
            <w:tcW w:w="4633" w:type="dxa"/>
            <w:tcBorders>
              <w:top w:val="nil"/>
              <w:left w:val="nil"/>
              <w:bottom w:val="single" w:sz="4" w:space="0" w:color="auto"/>
              <w:right w:val="nil"/>
            </w:tcBorders>
          </w:tcPr>
          <w:p w:rsidR="00756F9C" w:rsidRDefault="00756F9C">
            <w:pPr>
              <w:rPr>
                <w:rFonts w:ascii="Univers" w:hAnsi="Univers"/>
                <w:b/>
                <w:sz w:val="18"/>
                <w:szCs w:val="18"/>
                <w:lang w:val="en-GB"/>
              </w:rPr>
            </w:pPr>
          </w:p>
        </w:tc>
        <w:tc>
          <w:tcPr>
            <w:tcW w:w="3411" w:type="dxa"/>
            <w:tcBorders>
              <w:top w:val="nil"/>
              <w:left w:val="nil"/>
              <w:bottom w:val="single" w:sz="4" w:space="0" w:color="auto"/>
              <w:right w:val="nil"/>
            </w:tcBorders>
            <w:hideMark/>
          </w:tcPr>
          <w:p w:rsidR="00756F9C" w:rsidRDefault="00756F9C">
            <w:pPr>
              <w:rPr>
                <w:noProof/>
                <w:sz w:val="18"/>
                <w:szCs w:val="18"/>
                <w:lang w:val="en-GB"/>
              </w:rPr>
            </w:pPr>
            <w:r>
              <w:rPr>
                <w:b/>
                <w:bCs/>
                <w:sz w:val="28"/>
              </w:rPr>
              <w:t>UNEP/</w:t>
            </w:r>
            <w:r>
              <w:t>MC/COP.1/26</w:t>
            </w:r>
          </w:p>
        </w:tc>
      </w:tr>
      <w:tr w:rsidR="00756F9C" w:rsidTr="00756F9C">
        <w:trPr>
          <w:cantSplit/>
          <w:trHeight w:val="2549"/>
          <w:jc w:val="right"/>
        </w:trPr>
        <w:tc>
          <w:tcPr>
            <w:tcW w:w="1668" w:type="dxa"/>
            <w:tcBorders>
              <w:top w:val="single" w:sz="4" w:space="0" w:color="auto"/>
              <w:left w:val="nil"/>
              <w:bottom w:val="single" w:sz="24" w:space="0" w:color="auto"/>
              <w:right w:val="nil"/>
            </w:tcBorders>
            <w:hideMark/>
          </w:tcPr>
          <w:p w:rsidR="00756F9C" w:rsidRDefault="00756F9C">
            <w:pPr>
              <w:rPr>
                <w:noProof/>
                <w:lang w:val="en-GB"/>
              </w:rPr>
            </w:pPr>
            <w:r>
              <w:rPr>
                <w:noProof/>
                <w:lang w:val="en-GB"/>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1.1pt" o:ole="" fillcolor="window">
                  <v:imagedata r:id="rId9" o:title=""/>
                </v:shape>
                <o:OLEObject Type="Embed" ProgID="Word.Picture.8" ShapeID="_x0000_i1025" DrawAspect="Content" ObjectID="_1432373460" r:id="rId10"/>
              </w:object>
            </w:r>
            <w:r>
              <w:rPr>
                <w:noProof/>
                <w:lang w:val="en-US"/>
              </w:rPr>
              <w:drawing>
                <wp:inline distT="0" distB="0" distL="0" distR="0" wp14:anchorId="3838BD21" wp14:editId="73BC5D5F">
                  <wp:extent cx="723900" cy="774700"/>
                  <wp:effectExtent l="0" t="0" r="0" b="6350"/>
                  <wp:docPr id="1"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rsidR="00756F9C" w:rsidRDefault="00756F9C">
            <w:pPr>
              <w:spacing w:before="1200"/>
              <w:rPr>
                <w:rFonts w:ascii="Arial" w:hAnsi="Arial" w:cs="Arial"/>
                <w:b/>
                <w:sz w:val="28"/>
                <w:lang w:val="es-ES"/>
              </w:rPr>
            </w:pPr>
            <w:r>
              <w:rPr>
                <w:rFonts w:ascii="Arial" w:hAnsi="Arial" w:cs="Arial"/>
                <w:b/>
                <w:sz w:val="32"/>
                <w:szCs w:val="32"/>
                <w:lang w:val="es-ES"/>
              </w:rPr>
              <w:t xml:space="preserve">Programa de las </w:t>
            </w:r>
            <w:r>
              <w:rPr>
                <w:rFonts w:ascii="Arial" w:hAnsi="Arial" w:cs="Arial"/>
                <w:b/>
                <w:sz w:val="32"/>
                <w:szCs w:val="32"/>
                <w:lang w:val="es-ES"/>
              </w:rPr>
              <w:br/>
              <w:t>Naciones Unidas para el Me</w:t>
            </w:r>
            <w:bookmarkStart w:id="0" w:name="_GoBack"/>
            <w:bookmarkEnd w:id="0"/>
            <w:r>
              <w:rPr>
                <w:rFonts w:ascii="Arial" w:hAnsi="Arial" w:cs="Arial"/>
                <w:b/>
                <w:sz w:val="32"/>
                <w:szCs w:val="32"/>
                <w:lang w:val="es-ES"/>
              </w:rPr>
              <w:t>dio Ambiente</w:t>
            </w:r>
          </w:p>
        </w:tc>
        <w:tc>
          <w:tcPr>
            <w:tcW w:w="3411" w:type="dxa"/>
            <w:tcBorders>
              <w:top w:val="single" w:sz="4" w:space="0" w:color="auto"/>
              <w:left w:val="nil"/>
              <w:bottom w:val="single" w:sz="24" w:space="0" w:color="auto"/>
              <w:right w:val="nil"/>
            </w:tcBorders>
            <w:hideMark/>
          </w:tcPr>
          <w:p w:rsidR="00756F9C" w:rsidRDefault="00756F9C">
            <w:pPr>
              <w:spacing w:before="120"/>
              <w:rPr>
                <w:lang w:val="es-ES"/>
              </w:rPr>
            </w:pPr>
            <w:proofErr w:type="spellStart"/>
            <w:r>
              <w:rPr>
                <w:lang w:val="es-ES"/>
              </w:rPr>
              <w:t>Distr</w:t>
            </w:r>
            <w:proofErr w:type="spellEnd"/>
            <w:r>
              <w:rPr>
                <w:lang w:val="es-ES"/>
              </w:rPr>
              <w:t>. general</w:t>
            </w:r>
            <w:r>
              <w:rPr>
                <w:lang w:val="es-ES"/>
              </w:rPr>
              <w:br w:type="textWrapping" w:clear="all"/>
              <w:t>27 de abril de 2017</w:t>
            </w:r>
          </w:p>
          <w:p w:rsidR="00756F9C" w:rsidRDefault="00756F9C" w:rsidP="00756F9C">
            <w:pPr>
              <w:spacing w:before="240"/>
              <w:rPr>
                <w:lang w:val="es-ES"/>
              </w:rPr>
            </w:pPr>
            <w:r>
              <w:rPr>
                <w:lang w:val="es-ES"/>
              </w:rPr>
              <w:t xml:space="preserve">Español </w:t>
            </w:r>
            <w:r>
              <w:rPr>
                <w:lang w:val="es-ES"/>
              </w:rPr>
              <w:br/>
              <w:t>Original: inglés</w:t>
            </w:r>
          </w:p>
        </w:tc>
      </w:tr>
    </w:tbl>
    <w:p w:rsidR="00E976AB" w:rsidRPr="004D0D75" w:rsidRDefault="0028599B" w:rsidP="00E976AB">
      <w:pPr>
        <w:pStyle w:val="AATitle"/>
        <w:keepNext w:val="0"/>
        <w:keepLines w:val="0"/>
        <w:rPr>
          <w:lang w:val="es-ES_tradnl"/>
        </w:rPr>
      </w:pPr>
      <w:r w:rsidRPr="004D0D75">
        <w:rPr>
          <w:lang w:val="es-ES_tradnl"/>
        </w:rPr>
        <w:t>Conferencia de las Partes en el</w:t>
      </w:r>
      <w:r w:rsidR="00E71380">
        <w:rPr>
          <w:lang w:val="es-ES_tradnl"/>
        </w:rPr>
        <w:t xml:space="preserve"> </w:t>
      </w:r>
      <w:r w:rsidR="00787688" w:rsidRPr="004D0D75">
        <w:rPr>
          <w:lang w:val="es-ES_tradnl"/>
        </w:rPr>
        <w:t>Convenio de Minamata sobre el Mercurio</w:t>
      </w:r>
    </w:p>
    <w:p w:rsidR="00E976AB" w:rsidRPr="004D0D75" w:rsidRDefault="00787688" w:rsidP="00E976AB">
      <w:pPr>
        <w:pStyle w:val="AATitle"/>
        <w:keepNext w:val="0"/>
        <w:keepLines w:val="0"/>
        <w:rPr>
          <w:lang w:val="es-ES_tradnl"/>
        </w:rPr>
      </w:pPr>
      <w:r w:rsidRPr="004D0D75">
        <w:rPr>
          <w:lang w:val="es-ES_tradnl"/>
        </w:rPr>
        <w:t>Primera reunión</w:t>
      </w:r>
    </w:p>
    <w:p w:rsidR="00E976AB" w:rsidRPr="004D0D75" w:rsidRDefault="00787688" w:rsidP="00CA170B">
      <w:pPr>
        <w:pStyle w:val="AATitle"/>
        <w:rPr>
          <w:b w:val="0"/>
          <w:lang w:val="es-ES_tradnl"/>
        </w:rPr>
      </w:pPr>
      <w:r w:rsidRPr="004D0D75">
        <w:rPr>
          <w:b w:val="0"/>
          <w:lang w:val="es-ES_tradnl"/>
        </w:rPr>
        <w:t>Ginebra, 24 a 29 de septiembre de 2017</w:t>
      </w:r>
    </w:p>
    <w:p w:rsidR="00C20379" w:rsidRPr="004D0D75" w:rsidRDefault="00C20379" w:rsidP="00C20379">
      <w:pPr>
        <w:pStyle w:val="AATitle"/>
        <w:keepNext w:val="0"/>
        <w:keepLines w:val="0"/>
        <w:rPr>
          <w:b w:val="0"/>
          <w:lang w:val="es-ES_tradnl"/>
        </w:rPr>
      </w:pPr>
      <w:r w:rsidRPr="004D0D75">
        <w:rPr>
          <w:b w:val="0"/>
          <w:lang w:val="es-ES_tradnl"/>
        </w:rPr>
        <w:t>Tema 6 h) del programa provisional</w:t>
      </w:r>
      <w:r w:rsidRPr="004D0D75">
        <w:rPr>
          <w:b w:val="0"/>
          <w:lang w:val="es-ES_tradnl"/>
        </w:rPr>
        <w:footnoteReference w:customMarkFollows="1" w:id="1"/>
        <w:t>*</w:t>
      </w:r>
    </w:p>
    <w:p w:rsidR="00C20379" w:rsidRPr="004D0D75" w:rsidRDefault="00C20379" w:rsidP="00C510F4">
      <w:pPr>
        <w:pStyle w:val="AATitle2"/>
        <w:rPr>
          <w:lang w:val="es-ES_tradnl"/>
        </w:rPr>
      </w:pPr>
      <w:r w:rsidRPr="004D0D75">
        <w:rPr>
          <w:lang w:val="es-ES_tradnl"/>
        </w:rPr>
        <w:t>Cuestiones estipuladas por el Convenio para la adopción de medidas por la Conferencia de las Partes: definición de los umbrales de desechos de mercurio a que se hace referencia en el párrafo 2 del artículo 11</w:t>
      </w:r>
    </w:p>
    <w:p w:rsidR="0015219A" w:rsidRPr="004D0D75" w:rsidRDefault="0015219A" w:rsidP="00EC0F68">
      <w:pPr>
        <w:pStyle w:val="BBTitle"/>
        <w:rPr>
          <w:lang w:val="es-ES_tradnl"/>
        </w:rPr>
      </w:pPr>
      <w:r w:rsidRPr="004D0D75">
        <w:rPr>
          <w:lang w:val="es-ES_tradnl"/>
        </w:rPr>
        <w:t xml:space="preserve">Recopilación de información adicional sobre el uso de los umbrales de desechos de mercurio </w:t>
      </w:r>
    </w:p>
    <w:p w:rsidR="0015219A" w:rsidRPr="004D0D75" w:rsidRDefault="0015219A" w:rsidP="00EC0F68">
      <w:pPr>
        <w:pStyle w:val="CH2"/>
        <w:rPr>
          <w:lang w:val="es-ES_tradnl"/>
        </w:rPr>
      </w:pPr>
      <w:r w:rsidRPr="004D0D75">
        <w:rPr>
          <w:lang w:val="es-ES_tradnl"/>
        </w:rPr>
        <w:tab/>
      </w:r>
      <w:r w:rsidRPr="004D0D75">
        <w:rPr>
          <w:lang w:val="es-ES_tradnl"/>
        </w:rPr>
        <w:tab/>
        <w:t xml:space="preserve">Nota de la </w:t>
      </w:r>
      <w:r w:rsidR="00A32B1A">
        <w:rPr>
          <w:lang w:val="es-ES_tradnl"/>
        </w:rPr>
        <w:t>s</w:t>
      </w:r>
      <w:r w:rsidRPr="004D0D75">
        <w:rPr>
          <w:lang w:val="es-ES_tradnl"/>
        </w:rPr>
        <w:t>ecretaría</w:t>
      </w:r>
    </w:p>
    <w:p w:rsidR="00BB01AC" w:rsidRPr="004D0D75" w:rsidRDefault="00B43AE4" w:rsidP="00EC0F68">
      <w:pPr>
        <w:pStyle w:val="Normalnumber"/>
        <w:tabs>
          <w:tab w:val="clear" w:pos="1134"/>
          <w:tab w:val="clear" w:pos="1247"/>
          <w:tab w:val="clear" w:pos="1814"/>
          <w:tab w:val="clear" w:pos="2381"/>
          <w:tab w:val="clear" w:pos="2948"/>
          <w:tab w:val="clear" w:pos="3515"/>
          <w:tab w:val="clear" w:pos="4082"/>
          <w:tab w:val="left" w:pos="624"/>
        </w:tabs>
        <w:rPr>
          <w:lang w:val="es-ES_tradnl"/>
        </w:rPr>
      </w:pPr>
      <w:r w:rsidRPr="004D0D75">
        <w:rPr>
          <w:lang w:val="es-ES_tradnl"/>
        </w:rPr>
        <w:t xml:space="preserve">En el párrafo 2 del artículo 11, el Convenio de Minamata sobre el Mercurio define como desechos de mercurio las “substancias u </w:t>
      </w:r>
      <w:r w:rsidR="004D0D75" w:rsidRPr="004D0D75">
        <w:rPr>
          <w:lang w:val="es-ES_tradnl"/>
        </w:rPr>
        <w:t>objetos”</w:t>
      </w:r>
      <w:r w:rsidRPr="004D0D75">
        <w:rPr>
          <w:lang w:val="es-ES_tradnl"/>
        </w:rPr>
        <w:t>:</w:t>
      </w:r>
    </w:p>
    <w:p w:rsidR="00BB01AC" w:rsidRPr="004D0D75" w:rsidRDefault="00BB01AC" w:rsidP="00E71380">
      <w:pPr>
        <w:pStyle w:val="Normalnumber"/>
        <w:numPr>
          <w:ilvl w:val="1"/>
          <w:numId w:val="1"/>
        </w:numPr>
        <w:tabs>
          <w:tab w:val="clear" w:pos="1134"/>
          <w:tab w:val="clear" w:pos="1247"/>
          <w:tab w:val="clear" w:pos="1814"/>
          <w:tab w:val="clear" w:pos="2381"/>
          <w:tab w:val="clear" w:pos="2948"/>
          <w:tab w:val="clear" w:pos="3515"/>
          <w:tab w:val="clear" w:pos="4082"/>
        </w:tabs>
        <w:ind w:firstLine="624"/>
        <w:rPr>
          <w:lang w:val="es-ES_tradnl"/>
        </w:rPr>
      </w:pPr>
      <w:r w:rsidRPr="004D0D75">
        <w:rPr>
          <w:lang w:val="es-ES_tradnl"/>
        </w:rPr>
        <w:t>que constan de mercurio o compuestos de mercurio;</w:t>
      </w:r>
    </w:p>
    <w:p w:rsidR="00BB01AC" w:rsidRPr="004D0D75" w:rsidRDefault="00BB01AC" w:rsidP="00885EE4">
      <w:pPr>
        <w:pStyle w:val="Normalnumber"/>
        <w:numPr>
          <w:ilvl w:val="1"/>
          <w:numId w:val="1"/>
        </w:numPr>
        <w:tabs>
          <w:tab w:val="clear" w:pos="1134"/>
          <w:tab w:val="clear" w:pos="1247"/>
          <w:tab w:val="clear" w:pos="1814"/>
          <w:tab w:val="clear" w:pos="2381"/>
          <w:tab w:val="clear" w:pos="2948"/>
          <w:tab w:val="clear" w:pos="3515"/>
          <w:tab w:val="clear" w:pos="4082"/>
          <w:tab w:val="left" w:pos="624"/>
        </w:tabs>
        <w:ind w:firstLine="624"/>
        <w:rPr>
          <w:lang w:val="es-ES_tradnl"/>
        </w:rPr>
      </w:pPr>
      <w:r w:rsidRPr="004D0D75">
        <w:rPr>
          <w:lang w:val="es-ES_tradnl"/>
        </w:rPr>
        <w:t>que contienen mercurio o compuestos de mercurio; o</w:t>
      </w:r>
    </w:p>
    <w:p w:rsidR="00BB01AC" w:rsidRPr="004D0D75" w:rsidRDefault="00BB01AC" w:rsidP="00885EE4">
      <w:pPr>
        <w:pStyle w:val="Normalnumber"/>
        <w:numPr>
          <w:ilvl w:val="1"/>
          <w:numId w:val="1"/>
        </w:numPr>
        <w:tabs>
          <w:tab w:val="clear" w:pos="1134"/>
          <w:tab w:val="clear" w:pos="1247"/>
          <w:tab w:val="clear" w:pos="1814"/>
          <w:tab w:val="clear" w:pos="2381"/>
          <w:tab w:val="clear" w:pos="2948"/>
          <w:tab w:val="clear" w:pos="3515"/>
          <w:tab w:val="clear" w:pos="4082"/>
          <w:tab w:val="left" w:pos="624"/>
        </w:tabs>
        <w:ind w:firstLine="624"/>
        <w:rPr>
          <w:lang w:val="es-ES_tradnl"/>
        </w:rPr>
      </w:pPr>
      <w:r w:rsidRPr="004D0D75">
        <w:rPr>
          <w:lang w:val="es-ES_tradnl"/>
        </w:rPr>
        <w:t xml:space="preserve">contaminados con mercurio o con compuestos de mercurio, </w:t>
      </w:r>
    </w:p>
    <w:p w:rsidR="00BB01AC" w:rsidRPr="004D0D75" w:rsidRDefault="00BB01AC" w:rsidP="00BB01AC">
      <w:pPr>
        <w:pStyle w:val="Normalnumber"/>
        <w:numPr>
          <w:ilvl w:val="0"/>
          <w:numId w:val="0"/>
        </w:numPr>
        <w:ind w:left="1247"/>
        <w:rPr>
          <w:lang w:val="es-ES_tradnl"/>
        </w:rPr>
      </w:pPr>
      <w:r w:rsidRPr="004D0D75">
        <w:rPr>
          <w:lang w:val="es-ES_tradnl"/>
        </w:rPr>
        <w:t>en una cantidad que exceda los umbrales pertinentes definidos por la Conferencia de las Partes, en colaboración con los órganos pertinentes del Convenio de Basilea sobre el Control de los Movimientos Transfronterizos de los Desechos Peligrosos y su Eliminación</w:t>
      </w:r>
      <w:r w:rsidR="00160AF0">
        <w:rPr>
          <w:lang w:val="es-ES_tradnl"/>
        </w:rPr>
        <w:t>]</w:t>
      </w:r>
      <w:r w:rsidRPr="004D0D75">
        <w:rPr>
          <w:lang w:val="es-ES_tradnl"/>
        </w:rPr>
        <w:t xml:space="preserve"> de manera armonizada, a cuya eliminación se procede, se propone proceder o se está obligado a proceder en virtud de lo dispuesto en la legislación nacional o en el presente Convenio”. </w:t>
      </w:r>
    </w:p>
    <w:p w:rsidR="00BB01AC" w:rsidRPr="004D0D75" w:rsidRDefault="00BB01AC" w:rsidP="00D6719D">
      <w:pPr>
        <w:pStyle w:val="Normalnumber"/>
        <w:rPr>
          <w:lang w:val="es-ES_tradnl"/>
        </w:rPr>
      </w:pPr>
      <w:r w:rsidRPr="004D0D75">
        <w:rPr>
          <w:lang w:val="es-ES_tradnl"/>
        </w:rPr>
        <w:t xml:space="preserve">En el párrafo 8 de su resolución sobre los arreglos para el período de transición (UNEP(DTIE)/Hg/CONF/4, anexo I), la Conferencia de Plenipotenciarios solicitó al Comité </w:t>
      </w:r>
      <w:r w:rsidR="00160AF0">
        <w:rPr>
          <w:lang w:val="es-ES_tradnl"/>
        </w:rPr>
        <w:t>i</w:t>
      </w:r>
      <w:r w:rsidRPr="004D0D75">
        <w:rPr>
          <w:lang w:val="es-ES_tradnl"/>
        </w:rPr>
        <w:t xml:space="preserve">ntergubernamental de </w:t>
      </w:r>
      <w:r w:rsidR="00160AF0">
        <w:rPr>
          <w:lang w:val="es-ES_tradnl"/>
        </w:rPr>
        <w:t>n</w:t>
      </w:r>
      <w:r w:rsidRPr="004D0D75">
        <w:rPr>
          <w:lang w:val="es-ES_tradnl"/>
        </w:rPr>
        <w:t>egociación que preparara un instrumento jurídicamente vinculante a nivel mundial sobre el mercurio, para apoyar, de ser posible y teniendo en cuenta las prioridades del Convenio, las actividades exigidas o promovidas por el Convenio que facilitarán la rápida entrada en vigor del Convenio y su aplicación eficaz una vez que haya entrado en vigor, en particular, los umbrales para la identificación de desechos de mercurio, con arreglo al párrafo 2 del artículo 11, entre otras cosas.</w:t>
      </w:r>
    </w:p>
    <w:p w:rsidR="00E25B92" w:rsidRPr="004D0D75" w:rsidRDefault="00615A97" w:rsidP="00B3554E">
      <w:pPr>
        <w:pStyle w:val="Normalnumber"/>
        <w:rPr>
          <w:lang w:val="es-ES_tradnl"/>
        </w:rPr>
      </w:pPr>
      <w:r w:rsidRPr="004D0D75">
        <w:rPr>
          <w:lang w:val="es-ES_tradnl"/>
        </w:rPr>
        <w:t xml:space="preserve">Como resultado de ello, el Comité examinó la cuestión de los umbrales de desechos de mercurio en sus períodos de sesiones sexto y séptimo. En su sexto período de sesiones, el Comité solicitó a los países que informaran a la </w:t>
      </w:r>
      <w:r w:rsidR="00160AF0">
        <w:rPr>
          <w:lang w:val="es-ES_tradnl"/>
        </w:rPr>
        <w:t>s</w:t>
      </w:r>
      <w:r w:rsidRPr="004D0D75">
        <w:rPr>
          <w:lang w:val="es-ES_tradnl"/>
        </w:rPr>
        <w:t xml:space="preserve">ecretaría sobre su uso de los umbrales de desechos de mercurio y los niveles establecidos y pidió a la </w:t>
      </w:r>
      <w:r w:rsidR="00160AF0">
        <w:rPr>
          <w:lang w:val="es-ES_tradnl"/>
        </w:rPr>
        <w:t>s</w:t>
      </w:r>
      <w:r w:rsidRPr="004D0D75">
        <w:rPr>
          <w:lang w:val="es-ES_tradnl"/>
        </w:rPr>
        <w:t xml:space="preserve">ecretaría que recopilara esa información para examinarla en su séptimo período de sesiones. Se recibieron presentaciones de nueve países y una organización de integración económica regional. Después de examinar la recopilación de las </w:t>
      </w:r>
      <w:r w:rsidRPr="004D0D75">
        <w:rPr>
          <w:lang w:val="es-ES_tradnl"/>
        </w:rPr>
        <w:lastRenderedPageBreak/>
        <w:t>presentaciones recibidas</w:t>
      </w:r>
      <w:r w:rsidR="003F3591" w:rsidRPr="004D0D75">
        <w:rPr>
          <w:rStyle w:val="FootnoteReference"/>
          <w:lang w:val="es-ES_tradnl"/>
        </w:rPr>
        <w:footnoteReference w:id="2"/>
      </w:r>
      <w:r w:rsidRPr="004D0D75">
        <w:rPr>
          <w:lang w:val="es-ES_tradnl"/>
        </w:rPr>
        <w:t xml:space="preserve">, el Comité, en su séptimo período de sesiones, decidió que la secretaría debería recopilar información adicional de los Gobiernos y otras entidades sobre el uso de los umbrales de desechos de mercurio, y que las actividades dirigidas a proponer los umbrales adecuados deberían correr a cargo de aquellas personas que tenían los conocimientos especializados pertinentes. </w:t>
      </w:r>
    </w:p>
    <w:p w:rsidR="00BB01AC" w:rsidRPr="004D0D75" w:rsidRDefault="00322331" w:rsidP="00D6719D">
      <w:pPr>
        <w:pStyle w:val="Normalnumber"/>
        <w:rPr>
          <w:lang w:val="es-ES_tradnl"/>
        </w:rPr>
      </w:pPr>
      <w:r>
        <w:rPr>
          <w:lang w:val="es-ES_tradnl"/>
        </w:rPr>
        <w:t>Con respecto a</w:t>
      </w:r>
      <w:r w:rsidR="00D6719D" w:rsidRPr="004D0D75">
        <w:rPr>
          <w:lang w:val="es-ES_tradnl"/>
        </w:rPr>
        <w:t xml:space="preserve"> la petición de información adicional sobre el uso de los umbrales de desechos de mercurio, se recibió información de seis países y de una organización regional de integración económica</w:t>
      </w:r>
      <w:r w:rsidR="00A17246" w:rsidRPr="004D0D75">
        <w:rPr>
          <w:rStyle w:val="FootnoteReference"/>
          <w:lang w:val="es-ES_tradnl"/>
        </w:rPr>
        <w:footnoteReference w:id="3"/>
      </w:r>
      <w:r w:rsidR="00D6719D" w:rsidRPr="004D0D75">
        <w:rPr>
          <w:lang w:val="es-ES_tradnl"/>
        </w:rPr>
        <w:t>. En el anexo de la presente nota se recopilan esas presentaciones. Cabe señalar que tres países y la organización regional de integración económica presentaron información que complementa la información ya presentada como parte del proceso de seguimiento de lo estipulado en el sexto período de sesiones del Comité.</w:t>
      </w:r>
    </w:p>
    <w:p w:rsidR="00FB075B" w:rsidRPr="004D0D75" w:rsidRDefault="00D6719D" w:rsidP="006D7FE0">
      <w:pPr>
        <w:pStyle w:val="Normalnumber"/>
        <w:rPr>
          <w:lang w:val="es-ES_tradnl"/>
        </w:rPr>
      </w:pPr>
      <w:r w:rsidRPr="004D0D75">
        <w:rPr>
          <w:lang w:val="es-ES_tradnl"/>
        </w:rPr>
        <w:t>Por último, en relación con la solicitud de que se realizasen actividades oficiosas dirigidas a proponer los umbrales adecuados, el Gobierno del Japón dirigió un proceso oficioso que incluyó consultas con expertos, entre otros, entidades que dirigen las esferas relacionadas con los productos, los desechos y las zonas de almacenamiento de la Asociación Mundial sobre el Mercurio. La contribución de este proceso a la Conferencia en su primera reunión figura en el documento UNEP/MC/COP.1/INF.10.</w:t>
      </w:r>
    </w:p>
    <w:p w:rsidR="00FB075B" w:rsidRPr="004D0D75" w:rsidRDefault="00885EE4" w:rsidP="00885EE4">
      <w:pPr>
        <w:pStyle w:val="CH3"/>
        <w:rPr>
          <w:lang w:val="es-ES_tradnl"/>
        </w:rPr>
      </w:pPr>
      <w:r w:rsidRPr="004D0D75">
        <w:rPr>
          <w:lang w:val="es-ES_tradnl"/>
        </w:rPr>
        <w:tab/>
      </w:r>
      <w:r w:rsidRPr="004D0D75">
        <w:rPr>
          <w:lang w:val="es-ES_tradnl"/>
        </w:rPr>
        <w:tab/>
        <w:t>Medida que podría adoptar la Conferencia de las Partes</w:t>
      </w:r>
    </w:p>
    <w:p w:rsidR="00BB01AC" w:rsidRPr="004D0D75" w:rsidRDefault="00803074" w:rsidP="006D7FE0">
      <w:pPr>
        <w:pStyle w:val="Normalnumber"/>
        <w:rPr>
          <w:lang w:val="es-ES_tradnl"/>
        </w:rPr>
      </w:pPr>
      <w:r w:rsidRPr="004D0D75">
        <w:rPr>
          <w:lang w:val="es-ES_tradnl"/>
        </w:rPr>
        <w:t xml:space="preserve">La Conferencia tal vez desee examinar la información que figura en el anexo de la presente nota y en el documento UNEP(DTIE)/Hg/INC.7/19, así como la información facilitada durante el proceso oficioso, y considerar la posibilidad de establecer umbrales </w:t>
      </w:r>
      <w:r w:rsidR="00530FD0">
        <w:rPr>
          <w:lang w:val="es-ES_tradnl"/>
        </w:rPr>
        <w:t>en relación con los</w:t>
      </w:r>
      <w:r w:rsidRPr="004D0D75">
        <w:rPr>
          <w:lang w:val="es-ES_tradnl"/>
        </w:rPr>
        <w:t xml:space="preserve"> desechos de mercurio.</w:t>
      </w:r>
    </w:p>
    <w:p w:rsidR="0015219A" w:rsidRPr="004D0D75" w:rsidRDefault="0015219A" w:rsidP="0015219A">
      <w:pPr>
        <w:tabs>
          <w:tab w:val="left" w:pos="4082"/>
        </w:tabs>
        <w:spacing w:before="360" w:after="120"/>
        <w:rPr>
          <w:b/>
          <w:bCs/>
        </w:rPr>
        <w:sectPr w:rsidR="0015219A" w:rsidRPr="004D0D75" w:rsidSect="006E67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15219A" w:rsidRPr="004D0D75" w:rsidRDefault="0015219A" w:rsidP="00EC0F68">
      <w:pPr>
        <w:pStyle w:val="ZZAnxheader"/>
        <w:rPr>
          <w:lang w:val="es-ES_tradnl"/>
        </w:rPr>
      </w:pPr>
      <w:r w:rsidRPr="004D0D75">
        <w:rPr>
          <w:lang w:val="es-ES_tradnl"/>
        </w:rPr>
        <w:lastRenderedPageBreak/>
        <w:t>Anexo</w:t>
      </w:r>
    </w:p>
    <w:p w:rsidR="0015219A" w:rsidRPr="004D0D75" w:rsidRDefault="0015219A" w:rsidP="00EC0F68">
      <w:pPr>
        <w:pStyle w:val="ZZAnxtitle"/>
        <w:rPr>
          <w:lang w:val="es-ES_tradnl"/>
        </w:rPr>
      </w:pPr>
      <w:r w:rsidRPr="004D0D75">
        <w:rPr>
          <w:lang w:val="es-ES_tradnl"/>
        </w:rPr>
        <w:t xml:space="preserve">Recopilación de información adicional sobre el uso de los umbrales de desechos de mercurio </w:t>
      </w:r>
    </w:p>
    <w:p w:rsidR="0015219A" w:rsidRPr="004D0D75" w:rsidRDefault="0015219A" w:rsidP="00592326">
      <w:pPr>
        <w:tabs>
          <w:tab w:val="clear" w:pos="1247"/>
          <w:tab w:val="clear" w:pos="1814"/>
          <w:tab w:val="clear" w:pos="2381"/>
          <w:tab w:val="clear" w:pos="2948"/>
          <w:tab w:val="clear" w:pos="3515"/>
          <w:tab w:val="left" w:pos="624"/>
          <w:tab w:val="left" w:pos="1843"/>
          <w:tab w:val="left" w:pos="4082"/>
        </w:tabs>
        <w:spacing w:after="120"/>
        <w:ind w:left="1247"/>
      </w:pPr>
      <w:r w:rsidRPr="004D0D75">
        <w:t>En el cuadro que figura a continuación se resume la información sobre el uso de los umbrales de desechos de mercurio presentada por seis países y una organización regional de integración económica. Los espacios en blanco indican que no se presentó ninguna información del tipo indicado en el encabezamiento de la columna de que se trate.</w:t>
      </w:r>
    </w:p>
    <w:tbl>
      <w:tblPr>
        <w:tblW w:w="148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969"/>
        <w:gridCol w:w="4536"/>
        <w:gridCol w:w="4196"/>
      </w:tblGrid>
      <w:tr w:rsidR="000F3A83" w:rsidRPr="00220F80" w:rsidTr="00220F80">
        <w:trPr>
          <w:tblHeader/>
        </w:trPr>
        <w:tc>
          <w:tcPr>
            <w:tcW w:w="2126" w:type="dxa"/>
            <w:shd w:val="clear" w:color="auto" w:fill="auto"/>
          </w:tcPr>
          <w:p w:rsidR="0015219A" w:rsidRPr="00220F80" w:rsidRDefault="0015219A" w:rsidP="00892ADF">
            <w:pPr>
              <w:tabs>
                <w:tab w:val="left" w:pos="4082"/>
              </w:tabs>
              <w:spacing w:before="80" w:after="80"/>
              <w:rPr>
                <w:b/>
                <w:bCs/>
                <w:sz w:val="18"/>
                <w:szCs w:val="18"/>
              </w:rPr>
            </w:pPr>
            <w:r w:rsidRPr="00220F80">
              <w:rPr>
                <w:b/>
                <w:sz w:val="18"/>
                <w:szCs w:val="18"/>
              </w:rPr>
              <w:t>Parte remitente</w:t>
            </w:r>
          </w:p>
        </w:tc>
        <w:tc>
          <w:tcPr>
            <w:tcW w:w="3969" w:type="dxa"/>
            <w:shd w:val="clear" w:color="auto" w:fill="auto"/>
          </w:tcPr>
          <w:p w:rsidR="0015219A" w:rsidRPr="00220F80" w:rsidRDefault="0015219A" w:rsidP="00892ADF">
            <w:pPr>
              <w:tabs>
                <w:tab w:val="left" w:pos="4082"/>
              </w:tabs>
              <w:spacing w:before="80" w:after="80"/>
              <w:rPr>
                <w:b/>
                <w:bCs/>
                <w:sz w:val="18"/>
                <w:szCs w:val="18"/>
              </w:rPr>
            </w:pPr>
            <w:r w:rsidRPr="00220F80">
              <w:rPr>
                <w:b/>
                <w:sz w:val="18"/>
                <w:szCs w:val="18"/>
              </w:rPr>
              <w:t xml:space="preserve">Uso de umbrales de desechos de mercurio </w:t>
            </w:r>
          </w:p>
        </w:tc>
        <w:tc>
          <w:tcPr>
            <w:tcW w:w="4536" w:type="dxa"/>
          </w:tcPr>
          <w:p w:rsidR="0015219A" w:rsidRPr="00220F80" w:rsidRDefault="0015219A" w:rsidP="00892ADF">
            <w:pPr>
              <w:tabs>
                <w:tab w:val="left" w:pos="4082"/>
              </w:tabs>
              <w:spacing w:before="80" w:after="80"/>
              <w:rPr>
                <w:b/>
                <w:bCs/>
                <w:sz w:val="18"/>
                <w:szCs w:val="18"/>
              </w:rPr>
            </w:pPr>
            <w:r w:rsidRPr="00220F80">
              <w:rPr>
                <w:b/>
                <w:sz w:val="18"/>
                <w:szCs w:val="18"/>
              </w:rPr>
              <w:t>Umbral</w:t>
            </w:r>
          </w:p>
        </w:tc>
        <w:tc>
          <w:tcPr>
            <w:tcW w:w="4196" w:type="dxa"/>
            <w:shd w:val="clear" w:color="auto" w:fill="auto"/>
          </w:tcPr>
          <w:p w:rsidR="0015219A" w:rsidRPr="00220F80" w:rsidRDefault="0015219A" w:rsidP="00892ADF">
            <w:pPr>
              <w:tabs>
                <w:tab w:val="left" w:pos="4082"/>
              </w:tabs>
              <w:spacing w:before="80" w:after="80"/>
              <w:rPr>
                <w:b/>
                <w:bCs/>
                <w:sz w:val="18"/>
                <w:szCs w:val="18"/>
              </w:rPr>
            </w:pPr>
            <w:r w:rsidRPr="00220F80">
              <w:rPr>
                <w:b/>
                <w:sz w:val="18"/>
                <w:szCs w:val="18"/>
              </w:rPr>
              <w:t>Información adicional</w:t>
            </w:r>
          </w:p>
        </w:tc>
      </w:tr>
      <w:tr w:rsidR="000F3A83" w:rsidRPr="00220F80" w:rsidTr="00220F80">
        <w:tc>
          <w:tcPr>
            <w:tcW w:w="2126" w:type="dxa"/>
            <w:shd w:val="clear" w:color="auto" w:fill="auto"/>
          </w:tcPr>
          <w:p w:rsidR="0015219A" w:rsidRPr="00220F80" w:rsidRDefault="0015219A" w:rsidP="00160AF0">
            <w:pPr>
              <w:tabs>
                <w:tab w:val="left" w:pos="4082"/>
              </w:tabs>
              <w:spacing w:before="80" w:after="80"/>
              <w:rPr>
                <w:sz w:val="18"/>
                <w:szCs w:val="18"/>
              </w:rPr>
            </w:pPr>
            <w:r w:rsidRPr="00220F80">
              <w:rPr>
                <w:sz w:val="18"/>
                <w:szCs w:val="18"/>
              </w:rPr>
              <w:t xml:space="preserve">El Brasil – </w:t>
            </w:r>
            <w:r w:rsidRPr="00220F80">
              <w:rPr>
                <w:i/>
                <w:sz w:val="18"/>
                <w:szCs w:val="18"/>
              </w:rPr>
              <w:t xml:space="preserve">la información presentada complementa la información proporcionada en el proceso de seguimiento de lo estipulado en el sexto período de sesiones del Comité </w:t>
            </w:r>
            <w:r w:rsidR="00160AF0">
              <w:rPr>
                <w:i/>
                <w:sz w:val="18"/>
                <w:szCs w:val="18"/>
              </w:rPr>
              <w:t>i</w:t>
            </w:r>
            <w:r w:rsidRPr="00220F80">
              <w:rPr>
                <w:i/>
                <w:sz w:val="18"/>
                <w:szCs w:val="18"/>
              </w:rPr>
              <w:t xml:space="preserve">ntergubernamental de </w:t>
            </w:r>
            <w:r w:rsidR="00160AF0">
              <w:rPr>
                <w:i/>
                <w:sz w:val="18"/>
                <w:szCs w:val="18"/>
              </w:rPr>
              <w:t>n</w:t>
            </w:r>
            <w:r w:rsidRPr="00220F80">
              <w:rPr>
                <w:i/>
                <w:sz w:val="18"/>
                <w:szCs w:val="18"/>
              </w:rPr>
              <w:t xml:space="preserve">egociación y recopilada en el documento </w:t>
            </w:r>
            <w:r w:rsidRPr="00220F80">
              <w:rPr>
                <w:i/>
                <w:spacing w:val="-4"/>
                <w:sz w:val="18"/>
                <w:szCs w:val="18"/>
              </w:rPr>
              <w:t>UNEP(DTIE)/Hg/INC.7/19</w:t>
            </w:r>
          </w:p>
        </w:tc>
        <w:tc>
          <w:tcPr>
            <w:tcW w:w="3969" w:type="dxa"/>
            <w:shd w:val="clear" w:color="auto" w:fill="auto"/>
          </w:tcPr>
          <w:p w:rsidR="00F61ADD" w:rsidRPr="00220F80" w:rsidRDefault="00160AF0" w:rsidP="00530FD0">
            <w:pPr>
              <w:tabs>
                <w:tab w:val="left" w:pos="4082"/>
              </w:tabs>
              <w:spacing w:before="80" w:after="80"/>
              <w:rPr>
                <w:sz w:val="18"/>
                <w:szCs w:val="18"/>
              </w:rPr>
            </w:pPr>
            <w:r>
              <w:rPr>
                <w:sz w:val="18"/>
                <w:szCs w:val="18"/>
              </w:rPr>
              <w:t>Según la norma técnica NBR n</w:t>
            </w:r>
            <w:r w:rsidR="00235811" w:rsidRPr="00220F80">
              <w:rPr>
                <w:sz w:val="18"/>
                <w:szCs w:val="18"/>
              </w:rPr>
              <w:t>úm. 10.004/2004, que establece los procedimientos para la clasificación de los desechos sólidos como peligrosos o no peligrosos (teniendo en cuenta el proceso del cual se originan los desechos, las características de los desechos y una comparación de sus componentes), los umbrales sobre los niveles de mercurio se utilizan para determinar si ciertos tipos de desechos son peligrosos, mientras que otros simplemente se caracterizan como peligrosos por la presencia de mercurio.</w:t>
            </w:r>
          </w:p>
        </w:tc>
        <w:tc>
          <w:tcPr>
            <w:tcW w:w="4536" w:type="dxa"/>
          </w:tcPr>
          <w:p w:rsidR="00F61ADD" w:rsidRPr="00220F80" w:rsidRDefault="00530FD0" w:rsidP="00892ADF">
            <w:pPr>
              <w:tabs>
                <w:tab w:val="left" w:pos="4082"/>
              </w:tabs>
              <w:spacing w:before="80" w:after="80"/>
              <w:rPr>
                <w:sz w:val="18"/>
                <w:szCs w:val="18"/>
              </w:rPr>
            </w:pPr>
            <w:r w:rsidRPr="00220F80">
              <w:rPr>
                <w:sz w:val="18"/>
                <w:szCs w:val="18"/>
              </w:rPr>
              <w:t xml:space="preserve">En los casos en que </w:t>
            </w:r>
            <w:r w:rsidR="000F738B" w:rsidRPr="00220F80">
              <w:rPr>
                <w:sz w:val="18"/>
                <w:szCs w:val="18"/>
              </w:rPr>
              <w:t>se requier</w:t>
            </w:r>
            <w:r w:rsidRPr="00220F80">
              <w:rPr>
                <w:sz w:val="18"/>
                <w:szCs w:val="18"/>
              </w:rPr>
              <w:t>a</w:t>
            </w:r>
            <w:r w:rsidR="000F738B" w:rsidRPr="00220F80">
              <w:rPr>
                <w:sz w:val="18"/>
                <w:szCs w:val="18"/>
              </w:rPr>
              <w:t xml:space="preserve">n pruebas de laboratorio para determinar si un desecho debería considerarse peligroso, se aplican los siguientes umbrales: </w:t>
            </w:r>
          </w:p>
          <w:p w:rsidR="00F61ADD" w:rsidRPr="00220F80" w:rsidRDefault="000E30E6" w:rsidP="00EC0F68">
            <w:pPr>
              <w:numPr>
                <w:ilvl w:val="0"/>
                <w:numId w:val="19"/>
              </w:numPr>
              <w:tabs>
                <w:tab w:val="clear" w:pos="1247"/>
                <w:tab w:val="left" w:pos="4082"/>
              </w:tabs>
              <w:spacing w:before="80" w:after="80"/>
              <w:ind w:left="363" w:hanging="363"/>
              <w:rPr>
                <w:sz w:val="18"/>
                <w:szCs w:val="18"/>
              </w:rPr>
            </w:pPr>
            <w:r w:rsidRPr="00220F80">
              <w:rPr>
                <w:sz w:val="18"/>
                <w:szCs w:val="18"/>
              </w:rPr>
              <w:t xml:space="preserve">La cantidad de mercurio es superior a los 0,1 mg/l en el ensayo de lixiviación; </w:t>
            </w:r>
          </w:p>
          <w:p w:rsidR="0015219A" w:rsidRPr="00220F80" w:rsidRDefault="000E30E6" w:rsidP="00EC0F68">
            <w:pPr>
              <w:numPr>
                <w:ilvl w:val="0"/>
                <w:numId w:val="19"/>
              </w:numPr>
              <w:tabs>
                <w:tab w:val="clear" w:pos="1247"/>
                <w:tab w:val="left" w:pos="4082"/>
              </w:tabs>
              <w:spacing w:before="80" w:after="80"/>
              <w:ind w:left="363" w:hanging="363"/>
              <w:rPr>
                <w:sz w:val="18"/>
                <w:szCs w:val="18"/>
              </w:rPr>
            </w:pPr>
            <w:r w:rsidRPr="00220F80">
              <w:rPr>
                <w:sz w:val="18"/>
                <w:szCs w:val="18"/>
              </w:rPr>
              <w:t>La cantidad de mercurio es superior a los 0,001 m</w:t>
            </w:r>
            <w:r w:rsidR="00160AF0">
              <w:rPr>
                <w:sz w:val="18"/>
                <w:szCs w:val="18"/>
              </w:rPr>
              <w:t>g/l en el ensayo de lixiviación.</w:t>
            </w:r>
          </w:p>
        </w:tc>
        <w:tc>
          <w:tcPr>
            <w:tcW w:w="4196" w:type="dxa"/>
            <w:shd w:val="clear" w:color="auto" w:fill="auto"/>
          </w:tcPr>
          <w:p w:rsidR="001E2AC2" w:rsidRPr="00220F80" w:rsidRDefault="001E2AC2" w:rsidP="00892ADF">
            <w:pPr>
              <w:tabs>
                <w:tab w:val="left" w:pos="4082"/>
              </w:tabs>
              <w:spacing w:before="80" w:after="80"/>
              <w:rPr>
                <w:sz w:val="18"/>
                <w:szCs w:val="18"/>
              </w:rPr>
            </w:pPr>
          </w:p>
        </w:tc>
      </w:tr>
      <w:tr w:rsidR="000F3A83" w:rsidRPr="00220F80" w:rsidTr="00220F80">
        <w:trPr>
          <w:trHeight w:val="1451"/>
        </w:trPr>
        <w:tc>
          <w:tcPr>
            <w:tcW w:w="2126" w:type="dxa"/>
            <w:shd w:val="clear" w:color="auto" w:fill="auto"/>
          </w:tcPr>
          <w:p w:rsidR="0015219A" w:rsidRPr="00220F80" w:rsidRDefault="0015219A" w:rsidP="00220F80">
            <w:pPr>
              <w:tabs>
                <w:tab w:val="left" w:pos="4082"/>
              </w:tabs>
              <w:spacing w:before="80" w:after="80"/>
              <w:rPr>
                <w:sz w:val="18"/>
                <w:szCs w:val="18"/>
              </w:rPr>
            </w:pPr>
            <w:r w:rsidRPr="00220F80">
              <w:rPr>
                <w:sz w:val="18"/>
                <w:szCs w:val="18"/>
              </w:rPr>
              <w:t xml:space="preserve">Unión Europea y sus Estados miembros – </w:t>
            </w:r>
            <w:r w:rsidRPr="00220F80">
              <w:rPr>
                <w:i/>
                <w:sz w:val="18"/>
                <w:szCs w:val="18"/>
              </w:rPr>
              <w:t>la información presentada complementa la información proporcionada en el proceso de seguimiento de lo estipulado en el sexto</w:t>
            </w:r>
            <w:r w:rsidR="00220F80">
              <w:rPr>
                <w:i/>
                <w:sz w:val="18"/>
                <w:szCs w:val="18"/>
              </w:rPr>
              <w:t xml:space="preserve"> período de sesiones del Comité</w:t>
            </w:r>
            <w:r w:rsidRPr="00220F80">
              <w:rPr>
                <w:i/>
                <w:sz w:val="18"/>
                <w:szCs w:val="18"/>
              </w:rPr>
              <w:t xml:space="preserve"> y recopilada en el documento </w:t>
            </w:r>
            <w:r w:rsidRPr="00220F80">
              <w:rPr>
                <w:i/>
                <w:spacing w:val="-4"/>
                <w:sz w:val="18"/>
                <w:szCs w:val="18"/>
              </w:rPr>
              <w:t>UNEP(DTIE)/Hg/INC.7/19</w:t>
            </w:r>
          </w:p>
        </w:tc>
        <w:tc>
          <w:tcPr>
            <w:tcW w:w="3969" w:type="dxa"/>
            <w:shd w:val="clear" w:color="auto" w:fill="auto"/>
          </w:tcPr>
          <w:p w:rsidR="0015219A" w:rsidRPr="00220F80" w:rsidRDefault="00955109" w:rsidP="006A7CA0">
            <w:pPr>
              <w:tabs>
                <w:tab w:val="left" w:pos="4082"/>
              </w:tabs>
              <w:spacing w:before="80" w:after="80"/>
              <w:rPr>
                <w:sz w:val="18"/>
                <w:szCs w:val="18"/>
              </w:rPr>
            </w:pPr>
            <w:r w:rsidRPr="00220F80">
              <w:rPr>
                <w:sz w:val="18"/>
                <w:szCs w:val="18"/>
              </w:rPr>
              <w:t>Las directrices para la caracterización de materiales de dragado y su reasignación en aguas públicas</w:t>
            </w:r>
            <w:r w:rsidRPr="00220F80">
              <w:rPr>
                <w:rStyle w:val="FootnoteReference"/>
                <w:sz w:val="18"/>
              </w:rPr>
              <w:footnoteReference w:id="4"/>
            </w:r>
            <w:r w:rsidRPr="00220F80">
              <w:rPr>
                <w:sz w:val="18"/>
                <w:szCs w:val="18"/>
              </w:rPr>
              <w:t>, elaboradas por la Comisión Interministerial de Estrategias Marinas de España, establecen los umbrales para una serie de contaminantes, entre ellos el mercurio, que permiten definir los materiales de dragado</w:t>
            </w:r>
            <w:r w:rsidR="00667129">
              <w:rPr>
                <w:sz w:val="18"/>
                <w:szCs w:val="18"/>
              </w:rPr>
              <w:t xml:space="preserve"> </w:t>
            </w:r>
            <w:r w:rsidRPr="00220F80">
              <w:rPr>
                <w:sz w:val="18"/>
                <w:szCs w:val="18"/>
              </w:rPr>
              <w:t>como sedimentos no peligrosos.</w:t>
            </w:r>
          </w:p>
        </w:tc>
        <w:tc>
          <w:tcPr>
            <w:tcW w:w="4536" w:type="dxa"/>
          </w:tcPr>
          <w:p w:rsidR="0015219A" w:rsidRPr="00220F80" w:rsidRDefault="00235811" w:rsidP="006A7CA0">
            <w:pPr>
              <w:tabs>
                <w:tab w:val="left" w:pos="4082"/>
              </w:tabs>
              <w:spacing w:before="80" w:after="80"/>
              <w:rPr>
                <w:sz w:val="18"/>
                <w:szCs w:val="18"/>
              </w:rPr>
            </w:pPr>
            <w:r w:rsidRPr="00220F80">
              <w:rPr>
                <w:sz w:val="18"/>
                <w:szCs w:val="18"/>
              </w:rPr>
              <w:t xml:space="preserve">Según las directrices, el umbral sobre el mercurio que se utiliza en la evaluación de </w:t>
            </w:r>
            <w:r w:rsidR="00220F80">
              <w:rPr>
                <w:sz w:val="18"/>
                <w:szCs w:val="18"/>
              </w:rPr>
              <w:t>los materiales de dragado es de </w:t>
            </w:r>
            <w:r w:rsidRPr="00220F80">
              <w:rPr>
                <w:sz w:val="18"/>
                <w:szCs w:val="18"/>
              </w:rPr>
              <w:t>17 mg/kg de peso seco, con referencia a la partícula fina, de menos de 2 milímetros.</w:t>
            </w:r>
          </w:p>
        </w:tc>
        <w:tc>
          <w:tcPr>
            <w:tcW w:w="4196" w:type="dxa"/>
            <w:shd w:val="clear" w:color="auto" w:fill="auto"/>
          </w:tcPr>
          <w:p w:rsidR="0015219A" w:rsidRPr="00220F80" w:rsidRDefault="0015219A" w:rsidP="00892ADF">
            <w:pPr>
              <w:tabs>
                <w:tab w:val="left" w:pos="4082"/>
              </w:tabs>
              <w:spacing w:before="80" w:after="80"/>
              <w:rPr>
                <w:sz w:val="18"/>
                <w:szCs w:val="18"/>
              </w:rPr>
            </w:pPr>
          </w:p>
        </w:tc>
      </w:tr>
      <w:tr w:rsidR="000F3A83" w:rsidRPr="00220F80" w:rsidTr="00220F80">
        <w:tc>
          <w:tcPr>
            <w:tcW w:w="2126" w:type="dxa"/>
            <w:shd w:val="clear" w:color="auto" w:fill="auto"/>
          </w:tcPr>
          <w:p w:rsidR="0015219A" w:rsidRPr="00220F80" w:rsidRDefault="0015219A" w:rsidP="00220F80">
            <w:pPr>
              <w:keepNext/>
              <w:keepLines/>
              <w:tabs>
                <w:tab w:val="left" w:pos="4082"/>
              </w:tabs>
              <w:spacing w:before="80" w:after="80"/>
              <w:rPr>
                <w:sz w:val="18"/>
                <w:szCs w:val="18"/>
              </w:rPr>
            </w:pPr>
            <w:r w:rsidRPr="00220F80">
              <w:rPr>
                <w:sz w:val="18"/>
                <w:szCs w:val="18"/>
              </w:rPr>
              <w:t xml:space="preserve">El Japón – </w:t>
            </w:r>
            <w:r w:rsidRPr="00220F80">
              <w:rPr>
                <w:i/>
                <w:sz w:val="18"/>
                <w:szCs w:val="18"/>
              </w:rPr>
              <w:t>la información presentada complementa la información proporcionada en el proceso de seguimiento de lo estipulado en el sexto período de sesiones del Comité</w:t>
            </w:r>
            <w:r w:rsidR="00667129">
              <w:rPr>
                <w:i/>
                <w:sz w:val="18"/>
                <w:szCs w:val="18"/>
              </w:rPr>
              <w:t xml:space="preserve"> </w:t>
            </w:r>
            <w:r w:rsidRPr="00220F80">
              <w:rPr>
                <w:i/>
                <w:sz w:val="18"/>
                <w:szCs w:val="18"/>
              </w:rPr>
              <w:t xml:space="preserve">y recopilada en el documento </w:t>
            </w:r>
            <w:r w:rsidRPr="00220F80">
              <w:rPr>
                <w:i/>
                <w:spacing w:val="-4"/>
                <w:sz w:val="18"/>
                <w:szCs w:val="18"/>
              </w:rPr>
              <w:t>UNEP(DTIE)/Hg/INC.7/19</w:t>
            </w:r>
          </w:p>
        </w:tc>
        <w:tc>
          <w:tcPr>
            <w:tcW w:w="3969" w:type="dxa"/>
            <w:shd w:val="clear" w:color="auto" w:fill="auto"/>
          </w:tcPr>
          <w:p w:rsidR="00673E24" w:rsidRPr="00220F80" w:rsidRDefault="00A64300" w:rsidP="005D04E8">
            <w:pPr>
              <w:keepNext/>
              <w:keepLines/>
              <w:tabs>
                <w:tab w:val="left" w:pos="4082"/>
              </w:tabs>
              <w:spacing w:before="80" w:after="80"/>
              <w:rPr>
                <w:sz w:val="18"/>
                <w:szCs w:val="18"/>
              </w:rPr>
            </w:pPr>
            <w:r w:rsidRPr="00220F80">
              <w:rPr>
                <w:sz w:val="18"/>
                <w:szCs w:val="18"/>
              </w:rPr>
              <w:t xml:space="preserve">Se están definiendo umbrales para dos nuevas categorías de desechos de mercurio: </w:t>
            </w:r>
          </w:p>
          <w:p w:rsidR="00673E24" w:rsidRPr="00220F80" w:rsidRDefault="00A64300" w:rsidP="00EC0F68">
            <w:pPr>
              <w:pStyle w:val="ListParagraph"/>
              <w:numPr>
                <w:ilvl w:val="0"/>
                <w:numId w:val="23"/>
              </w:numPr>
              <w:tabs>
                <w:tab w:val="clear" w:pos="1247"/>
                <w:tab w:val="clear" w:pos="1814"/>
                <w:tab w:val="clear" w:pos="2381"/>
                <w:tab w:val="clear" w:pos="2948"/>
                <w:tab w:val="clear" w:pos="3515"/>
              </w:tabs>
              <w:spacing w:before="80" w:after="80"/>
              <w:ind w:left="284" w:hanging="284"/>
              <w:rPr>
                <w:sz w:val="18"/>
                <w:szCs w:val="18"/>
              </w:rPr>
            </w:pPr>
            <w:r w:rsidRPr="00220F80">
              <w:rPr>
                <w:sz w:val="18"/>
                <w:szCs w:val="18"/>
              </w:rPr>
              <w:t xml:space="preserve">Polvo y otros desechos que contienen mercurio, entre los que se incluyen residuos quemados, polvo, fango, desechos ácidos, desechos alcalinos y desechos que contienen mercurio o compuestos de mercurio </w:t>
            </w:r>
            <w:r w:rsidR="00530FD0" w:rsidRPr="00220F80">
              <w:rPr>
                <w:sz w:val="18"/>
                <w:szCs w:val="18"/>
              </w:rPr>
              <w:t>en</w:t>
            </w:r>
            <w:r w:rsidRPr="00220F80">
              <w:rPr>
                <w:sz w:val="18"/>
                <w:szCs w:val="18"/>
              </w:rPr>
              <w:t xml:space="preserve"> una concentración de mercurio por encima de un umbral determinado;</w:t>
            </w:r>
          </w:p>
          <w:p w:rsidR="00C23CBC" w:rsidRPr="00220F80" w:rsidRDefault="00A64300" w:rsidP="00EC0F68">
            <w:pPr>
              <w:numPr>
                <w:ilvl w:val="0"/>
                <w:numId w:val="23"/>
              </w:numPr>
              <w:tabs>
                <w:tab w:val="clear" w:pos="1247"/>
                <w:tab w:val="clear" w:pos="1814"/>
                <w:tab w:val="clear" w:pos="2381"/>
                <w:tab w:val="clear" w:pos="2948"/>
                <w:tab w:val="clear" w:pos="3515"/>
              </w:tabs>
              <w:spacing w:before="80" w:after="80"/>
              <w:ind w:left="284" w:hanging="284"/>
              <w:rPr>
                <w:sz w:val="18"/>
                <w:szCs w:val="18"/>
              </w:rPr>
            </w:pPr>
            <w:r w:rsidRPr="00220F80">
              <w:rPr>
                <w:sz w:val="18"/>
                <w:szCs w:val="18"/>
              </w:rPr>
              <w:t>Desechos industriales de productos con mercurio añadido.</w:t>
            </w:r>
          </w:p>
        </w:tc>
        <w:tc>
          <w:tcPr>
            <w:tcW w:w="4536" w:type="dxa"/>
          </w:tcPr>
          <w:p w:rsidR="00B1730F" w:rsidRPr="00220F80" w:rsidRDefault="00E40F10"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rPr>
            </w:pPr>
            <w:r w:rsidRPr="00220F80">
              <w:rPr>
                <w:sz w:val="18"/>
                <w:szCs w:val="18"/>
              </w:rPr>
              <w:t>Con respecto al polvo y otros desechos que contienen mercurio, el umbral previsto es de 15 mg/kg. Con respecto a la recuperación del mercurio de los desechos antes de su eliminación, el umbral previsto es un contenido de mercurio de 1.000 mg/kg como mínimo.</w:t>
            </w:r>
          </w:p>
          <w:p w:rsidR="00B1730F" w:rsidRPr="00220F80" w:rsidRDefault="00673E24"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rPr>
            </w:pPr>
            <w:r w:rsidRPr="00220F80">
              <w:rPr>
                <w:sz w:val="18"/>
                <w:szCs w:val="18"/>
              </w:rPr>
              <w:t>La categorización como “desechos industriales de productos con mercurio añadido” se hará según el tipo de producto y no según el contenido de mercurio. El mismo enfoque se aplicará a la obligación de recuperar el mercurio antes de la eliminación de esos desechos.</w:t>
            </w:r>
          </w:p>
          <w:p w:rsidR="00B1730F" w:rsidRPr="00220F80" w:rsidRDefault="00B1730F"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rPr>
            </w:pPr>
            <w:r w:rsidRPr="00220F80">
              <w:rPr>
                <w:sz w:val="18"/>
                <w:szCs w:val="18"/>
              </w:rPr>
              <w:t>Se ha</w:t>
            </w:r>
            <w:r w:rsidR="00530FD0" w:rsidRPr="00220F80">
              <w:rPr>
                <w:sz w:val="18"/>
                <w:szCs w:val="18"/>
              </w:rPr>
              <w:t>n</w:t>
            </w:r>
            <w:r w:rsidRPr="00220F80">
              <w:rPr>
                <w:sz w:val="18"/>
                <w:szCs w:val="18"/>
              </w:rPr>
              <w:t xml:space="preserve"> recabado las opiniones del público sobre los umbrales y el enfoque mencionados anteriormente. </w:t>
            </w:r>
          </w:p>
        </w:tc>
        <w:tc>
          <w:tcPr>
            <w:tcW w:w="4196" w:type="dxa"/>
            <w:shd w:val="clear" w:color="auto" w:fill="auto"/>
          </w:tcPr>
          <w:p w:rsidR="00673E24" w:rsidRPr="00220F80" w:rsidRDefault="004D0D75" w:rsidP="005D04E8">
            <w:pPr>
              <w:keepNext/>
              <w:keepLines/>
              <w:tabs>
                <w:tab w:val="clear" w:pos="1247"/>
                <w:tab w:val="clear" w:pos="1814"/>
                <w:tab w:val="clear" w:pos="2381"/>
                <w:tab w:val="clear" w:pos="2948"/>
                <w:tab w:val="clear" w:pos="3515"/>
              </w:tabs>
              <w:autoSpaceDE w:val="0"/>
              <w:autoSpaceDN w:val="0"/>
              <w:adjustRightInd w:val="0"/>
              <w:spacing w:before="80" w:after="80"/>
              <w:rPr>
                <w:sz w:val="18"/>
                <w:szCs w:val="18"/>
              </w:rPr>
            </w:pPr>
            <w:r w:rsidRPr="00220F80">
              <w:rPr>
                <w:sz w:val="18"/>
                <w:szCs w:val="18"/>
              </w:rPr>
              <w:t>Los “desechos industrial</w:t>
            </w:r>
            <w:r w:rsidR="00160AF0">
              <w:rPr>
                <w:sz w:val="18"/>
                <w:szCs w:val="18"/>
              </w:rPr>
              <w:t>es sujetos a control especial”, </w:t>
            </w:r>
            <w:r w:rsidRPr="00220F80">
              <w:rPr>
                <w:sz w:val="18"/>
                <w:szCs w:val="18"/>
              </w:rPr>
              <w:t>que se refier</w:t>
            </w:r>
            <w:r w:rsidR="00160AF0">
              <w:rPr>
                <w:sz w:val="18"/>
                <w:szCs w:val="18"/>
              </w:rPr>
              <w:t>en a los desechos generados por </w:t>
            </w:r>
            <w:r w:rsidRPr="00220F80">
              <w:rPr>
                <w:sz w:val="18"/>
                <w:szCs w:val="18"/>
              </w:rPr>
              <w:t>instalaciones específ</w:t>
            </w:r>
            <w:r w:rsidR="00160AF0">
              <w:rPr>
                <w:sz w:val="18"/>
                <w:szCs w:val="18"/>
              </w:rPr>
              <w:t>icas que superan los 0,005 mg </w:t>
            </w:r>
            <w:r w:rsidRPr="00220F80">
              <w:rPr>
                <w:sz w:val="18"/>
                <w:szCs w:val="18"/>
              </w:rPr>
              <w:t xml:space="preserve">Hg/l en un ensayo oficial de lixiviación del Japón, junto con "el polvo y otros desechos que contienen mercurio", corresponderían a “sustancias u objetos contaminados con mercurio o compuestos de mercurio” según el artículo 11 del Convenio de Minamata, mientras que los “desechos industriales de productos con mercurio añadido” se clasificarán como “sustancias u objetos que contienen mercurio o compuestos de mercurio” según el artículo 11. </w:t>
            </w:r>
          </w:p>
          <w:p w:rsidR="00C23CBC" w:rsidRPr="00220F80" w:rsidRDefault="00A63B6A" w:rsidP="003A0B88">
            <w:pPr>
              <w:keepNext/>
              <w:keepLines/>
              <w:tabs>
                <w:tab w:val="clear" w:pos="1247"/>
                <w:tab w:val="clear" w:pos="1814"/>
                <w:tab w:val="clear" w:pos="2381"/>
                <w:tab w:val="clear" w:pos="2948"/>
                <w:tab w:val="clear" w:pos="3515"/>
              </w:tabs>
              <w:autoSpaceDE w:val="0"/>
              <w:autoSpaceDN w:val="0"/>
              <w:adjustRightInd w:val="0"/>
              <w:spacing w:before="80" w:after="80"/>
              <w:rPr>
                <w:sz w:val="18"/>
                <w:szCs w:val="18"/>
              </w:rPr>
            </w:pPr>
            <w:r w:rsidRPr="00220F80">
              <w:rPr>
                <w:sz w:val="18"/>
                <w:szCs w:val="18"/>
              </w:rPr>
              <w:t xml:space="preserve">Se prohíbe la mezcla de “desechos industriales de productos con mercurio añadido” con otros tipos de desechos y su eliminación en vertederos dedicados a desechos inertes. Se debe recuperar el mercurio de los desechos industriales de productos con mercurio añadido, como esfigmomanómetros que contienen mercurio elemental, antes de su eliminación. </w:t>
            </w:r>
          </w:p>
        </w:tc>
      </w:tr>
      <w:tr w:rsidR="004233E2" w:rsidRPr="00220F80" w:rsidTr="00220F80">
        <w:tc>
          <w:tcPr>
            <w:tcW w:w="2126" w:type="dxa"/>
            <w:shd w:val="clear" w:color="auto" w:fill="auto"/>
          </w:tcPr>
          <w:p w:rsidR="004233E2" w:rsidRPr="00220F80" w:rsidRDefault="004233E2" w:rsidP="00892ADF">
            <w:pPr>
              <w:tabs>
                <w:tab w:val="left" w:pos="4082"/>
              </w:tabs>
              <w:spacing w:before="80" w:after="80"/>
              <w:rPr>
                <w:sz w:val="18"/>
                <w:szCs w:val="18"/>
              </w:rPr>
            </w:pPr>
            <w:r w:rsidRPr="00220F80">
              <w:rPr>
                <w:sz w:val="18"/>
                <w:szCs w:val="18"/>
              </w:rPr>
              <w:t>Madagascar</w:t>
            </w:r>
          </w:p>
        </w:tc>
        <w:tc>
          <w:tcPr>
            <w:tcW w:w="3969" w:type="dxa"/>
            <w:shd w:val="clear" w:color="auto" w:fill="auto"/>
          </w:tcPr>
          <w:p w:rsidR="004233E2" w:rsidRPr="00220F80" w:rsidRDefault="001E2AC2" w:rsidP="00892ADF">
            <w:pPr>
              <w:tabs>
                <w:tab w:val="left" w:pos="4082"/>
              </w:tabs>
              <w:spacing w:before="80" w:after="80"/>
              <w:rPr>
                <w:sz w:val="18"/>
                <w:szCs w:val="18"/>
              </w:rPr>
            </w:pPr>
            <w:r w:rsidRPr="00220F80">
              <w:rPr>
                <w:sz w:val="18"/>
                <w:szCs w:val="18"/>
              </w:rPr>
              <w:t>No se ha establecido ningún umbral para definir los desechos sólidos que contienen mercurio.</w:t>
            </w:r>
          </w:p>
          <w:p w:rsidR="00677EBB" w:rsidRPr="00220F80" w:rsidRDefault="00677EBB" w:rsidP="00C069F2">
            <w:pPr>
              <w:tabs>
                <w:tab w:val="left" w:pos="4082"/>
              </w:tabs>
              <w:spacing w:before="80" w:after="80"/>
              <w:rPr>
                <w:sz w:val="18"/>
                <w:szCs w:val="18"/>
              </w:rPr>
            </w:pPr>
            <w:r w:rsidRPr="00220F80">
              <w:rPr>
                <w:sz w:val="18"/>
                <w:szCs w:val="18"/>
              </w:rPr>
              <w:t xml:space="preserve">El decreto 2003/464 del 15/04/2003 establece la norma nacional en relación con la clasificación de las aguas de superficie y la liberación de los efluentes líquidos en el medio ambiente. El decreto define los efluentes líquidos contaminantes y establece normas en relación con las aguas residuales de las infraestructuras hoteleras, desde la fabricación </w:t>
            </w:r>
            <w:r w:rsidR="00C069F2" w:rsidRPr="00220F80">
              <w:rPr>
                <w:sz w:val="18"/>
                <w:szCs w:val="18"/>
              </w:rPr>
              <w:t>a</w:t>
            </w:r>
            <w:r w:rsidRPr="00220F80">
              <w:rPr>
                <w:sz w:val="18"/>
                <w:szCs w:val="18"/>
              </w:rPr>
              <w:t xml:space="preserve"> las actividades de transformación, así como sobre las aguas</w:t>
            </w:r>
            <w:r w:rsidR="00667129">
              <w:rPr>
                <w:sz w:val="18"/>
                <w:szCs w:val="18"/>
              </w:rPr>
              <w:t xml:space="preserve"> </w:t>
            </w:r>
            <w:r w:rsidRPr="00220F80">
              <w:rPr>
                <w:sz w:val="18"/>
                <w:szCs w:val="18"/>
              </w:rPr>
              <w:t>de drenaje procedentes de actividades relacionadas con el petróleo (gasolineras, sistemas de lavado de vehículos, garajes, instalaciones de almacenamiento).</w:t>
            </w:r>
          </w:p>
        </w:tc>
        <w:tc>
          <w:tcPr>
            <w:tcW w:w="4536" w:type="dxa"/>
          </w:tcPr>
          <w:p w:rsidR="00B43B22" w:rsidRPr="00220F80" w:rsidRDefault="00B43B22" w:rsidP="00EC0F68">
            <w:pPr>
              <w:pStyle w:val="ListParagraph"/>
              <w:numPr>
                <w:ilvl w:val="0"/>
                <w:numId w:val="23"/>
              </w:numPr>
              <w:tabs>
                <w:tab w:val="clear" w:pos="1247"/>
                <w:tab w:val="clear" w:pos="1814"/>
                <w:tab w:val="clear" w:pos="2381"/>
                <w:tab w:val="clear" w:pos="2948"/>
                <w:tab w:val="clear" w:pos="3515"/>
              </w:tabs>
              <w:spacing w:before="80" w:after="80"/>
              <w:ind w:left="284" w:hanging="284"/>
              <w:rPr>
                <w:sz w:val="18"/>
                <w:szCs w:val="18"/>
              </w:rPr>
            </w:pPr>
            <w:r w:rsidRPr="00220F80">
              <w:rPr>
                <w:sz w:val="18"/>
                <w:szCs w:val="18"/>
              </w:rPr>
              <w:t>Con respecto a la descarga de mercurio en efluentes líquidos, el umbral es de 0,005 mg/l.</w:t>
            </w:r>
          </w:p>
          <w:p w:rsidR="00B43B22" w:rsidRPr="00220F80" w:rsidRDefault="00677EBB" w:rsidP="008F1EC5">
            <w:pPr>
              <w:pStyle w:val="ListParagraph"/>
              <w:numPr>
                <w:ilvl w:val="0"/>
                <w:numId w:val="23"/>
              </w:numPr>
              <w:tabs>
                <w:tab w:val="clear" w:pos="1247"/>
                <w:tab w:val="clear" w:pos="1814"/>
                <w:tab w:val="clear" w:pos="2381"/>
                <w:tab w:val="clear" w:pos="2948"/>
                <w:tab w:val="clear" w:pos="3515"/>
              </w:tabs>
              <w:spacing w:before="80" w:after="80"/>
              <w:ind w:left="284" w:hanging="284"/>
              <w:rPr>
                <w:sz w:val="18"/>
                <w:szCs w:val="18"/>
              </w:rPr>
            </w:pPr>
            <w:r w:rsidRPr="00220F80">
              <w:rPr>
                <w:sz w:val="18"/>
                <w:szCs w:val="18"/>
              </w:rPr>
              <w:t>Con respecto al esparcimiento de lodos procedentes del tratamiento de aguas residuales, la concentración máxima en el lodo es de 20 mg/kg de materia seca, con un máximo de admisión de</w:t>
            </w:r>
            <w:r w:rsidR="008F1EC5" w:rsidRPr="00220F80">
              <w:rPr>
                <w:sz w:val="18"/>
                <w:szCs w:val="18"/>
              </w:rPr>
              <w:t xml:space="preserve"> </w:t>
            </w:r>
            <w:r w:rsidRPr="00220F80">
              <w:rPr>
                <w:sz w:val="18"/>
                <w:szCs w:val="18"/>
              </w:rPr>
              <w:t>1 kg/ha/10 años.</w:t>
            </w:r>
          </w:p>
        </w:tc>
        <w:tc>
          <w:tcPr>
            <w:tcW w:w="4196" w:type="dxa"/>
            <w:shd w:val="clear" w:color="auto" w:fill="auto"/>
          </w:tcPr>
          <w:p w:rsidR="004233E2" w:rsidRPr="00220F80" w:rsidRDefault="00404B2E" w:rsidP="00892ADF">
            <w:pPr>
              <w:tabs>
                <w:tab w:val="left" w:pos="4082"/>
              </w:tabs>
              <w:spacing w:before="80" w:after="80"/>
              <w:rPr>
                <w:sz w:val="18"/>
                <w:szCs w:val="18"/>
              </w:rPr>
            </w:pPr>
            <w:r w:rsidRPr="00220F80">
              <w:rPr>
                <w:sz w:val="18"/>
                <w:szCs w:val="18"/>
              </w:rPr>
              <w:t xml:space="preserve">La gestión de los desechos es todavía limitada en Madagascar, y en general no se lleva a cabo una clasificación de los desechos. Los desechos que contienen mercurio (baterías, lámparas, conmutadores eléctricos, etc.) están mezclados con otros desechos domésticos. Por lo tanto, las medidas para garantizar la gestión ambientalmente racional de los desechos que contienen mercurio, en particular en la tramitación, la clasificación, la recopilación, el embalaje, el etiquetado, el transporte y el almacenamiento, no se cumplen. </w:t>
            </w:r>
          </w:p>
          <w:p w:rsidR="00677EBB" w:rsidRPr="00220F80" w:rsidRDefault="00677EBB" w:rsidP="00DD04A8">
            <w:pPr>
              <w:tabs>
                <w:tab w:val="left" w:pos="4082"/>
              </w:tabs>
              <w:spacing w:before="80" w:after="80"/>
              <w:rPr>
                <w:sz w:val="18"/>
                <w:szCs w:val="18"/>
              </w:rPr>
            </w:pPr>
            <w:r w:rsidRPr="00220F80">
              <w:rPr>
                <w:sz w:val="18"/>
                <w:szCs w:val="18"/>
              </w:rPr>
              <w:t xml:space="preserve">A pesar de </w:t>
            </w:r>
            <w:r w:rsidR="00C4275D">
              <w:rPr>
                <w:sz w:val="18"/>
                <w:szCs w:val="18"/>
              </w:rPr>
              <w:t xml:space="preserve">que </w:t>
            </w:r>
            <w:r w:rsidRPr="00220F80">
              <w:rPr>
                <w:sz w:val="18"/>
                <w:szCs w:val="18"/>
              </w:rPr>
              <w:t xml:space="preserve">existen normas para el tratamiento de las aguas </w:t>
            </w:r>
            <w:r w:rsidR="00DD04A8" w:rsidRPr="00220F80">
              <w:rPr>
                <w:sz w:val="18"/>
                <w:szCs w:val="18"/>
              </w:rPr>
              <w:t>residuales</w:t>
            </w:r>
            <w:r w:rsidRPr="00220F80">
              <w:rPr>
                <w:sz w:val="18"/>
                <w:szCs w:val="18"/>
              </w:rPr>
              <w:t xml:space="preserve">, Madagascar no </w:t>
            </w:r>
            <w:r w:rsidR="00DD04A8" w:rsidRPr="00220F80">
              <w:rPr>
                <w:sz w:val="18"/>
                <w:szCs w:val="18"/>
              </w:rPr>
              <w:t xml:space="preserve">cuenta con el </w:t>
            </w:r>
            <w:r w:rsidRPr="00220F80">
              <w:rPr>
                <w:sz w:val="18"/>
                <w:szCs w:val="18"/>
              </w:rPr>
              <w:t xml:space="preserve">equipo </w:t>
            </w:r>
            <w:r w:rsidR="00DD04A8" w:rsidRPr="00220F80">
              <w:rPr>
                <w:sz w:val="18"/>
                <w:szCs w:val="18"/>
              </w:rPr>
              <w:t xml:space="preserve">adecuado </w:t>
            </w:r>
            <w:r w:rsidRPr="00220F80">
              <w:rPr>
                <w:sz w:val="18"/>
                <w:szCs w:val="18"/>
              </w:rPr>
              <w:t>para la medición del mercurio.</w:t>
            </w:r>
          </w:p>
        </w:tc>
      </w:tr>
      <w:tr w:rsidR="001E1EB3" w:rsidRPr="00220F80" w:rsidTr="00220F80">
        <w:tc>
          <w:tcPr>
            <w:tcW w:w="2126" w:type="dxa"/>
            <w:shd w:val="clear" w:color="auto" w:fill="auto"/>
          </w:tcPr>
          <w:p w:rsidR="001E1EB3" w:rsidRPr="00220F80" w:rsidRDefault="001E1EB3" w:rsidP="00892ADF">
            <w:pPr>
              <w:tabs>
                <w:tab w:val="left" w:pos="4082"/>
              </w:tabs>
              <w:spacing w:before="80" w:after="80"/>
              <w:rPr>
                <w:sz w:val="18"/>
                <w:szCs w:val="18"/>
              </w:rPr>
            </w:pPr>
            <w:r w:rsidRPr="00220F80">
              <w:rPr>
                <w:sz w:val="18"/>
                <w:szCs w:val="18"/>
              </w:rPr>
              <w:t>República de Corea</w:t>
            </w:r>
          </w:p>
        </w:tc>
        <w:tc>
          <w:tcPr>
            <w:tcW w:w="3969" w:type="dxa"/>
            <w:shd w:val="clear" w:color="auto" w:fill="auto"/>
          </w:tcPr>
          <w:p w:rsidR="001E1EB3" w:rsidRPr="00220F80" w:rsidRDefault="003C2546" w:rsidP="00892ADF">
            <w:pPr>
              <w:tabs>
                <w:tab w:val="left" w:pos="4082"/>
              </w:tabs>
              <w:spacing w:before="80" w:after="80"/>
              <w:rPr>
                <w:sz w:val="18"/>
                <w:szCs w:val="18"/>
              </w:rPr>
            </w:pPr>
            <w:r w:rsidRPr="00220F80">
              <w:rPr>
                <w:sz w:val="18"/>
                <w:szCs w:val="18"/>
              </w:rPr>
              <w:t xml:space="preserve">Se </w:t>
            </w:r>
            <w:r w:rsidR="00C069F2" w:rsidRPr="00220F80">
              <w:rPr>
                <w:sz w:val="18"/>
                <w:szCs w:val="18"/>
              </w:rPr>
              <w:t>establece</w:t>
            </w:r>
            <w:r w:rsidRPr="00220F80">
              <w:rPr>
                <w:sz w:val="18"/>
                <w:szCs w:val="18"/>
              </w:rPr>
              <w:t xml:space="preserve"> un umbral de mercurio </w:t>
            </w:r>
            <w:r w:rsidR="00C069F2" w:rsidRPr="00220F80">
              <w:rPr>
                <w:sz w:val="18"/>
                <w:szCs w:val="18"/>
              </w:rPr>
              <w:t xml:space="preserve">para </w:t>
            </w:r>
            <w:r w:rsidRPr="00220F80">
              <w:rPr>
                <w:sz w:val="18"/>
                <w:szCs w:val="18"/>
              </w:rPr>
              <w:t>clasifica</w:t>
            </w:r>
            <w:r w:rsidR="00C069F2" w:rsidRPr="00220F80">
              <w:rPr>
                <w:sz w:val="18"/>
                <w:szCs w:val="18"/>
              </w:rPr>
              <w:t>r</w:t>
            </w:r>
            <w:r w:rsidRPr="00220F80">
              <w:rPr>
                <w:sz w:val="18"/>
                <w:szCs w:val="18"/>
              </w:rPr>
              <w:t xml:space="preserve"> los desechos como desechos peligrosos. </w:t>
            </w:r>
          </w:p>
          <w:p w:rsidR="003C2546" w:rsidRPr="00220F80" w:rsidRDefault="007E793D" w:rsidP="00892ADF">
            <w:pPr>
              <w:tabs>
                <w:tab w:val="left" w:pos="4082"/>
              </w:tabs>
              <w:spacing w:before="80" w:after="80"/>
              <w:rPr>
                <w:sz w:val="18"/>
                <w:szCs w:val="18"/>
              </w:rPr>
            </w:pPr>
            <w:r w:rsidRPr="00220F80">
              <w:rPr>
                <w:sz w:val="18"/>
                <w:szCs w:val="18"/>
              </w:rPr>
              <w:t>Los productos con mercurio añadido que se eliminen se reciclan una vez recuperado el mercurio que contienen, y los residuos se eliminan en vertederos de desechos comunes, siempre que el contenido de mercurio está por debajo del umbral.</w:t>
            </w:r>
          </w:p>
        </w:tc>
        <w:tc>
          <w:tcPr>
            <w:tcW w:w="4536" w:type="dxa"/>
          </w:tcPr>
          <w:p w:rsidR="001E1EB3" w:rsidRPr="00220F80" w:rsidRDefault="001E1EB3" w:rsidP="00DD04A8">
            <w:pPr>
              <w:tabs>
                <w:tab w:val="left" w:pos="4082"/>
              </w:tabs>
              <w:spacing w:before="80" w:after="80"/>
              <w:rPr>
                <w:sz w:val="18"/>
                <w:szCs w:val="18"/>
              </w:rPr>
            </w:pPr>
            <w:r w:rsidRPr="00220F80">
              <w:rPr>
                <w:sz w:val="18"/>
                <w:szCs w:val="18"/>
              </w:rPr>
              <w:t xml:space="preserve">Los desechos que contienen más de 0,005 mg/l de mercurio total </w:t>
            </w:r>
            <w:r w:rsidR="00DD04A8" w:rsidRPr="00220F80">
              <w:rPr>
                <w:sz w:val="18"/>
                <w:szCs w:val="18"/>
              </w:rPr>
              <w:t>en</w:t>
            </w:r>
            <w:r w:rsidRPr="00220F80">
              <w:rPr>
                <w:sz w:val="18"/>
                <w:szCs w:val="18"/>
              </w:rPr>
              <w:t xml:space="preserve"> ensayos de lixiviación se clasifican como desechos peligrosos y se eliminan en vertederos dedicados a ese tipo de desechos. </w:t>
            </w:r>
          </w:p>
        </w:tc>
        <w:tc>
          <w:tcPr>
            <w:tcW w:w="4196" w:type="dxa"/>
            <w:shd w:val="clear" w:color="auto" w:fill="auto"/>
          </w:tcPr>
          <w:p w:rsidR="002B1C41" w:rsidRPr="00220F80" w:rsidRDefault="001E1EB3" w:rsidP="00892ADF">
            <w:pPr>
              <w:tabs>
                <w:tab w:val="left" w:pos="4082"/>
              </w:tabs>
              <w:spacing w:before="80" w:after="80"/>
              <w:rPr>
                <w:sz w:val="18"/>
                <w:szCs w:val="18"/>
              </w:rPr>
            </w:pPr>
            <w:r w:rsidRPr="00220F80">
              <w:rPr>
                <w:sz w:val="18"/>
                <w:szCs w:val="18"/>
              </w:rPr>
              <w:t>La Ley de Control de Desechos es la legislación coreana que rige la gestión de los desechos.</w:t>
            </w:r>
          </w:p>
        </w:tc>
      </w:tr>
      <w:tr w:rsidR="000F3A83" w:rsidRPr="00220F80" w:rsidTr="00220F80">
        <w:tc>
          <w:tcPr>
            <w:tcW w:w="2126" w:type="dxa"/>
            <w:shd w:val="clear" w:color="auto" w:fill="auto"/>
          </w:tcPr>
          <w:p w:rsidR="0015219A" w:rsidRPr="00220F80" w:rsidRDefault="0015219A" w:rsidP="00667129">
            <w:pPr>
              <w:keepNext/>
              <w:keepLines/>
              <w:tabs>
                <w:tab w:val="left" w:pos="4082"/>
              </w:tabs>
              <w:spacing w:before="80" w:after="80"/>
              <w:rPr>
                <w:sz w:val="18"/>
                <w:szCs w:val="18"/>
              </w:rPr>
            </w:pPr>
            <w:r w:rsidRPr="00220F80">
              <w:rPr>
                <w:sz w:val="18"/>
                <w:szCs w:val="18"/>
              </w:rPr>
              <w:t xml:space="preserve">Suiza </w:t>
            </w:r>
            <w:r w:rsidR="00667129">
              <w:rPr>
                <w:sz w:val="18"/>
                <w:szCs w:val="18"/>
              </w:rPr>
              <w:t>-</w:t>
            </w:r>
            <w:r w:rsidRPr="00220F80">
              <w:rPr>
                <w:i/>
                <w:sz w:val="18"/>
                <w:szCs w:val="18"/>
              </w:rPr>
              <w:t xml:space="preserve"> la información presentada complementa la información proporcionada en el proceso de seguimiento de lo estipulado en el sexto período de sesiones del Comité</w:t>
            </w:r>
            <w:r w:rsidR="00667129">
              <w:rPr>
                <w:i/>
                <w:sz w:val="18"/>
                <w:szCs w:val="18"/>
              </w:rPr>
              <w:t xml:space="preserve"> </w:t>
            </w:r>
            <w:r w:rsidRPr="00220F80">
              <w:rPr>
                <w:i/>
                <w:sz w:val="18"/>
                <w:szCs w:val="18"/>
              </w:rPr>
              <w:t xml:space="preserve">y recopilada en el documento </w:t>
            </w:r>
            <w:r w:rsidRPr="00667129">
              <w:rPr>
                <w:i/>
                <w:spacing w:val="-4"/>
                <w:sz w:val="18"/>
                <w:szCs w:val="18"/>
              </w:rPr>
              <w:t>UNEP(DTIE)/Hg/INC.7/19</w:t>
            </w:r>
          </w:p>
        </w:tc>
        <w:tc>
          <w:tcPr>
            <w:tcW w:w="3969" w:type="dxa"/>
            <w:shd w:val="clear" w:color="auto" w:fill="auto"/>
          </w:tcPr>
          <w:p w:rsidR="00B9321D" w:rsidRPr="00220F80" w:rsidRDefault="007E793D" w:rsidP="005D04E8">
            <w:pPr>
              <w:keepNext/>
              <w:keepLines/>
              <w:tabs>
                <w:tab w:val="left" w:pos="4082"/>
              </w:tabs>
              <w:spacing w:before="80" w:after="80"/>
              <w:rPr>
                <w:sz w:val="18"/>
                <w:szCs w:val="18"/>
              </w:rPr>
            </w:pPr>
            <w:r w:rsidRPr="00220F80">
              <w:rPr>
                <w:sz w:val="18"/>
                <w:szCs w:val="18"/>
              </w:rPr>
              <w:t>Aún no se han especificado los umbrales de desechos de mercurio en las nuevas ordenanzas elaboradas para contribuir a la aplicación del Convenio de Minamata.</w:t>
            </w:r>
          </w:p>
          <w:p w:rsidR="0015219A" w:rsidRPr="00220F80" w:rsidRDefault="004A667A" w:rsidP="004A667A">
            <w:pPr>
              <w:keepNext/>
              <w:keepLines/>
              <w:tabs>
                <w:tab w:val="left" w:pos="4082"/>
              </w:tabs>
              <w:spacing w:before="80" w:after="80"/>
              <w:rPr>
                <w:sz w:val="18"/>
                <w:szCs w:val="18"/>
              </w:rPr>
            </w:pPr>
            <w:r w:rsidRPr="00220F80">
              <w:rPr>
                <w:sz w:val="18"/>
                <w:szCs w:val="18"/>
              </w:rPr>
              <w:t>Sin embargo, la Ordenanza sobre los desechos</w:t>
            </w:r>
            <w:r w:rsidR="007E793D" w:rsidRPr="00220F80">
              <w:rPr>
                <w:rStyle w:val="FootnoteReference"/>
                <w:sz w:val="18"/>
              </w:rPr>
              <w:footnoteReference w:id="5"/>
            </w:r>
            <w:r w:rsidRPr="00220F80">
              <w:rPr>
                <w:sz w:val="18"/>
                <w:szCs w:val="18"/>
              </w:rPr>
              <w:t xml:space="preserve"> establece los umbrales en relación con el contenido de mercurio en los materiales reciclados, las materias primas utilizadas en la producción de cemento y hormigón, y con los vertederos.</w:t>
            </w:r>
          </w:p>
        </w:tc>
        <w:tc>
          <w:tcPr>
            <w:tcW w:w="4536" w:type="dxa"/>
          </w:tcPr>
          <w:p w:rsidR="0015219A" w:rsidRPr="00220F80" w:rsidRDefault="007E793D" w:rsidP="00667129">
            <w:pPr>
              <w:keepNext/>
              <w:keepLines/>
              <w:tabs>
                <w:tab w:val="clear" w:pos="1814"/>
                <w:tab w:val="clear" w:pos="2381"/>
                <w:tab w:val="clear" w:pos="2948"/>
                <w:tab w:val="clear" w:pos="3515"/>
                <w:tab w:val="left" w:pos="175"/>
                <w:tab w:val="left" w:pos="1871"/>
              </w:tabs>
              <w:spacing w:before="80" w:after="40"/>
              <w:rPr>
                <w:sz w:val="18"/>
                <w:szCs w:val="18"/>
              </w:rPr>
            </w:pPr>
            <w:r w:rsidRPr="00220F80">
              <w:rPr>
                <w:sz w:val="18"/>
                <w:szCs w:val="18"/>
              </w:rPr>
              <w:t>La Ordenanza sobre los desechos establece los siguientes umbrales en relación con el mercurio:</w:t>
            </w:r>
          </w:p>
          <w:p w:rsidR="00B9321D" w:rsidRPr="00220F80" w:rsidRDefault="00B9321D" w:rsidP="00667129">
            <w:pPr>
              <w:keepNext/>
              <w:keepLines/>
              <w:numPr>
                <w:ilvl w:val="0"/>
                <w:numId w:val="16"/>
              </w:numPr>
              <w:tabs>
                <w:tab w:val="left" w:pos="374"/>
                <w:tab w:val="left" w:pos="4082"/>
              </w:tabs>
              <w:spacing w:before="40" w:after="40"/>
              <w:ind w:left="374" w:hanging="374"/>
              <w:rPr>
                <w:sz w:val="18"/>
                <w:szCs w:val="18"/>
              </w:rPr>
            </w:pPr>
            <w:r w:rsidRPr="00220F80">
              <w:rPr>
                <w:sz w:val="18"/>
                <w:szCs w:val="18"/>
              </w:rPr>
              <w:t>0,5 mg/kg de materia seca en el caso de materiales de demolición y excavación (no contaminado)</w:t>
            </w:r>
          </w:p>
          <w:p w:rsidR="00B9321D" w:rsidRPr="00220F80" w:rsidRDefault="00B9321D" w:rsidP="00667129">
            <w:pPr>
              <w:keepNext/>
              <w:keepLines/>
              <w:numPr>
                <w:ilvl w:val="0"/>
                <w:numId w:val="16"/>
              </w:numPr>
              <w:tabs>
                <w:tab w:val="left" w:pos="374"/>
                <w:tab w:val="left" w:pos="4082"/>
              </w:tabs>
              <w:spacing w:before="40" w:after="40"/>
              <w:ind w:left="374" w:hanging="374"/>
              <w:rPr>
                <w:sz w:val="18"/>
                <w:szCs w:val="18"/>
              </w:rPr>
            </w:pPr>
            <w:r w:rsidRPr="00220F80">
              <w:rPr>
                <w:sz w:val="18"/>
                <w:szCs w:val="18"/>
              </w:rPr>
              <w:t>1 mg/kg de materia seca en el caso de materiales de demolición y excavación (sujeto a uso ulterior en materiales de construcción)</w:t>
            </w:r>
          </w:p>
          <w:p w:rsidR="00B9321D" w:rsidRPr="00667129" w:rsidRDefault="00B9321D" w:rsidP="00667129">
            <w:pPr>
              <w:keepNext/>
              <w:keepLines/>
              <w:numPr>
                <w:ilvl w:val="0"/>
                <w:numId w:val="16"/>
              </w:numPr>
              <w:tabs>
                <w:tab w:val="left" w:pos="374"/>
                <w:tab w:val="left" w:pos="4082"/>
              </w:tabs>
              <w:spacing w:before="40" w:after="40"/>
              <w:ind w:left="374" w:hanging="374"/>
              <w:rPr>
                <w:spacing w:val="-2"/>
                <w:sz w:val="18"/>
                <w:szCs w:val="18"/>
              </w:rPr>
            </w:pPr>
            <w:r w:rsidRPr="00667129">
              <w:rPr>
                <w:spacing w:val="-2"/>
                <w:sz w:val="18"/>
                <w:szCs w:val="18"/>
              </w:rPr>
              <w:t>1 mg/kg de materia seca en el caso de desechos usados como materia prima en la producción de cemento y hormigón (uso de desechos como materia prima, mezcla de materias primas correctivas y combustible alternativo en fábricas de clínker de cemento)</w:t>
            </w:r>
          </w:p>
          <w:p w:rsidR="00B9321D" w:rsidRPr="00220F80" w:rsidRDefault="00B9321D" w:rsidP="00667129">
            <w:pPr>
              <w:keepNext/>
              <w:keepLines/>
              <w:numPr>
                <w:ilvl w:val="0"/>
                <w:numId w:val="16"/>
              </w:numPr>
              <w:tabs>
                <w:tab w:val="left" w:pos="374"/>
                <w:tab w:val="left" w:pos="4082"/>
              </w:tabs>
              <w:spacing w:before="40" w:after="40"/>
              <w:ind w:left="374" w:hanging="374"/>
              <w:rPr>
                <w:sz w:val="18"/>
                <w:szCs w:val="18"/>
              </w:rPr>
            </w:pPr>
            <w:r w:rsidRPr="00220F80">
              <w:rPr>
                <w:sz w:val="18"/>
                <w:szCs w:val="18"/>
              </w:rPr>
              <w:t xml:space="preserve">2 mg/kg de materia seca en el caso de desechos vertidos en un vertedero de tipo B (desechos inertes) </w:t>
            </w:r>
          </w:p>
          <w:p w:rsidR="00B9321D" w:rsidRPr="00667129" w:rsidRDefault="00B9321D" w:rsidP="00667129">
            <w:pPr>
              <w:keepNext/>
              <w:keepLines/>
              <w:numPr>
                <w:ilvl w:val="0"/>
                <w:numId w:val="16"/>
              </w:numPr>
              <w:tabs>
                <w:tab w:val="left" w:pos="374"/>
                <w:tab w:val="left" w:pos="4082"/>
              </w:tabs>
              <w:spacing w:before="40" w:after="40"/>
              <w:ind w:left="374" w:hanging="374"/>
              <w:rPr>
                <w:spacing w:val="-2"/>
                <w:sz w:val="18"/>
                <w:szCs w:val="18"/>
              </w:rPr>
            </w:pPr>
            <w:r w:rsidRPr="00667129">
              <w:rPr>
                <w:spacing w:val="-2"/>
                <w:sz w:val="18"/>
                <w:szCs w:val="18"/>
              </w:rPr>
              <w:t xml:space="preserve">0,01 mg/l </w:t>
            </w:r>
            <w:r w:rsidR="00C4275D">
              <w:rPr>
                <w:spacing w:val="-2"/>
                <w:sz w:val="18"/>
                <w:szCs w:val="18"/>
              </w:rPr>
              <w:t xml:space="preserve">de </w:t>
            </w:r>
            <w:r w:rsidRPr="00667129">
              <w:rPr>
                <w:spacing w:val="-2"/>
                <w:sz w:val="18"/>
                <w:szCs w:val="18"/>
              </w:rPr>
              <w:t>materia seca (lixiviación) en el caso de desechos eliminados en un vertedero de tipo C (consolidó las cenizas flotantes solidificadas resultantes de la incineración de de</w:t>
            </w:r>
            <w:r w:rsidR="00C4275D">
              <w:rPr>
                <w:spacing w:val="-2"/>
                <w:sz w:val="18"/>
                <w:szCs w:val="18"/>
              </w:rPr>
              <w:t>sechos sólidos municipales). El </w:t>
            </w:r>
            <w:r w:rsidRPr="00667129">
              <w:rPr>
                <w:spacing w:val="-2"/>
                <w:sz w:val="18"/>
                <w:szCs w:val="18"/>
              </w:rPr>
              <w:t xml:space="preserve">contenido total de mercurio no podrá exceder </w:t>
            </w:r>
            <w:r w:rsidR="00C4275D">
              <w:rPr>
                <w:spacing w:val="-2"/>
                <w:sz w:val="18"/>
                <w:szCs w:val="18"/>
              </w:rPr>
              <w:t>de 5 </w:t>
            </w:r>
            <w:r w:rsidRPr="00667129">
              <w:rPr>
                <w:spacing w:val="-2"/>
                <w:sz w:val="18"/>
                <w:szCs w:val="18"/>
              </w:rPr>
              <w:t xml:space="preserve">mg/kg de materia seca en el caso de desechos que contengan metales, no sean orgánicos y poco solubles </w:t>
            </w:r>
          </w:p>
          <w:p w:rsidR="008711BF" w:rsidRPr="00667129" w:rsidRDefault="00B9321D" w:rsidP="00667129">
            <w:pPr>
              <w:keepNext/>
              <w:keepLines/>
              <w:numPr>
                <w:ilvl w:val="0"/>
                <w:numId w:val="16"/>
              </w:numPr>
              <w:tabs>
                <w:tab w:val="left" w:pos="374"/>
                <w:tab w:val="left" w:pos="4082"/>
              </w:tabs>
              <w:spacing w:before="40" w:after="40"/>
              <w:ind w:left="374" w:hanging="374"/>
              <w:rPr>
                <w:spacing w:val="-4"/>
                <w:sz w:val="18"/>
                <w:szCs w:val="18"/>
              </w:rPr>
            </w:pPr>
            <w:r w:rsidRPr="00C4275D">
              <w:rPr>
                <w:sz w:val="18"/>
                <w:szCs w:val="18"/>
              </w:rPr>
              <w:t>5 mg/kg de materia seca en el caso de desechos eliminados en verte</w:t>
            </w:r>
            <w:r w:rsidR="00667129" w:rsidRPr="00C4275D">
              <w:rPr>
                <w:sz w:val="18"/>
                <w:szCs w:val="18"/>
              </w:rPr>
              <w:t xml:space="preserve">deros de tipo D (escoria de la </w:t>
            </w:r>
            <w:r w:rsidRPr="00C4275D">
              <w:rPr>
                <w:sz w:val="18"/>
                <w:szCs w:val="18"/>
              </w:rPr>
              <w:t>incineración de desechos sólidos municipales) y en</w:t>
            </w:r>
            <w:r w:rsidRPr="00667129">
              <w:rPr>
                <w:spacing w:val="-4"/>
                <w:sz w:val="18"/>
                <w:szCs w:val="18"/>
              </w:rPr>
              <w:t xml:space="preserve"> vertederos tipo E (otros desechos, ligeramente</w:t>
            </w:r>
            <w:r w:rsidR="00667129">
              <w:rPr>
                <w:spacing w:val="-4"/>
                <w:sz w:val="18"/>
                <w:szCs w:val="18"/>
              </w:rPr>
              <w:t xml:space="preserve"> </w:t>
            </w:r>
            <w:r w:rsidRPr="00667129">
              <w:rPr>
                <w:spacing w:val="-4"/>
                <w:sz w:val="18"/>
                <w:szCs w:val="18"/>
              </w:rPr>
              <w:t xml:space="preserve">reactivos) </w:t>
            </w:r>
          </w:p>
        </w:tc>
        <w:tc>
          <w:tcPr>
            <w:tcW w:w="4196" w:type="dxa"/>
            <w:shd w:val="clear" w:color="auto" w:fill="auto"/>
          </w:tcPr>
          <w:p w:rsidR="0015219A" w:rsidRPr="00220F80" w:rsidRDefault="0015219A" w:rsidP="005D04E8">
            <w:pPr>
              <w:keepNext/>
              <w:keepLines/>
              <w:tabs>
                <w:tab w:val="left" w:pos="4082"/>
              </w:tabs>
              <w:spacing w:before="80" w:after="80"/>
              <w:rPr>
                <w:sz w:val="18"/>
                <w:szCs w:val="18"/>
              </w:rPr>
            </w:pPr>
          </w:p>
        </w:tc>
      </w:tr>
      <w:tr w:rsidR="000F3A83" w:rsidRPr="00220F80" w:rsidTr="00220F80">
        <w:tc>
          <w:tcPr>
            <w:tcW w:w="2126" w:type="dxa"/>
            <w:shd w:val="clear" w:color="auto" w:fill="auto"/>
          </w:tcPr>
          <w:p w:rsidR="0015219A" w:rsidRPr="00220F80" w:rsidRDefault="000F3A83" w:rsidP="00892ADF">
            <w:pPr>
              <w:tabs>
                <w:tab w:val="left" w:pos="4082"/>
              </w:tabs>
              <w:spacing w:before="80" w:after="80"/>
              <w:rPr>
                <w:sz w:val="18"/>
                <w:szCs w:val="18"/>
              </w:rPr>
            </w:pPr>
            <w:r w:rsidRPr="00220F80">
              <w:rPr>
                <w:sz w:val="18"/>
                <w:szCs w:val="18"/>
              </w:rPr>
              <w:t>Tailandia</w:t>
            </w:r>
          </w:p>
        </w:tc>
        <w:tc>
          <w:tcPr>
            <w:tcW w:w="3969" w:type="dxa"/>
            <w:shd w:val="clear" w:color="auto" w:fill="auto"/>
          </w:tcPr>
          <w:p w:rsidR="0015219A" w:rsidRPr="00220F80" w:rsidRDefault="002F3966" w:rsidP="00892ADF">
            <w:pPr>
              <w:tabs>
                <w:tab w:val="left" w:pos="4082"/>
              </w:tabs>
              <w:spacing w:before="80" w:after="80"/>
              <w:rPr>
                <w:sz w:val="18"/>
                <w:szCs w:val="18"/>
              </w:rPr>
            </w:pPr>
            <w:r w:rsidRPr="00220F80">
              <w:rPr>
                <w:sz w:val="18"/>
                <w:szCs w:val="18"/>
              </w:rPr>
              <w:t>Los umbrales de desechos de mercurio se utilizan para clasificar un desecho como peligroso.</w:t>
            </w:r>
          </w:p>
        </w:tc>
        <w:tc>
          <w:tcPr>
            <w:tcW w:w="4536" w:type="dxa"/>
          </w:tcPr>
          <w:p w:rsidR="00D25486" w:rsidRPr="00220F80" w:rsidRDefault="000F3A83" w:rsidP="00892ADF">
            <w:pPr>
              <w:tabs>
                <w:tab w:val="left" w:pos="4082"/>
              </w:tabs>
              <w:spacing w:before="80" w:after="80"/>
              <w:rPr>
                <w:sz w:val="18"/>
                <w:szCs w:val="18"/>
              </w:rPr>
            </w:pPr>
            <w:r w:rsidRPr="00220F80">
              <w:rPr>
                <w:sz w:val="18"/>
                <w:szCs w:val="18"/>
              </w:rPr>
              <w:t>El umbral límite de concentrac</w:t>
            </w:r>
            <w:r w:rsidR="00667129">
              <w:rPr>
                <w:sz w:val="18"/>
                <w:szCs w:val="18"/>
              </w:rPr>
              <w:t>ión total (TTLC) es de </w:t>
            </w:r>
            <w:r w:rsidR="00530FD0" w:rsidRPr="00220F80">
              <w:rPr>
                <w:sz w:val="18"/>
                <w:szCs w:val="18"/>
              </w:rPr>
              <w:t>20</w:t>
            </w:r>
            <w:r w:rsidR="00667129">
              <w:rPr>
                <w:sz w:val="18"/>
                <w:szCs w:val="18"/>
              </w:rPr>
              <w:t> </w:t>
            </w:r>
            <w:r w:rsidR="00530FD0" w:rsidRPr="00220F80">
              <w:rPr>
                <w:sz w:val="18"/>
                <w:szCs w:val="18"/>
              </w:rPr>
              <w:t>mg/kg.</w:t>
            </w:r>
          </w:p>
          <w:p w:rsidR="00D25486" w:rsidRPr="00220F80" w:rsidRDefault="00D25486" w:rsidP="00892ADF">
            <w:pPr>
              <w:tabs>
                <w:tab w:val="left" w:pos="4082"/>
              </w:tabs>
              <w:spacing w:before="80" w:after="80"/>
              <w:rPr>
                <w:sz w:val="18"/>
                <w:szCs w:val="18"/>
              </w:rPr>
            </w:pPr>
            <w:r w:rsidRPr="00220F80">
              <w:rPr>
                <w:sz w:val="18"/>
                <w:szCs w:val="18"/>
              </w:rPr>
              <w:t xml:space="preserve">El umbral límite de concentración soluble (STLC) es </w:t>
            </w:r>
            <w:r w:rsidR="00667129">
              <w:rPr>
                <w:sz w:val="18"/>
                <w:szCs w:val="18"/>
              </w:rPr>
              <w:t>de 0,2 </w:t>
            </w:r>
            <w:r w:rsidR="00530FD0" w:rsidRPr="00220F80">
              <w:rPr>
                <w:sz w:val="18"/>
                <w:szCs w:val="18"/>
              </w:rPr>
              <w:t>mg/l.</w:t>
            </w:r>
          </w:p>
          <w:p w:rsidR="0015219A" w:rsidRPr="00220F80" w:rsidRDefault="002F3966" w:rsidP="00683158">
            <w:pPr>
              <w:tabs>
                <w:tab w:val="left" w:pos="4082"/>
              </w:tabs>
              <w:spacing w:before="80" w:after="80"/>
              <w:rPr>
                <w:sz w:val="18"/>
                <w:szCs w:val="18"/>
              </w:rPr>
            </w:pPr>
            <w:r w:rsidRPr="00220F80">
              <w:rPr>
                <w:sz w:val="18"/>
                <w:szCs w:val="18"/>
              </w:rPr>
              <w:t>La prueba de extracción de desechos se aplica cuando el total de concentración de los desechos de mercurio no supera el TTLC, pero es igual o superior al STLC</w:t>
            </w:r>
            <w:r w:rsidR="00A32B1A">
              <w:rPr>
                <w:sz w:val="18"/>
                <w:szCs w:val="18"/>
              </w:rPr>
              <w:t>,</w:t>
            </w:r>
            <w:r w:rsidRPr="00220F80">
              <w:rPr>
                <w:sz w:val="18"/>
                <w:szCs w:val="18"/>
              </w:rPr>
              <w:t xml:space="preserve"> o si los desechos se eliminan en un vertedero que cuente con las condi</w:t>
            </w:r>
            <w:r w:rsidR="00530FD0" w:rsidRPr="00220F80">
              <w:rPr>
                <w:sz w:val="18"/>
                <w:szCs w:val="18"/>
              </w:rPr>
              <w:t>ciones de seguridad necesarias.</w:t>
            </w:r>
          </w:p>
        </w:tc>
        <w:tc>
          <w:tcPr>
            <w:tcW w:w="4196" w:type="dxa"/>
            <w:shd w:val="clear" w:color="auto" w:fill="auto"/>
          </w:tcPr>
          <w:p w:rsidR="0015219A" w:rsidRPr="00220F80" w:rsidRDefault="00D25486" w:rsidP="00683158">
            <w:pPr>
              <w:tabs>
                <w:tab w:val="left" w:pos="4082"/>
              </w:tabs>
              <w:spacing w:before="80" w:after="80"/>
              <w:rPr>
                <w:sz w:val="18"/>
                <w:szCs w:val="18"/>
              </w:rPr>
            </w:pPr>
            <w:r w:rsidRPr="00220F80">
              <w:rPr>
                <w:sz w:val="18"/>
                <w:szCs w:val="18"/>
              </w:rPr>
              <w:t xml:space="preserve">Los desechos industriales contaminados con mercurio o compuestos de mercurio que superen los niveles estándares o hayan sido clasificados como desechos peligrosos tienen que ser gestionados adecuadamente por una entidad certificada en eliminación o reciclaje de desechos. Los desechos que no pueden ser tratados en Tailandia, por ejemplo los desechos del petróleo, son exportados a otros países, de conformidad con las disposiciones del Convenio de Basilea sobre el Control de los Movimientos Transfronterizos de los Desechos Peligrosos y su Eliminación.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8"/>
        <w:gridCol w:w="2929"/>
        <w:gridCol w:w="2929"/>
        <w:gridCol w:w="2929"/>
        <w:gridCol w:w="2929"/>
      </w:tblGrid>
      <w:tr w:rsidR="00885EE4" w:rsidRPr="004D0D75" w:rsidTr="00885EE4">
        <w:tc>
          <w:tcPr>
            <w:tcW w:w="2928" w:type="dxa"/>
          </w:tcPr>
          <w:p w:rsidR="00885EE4" w:rsidRPr="004D0D75" w:rsidRDefault="00885EE4" w:rsidP="00667129">
            <w:pPr>
              <w:pStyle w:val="Normal-pool"/>
              <w:spacing w:before="120"/>
              <w:rPr>
                <w:lang w:val="es-ES_tradnl"/>
              </w:rPr>
            </w:pPr>
          </w:p>
        </w:tc>
        <w:tc>
          <w:tcPr>
            <w:tcW w:w="2929" w:type="dxa"/>
          </w:tcPr>
          <w:p w:rsidR="00885EE4" w:rsidRPr="004D0D75" w:rsidRDefault="00885EE4" w:rsidP="00667129">
            <w:pPr>
              <w:pStyle w:val="Normal-pool"/>
              <w:spacing w:before="120"/>
              <w:rPr>
                <w:lang w:val="es-ES_tradnl"/>
              </w:rPr>
            </w:pPr>
          </w:p>
        </w:tc>
        <w:tc>
          <w:tcPr>
            <w:tcW w:w="2929" w:type="dxa"/>
            <w:tcBorders>
              <w:bottom w:val="single" w:sz="4" w:space="0" w:color="auto"/>
            </w:tcBorders>
          </w:tcPr>
          <w:p w:rsidR="00885EE4" w:rsidRPr="004D0D75" w:rsidRDefault="00885EE4" w:rsidP="00667129">
            <w:pPr>
              <w:pStyle w:val="Normal-pool"/>
              <w:spacing w:before="120"/>
              <w:rPr>
                <w:lang w:val="es-ES_tradnl"/>
              </w:rPr>
            </w:pPr>
          </w:p>
        </w:tc>
        <w:tc>
          <w:tcPr>
            <w:tcW w:w="2929" w:type="dxa"/>
          </w:tcPr>
          <w:p w:rsidR="00885EE4" w:rsidRPr="004D0D75" w:rsidRDefault="00885EE4" w:rsidP="00667129">
            <w:pPr>
              <w:pStyle w:val="Normal-pool"/>
              <w:spacing w:before="120"/>
              <w:rPr>
                <w:lang w:val="es-ES_tradnl"/>
              </w:rPr>
            </w:pPr>
          </w:p>
        </w:tc>
        <w:tc>
          <w:tcPr>
            <w:tcW w:w="2929" w:type="dxa"/>
          </w:tcPr>
          <w:p w:rsidR="00885EE4" w:rsidRPr="004D0D75" w:rsidRDefault="00885EE4" w:rsidP="00667129">
            <w:pPr>
              <w:pStyle w:val="Normal-pool"/>
              <w:spacing w:before="120"/>
              <w:rPr>
                <w:lang w:val="es-ES_tradnl"/>
              </w:rPr>
            </w:pPr>
          </w:p>
        </w:tc>
      </w:tr>
    </w:tbl>
    <w:p w:rsidR="00885EE4" w:rsidRPr="004D0D75" w:rsidRDefault="00885EE4" w:rsidP="005D04E8">
      <w:pPr>
        <w:pStyle w:val="Normal-pool"/>
        <w:rPr>
          <w:lang w:val="es-ES_tradnl"/>
        </w:rPr>
      </w:pPr>
    </w:p>
    <w:sectPr w:rsidR="00885EE4" w:rsidRPr="004D0D75" w:rsidSect="00EC0F68">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29" w:rsidRDefault="00667129">
      <w:r>
        <w:separator/>
      </w:r>
    </w:p>
  </w:endnote>
  <w:endnote w:type="continuationSeparator" w:id="0">
    <w:p w:rsidR="00667129" w:rsidRDefault="0066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Default="00667129">
    <w:pPr>
      <w:pStyle w:val="Footer"/>
    </w:pPr>
    <w:r>
      <w:rPr>
        <w:rStyle w:val="PageNumber"/>
      </w:rPr>
      <w:fldChar w:fldCharType="begin"/>
    </w:r>
    <w:r>
      <w:rPr>
        <w:rStyle w:val="PageNumber"/>
      </w:rPr>
      <w:instrText xml:space="preserve"> PAGE </w:instrText>
    </w:r>
    <w:r>
      <w:rPr>
        <w:rStyle w:val="PageNumber"/>
      </w:rPr>
      <w:fldChar w:fldCharType="separate"/>
    </w:r>
    <w:r w:rsidR="00367834">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Default="0066712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Default="00667129" w:rsidP="00C510F4">
    <w:pPr>
      <w:pStyle w:val="Normal-pool"/>
    </w:pPr>
    <w:r>
      <w:rPr>
        <w:lang w:val="es-ES"/>
      </w:rPr>
      <w:t>K170422</w:t>
    </w:r>
    <w:r w:rsidR="00E71380">
      <w:rPr>
        <w:lang w:val="es-ES"/>
      </w:rPr>
      <w:t>5</w:t>
    </w:r>
    <w:r>
      <w:rPr>
        <w:lang w:val="es-ES"/>
      </w:rPr>
      <w:tab/>
    </w:r>
    <w:r w:rsidR="00E71380">
      <w:rPr>
        <w:lang w:val="es-ES"/>
      </w:rPr>
      <w:t>0</w:t>
    </w:r>
    <w:r w:rsidR="0069686B">
      <w:rPr>
        <w:lang w:val="es-ES"/>
      </w:rPr>
      <w:t>9</w:t>
    </w:r>
    <w:r w:rsidR="00E71380">
      <w:rPr>
        <w:lang w:val="es-ES"/>
      </w:rPr>
      <w:t>06</w:t>
    </w:r>
    <w:r>
      <w:rPr>
        <w:lang w:val="es-ES"/>
      </w:rPr>
      <w:t>17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Default="00667129" w:rsidP="00EF11DA">
    <w:pPr>
      <w:pStyle w:val="Normal-pool"/>
    </w:pPr>
    <w:r>
      <w:rPr>
        <w:rStyle w:val="PageNumber"/>
      </w:rPr>
      <w:fldChar w:fldCharType="begin"/>
    </w:r>
    <w:r>
      <w:rPr>
        <w:rStyle w:val="PageNumber"/>
      </w:rPr>
      <w:instrText xml:space="preserve"> PAGE </w:instrText>
    </w:r>
    <w:r>
      <w:rPr>
        <w:rStyle w:val="PageNumber"/>
      </w:rPr>
      <w:fldChar w:fldCharType="separate"/>
    </w:r>
    <w:r w:rsidR="00367834">
      <w:rPr>
        <w:rStyle w:val="PageNumber"/>
        <w:noProof/>
      </w:rPr>
      <w:t>4</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Default="00667129" w:rsidP="00EF11DA">
    <w:pPr>
      <w:pStyle w:val="Normal-pool"/>
      <w:jc w:val="right"/>
    </w:pPr>
    <w:r>
      <w:rPr>
        <w:rStyle w:val="PageNumber"/>
      </w:rPr>
      <w:fldChar w:fldCharType="begin"/>
    </w:r>
    <w:r>
      <w:rPr>
        <w:rStyle w:val="PageNumber"/>
      </w:rPr>
      <w:instrText xml:space="preserve"> PAGE </w:instrText>
    </w:r>
    <w:r>
      <w:rPr>
        <w:rStyle w:val="PageNumber"/>
      </w:rPr>
      <w:fldChar w:fldCharType="separate"/>
    </w:r>
    <w:r w:rsidR="00367834">
      <w:rPr>
        <w:rStyle w:val="PageNumber"/>
        <w:noProof/>
      </w:rPr>
      <w:t>5</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b/>
        <w:sz w:val="18"/>
        <w:szCs w:val="18"/>
      </w:rPr>
      <w:id w:val="-2030090927"/>
      <w:docPartObj>
        <w:docPartGallery w:val="Page Numbers (Bottom of Page)"/>
        <w:docPartUnique/>
      </w:docPartObj>
    </w:sdtPr>
    <w:sdtEndPr>
      <w:rPr>
        <w:noProof/>
      </w:rPr>
    </w:sdtEndPr>
    <w:sdtContent>
      <w:p w:rsidR="00667129" w:rsidRPr="00EF11DA" w:rsidRDefault="00667129" w:rsidP="00EF11DA">
        <w:pPr>
          <w:pStyle w:val="Normal-pool"/>
          <w:jc w:val="right"/>
          <w:rPr>
            <w:b/>
            <w:sz w:val="18"/>
            <w:szCs w:val="18"/>
          </w:rPr>
        </w:pPr>
        <w:r w:rsidRPr="00EF11DA">
          <w:rPr>
            <w:b/>
            <w:sz w:val="18"/>
            <w:szCs w:val="18"/>
          </w:rPr>
          <w:fldChar w:fldCharType="begin"/>
        </w:r>
        <w:r w:rsidRPr="00EF11DA">
          <w:rPr>
            <w:b/>
            <w:sz w:val="18"/>
            <w:szCs w:val="18"/>
          </w:rPr>
          <w:instrText xml:space="preserve"> PAGE   \* MERGEFORMAT </w:instrText>
        </w:r>
        <w:r w:rsidRPr="00EF11DA">
          <w:rPr>
            <w:b/>
            <w:sz w:val="18"/>
            <w:szCs w:val="18"/>
          </w:rPr>
          <w:fldChar w:fldCharType="separate"/>
        </w:r>
        <w:r w:rsidR="00367834">
          <w:rPr>
            <w:b/>
            <w:noProof/>
            <w:sz w:val="18"/>
            <w:szCs w:val="18"/>
          </w:rPr>
          <w:t>3</w:t>
        </w:r>
        <w:r w:rsidRPr="00EF11DA">
          <w:rPr>
            <w:b/>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29" w:rsidRPr="00EC0F68" w:rsidRDefault="00667129" w:rsidP="00EC0F68">
      <w:pPr>
        <w:tabs>
          <w:tab w:val="clear" w:pos="1247"/>
          <w:tab w:val="clear" w:pos="1814"/>
          <w:tab w:val="clear" w:pos="2381"/>
          <w:tab w:val="clear" w:pos="2948"/>
          <w:tab w:val="clear" w:pos="3515"/>
          <w:tab w:val="left" w:pos="624"/>
        </w:tabs>
        <w:spacing w:before="60"/>
        <w:ind w:left="624"/>
        <w:rPr>
          <w:sz w:val="18"/>
          <w:szCs w:val="18"/>
        </w:rPr>
      </w:pPr>
      <w:r w:rsidRPr="00EC0F68">
        <w:rPr>
          <w:sz w:val="18"/>
          <w:szCs w:val="18"/>
        </w:rPr>
        <w:separator/>
      </w:r>
    </w:p>
  </w:footnote>
  <w:footnote w:type="continuationSeparator" w:id="0">
    <w:p w:rsidR="00667129" w:rsidRDefault="00667129">
      <w:r>
        <w:continuationSeparator/>
      </w:r>
    </w:p>
  </w:footnote>
  <w:footnote w:id="1">
    <w:p w:rsidR="00667129" w:rsidRPr="00160AF0" w:rsidRDefault="00667129" w:rsidP="00EF11DA">
      <w:pPr>
        <w:tabs>
          <w:tab w:val="left" w:pos="624"/>
        </w:tabs>
        <w:spacing w:before="20" w:after="40"/>
        <w:ind w:left="1247"/>
        <w:rPr>
          <w:sz w:val="18"/>
          <w:szCs w:val="18"/>
        </w:rPr>
      </w:pPr>
      <w:r w:rsidRPr="00160AF0">
        <w:rPr>
          <w:sz w:val="18"/>
          <w:szCs w:val="18"/>
          <w:lang w:val="es-ES"/>
        </w:rPr>
        <w:t>* UNEP/MC/COP.1/</w:t>
      </w:r>
      <w:r w:rsidR="00A32B1A">
        <w:rPr>
          <w:sz w:val="18"/>
          <w:szCs w:val="18"/>
          <w:lang w:val="es-ES"/>
        </w:rPr>
        <w:t>1</w:t>
      </w:r>
      <w:r w:rsidRPr="00160AF0">
        <w:rPr>
          <w:sz w:val="18"/>
          <w:szCs w:val="18"/>
          <w:lang w:val="es-ES"/>
        </w:rPr>
        <w:t>.</w:t>
      </w:r>
    </w:p>
  </w:footnote>
  <w:footnote w:id="2">
    <w:p w:rsidR="00667129" w:rsidRPr="00EC0F68" w:rsidRDefault="00667129" w:rsidP="00EC0F68">
      <w:pPr>
        <w:pStyle w:val="FootnoteText"/>
        <w:tabs>
          <w:tab w:val="left" w:pos="624"/>
        </w:tabs>
        <w:rPr>
          <w:szCs w:val="18"/>
        </w:rPr>
      </w:pPr>
      <w:r w:rsidRPr="00EC0F68">
        <w:rPr>
          <w:rStyle w:val="FootnoteReference"/>
          <w:sz w:val="18"/>
          <w:lang w:val="es-ES"/>
        </w:rPr>
        <w:footnoteRef/>
      </w:r>
      <w:r>
        <w:rPr>
          <w:lang w:val="es-ES"/>
        </w:rPr>
        <w:t xml:space="preserve"> La información compilada sobre el uso de los umbrales de desechos de mercurio (UNEP (DTIE)/Hg/INC.7/19) puede consultarse en www.mercuryconvention.org/Negotiations/INC7.</w:t>
      </w:r>
    </w:p>
  </w:footnote>
  <w:footnote w:id="3">
    <w:p w:rsidR="00667129" w:rsidRPr="00EC0F68" w:rsidRDefault="00667129">
      <w:pPr>
        <w:pStyle w:val="FootnoteText"/>
        <w:rPr>
          <w:szCs w:val="18"/>
        </w:rPr>
      </w:pPr>
      <w:r w:rsidRPr="00EC0F68">
        <w:rPr>
          <w:rStyle w:val="FootnoteReference"/>
          <w:lang w:val="es-ES"/>
        </w:rPr>
        <w:footnoteRef/>
      </w:r>
      <w:r w:rsidRPr="004D0D75">
        <w:t xml:space="preserve"> http://mercuryconvention.org/Negotiations/submissionsforCOP1/tabid/5535/Default.aspx.</w:t>
      </w:r>
    </w:p>
  </w:footnote>
  <w:footnote w:id="4">
    <w:p w:rsidR="00667129" w:rsidRPr="00EC0F68" w:rsidRDefault="00667129" w:rsidP="00EC0F68">
      <w:pPr>
        <w:pStyle w:val="FootnoteText"/>
        <w:tabs>
          <w:tab w:val="left" w:pos="624"/>
        </w:tabs>
        <w:rPr>
          <w:szCs w:val="18"/>
        </w:rPr>
      </w:pPr>
      <w:r w:rsidRPr="00EC0F68">
        <w:rPr>
          <w:rStyle w:val="FootnoteReference"/>
          <w:sz w:val="18"/>
          <w:lang w:val="es-ES"/>
        </w:rPr>
        <w:footnoteRef/>
      </w:r>
      <w:r>
        <w:rPr>
          <w:lang w:val="es-ES"/>
        </w:rPr>
        <w:t xml:space="preserve"> http://www.mapama.gob.es/es/costas/temas/proteccion-medio-marino/directrices2015_tcm7-325119.pdf (consultado el 19 de abril de 2017).</w:t>
      </w:r>
    </w:p>
  </w:footnote>
  <w:footnote w:id="5">
    <w:p w:rsidR="00667129" w:rsidRPr="00EC0F68" w:rsidRDefault="00667129" w:rsidP="00EC0F68">
      <w:pPr>
        <w:pStyle w:val="FootnoteText"/>
        <w:tabs>
          <w:tab w:val="left" w:pos="624"/>
        </w:tabs>
        <w:rPr>
          <w:szCs w:val="18"/>
        </w:rPr>
      </w:pPr>
      <w:r w:rsidRPr="00EC0F68">
        <w:rPr>
          <w:rStyle w:val="FootnoteReference"/>
          <w:sz w:val="18"/>
          <w:lang w:val="es-ES"/>
        </w:rPr>
        <w:footnoteRef/>
      </w:r>
      <w:r>
        <w:rPr>
          <w:lang w:val="es-ES"/>
        </w:rPr>
        <w:t xml:space="preserve"> https://www.admin.ch/opc/de/classified-compilation/20141858/index.html (consultado el 19 de abril de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Pr="00592326" w:rsidRDefault="00667129" w:rsidP="00592326">
    <w:pPr>
      <w:pStyle w:val="Header"/>
      <w:rPr>
        <w:szCs w:val="18"/>
        <w:lang w:val="fr-CH"/>
      </w:rPr>
    </w:pPr>
    <w:r w:rsidRPr="00592326">
      <w:rPr>
        <w:bCs/>
        <w:szCs w:val="18"/>
        <w:lang w:val="fr-CH"/>
      </w:rPr>
      <w:t>UNEP</w:t>
    </w:r>
    <w:r w:rsidRPr="00592326">
      <w:rPr>
        <w:szCs w:val="18"/>
        <w:lang w:val="fr-CH"/>
      </w:rPr>
      <w:t>/MC/COP.1/</w:t>
    </w:r>
    <w:r>
      <w:rPr>
        <w:szCs w:val="18"/>
        <w:lang w:val="fr-CH"/>
      </w:rPr>
      <w:t>26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Pr="00CA5CA9" w:rsidRDefault="00367834" w:rsidP="00F43DA1">
    <w:pPr>
      <w:pStyle w:val="Header"/>
      <w:jc w:val="right"/>
      <w:rPr>
        <w:szCs w:val="18"/>
      </w:rPr>
    </w:pPr>
    <w:r>
      <w:rPr>
        <w:noProof/>
        <w:lang w:val="en-G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12124" o:spid="_x0000_s20483"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667129" w:rsidRPr="00CA5CA9">
      <w:rPr>
        <w:bCs/>
        <w:szCs w:val="18"/>
      </w:rPr>
      <w:t>UNEP</w:t>
    </w:r>
    <w:r w:rsidR="00667129">
      <w:rPr>
        <w:szCs w:val="18"/>
      </w:rPr>
      <w:t>(DTIE)/Hg/INC.7</w:t>
    </w:r>
    <w:r w:rsidR="00667129" w:rsidRPr="00CA5CA9">
      <w:rPr>
        <w:szCs w:val="18"/>
      </w:rPr>
      <w:t>/</w:t>
    </w:r>
    <w:r w:rsidR="00667129">
      <w:rPr>
        <w:szCs w:val="18"/>
      </w:rPr>
      <w:t>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Pr="00202268" w:rsidRDefault="00667129" w:rsidP="00F43DA1">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Pr="00CA5CA9" w:rsidRDefault="00667129"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26</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Pr="00592326" w:rsidRDefault="00667129" w:rsidP="00592326">
    <w:pPr>
      <w:pStyle w:val="Header"/>
      <w:jc w:val="right"/>
      <w:rPr>
        <w:szCs w:val="18"/>
        <w:lang w:val="fr-CH"/>
      </w:rPr>
    </w:pPr>
    <w:r w:rsidRPr="00592326">
      <w:rPr>
        <w:bCs/>
        <w:szCs w:val="18"/>
        <w:lang w:val="fr-CH"/>
      </w:rPr>
      <w:t>UNEP</w:t>
    </w:r>
    <w:r w:rsidRPr="00592326">
      <w:rPr>
        <w:szCs w:val="18"/>
        <w:lang w:val="fr-CH"/>
      </w:rPr>
      <w:t>/</w:t>
    </w:r>
    <w:r>
      <w:rPr>
        <w:szCs w:val="18"/>
        <w:lang w:val="fr-CH"/>
      </w:rPr>
      <w:t>MC</w:t>
    </w:r>
    <w:r w:rsidRPr="00592326">
      <w:rPr>
        <w:szCs w:val="18"/>
        <w:lang w:val="fr-CH"/>
      </w:rPr>
      <w:t>/</w:t>
    </w:r>
    <w:r>
      <w:rPr>
        <w:szCs w:val="18"/>
        <w:lang w:val="fr-CH"/>
      </w:rPr>
      <w:t>COP.1/26</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7129" w:rsidRPr="00EF11DA" w:rsidRDefault="00667129" w:rsidP="00EF11DA">
    <w:pPr>
      <w:pStyle w:val="Header"/>
      <w:jc w:val="right"/>
      <w:rPr>
        <w:szCs w:val="18"/>
        <w:lang w:val="fr-CH"/>
      </w:rPr>
    </w:pPr>
    <w:r w:rsidRPr="00592326">
      <w:rPr>
        <w:bCs/>
        <w:szCs w:val="18"/>
        <w:lang w:val="fr-CH"/>
      </w:rPr>
      <w:t>UNEP</w:t>
    </w:r>
    <w:r w:rsidRPr="00592326">
      <w:rPr>
        <w:szCs w:val="18"/>
        <w:lang w:val="fr-CH"/>
      </w:rPr>
      <w:t>/MC/COP.1/</w:t>
    </w:r>
    <w:r>
      <w:rPr>
        <w:szCs w:val="18"/>
        <w:lang w:val="fr-CH"/>
      </w:rPr>
      <w:t>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4E"/>
    <w:multiLevelType w:val="hybridMultilevel"/>
    <w:tmpl w:val="E0581DC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EF1"/>
    <w:multiLevelType w:val="hybridMultilevel"/>
    <w:tmpl w:val="119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963C1"/>
    <w:multiLevelType w:val="hybridMultilevel"/>
    <w:tmpl w:val="65284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24F55"/>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3C001F"/>
    <w:multiLevelType w:val="hybridMultilevel"/>
    <w:tmpl w:val="932A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F154A84"/>
    <w:multiLevelType w:val="hybridMultilevel"/>
    <w:tmpl w:val="18B67C7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2E7D96"/>
    <w:multiLevelType w:val="hybridMultilevel"/>
    <w:tmpl w:val="0ABE5E9E"/>
    <w:lvl w:ilvl="0" w:tplc="96826D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6A9D"/>
    <w:multiLevelType w:val="multilevel"/>
    <w:tmpl w:val="2486930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C932A35"/>
    <w:multiLevelType w:val="hybridMultilevel"/>
    <w:tmpl w:val="CCBA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E34526"/>
    <w:multiLevelType w:val="hybridMultilevel"/>
    <w:tmpl w:val="24869308"/>
    <w:numStyleLink w:val="Normallist"/>
  </w:abstractNum>
  <w:abstractNum w:abstractNumId="13">
    <w:nsid w:val="68444F34"/>
    <w:multiLevelType w:val="hybridMultilevel"/>
    <w:tmpl w:val="868ACE82"/>
    <w:lvl w:ilvl="0" w:tplc="EAFE9C0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50E98"/>
    <w:multiLevelType w:val="hybridMultilevel"/>
    <w:tmpl w:val="17BCCCCE"/>
    <w:lvl w:ilvl="0" w:tplc="B792DDC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57A96"/>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C16823"/>
    <w:multiLevelType w:val="hybridMultilevel"/>
    <w:tmpl w:val="C1DCBB0E"/>
    <w:lvl w:ilvl="0" w:tplc="04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6253511"/>
    <w:multiLevelType w:val="hybridMultilevel"/>
    <w:tmpl w:val="CB0E7BD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9F0E09"/>
    <w:multiLevelType w:val="hybridMultilevel"/>
    <w:tmpl w:val="4CFCEB4C"/>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
    <w:abstractNumId w:val="4"/>
  </w:num>
  <w:num w:numId="3">
    <w:abstractNumId w:val="7"/>
  </w:num>
  <w:num w:numId="4">
    <w:abstractNumId w:val="10"/>
  </w:num>
  <w:num w:numId="5">
    <w:abstractNumId w:val="10"/>
  </w:num>
  <w:num w:numId="6">
    <w:abstractNumId w:val="5"/>
  </w:num>
  <w:num w:numId="7">
    <w:abstractNumId w:val="9"/>
  </w:num>
  <w:num w:numId="8">
    <w:abstractNumId w:val="12"/>
  </w:num>
  <w:num w:numId="9">
    <w:abstractNumId w:val="3"/>
  </w:num>
  <w:num w:numId="10">
    <w:abstractNumId w:val="15"/>
  </w:num>
  <w:num w:numId="11">
    <w:abstractNumId w:val="17"/>
  </w:num>
  <w:num w:numId="12">
    <w:abstractNumId w:val="8"/>
  </w:num>
  <w:num w:numId="13">
    <w:abstractNumId w:val="2"/>
  </w:num>
  <w:num w:numId="14">
    <w:abstractNumId w:val="11"/>
  </w:num>
  <w:num w:numId="15">
    <w:abstractNumId w:val="6"/>
  </w:num>
  <w:num w:numId="16">
    <w:abstractNumId w:val="1"/>
    <w:lvlOverride w:ilvl="0">
      <w:lvl w:ilvl="0" w:tplc="08090001">
        <w:start w:val="1"/>
        <w:numFmt w:val="bullet"/>
        <w:lvlText w:val=""/>
        <w:lvlJc w:val="left"/>
        <w:pPr>
          <w:ind w:left="720" w:hanging="360"/>
        </w:pPr>
        <w:rPr>
          <w:rFonts w:ascii="Symbol" w:hAnsi="Symbol" w:hint="default"/>
        </w:rPr>
      </w:lvl>
    </w:lvlOverride>
  </w:num>
  <w:num w:numId="17">
    <w:abstractNumId w:val="10"/>
    <w:lvlOverride w:ilvl="1">
      <w:lvl w:ilvl="1">
        <w:start w:val="1"/>
        <w:numFmt w:val="lowerLetter"/>
        <w:lvlText w:val="(%2)"/>
        <w:lvlJc w:val="left"/>
        <w:pPr>
          <w:tabs>
            <w:tab w:val="num" w:pos="1134"/>
          </w:tabs>
          <w:ind w:left="1247" w:firstLine="567"/>
        </w:pPr>
        <w:rPr>
          <w:rFonts w:hint="default"/>
        </w:rPr>
      </w:lvl>
    </w:lvlOverride>
  </w:num>
  <w:num w:numId="18">
    <w:abstractNumId w:val="10"/>
    <w:lvlOverride w:ilvl="1">
      <w:lvl w:ilvl="1">
        <w:start w:val="1"/>
        <w:numFmt w:val="lowerLetter"/>
        <w:lvlText w:val="(%2)"/>
        <w:lvlJc w:val="left"/>
        <w:pPr>
          <w:tabs>
            <w:tab w:val="num" w:pos="1134"/>
          </w:tabs>
          <w:ind w:left="1247" w:firstLine="567"/>
        </w:pPr>
        <w:rPr>
          <w:rFonts w:hint="default"/>
        </w:rPr>
      </w:lvl>
    </w:lvlOverride>
  </w:num>
  <w:num w:numId="19">
    <w:abstractNumId w:val="18"/>
    <w:lvlOverride w:ilvl="0">
      <w:lvl w:ilvl="0" w:tplc="04090017">
        <w:start w:val="1"/>
        <w:numFmt w:val="lowerLetter"/>
        <w:lvlText w:val="%1)"/>
        <w:lvlJc w:val="left"/>
        <w:pPr>
          <w:ind w:left="720" w:hanging="720"/>
        </w:pPr>
        <w:rPr>
          <w:rFonts w:hint="default"/>
        </w:rPr>
      </w:lvl>
    </w:lvlOverride>
  </w:num>
  <w:num w:numId="20">
    <w:abstractNumId w:val="16"/>
  </w:num>
  <w:num w:numId="21">
    <w:abstractNumId w:val="14"/>
  </w:num>
  <w:num w:numId="22">
    <w:abstractNumId w:val="13"/>
  </w:num>
  <w:num w:numId="23">
    <w:abstractNumId w:val="0"/>
    <w:lvlOverride w:ilvl="0">
      <w:lvl w:ilvl="0" w:tplc="04090001">
        <w:start w:val="1"/>
        <w:numFmt w:val="bullet"/>
        <w:lvlText w:val=""/>
        <w:lvlJc w:val="left"/>
        <w:pPr>
          <w:ind w:left="720" w:hanging="72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86"/>
    <o:shapelayout v:ext="edit">
      <o:idmap v:ext="edit" data="20"/>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14D1"/>
    <w:rsid w:val="000149E6"/>
    <w:rsid w:val="00023DA9"/>
    <w:rsid w:val="000247B0"/>
    <w:rsid w:val="00024BBF"/>
    <w:rsid w:val="00026997"/>
    <w:rsid w:val="00026A08"/>
    <w:rsid w:val="00032E4E"/>
    <w:rsid w:val="00033E0B"/>
    <w:rsid w:val="00035EDE"/>
    <w:rsid w:val="00047B5B"/>
    <w:rsid w:val="000509B4"/>
    <w:rsid w:val="0006035B"/>
    <w:rsid w:val="0006096F"/>
    <w:rsid w:val="000649C5"/>
    <w:rsid w:val="00071886"/>
    <w:rsid w:val="000742BC"/>
    <w:rsid w:val="00076CC6"/>
    <w:rsid w:val="00082A0C"/>
    <w:rsid w:val="00083504"/>
    <w:rsid w:val="0009640C"/>
    <w:rsid w:val="000B22A2"/>
    <w:rsid w:val="000B3902"/>
    <w:rsid w:val="000B73F9"/>
    <w:rsid w:val="000C2A52"/>
    <w:rsid w:val="000D33C0"/>
    <w:rsid w:val="000D4CF6"/>
    <w:rsid w:val="000D6941"/>
    <w:rsid w:val="000E30E6"/>
    <w:rsid w:val="000F3A83"/>
    <w:rsid w:val="000F4829"/>
    <w:rsid w:val="000F738B"/>
    <w:rsid w:val="00111B4D"/>
    <w:rsid w:val="00112A4A"/>
    <w:rsid w:val="00113F26"/>
    <w:rsid w:val="001202E3"/>
    <w:rsid w:val="00123699"/>
    <w:rsid w:val="001241FB"/>
    <w:rsid w:val="0012746A"/>
    <w:rsid w:val="0013059D"/>
    <w:rsid w:val="00136187"/>
    <w:rsid w:val="00141A55"/>
    <w:rsid w:val="0014293F"/>
    <w:rsid w:val="0014397D"/>
    <w:rsid w:val="001446A3"/>
    <w:rsid w:val="0015219A"/>
    <w:rsid w:val="00152B6B"/>
    <w:rsid w:val="00155395"/>
    <w:rsid w:val="00156B6B"/>
    <w:rsid w:val="00160AF0"/>
    <w:rsid w:val="00160D74"/>
    <w:rsid w:val="0016317F"/>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1EB3"/>
    <w:rsid w:val="001E2AC2"/>
    <w:rsid w:val="001E45BD"/>
    <w:rsid w:val="001E56D2"/>
    <w:rsid w:val="001E7D56"/>
    <w:rsid w:val="001F75DE"/>
    <w:rsid w:val="00200D58"/>
    <w:rsid w:val="002011C1"/>
    <w:rsid w:val="002013BE"/>
    <w:rsid w:val="00201EDC"/>
    <w:rsid w:val="002063A4"/>
    <w:rsid w:val="0021145B"/>
    <w:rsid w:val="00220C23"/>
    <w:rsid w:val="00220F80"/>
    <w:rsid w:val="00223893"/>
    <w:rsid w:val="002247F6"/>
    <w:rsid w:val="00225E21"/>
    <w:rsid w:val="00234E78"/>
    <w:rsid w:val="00235811"/>
    <w:rsid w:val="00243D36"/>
    <w:rsid w:val="00246151"/>
    <w:rsid w:val="0024738B"/>
    <w:rsid w:val="00247707"/>
    <w:rsid w:val="0026018E"/>
    <w:rsid w:val="0026449D"/>
    <w:rsid w:val="00280DB8"/>
    <w:rsid w:val="0028599B"/>
    <w:rsid w:val="00286740"/>
    <w:rsid w:val="00291EAE"/>
    <w:rsid w:val="002929D8"/>
    <w:rsid w:val="002A237D"/>
    <w:rsid w:val="002A4C53"/>
    <w:rsid w:val="002A7CF3"/>
    <w:rsid w:val="002B0672"/>
    <w:rsid w:val="002B1C41"/>
    <w:rsid w:val="002B247F"/>
    <w:rsid w:val="002B50D4"/>
    <w:rsid w:val="002C145D"/>
    <w:rsid w:val="002C2C3E"/>
    <w:rsid w:val="002C533E"/>
    <w:rsid w:val="002D027F"/>
    <w:rsid w:val="002D3E15"/>
    <w:rsid w:val="002D7A85"/>
    <w:rsid w:val="002D7B60"/>
    <w:rsid w:val="002F3966"/>
    <w:rsid w:val="002F4761"/>
    <w:rsid w:val="002F5C79"/>
    <w:rsid w:val="002F68EE"/>
    <w:rsid w:val="003019E2"/>
    <w:rsid w:val="003101B4"/>
    <w:rsid w:val="00310BEB"/>
    <w:rsid w:val="0031413F"/>
    <w:rsid w:val="00314854"/>
    <w:rsid w:val="003148BB"/>
    <w:rsid w:val="00314A45"/>
    <w:rsid w:val="00317976"/>
    <w:rsid w:val="00320F2F"/>
    <w:rsid w:val="00322331"/>
    <w:rsid w:val="00355EA9"/>
    <w:rsid w:val="003578DE"/>
    <w:rsid w:val="00361688"/>
    <w:rsid w:val="00367834"/>
    <w:rsid w:val="003877D5"/>
    <w:rsid w:val="003929B8"/>
    <w:rsid w:val="00396257"/>
    <w:rsid w:val="00397EB8"/>
    <w:rsid w:val="003A0B88"/>
    <w:rsid w:val="003A4FD0"/>
    <w:rsid w:val="003A69D1"/>
    <w:rsid w:val="003A7705"/>
    <w:rsid w:val="003A77F1"/>
    <w:rsid w:val="003B1545"/>
    <w:rsid w:val="003C2546"/>
    <w:rsid w:val="003C3219"/>
    <w:rsid w:val="003C409D"/>
    <w:rsid w:val="003C5583"/>
    <w:rsid w:val="003C5BA6"/>
    <w:rsid w:val="003C74CF"/>
    <w:rsid w:val="003D3752"/>
    <w:rsid w:val="003E35DA"/>
    <w:rsid w:val="003E455D"/>
    <w:rsid w:val="003F0E85"/>
    <w:rsid w:val="003F32EA"/>
    <w:rsid w:val="003F3591"/>
    <w:rsid w:val="00404B2E"/>
    <w:rsid w:val="00410C55"/>
    <w:rsid w:val="00416854"/>
    <w:rsid w:val="00417725"/>
    <w:rsid w:val="004233E2"/>
    <w:rsid w:val="00437F26"/>
    <w:rsid w:val="00444097"/>
    <w:rsid w:val="00445487"/>
    <w:rsid w:val="00447E0D"/>
    <w:rsid w:val="00452933"/>
    <w:rsid w:val="00454769"/>
    <w:rsid w:val="004570C7"/>
    <w:rsid w:val="00466991"/>
    <w:rsid w:val="0047064C"/>
    <w:rsid w:val="004822B7"/>
    <w:rsid w:val="0049469E"/>
    <w:rsid w:val="004A2217"/>
    <w:rsid w:val="004A24F9"/>
    <w:rsid w:val="004A42E1"/>
    <w:rsid w:val="004A667A"/>
    <w:rsid w:val="004B162C"/>
    <w:rsid w:val="004B2ABE"/>
    <w:rsid w:val="004C3DBE"/>
    <w:rsid w:val="004C5C96"/>
    <w:rsid w:val="004D06A4"/>
    <w:rsid w:val="004D0D75"/>
    <w:rsid w:val="004E4EF1"/>
    <w:rsid w:val="004F1A81"/>
    <w:rsid w:val="005050D2"/>
    <w:rsid w:val="00514BEE"/>
    <w:rsid w:val="005208F1"/>
    <w:rsid w:val="005218D9"/>
    <w:rsid w:val="00523A79"/>
    <w:rsid w:val="00530FD0"/>
    <w:rsid w:val="00536186"/>
    <w:rsid w:val="00544CBB"/>
    <w:rsid w:val="005644D3"/>
    <w:rsid w:val="005656D7"/>
    <w:rsid w:val="0057315F"/>
    <w:rsid w:val="00576104"/>
    <w:rsid w:val="00592326"/>
    <w:rsid w:val="00592B21"/>
    <w:rsid w:val="005B44BF"/>
    <w:rsid w:val="005C67C8"/>
    <w:rsid w:val="005D0249"/>
    <w:rsid w:val="005D04E8"/>
    <w:rsid w:val="005D18FA"/>
    <w:rsid w:val="005D4FD4"/>
    <w:rsid w:val="005D6E8C"/>
    <w:rsid w:val="005E3004"/>
    <w:rsid w:val="005F100C"/>
    <w:rsid w:val="005F68DA"/>
    <w:rsid w:val="00601BC9"/>
    <w:rsid w:val="0060773B"/>
    <w:rsid w:val="00613FD6"/>
    <w:rsid w:val="006157B5"/>
    <w:rsid w:val="00615A97"/>
    <w:rsid w:val="00617224"/>
    <w:rsid w:val="00626FC6"/>
    <w:rsid w:val="006303B4"/>
    <w:rsid w:val="00630ADC"/>
    <w:rsid w:val="00633D3D"/>
    <w:rsid w:val="006414DA"/>
    <w:rsid w:val="00641703"/>
    <w:rsid w:val="006431A6"/>
    <w:rsid w:val="00643E3A"/>
    <w:rsid w:val="006459F6"/>
    <w:rsid w:val="00646803"/>
    <w:rsid w:val="006501AD"/>
    <w:rsid w:val="00651BFA"/>
    <w:rsid w:val="00654475"/>
    <w:rsid w:val="00656DF0"/>
    <w:rsid w:val="00665A4B"/>
    <w:rsid w:val="00667129"/>
    <w:rsid w:val="006734DC"/>
    <w:rsid w:val="00673E24"/>
    <w:rsid w:val="00677EBB"/>
    <w:rsid w:val="00683158"/>
    <w:rsid w:val="00692E2A"/>
    <w:rsid w:val="0069686B"/>
    <w:rsid w:val="006A76F2"/>
    <w:rsid w:val="006A7CA0"/>
    <w:rsid w:val="006D19D4"/>
    <w:rsid w:val="006D7EFB"/>
    <w:rsid w:val="006D7FE0"/>
    <w:rsid w:val="006E6672"/>
    <w:rsid w:val="006E6722"/>
    <w:rsid w:val="006F7AFF"/>
    <w:rsid w:val="007027B9"/>
    <w:rsid w:val="007066B5"/>
    <w:rsid w:val="007145DA"/>
    <w:rsid w:val="0071491A"/>
    <w:rsid w:val="00715E88"/>
    <w:rsid w:val="00734CAA"/>
    <w:rsid w:val="00735C09"/>
    <w:rsid w:val="00742680"/>
    <w:rsid w:val="0075533C"/>
    <w:rsid w:val="00756F9C"/>
    <w:rsid w:val="00757581"/>
    <w:rsid w:val="007602F5"/>
    <w:rsid w:val="00760D36"/>
    <w:rsid w:val="007611A0"/>
    <w:rsid w:val="007674E3"/>
    <w:rsid w:val="00773E54"/>
    <w:rsid w:val="00787688"/>
    <w:rsid w:val="007935E6"/>
    <w:rsid w:val="00796D3F"/>
    <w:rsid w:val="007A1683"/>
    <w:rsid w:val="007A3C60"/>
    <w:rsid w:val="007A5C12"/>
    <w:rsid w:val="007A7CB0"/>
    <w:rsid w:val="007B68A3"/>
    <w:rsid w:val="007C2541"/>
    <w:rsid w:val="007D66A8"/>
    <w:rsid w:val="007E003F"/>
    <w:rsid w:val="007E793D"/>
    <w:rsid w:val="007F0CF8"/>
    <w:rsid w:val="007F1288"/>
    <w:rsid w:val="007F62CB"/>
    <w:rsid w:val="0080186F"/>
    <w:rsid w:val="00803074"/>
    <w:rsid w:val="008142EC"/>
    <w:rsid w:val="008164F2"/>
    <w:rsid w:val="00821395"/>
    <w:rsid w:val="00830E26"/>
    <w:rsid w:val="0083468E"/>
    <w:rsid w:val="00841C32"/>
    <w:rsid w:val="00843576"/>
    <w:rsid w:val="00843B64"/>
    <w:rsid w:val="00846B82"/>
    <w:rsid w:val="008478FC"/>
    <w:rsid w:val="00851C51"/>
    <w:rsid w:val="00862EC0"/>
    <w:rsid w:val="00867BFF"/>
    <w:rsid w:val="008711BF"/>
    <w:rsid w:val="00871542"/>
    <w:rsid w:val="00872BF6"/>
    <w:rsid w:val="00880DCA"/>
    <w:rsid w:val="0088480A"/>
    <w:rsid w:val="00885EE4"/>
    <w:rsid w:val="0088757A"/>
    <w:rsid w:val="00892ADF"/>
    <w:rsid w:val="0089431B"/>
    <w:rsid w:val="00895668"/>
    <w:rsid w:val="008957DD"/>
    <w:rsid w:val="00897D98"/>
    <w:rsid w:val="008A6DF2"/>
    <w:rsid w:val="008A7807"/>
    <w:rsid w:val="008B06CD"/>
    <w:rsid w:val="008B4CC9"/>
    <w:rsid w:val="008B74D2"/>
    <w:rsid w:val="008B7DFC"/>
    <w:rsid w:val="008C1B76"/>
    <w:rsid w:val="008C798B"/>
    <w:rsid w:val="008D75E4"/>
    <w:rsid w:val="008D7C99"/>
    <w:rsid w:val="008E0FCB"/>
    <w:rsid w:val="008F1EC5"/>
    <w:rsid w:val="008F207F"/>
    <w:rsid w:val="008F6DFE"/>
    <w:rsid w:val="0090529F"/>
    <w:rsid w:val="00911E6F"/>
    <w:rsid w:val="0092178C"/>
    <w:rsid w:val="00930B88"/>
    <w:rsid w:val="00940DCC"/>
    <w:rsid w:val="0094179A"/>
    <w:rsid w:val="0094459E"/>
    <w:rsid w:val="00944DBC"/>
    <w:rsid w:val="00950977"/>
    <w:rsid w:val="00951A7B"/>
    <w:rsid w:val="00955109"/>
    <w:rsid w:val="009564A6"/>
    <w:rsid w:val="00966A53"/>
    <w:rsid w:val="00967621"/>
    <w:rsid w:val="00967E6A"/>
    <w:rsid w:val="009907B9"/>
    <w:rsid w:val="00990918"/>
    <w:rsid w:val="009A04E4"/>
    <w:rsid w:val="009A3A83"/>
    <w:rsid w:val="009B4A0F"/>
    <w:rsid w:val="009C11D2"/>
    <w:rsid w:val="009C6C70"/>
    <w:rsid w:val="009C7B0A"/>
    <w:rsid w:val="009D0B63"/>
    <w:rsid w:val="009D1111"/>
    <w:rsid w:val="009D4107"/>
    <w:rsid w:val="009D5CB8"/>
    <w:rsid w:val="009E307E"/>
    <w:rsid w:val="00A07870"/>
    <w:rsid w:val="00A07C54"/>
    <w:rsid w:val="00A07F19"/>
    <w:rsid w:val="00A1348D"/>
    <w:rsid w:val="00A13C99"/>
    <w:rsid w:val="00A17246"/>
    <w:rsid w:val="00A232EE"/>
    <w:rsid w:val="00A32B1A"/>
    <w:rsid w:val="00A4175F"/>
    <w:rsid w:val="00A44411"/>
    <w:rsid w:val="00A469FA"/>
    <w:rsid w:val="00A47680"/>
    <w:rsid w:val="00A53662"/>
    <w:rsid w:val="00A55B01"/>
    <w:rsid w:val="00A56B5B"/>
    <w:rsid w:val="00A603FF"/>
    <w:rsid w:val="00A619B6"/>
    <w:rsid w:val="00A63ADC"/>
    <w:rsid w:val="00A63B6A"/>
    <w:rsid w:val="00A64300"/>
    <w:rsid w:val="00A648CA"/>
    <w:rsid w:val="00A657DD"/>
    <w:rsid w:val="00A666A6"/>
    <w:rsid w:val="00A675FD"/>
    <w:rsid w:val="00A72437"/>
    <w:rsid w:val="00A73FED"/>
    <w:rsid w:val="00A77149"/>
    <w:rsid w:val="00A8048B"/>
    <w:rsid w:val="00A80611"/>
    <w:rsid w:val="00A817E9"/>
    <w:rsid w:val="00A93D12"/>
    <w:rsid w:val="00AA5BF4"/>
    <w:rsid w:val="00AA5F6B"/>
    <w:rsid w:val="00AB4AC8"/>
    <w:rsid w:val="00AB5340"/>
    <w:rsid w:val="00AC0A89"/>
    <w:rsid w:val="00AC3BFE"/>
    <w:rsid w:val="00AC7C96"/>
    <w:rsid w:val="00AD6CAF"/>
    <w:rsid w:val="00AE237D"/>
    <w:rsid w:val="00AE502A"/>
    <w:rsid w:val="00AF0010"/>
    <w:rsid w:val="00AF2C1F"/>
    <w:rsid w:val="00AF374C"/>
    <w:rsid w:val="00AF7C07"/>
    <w:rsid w:val="00B06C64"/>
    <w:rsid w:val="00B11CAC"/>
    <w:rsid w:val="00B1432D"/>
    <w:rsid w:val="00B15A29"/>
    <w:rsid w:val="00B1730F"/>
    <w:rsid w:val="00B22C93"/>
    <w:rsid w:val="00B27589"/>
    <w:rsid w:val="00B3554E"/>
    <w:rsid w:val="00B405B7"/>
    <w:rsid w:val="00B43AE4"/>
    <w:rsid w:val="00B43B22"/>
    <w:rsid w:val="00B52182"/>
    <w:rsid w:val="00B52222"/>
    <w:rsid w:val="00B531DA"/>
    <w:rsid w:val="00B54895"/>
    <w:rsid w:val="00B54FE7"/>
    <w:rsid w:val="00B647C6"/>
    <w:rsid w:val="00B655F9"/>
    <w:rsid w:val="00B66901"/>
    <w:rsid w:val="00B71E6D"/>
    <w:rsid w:val="00B72070"/>
    <w:rsid w:val="00B779E1"/>
    <w:rsid w:val="00B803EF"/>
    <w:rsid w:val="00B81E3A"/>
    <w:rsid w:val="00B85CFB"/>
    <w:rsid w:val="00B900C0"/>
    <w:rsid w:val="00B91EE1"/>
    <w:rsid w:val="00B9321D"/>
    <w:rsid w:val="00B93C01"/>
    <w:rsid w:val="00B94602"/>
    <w:rsid w:val="00BA0090"/>
    <w:rsid w:val="00BA1A67"/>
    <w:rsid w:val="00BA36E5"/>
    <w:rsid w:val="00BA6A80"/>
    <w:rsid w:val="00BB01AC"/>
    <w:rsid w:val="00BB4ABB"/>
    <w:rsid w:val="00BE0C49"/>
    <w:rsid w:val="00BE1699"/>
    <w:rsid w:val="00BE5B5F"/>
    <w:rsid w:val="00BE7993"/>
    <w:rsid w:val="00C069F2"/>
    <w:rsid w:val="00C20379"/>
    <w:rsid w:val="00C23CBC"/>
    <w:rsid w:val="00C26F55"/>
    <w:rsid w:val="00C30C63"/>
    <w:rsid w:val="00C30FF3"/>
    <w:rsid w:val="00C3600E"/>
    <w:rsid w:val="00C36B8B"/>
    <w:rsid w:val="00C415C1"/>
    <w:rsid w:val="00C4275D"/>
    <w:rsid w:val="00C47DBF"/>
    <w:rsid w:val="00C510F4"/>
    <w:rsid w:val="00C552FF"/>
    <w:rsid w:val="00C558DA"/>
    <w:rsid w:val="00C55AF3"/>
    <w:rsid w:val="00C61C72"/>
    <w:rsid w:val="00C74894"/>
    <w:rsid w:val="00C75D51"/>
    <w:rsid w:val="00C771A9"/>
    <w:rsid w:val="00C84759"/>
    <w:rsid w:val="00C92996"/>
    <w:rsid w:val="00C968BB"/>
    <w:rsid w:val="00CA170B"/>
    <w:rsid w:val="00CA5CA9"/>
    <w:rsid w:val="00CA6C7F"/>
    <w:rsid w:val="00CA70B2"/>
    <w:rsid w:val="00CC02FF"/>
    <w:rsid w:val="00CC0FC7"/>
    <w:rsid w:val="00CC10A6"/>
    <w:rsid w:val="00CD5EB8"/>
    <w:rsid w:val="00CD7044"/>
    <w:rsid w:val="00CE08B9"/>
    <w:rsid w:val="00CE524C"/>
    <w:rsid w:val="00CF141F"/>
    <w:rsid w:val="00CF2843"/>
    <w:rsid w:val="00CF4777"/>
    <w:rsid w:val="00CF65C8"/>
    <w:rsid w:val="00D013F5"/>
    <w:rsid w:val="00D05E3F"/>
    <w:rsid w:val="00D067BB"/>
    <w:rsid w:val="00D1352A"/>
    <w:rsid w:val="00D169AF"/>
    <w:rsid w:val="00D24E85"/>
    <w:rsid w:val="00D25249"/>
    <w:rsid w:val="00D25486"/>
    <w:rsid w:val="00D32406"/>
    <w:rsid w:val="00D44172"/>
    <w:rsid w:val="00D44E89"/>
    <w:rsid w:val="00D47BE3"/>
    <w:rsid w:val="00D63B8C"/>
    <w:rsid w:val="00D6719D"/>
    <w:rsid w:val="00D739CC"/>
    <w:rsid w:val="00D8093D"/>
    <w:rsid w:val="00D8108C"/>
    <w:rsid w:val="00D842AE"/>
    <w:rsid w:val="00D9211C"/>
    <w:rsid w:val="00D92DE0"/>
    <w:rsid w:val="00D92FEF"/>
    <w:rsid w:val="00D93A0F"/>
    <w:rsid w:val="00DA1BCA"/>
    <w:rsid w:val="00DC20FB"/>
    <w:rsid w:val="00DC46FF"/>
    <w:rsid w:val="00DC5254"/>
    <w:rsid w:val="00DC569D"/>
    <w:rsid w:val="00DD04A8"/>
    <w:rsid w:val="00DD1A4F"/>
    <w:rsid w:val="00DD3107"/>
    <w:rsid w:val="00DD746C"/>
    <w:rsid w:val="00DD7C2C"/>
    <w:rsid w:val="00DE5BDA"/>
    <w:rsid w:val="00DF433C"/>
    <w:rsid w:val="00E0035A"/>
    <w:rsid w:val="00E06797"/>
    <w:rsid w:val="00E1265B"/>
    <w:rsid w:val="00E13B48"/>
    <w:rsid w:val="00E1404F"/>
    <w:rsid w:val="00E21C83"/>
    <w:rsid w:val="00E24ADA"/>
    <w:rsid w:val="00E25B92"/>
    <w:rsid w:val="00E32F59"/>
    <w:rsid w:val="00E40F10"/>
    <w:rsid w:val="00E41908"/>
    <w:rsid w:val="00E43C3A"/>
    <w:rsid w:val="00E46D9A"/>
    <w:rsid w:val="00E565FF"/>
    <w:rsid w:val="00E65388"/>
    <w:rsid w:val="00E71380"/>
    <w:rsid w:val="00E7741D"/>
    <w:rsid w:val="00E808CD"/>
    <w:rsid w:val="00E8348F"/>
    <w:rsid w:val="00E85B7D"/>
    <w:rsid w:val="00E9121B"/>
    <w:rsid w:val="00E9302E"/>
    <w:rsid w:val="00E976AB"/>
    <w:rsid w:val="00EA0AE2"/>
    <w:rsid w:val="00EA0D17"/>
    <w:rsid w:val="00EA39E5"/>
    <w:rsid w:val="00EA57A3"/>
    <w:rsid w:val="00EB1B0D"/>
    <w:rsid w:val="00EB1D3E"/>
    <w:rsid w:val="00EB2BF2"/>
    <w:rsid w:val="00EC0F68"/>
    <w:rsid w:val="00EC2813"/>
    <w:rsid w:val="00EC5A46"/>
    <w:rsid w:val="00EC63E2"/>
    <w:rsid w:val="00ED366A"/>
    <w:rsid w:val="00ED6BB7"/>
    <w:rsid w:val="00EE3823"/>
    <w:rsid w:val="00EF11DA"/>
    <w:rsid w:val="00EF22B3"/>
    <w:rsid w:val="00F03B69"/>
    <w:rsid w:val="00F07A50"/>
    <w:rsid w:val="00F113DA"/>
    <w:rsid w:val="00F266FC"/>
    <w:rsid w:val="00F3037A"/>
    <w:rsid w:val="00F3465A"/>
    <w:rsid w:val="00F37DC8"/>
    <w:rsid w:val="00F439B3"/>
    <w:rsid w:val="00F43DA1"/>
    <w:rsid w:val="00F510F5"/>
    <w:rsid w:val="00F61ADD"/>
    <w:rsid w:val="00F650C3"/>
    <w:rsid w:val="00F65D85"/>
    <w:rsid w:val="00F6700B"/>
    <w:rsid w:val="00F8091E"/>
    <w:rsid w:val="00F8615C"/>
    <w:rsid w:val="00F96035"/>
    <w:rsid w:val="00F969E5"/>
    <w:rsid w:val="00FA4972"/>
    <w:rsid w:val="00FA6BB0"/>
    <w:rsid w:val="00FB075B"/>
    <w:rsid w:val="00FB2DBD"/>
    <w:rsid w:val="00FD48DF"/>
    <w:rsid w:val="00FD5860"/>
    <w:rsid w:val="00FE2D5B"/>
    <w:rsid w:val="00FE352D"/>
    <w:rsid w:val="00FE40EB"/>
    <w:rsid w:val="00FE4D02"/>
    <w:rsid w:val="00FE7D62"/>
    <w:rsid w:val="00FF3819"/>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633445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6CD1-F518-034E-9F0E-D7DA5B84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2119</Words>
  <Characters>12082</Characters>
  <Application>Microsoft Macintosh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14173</CharactersWithSpaces>
  <SharedDoc>false</SharedDoc>
  <HLinks>
    <vt:vector size="6" baseType="variant">
      <vt:variant>
        <vt:i4>4456455</vt:i4>
      </vt:variant>
      <vt:variant>
        <vt:i4>3</vt:i4>
      </vt:variant>
      <vt:variant>
        <vt:i4>0</vt:i4>
      </vt:variant>
      <vt:variant>
        <vt:i4>5</vt:i4>
      </vt:variant>
      <vt:variant>
        <vt:lpwstr>http://mercuryconvention.org/Negotiations/submissionsforCOP1/tabid/5535/Default.aspx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Macbook Air</cp:lastModifiedBy>
  <cp:revision>2</cp:revision>
  <cp:lastPrinted>2017-06-08T09:35:00Z</cp:lastPrinted>
  <dcterms:created xsi:type="dcterms:W3CDTF">2017-06-09T09:45:00Z</dcterms:created>
  <dcterms:modified xsi:type="dcterms:W3CDTF">2017-06-09T09:45:00Z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5/30/2017 2:14:49 PM</vt:lpwstr>
  </property>
  <property fmtid="{D5CDD505-2E9C-101B-9397-08002B2CF9AE}" pid="5" name="OriginalDocID">
    <vt:lpwstr>618561af-38b1-4778-94a1-1dbd0c8ec297</vt:lpwstr>
  </property>
</Properties>
</file>