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4A0" w:firstRow="1" w:lastRow="0" w:firstColumn="1" w:lastColumn="0" w:noHBand="0" w:noVBand="1"/>
      </w:tblPr>
      <w:tblGrid>
        <w:gridCol w:w="1668"/>
        <w:gridCol w:w="4633"/>
        <w:gridCol w:w="3411"/>
      </w:tblGrid>
      <w:tr w:rsidR="006C7F34" w:rsidRPr="00E02D7A" w14:paraId="1B15E2AC" w14:textId="77777777" w:rsidTr="006C7F34">
        <w:trPr>
          <w:cantSplit/>
          <w:trHeight w:val="850"/>
          <w:jc w:val="right"/>
        </w:trPr>
        <w:tc>
          <w:tcPr>
            <w:tcW w:w="1668" w:type="dxa"/>
            <w:hideMark/>
          </w:tcPr>
          <w:p w14:paraId="6B69EF7B" w14:textId="77777777" w:rsidR="006C7F34" w:rsidRPr="00E02D7A" w:rsidRDefault="006C7F34">
            <w:pPr>
              <w:rPr>
                <w:rFonts w:ascii="Univers" w:hAnsi="Univers"/>
                <w:b/>
                <w:noProof/>
                <w:sz w:val="27"/>
                <w:szCs w:val="27"/>
                <w:lang w:val="es-ES" w:eastAsia="zh-CN"/>
              </w:rPr>
            </w:pPr>
            <w:r w:rsidRPr="00E02D7A">
              <w:rPr>
                <w:rFonts w:ascii="Arial" w:hAnsi="Arial" w:cs="Arial"/>
                <w:b/>
                <w:noProof/>
                <w:sz w:val="27"/>
                <w:szCs w:val="27"/>
                <w:lang w:val="es-ES" w:eastAsia="zh-CN"/>
              </w:rPr>
              <w:t>NACIONES UNIDAS</w:t>
            </w:r>
          </w:p>
        </w:tc>
        <w:tc>
          <w:tcPr>
            <w:tcW w:w="4633" w:type="dxa"/>
          </w:tcPr>
          <w:p w14:paraId="5A152AE2" w14:textId="77777777" w:rsidR="006C7F34" w:rsidRPr="00E02D7A" w:rsidRDefault="006C7F34">
            <w:pPr>
              <w:rPr>
                <w:rFonts w:ascii="Univers" w:hAnsi="Univers"/>
                <w:b/>
                <w:sz w:val="27"/>
                <w:szCs w:val="27"/>
                <w:lang w:val="es-ES" w:eastAsia="zh-CN"/>
              </w:rPr>
            </w:pPr>
          </w:p>
        </w:tc>
        <w:tc>
          <w:tcPr>
            <w:tcW w:w="3411" w:type="dxa"/>
            <w:hideMark/>
          </w:tcPr>
          <w:p w14:paraId="791AFAD6" w14:textId="77777777" w:rsidR="006C7F34" w:rsidRPr="00E02D7A" w:rsidRDefault="006C7F34">
            <w:pPr>
              <w:jc w:val="right"/>
              <w:rPr>
                <w:rFonts w:ascii="Arial" w:hAnsi="Arial" w:cs="Arial"/>
                <w:b/>
                <w:sz w:val="64"/>
                <w:szCs w:val="64"/>
                <w:lang w:val="es-ES" w:eastAsia="zh-CN"/>
              </w:rPr>
            </w:pPr>
            <w:r w:rsidRPr="00E02D7A">
              <w:rPr>
                <w:rFonts w:ascii="Arial" w:hAnsi="Arial" w:cs="Arial"/>
                <w:b/>
                <w:sz w:val="64"/>
                <w:szCs w:val="64"/>
                <w:lang w:val="es-ES" w:eastAsia="zh-CN"/>
              </w:rPr>
              <w:t>MC</w:t>
            </w:r>
          </w:p>
        </w:tc>
      </w:tr>
      <w:tr w:rsidR="006C7F34" w:rsidRPr="00E02D7A" w14:paraId="427B77FF" w14:textId="77777777" w:rsidTr="006C7F34">
        <w:trPr>
          <w:cantSplit/>
          <w:trHeight w:val="281"/>
          <w:jc w:val="right"/>
        </w:trPr>
        <w:tc>
          <w:tcPr>
            <w:tcW w:w="1668" w:type="dxa"/>
            <w:tcBorders>
              <w:top w:val="nil"/>
              <w:left w:val="nil"/>
              <w:bottom w:val="single" w:sz="4" w:space="0" w:color="auto"/>
              <w:right w:val="nil"/>
            </w:tcBorders>
          </w:tcPr>
          <w:p w14:paraId="31A5AEC9" w14:textId="77777777" w:rsidR="006C7F34" w:rsidRPr="00E02D7A" w:rsidRDefault="006C7F34">
            <w:pPr>
              <w:rPr>
                <w:noProof/>
                <w:sz w:val="18"/>
                <w:szCs w:val="18"/>
                <w:lang w:val="es-ES" w:eastAsia="zh-CN"/>
              </w:rPr>
            </w:pPr>
          </w:p>
        </w:tc>
        <w:tc>
          <w:tcPr>
            <w:tcW w:w="4633" w:type="dxa"/>
            <w:tcBorders>
              <w:top w:val="nil"/>
              <w:left w:val="nil"/>
              <w:bottom w:val="single" w:sz="4" w:space="0" w:color="auto"/>
              <w:right w:val="nil"/>
            </w:tcBorders>
          </w:tcPr>
          <w:p w14:paraId="3C2F27BE" w14:textId="77777777" w:rsidR="006C7F34" w:rsidRPr="00E02D7A" w:rsidRDefault="006C7F34">
            <w:pPr>
              <w:rPr>
                <w:rFonts w:ascii="Univers" w:hAnsi="Univers"/>
                <w:b/>
                <w:sz w:val="18"/>
                <w:szCs w:val="18"/>
                <w:lang w:val="es-ES" w:eastAsia="zh-CN"/>
              </w:rPr>
            </w:pPr>
          </w:p>
        </w:tc>
        <w:tc>
          <w:tcPr>
            <w:tcW w:w="3411" w:type="dxa"/>
            <w:tcBorders>
              <w:top w:val="nil"/>
              <w:left w:val="nil"/>
              <w:bottom w:val="single" w:sz="4" w:space="0" w:color="auto"/>
              <w:right w:val="nil"/>
            </w:tcBorders>
            <w:hideMark/>
          </w:tcPr>
          <w:p w14:paraId="78146BE0" w14:textId="1B7B561F" w:rsidR="006C7F34" w:rsidRPr="00E02D7A" w:rsidRDefault="006C7F34">
            <w:pPr>
              <w:rPr>
                <w:noProof/>
                <w:sz w:val="18"/>
                <w:szCs w:val="18"/>
                <w:lang w:val="es-ES" w:eastAsia="zh-CN"/>
              </w:rPr>
            </w:pPr>
            <w:r w:rsidRPr="00E02D7A">
              <w:rPr>
                <w:b/>
                <w:bCs/>
                <w:sz w:val="28"/>
                <w:lang w:val="es-ES" w:eastAsia="zh-CN"/>
              </w:rPr>
              <w:t>UNEP</w:t>
            </w:r>
            <w:r w:rsidRPr="00E02D7A">
              <w:rPr>
                <w:b/>
                <w:bCs/>
                <w:lang w:val="es-ES" w:eastAsia="zh-CN"/>
              </w:rPr>
              <w:t>/</w:t>
            </w:r>
            <w:r w:rsidRPr="00E02D7A">
              <w:rPr>
                <w:lang w:val="es-ES" w:eastAsia="zh-CN"/>
              </w:rPr>
              <w:t>MC/COP.1/24</w:t>
            </w:r>
          </w:p>
        </w:tc>
      </w:tr>
      <w:tr w:rsidR="006C7F34" w:rsidRPr="00E02D7A" w14:paraId="2873BDC2" w14:textId="77777777" w:rsidTr="006C7F34">
        <w:trPr>
          <w:cantSplit/>
          <w:trHeight w:val="2549"/>
          <w:jc w:val="right"/>
        </w:trPr>
        <w:tc>
          <w:tcPr>
            <w:tcW w:w="1668" w:type="dxa"/>
            <w:tcBorders>
              <w:top w:val="single" w:sz="4" w:space="0" w:color="auto"/>
              <w:left w:val="nil"/>
              <w:bottom w:val="single" w:sz="24" w:space="0" w:color="auto"/>
              <w:right w:val="nil"/>
            </w:tcBorders>
            <w:hideMark/>
          </w:tcPr>
          <w:p w14:paraId="15B742A3" w14:textId="0825A8EA" w:rsidR="006C7F34" w:rsidRPr="00E02D7A" w:rsidRDefault="006C7F34">
            <w:pPr>
              <w:rPr>
                <w:noProof/>
                <w:lang w:val="es-ES" w:eastAsia="zh-CN"/>
              </w:rPr>
            </w:pPr>
            <w:r w:rsidRPr="00E02D7A">
              <w:rPr>
                <w:noProof/>
                <w:lang w:val="es-ES" w:eastAsia="zh-CN"/>
              </w:rPr>
              <w:object w:dxaOrig="1305" w:dyaOrig="1215" w14:anchorId="373F6D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5pt;height:60.65pt" o:ole="" fillcolor="window">
                  <v:imagedata r:id="rId9" o:title=""/>
                </v:shape>
                <o:OLEObject Type="Embed" ProgID="Word.Picture.8" ShapeID="_x0000_i1025" DrawAspect="Content" ObjectID="_1560167646" r:id="rId10"/>
              </w:object>
            </w:r>
            <w:r w:rsidRPr="00E02D7A">
              <w:rPr>
                <w:noProof/>
                <w:lang w:val="es-ES" w:eastAsia="es-ES"/>
              </w:rPr>
              <w:drawing>
                <wp:inline distT="0" distB="0" distL="0" distR="0" wp14:anchorId="1759CF14" wp14:editId="069B1FF5">
                  <wp:extent cx="723265" cy="770890"/>
                  <wp:effectExtent l="0" t="0" r="635" b="0"/>
                  <wp:docPr id="3" name="Picture 3" descr="Description: 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E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265" cy="770890"/>
                          </a:xfrm>
                          <a:prstGeom prst="rect">
                            <a:avLst/>
                          </a:prstGeom>
                          <a:noFill/>
                          <a:ln>
                            <a:noFill/>
                          </a:ln>
                        </pic:spPr>
                      </pic:pic>
                    </a:graphicData>
                  </a:graphic>
                </wp:inline>
              </w:drawing>
            </w:r>
          </w:p>
        </w:tc>
        <w:tc>
          <w:tcPr>
            <w:tcW w:w="4633" w:type="dxa"/>
            <w:tcBorders>
              <w:top w:val="single" w:sz="4" w:space="0" w:color="auto"/>
              <w:left w:val="nil"/>
              <w:bottom w:val="single" w:sz="24" w:space="0" w:color="auto"/>
              <w:right w:val="nil"/>
            </w:tcBorders>
            <w:hideMark/>
          </w:tcPr>
          <w:p w14:paraId="32842841" w14:textId="77777777" w:rsidR="006C7F34" w:rsidRPr="00E02D7A" w:rsidRDefault="006C7F34">
            <w:pPr>
              <w:spacing w:before="1200"/>
              <w:rPr>
                <w:rFonts w:ascii="Arial" w:hAnsi="Arial" w:cs="Arial"/>
                <w:b/>
                <w:sz w:val="28"/>
                <w:lang w:val="es-ES" w:eastAsia="zh-CN"/>
              </w:rPr>
            </w:pPr>
            <w:r w:rsidRPr="00E02D7A">
              <w:rPr>
                <w:rFonts w:ascii="Arial" w:hAnsi="Arial" w:cs="Arial"/>
                <w:b/>
                <w:sz w:val="32"/>
                <w:szCs w:val="32"/>
                <w:lang w:val="es-ES" w:eastAsia="zh-CN"/>
              </w:rPr>
              <w:t xml:space="preserve">Programa de las </w:t>
            </w:r>
            <w:r w:rsidRPr="00E02D7A">
              <w:rPr>
                <w:rFonts w:ascii="Arial" w:hAnsi="Arial" w:cs="Arial"/>
                <w:b/>
                <w:sz w:val="32"/>
                <w:szCs w:val="32"/>
                <w:lang w:val="es-ES" w:eastAsia="zh-CN"/>
              </w:rPr>
              <w:br/>
              <w:t>Naciones Unidas para el Medio Ambiente</w:t>
            </w:r>
          </w:p>
        </w:tc>
        <w:tc>
          <w:tcPr>
            <w:tcW w:w="3411" w:type="dxa"/>
            <w:tcBorders>
              <w:top w:val="single" w:sz="4" w:space="0" w:color="auto"/>
              <w:left w:val="nil"/>
              <w:bottom w:val="single" w:sz="24" w:space="0" w:color="auto"/>
              <w:right w:val="nil"/>
            </w:tcBorders>
            <w:hideMark/>
          </w:tcPr>
          <w:p w14:paraId="13091291" w14:textId="1D2DEC83" w:rsidR="006C7F34" w:rsidRPr="00E02D7A" w:rsidRDefault="006C7F34">
            <w:pPr>
              <w:spacing w:before="120"/>
              <w:rPr>
                <w:lang w:val="es-ES" w:eastAsia="zh-CN"/>
              </w:rPr>
            </w:pPr>
            <w:r w:rsidRPr="00E02D7A">
              <w:rPr>
                <w:lang w:val="es-ES" w:eastAsia="zh-CN"/>
              </w:rPr>
              <w:t>Distr. general</w:t>
            </w:r>
            <w:r w:rsidRPr="00E02D7A">
              <w:rPr>
                <w:lang w:val="es-ES" w:eastAsia="zh-CN"/>
              </w:rPr>
              <w:br w:type="textWrapping" w:clear="all"/>
              <w:t>21 de abril de 2017</w:t>
            </w:r>
          </w:p>
          <w:p w14:paraId="5E1A0D0E" w14:textId="77777777" w:rsidR="006C7F34" w:rsidRPr="00E02D7A" w:rsidRDefault="006C7F34">
            <w:pPr>
              <w:spacing w:before="240"/>
              <w:rPr>
                <w:lang w:val="es-ES" w:eastAsia="zh-CN"/>
              </w:rPr>
            </w:pPr>
            <w:r w:rsidRPr="00E02D7A">
              <w:rPr>
                <w:lang w:val="es-ES" w:eastAsia="zh-CN"/>
              </w:rPr>
              <w:t xml:space="preserve">Español </w:t>
            </w:r>
            <w:r w:rsidRPr="00E02D7A">
              <w:rPr>
                <w:lang w:val="es-ES" w:eastAsia="zh-CN"/>
              </w:rPr>
              <w:br/>
              <w:t>Original: inglés</w:t>
            </w:r>
          </w:p>
        </w:tc>
      </w:tr>
    </w:tbl>
    <w:p w14:paraId="0897FB72" w14:textId="138E3240" w:rsidR="00E976AB" w:rsidRPr="00E02D7A" w:rsidRDefault="00C543FE" w:rsidP="00E976AB">
      <w:pPr>
        <w:pStyle w:val="AATitle"/>
        <w:keepNext w:val="0"/>
        <w:keepLines w:val="0"/>
        <w:rPr>
          <w:lang w:val="es-ES"/>
        </w:rPr>
      </w:pPr>
      <w:r w:rsidRPr="00E02D7A">
        <w:rPr>
          <w:lang w:val="es-ES"/>
        </w:rPr>
        <w:t xml:space="preserve">Conferencia de las Partes en el </w:t>
      </w:r>
      <w:r w:rsidR="00A6142E">
        <w:rPr>
          <w:lang w:val="es-ES"/>
        </w:rPr>
        <w:br/>
      </w:r>
      <w:r w:rsidR="00787688" w:rsidRPr="00E02D7A">
        <w:rPr>
          <w:lang w:val="es-ES"/>
        </w:rPr>
        <w:t>Convenio de Minamata sobre el Mercurio</w:t>
      </w:r>
    </w:p>
    <w:p w14:paraId="17BE80BB" w14:textId="069EA44C" w:rsidR="00E976AB" w:rsidRPr="00E02D7A" w:rsidRDefault="00787688" w:rsidP="00E976AB">
      <w:pPr>
        <w:pStyle w:val="AATitle"/>
        <w:keepNext w:val="0"/>
        <w:keepLines w:val="0"/>
        <w:rPr>
          <w:lang w:val="es-ES"/>
        </w:rPr>
      </w:pPr>
      <w:r w:rsidRPr="00E02D7A">
        <w:rPr>
          <w:lang w:val="es-ES"/>
        </w:rPr>
        <w:t>Primera reunión</w:t>
      </w:r>
    </w:p>
    <w:p w14:paraId="025D4C98" w14:textId="77777777" w:rsidR="00E976AB" w:rsidRPr="00E02D7A" w:rsidRDefault="00787688" w:rsidP="00465D27">
      <w:pPr>
        <w:pStyle w:val="AATitle"/>
        <w:rPr>
          <w:b w:val="0"/>
          <w:lang w:val="es-ES"/>
        </w:rPr>
      </w:pPr>
      <w:r w:rsidRPr="00E02D7A">
        <w:rPr>
          <w:b w:val="0"/>
          <w:lang w:val="es-ES"/>
        </w:rPr>
        <w:t>Ginebra, 24 a 29 de septiembre de 2017</w:t>
      </w:r>
    </w:p>
    <w:p w14:paraId="505021B5" w14:textId="416703A4" w:rsidR="00775D8D" w:rsidRPr="00E02D7A" w:rsidRDefault="00775D8D" w:rsidP="00775D8D">
      <w:pPr>
        <w:pStyle w:val="AATitle"/>
        <w:keepNext w:val="0"/>
        <w:keepLines w:val="0"/>
        <w:rPr>
          <w:b w:val="0"/>
          <w:lang w:val="es-ES"/>
        </w:rPr>
      </w:pPr>
      <w:r w:rsidRPr="00E02D7A">
        <w:rPr>
          <w:b w:val="0"/>
          <w:lang w:val="es-ES"/>
        </w:rPr>
        <w:t>Tema 6 f) del programa provisional</w:t>
      </w:r>
      <w:r w:rsidRPr="00E02D7A">
        <w:rPr>
          <w:b w:val="0"/>
          <w:lang w:val="es-ES"/>
        </w:rPr>
        <w:footnoteReference w:customMarkFollows="1" w:id="1"/>
        <w:t>*</w:t>
      </w:r>
    </w:p>
    <w:p w14:paraId="618B7ADC" w14:textId="434197A3" w:rsidR="00257CA5" w:rsidRPr="00E02D7A" w:rsidRDefault="00257CA5" w:rsidP="00257CA5">
      <w:pPr>
        <w:pStyle w:val="AATitle2"/>
        <w:spacing w:before="60"/>
        <w:rPr>
          <w:lang w:val="es-ES"/>
        </w:rPr>
      </w:pPr>
      <w:r w:rsidRPr="00E02D7A">
        <w:rPr>
          <w:lang w:val="es-ES"/>
        </w:rPr>
        <w:t>Cuestiones estipuladas po</w:t>
      </w:r>
      <w:bookmarkStart w:id="0" w:name="_GoBack"/>
      <w:bookmarkEnd w:id="0"/>
      <w:r w:rsidRPr="00E02D7A">
        <w:rPr>
          <w:lang w:val="es-ES"/>
        </w:rPr>
        <w:t xml:space="preserve">r el Convenio para la adopción de medidas por la Conferencia de las </w:t>
      </w:r>
      <w:r w:rsidR="00E6228F" w:rsidRPr="00E02D7A">
        <w:rPr>
          <w:lang w:val="es-ES"/>
        </w:rPr>
        <w:t>Partes: directrices a </w:t>
      </w:r>
      <w:r w:rsidR="008B1403" w:rsidRPr="00E02D7A">
        <w:rPr>
          <w:lang w:val="es-ES"/>
        </w:rPr>
        <w:t xml:space="preserve">las </w:t>
      </w:r>
      <w:r w:rsidRPr="00E02D7A">
        <w:rPr>
          <w:lang w:val="es-ES"/>
        </w:rPr>
        <w:t xml:space="preserve">que se hace referencia </w:t>
      </w:r>
      <w:r w:rsidR="00E6228F" w:rsidRPr="00E02D7A">
        <w:rPr>
          <w:lang w:val="es-ES"/>
        </w:rPr>
        <w:t>en los párrafos 7 a) y 7 b) del </w:t>
      </w:r>
      <w:r w:rsidRPr="00E02D7A">
        <w:rPr>
          <w:lang w:val="es-ES"/>
        </w:rPr>
        <w:t>artículo 9</w:t>
      </w:r>
    </w:p>
    <w:p w14:paraId="3EF52197" w14:textId="7C8EB827" w:rsidR="00257CA5" w:rsidRPr="00E02D7A" w:rsidRDefault="008B1403" w:rsidP="00257CA5">
      <w:pPr>
        <w:pStyle w:val="BBTitle"/>
        <w:rPr>
          <w:lang w:val="es-ES"/>
        </w:rPr>
      </w:pPr>
      <w:r w:rsidRPr="00E02D7A">
        <w:rPr>
          <w:lang w:val="es-ES"/>
        </w:rPr>
        <w:t>D</w:t>
      </w:r>
      <w:r w:rsidR="00257CA5" w:rsidRPr="00E02D7A">
        <w:rPr>
          <w:lang w:val="es-ES"/>
        </w:rPr>
        <w:t>irectrices en relación con las liberaciones de mercurio (artículo 9), en particular en lo que respecta a las mejores técnicas disponibles y mejores prácticas ambie</w:t>
      </w:r>
      <w:r w:rsidR="00E6228F" w:rsidRPr="00E02D7A">
        <w:rPr>
          <w:lang w:val="es-ES"/>
        </w:rPr>
        <w:t>ntales (párrafo 7 </w:t>
      </w:r>
      <w:r w:rsidR="00257CA5" w:rsidRPr="00E02D7A">
        <w:rPr>
          <w:lang w:val="es-ES"/>
        </w:rPr>
        <w:t xml:space="preserve">a)) y metodología para la preparación de inventarios de liberaciones (párrafo 7 b)) </w:t>
      </w:r>
    </w:p>
    <w:p w14:paraId="5D166543" w14:textId="0348E085" w:rsidR="00257CA5" w:rsidRPr="00E02D7A" w:rsidRDefault="00F84830" w:rsidP="00257CA5">
      <w:pPr>
        <w:pStyle w:val="CH2"/>
        <w:rPr>
          <w:lang w:val="es-ES"/>
        </w:rPr>
      </w:pPr>
      <w:r w:rsidRPr="00E02D7A">
        <w:rPr>
          <w:lang w:val="es-ES"/>
        </w:rPr>
        <w:tab/>
      </w:r>
      <w:r w:rsidRPr="00E02D7A">
        <w:rPr>
          <w:lang w:val="es-ES"/>
        </w:rPr>
        <w:tab/>
        <w:t>Nota de la s</w:t>
      </w:r>
      <w:r w:rsidR="00257CA5" w:rsidRPr="00E02D7A">
        <w:rPr>
          <w:lang w:val="es-ES"/>
        </w:rPr>
        <w:t>ecretaría</w:t>
      </w:r>
    </w:p>
    <w:p w14:paraId="3F379927" w14:textId="50A36FAC" w:rsidR="00257CA5" w:rsidRPr="00E02D7A" w:rsidRDefault="001846BA" w:rsidP="00E6228F">
      <w:pPr>
        <w:pStyle w:val="Normalnumber"/>
        <w:tabs>
          <w:tab w:val="clear" w:pos="624"/>
        </w:tabs>
        <w:ind w:left="1247" w:firstLine="0"/>
        <w:rPr>
          <w:lang w:val="es-ES"/>
        </w:rPr>
      </w:pPr>
      <w:r w:rsidRPr="00E02D7A">
        <w:rPr>
          <w:lang w:val="es-ES"/>
        </w:rPr>
        <w:t>El párrafo 7 del artículo 9 del Convenio de Minamata sobre el Mercurio establece que la Conferencia de las Partes, tan pronto como sea factible, aprobará directrices sobre las mejores técnicas disponibles y las mejores prácticas ambientales, teniendo en cuenta las posibles diferencias entre las fuentes nuevas y las existentes, así como la necesidad de reducir al mínimo los efectos cruzados entre los distintos medios; y una orientación sobre la metodología para l</w:t>
      </w:r>
      <w:r w:rsidR="00E02D7A" w:rsidRPr="00E02D7A">
        <w:rPr>
          <w:lang w:val="es-ES"/>
        </w:rPr>
        <w:t>a preparación de inventarios de </w:t>
      </w:r>
      <w:r w:rsidRPr="00E02D7A">
        <w:rPr>
          <w:lang w:val="es-ES"/>
        </w:rPr>
        <w:t xml:space="preserve">liberaciones. </w:t>
      </w:r>
    </w:p>
    <w:p w14:paraId="52FB3087" w14:textId="1EF9AE51" w:rsidR="00257CA5" w:rsidRPr="00E02D7A" w:rsidRDefault="00A06DD9" w:rsidP="00E6228F">
      <w:pPr>
        <w:pStyle w:val="Normalnumber"/>
        <w:tabs>
          <w:tab w:val="clear" w:pos="624"/>
        </w:tabs>
        <w:ind w:left="1247" w:firstLine="0"/>
        <w:rPr>
          <w:lang w:val="es-ES"/>
        </w:rPr>
      </w:pPr>
      <w:r w:rsidRPr="00E02D7A">
        <w:rPr>
          <w:lang w:val="es-ES"/>
        </w:rPr>
        <w:t xml:space="preserve">Aún no se ha iniciado la preparación de las directrices sobre las mejores técnicas disponibles y las mejores prácticas ambientales para su posible adopción. En la preparación de esas directrices se precisa información sobre las categorías pertinentes de fuentes puntuales que habrá de determinar cada Parte, de conformidad con el párrafo 3 del artículo 9, a más tardar tres años después de la fecha de entrada en vigor del Convenio para esa Parte. Por tanto, solo se podrá comenzar la labor a ese respecto una vez que se hayan determinado las fuentes puntuales pertinentes, y se prevé que sea necesario recabar aportaciones de expertos técnicos. </w:t>
      </w:r>
    </w:p>
    <w:p w14:paraId="09819033" w14:textId="7B241E0B" w:rsidR="00257CA5" w:rsidRPr="00E02D7A" w:rsidRDefault="00257CA5" w:rsidP="00E6228F">
      <w:pPr>
        <w:pStyle w:val="Normalnumber"/>
        <w:tabs>
          <w:tab w:val="clear" w:pos="624"/>
        </w:tabs>
        <w:ind w:left="1247" w:firstLine="0"/>
        <w:rPr>
          <w:lang w:val="es-ES"/>
        </w:rPr>
      </w:pPr>
      <w:r w:rsidRPr="00E02D7A">
        <w:rPr>
          <w:lang w:val="es-ES"/>
        </w:rPr>
        <w:t xml:space="preserve">En relación con la elaboración de la orientación sobre la metodología para la preparación de inventarios de liberaciones, en su sexto período de sesiones, el Comité Intergubernamental de Negociación encargado de elaborar un instrumento jurídicamente vinculante a nivel mundial sobre el mercurio examinó la cuestión y señaló que la labor que en esos momentos llevaba a cabo el grupo de expertos técnicos establecido por la Conferencia de Plenipotenciarios para elaborar las directrices que se pedían en el artículo 8, sobre las emisiones, guardaba relación con las cuestiones relativas a las emisiones. Se señaló además que el instrumental del PNUMA para la identificación y cuantificación de las liberaciones de mercurio resultaba de gran utilidad para los países a la hora de evaluar sus liberaciones, y les ayudaría a determinar qué fuentes de liberaciones podrían considerarse pertinentes y </w:t>
      </w:r>
      <w:r w:rsidRPr="00E02D7A">
        <w:rPr>
          <w:lang w:val="es-ES"/>
        </w:rPr>
        <w:lastRenderedPageBreak/>
        <w:t>requerir la adopción de medidas en el marco del Convenio. El Comité tomó nota del informe que proporcionaba información inicial sobre las fuentes de liberaciones y la metodología para la preparación de inventarios (UNEP(DTIE)/Hg/INC.6/15), y dijo que aguardaba con interés los resultados de la continuación de la labor del grupo de expertos técnicos al respecto.</w:t>
      </w:r>
    </w:p>
    <w:p w14:paraId="4A85B03F" w14:textId="04088529" w:rsidR="00257CA5" w:rsidRPr="00E02D7A" w:rsidRDefault="00257CA5" w:rsidP="00E6228F">
      <w:pPr>
        <w:pStyle w:val="Normalnumber"/>
        <w:tabs>
          <w:tab w:val="clear" w:pos="624"/>
        </w:tabs>
        <w:ind w:left="1247" w:firstLine="0"/>
        <w:rPr>
          <w:lang w:val="es-ES"/>
        </w:rPr>
      </w:pPr>
      <w:r w:rsidRPr="00E02D7A">
        <w:rPr>
          <w:lang w:val="es-ES"/>
        </w:rPr>
        <w:t>En su séptimo período de sesiones, el Comité Intergubernamental de Negociación aprobó, con carácter provisional, a la espera de su aprobación oficial por la Conferencia de las Partes en su primera reunión, las orientaciones a las Partes sobre la metodología para la preparación de inventarios de las emisiones con arreglo al artículo 8</w:t>
      </w:r>
      <w:r w:rsidR="00D4423F">
        <w:rPr>
          <w:lang w:val="es-ES"/>
        </w:rPr>
        <w:t>.</w:t>
      </w:r>
      <w:r w:rsidRPr="00E02D7A">
        <w:rPr>
          <w:lang w:val="es-ES"/>
        </w:rPr>
        <w:t xml:space="preserve"> Las Directrices establecen una metodología por etapas que podría seguirse en la elaboración de un inventario, y hacen referencia al instrumental del PNUMA relativo a los inventarios. La metodología es genérica, aunque se ha diseñado teniendo en cuenta las fuentes de las emisiones y, por lo tanto, podría ser factible aplicarla más ampliamente en relación con las fuentes de liberaciones.</w:t>
      </w:r>
    </w:p>
    <w:p w14:paraId="05C731D0" w14:textId="7EDC8C3F" w:rsidR="00257CA5" w:rsidRPr="00E02D7A" w:rsidRDefault="00257CA5" w:rsidP="00DB457D">
      <w:pPr>
        <w:pStyle w:val="Normalnumber"/>
        <w:ind w:left="1247" w:firstLine="0"/>
        <w:rPr>
          <w:lang w:val="es-ES"/>
        </w:rPr>
      </w:pPr>
      <w:r w:rsidRPr="00E02D7A">
        <w:rPr>
          <w:lang w:val="es-ES"/>
        </w:rPr>
        <w:t xml:space="preserve">Cabe señalar que los países que se preparan para aplicar el Convenio, en particular los que reciben apoyo por intermedio de las evaluaciones iniciales del Convenio de Minamata financiadas por el Fondo para el Medio Ambiente Mundial, están realizando inventarios de todas las emisiones y liberaciones de mercurio en el plano nacional. Los inventarios ayudan a los países a determinar sus problemas con el mercurio y proporcionar información en relación con el proceso de examen jurídico y las decisiones sobre controles eficaces relacionados con el mercurio. Muchos países están llevando a cabo una evaluación de nivel uno utilizando el instrumental del PNUMA para la realización de inventarios, que permite identificar fuentes no cuantificadas, pero algunos países están llevando a cabo una evaluación más detallada de nivel dos, que incluye una evaluación y un examen más detallados de las liberaciones reales (y no de las estimadas). </w:t>
      </w:r>
    </w:p>
    <w:p w14:paraId="45CEB2A2" w14:textId="4CC30301" w:rsidR="00257CA5" w:rsidRPr="00E02D7A" w:rsidRDefault="00257CA5" w:rsidP="00DB457D">
      <w:pPr>
        <w:pStyle w:val="CH2"/>
        <w:rPr>
          <w:lang w:val="es-ES"/>
        </w:rPr>
      </w:pPr>
      <w:r w:rsidRPr="00E02D7A">
        <w:rPr>
          <w:lang w:val="es-ES"/>
        </w:rPr>
        <w:tab/>
      </w:r>
      <w:r w:rsidRPr="00E02D7A">
        <w:rPr>
          <w:lang w:val="es-ES"/>
        </w:rPr>
        <w:tab/>
        <w:t>Medidas que podría adoptar la Conferencia de las Partes</w:t>
      </w:r>
    </w:p>
    <w:p w14:paraId="25A7C1ED" w14:textId="323B8AF5" w:rsidR="00257CA5" w:rsidRPr="00E02D7A" w:rsidRDefault="00257CA5" w:rsidP="00E6228F">
      <w:pPr>
        <w:pStyle w:val="Normalnumber"/>
        <w:tabs>
          <w:tab w:val="clear" w:pos="624"/>
        </w:tabs>
        <w:ind w:left="1247" w:firstLine="0"/>
        <w:rPr>
          <w:lang w:val="es-ES"/>
        </w:rPr>
      </w:pPr>
      <w:r w:rsidRPr="00E02D7A">
        <w:rPr>
          <w:lang w:val="es-ES"/>
        </w:rPr>
        <w:t xml:space="preserve">La Conferencia </w:t>
      </w:r>
      <w:r w:rsidR="009A40FF">
        <w:rPr>
          <w:lang w:val="es-ES"/>
        </w:rPr>
        <w:t xml:space="preserve">de las Partes </w:t>
      </w:r>
      <w:r w:rsidRPr="00E02D7A">
        <w:rPr>
          <w:lang w:val="es-ES"/>
        </w:rPr>
        <w:t xml:space="preserve">tal vez desee alentar a las Partes y a los países a determinar las fuentes puntuales pertinentes a nivel nacional de conformidad con el párrafo 3 del artículo 9 a la </w:t>
      </w:r>
      <w:r w:rsidR="00F85110">
        <w:rPr>
          <w:lang w:val="es-ES"/>
        </w:rPr>
        <w:t>mayor brevedad posible –</w:t>
      </w:r>
      <w:r w:rsidRPr="00E02D7A">
        <w:rPr>
          <w:lang w:val="es-ES"/>
        </w:rPr>
        <w:t xml:space="preserve">es decir, antes del plazo </w:t>
      </w:r>
      <w:r w:rsidR="008B1403" w:rsidRPr="00E02D7A">
        <w:rPr>
          <w:lang w:val="es-ES"/>
        </w:rPr>
        <w:t>establecido</w:t>
      </w:r>
      <w:r w:rsidRPr="00E02D7A">
        <w:rPr>
          <w:lang w:val="es-ES"/>
        </w:rPr>
        <w:t xml:space="preserve">– y a presentar a </w:t>
      </w:r>
      <w:r w:rsidR="00F84830" w:rsidRPr="00E02D7A">
        <w:rPr>
          <w:lang w:val="es-ES"/>
        </w:rPr>
        <w:t>la s</w:t>
      </w:r>
      <w:r w:rsidRPr="00E02D7A">
        <w:rPr>
          <w:lang w:val="es-ES"/>
        </w:rPr>
        <w:t>ecretaría información sobre las fuentes identificadas y sobre la cantidad anual de liberaciones procedentes de esas fuentes. La Conferenci</w:t>
      </w:r>
      <w:r w:rsidR="00F84830" w:rsidRPr="00E02D7A">
        <w:rPr>
          <w:lang w:val="es-ES"/>
        </w:rPr>
        <w:t xml:space="preserve">a </w:t>
      </w:r>
      <w:r w:rsidR="009A40FF">
        <w:rPr>
          <w:lang w:val="es-ES"/>
        </w:rPr>
        <w:t xml:space="preserve">de las Partes </w:t>
      </w:r>
      <w:r w:rsidR="00F84830" w:rsidRPr="00E02D7A">
        <w:rPr>
          <w:lang w:val="es-ES"/>
        </w:rPr>
        <w:t>tal vez desee solicitar a la s</w:t>
      </w:r>
      <w:r w:rsidRPr="00E02D7A">
        <w:rPr>
          <w:lang w:val="es-ES"/>
        </w:rPr>
        <w:t xml:space="preserve">ecretaría que compile y analice la información presentada por las Partes y la remita a la Conferencia en su segunda reunión.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2"/>
        <w:gridCol w:w="1942"/>
        <w:gridCol w:w="1942"/>
        <w:gridCol w:w="1943"/>
        <w:gridCol w:w="1943"/>
      </w:tblGrid>
      <w:tr w:rsidR="000832C7" w:rsidRPr="009A40FF" w14:paraId="4FD71714" w14:textId="77777777" w:rsidTr="000832C7">
        <w:tc>
          <w:tcPr>
            <w:tcW w:w="1942" w:type="dxa"/>
          </w:tcPr>
          <w:p w14:paraId="74A6F6D0" w14:textId="77777777" w:rsidR="000832C7" w:rsidRPr="00E02D7A" w:rsidRDefault="000832C7" w:rsidP="000832C7">
            <w:pPr>
              <w:pStyle w:val="Normal-pool"/>
              <w:spacing w:before="520"/>
              <w:rPr>
                <w:lang w:val="es-ES"/>
              </w:rPr>
            </w:pPr>
          </w:p>
        </w:tc>
        <w:tc>
          <w:tcPr>
            <w:tcW w:w="1942" w:type="dxa"/>
          </w:tcPr>
          <w:p w14:paraId="44576ECA" w14:textId="77777777" w:rsidR="000832C7" w:rsidRPr="00E02D7A" w:rsidRDefault="000832C7" w:rsidP="000832C7">
            <w:pPr>
              <w:pStyle w:val="Normal-pool"/>
              <w:spacing w:before="520"/>
              <w:rPr>
                <w:lang w:val="es-ES"/>
              </w:rPr>
            </w:pPr>
          </w:p>
        </w:tc>
        <w:tc>
          <w:tcPr>
            <w:tcW w:w="1942" w:type="dxa"/>
            <w:tcBorders>
              <w:bottom w:val="single" w:sz="4" w:space="0" w:color="auto"/>
            </w:tcBorders>
          </w:tcPr>
          <w:p w14:paraId="69422481" w14:textId="77777777" w:rsidR="000832C7" w:rsidRPr="00E02D7A" w:rsidRDefault="000832C7" w:rsidP="000832C7">
            <w:pPr>
              <w:pStyle w:val="Normal-pool"/>
              <w:spacing w:before="520"/>
              <w:rPr>
                <w:lang w:val="es-ES"/>
              </w:rPr>
            </w:pPr>
          </w:p>
        </w:tc>
        <w:tc>
          <w:tcPr>
            <w:tcW w:w="1943" w:type="dxa"/>
          </w:tcPr>
          <w:p w14:paraId="297F6300" w14:textId="77777777" w:rsidR="000832C7" w:rsidRPr="00E02D7A" w:rsidRDefault="000832C7" w:rsidP="000832C7">
            <w:pPr>
              <w:pStyle w:val="Normal-pool"/>
              <w:spacing w:before="520"/>
              <w:rPr>
                <w:lang w:val="es-ES"/>
              </w:rPr>
            </w:pPr>
          </w:p>
        </w:tc>
        <w:tc>
          <w:tcPr>
            <w:tcW w:w="1943" w:type="dxa"/>
          </w:tcPr>
          <w:p w14:paraId="1705AD53" w14:textId="77777777" w:rsidR="000832C7" w:rsidRPr="00E02D7A" w:rsidRDefault="000832C7" w:rsidP="000832C7">
            <w:pPr>
              <w:pStyle w:val="Normal-pool"/>
              <w:spacing w:before="520"/>
              <w:rPr>
                <w:lang w:val="es-ES"/>
              </w:rPr>
            </w:pPr>
          </w:p>
        </w:tc>
      </w:tr>
    </w:tbl>
    <w:p w14:paraId="099D3083" w14:textId="77777777" w:rsidR="00F83855" w:rsidRPr="00E02D7A" w:rsidRDefault="00F83855" w:rsidP="000832C7">
      <w:pPr>
        <w:pStyle w:val="Normal-pool"/>
        <w:rPr>
          <w:lang w:val="es-ES"/>
        </w:rPr>
      </w:pPr>
    </w:p>
    <w:sectPr w:rsidR="00F83855" w:rsidRPr="00E02D7A" w:rsidSect="00C6062B">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2C12AD" w15:done="0"/>
  <w15:commentEx w15:paraId="37228E53" w15:done="0"/>
  <w15:commentEx w15:paraId="39809848" w15:done="0"/>
  <w15:commentEx w15:paraId="791E2084" w15:done="0"/>
  <w15:commentEx w15:paraId="2BB64BB6" w15:done="0"/>
  <w15:commentEx w15:paraId="1F8525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88AC9" w14:textId="77777777" w:rsidR="006B36F7" w:rsidRDefault="006B36F7">
      <w:r>
        <w:separator/>
      </w:r>
    </w:p>
  </w:endnote>
  <w:endnote w:type="continuationSeparator" w:id="0">
    <w:p w14:paraId="21BE6F70" w14:textId="77777777" w:rsidR="006B36F7" w:rsidRDefault="006B3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9DB75" w14:textId="77777777" w:rsidR="00C870D8" w:rsidRDefault="00C870D8">
    <w:pPr>
      <w:pStyle w:val="Footer"/>
    </w:pPr>
    <w:r>
      <w:rPr>
        <w:rStyle w:val="PageNumber"/>
      </w:rPr>
      <w:fldChar w:fldCharType="begin"/>
    </w:r>
    <w:r>
      <w:rPr>
        <w:rStyle w:val="PageNumber"/>
      </w:rPr>
      <w:instrText xml:space="preserve"> PAGE </w:instrText>
    </w:r>
    <w:r>
      <w:rPr>
        <w:rStyle w:val="PageNumber"/>
      </w:rPr>
      <w:fldChar w:fldCharType="separate"/>
    </w:r>
    <w:r w:rsidR="00370428">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3D921" w14:textId="77777777" w:rsidR="00C870D8" w:rsidRDefault="00C870D8"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257CA5">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BE341" w14:textId="3360B7F1" w:rsidR="00C870D8" w:rsidRPr="00D4423F" w:rsidRDefault="00257CA5">
    <w:pPr>
      <w:pStyle w:val="Footer"/>
      <w:rPr>
        <w:sz w:val="20"/>
      </w:rPr>
    </w:pPr>
    <w:r w:rsidRPr="00D4423F">
      <w:rPr>
        <w:sz w:val="20"/>
        <w:lang w:val="es-ES"/>
      </w:rPr>
      <w:t>K</w:t>
    </w:r>
    <w:r w:rsidR="006C7F34" w:rsidRPr="00D4423F">
      <w:rPr>
        <w:sz w:val="20"/>
        <w:lang w:val="es-ES"/>
      </w:rPr>
      <w:t>1703760</w:t>
    </w:r>
    <w:r w:rsidR="006C7F34" w:rsidRPr="00D4423F">
      <w:rPr>
        <w:sz w:val="20"/>
        <w:lang w:val="es-ES"/>
      </w:rPr>
      <w:tab/>
      <w:t>2</w:t>
    </w:r>
    <w:r w:rsidR="009A40FF">
      <w:rPr>
        <w:sz w:val="20"/>
        <w:lang w:val="es-ES"/>
      </w:rPr>
      <w:t>8</w:t>
    </w:r>
    <w:r w:rsidR="006C7F34" w:rsidRPr="00D4423F">
      <w:rPr>
        <w:sz w:val="20"/>
        <w:lang w:val="es-ES"/>
      </w:rPr>
      <w:t>06</w:t>
    </w:r>
    <w:r w:rsidRPr="00D4423F">
      <w:rPr>
        <w:sz w:val="20"/>
        <w:lang w:val="es-ES"/>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4468E" w14:textId="77777777" w:rsidR="006B36F7" w:rsidRDefault="006B36F7" w:rsidP="00DB457D">
      <w:pPr>
        <w:tabs>
          <w:tab w:val="clear" w:pos="1247"/>
          <w:tab w:val="clear" w:pos="1814"/>
          <w:tab w:val="clear" w:pos="2381"/>
          <w:tab w:val="clear" w:pos="2948"/>
          <w:tab w:val="clear" w:pos="3515"/>
          <w:tab w:val="left" w:pos="624"/>
        </w:tabs>
        <w:spacing w:before="60"/>
        <w:ind w:left="624"/>
      </w:pPr>
      <w:r>
        <w:separator/>
      </w:r>
    </w:p>
  </w:footnote>
  <w:footnote w:type="continuationSeparator" w:id="0">
    <w:p w14:paraId="25A46722" w14:textId="77777777" w:rsidR="006B36F7" w:rsidRDefault="006B36F7">
      <w:r>
        <w:continuationSeparator/>
      </w:r>
    </w:p>
  </w:footnote>
  <w:footnote w:id="1">
    <w:p w14:paraId="5AD20420" w14:textId="77777777" w:rsidR="00C870D8" w:rsidRPr="00D4423F" w:rsidRDefault="00C870D8" w:rsidP="00DB457D">
      <w:pPr>
        <w:tabs>
          <w:tab w:val="clear" w:pos="1247"/>
          <w:tab w:val="clear" w:pos="1814"/>
          <w:tab w:val="clear" w:pos="2381"/>
          <w:tab w:val="clear" w:pos="2948"/>
          <w:tab w:val="clear" w:pos="3515"/>
          <w:tab w:val="left" w:pos="624"/>
        </w:tabs>
        <w:spacing w:before="20" w:after="40"/>
        <w:ind w:left="1247"/>
        <w:rPr>
          <w:sz w:val="18"/>
          <w:szCs w:val="18"/>
        </w:rPr>
      </w:pPr>
      <w:r w:rsidRPr="00D4423F">
        <w:rPr>
          <w:sz w:val="18"/>
          <w:szCs w:val="18"/>
          <w:lang w:val="es-ES"/>
        </w:rPr>
        <w:t>* UNEP/MC/COP.1/1.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12C64" w14:textId="11BC870E" w:rsidR="00C870D8" w:rsidRPr="00CA5CA9" w:rsidRDefault="00C870D8" w:rsidP="001A04AA">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2</w:t>
    </w:r>
    <w:r w:rsidR="00257CA5">
      <w:rPr>
        <w:szCs w:val="18"/>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6C210" w14:textId="76C4FF61" w:rsidR="00C870D8" w:rsidRPr="00CA5CA9" w:rsidRDefault="00370428" w:rsidP="001A04AA">
    <w:pPr>
      <w:pStyle w:val="Header"/>
      <w:jc w:val="right"/>
      <w:rPr>
        <w:szCs w:val="18"/>
      </w:rPr>
    </w:pPr>
    <w:r>
      <w:rPr>
        <w:noProof/>
        <w:lang w:val="en-GB"/>
      </w:rPr>
      <w:pict w14:anchorId="136DCF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25323" o:spid="_x0000_s2051" type="#_x0000_t136" style="position:absolute;left:0;text-align:left;margin-left:0;margin-top:0;width:520.65pt;height:148.75pt;rotation:315;z-index:-251658752;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C870D8" w:rsidRPr="00312543">
      <w:rPr>
        <w:bCs/>
        <w:szCs w:val="18"/>
      </w:rPr>
      <w:t>UNEP/MC/COP.1/</w:t>
    </w:r>
    <w:r w:rsidR="00C870D8">
      <w:rPr>
        <w:bCs/>
        <w:szCs w:val="18"/>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63D9A" w14:textId="5557509D" w:rsidR="00C870D8" w:rsidRDefault="00C870D8"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nsid w:val="4FF53DE2"/>
    <w:multiLevelType w:val="hybridMultilevel"/>
    <w:tmpl w:val="86DAFF5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5">
    <w:nsid w:val="52A66A9D"/>
    <w:multiLevelType w:val="multilevel"/>
    <w:tmpl w:val="BBB80F2E"/>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5"/>
  </w:num>
  <w:num w:numId="2">
    <w:abstractNumId w:val="1"/>
  </w:num>
  <w:num w:numId="3">
    <w:abstractNumId w:val="3"/>
  </w:num>
  <w:num w:numId="4">
    <w:abstractNumId w:val="5"/>
  </w:num>
  <w:num w:numId="5">
    <w:abstractNumId w:val="5"/>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2"/>
  </w:num>
  <w:num w:numId="7">
    <w:abstractNumId w:val="0"/>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5"/>
  </w:num>
  <w:num w:numId="14">
    <w:abstractNumId w:val="5"/>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 w:ilvl="0">
        <w:start w:val="1"/>
        <w:numFmt w:val="decimal"/>
        <w:pStyle w:val="Normalnumber"/>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righ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4"/>
  </w:num>
  <w:num w:numId="19">
    <w:abstractNumId w:val="5"/>
    <w:lvlOverride w:ilvl="1">
      <w:lvl w:ilvl="1">
        <w:start w:val="1"/>
        <w:numFmt w:val="lowerLetter"/>
        <w:lvlText w:val="(%2)"/>
        <w:lvlJc w:val="left"/>
        <w:pPr>
          <w:tabs>
            <w:tab w:val="num" w:pos="1134"/>
          </w:tabs>
          <w:ind w:left="1247" w:firstLine="567"/>
        </w:pPr>
        <w:rPr>
          <w:rFonts w:hint="default"/>
        </w:rPr>
      </w:lvl>
    </w:lvlOverride>
  </w:num>
  <w:num w:numId="20">
    <w:abstractNumId w:val="5"/>
    <w:lvlOverride w:ilvl="0">
      <w:startOverride w:val="6"/>
    </w:lvlOverride>
  </w:num>
  <w:num w:numId="21">
    <w:abstractNumId w:val="5"/>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2">
    <w:abstractNumId w:val="5"/>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3">
    <w:abstractNumId w:val="5"/>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4">
    <w:abstractNumId w:val="5"/>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5">
    <w:abstractNumId w:val="5"/>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6">
    <w:abstractNumId w:val="5"/>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7">
    <w:abstractNumId w:val="5"/>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16E8"/>
    <w:rsid w:val="000024A3"/>
    <w:rsid w:val="000149E6"/>
    <w:rsid w:val="00023DA9"/>
    <w:rsid w:val="000247B0"/>
    <w:rsid w:val="0002502C"/>
    <w:rsid w:val="00026997"/>
    <w:rsid w:val="00026A08"/>
    <w:rsid w:val="00032E4E"/>
    <w:rsid w:val="00033E0B"/>
    <w:rsid w:val="00035EDE"/>
    <w:rsid w:val="000509B4"/>
    <w:rsid w:val="000553F1"/>
    <w:rsid w:val="0006035B"/>
    <w:rsid w:val="0006096F"/>
    <w:rsid w:val="000649C5"/>
    <w:rsid w:val="00071886"/>
    <w:rsid w:val="000742BC"/>
    <w:rsid w:val="00075D5E"/>
    <w:rsid w:val="00076CC6"/>
    <w:rsid w:val="00082A0C"/>
    <w:rsid w:val="00082BFB"/>
    <w:rsid w:val="000832C7"/>
    <w:rsid w:val="00083504"/>
    <w:rsid w:val="000849CA"/>
    <w:rsid w:val="0009640C"/>
    <w:rsid w:val="000A035D"/>
    <w:rsid w:val="000A33DF"/>
    <w:rsid w:val="000A5627"/>
    <w:rsid w:val="000B22A2"/>
    <w:rsid w:val="000B5621"/>
    <w:rsid w:val="000B6C42"/>
    <w:rsid w:val="000B73F9"/>
    <w:rsid w:val="000C2A52"/>
    <w:rsid w:val="000D24D3"/>
    <w:rsid w:val="000D33C0"/>
    <w:rsid w:val="000D4CF6"/>
    <w:rsid w:val="000D6941"/>
    <w:rsid w:val="000E04CD"/>
    <w:rsid w:val="000F1B80"/>
    <w:rsid w:val="000F4829"/>
    <w:rsid w:val="000F6535"/>
    <w:rsid w:val="001143B8"/>
    <w:rsid w:val="001202E3"/>
    <w:rsid w:val="00120A86"/>
    <w:rsid w:val="00123699"/>
    <w:rsid w:val="001241FB"/>
    <w:rsid w:val="00126CBE"/>
    <w:rsid w:val="0013059D"/>
    <w:rsid w:val="00136187"/>
    <w:rsid w:val="00141A55"/>
    <w:rsid w:val="0014293F"/>
    <w:rsid w:val="0014397D"/>
    <w:rsid w:val="001446A3"/>
    <w:rsid w:val="00152B6B"/>
    <w:rsid w:val="00155395"/>
    <w:rsid w:val="00156B6B"/>
    <w:rsid w:val="00160D74"/>
    <w:rsid w:val="0016251F"/>
    <w:rsid w:val="001646EA"/>
    <w:rsid w:val="00167D02"/>
    <w:rsid w:val="001759D8"/>
    <w:rsid w:val="00177D7F"/>
    <w:rsid w:val="00180C3F"/>
    <w:rsid w:val="00181EC8"/>
    <w:rsid w:val="00184349"/>
    <w:rsid w:val="001846BA"/>
    <w:rsid w:val="00195F33"/>
    <w:rsid w:val="001A04AA"/>
    <w:rsid w:val="001B1617"/>
    <w:rsid w:val="001B504B"/>
    <w:rsid w:val="001B6F89"/>
    <w:rsid w:val="001B6F98"/>
    <w:rsid w:val="001C191A"/>
    <w:rsid w:val="001D3874"/>
    <w:rsid w:val="001D7E75"/>
    <w:rsid w:val="001E0D73"/>
    <w:rsid w:val="001E4028"/>
    <w:rsid w:val="001E45BD"/>
    <w:rsid w:val="001E56D2"/>
    <w:rsid w:val="001E7D56"/>
    <w:rsid w:val="001F0FBB"/>
    <w:rsid w:val="001F4EF3"/>
    <w:rsid w:val="001F75DE"/>
    <w:rsid w:val="00200D58"/>
    <w:rsid w:val="002011C1"/>
    <w:rsid w:val="002013BE"/>
    <w:rsid w:val="00201EDC"/>
    <w:rsid w:val="002063A4"/>
    <w:rsid w:val="0021145B"/>
    <w:rsid w:val="00220C23"/>
    <w:rsid w:val="002247F6"/>
    <w:rsid w:val="00225E21"/>
    <w:rsid w:val="002274D8"/>
    <w:rsid w:val="00234E78"/>
    <w:rsid w:val="00243D36"/>
    <w:rsid w:val="00246151"/>
    <w:rsid w:val="0024616E"/>
    <w:rsid w:val="00247707"/>
    <w:rsid w:val="00255632"/>
    <w:rsid w:val="00257CA5"/>
    <w:rsid w:val="0026018E"/>
    <w:rsid w:val="002623CD"/>
    <w:rsid w:val="00277CE2"/>
    <w:rsid w:val="0028635C"/>
    <w:rsid w:val="00286740"/>
    <w:rsid w:val="00291EAE"/>
    <w:rsid w:val="002929D8"/>
    <w:rsid w:val="0029570E"/>
    <w:rsid w:val="002A237D"/>
    <w:rsid w:val="002A4C53"/>
    <w:rsid w:val="002B0672"/>
    <w:rsid w:val="002B247F"/>
    <w:rsid w:val="002B50D4"/>
    <w:rsid w:val="002C145D"/>
    <w:rsid w:val="002C2C3E"/>
    <w:rsid w:val="002C533E"/>
    <w:rsid w:val="002D027F"/>
    <w:rsid w:val="002D3E15"/>
    <w:rsid w:val="002D7A85"/>
    <w:rsid w:val="002D7B60"/>
    <w:rsid w:val="002E6C80"/>
    <w:rsid w:val="002F4761"/>
    <w:rsid w:val="002F5C79"/>
    <w:rsid w:val="002F68EE"/>
    <w:rsid w:val="003019E2"/>
    <w:rsid w:val="00304499"/>
    <w:rsid w:val="00310B4B"/>
    <w:rsid w:val="00310BEB"/>
    <w:rsid w:val="00312543"/>
    <w:rsid w:val="0031413F"/>
    <w:rsid w:val="00314854"/>
    <w:rsid w:val="003148BB"/>
    <w:rsid w:val="00317976"/>
    <w:rsid w:val="00320F2F"/>
    <w:rsid w:val="00326E66"/>
    <w:rsid w:val="00332216"/>
    <w:rsid w:val="003338F7"/>
    <w:rsid w:val="00355EA9"/>
    <w:rsid w:val="003578DE"/>
    <w:rsid w:val="00361688"/>
    <w:rsid w:val="003616AB"/>
    <w:rsid w:val="00361855"/>
    <w:rsid w:val="00370428"/>
    <w:rsid w:val="00372443"/>
    <w:rsid w:val="00377FD5"/>
    <w:rsid w:val="003877D5"/>
    <w:rsid w:val="003929B8"/>
    <w:rsid w:val="00396257"/>
    <w:rsid w:val="00397EB8"/>
    <w:rsid w:val="003A4FD0"/>
    <w:rsid w:val="003A69D1"/>
    <w:rsid w:val="003A7705"/>
    <w:rsid w:val="003A77F1"/>
    <w:rsid w:val="003B1545"/>
    <w:rsid w:val="003C2885"/>
    <w:rsid w:val="003C3219"/>
    <w:rsid w:val="003C34B1"/>
    <w:rsid w:val="003C409D"/>
    <w:rsid w:val="003C5583"/>
    <w:rsid w:val="003C5BA6"/>
    <w:rsid w:val="003C74CF"/>
    <w:rsid w:val="003D2FCB"/>
    <w:rsid w:val="003D3752"/>
    <w:rsid w:val="003E35DA"/>
    <w:rsid w:val="003E455D"/>
    <w:rsid w:val="003F0E85"/>
    <w:rsid w:val="003F10BE"/>
    <w:rsid w:val="003F5F95"/>
    <w:rsid w:val="003F7333"/>
    <w:rsid w:val="00410C55"/>
    <w:rsid w:val="00415FE6"/>
    <w:rsid w:val="00416854"/>
    <w:rsid w:val="00417725"/>
    <w:rsid w:val="00420709"/>
    <w:rsid w:val="004375DD"/>
    <w:rsid w:val="00437F26"/>
    <w:rsid w:val="00444097"/>
    <w:rsid w:val="00445487"/>
    <w:rsid w:val="0044713F"/>
    <w:rsid w:val="00447E0D"/>
    <w:rsid w:val="00453A68"/>
    <w:rsid w:val="00454769"/>
    <w:rsid w:val="00465D27"/>
    <w:rsid w:val="00466991"/>
    <w:rsid w:val="0047064C"/>
    <w:rsid w:val="004822B7"/>
    <w:rsid w:val="00483E03"/>
    <w:rsid w:val="004844FA"/>
    <w:rsid w:val="0049469E"/>
    <w:rsid w:val="004A2217"/>
    <w:rsid w:val="004A24F9"/>
    <w:rsid w:val="004A42E1"/>
    <w:rsid w:val="004B162C"/>
    <w:rsid w:val="004B2ABE"/>
    <w:rsid w:val="004C3DBE"/>
    <w:rsid w:val="004C5C96"/>
    <w:rsid w:val="004D06A4"/>
    <w:rsid w:val="004F1A81"/>
    <w:rsid w:val="004F3976"/>
    <w:rsid w:val="005050D2"/>
    <w:rsid w:val="005056F3"/>
    <w:rsid w:val="00511D7B"/>
    <w:rsid w:val="0051272E"/>
    <w:rsid w:val="00514C13"/>
    <w:rsid w:val="00516D71"/>
    <w:rsid w:val="005218D9"/>
    <w:rsid w:val="00521EED"/>
    <w:rsid w:val="0052216E"/>
    <w:rsid w:val="00534903"/>
    <w:rsid w:val="005360CF"/>
    <w:rsid w:val="00536186"/>
    <w:rsid w:val="00544CBB"/>
    <w:rsid w:val="00545499"/>
    <w:rsid w:val="005656D7"/>
    <w:rsid w:val="00567280"/>
    <w:rsid w:val="00571C42"/>
    <w:rsid w:val="0057315F"/>
    <w:rsid w:val="005738A4"/>
    <w:rsid w:val="00576104"/>
    <w:rsid w:val="00580923"/>
    <w:rsid w:val="00584860"/>
    <w:rsid w:val="00592B21"/>
    <w:rsid w:val="005B44BF"/>
    <w:rsid w:val="005B66F5"/>
    <w:rsid w:val="005C4DFD"/>
    <w:rsid w:val="005C67C8"/>
    <w:rsid w:val="005C7803"/>
    <w:rsid w:val="005D0249"/>
    <w:rsid w:val="005D18FA"/>
    <w:rsid w:val="005D2120"/>
    <w:rsid w:val="005D25CF"/>
    <w:rsid w:val="005D4FD4"/>
    <w:rsid w:val="005D6E8C"/>
    <w:rsid w:val="005E3004"/>
    <w:rsid w:val="005E3C86"/>
    <w:rsid w:val="005F100C"/>
    <w:rsid w:val="005F68DA"/>
    <w:rsid w:val="00601BC9"/>
    <w:rsid w:val="0060773B"/>
    <w:rsid w:val="00613FD6"/>
    <w:rsid w:val="00614E24"/>
    <w:rsid w:val="006157B5"/>
    <w:rsid w:val="00617224"/>
    <w:rsid w:val="00620222"/>
    <w:rsid w:val="006233C8"/>
    <w:rsid w:val="00624B58"/>
    <w:rsid w:val="00626FC6"/>
    <w:rsid w:val="006303B4"/>
    <w:rsid w:val="00630ADC"/>
    <w:rsid w:val="00633D3D"/>
    <w:rsid w:val="006343C4"/>
    <w:rsid w:val="006368F1"/>
    <w:rsid w:val="00641703"/>
    <w:rsid w:val="006431A6"/>
    <w:rsid w:val="00643B4C"/>
    <w:rsid w:val="00643E3A"/>
    <w:rsid w:val="006459F6"/>
    <w:rsid w:val="006501AD"/>
    <w:rsid w:val="00651BFA"/>
    <w:rsid w:val="006534F9"/>
    <w:rsid w:val="00654475"/>
    <w:rsid w:val="00655560"/>
    <w:rsid w:val="00656DF0"/>
    <w:rsid w:val="00661446"/>
    <w:rsid w:val="00665A4B"/>
    <w:rsid w:val="00665D0D"/>
    <w:rsid w:val="00684BE1"/>
    <w:rsid w:val="00692E2A"/>
    <w:rsid w:val="006A76F2"/>
    <w:rsid w:val="006A7DE0"/>
    <w:rsid w:val="006B36F7"/>
    <w:rsid w:val="006B6333"/>
    <w:rsid w:val="006C7F34"/>
    <w:rsid w:val="006D19D4"/>
    <w:rsid w:val="006D7EFB"/>
    <w:rsid w:val="006E6672"/>
    <w:rsid w:val="006E6722"/>
    <w:rsid w:val="006F0D46"/>
    <w:rsid w:val="006F7AFF"/>
    <w:rsid w:val="007027B9"/>
    <w:rsid w:val="007066B5"/>
    <w:rsid w:val="007145DA"/>
    <w:rsid w:val="00715E88"/>
    <w:rsid w:val="00721A6D"/>
    <w:rsid w:val="007334E8"/>
    <w:rsid w:val="00734CAA"/>
    <w:rsid w:val="00741552"/>
    <w:rsid w:val="00742680"/>
    <w:rsid w:val="007551E2"/>
    <w:rsid w:val="0075533C"/>
    <w:rsid w:val="00755A53"/>
    <w:rsid w:val="00757581"/>
    <w:rsid w:val="007602F5"/>
    <w:rsid w:val="00760D36"/>
    <w:rsid w:val="007611A0"/>
    <w:rsid w:val="00773E54"/>
    <w:rsid w:val="00774E34"/>
    <w:rsid w:val="00775D8D"/>
    <w:rsid w:val="0078489D"/>
    <w:rsid w:val="00787240"/>
    <w:rsid w:val="00787688"/>
    <w:rsid w:val="007935E6"/>
    <w:rsid w:val="00796D3F"/>
    <w:rsid w:val="007A057C"/>
    <w:rsid w:val="007A1683"/>
    <w:rsid w:val="007A3DC0"/>
    <w:rsid w:val="007A5C12"/>
    <w:rsid w:val="007A7CB0"/>
    <w:rsid w:val="007B68A3"/>
    <w:rsid w:val="007C2541"/>
    <w:rsid w:val="007D66A8"/>
    <w:rsid w:val="007E003F"/>
    <w:rsid w:val="007E5F07"/>
    <w:rsid w:val="007F0CF8"/>
    <w:rsid w:val="007F62CB"/>
    <w:rsid w:val="00805335"/>
    <w:rsid w:val="008142EC"/>
    <w:rsid w:val="008164F2"/>
    <w:rsid w:val="00821395"/>
    <w:rsid w:val="00830E26"/>
    <w:rsid w:val="00833D15"/>
    <w:rsid w:val="00843576"/>
    <w:rsid w:val="00843B64"/>
    <w:rsid w:val="008473F4"/>
    <w:rsid w:val="008478FC"/>
    <w:rsid w:val="00851756"/>
    <w:rsid w:val="00851C51"/>
    <w:rsid w:val="00856CDB"/>
    <w:rsid w:val="00867A15"/>
    <w:rsid w:val="00867BFF"/>
    <w:rsid w:val="00871542"/>
    <w:rsid w:val="00871E08"/>
    <w:rsid w:val="00872BF6"/>
    <w:rsid w:val="0088480A"/>
    <w:rsid w:val="0088757A"/>
    <w:rsid w:val="0089431B"/>
    <w:rsid w:val="00894479"/>
    <w:rsid w:val="00894DA2"/>
    <w:rsid w:val="00895668"/>
    <w:rsid w:val="008957DD"/>
    <w:rsid w:val="00897D98"/>
    <w:rsid w:val="008A2570"/>
    <w:rsid w:val="008A2F23"/>
    <w:rsid w:val="008A6DF2"/>
    <w:rsid w:val="008A7807"/>
    <w:rsid w:val="008B0CED"/>
    <w:rsid w:val="008B1403"/>
    <w:rsid w:val="008B4CC9"/>
    <w:rsid w:val="008C5FFF"/>
    <w:rsid w:val="008D4EF1"/>
    <w:rsid w:val="008D75E4"/>
    <w:rsid w:val="008D7C99"/>
    <w:rsid w:val="008E0FCB"/>
    <w:rsid w:val="008F6DFE"/>
    <w:rsid w:val="009008EA"/>
    <w:rsid w:val="0090529F"/>
    <w:rsid w:val="00905742"/>
    <w:rsid w:val="00917EEE"/>
    <w:rsid w:val="0092178C"/>
    <w:rsid w:val="00922BA1"/>
    <w:rsid w:val="00930B88"/>
    <w:rsid w:val="00934554"/>
    <w:rsid w:val="00940DCC"/>
    <w:rsid w:val="0094179A"/>
    <w:rsid w:val="0094459E"/>
    <w:rsid w:val="00944DBC"/>
    <w:rsid w:val="00950977"/>
    <w:rsid w:val="00951A7B"/>
    <w:rsid w:val="009541FC"/>
    <w:rsid w:val="009564A6"/>
    <w:rsid w:val="00960425"/>
    <w:rsid w:val="00966A53"/>
    <w:rsid w:val="009671D6"/>
    <w:rsid w:val="00967621"/>
    <w:rsid w:val="00967E6A"/>
    <w:rsid w:val="009907B9"/>
    <w:rsid w:val="00990918"/>
    <w:rsid w:val="009A37FC"/>
    <w:rsid w:val="009A3A83"/>
    <w:rsid w:val="009A40FF"/>
    <w:rsid w:val="009B0D04"/>
    <w:rsid w:val="009B1C44"/>
    <w:rsid w:val="009B30FD"/>
    <w:rsid w:val="009B4A0F"/>
    <w:rsid w:val="009C11D2"/>
    <w:rsid w:val="009C3362"/>
    <w:rsid w:val="009C6C70"/>
    <w:rsid w:val="009C7B0A"/>
    <w:rsid w:val="009D0B63"/>
    <w:rsid w:val="009D32CE"/>
    <w:rsid w:val="009D5CB8"/>
    <w:rsid w:val="009E307E"/>
    <w:rsid w:val="009F7611"/>
    <w:rsid w:val="00A018C0"/>
    <w:rsid w:val="00A056B5"/>
    <w:rsid w:val="00A06DD9"/>
    <w:rsid w:val="00A07870"/>
    <w:rsid w:val="00A07C54"/>
    <w:rsid w:val="00A07F19"/>
    <w:rsid w:val="00A1348D"/>
    <w:rsid w:val="00A13C99"/>
    <w:rsid w:val="00A232EE"/>
    <w:rsid w:val="00A243E5"/>
    <w:rsid w:val="00A2589A"/>
    <w:rsid w:val="00A414F6"/>
    <w:rsid w:val="00A4175F"/>
    <w:rsid w:val="00A43A67"/>
    <w:rsid w:val="00A44411"/>
    <w:rsid w:val="00A469FA"/>
    <w:rsid w:val="00A53662"/>
    <w:rsid w:val="00A55B01"/>
    <w:rsid w:val="00A56158"/>
    <w:rsid w:val="00A56B5B"/>
    <w:rsid w:val="00A603FF"/>
    <w:rsid w:val="00A6142E"/>
    <w:rsid w:val="00A619B6"/>
    <w:rsid w:val="00A648CA"/>
    <w:rsid w:val="00A657DD"/>
    <w:rsid w:val="00A65D0C"/>
    <w:rsid w:val="00A666A6"/>
    <w:rsid w:val="00A675FD"/>
    <w:rsid w:val="00A72437"/>
    <w:rsid w:val="00A8048B"/>
    <w:rsid w:val="00A80611"/>
    <w:rsid w:val="00A91D38"/>
    <w:rsid w:val="00A92050"/>
    <w:rsid w:val="00AA5BF4"/>
    <w:rsid w:val="00AB5340"/>
    <w:rsid w:val="00AC0A89"/>
    <w:rsid w:val="00AC62F0"/>
    <w:rsid w:val="00AC7252"/>
    <w:rsid w:val="00AC7C96"/>
    <w:rsid w:val="00AD4326"/>
    <w:rsid w:val="00AE237D"/>
    <w:rsid w:val="00AE38EB"/>
    <w:rsid w:val="00AE502A"/>
    <w:rsid w:val="00AF0010"/>
    <w:rsid w:val="00AF2C1F"/>
    <w:rsid w:val="00AF5E0F"/>
    <w:rsid w:val="00AF7A9F"/>
    <w:rsid w:val="00AF7C07"/>
    <w:rsid w:val="00B03C8E"/>
    <w:rsid w:val="00B03E98"/>
    <w:rsid w:val="00B06C64"/>
    <w:rsid w:val="00B11CAC"/>
    <w:rsid w:val="00B15A29"/>
    <w:rsid w:val="00B17A26"/>
    <w:rsid w:val="00B22C93"/>
    <w:rsid w:val="00B23F67"/>
    <w:rsid w:val="00B27589"/>
    <w:rsid w:val="00B3275B"/>
    <w:rsid w:val="00B405B7"/>
    <w:rsid w:val="00B45A38"/>
    <w:rsid w:val="00B52222"/>
    <w:rsid w:val="00B52581"/>
    <w:rsid w:val="00B531DA"/>
    <w:rsid w:val="00B54895"/>
    <w:rsid w:val="00B54FE7"/>
    <w:rsid w:val="00B62CB6"/>
    <w:rsid w:val="00B647C6"/>
    <w:rsid w:val="00B655F9"/>
    <w:rsid w:val="00B66901"/>
    <w:rsid w:val="00B70F47"/>
    <w:rsid w:val="00B71151"/>
    <w:rsid w:val="00B71E6D"/>
    <w:rsid w:val="00B72070"/>
    <w:rsid w:val="00B779E1"/>
    <w:rsid w:val="00B81E3A"/>
    <w:rsid w:val="00B85CFB"/>
    <w:rsid w:val="00B91EE1"/>
    <w:rsid w:val="00B94602"/>
    <w:rsid w:val="00BA0090"/>
    <w:rsid w:val="00BA1A67"/>
    <w:rsid w:val="00BA6A80"/>
    <w:rsid w:val="00BB3A5D"/>
    <w:rsid w:val="00BB4ABB"/>
    <w:rsid w:val="00BC041F"/>
    <w:rsid w:val="00BC5810"/>
    <w:rsid w:val="00BD506D"/>
    <w:rsid w:val="00BE5B5F"/>
    <w:rsid w:val="00BE7993"/>
    <w:rsid w:val="00BF5992"/>
    <w:rsid w:val="00C027FF"/>
    <w:rsid w:val="00C116AA"/>
    <w:rsid w:val="00C12FD1"/>
    <w:rsid w:val="00C168A7"/>
    <w:rsid w:val="00C172E3"/>
    <w:rsid w:val="00C20A2D"/>
    <w:rsid w:val="00C26F55"/>
    <w:rsid w:val="00C27DCA"/>
    <w:rsid w:val="00C30C63"/>
    <w:rsid w:val="00C30FF3"/>
    <w:rsid w:val="00C36B8B"/>
    <w:rsid w:val="00C415C1"/>
    <w:rsid w:val="00C47DBF"/>
    <w:rsid w:val="00C543FE"/>
    <w:rsid w:val="00C552FF"/>
    <w:rsid w:val="00C558DA"/>
    <w:rsid w:val="00C55AF3"/>
    <w:rsid w:val="00C57E56"/>
    <w:rsid w:val="00C6062B"/>
    <w:rsid w:val="00C724EE"/>
    <w:rsid w:val="00C75781"/>
    <w:rsid w:val="00C771A9"/>
    <w:rsid w:val="00C84759"/>
    <w:rsid w:val="00C854BD"/>
    <w:rsid w:val="00C870D8"/>
    <w:rsid w:val="00C87AAA"/>
    <w:rsid w:val="00C87EEF"/>
    <w:rsid w:val="00CA2EA3"/>
    <w:rsid w:val="00CA5CA9"/>
    <w:rsid w:val="00CA6C7F"/>
    <w:rsid w:val="00CB6B35"/>
    <w:rsid w:val="00CC0FC7"/>
    <w:rsid w:val="00CC10A6"/>
    <w:rsid w:val="00CD2011"/>
    <w:rsid w:val="00CD46C5"/>
    <w:rsid w:val="00CD5EB8"/>
    <w:rsid w:val="00CD7044"/>
    <w:rsid w:val="00CE08B9"/>
    <w:rsid w:val="00CE524C"/>
    <w:rsid w:val="00CF141F"/>
    <w:rsid w:val="00CF4777"/>
    <w:rsid w:val="00CF65C8"/>
    <w:rsid w:val="00D013F5"/>
    <w:rsid w:val="00D05E3F"/>
    <w:rsid w:val="00D067BB"/>
    <w:rsid w:val="00D1226D"/>
    <w:rsid w:val="00D1352A"/>
    <w:rsid w:val="00D15EC4"/>
    <w:rsid w:val="00D169AF"/>
    <w:rsid w:val="00D25249"/>
    <w:rsid w:val="00D3061E"/>
    <w:rsid w:val="00D37EBA"/>
    <w:rsid w:val="00D411B5"/>
    <w:rsid w:val="00D44172"/>
    <w:rsid w:val="00D4423F"/>
    <w:rsid w:val="00D47BE3"/>
    <w:rsid w:val="00D47E92"/>
    <w:rsid w:val="00D63B8C"/>
    <w:rsid w:val="00D651E4"/>
    <w:rsid w:val="00D739CC"/>
    <w:rsid w:val="00D8093D"/>
    <w:rsid w:val="00D8108C"/>
    <w:rsid w:val="00D842AE"/>
    <w:rsid w:val="00D9211C"/>
    <w:rsid w:val="00D92DE0"/>
    <w:rsid w:val="00D92FEF"/>
    <w:rsid w:val="00D93A0F"/>
    <w:rsid w:val="00D9579D"/>
    <w:rsid w:val="00DA1BCA"/>
    <w:rsid w:val="00DA4A45"/>
    <w:rsid w:val="00DB34E0"/>
    <w:rsid w:val="00DB457D"/>
    <w:rsid w:val="00DB5925"/>
    <w:rsid w:val="00DC46FF"/>
    <w:rsid w:val="00DC5254"/>
    <w:rsid w:val="00DC569D"/>
    <w:rsid w:val="00DC5AB5"/>
    <w:rsid w:val="00DD0B5A"/>
    <w:rsid w:val="00DD1A4F"/>
    <w:rsid w:val="00DD3107"/>
    <w:rsid w:val="00DD7C2C"/>
    <w:rsid w:val="00DE5BDA"/>
    <w:rsid w:val="00DF433C"/>
    <w:rsid w:val="00E0035A"/>
    <w:rsid w:val="00E02D7A"/>
    <w:rsid w:val="00E06797"/>
    <w:rsid w:val="00E1265B"/>
    <w:rsid w:val="00E13B48"/>
    <w:rsid w:val="00E1404F"/>
    <w:rsid w:val="00E2042D"/>
    <w:rsid w:val="00E21C83"/>
    <w:rsid w:val="00E24ADA"/>
    <w:rsid w:val="00E32F59"/>
    <w:rsid w:val="00E41908"/>
    <w:rsid w:val="00E46D9A"/>
    <w:rsid w:val="00E565FF"/>
    <w:rsid w:val="00E6228F"/>
    <w:rsid w:val="00E65388"/>
    <w:rsid w:val="00E76752"/>
    <w:rsid w:val="00E7741D"/>
    <w:rsid w:val="00E808CD"/>
    <w:rsid w:val="00E82928"/>
    <w:rsid w:val="00E8348F"/>
    <w:rsid w:val="00E85B7D"/>
    <w:rsid w:val="00E9121B"/>
    <w:rsid w:val="00E9302E"/>
    <w:rsid w:val="00E94F86"/>
    <w:rsid w:val="00E9582E"/>
    <w:rsid w:val="00E96942"/>
    <w:rsid w:val="00E976AB"/>
    <w:rsid w:val="00EA0AE2"/>
    <w:rsid w:val="00EA1159"/>
    <w:rsid w:val="00EA39E5"/>
    <w:rsid w:val="00EA57A3"/>
    <w:rsid w:val="00EC2813"/>
    <w:rsid w:val="00EC4197"/>
    <w:rsid w:val="00EC5A46"/>
    <w:rsid w:val="00EC63E2"/>
    <w:rsid w:val="00EC7AAA"/>
    <w:rsid w:val="00ED366A"/>
    <w:rsid w:val="00ED6BB7"/>
    <w:rsid w:val="00EE1723"/>
    <w:rsid w:val="00EF22B3"/>
    <w:rsid w:val="00EF50D0"/>
    <w:rsid w:val="00EF5D53"/>
    <w:rsid w:val="00F03B69"/>
    <w:rsid w:val="00F07A50"/>
    <w:rsid w:val="00F113DA"/>
    <w:rsid w:val="00F12DA4"/>
    <w:rsid w:val="00F1495C"/>
    <w:rsid w:val="00F266FC"/>
    <w:rsid w:val="00F3037A"/>
    <w:rsid w:val="00F3465A"/>
    <w:rsid w:val="00F37DC8"/>
    <w:rsid w:val="00F439B3"/>
    <w:rsid w:val="00F650C3"/>
    <w:rsid w:val="00F65D85"/>
    <w:rsid w:val="00F66089"/>
    <w:rsid w:val="00F6700B"/>
    <w:rsid w:val="00F8091E"/>
    <w:rsid w:val="00F83855"/>
    <w:rsid w:val="00F84830"/>
    <w:rsid w:val="00F85110"/>
    <w:rsid w:val="00F8615C"/>
    <w:rsid w:val="00F8673E"/>
    <w:rsid w:val="00F969E5"/>
    <w:rsid w:val="00FA1D9B"/>
    <w:rsid w:val="00FA4972"/>
    <w:rsid w:val="00FA6617"/>
    <w:rsid w:val="00FA6BB0"/>
    <w:rsid w:val="00FB2DBD"/>
    <w:rsid w:val="00FB53D9"/>
    <w:rsid w:val="00FC6DA0"/>
    <w:rsid w:val="00FD48DF"/>
    <w:rsid w:val="00FD5860"/>
    <w:rsid w:val="00FE352D"/>
    <w:rsid w:val="00FE40EB"/>
    <w:rsid w:val="00FE4D02"/>
    <w:rsid w:val="00FE7D62"/>
    <w:rsid w:val="00FF08D3"/>
    <w:rsid w:val="00FF3559"/>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75B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F34"/>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lang w:val="es-ES_tradnl"/>
    </w:rPr>
  </w:style>
  <w:style w:type="paragraph" w:styleId="Heading2">
    <w:name w:val="heading 2"/>
    <w:basedOn w:val="Normal"/>
    <w:next w:val="Normalnumber"/>
    <w:qFormat/>
    <w:rsid w:val="000D6941"/>
    <w:pPr>
      <w:keepNext/>
      <w:spacing w:before="240" w:after="120"/>
      <w:ind w:left="1247" w:hanging="680"/>
      <w:outlineLvl w:val="1"/>
    </w:pPr>
    <w:rPr>
      <w:b/>
      <w:sz w:val="24"/>
      <w:szCs w:val="24"/>
      <w:lang w:val="es-ES_tradnl"/>
    </w:rPr>
  </w:style>
  <w:style w:type="paragraph" w:styleId="Heading3">
    <w:name w:val="heading 3"/>
    <w:basedOn w:val="Normal"/>
    <w:next w:val="Normalnumber"/>
    <w:qFormat/>
    <w:rsid w:val="000D6941"/>
    <w:pPr>
      <w:spacing w:after="120"/>
      <w:ind w:left="1247" w:hanging="680"/>
      <w:outlineLvl w:val="2"/>
    </w:pPr>
    <w:rPr>
      <w:b/>
      <w:lang w:val="es-ES_tradnl"/>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lang w:val="es-ES_tradnl"/>
    </w:rPr>
  </w:style>
  <w:style w:type="paragraph" w:styleId="Heading6">
    <w:name w:val="heading 6"/>
    <w:basedOn w:val="Normal"/>
    <w:next w:val="Normal"/>
    <w:qFormat/>
    <w:rsid w:val="000D6941"/>
    <w:pPr>
      <w:keepNext/>
      <w:ind w:left="578"/>
      <w:outlineLvl w:val="5"/>
    </w:pPr>
    <w:rPr>
      <w:b/>
      <w:bCs/>
      <w:sz w:val="24"/>
      <w:lang w:val="es-ES_tradnl"/>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rPr>
      <w:lang w:val="es-ES_tradnl"/>
    </w:rPr>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lang w:val="es-ES_tradnl"/>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rPr>
      <w:lang w:val="es-ES_tradnl"/>
    </w:r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lang w:val="es-ES_tradnl"/>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lang w:val="es-ES_tradnl"/>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lang w:val="es-ES_tradnl"/>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lang w:val="es-ES_tradnl"/>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25563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F34"/>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lang w:val="es-ES_tradnl"/>
    </w:rPr>
  </w:style>
  <w:style w:type="paragraph" w:styleId="Heading2">
    <w:name w:val="heading 2"/>
    <w:basedOn w:val="Normal"/>
    <w:next w:val="Normalnumber"/>
    <w:qFormat/>
    <w:rsid w:val="000D6941"/>
    <w:pPr>
      <w:keepNext/>
      <w:spacing w:before="240" w:after="120"/>
      <w:ind w:left="1247" w:hanging="680"/>
      <w:outlineLvl w:val="1"/>
    </w:pPr>
    <w:rPr>
      <w:b/>
      <w:sz w:val="24"/>
      <w:szCs w:val="24"/>
      <w:lang w:val="es-ES_tradnl"/>
    </w:rPr>
  </w:style>
  <w:style w:type="paragraph" w:styleId="Heading3">
    <w:name w:val="heading 3"/>
    <w:basedOn w:val="Normal"/>
    <w:next w:val="Normalnumber"/>
    <w:qFormat/>
    <w:rsid w:val="000D6941"/>
    <w:pPr>
      <w:spacing w:after="120"/>
      <w:ind w:left="1247" w:hanging="680"/>
      <w:outlineLvl w:val="2"/>
    </w:pPr>
    <w:rPr>
      <w:b/>
      <w:lang w:val="es-ES_tradnl"/>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lang w:val="es-ES_tradnl"/>
    </w:rPr>
  </w:style>
  <w:style w:type="paragraph" w:styleId="Heading6">
    <w:name w:val="heading 6"/>
    <w:basedOn w:val="Normal"/>
    <w:next w:val="Normal"/>
    <w:qFormat/>
    <w:rsid w:val="000D6941"/>
    <w:pPr>
      <w:keepNext/>
      <w:ind w:left="578"/>
      <w:outlineLvl w:val="5"/>
    </w:pPr>
    <w:rPr>
      <w:b/>
      <w:bCs/>
      <w:sz w:val="24"/>
      <w:lang w:val="es-ES_tradnl"/>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uiPriority w:val="99"/>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rPr>
      <w:lang w:val="es-ES_tradnl"/>
    </w:rPr>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lang w:val="es-ES_tradnl"/>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rPr>
      <w:lang w:val="es-ES_tradnl"/>
    </w:r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lang w:val="es-ES_tradnl"/>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lang w:val="es-ES_tradnl"/>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lang w:val="es-ES_tradnl"/>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lang w:val="es-ES_tradnl"/>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25563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098713965">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5A4EB-6058-4022-9299-29533D860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875</Words>
  <Characters>4684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Jimena Vallejo</cp:lastModifiedBy>
  <cp:revision>2</cp:revision>
  <cp:lastPrinted>2017-06-15T10:25:00Z</cp:lastPrinted>
  <dcterms:created xsi:type="dcterms:W3CDTF">2017-06-28T12:08:00Z</dcterms:created>
  <dcterms:modified xsi:type="dcterms:W3CDTF">2017-06-28T12:08:00Z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gladys.tarrau.castellanos</vt:lpwstr>
  </property>
  <property fmtid="{D5CDD505-2E9C-101B-9397-08002B2CF9AE}" pid="4" name="GeneratedDate">
    <vt:lpwstr>5/31/2017 10:12:04 AM</vt:lpwstr>
  </property>
  <property fmtid="{D5CDD505-2E9C-101B-9397-08002B2CF9AE}" pid="5" name="OriginalDocID">
    <vt:lpwstr>249b5ce3-5c5b-42c0-b294-8029ad9f5ca7</vt:lpwstr>
  </property>
</Properties>
</file>