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1668"/>
        <w:gridCol w:w="4633"/>
        <w:gridCol w:w="3411"/>
      </w:tblGrid>
      <w:tr w:rsidR="000D22CD" w14:paraId="5B0BF893" w14:textId="77777777" w:rsidTr="000D22CD">
        <w:trPr>
          <w:cantSplit/>
          <w:trHeight w:val="850"/>
          <w:jc w:val="right"/>
        </w:trPr>
        <w:tc>
          <w:tcPr>
            <w:tcW w:w="1668" w:type="dxa"/>
            <w:hideMark/>
          </w:tcPr>
          <w:p w14:paraId="1D2B6403" w14:textId="04C416F7" w:rsidR="000D22CD" w:rsidRDefault="000D22CD">
            <w:pPr>
              <w:rPr>
                <w:rFonts w:ascii="Univers" w:hAnsi="Univers"/>
                <w:b/>
                <w:noProof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7"/>
                <w:szCs w:val="27"/>
              </w:rPr>
              <w:t>NACIONES UNIDAS</w:t>
            </w:r>
          </w:p>
        </w:tc>
        <w:tc>
          <w:tcPr>
            <w:tcW w:w="4633" w:type="dxa"/>
          </w:tcPr>
          <w:p w14:paraId="24A88BCD" w14:textId="77777777" w:rsidR="000D22CD" w:rsidRDefault="000D22CD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  <w:hideMark/>
          </w:tcPr>
          <w:p w14:paraId="7108009A" w14:textId="77777777" w:rsidR="000D22CD" w:rsidRDefault="000D22CD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0D22CD" w14:paraId="7522C435" w14:textId="77777777" w:rsidTr="000D22CD">
        <w:trPr>
          <w:cantSplit/>
          <w:trHeight w:val="281"/>
          <w:jc w:val="right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BF724" w14:textId="77777777" w:rsidR="000D22CD" w:rsidRDefault="000D22CD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514D0" w14:textId="77777777" w:rsidR="000D22CD" w:rsidRDefault="000D22CD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0C6F9E" w14:textId="77777777" w:rsidR="000D22CD" w:rsidRDefault="000D22CD">
            <w:pPr>
              <w:rPr>
                <w:noProof/>
                <w:sz w:val="18"/>
                <w:szCs w:val="18"/>
              </w:rPr>
            </w:pPr>
            <w:r>
              <w:rPr>
                <w:b/>
                <w:bCs/>
                <w:sz w:val="28"/>
              </w:rPr>
              <w:t>UNEP/</w:t>
            </w:r>
            <w:r>
              <w:t>MC/COP.1/1</w:t>
            </w:r>
          </w:p>
        </w:tc>
      </w:tr>
      <w:tr w:rsidR="000D22CD" w:rsidRPr="000D22CD" w14:paraId="13E9F4FD" w14:textId="77777777" w:rsidTr="000D22CD">
        <w:trPr>
          <w:cantSplit/>
          <w:trHeight w:val="2549"/>
          <w:jc w:val="right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51CE0DDA" w14:textId="27567D0D" w:rsidR="000D22CD" w:rsidRDefault="000D22CD">
            <w:pPr>
              <w:rPr>
                <w:noProof/>
              </w:rPr>
            </w:pPr>
            <w:r>
              <w:rPr>
                <w:noProof/>
              </w:rPr>
              <w:object w:dxaOrig="1305" w:dyaOrig="1215" w14:anchorId="3B8AC5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pt;height:61pt" o:ole="" fillcolor="window">
                  <v:imagedata r:id="rId8" o:title=""/>
                </v:shape>
                <o:OLEObject Type="Embed" ProgID="Word.Picture.8" ShapeID="_x0000_i1025" DrawAspect="Content" ObjectID="_1557057997" r:id="rId9"/>
              </w:object>
            </w:r>
            <w:r>
              <w:rPr>
                <w:noProof/>
                <w:lang w:eastAsia="zh-CN"/>
              </w:rPr>
              <w:drawing>
                <wp:inline distT="0" distB="0" distL="0" distR="0" wp14:anchorId="55D6669C" wp14:editId="06A948B2">
                  <wp:extent cx="723265" cy="771525"/>
                  <wp:effectExtent l="0" t="0" r="635" b="9525"/>
                  <wp:docPr id="1" name="Picture 1" descr="Description: 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68F653E9" w14:textId="58EDD3C6" w:rsidR="000D22CD" w:rsidRPr="000D22CD" w:rsidRDefault="000D22CD" w:rsidP="002D6D0E">
            <w:pPr>
              <w:spacing w:before="1200"/>
              <w:rPr>
                <w:rFonts w:ascii="Arial" w:hAnsi="Arial" w:cs="Arial"/>
                <w:b/>
                <w:sz w:val="28"/>
                <w:lang w:val="es-ES"/>
              </w:rPr>
            </w:pPr>
            <w:r w:rsidRPr="000D22CD">
              <w:rPr>
                <w:rFonts w:ascii="Arial" w:hAnsi="Arial" w:cs="Arial"/>
                <w:b/>
                <w:sz w:val="32"/>
                <w:szCs w:val="32"/>
                <w:lang w:val="es-ES"/>
              </w:rPr>
              <w:t xml:space="preserve">Programa de las </w:t>
            </w:r>
            <w:r>
              <w:rPr>
                <w:rFonts w:ascii="Arial" w:hAnsi="Arial" w:cs="Arial"/>
                <w:b/>
                <w:sz w:val="32"/>
                <w:szCs w:val="32"/>
                <w:lang w:val="es-ES"/>
              </w:rPr>
              <w:br/>
            </w:r>
            <w:r w:rsidRPr="000D22CD">
              <w:rPr>
                <w:rFonts w:ascii="Arial" w:hAnsi="Arial" w:cs="Arial"/>
                <w:b/>
                <w:sz w:val="32"/>
                <w:szCs w:val="32"/>
                <w:lang w:val="es-ES"/>
              </w:rPr>
              <w:t>Naciones Unidas</w:t>
            </w:r>
            <w:r>
              <w:rPr>
                <w:rFonts w:ascii="Arial" w:hAnsi="Arial" w:cs="Arial"/>
                <w:b/>
                <w:sz w:val="32"/>
                <w:szCs w:val="32"/>
                <w:lang w:val="es-ES"/>
              </w:rPr>
              <w:t xml:space="preserve"> para el</w:t>
            </w:r>
            <w:r w:rsidR="002D6D0E">
              <w:rPr>
                <w:rFonts w:ascii="Arial" w:hAnsi="Arial" w:cs="Arial"/>
                <w:b/>
                <w:sz w:val="32"/>
                <w:szCs w:val="32"/>
                <w:lang w:val="es-ES"/>
              </w:rPr>
              <w:t> </w:t>
            </w:r>
            <w:r>
              <w:rPr>
                <w:rFonts w:ascii="Arial" w:hAnsi="Arial" w:cs="Arial"/>
                <w:b/>
                <w:sz w:val="32"/>
                <w:szCs w:val="32"/>
                <w:lang w:val="es-ES"/>
              </w:rPr>
              <w:t>Medio Ambiente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4CFE0B2E" w14:textId="088AA2EE" w:rsidR="000D22CD" w:rsidRPr="000D22CD" w:rsidRDefault="000D22CD">
            <w:pPr>
              <w:spacing w:before="120"/>
              <w:rPr>
                <w:lang w:val="es-ES"/>
              </w:rPr>
            </w:pPr>
            <w:proofErr w:type="spellStart"/>
            <w:r w:rsidRPr="000D22CD">
              <w:rPr>
                <w:lang w:val="es-ES"/>
              </w:rPr>
              <w:t>Distr</w:t>
            </w:r>
            <w:proofErr w:type="spellEnd"/>
            <w:r w:rsidRPr="000D22CD">
              <w:rPr>
                <w:lang w:val="es-ES"/>
              </w:rPr>
              <w:t>.</w:t>
            </w:r>
            <w:r>
              <w:rPr>
                <w:lang w:val="es-ES"/>
              </w:rPr>
              <w:t xml:space="preserve"> g</w:t>
            </w:r>
            <w:r w:rsidRPr="000D22CD">
              <w:rPr>
                <w:lang w:val="es-ES"/>
              </w:rPr>
              <w:t>eneral</w:t>
            </w:r>
            <w:r w:rsidRPr="000D22CD">
              <w:rPr>
                <w:lang w:val="es-ES"/>
              </w:rPr>
              <w:br w:type="textWrapping" w:clear="all"/>
              <w:t xml:space="preserve">27 </w:t>
            </w:r>
            <w:r>
              <w:rPr>
                <w:lang w:val="es-ES"/>
              </w:rPr>
              <w:t>de febrero de</w:t>
            </w:r>
            <w:r w:rsidRPr="000D22CD">
              <w:rPr>
                <w:lang w:val="es-ES"/>
              </w:rPr>
              <w:t xml:space="preserve"> 2017</w:t>
            </w:r>
          </w:p>
          <w:p w14:paraId="48FFAF03" w14:textId="10F5474E" w:rsidR="000D22CD" w:rsidRPr="000D22CD" w:rsidRDefault="000D22CD" w:rsidP="000D22CD">
            <w:pPr>
              <w:spacing w:before="240"/>
              <w:rPr>
                <w:lang w:val="es-ES"/>
              </w:rPr>
            </w:pPr>
            <w:r w:rsidRPr="000D22CD">
              <w:rPr>
                <w:lang w:val="es-ES"/>
              </w:rPr>
              <w:t xml:space="preserve">Original: </w:t>
            </w:r>
            <w:r>
              <w:rPr>
                <w:lang w:val="es-ES"/>
              </w:rPr>
              <w:t>inglés</w:t>
            </w:r>
            <w:r>
              <w:rPr>
                <w:lang w:val="es-ES"/>
              </w:rPr>
              <w:br/>
              <w:t>Español</w:t>
            </w:r>
          </w:p>
        </w:tc>
      </w:tr>
    </w:tbl>
    <w:p w14:paraId="67D83AE0" w14:textId="77777777" w:rsidR="0084168E" w:rsidRDefault="0084168E" w:rsidP="00E976AB">
      <w:pPr>
        <w:pStyle w:val="AATitle"/>
        <w:keepNext w:val="0"/>
        <w:keepLines w:val="0"/>
        <w:rPr>
          <w:lang w:val="es-ES"/>
        </w:rPr>
      </w:pPr>
      <w:r w:rsidRPr="0084168E">
        <w:rPr>
          <w:lang w:val="es-ES"/>
        </w:rPr>
        <w:t xml:space="preserve">Conferencia de las Partes en el </w:t>
      </w:r>
    </w:p>
    <w:p w14:paraId="0A4BFFDA" w14:textId="6D578A19" w:rsidR="00E976AB" w:rsidRPr="00F76D7E" w:rsidRDefault="00787688" w:rsidP="00E976AB">
      <w:pPr>
        <w:pStyle w:val="AATitle"/>
        <w:keepNext w:val="0"/>
        <w:keepLines w:val="0"/>
        <w:rPr>
          <w:lang w:val="es-ES"/>
        </w:rPr>
      </w:pPr>
      <w:r>
        <w:rPr>
          <w:lang w:val="es-ES"/>
        </w:rPr>
        <w:t>Convenio de Minamata sobre el Mercurio</w:t>
      </w:r>
    </w:p>
    <w:p w14:paraId="26A6CAA0" w14:textId="77777777" w:rsidR="00E976AB" w:rsidRPr="00F76D7E" w:rsidRDefault="00787688" w:rsidP="00E976AB">
      <w:pPr>
        <w:pStyle w:val="AATitle"/>
        <w:keepNext w:val="0"/>
        <w:keepLines w:val="0"/>
        <w:rPr>
          <w:lang w:val="es-ES"/>
        </w:rPr>
      </w:pPr>
      <w:r>
        <w:rPr>
          <w:lang w:val="es-ES"/>
        </w:rPr>
        <w:t>Primera reunión</w:t>
      </w:r>
    </w:p>
    <w:p w14:paraId="67B82F12" w14:textId="36780F78" w:rsidR="00787688" w:rsidRPr="000D22CD" w:rsidRDefault="00787688" w:rsidP="00787688">
      <w:pPr>
        <w:pStyle w:val="AATitle"/>
        <w:rPr>
          <w:b w:val="0"/>
          <w:lang w:val="es-ES"/>
        </w:rPr>
      </w:pPr>
      <w:r w:rsidRPr="000D22CD">
        <w:rPr>
          <w:b w:val="0"/>
          <w:lang w:val="es-ES"/>
        </w:rPr>
        <w:t>Ginebra, 24 a 29 de septiembre de 2017</w:t>
      </w:r>
    </w:p>
    <w:p w14:paraId="1FF2A24D" w14:textId="77777777" w:rsidR="00D013F5" w:rsidRPr="00D25175" w:rsidRDefault="00D013F5" w:rsidP="00D013F5">
      <w:pPr>
        <w:pStyle w:val="BBTitle"/>
      </w:pPr>
      <w:r>
        <w:rPr>
          <w:lang w:val="es-ES"/>
        </w:rPr>
        <w:t>Programa provisional</w:t>
      </w:r>
    </w:p>
    <w:p w14:paraId="3A4938DE" w14:textId="77777777" w:rsidR="00D013F5" w:rsidRPr="00D25175" w:rsidRDefault="00D013F5" w:rsidP="00BC62BA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</w:pPr>
      <w:r>
        <w:rPr>
          <w:lang w:val="es-ES"/>
        </w:rPr>
        <w:t>Apertura de la reunión.</w:t>
      </w:r>
    </w:p>
    <w:p w14:paraId="26176EC6" w14:textId="77777777" w:rsidR="00D013F5" w:rsidRPr="00D25175" w:rsidRDefault="00D013F5" w:rsidP="00BC62BA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</w:pPr>
      <w:r>
        <w:rPr>
          <w:lang w:val="es-ES"/>
        </w:rPr>
        <w:t>Cuestiones de organización:</w:t>
      </w:r>
    </w:p>
    <w:p w14:paraId="6C015866" w14:textId="1755E49F" w:rsidR="00787688" w:rsidRPr="00D25175" w:rsidRDefault="00F76D7E" w:rsidP="00F76D7E">
      <w:pPr>
        <w:pStyle w:val="Normalnumber"/>
        <w:numPr>
          <w:ilvl w:val="1"/>
          <w:numId w:val="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</w:pPr>
      <w:r>
        <w:rPr>
          <w:lang w:val="es-ES"/>
        </w:rPr>
        <w:t>Aprobación del reglamento;</w:t>
      </w:r>
    </w:p>
    <w:p w14:paraId="0AA94349" w14:textId="77777777" w:rsidR="00787688" w:rsidRPr="00D25175" w:rsidRDefault="00787688" w:rsidP="00F76D7E">
      <w:pPr>
        <w:pStyle w:val="Normalnumber"/>
        <w:numPr>
          <w:ilvl w:val="1"/>
          <w:numId w:val="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</w:pPr>
      <w:r>
        <w:rPr>
          <w:lang w:val="es-ES"/>
        </w:rPr>
        <w:t>Elección de la Mesa;</w:t>
      </w:r>
    </w:p>
    <w:p w14:paraId="1A86EF4F" w14:textId="77777777" w:rsidR="00D013F5" w:rsidRPr="00D25175" w:rsidRDefault="00D013F5" w:rsidP="00F76D7E">
      <w:pPr>
        <w:pStyle w:val="Normalnumber"/>
        <w:numPr>
          <w:ilvl w:val="1"/>
          <w:numId w:val="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</w:pPr>
      <w:r>
        <w:rPr>
          <w:lang w:val="es-ES"/>
        </w:rPr>
        <w:t>Aprobación del programa;</w:t>
      </w:r>
    </w:p>
    <w:p w14:paraId="45976E7C" w14:textId="77777777" w:rsidR="00787688" w:rsidRPr="00F76D7E" w:rsidRDefault="00787688" w:rsidP="00F76D7E">
      <w:pPr>
        <w:pStyle w:val="Normalnumber"/>
        <w:numPr>
          <w:ilvl w:val="1"/>
          <w:numId w:val="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  <w:rPr>
          <w:lang w:val="es-ES"/>
        </w:rPr>
      </w:pPr>
      <w:r>
        <w:rPr>
          <w:lang w:val="es-ES"/>
        </w:rPr>
        <w:t>Nombramiento del Comité de Verificación de Poderes;</w:t>
      </w:r>
    </w:p>
    <w:p w14:paraId="5D765B25" w14:textId="77777777" w:rsidR="00D013F5" w:rsidRPr="00D25175" w:rsidRDefault="00D013F5" w:rsidP="00F76D7E">
      <w:pPr>
        <w:pStyle w:val="Normalnumber"/>
        <w:numPr>
          <w:ilvl w:val="1"/>
          <w:numId w:val="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</w:pPr>
      <w:r>
        <w:rPr>
          <w:lang w:val="es-ES"/>
        </w:rPr>
        <w:t>Organización de los trabajos.</w:t>
      </w:r>
    </w:p>
    <w:p w14:paraId="20937AF4" w14:textId="77777777" w:rsidR="00787688" w:rsidRPr="00F76D7E" w:rsidRDefault="00787688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rPr>
          <w:lang w:val="es-ES"/>
        </w:rPr>
      </w:pPr>
      <w:r>
        <w:rPr>
          <w:lang w:val="es-ES"/>
        </w:rPr>
        <w:t>Informe del Comité de Verificación de Poderes.</w:t>
      </w:r>
    </w:p>
    <w:p w14:paraId="54E09451" w14:textId="2AD51840" w:rsidR="00787688" w:rsidRPr="00F76D7E" w:rsidRDefault="00787688" w:rsidP="00BC62BA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rPr>
          <w:lang w:val="es-ES"/>
        </w:rPr>
      </w:pPr>
      <w:r>
        <w:rPr>
          <w:lang w:val="es-ES"/>
        </w:rPr>
        <w:t>Infor</w:t>
      </w:r>
      <w:r w:rsidR="001C7421">
        <w:rPr>
          <w:lang w:val="es-ES"/>
        </w:rPr>
        <w:t>me sobre los logros del Comité Intergubernamental de N</w:t>
      </w:r>
      <w:r>
        <w:rPr>
          <w:lang w:val="es-ES"/>
        </w:rPr>
        <w:t>egociación encargado de elaborar un instrumento jurídicamente vinculante a nivel mundial sobre el mercurio.</w:t>
      </w:r>
    </w:p>
    <w:p w14:paraId="46A6D1AD" w14:textId="14B2773C" w:rsidR="00787688" w:rsidRPr="00F76D7E" w:rsidRDefault="00491387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rPr>
          <w:lang w:val="es-ES"/>
        </w:rPr>
      </w:pPr>
      <w:r>
        <w:rPr>
          <w:lang w:val="es-ES"/>
        </w:rPr>
        <w:t>Cuestiones</w:t>
      </w:r>
      <w:r w:rsidR="001C7421">
        <w:rPr>
          <w:lang w:val="es-ES"/>
        </w:rPr>
        <w:t xml:space="preserve"> sobre la</w:t>
      </w:r>
      <w:r w:rsidR="00787688">
        <w:rPr>
          <w:lang w:val="es-ES"/>
        </w:rPr>
        <w:t>s que la Conferencia de las Partes podrí</w:t>
      </w:r>
      <w:r w:rsidR="00422082">
        <w:rPr>
          <w:lang w:val="es-ES"/>
        </w:rPr>
        <w:t>a adoptar medidas en su primera </w:t>
      </w:r>
      <w:r w:rsidR="00787688">
        <w:rPr>
          <w:lang w:val="es-ES"/>
        </w:rPr>
        <w:t>reunión:</w:t>
      </w:r>
    </w:p>
    <w:p w14:paraId="08C6A30E" w14:textId="77777777" w:rsidR="00BE7993" w:rsidRPr="00F76D7E" w:rsidRDefault="00BE7993" w:rsidP="00BC62BA">
      <w:pPr>
        <w:pStyle w:val="Normalnumber"/>
        <w:numPr>
          <w:ilvl w:val="1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  <w:rPr>
          <w:lang w:val="es-ES"/>
        </w:rPr>
      </w:pPr>
      <w:r>
        <w:rPr>
          <w:lang w:val="es-ES"/>
        </w:rPr>
        <w:t>Cuestiones estipuladas en el Convenio:</w:t>
      </w:r>
    </w:p>
    <w:p w14:paraId="476A1552" w14:textId="5EE22982" w:rsidR="00787688" w:rsidRPr="00F76D7E" w:rsidRDefault="00491387" w:rsidP="00422082">
      <w:pPr>
        <w:pStyle w:val="Normalnumber"/>
        <w:numPr>
          <w:ilvl w:val="2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3119" w:hanging="624"/>
        <w:rPr>
          <w:lang w:val="es-ES"/>
        </w:rPr>
      </w:pPr>
      <w:r>
        <w:rPr>
          <w:lang w:val="es-ES"/>
        </w:rPr>
        <w:t>O</w:t>
      </w:r>
      <w:r w:rsidR="00BC62BA">
        <w:rPr>
          <w:lang w:val="es-ES"/>
        </w:rPr>
        <w:t>rientación en relación con el artículo 3 y, en particular, los párrafos 5 a), 6 y 8 del artículo 3;</w:t>
      </w:r>
    </w:p>
    <w:p w14:paraId="4BC0BE55" w14:textId="66FB0031" w:rsidR="00F3037A" w:rsidRPr="00F76D7E" w:rsidRDefault="00491387" w:rsidP="00BC62BA">
      <w:pPr>
        <w:pStyle w:val="Normalnumber"/>
        <w:numPr>
          <w:ilvl w:val="2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3119" w:hanging="624"/>
        <w:rPr>
          <w:lang w:val="es-ES"/>
        </w:rPr>
      </w:pPr>
      <w:r>
        <w:rPr>
          <w:lang w:val="es-ES"/>
        </w:rPr>
        <w:t>C</w:t>
      </w:r>
      <w:r w:rsidR="00BC62BA">
        <w:rPr>
          <w:lang w:val="es-ES"/>
        </w:rPr>
        <w:t xml:space="preserve">ontenido requerido de la certificación a que se </w:t>
      </w:r>
      <w:r w:rsidR="000D22CD">
        <w:rPr>
          <w:lang w:val="es-ES"/>
        </w:rPr>
        <w:t>hace referencia en los párrafos </w:t>
      </w:r>
      <w:r w:rsidR="00BC62BA">
        <w:rPr>
          <w:lang w:val="es-ES"/>
        </w:rPr>
        <w:t>6 b) y 8 del artículo 3;</w:t>
      </w:r>
    </w:p>
    <w:p w14:paraId="3C52B106" w14:textId="1484B554" w:rsidR="00F3037A" w:rsidRPr="00F76D7E" w:rsidRDefault="00491387" w:rsidP="00BC62BA">
      <w:pPr>
        <w:pStyle w:val="Normalnumber"/>
        <w:numPr>
          <w:ilvl w:val="2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3119" w:hanging="624"/>
        <w:rPr>
          <w:lang w:val="es-ES"/>
        </w:rPr>
      </w:pPr>
      <w:r>
        <w:rPr>
          <w:lang w:val="es-ES"/>
        </w:rPr>
        <w:t>O</w:t>
      </w:r>
      <w:r w:rsidR="00B66F60">
        <w:rPr>
          <w:lang w:val="es-ES"/>
        </w:rPr>
        <w:t>rientación a que se hace referencia en los párrafos 8 a) y 8 b) del artículo 8;</w:t>
      </w:r>
    </w:p>
    <w:p w14:paraId="4B5E0D78" w14:textId="54846A06" w:rsidR="00F3037A" w:rsidRPr="00F76D7E" w:rsidRDefault="00491387" w:rsidP="00BC62BA">
      <w:pPr>
        <w:pStyle w:val="Normalnumber"/>
        <w:numPr>
          <w:ilvl w:val="2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3119" w:hanging="624"/>
        <w:rPr>
          <w:lang w:val="es-ES"/>
        </w:rPr>
      </w:pPr>
      <w:r>
        <w:rPr>
          <w:lang w:val="es-ES"/>
        </w:rPr>
        <w:t>M</w:t>
      </w:r>
      <w:r w:rsidR="00D26854">
        <w:rPr>
          <w:lang w:val="es-ES"/>
        </w:rPr>
        <w:t>edidas dirigidas a dar efecto a las disposiciones del mecanismo financiero a que se hace referencia en el artículo 13;</w:t>
      </w:r>
    </w:p>
    <w:p w14:paraId="723789B6" w14:textId="2DFC2908" w:rsidR="00F3037A" w:rsidRPr="00F76D7E" w:rsidRDefault="00491387" w:rsidP="00BC62BA">
      <w:pPr>
        <w:pStyle w:val="Normalnumber"/>
        <w:numPr>
          <w:ilvl w:val="2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3119" w:hanging="624"/>
        <w:rPr>
          <w:lang w:val="es-ES"/>
        </w:rPr>
      </w:pPr>
      <w:r>
        <w:rPr>
          <w:lang w:val="es-ES"/>
        </w:rPr>
        <w:t>C</w:t>
      </w:r>
      <w:r w:rsidR="00D26854">
        <w:rPr>
          <w:lang w:val="es-ES"/>
        </w:rPr>
        <w:t>omposición del Comité de Aplicación y Cumplimiento, como se indica en el párrafo 3 del artículo 15;</w:t>
      </w:r>
    </w:p>
    <w:p w14:paraId="57AAF224" w14:textId="2E949DAF" w:rsidR="00F266FC" w:rsidRPr="00F76D7E" w:rsidRDefault="00491387" w:rsidP="00BC62BA">
      <w:pPr>
        <w:pStyle w:val="Normalnumber"/>
        <w:numPr>
          <w:ilvl w:val="2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3119" w:hanging="624"/>
        <w:rPr>
          <w:lang w:val="es-ES"/>
        </w:rPr>
      </w:pPr>
      <w:r>
        <w:rPr>
          <w:lang w:val="es-ES"/>
        </w:rPr>
        <w:t>P</w:t>
      </w:r>
      <w:r w:rsidR="00FA4972">
        <w:rPr>
          <w:lang w:val="es-ES"/>
        </w:rPr>
        <w:t>lazos y formato para la presentación de informes que habrán de cumplir las Partes, como se indica en el párrafo 3 del artículo 21;</w:t>
      </w:r>
    </w:p>
    <w:p w14:paraId="541845FD" w14:textId="12119ECE" w:rsidR="00F266FC" w:rsidRPr="00F76D7E" w:rsidRDefault="00491387" w:rsidP="00BC62BA">
      <w:pPr>
        <w:pStyle w:val="Normalnumber"/>
        <w:numPr>
          <w:ilvl w:val="2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3119" w:hanging="624"/>
        <w:rPr>
          <w:lang w:val="es-ES"/>
        </w:rPr>
      </w:pPr>
      <w:r>
        <w:rPr>
          <w:lang w:val="es-ES"/>
        </w:rPr>
        <w:t>E</w:t>
      </w:r>
      <w:r w:rsidR="00D26854">
        <w:rPr>
          <w:lang w:val="es-ES"/>
        </w:rPr>
        <w:t>stablecimiento de los arreglos relativos a la evaluación de la eficacia que se mencionan en el párrafo 2 del artículo 22;</w:t>
      </w:r>
    </w:p>
    <w:p w14:paraId="4241DEDD" w14:textId="069DB505" w:rsidR="00F266FC" w:rsidRPr="00F76D7E" w:rsidRDefault="00491387" w:rsidP="00BC62BA">
      <w:pPr>
        <w:pStyle w:val="Normalnumber"/>
        <w:numPr>
          <w:ilvl w:val="2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3119" w:hanging="624"/>
        <w:rPr>
          <w:lang w:val="es-ES"/>
        </w:rPr>
      </w:pPr>
      <w:r>
        <w:rPr>
          <w:lang w:val="es-ES"/>
        </w:rPr>
        <w:t>R</w:t>
      </w:r>
      <w:r w:rsidR="00FA4972">
        <w:rPr>
          <w:lang w:val="es-ES"/>
        </w:rPr>
        <w:t>eglamento financiero de la Conferencia de las Partes y sus órganos subsidiarios, así como las disposiciones financieras que han de regir el funcionamiento de la secretaría, como se indica en el párrafo 4 del artículo 23;</w:t>
      </w:r>
    </w:p>
    <w:p w14:paraId="740FA9F6" w14:textId="77777777" w:rsidR="00BE7993" w:rsidRPr="00F76D7E" w:rsidRDefault="00BE7993" w:rsidP="00BC62BA">
      <w:pPr>
        <w:pStyle w:val="Normalnumber"/>
        <w:numPr>
          <w:ilvl w:val="1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  <w:rPr>
          <w:lang w:val="es-ES"/>
        </w:rPr>
      </w:pPr>
      <w:r>
        <w:rPr>
          <w:lang w:val="es-ES"/>
        </w:rPr>
        <w:lastRenderedPageBreak/>
        <w:t xml:space="preserve">Cuestiones estipuladas por la Conferencia de Plenipotenciarios: </w:t>
      </w:r>
    </w:p>
    <w:p w14:paraId="17F82EDE" w14:textId="11FCFA54" w:rsidR="00BE7993" w:rsidRPr="00F76D7E" w:rsidRDefault="00BE7993" w:rsidP="00BC62BA">
      <w:pPr>
        <w:pStyle w:val="Normalnumber"/>
        <w:numPr>
          <w:ilvl w:val="2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3119" w:hanging="624"/>
        <w:rPr>
          <w:lang w:val="es-ES"/>
        </w:rPr>
      </w:pPr>
      <w:r>
        <w:rPr>
          <w:lang w:val="es-ES"/>
        </w:rPr>
        <w:t>Disposiciones para las funciones de la secret</w:t>
      </w:r>
      <w:r w:rsidR="000D22CD">
        <w:rPr>
          <w:lang w:val="es-ES"/>
        </w:rPr>
        <w:t>aría permanente del Convenio de </w:t>
      </w:r>
      <w:r>
        <w:rPr>
          <w:lang w:val="es-ES"/>
        </w:rPr>
        <w:t>Minamata;</w:t>
      </w:r>
    </w:p>
    <w:p w14:paraId="272AAEBA" w14:textId="30786511" w:rsidR="00BE7993" w:rsidRPr="00F76D7E" w:rsidRDefault="00BE7993" w:rsidP="00BC62BA">
      <w:pPr>
        <w:pStyle w:val="Normalnumber"/>
        <w:numPr>
          <w:ilvl w:val="2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3119" w:hanging="624"/>
        <w:rPr>
          <w:lang w:val="es-ES"/>
        </w:rPr>
      </w:pPr>
      <w:r>
        <w:rPr>
          <w:lang w:val="es-ES"/>
        </w:rPr>
        <w:t>Proyecto de memorando de entendimiento ent</w:t>
      </w:r>
      <w:r w:rsidR="000D22CD">
        <w:rPr>
          <w:lang w:val="es-ES"/>
        </w:rPr>
        <w:t xml:space="preserve">re </w:t>
      </w:r>
      <w:r>
        <w:rPr>
          <w:lang w:val="es-ES"/>
        </w:rPr>
        <w:t xml:space="preserve">la Conferencia </w:t>
      </w:r>
      <w:r w:rsidR="000D22CD">
        <w:rPr>
          <w:lang w:val="es-ES"/>
        </w:rPr>
        <w:t>de las Partes en el Convenio de </w:t>
      </w:r>
      <w:r>
        <w:rPr>
          <w:lang w:val="es-ES"/>
        </w:rPr>
        <w:t>Minamata</w:t>
      </w:r>
      <w:r w:rsidR="0084168E">
        <w:rPr>
          <w:lang w:val="es-ES"/>
        </w:rPr>
        <w:t xml:space="preserve"> y el Consejo del Fondo para el Medio Ambiente Mundial</w:t>
      </w:r>
      <w:r>
        <w:rPr>
          <w:lang w:val="es-ES"/>
        </w:rPr>
        <w:t>;</w:t>
      </w:r>
    </w:p>
    <w:p w14:paraId="2B7DD244" w14:textId="761D62D2" w:rsidR="00B85CFB" w:rsidRPr="00F76D7E" w:rsidRDefault="00B85CFB" w:rsidP="00BC62BA">
      <w:pPr>
        <w:pStyle w:val="Normalnumber"/>
        <w:numPr>
          <w:ilvl w:val="1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  <w:rPr>
          <w:lang w:val="es-ES"/>
        </w:rPr>
      </w:pPr>
      <w:r>
        <w:rPr>
          <w:lang w:val="es-ES"/>
        </w:rPr>
        <w:t>Cuestio</w:t>
      </w:r>
      <w:r w:rsidR="001C7421">
        <w:rPr>
          <w:lang w:val="es-ES"/>
        </w:rPr>
        <w:t>nes recomendadas por el Comité I</w:t>
      </w:r>
      <w:r>
        <w:rPr>
          <w:lang w:val="es-ES"/>
        </w:rPr>
        <w:t xml:space="preserve">ntergubernamental de </w:t>
      </w:r>
      <w:r w:rsidR="001C7421">
        <w:rPr>
          <w:lang w:val="es-ES"/>
        </w:rPr>
        <w:t>N</w:t>
      </w:r>
      <w:r>
        <w:rPr>
          <w:lang w:val="es-ES"/>
        </w:rPr>
        <w:t xml:space="preserve">egociación: </w:t>
      </w:r>
    </w:p>
    <w:p w14:paraId="14F83321" w14:textId="77777777" w:rsidR="00B85CFB" w:rsidRPr="00F76D7E" w:rsidRDefault="00B85CFB" w:rsidP="00BC62BA">
      <w:pPr>
        <w:pStyle w:val="Normalnumber"/>
        <w:numPr>
          <w:ilvl w:val="2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3119" w:hanging="624"/>
        <w:rPr>
          <w:lang w:val="es-ES"/>
        </w:rPr>
      </w:pPr>
      <w:r>
        <w:rPr>
          <w:lang w:val="es-ES"/>
        </w:rPr>
        <w:t>Aprobación de los formularios a utilizar para solicitar una exención de las fechas de eliminación enumeradas en los anexos A y B;</w:t>
      </w:r>
    </w:p>
    <w:p w14:paraId="10CE23DA" w14:textId="6176086B" w:rsidR="00B85CFB" w:rsidRPr="00F76D7E" w:rsidRDefault="00B85CFB" w:rsidP="00BC62BA">
      <w:pPr>
        <w:pStyle w:val="Normalnumber"/>
        <w:numPr>
          <w:ilvl w:val="2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3119" w:hanging="624"/>
        <w:rPr>
          <w:lang w:val="es-ES"/>
        </w:rPr>
      </w:pPr>
      <w:r>
        <w:rPr>
          <w:lang w:val="es-ES"/>
        </w:rPr>
        <w:t xml:space="preserve">Documento de orientación sobre la preparación de planes nacionales de acción para la extracción de oro </w:t>
      </w:r>
      <w:r w:rsidR="001C7421">
        <w:rPr>
          <w:lang w:val="es-ES"/>
        </w:rPr>
        <w:t xml:space="preserve">artesanal y </w:t>
      </w:r>
      <w:r>
        <w:rPr>
          <w:lang w:val="es-ES"/>
        </w:rPr>
        <w:t>en pequeña escala;</w:t>
      </w:r>
    </w:p>
    <w:p w14:paraId="4F4211C6" w14:textId="77777777" w:rsidR="00B85CFB" w:rsidRPr="00F76D7E" w:rsidRDefault="00B85CFB" w:rsidP="00BC62BA">
      <w:pPr>
        <w:pStyle w:val="Normalnumber"/>
        <w:numPr>
          <w:ilvl w:val="2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3119" w:hanging="624"/>
        <w:rPr>
          <w:lang w:val="es-ES"/>
        </w:rPr>
      </w:pPr>
      <w:r>
        <w:rPr>
          <w:lang w:val="es-ES"/>
        </w:rPr>
        <w:t>Ubicación física de la secretaría permanente;</w:t>
      </w:r>
    </w:p>
    <w:p w14:paraId="34B0BFE2" w14:textId="229A6442" w:rsidR="00B85CFB" w:rsidRPr="00F76D7E" w:rsidRDefault="00B85CFB" w:rsidP="00BC62BA">
      <w:pPr>
        <w:pStyle w:val="Normalnumber"/>
        <w:numPr>
          <w:ilvl w:val="2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3119" w:hanging="624"/>
        <w:rPr>
          <w:lang w:val="es-ES"/>
        </w:rPr>
      </w:pPr>
      <w:r>
        <w:rPr>
          <w:lang w:val="es-ES"/>
        </w:rPr>
        <w:t>Examen del informe sobre la incineración a cielo abierto;</w:t>
      </w:r>
    </w:p>
    <w:p w14:paraId="7BBE0A9A" w14:textId="7ADC8053" w:rsidR="00B85CFB" w:rsidRPr="00F76D7E" w:rsidRDefault="00B85CFB" w:rsidP="00BC62BA">
      <w:pPr>
        <w:pStyle w:val="Normalnumber"/>
        <w:numPr>
          <w:ilvl w:val="1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  <w:rPr>
          <w:lang w:val="es-ES"/>
        </w:rPr>
      </w:pPr>
      <w:r>
        <w:rPr>
          <w:lang w:val="es-ES"/>
        </w:rPr>
        <w:t>Programa de trabajo de la secretaría y p</w:t>
      </w:r>
      <w:r w:rsidR="000D22CD">
        <w:rPr>
          <w:lang w:val="es-ES"/>
        </w:rPr>
        <w:t>resupuesto para el período 2018-</w:t>
      </w:r>
      <w:r>
        <w:rPr>
          <w:lang w:val="es-ES"/>
        </w:rPr>
        <w:t>2019.</w:t>
      </w:r>
    </w:p>
    <w:p w14:paraId="3ED474EF" w14:textId="0B7AC6AA" w:rsidR="00787688" w:rsidRPr="00F76D7E" w:rsidRDefault="00787688" w:rsidP="00BC62BA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1871" w:hanging="624"/>
        <w:rPr>
          <w:lang w:val="es-ES"/>
        </w:rPr>
      </w:pPr>
      <w:r>
        <w:rPr>
          <w:lang w:val="es-ES"/>
        </w:rPr>
        <w:t>Cuestiones estipuladas por el Convenio para la adopción de me</w:t>
      </w:r>
      <w:r w:rsidR="000D22CD">
        <w:rPr>
          <w:lang w:val="es-ES"/>
        </w:rPr>
        <w:t>didas por la Conferencia de las </w:t>
      </w:r>
      <w:r>
        <w:rPr>
          <w:lang w:val="es-ES"/>
        </w:rPr>
        <w:t>Partes:</w:t>
      </w:r>
    </w:p>
    <w:p w14:paraId="7796BE1A" w14:textId="77777777" w:rsidR="00136187" w:rsidRPr="00F76D7E" w:rsidRDefault="00772574" w:rsidP="00BC62BA">
      <w:pPr>
        <w:pStyle w:val="Normalnumber"/>
        <w:numPr>
          <w:ilvl w:val="1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  <w:rPr>
          <w:lang w:val="es-ES"/>
        </w:rPr>
      </w:pPr>
      <w:r>
        <w:rPr>
          <w:lang w:val="es-ES"/>
        </w:rPr>
        <w:t>Examen de si el comercio de compuestos de mercurio concretos compromete el objetivo del presente Convenio y si tales compuestos de mercurio concretos deben someterse a los párrafos 6 y 8 del artículo 3 mediante su inclusión en un anexo adicional aprobado de conformidad con el artículo 27;</w:t>
      </w:r>
    </w:p>
    <w:p w14:paraId="6D07DE02" w14:textId="4357C5CA" w:rsidR="00136187" w:rsidRPr="00F76D7E" w:rsidRDefault="00FA4972" w:rsidP="00BC62BA">
      <w:pPr>
        <w:pStyle w:val="Normalnumber"/>
        <w:numPr>
          <w:ilvl w:val="1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  <w:rPr>
          <w:lang w:val="es-ES"/>
        </w:rPr>
      </w:pPr>
      <w:r>
        <w:rPr>
          <w:lang w:val="es-ES"/>
        </w:rPr>
        <w:t>Informes presentados por las Partes que aplican el párra</w:t>
      </w:r>
      <w:r w:rsidR="00422082">
        <w:rPr>
          <w:lang w:val="es-ES"/>
        </w:rPr>
        <w:t>fo 2 del artículo 4 y examen </w:t>
      </w:r>
      <w:r w:rsidR="000D22CD">
        <w:rPr>
          <w:lang w:val="es-ES"/>
        </w:rPr>
        <w:t>de </w:t>
      </w:r>
      <w:r>
        <w:rPr>
          <w:lang w:val="es-ES"/>
        </w:rPr>
        <w:t>la eficacia de las medidas;</w:t>
      </w:r>
    </w:p>
    <w:p w14:paraId="61DCE896" w14:textId="15C9F9CC" w:rsidR="00136187" w:rsidRPr="00F76D7E" w:rsidRDefault="00D1638E" w:rsidP="00BC62BA">
      <w:pPr>
        <w:pStyle w:val="Normalnumber"/>
        <w:numPr>
          <w:ilvl w:val="1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  <w:rPr>
          <w:lang w:val="es-ES"/>
        </w:rPr>
      </w:pPr>
      <w:r>
        <w:rPr>
          <w:lang w:val="es-ES"/>
        </w:rPr>
        <w:t xml:space="preserve">Examen del </w:t>
      </w:r>
      <w:r w:rsidR="0084168E">
        <w:rPr>
          <w:lang w:val="es-ES"/>
        </w:rPr>
        <w:t xml:space="preserve">anexo A </w:t>
      </w:r>
      <w:proofErr w:type="spellStart"/>
      <w:r>
        <w:rPr>
          <w:lang w:val="es-ES"/>
        </w:rPr>
        <w:t>a</w:t>
      </w:r>
      <w:proofErr w:type="spellEnd"/>
      <w:r>
        <w:rPr>
          <w:lang w:val="es-ES"/>
        </w:rPr>
        <w:t xml:space="preserve"> que se hace referencia en el párrafo 8 del artículo</w:t>
      </w:r>
      <w:r w:rsidR="0084168E">
        <w:rPr>
          <w:lang w:val="es-ES"/>
        </w:rPr>
        <w:t xml:space="preserve"> 4</w:t>
      </w:r>
      <w:r>
        <w:rPr>
          <w:lang w:val="es-ES"/>
        </w:rPr>
        <w:t>;</w:t>
      </w:r>
    </w:p>
    <w:p w14:paraId="72D3B80D" w14:textId="0080B891" w:rsidR="00136187" w:rsidRPr="00F76D7E" w:rsidRDefault="00D1638E" w:rsidP="00BC62BA">
      <w:pPr>
        <w:pStyle w:val="Normalnumber"/>
        <w:numPr>
          <w:ilvl w:val="1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  <w:rPr>
          <w:lang w:val="es-ES"/>
        </w:rPr>
      </w:pPr>
      <w:r>
        <w:rPr>
          <w:lang w:val="es-ES"/>
        </w:rPr>
        <w:t xml:space="preserve">Examen del </w:t>
      </w:r>
      <w:r w:rsidR="0084168E">
        <w:rPr>
          <w:lang w:val="es-ES"/>
        </w:rPr>
        <w:t xml:space="preserve">anexo B </w:t>
      </w:r>
      <w:r>
        <w:rPr>
          <w:lang w:val="es-ES"/>
        </w:rPr>
        <w:t>a que se hace referencia en el párrafo 10 del artículo</w:t>
      </w:r>
      <w:r w:rsidR="0084168E">
        <w:rPr>
          <w:lang w:val="es-ES"/>
        </w:rPr>
        <w:t xml:space="preserve"> 5</w:t>
      </w:r>
      <w:r>
        <w:rPr>
          <w:lang w:val="es-ES"/>
        </w:rPr>
        <w:t>;</w:t>
      </w:r>
    </w:p>
    <w:p w14:paraId="3F48CAB3" w14:textId="77777777" w:rsidR="00136187" w:rsidRPr="00F76D7E" w:rsidRDefault="00B66F60" w:rsidP="00BC62BA">
      <w:pPr>
        <w:pStyle w:val="Normalnumber"/>
        <w:numPr>
          <w:ilvl w:val="1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  <w:rPr>
          <w:lang w:val="es-ES"/>
        </w:rPr>
      </w:pPr>
      <w:r>
        <w:rPr>
          <w:lang w:val="es-ES"/>
        </w:rPr>
        <w:t>Orientación a que se hace referencia en los párrafos 9 a) y 9 b) del artículo 8;</w:t>
      </w:r>
    </w:p>
    <w:p w14:paraId="66951828" w14:textId="77777777" w:rsidR="00136187" w:rsidRPr="00F76D7E" w:rsidRDefault="00B66F60" w:rsidP="00BC62BA">
      <w:pPr>
        <w:pStyle w:val="Normalnumber"/>
        <w:numPr>
          <w:ilvl w:val="1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  <w:rPr>
          <w:lang w:val="es-ES"/>
        </w:rPr>
      </w:pPr>
      <w:r>
        <w:rPr>
          <w:lang w:val="es-ES"/>
        </w:rPr>
        <w:t>Orientación a que se hace referencia en los párrafos 7 a) y 7 b) del artículo 9;</w:t>
      </w:r>
    </w:p>
    <w:p w14:paraId="00CC9C4A" w14:textId="77777777" w:rsidR="00136187" w:rsidRPr="00F76D7E" w:rsidRDefault="00B66F60" w:rsidP="00BC62BA">
      <w:pPr>
        <w:pStyle w:val="Normalnumber"/>
        <w:numPr>
          <w:ilvl w:val="1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  <w:rPr>
          <w:lang w:val="es-ES"/>
        </w:rPr>
      </w:pPr>
      <w:r>
        <w:rPr>
          <w:lang w:val="es-ES"/>
        </w:rPr>
        <w:t>Directrices sobre el almacenamiento provisional de mercurio y compuestos de mercurio a que se hace referencia en el párrafo 3 del artículo 10;</w:t>
      </w:r>
    </w:p>
    <w:p w14:paraId="4494699F" w14:textId="77777777" w:rsidR="00136187" w:rsidRPr="00F76D7E" w:rsidRDefault="00D1638E" w:rsidP="00BC62BA">
      <w:pPr>
        <w:pStyle w:val="Normalnumber"/>
        <w:numPr>
          <w:ilvl w:val="1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  <w:rPr>
          <w:lang w:val="es-ES"/>
        </w:rPr>
      </w:pPr>
      <w:r>
        <w:rPr>
          <w:lang w:val="es-ES"/>
        </w:rPr>
        <w:t>Definición de los umbrales de desechos de mercurio a que se hace referencia en el párrafo 2 del artículo 11;</w:t>
      </w:r>
    </w:p>
    <w:p w14:paraId="0CA4CF15" w14:textId="77777777" w:rsidR="00F6700B" w:rsidRPr="00F76D7E" w:rsidRDefault="00D1638E" w:rsidP="00BC62BA">
      <w:pPr>
        <w:pStyle w:val="Normalnumber"/>
        <w:numPr>
          <w:ilvl w:val="1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  <w:rPr>
          <w:lang w:val="es-ES"/>
        </w:rPr>
      </w:pPr>
      <w:r>
        <w:rPr>
          <w:lang w:val="es-ES"/>
        </w:rPr>
        <w:t>Orientación sobre la gestión de sitios contaminados a que se hace referencia en el párrafo 3 del artículo 12;</w:t>
      </w:r>
    </w:p>
    <w:p w14:paraId="29A92129" w14:textId="773FB3C3" w:rsidR="00773E54" w:rsidRPr="00F76D7E" w:rsidRDefault="00BC62BA" w:rsidP="00551B65">
      <w:pPr>
        <w:pStyle w:val="Normalnumber"/>
        <w:numPr>
          <w:ilvl w:val="1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  <w:rPr>
          <w:lang w:val="es-ES"/>
        </w:rPr>
      </w:pPr>
      <w:r>
        <w:rPr>
          <w:lang w:val="es-ES"/>
        </w:rPr>
        <w:t>Examen del fomento de la capacidad, la asistencia técnica y la transferencia de tecnología a que se hace referencia en los párrafos 4 y 5 del artículo 14, incluidas las recomendaciones sobre la forma en que esas actividades se podrían mejorar en virtud del artículo 14;</w:t>
      </w:r>
    </w:p>
    <w:p w14:paraId="5869F524" w14:textId="77777777" w:rsidR="00617224" w:rsidRPr="00F76D7E" w:rsidRDefault="001646EA" w:rsidP="00BC62BA">
      <w:pPr>
        <w:pStyle w:val="Normalnumber"/>
        <w:numPr>
          <w:ilvl w:val="1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  <w:rPr>
          <w:lang w:val="es-ES"/>
        </w:rPr>
      </w:pPr>
      <w:r>
        <w:rPr>
          <w:lang w:val="es-ES"/>
        </w:rPr>
        <w:t>Consulta y colaboración con la Organización Mundial de la Salud, la Organización Internacional del Trabajo y otros organismos intergubernamentales pertinentes, y promoción de la cooperación y el intercambio de información, según proceda, en relación con cuestiones o actividades relacionadas con la salud, como se indica en el párrafo 2 del artículo 16.</w:t>
      </w:r>
    </w:p>
    <w:p w14:paraId="73EE3859" w14:textId="77777777" w:rsidR="00787688" w:rsidRPr="00F76D7E" w:rsidRDefault="00787688" w:rsidP="00BC62BA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rPr>
          <w:lang w:val="es-ES"/>
        </w:rPr>
      </w:pPr>
      <w:r>
        <w:rPr>
          <w:lang w:val="es-ES"/>
        </w:rPr>
        <w:t>Lugar y fecha de celebración de la segunda reunión de la Conferencia de las Partes.</w:t>
      </w:r>
    </w:p>
    <w:p w14:paraId="14F4991C" w14:textId="77777777" w:rsidR="00D013F5" w:rsidRPr="00D25175" w:rsidRDefault="00D013F5" w:rsidP="002F68EE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</w:pPr>
      <w:r>
        <w:rPr>
          <w:lang w:val="es-ES"/>
        </w:rPr>
        <w:t>Otros asuntos.</w:t>
      </w:r>
    </w:p>
    <w:p w14:paraId="06A27482" w14:textId="77777777" w:rsidR="00D013F5" w:rsidRPr="00D25175" w:rsidRDefault="00D013F5" w:rsidP="002F68EE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</w:pPr>
      <w:r>
        <w:rPr>
          <w:lang w:val="es-ES"/>
        </w:rPr>
        <w:t>Aprobación del informe.</w:t>
      </w:r>
    </w:p>
    <w:p w14:paraId="215C4E95" w14:textId="77777777" w:rsidR="00D013F5" w:rsidRPr="00D25175" w:rsidRDefault="00D013F5" w:rsidP="00592B21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</w:pPr>
      <w:r>
        <w:rPr>
          <w:lang w:val="es-ES"/>
        </w:rPr>
        <w:t>Clausura de la reunión.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E976AB" w:rsidRPr="00D25175" w14:paraId="6DB0CABC" w14:textId="77777777" w:rsidTr="00990918">
        <w:tc>
          <w:tcPr>
            <w:tcW w:w="1942" w:type="dxa"/>
            <w:shd w:val="clear" w:color="auto" w:fill="auto"/>
          </w:tcPr>
          <w:p w14:paraId="6D3F7C2C" w14:textId="77777777" w:rsidR="00E976AB" w:rsidRPr="00D25175" w:rsidRDefault="00E976AB" w:rsidP="00990918">
            <w:pPr>
              <w:pStyle w:val="Normal-pool"/>
              <w:spacing w:before="520"/>
            </w:pPr>
          </w:p>
        </w:tc>
        <w:tc>
          <w:tcPr>
            <w:tcW w:w="1942" w:type="dxa"/>
            <w:shd w:val="clear" w:color="auto" w:fill="auto"/>
          </w:tcPr>
          <w:p w14:paraId="378BA037" w14:textId="77777777" w:rsidR="00E976AB" w:rsidRPr="00D25175" w:rsidRDefault="00E976AB" w:rsidP="00990918">
            <w:pPr>
              <w:pStyle w:val="Normal-pool"/>
              <w:spacing w:before="520"/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028E3E1E" w14:textId="77777777" w:rsidR="00E976AB" w:rsidRPr="00D25175" w:rsidRDefault="00E976AB" w:rsidP="00990918">
            <w:pPr>
              <w:pStyle w:val="Normal-pool"/>
              <w:spacing w:before="520"/>
            </w:pPr>
          </w:p>
        </w:tc>
        <w:tc>
          <w:tcPr>
            <w:tcW w:w="1943" w:type="dxa"/>
            <w:shd w:val="clear" w:color="auto" w:fill="auto"/>
          </w:tcPr>
          <w:p w14:paraId="25F1BA19" w14:textId="77777777" w:rsidR="00E976AB" w:rsidRPr="00D25175" w:rsidRDefault="00E976AB" w:rsidP="00990918">
            <w:pPr>
              <w:pStyle w:val="Normal-pool"/>
              <w:spacing w:before="520"/>
            </w:pPr>
          </w:p>
        </w:tc>
        <w:tc>
          <w:tcPr>
            <w:tcW w:w="1943" w:type="dxa"/>
            <w:shd w:val="clear" w:color="auto" w:fill="auto"/>
          </w:tcPr>
          <w:p w14:paraId="457D2993" w14:textId="77777777" w:rsidR="00E976AB" w:rsidRPr="00D25175" w:rsidRDefault="00E976AB" w:rsidP="00990918">
            <w:pPr>
              <w:pStyle w:val="Normal-pool"/>
              <w:spacing w:before="520"/>
            </w:pPr>
          </w:p>
        </w:tc>
      </w:tr>
    </w:tbl>
    <w:p w14:paraId="325E8270" w14:textId="77777777" w:rsidR="00032E4E" w:rsidRPr="00D25175" w:rsidRDefault="00032E4E" w:rsidP="00D013F5">
      <w:pPr>
        <w:pStyle w:val="Normal-pool"/>
      </w:pPr>
    </w:p>
    <w:sectPr w:rsidR="00032E4E" w:rsidRPr="00D25175" w:rsidSect="00C771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84C1F" w14:textId="77777777" w:rsidR="00D03BA4" w:rsidRDefault="00D03BA4">
      <w:r>
        <w:separator/>
      </w:r>
    </w:p>
  </w:endnote>
  <w:endnote w:type="continuationSeparator" w:id="0">
    <w:p w14:paraId="48F76D3B" w14:textId="77777777" w:rsidR="00D03BA4" w:rsidRDefault="00D0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AA827" w14:textId="77777777" w:rsidR="000D22CD" w:rsidRDefault="000D22CD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F0BD9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D48B7" w14:textId="77777777" w:rsidR="000D22CD" w:rsidRDefault="000D22CD" w:rsidP="00035ED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12813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19573" w14:textId="653541A7" w:rsidR="000D22CD" w:rsidRPr="000D22CD" w:rsidRDefault="000D22CD">
    <w:pPr>
      <w:pStyle w:val="Pieddepage"/>
      <w:rPr>
        <w:sz w:val="20"/>
      </w:rPr>
    </w:pPr>
    <w:r w:rsidRPr="000D22CD">
      <w:rPr>
        <w:sz w:val="20"/>
        <w:lang w:val="es-ES"/>
      </w:rPr>
      <w:t>K170148</w:t>
    </w:r>
    <w:r>
      <w:rPr>
        <w:sz w:val="20"/>
        <w:lang w:val="es-ES"/>
      </w:rPr>
      <w:t>5</w:t>
    </w:r>
    <w:r w:rsidRPr="000D22CD">
      <w:rPr>
        <w:sz w:val="20"/>
        <w:lang w:val="es-ES"/>
      </w:rPr>
      <w:tab/>
    </w:r>
    <w:r w:rsidR="00512813">
      <w:rPr>
        <w:sz w:val="20"/>
        <w:lang w:val="es-ES"/>
      </w:rPr>
      <w:t>2205</w:t>
    </w:r>
    <w:r w:rsidRPr="000D22CD">
      <w:rPr>
        <w:sz w:val="20"/>
        <w:lang w:val="es-ES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88549" w14:textId="77777777" w:rsidR="00D03BA4" w:rsidRDefault="00D03BA4" w:rsidP="00D92DE0">
      <w:pPr>
        <w:ind w:left="624"/>
      </w:pPr>
      <w:r>
        <w:separator/>
      </w:r>
    </w:p>
  </w:footnote>
  <w:footnote w:type="continuationSeparator" w:id="0">
    <w:p w14:paraId="39BCBAF7" w14:textId="77777777" w:rsidR="00D03BA4" w:rsidRDefault="00D03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F4E3A" w14:textId="71A8487F" w:rsidR="000D22CD" w:rsidRPr="00CA5CA9" w:rsidRDefault="000D22CD" w:rsidP="001646EA">
    <w:pPr>
      <w:pStyle w:val="En-tte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COP.1</w:t>
    </w:r>
    <w:r w:rsidRPr="00CA5CA9">
      <w:rPr>
        <w:szCs w:val="18"/>
      </w:rPr>
      <w:t>/</w:t>
    </w:r>
    <w:r>
      <w:rPr>
        <w:szCs w:val="18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91C51" w14:textId="5FF2331C" w:rsidR="000D22CD" w:rsidRPr="00CA5CA9" w:rsidRDefault="000D22CD" w:rsidP="00F7137B">
    <w:pPr>
      <w:pStyle w:val="En-tte"/>
      <w:jc w:val="right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COP.1</w:t>
    </w:r>
    <w:r w:rsidRPr="00CA5CA9">
      <w:rPr>
        <w:szCs w:val="18"/>
      </w:rPr>
      <w:t>/</w:t>
    </w:r>
    <w:r>
      <w:rPr>
        <w:szCs w:val="18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28784" w14:textId="2CBD3508" w:rsidR="000D22CD" w:rsidRDefault="000D22CD" w:rsidP="00032E4E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Titre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5571603"/>
    <w:multiLevelType w:val="singleLevel"/>
    <w:tmpl w:val="2868AC2A"/>
    <w:lvl w:ilvl="0">
      <w:start w:val="6"/>
      <w:numFmt w:val="upperLetter"/>
      <w:pStyle w:val="Titre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A66A9D"/>
    <w:multiLevelType w:val="multilevel"/>
    <w:tmpl w:val="DEA28EA4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2">
      <w:lvl w:ilvl="2">
        <w:start w:val="1"/>
        <w:numFmt w:val="lowerRoman"/>
        <w:lvlText w:val="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F"/>
    <w:rsid w:val="00000E4A"/>
    <w:rsid w:val="000024A3"/>
    <w:rsid w:val="000077AD"/>
    <w:rsid w:val="00011A16"/>
    <w:rsid w:val="000149E6"/>
    <w:rsid w:val="00023DA9"/>
    <w:rsid w:val="000247B0"/>
    <w:rsid w:val="00026997"/>
    <w:rsid w:val="00026A08"/>
    <w:rsid w:val="00032E4E"/>
    <w:rsid w:val="00033E0B"/>
    <w:rsid w:val="00035EDE"/>
    <w:rsid w:val="000509B4"/>
    <w:rsid w:val="0006035B"/>
    <w:rsid w:val="0006096F"/>
    <w:rsid w:val="000649C5"/>
    <w:rsid w:val="00071886"/>
    <w:rsid w:val="000742BC"/>
    <w:rsid w:val="00076CC6"/>
    <w:rsid w:val="00082A0C"/>
    <w:rsid w:val="00083504"/>
    <w:rsid w:val="0009640C"/>
    <w:rsid w:val="000B22A2"/>
    <w:rsid w:val="000B73F9"/>
    <w:rsid w:val="000C2A52"/>
    <w:rsid w:val="000C2A88"/>
    <w:rsid w:val="000D22CD"/>
    <w:rsid w:val="000D33C0"/>
    <w:rsid w:val="000D4CF6"/>
    <w:rsid w:val="000D6941"/>
    <w:rsid w:val="000D7C72"/>
    <w:rsid w:val="000F4829"/>
    <w:rsid w:val="001202E3"/>
    <w:rsid w:val="00123699"/>
    <w:rsid w:val="001241FB"/>
    <w:rsid w:val="0013059D"/>
    <w:rsid w:val="00136187"/>
    <w:rsid w:val="00141A55"/>
    <w:rsid w:val="0014293F"/>
    <w:rsid w:val="0014397D"/>
    <w:rsid w:val="001446A3"/>
    <w:rsid w:val="00152B6B"/>
    <w:rsid w:val="00155395"/>
    <w:rsid w:val="00155A2F"/>
    <w:rsid w:val="00156B6B"/>
    <w:rsid w:val="00160D74"/>
    <w:rsid w:val="001646EA"/>
    <w:rsid w:val="00167D02"/>
    <w:rsid w:val="001759D8"/>
    <w:rsid w:val="00177D7F"/>
    <w:rsid w:val="00180C3F"/>
    <w:rsid w:val="00181EC8"/>
    <w:rsid w:val="00184349"/>
    <w:rsid w:val="00195F33"/>
    <w:rsid w:val="001B1617"/>
    <w:rsid w:val="001B504B"/>
    <w:rsid w:val="001B6F98"/>
    <w:rsid w:val="001C191A"/>
    <w:rsid w:val="001C7421"/>
    <w:rsid w:val="001D3874"/>
    <w:rsid w:val="001D7E75"/>
    <w:rsid w:val="001E0D73"/>
    <w:rsid w:val="001E45BD"/>
    <w:rsid w:val="001E56D2"/>
    <w:rsid w:val="001E7D56"/>
    <w:rsid w:val="001F75DE"/>
    <w:rsid w:val="00200D58"/>
    <w:rsid w:val="002011C1"/>
    <w:rsid w:val="002013BE"/>
    <w:rsid w:val="00201EDC"/>
    <w:rsid w:val="002063A4"/>
    <w:rsid w:val="0021145B"/>
    <w:rsid w:val="00220C23"/>
    <w:rsid w:val="002247F6"/>
    <w:rsid w:val="00225E21"/>
    <w:rsid w:val="00234E78"/>
    <w:rsid w:val="00243D36"/>
    <w:rsid w:val="00246151"/>
    <w:rsid w:val="00247707"/>
    <w:rsid w:val="0026018E"/>
    <w:rsid w:val="00286740"/>
    <w:rsid w:val="00291EAE"/>
    <w:rsid w:val="002929D8"/>
    <w:rsid w:val="002A237D"/>
    <w:rsid w:val="002A4C53"/>
    <w:rsid w:val="002B0672"/>
    <w:rsid w:val="002B247F"/>
    <w:rsid w:val="002B50D4"/>
    <w:rsid w:val="002B58BF"/>
    <w:rsid w:val="002C145D"/>
    <w:rsid w:val="002C2C3E"/>
    <w:rsid w:val="002C533E"/>
    <w:rsid w:val="002D027F"/>
    <w:rsid w:val="002D3E15"/>
    <w:rsid w:val="002D6D0E"/>
    <w:rsid w:val="002D7A85"/>
    <w:rsid w:val="002D7B60"/>
    <w:rsid w:val="002F4761"/>
    <w:rsid w:val="002F5C79"/>
    <w:rsid w:val="002F68EE"/>
    <w:rsid w:val="003019E2"/>
    <w:rsid w:val="00310BEB"/>
    <w:rsid w:val="0031413F"/>
    <w:rsid w:val="00314854"/>
    <w:rsid w:val="003148BB"/>
    <w:rsid w:val="00317976"/>
    <w:rsid w:val="00320F2F"/>
    <w:rsid w:val="0032457E"/>
    <w:rsid w:val="00325D38"/>
    <w:rsid w:val="0035277E"/>
    <w:rsid w:val="00355EA9"/>
    <w:rsid w:val="003578DE"/>
    <w:rsid w:val="00361688"/>
    <w:rsid w:val="003877D5"/>
    <w:rsid w:val="003929B8"/>
    <w:rsid w:val="00393432"/>
    <w:rsid w:val="00396257"/>
    <w:rsid w:val="00397EB8"/>
    <w:rsid w:val="003A4FD0"/>
    <w:rsid w:val="003A69D1"/>
    <w:rsid w:val="003A7705"/>
    <w:rsid w:val="003A77F1"/>
    <w:rsid w:val="003B1545"/>
    <w:rsid w:val="003B2C20"/>
    <w:rsid w:val="003C3219"/>
    <w:rsid w:val="003C409D"/>
    <w:rsid w:val="003C5583"/>
    <w:rsid w:val="003C5BA6"/>
    <w:rsid w:val="003C74CF"/>
    <w:rsid w:val="003D3752"/>
    <w:rsid w:val="003E35DA"/>
    <w:rsid w:val="003E455D"/>
    <w:rsid w:val="003F0E85"/>
    <w:rsid w:val="00410C55"/>
    <w:rsid w:val="00416854"/>
    <w:rsid w:val="00417725"/>
    <w:rsid w:val="00422082"/>
    <w:rsid w:val="0042266F"/>
    <w:rsid w:val="00437F26"/>
    <w:rsid w:val="00444097"/>
    <w:rsid w:val="00445487"/>
    <w:rsid w:val="00447E0D"/>
    <w:rsid w:val="00453EA8"/>
    <w:rsid w:val="00454769"/>
    <w:rsid w:val="00454F9F"/>
    <w:rsid w:val="00466991"/>
    <w:rsid w:val="0047064C"/>
    <w:rsid w:val="004822B7"/>
    <w:rsid w:val="00491387"/>
    <w:rsid w:val="0049469E"/>
    <w:rsid w:val="004A2217"/>
    <w:rsid w:val="004A24F9"/>
    <w:rsid w:val="004A42E1"/>
    <w:rsid w:val="004B162C"/>
    <w:rsid w:val="004B2ABE"/>
    <w:rsid w:val="004C3DBE"/>
    <w:rsid w:val="004C5C96"/>
    <w:rsid w:val="004D06A4"/>
    <w:rsid w:val="004F1A81"/>
    <w:rsid w:val="005050D2"/>
    <w:rsid w:val="00512813"/>
    <w:rsid w:val="005218D9"/>
    <w:rsid w:val="00536186"/>
    <w:rsid w:val="00544CBB"/>
    <w:rsid w:val="00551B65"/>
    <w:rsid w:val="00556704"/>
    <w:rsid w:val="005656D7"/>
    <w:rsid w:val="0057315F"/>
    <w:rsid w:val="00576104"/>
    <w:rsid w:val="00586418"/>
    <w:rsid w:val="00592B21"/>
    <w:rsid w:val="005B44BF"/>
    <w:rsid w:val="005C67C8"/>
    <w:rsid w:val="005D0249"/>
    <w:rsid w:val="005D18FA"/>
    <w:rsid w:val="005D4FD4"/>
    <w:rsid w:val="005D6E8C"/>
    <w:rsid w:val="005E3004"/>
    <w:rsid w:val="005F100C"/>
    <w:rsid w:val="005F68DA"/>
    <w:rsid w:val="005F7419"/>
    <w:rsid w:val="00601BC9"/>
    <w:rsid w:val="0060773B"/>
    <w:rsid w:val="00613FD6"/>
    <w:rsid w:val="006157B5"/>
    <w:rsid w:val="00617224"/>
    <w:rsid w:val="00626FC6"/>
    <w:rsid w:val="006303B4"/>
    <w:rsid w:val="00630ADC"/>
    <w:rsid w:val="00633D3D"/>
    <w:rsid w:val="00641703"/>
    <w:rsid w:val="006431A6"/>
    <w:rsid w:val="00643E3A"/>
    <w:rsid w:val="006459F6"/>
    <w:rsid w:val="006501AD"/>
    <w:rsid w:val="00651BFA"/>
    <w:rsid w:val="00654475"/>
    <w:rsid w:val="00656DF0"/>
    <w:rsid w:val="00665A4B"/>
    <w:rsid w:val="00692E2A"/>
    <w:rsid w:val="0069496A"/>
    <w:rsid w:val="006A76F2"/>
    <w:rsid w:val="006B7D29"/>
    <w:rsid w:val="006D19D4"/>
    <w:rsid w:val="006D5644"/>
    <w:rsid w:val="006D7EFB"/>
    <w:rsid w:val="006E6672"/>
    <w:rsid w:val="006E6722"/>
    <w:rsid w:val="006F7AFF"/>
    <w:rsid w:val="007027B9"/>
    <w:rsid w:val="007066B5"/>
    <w:rsid w:val="007145DA"/>
    <w:rsid w:val="00715E88"/>
    <w:rsid w:val="00734CAA"/>
    <w:rsid w:val="00740EE2"/>
    <w:rsid w:val="00742680"/>
    <w:rsid w:val="0075533C"/>
    <w:rsid w:val="00757581"/>
    <w:rsid w:val="007602F5"/>
    <w:rsid w:val="00760D36"/>
    <w:rsid w:val="007611A0"/>
    <w:rsid w:val="00772574"/>
    <w:rsid w:val="00773E54"/>
    <w:rsid w:val="00787688"/>
    <w:rsid w:val="007935E6"/>
    <w:rsid w:val="00794625"/>
    <w:rsid w:val="00796D3F"/>
    <w:rsid w:val="007A1683"/>
    <w:rsid w:val="007A5C12"/>
    <w:rsid w:val="007A7CB0"/>
    <w:rsid w:val="007B68A3"/>
    <w:rsid w:val="007C2541"/>
    <w:rsid w:val="007D66A8"/>
    <w:rsid w:val="007E003F"/>
    <w:rsid w:val="007F0347"/>
    <w:rsid w:val="007F0CF8"/>
    <w:rsid w:val="007F62CB"/>
    <w:rsid w:val="008142EC"/>
    <w:rsid w:val="008164F2"/>
    <w:rsid w:val="00821395"/>
    <w:rsid w:val="00830E26"/>
    <w:rsid w:val="0084168E"/>
    <w:rsid w:val="00843576"/>
    <w:rsid w:val="00843B64"/>
    <w:rsid w:val="008478FC"/>
    <w:rsid w:val="00851C51"/>
    <w:rsid w:val="00867BFF"/>
    <w:rsid w:val="00871542"/>
    <w:rsid w:val="00872BF6"/>
    <w:rsid w:val="0088480A"/>
    <w:rsid w:val="0088757A"/>
    <w:rsid w:val="0089431B"/>
    <w:rsid w:val="00895668"/>
    <w:rsid w:val="008957DD"/>
    <w:rsid w:val="00897D98"/>
    <w:rsid w:val="008A6DF2"/>
    <w:rsid w:val="008A7807"/>
    <w:rsid w:val="008B4CC9"/>
    <w:rsid w:val="008C0B15"/>
    <w:rsid w:val="008D75E4"/>
    <w:rsid w:val="008D7C99"/>
    <w:rsid w:val="008E0FCB"/>
    <w:rsid w:val="008F6DFE"/>
    <w:rsid w:val="0090529F"/>
    <w:rsid w:val="0092178C"/>
    <w:rsid w:val="00930B88"/>
    <w:rsid w:val="00935376"/>
    <w:rsid w:val="00940DCC"/>
    <w:rsid w:val="0094179A"/>
    <w:rsid w:val="0094459E"/>
    <w:rsid w:val="00944DBC"/>
    <w:rsid w:val="00950977"/>
    <w:rsid w:val="00951A7B"/>
    <w:rsid w:val="00955512"/>
    <w:rsid w:val="009564A6"/>
    <w:rsid w:val="00957EF8"/>
    <w:rsid w:val="00966A53"/>
    <w:rsid w:val="00967621"/>
    <w:rsid w:val="00967E6A"/>
    <w:rsid w:val="009907B9"/>
    <w:rsid w:val="00990918"/>
    <w:rsid w:val="009A3A83"/>
    <w:rsid w:val="009B4A0F"/>
    <w:rsid w:val="009C11D2"/>
    <w:rsid w:val="009C6C70"/>
    <w:rsid w:val="009C7B0A"/>
    <w:rsid w:val="009D0B63"/>
    <w:rsid w:val="009D5CB8"/>
    <w:rsid w:val="009E307E"/>
    <w:rsid w:val="00A07870"/>
    <w:rsid w:val="00A07C54"/>
    <w:rsid w:val="00A07F19"/>
    <w:rsid w:val="00A1348D"/>
    <w:rsid w:val="00A13C99"/>
    <w:rsid w:val="00A232EE"/>
    <w:rsid w:val="00A4175F"/>
    <w:rsid w:val="00A44411"/>
    <w:rsid w:val="00A469FA"/>
    <w:rsid w:val="00A53662"/>
    <w:rsid w:val="00A55B01"/>
    <w:rsid w:val="00A56B5B"/>
    <w:rsid w:val="00A603FF"/>
    <w:rsid w:val="00A619B6"/>
    <w:rsid w:val="00A648CA"/>
    <w:rsid w:val="00A657DD"/>
    <w:rsid w:val="00A666A6"/>
    <w:rsid w:val="00A675FD"/>
    <w:rsid w:val="00A72437"/>
    <w:rsid w:val="00A8048B"/>
    <w:rsid w:val="00A80611"/>
    <w:rsid w:val="00AA5BF4"/>
    <w:rsid w:val="00AB5340"/>
    <w:rsid w:val="00AC0A89"/>
    <w:rsid w:val="00AC7C96"/>
    <w:rsid w:val="00AE0812"/>
    <w:rsid w:val="00AE237D"/>
    <w:rsid w:val="00AE502A"/>
    <w:rsid w:val="00AF0010"/>
    <w:rsid w:val="00AF2C1F"/>
    <w:rsid w:val="00AF7C07"/>
    <w:rsid w:val="00B06C64"/>
    <w:rsid w:val="00B11CAC"/>
    <w:rsid w:val="00B15A29"/>
    <w:rsid w:val="00B22C93"/>
    <w:rsid w:val="00B27589"/>
    <w:rsid w:val="00B405B7"/>
    <w:rsid w:val="00B52222"/>
    <w:rsid w:val="00B531DA"/>
    <w:rsid w:val="00B54895"/>
    <w:rsid w:val="00B54FE7"/>
    <w:rsid w:val="00B647C6"/>
    <w:rsid w:val="00B655F9"/>
    <w:rsid w:val="00B66901"/>
    <w:rsid w:val="00B66F60"/>
    <w:rsid w:val="00B71E6D"/>
    <w:rsid w:val="00B72070"/>
    <w:rsid w:val="00B779E1"/>
    <w:rsid w:val="00B81E3A"/>
    <w:rsid w:val="00B85CFB"/>
    <w:rsid w:val="00B914E9"/>
    <w:rsid w:val="00B91EE1"/>
    <w:rsid w:val="00B94602"/>
    <w:rsid w:val="00BA0090"/>
    <w:rsid w:val="00BA1A67"/>
    <w:rsid w:val="00BA6A80"/>
    <w:rsid w:val="00BB4ABB"/>
    <w:rsid w:val="00BC62BA"/>
    <w:rsid w:val="00BE5B5F"/>
    <w:rsid w:val="00BE7993"/>
    <w:rsid w:val="00C26F55"/>
    <w:rsid w:val="00C30C63"/>
    <w:rsid w:val="00C30FF3"/>
    <w:rsid w:val="00C36B8B"/>
    <w:rsid w:val="00C415C1"/>
    <w:rsid w:val="00C47DBF"/>
    <w:rsid w:val="00C552FF"/>
    <w:rsid w:val="00C558DA"/>
    <w:rsid w:val="00C55AF3"/>
    <w:rsid w:val="00C771A9"/>
    <w:rsid w:val="00C84759"/>
    <w:rsid w:val="00C93096"/>
    <w:rsid w:val="00CA5CA9"/>
    <w:rsid w:val="00CA6C7F"/>
    <w:rsid w:val="00CB60CA"/>
    <w:rsid w:val="00CC0FC7"/>
    <w:rsid w:val="00CC10A6"/>
    <w:rsid w:val="00CD5EB8"/>
    <w:rsid w:val="00CD7044"/>
    <w:rsid w:val="00CE08B9"/>
    <w:rsid w:val="00CE3515"/>
    <w:rsid w:val="00CE524C"/>
    <w:rsid w:val="00CF141F"/>
    <w:rsid w:val="00CF4777"/>
    <w:rsid w:val="00CF5121"/>
    <w:rsid w:val="00CF65C8"/>
    <w:rsid w:val="00D013F5"/>
    <w:rsid w:val="00D03BA4"/>
    <w:rsid w:val="00D05E3F"/>
    <w:rsid w:val="00D067BB"/>
    <w:rsid w:val="00D1352A"/>
    <w:rsid w:val="00D1638E"/>
    <w:rsid w:val="00D169AF"/>
    <w:rsid w:val="00D25175"/>
    <w:rsid w:val="00D25249"/>
    <w:rsid w:val="00D26854"/>
    <w:rsid w:val="00D44172"/>
    <w:rsid w:val="00D47BE3"/>
    <w:rsid w:val="00D63B8C"/>
    <w:rsid w:val="00D739CC"/>
    <w:rsid w:val="00D806F9"/>
    <w:rsid w:val="00D8093D"/>
    <w:rsid w:val="00D8108C"/>
    <w:rsid w:val="00D842AE"/>
    <w:rsid w:val="00D9211C"/>
    <w:rsid w:val="00D92DE0"/>
    <w:rsid w:val="00D92FEF"/>
    <w:rsid w:val="00D931F9"/>
    <w:rsid w:val="00D93A0F"/>
    <w:rsid w:val="00DA1BCA"/>
    <w:rsid w:val="00DA3663"/>
    <w:rsid w:val="00DB67C6"/>
    <w:rsid w:val="00DC46FF"/>
    <w:rsid w:val="00DC5254"/>
    <w:rsid w:val="00DC569D"/>
    <w:rsid w:val="00DD1A4F"/>
    <w:rsid w:val="00DD3107"/>
    <w:rsid w:val="00DD7C2C"/>
    <w:rsid w:val="00DE5BDA"/>
    <w:rsid w:val="00DF433C"/>
    <w:rsid w:val="00DF519F"/>
    <w:rsid w:val="00E0035A"/>
    <w:rsid w:val="00E06797"/>
    <w:rsid w:val="00E1265B"/>
    <w:rsid w:val="00E12E09"/>
    <w:rsid w:val="00E13B48"/>
    <w:rsid w:val="00E1404F"/>
    <w:rsid w:val="00E21C83"/>
    <w:rsid w:val="00E24ADA"/>
    <w:rsid w:val="00E32F59"/>
    <w:rsid w:val="00E41908"/>
    <w:rsid w:val="00E46D9A"/>
    <w:rsid w:val="00E565FF"/>
    <w:rsid w:val="00E65388"/>
    <w:rsid w:val="00E7741D"/>
    <w:rsid w:val="00E808CD"/>
    <w:rsid w:val="00E8348F"/>
    <w:rsid w:val="00E85B7D"/>
    <w:rsid w:val="00E9121B"/>
    <w:rsid w:val="00E9302E"/>
    <w:rsid w:val="00E976AB"/>
    <w:rsid w:val="00EA0AE2"/>
    <w:rsid w:val="00EA39E5"/>
    <w:rsid w:val="00EA57A3"/>
    <w:rsid w:val="00EC2813"/>
    <w:rsid w:val="00EC5A46"/>
    <w:rsid w:val="00EC63E2"/>
    <w:rsid w:val="00ED0225"/>
    <w:rsid w:val="00ED366A"/>
    <w:rsid w:val="00ED6BB7"/>
    <w:rsid w:val="00EF0BD9"/>
    <w:rsid w:val="00EF22B3"/>
    <w:rsid w:val="00F03B69"/>
    <w:rsid w:val="00F07A50"/>
    <w:rsid w:val="00F113DA"/>
    <w:rsid w:val="00F266FC"/>
    <w:rsid w:val="00F3037A"/>
    <w:rsid w:val="00F3465A"/>
    <w:rsid w:val="00F37DC8"/>
    <w:rsid w:val="00F439B3"/>
    <w:rsid w:val="00F650C3"/>
    <w:rsid w:val="00F65D85"/>
    <w:rsid w:val="00F6700B"/>
    <w:rsid w:val="00F7137B"/>
    <w:rsid w:val="00F76D7E"/>
    <w:rsid w:val="00F8091E"/>
    <w:rsid w:val="00F8615C"/>
    <w:rsid w:val="00F969E5"/>
    <w:rsid w:val="00FA4972"/>
    <w:rsid w:val="00FA6BB0"/>
    <w:rsid w:val="00FB2DBD"/>
    <w:rsid w:val="00FD48DF"/>
    <w:rsid w:val="00FD5860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406B4B"/>
  <w15:docId w15:val="{C1CFAA85-664F-45B0-A10C-F9E1A30C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Titre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Titre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Titre4">
    <w:name w:val="heading 4"/>
    <w:basedOn w:val="Titre3"/>
    <w:next w:val="Normalnumber"/>
    <w:qFormat/>
    <w:rsid w:val="000D6941"/>
    <w:pPr>
      <w:keepNext/>
      <w:outlineLvl w:val="3"/>
    </w:pPr>
  </w:style>
  <w:style w:type="paragraph" w:styleId="Titre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Titre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Titre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Titre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au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M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desillustration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au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Appelnotedebasdep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Notedebasdepage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"/>
    <w:basedOn w:val="Normalpool"/>
    <w:link w:val="NotedebasdepageCar"/>
    <w:uiPriority w:val="99"/>
    <w:rsid w:val="000D6941"/>
    <w:pPr>
      <w:spacing w:before="20" w:after="40"/>
      <w:ind w:left="1247"/>
    </w:pPr>
    <w:rPr>
      <w:sz w:val="18"/>
    </w:rPr>
  </w:style>
  <w:style w:type="character" w:styleId="Marquedecommentaire">
    <w:name w:val="annotation reference"/>
    <w:rsid w:val="003929B8"/>
    <w:rPr>
      <w:sz w:val="16"/>
      <w:szCs w:val="16"/>
    </w:rPr>
  </w:style>
  <w:style w:type="paragraph" w:styleId="Commentaire">
    <w:name w:val="annotation text"/>
    <w:basedOn w:val="Normal"/>
    <w:link w:val="CommentaireCar"/>
    <w:rsid w:val="003929B8"/>
  </w:style>
  <w:style w:type="character" w:customStyle="1" w:styleId="CommentaireCar">
    <w:name w:val="Commentaire Car"/>
    <w:link w:val="Commentaire"/>
    <w:rsid w:val="003929B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3929B8"/>
    <w:rPr>
      <w:b/>
      <w:bCs/>
    </w:rPr>
  </w:style>
  <w:style w:type="character" w:customStyle="1" w:styleId="ObjetducommentaireCar">
    <w:name w:val="Objet du commentaire Car"/>
    <w:link w:val="Objetducommentaire"/>
    <w:rsid w:val="003929B8"/>
    <w:rPr>
      <w:b/>
      <w:bCs/>
      <w:lang w:eastAsia="en-US"/>
    </w:rPr>
  </w:style>
  <w:style w:type="paragraph" w:styleId="Textedebulles">
    <w:name w:val="Balloon Text"/>
    <w:basedOn w:val="Normal"/>
    <w:link w:val="TextedebullesCar"/>
    <w:rsid w:val="003929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NotedebasdepageCar">
    <w:name w:val="Note de bas de page Car"/>
    <w:aliases w:val="DNV-FT Car,Geneva 9 Car,Font: Geneva 9 Car,Boston 10 Car,f Car,footnote3 Car,text Car,Geneva Car,92 Car,Font: Car,Boston Car,10 Car,FOOTNOTES Car,fn Car,single space Car,Footnote Text Rail EIS Car,ft Car,Footnotes Car,fn cafc Car"/>
    <w:link w:val="Notedebasdepage"/>
    <w:uiPriority w:val="99"/>
    <w:locked/>
    <w:rsid w:val="0014293F"/>
    <w:rPr>
      <w:sz w:val="18"/>
      <w:lang w:val="fr-FR" w:eastAsia="en-US"/>
    </w:rPr>
  </w:style>
  <w:style w:type="table" w:styleId="Grilledutableau">
    <w:name w:val="Table Grid"/>
    <w:basedOn w:val="Tableau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au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Pieddepage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En-tte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Lienhypertexte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Aucuneliste"/>
    <w:semiHidden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5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M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M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M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M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M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vision">
    <w:name w:val="Revision"/>
    <w:hidden/>
    <w:uiPriority w:val="99"/>
    <w:semiHidden/>
    <w:rsid w:val="00D806F9"/>
    <w:rPr>
      <w:lang w:eastAsia="en-US"/>
    </w:rPr>
  </w:style>
  <w:style w:type="character" w:styleId="Accentuation">
    <w:name w:val="Emphasis"/>
    <w:basedOn w:val="Policepardfaut"/>
    <w:qFormat/>
    <w:rsid w:val="00155A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1680D-7694-4169-AF54-7B31A300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LARUELLE</cp:lastModifiedBy>
  <cp:revision>2</cp:revision>
  <cp:lastPrinted>2016-07-18T09:51:00Z</cp:lastPrinted>
  <dcterms:created xsi:type="dcterms:W3CDTF">2017-05-23T13:20:00Z</dcterms:created>
  <dcterms:modified xsi:type="dcterms:W3CDTF">2017-05-23T13:20:00Z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joan.trujillo</vt:lpwstr>
  </property>
  <property fmtid="{D5CDD505-2E9C-101B-9397-08002B2CF9AE}" pid="4" name="GeneratedDate">
    <vt:lpwstr>3/31/2017 1:56:17 PM</vt:lpwstr>
  </property>
  <property fmtid="{D5CDD505-2E9C-101B-9397-08002B2CF9AE}" pid="5" name="OriginalDocID">
    <vt:lpwstr>20faee8a-1724-477c-ab81-26d7f47c0f87</vt:lpwstr>
  </property>
</Properties>
</file>