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668"/>
        <w:gridCol w:w="4633"/>
        <w:gridCol w:w="3411"/>
      </w:tblGrid>
      <w:tr w:rsidR="00C0217E" w:rsidTr="00C0217E">
        <w:trPr>
          <w:cantSplit/>
          <w:trHeight w:val="850"/>
          <w:jc w:val="right"/>
        </w:trPr>
        <w:tc>
          <w:tcPr>
            <w:tcW w:w="1668" w:type="dxa"/>
            <w:hideMark/>
          </w:tcPr>
          <w:p w:rsidR="00C0217E" w:rsidRDefault="00C0217E" w:rsidP="00C0217E">
            <w:pPr>
              <w:rPr>
                <w:rFonts w:ascii="Univers" w:hAnsi="Univers"/>
                <w:b/>
                <w:noProof/>
                <w:sz w:val="27"/>
                <w:szCs w:val="27"/>
              </w:rPr>
            </w:pPr>
            <w:r>
              <w:rPr>
                <w:rFonts w:ascii="Arial" w:hAnsi="Arial" w:cs="Arial"/>
                <w:b/>
                <w:noProof/>
                <w:sz w:val="27"/>
                <w:szCs w:val="27"/>
              </w:rPr>
              <w:t>NACIONES UNIDAS</w:t>
            </w:r>
          </w:p>
        </w:tc>
        <w:tc>
          <w:tcPr>
            <w:tcW w:w="4633" w:type="dxa"/>
          </w:tcPr>
          <w:p w:rsidR="00C0217E" w:rsidRDefault="00C0217E" w:rsidP="00C0217E">
            <w:pPr>
              <w:rPr>
                <w:rFonts w:ascii="Univers" w:hAnsi="Univers"/>
                <w:b/>
                <w:sz w:val="27"/>
                <w:szCs w:val="27"/>
              </w:rPr>
            </w:pPr>
          </w:p>
        </w:tc>
        <w:tc>
          <w:tcPr>
            <w:tcW w:w="3411" w:type="dxa"/>
            <w:hideMark/>
          </w:tcPr>
          <w:p w:rsidR="00C0217E" w:rsidRDefault="00C0217E" w:rsidP="00C0217E">
            <w:pPr>
              <w:jc w:val="right"/>
              <w:rPr>
                <w:rFonts w:ascii="Arial" w:hAnsi="Arial" w:cs="Arial"/>
                <w:b/>
                <w:sz w:val="64"/>
                <w:szCs w:val="64"/>
              </w:rPr>
            </w:pPr>
            <w:r>
              <w:rPr>
                <w:rFonts w:ascii="Arial" w:hAnsi="Arial" w:cs="Arial"/>
                <w:b/>
                <w:sz w:val="64"/>
                <w:szCs w:val="64"/>
              </w:rPr>
              <w:t>MC</w:t>
            </w:r>
          </w:p>
        </w:tc>
      </w:tr>
      <w:tr w:rsidR="00C0217E" w:rsidTr="00C0217E">
        <w:trPr>
          <w:cantSplit/>
          <w:trHeight w:val="281"/>
          <w:jc w:val="right"/>
        </w:trPr>
        <w:tc>
          <w:tcPr>
            <w:tcW w:w="1668" w:type="dxa"/>
            <w:tcBorders>
              <w:top w:val="nil"/>
              <w:left w:val="nil"/>
              <w:bottom w:val="single" w:sz="4" w:space="0" w:color="auto"/>
              <w:right w:val="nil"/>
            </w:tcBorders>
          </w:tcPr>
          <w:p w:rsidR="00C0217E" w:rsidRDefault="00C0217E" w:rsidP="00C0217E">
            <w:pPr>
              <w:rPr>
                <w:noProof/>
                <w:sz w:val="18"/>
                <w:szCs w:val="18"/>
              </w:rPr>
            </w:pPr>
          </w:p>
        </w:tc>
        <w:tc>
          <w:tcPr>
            <w:tcW w:w="4633" w:type="dxa"/>
            <w:tcBorders>
              <w:top w:val="nil"/>
              <w:left w:val="nil"/>
              <w:bottom w:val="single" w:sz="4" w:space="0" w:color="auto"/>
              <w:right w:val="nil"/>
            </w:tcBorders>
          </w:tcPr>
          <w:p w:rsidR="00C0217E" w:rsidRDefault="00C0217E" w:rsidP="00C0217E">
            <w:pPr>
              <w:rPr>
                <w:rFonts w:ascii="Univers" w:hAnsi="Univers"/>
                <w:b/>
                <w:sz w:val="18"/>
                <w:szCs w:val="18"/>
              </w:rPr>
            </w:pPr>
          </w:p>
        </w:tc>
        <w:tc>
          <w:tcPr>
            <w:tcW w:w="3411" w:type="dxa"/>
            <w:tcBorders>
              <w:top w:val="nil"/>
              <w:left w:val="nil"/>
              <w:bottom w:val="single" w:sz="4" w:space="0" w:color="auto"/>
              <w:right w:val="nil"/>
            </w:tcBorders>
            <w:hideMark/>
          </w:tcPr>
          <w:p w:rsidR="00C0217E" w:rsidRDefault="00C0217E" w:rsidP="00C0217E">
            <w:pPr>
              <w:rPr>
                <w:noProof/>
                <w:sz w:val="18"/>
                <w:szCs w:val="18"/>
              </w:rPr>
            </w:pPr>
            <w:r>
              <w:rPr>
                <w:b/>
                <w:bCs/>
                <w:sz w:val="28"/>
              </w:rPr>
              <w:t>UNEP</w:t>
            </w:r>
            <w:r w:rsidRPr="002E6754">
              <w:rPr>
                <w:b/>
                <w:bCs/>
              </w:rPr>
              <w:t>/</w:t>
            </w:r>
            <w:r>
              <w:t>MC/COP.1/19</w:t>
            </w:r>
          </w:p>
        </w:tc>
      </w:tr>
      <w:tr w:rsidR="00C0217E" w:rsidRPr="002E6754" w:rsidTr="00C0217E">
        <w:trPr>
          <w:cantSplit/>
          <w:trHeight w:val="2549"/>
          <w:jc w:val="right"/>
        </w:trPr>
        <w:tc>
          <w:tcPr>
            <w:tcW w:w="1668" w:type="dxa"/>
            <w:tcBorders>
              <w:top w:val="single" w:sz="4" w:space="0" w:color="auto"/>
              <w:left w:val="nil"/>
              <w:bottom w:val="single" w:sz="24" w:space="0" w:color="auto"/>
              <w:right w:val="nil"/>
            </w:tcBorders>
            <w:hideMark/>
          </w:tcPr>
          <w:p w:rsidR="00C0217E" w:rsidRDefault="00C0217E" w:rsidP="00C0217E">
            <w:pPr>
              <w:rPr>
                <w:noProof/>
              </w:rPr>
            </w:pPr>
            <w:r>
              <w:rPr>
                <w:noProof/>
              </w:rPr>
              <w:object w:dxaOrig="1305"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0.65pt" o:ole="" fillcolor="window">
                  <v:imagedata r:id="rId9" o:title=""/>
                </v:shape>
                <o:OLEObject Type="Embed" ProgID="Word.Picture.8" ShapeID="_x0000_i1025" DrawAspect="Content" ObjectID="_1560174418" r:id="rId10"/>
              </w:object>
            </w:r>
            <w:r>
              <w:rPr>
                <w:noProof/>
                <w:lang w:val="es-ES" w:eastAsia="es-ES"/>
              </w:rPr>
              <w:drawing>
                <wp:inline distT="0" distB="0" distL="0" distR="0" wp14:anchorId="094FD9B5" wp14:editId="575F9D97">
                  <wp:extent cx="723265" cy="771525"/>
                  <wp:effectExtent l="0" t="0" r="635" b="9525"/>
                  <wp:docPr id="1"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71525"/>
                          </a:xfrm>
                          <a:prstGeom prst="rect">
                            <a:avLst/>
                          </a:prstGeom>
                          <a:noFill/>
                          <a:ln>
                            <a:noFill/>
                          </a:ln>
                        </pic:spPr>
                      </pic:pic>
                    </a:graphicData>
                  </a:graphic>
                </wp:inline>
              </w:drawing>
            </w:r>
          </w:p>
        </w:tc>
        <w:tc>
          <w:tcPr>
            <w:tcW w:w="4633" w:type="dxa"/>
            <w:tcBorders>
              <w:top w:val="single" w:sz="4" w:space="0" w:color="auto"/>
              <w:left w:val="nil"/>
              <w:bottom w:val="single" w:sz="24" w:space="0" w:color="auto"/>
              <w:right w:val="nil"/>
            </w:tcBorders>
            <w:hideMark/>
          </w:tcPr>
          <w:p w:rsidR="00C0217E" w:rsidRPr="000D22CD" w:rsidRDefault="00C0217E" w:rsidP="00C0217E">
            <w:pPr>
              <w:spacing w:before="1200"/>
              <w:rPr>
                <w:rFonts w:ascii="Arial" w:hAnsi="Arial" w:cs="Arial"/>
                <w:b/>
                <w:sz w:val="28"/>
                <w:lang w:val="es-ES"/>
              </w:rPr>
            </w:pPr>
            <w:r w:rsidRPr="000D22CD">
              <w:rPr>
                <w:rFonts w:ascii="Arial" w:hAnsi="Arial" w:cs="Arial"/>
                <w:b/>
                <w:sz w:val="32"/>
                <w:szCs w:val="32"/>
                <w:lang w:val="es-ES"/>
              </w:rPr>
              <w:t xml:space="preserve">Programa de las </w:t>
            </w:r>
            <w:r>
              <w:rPr>
                <w:rFonts w:ascii="Arial" w:hAnsi="Arial" w:cs="Arial"/>
                <w:b/>
                <w:sz w:val="32"/>
                <w:szCs w:val="32"/>
                <w:lang w:val="es-ES"/>
              </w:rPr>
              <w:br/>
            </w:r>
            <w:r w:rsidR="005B2EB9">
              <w:rPr>
                <w:rFonts w:ascii="Arial" w:hAnsi="Arial" w:cs="Arial"/>
                <w:b/>
                <w:sz w:val="32"/>
                <w:szCs w:val="32"/>
                <w:lang w:val="es-ES"/>
              </w:rPr>
              <w:t>Naciones </w:t>
            </w:r>
            <w:r w:rsidRPr="000D22CD">
              <w:rPr>
                <w:rFonts w:ascii="Arial" w:hAnsi="Arial" w:cs="Arial"/>
                <w:b/>
                <w:sz w:val="32"/>
                <w:szCs w:val="32"/>
                <w:lang w:val="es-ES"/>
              </w:rPr>
              <w:t>Unidas</w:t>
            </w:r>
            <w:r>
              <w:rPr>
                <w:rFonts w:ascii="Arial" w:hAnsi="Arial" w:cs="Arial"/>
                <w:b/>
                <w:sz w:val="32"/>
                <w:szCs w:val="32"/>
                <w:lang w:val="es-ES"/>
              </w:rPr>
              <w:t xml:space="preserve"> para el Medio Ambiente</w:t>
            </w:r>
          </w:p>
        </w:tc>
        <w:tc>
          <w:tcPr>
            <w:tcW w:w="3411" w:type="dxa"/>
            <w:tcBorders>
              <w:top w:val="single" w:sz="4" w:space="0" w:color="auto"/>
              <w:left w:val="nil"/>
              <w:bottom w:val="single" w:sz="24" w:space="0" w:color="auto"/>
              <w:right w:val="nil"/>
            </w:tcBorders>
            <w:hideMark/>
          </w:tcPr>
          <w:p w:rsidR="00C0217E" w:rsidRPr="000D22CD" w:rsidRDefault="00C0217E" w:rsidP="00C0217E">
            <w:pPr>
              <w:spacing w:before="120"/>
              <w:rPr>
                <w:lang w:val="es-ES"/>
              </w:rPr>
            </w:pPr>
            <w:r w:rsidRPr="000D22CD">
              <w:rPr>
                <w:lang w:val="es-ES"/>
              </w:rPr>
              <w:t>Distr.</w:t>
            </w:r>
            <w:r>
              <w:rPr>
                <w:lang w:val="es-ES"/>
              </w:rPr>
              <w:t xml:space="preserve"> g</w:t>
            </w:r>
            <w:r w:rsidRPr="000D22CD">
              <w:rPr>
                <w:lang w:val="es-ES"/>
              </w:rPr>
              <w:t>eneral</w:t>
            </w:r>
            <w:r w:rsidRPr="000D22CD">
              <w:rPr>
                <w:lang w:val="es-ES"/>
              </w:rPr>
              <w:br w:type="textWrapping" w:clear="all"/>
            </w:r>
            <w:r>
              <w:rPr>
                <w:lang w:val="es-ES"/>
              </w:rPr>
              <w:t>15</w:t>
            </w:r>
            <w:r w:rsidRPr="000D22CD">
              <w:rPr>
                <w:lang w:val="es-ES"/>
              </w:rPr>
              <w:t xml:space="preserve"> </w:t>
            </w:r>
            <w:r w:rsidR="008A4EE2">
              <w:rPr>
                <w:lang w:val="es-ES"/>
              </w:rPr>
              <w:t>de mayo</w:t>
            </w:r>
            <w:r>
              <w:rPr>
                <w:lang w:val="es-ES"/>
              </w:rPr>
              <w:t xml:space="preserve"> de</w:t>
            </w:r>
            <w:r w:rsidRPr="000D22CD">
              <w:rPr>
                <w:lang w:val="es-ES"/>
              </w:rPr>
              <w:t xml:space="preserve"> 2017</w:t>
            </w:r>
          </w:p>
          <w:p w:rsidR="00C0217E" w:rsidRDefault="00C0217E" w:rsidP="00C0217E">
            <w:pPr>
              <w:spacing w:before="240"/>
              <w:rPr>
                <w:lang w:val="es-ES"/>
              </w:rPr>
            </w:pPr>
            <w:r>
              <w:rPr>
                <w:lang w:val="es-ES"/>
              </w:rPr>
              <w:t>Español</w:t>
            </w:r>
            <w:r w:rsidRPr="000D22CD">
              <w:rPr>
                <w:lang w:val="es-ES"/>
              </w:rPr>
              <w:t xml:space="preserve"> </w:t>
            </w:r>
            <w:r>
              <w:rPr>
                <w:lang w:val="es-ES"/>
              </w:rPr>
              <w:br/>
            </w:r>
            <w:r w:rsidRPr="000D22CD">
              <w:rPr>
                <w:lang w:val="es-ES"/>
              </w:rPr>
              <w:t xml:space="preserve">Original: </w:t>
            </w:r>
            <w:r>
              <w:rPr>
                <w:lang w:val="es-ES"/>
              </w:rPr>
              <w:t>inglés</w:t>
            </w:r>
          </w:p>
          <w:p w:rsidR="00C0217E" w:rsidRPr="000D22CD" w:rsidRDefault="00C0217E" w:rsidP="00C0217E">
            <w:pPr>
              <w:spacing w:before="240"/>
              <w:rPr>
                <w:lang w:val="es-ES"/>
              </w:rPr>
            </w:pPr>
          </w:p>
        </w:tc>
      </w:tr>
    </w:tbl>
    <w:p w:rsidR="002172C9" w:rsidRDefault="00CB007D" w:rsidP="00E976AB">
      <w:pPr>
        <w:pStyle w:val="AATitle"/>
        <w:keepNext w:val="0"/>
        <w:keepLines w:val="0"/>
        <w:rPr>
          <w:lang w:val="es-ES"/>
        </w:rPr>
      </w:pPr>
      <w:r>
        <w:rPr>
          <w:lang w:val="es-ES"/>
        </w:rPr>
        <w:t>Conferencia de las Partes en el Convenio de Minamata sobre el Mercurio</w:t>
      </w:r>
    </w:p>
    <w:p w:rsidR="00E976AB" w:rsidRPr="005867AE" w:rsidRDefault="00CB007D" w:rsidP="00E976AB">
      <w:pPr>
        <w:pStyle w:val="AATitle"/>
        <w:keepNext w:val="0"/>
        <w:keepLines w:val="0"/>
        <w:rPr>
          <w:lang w:val="es-ES_tradnl"/>
        </w:rPr>
      </w:pPr>
      <w:r>
        <w:rPr>
          <w:lang w:val="es-ES"/>
        </w:rPr>
        <w:t>Primera reunión</w:t>
      </w:r>
    </w:p>
    <w:p w:rsidR="00787688" w:rsidRPr="00420467" w:rsidRDefault="00787688" w:rsidP="00787688">
      <w:pPr>
        <w:pStyle w:val="AATitle"/>
        <w:rPr>
          <w:b w:val="0"/>
          <w:lang w:val="es-ES_tradnl"/>
        </w:rPr>
      </w:pPr>
      <w:r w:rsidRPr="00420467">
        <w:rPr>
          <w:b w:val="0"/>
          <w:lang w:val="es-ES"/>
        </w:rPr>
        <w:t>Ginebra, 24 a 29 de septiembre de 2017</w:t>
      </w:r>
    </w:p>
    <w:p w:rsidR="008A26DF" w:rsidRPr="00420467" w:rsidRDefault="008A26DF" w:rsidP="008A26DF">
      <w:pPr>
        <w:pStyle w:val="AATitle"/>
        <w:keepNext w:val="0"/>
        <w:keepLines w:val="0"/>
        <w:rPr>
          <w:b w:val="0"/>
          <w:lang w:val="es-ES_tradnl"/>
        </w:rPr>
      </w:pPr>
      <w:r w:rsidRPr="00420467">
        <w:rPr>
          <w:b w:val="0"/>
          <w:lang w:val="es-ES"/>
        </w:rPr>
        <w:t>Tema 5 c) iv) del programa provisional</w:t>
      </w:r>
      <w:r w:rsidRPr="00420467">
        <w:rPr>
          <w:b w:val="0"/>
          <w:lang w:val="es-ES"/>
        </w:rPr>
        <w:footnoteReference w:customMarkFollows="1" w:id="1"/>
        <w:t>*</w:t>
      </w:r>
    </w:p>
    <w:p w:rsidR="008A26DF" w:rsidRPr="005867AE" w:rsidRDefault="008A26DF" w:rsidP="00FB32C8">
      <w:pPr>
        <w:pStyle w:val="AATitle2"/>
        <w:spacing w:before="60"/>
        <w:ind w:right="3969"/>
        <w:rPr>
          <w:lang w:val="es-ES_tradnl"/>
        </w:rPr>
      </w:pPr>
      <w:r>
        <w:rPr>
          <w:lang w:val="es-ES"/>
        </w:rPr>
        <w:t xml:space="preserve">Cuestiones sobre las que la Conferencia de las Partes </w:t>
      </w:r>
      <w:r w:rsidR="00FB32C8">
        <w:rPr>
          <w:lang w:val="es-ES"/>
        </w:rPr>
        <w:t xml:space="preserve">podría </w:t>
      </w:r>
      <w:r>
        <w:rPr>
          <w:lang w:val="es-ES"/>
        </w:rPr>
        <w:t xml:space="preserve">adoptar medidas en su primera reunión: cuestiones recomendadas por el Comité Intergubernamental de Negociación: examen del informe sobre la </w:t>
      </w:r>
      <w:r w:rsidR="005851AD">
        <w:rPr>
          <w:lang w:val="es-ES"/>
        </w:rPr>
        <w:t>quema a cielo</w:t>
      </w:r>
      <w:r>
        <w:rPr>
          <w:lang w:val="es-ES"/>
        </w:rPr>
        <w:t xml:space="preserve"> abierto</w:t>
      </w:r>
    </w:p>
    <w:p w:rsidR="008A26DF" w:rsidRPr="005867AE" w:rsidRDefault="008A26DF" w:rsidP="00043A14">
      <w:pPr>
        <w:pStyle w:val="BBTitle"/>
        <w:rPr>
          <w:lang w:val="es-ES_tradnl"/>
        </w:rPr>
      </w:pPr>
      <w:r>
        <w:rPr>
          <w:lang w:val="es-ES"/>
        </w:rPr>
        <w:t xml:space="preserve">Examen del informe sobre las emisiones de mercurio relacionadas con la </w:t>
      </w:r>
      <w:r w:rsidR="005867AE">
        <w:rPr>
          <w:lang w:val="es-ES"/>
        </w:rPr>
        <w:t xml:space="preserve">quema </w:t>
      </w:r>
      <w:r>
        <w:rPr>
          <w:lang w:val="es-ES"/>
        </w:rPr>
        <w:t xml:space="preserve">a cielo </w:t>
      </w:r>
      <w:r w:rsidRPr="00420467">
        <w:rPr>
          <w:lang w:val="es-ES_tradnl"/>
        </w:rPr>
        <w:t>abierto</w:t>
      </w:r>
      <w:r>
        <w:rPr>
          <w:lang w:val="es-ES"/>
        </w:rPr>
        <w:t xml:space="preserve"> de desechos</w:t>
      </w:r>
    </w:p>
    <w:p w:rsidR="008A26DF" w:rsidRPr="00EA47D1" w:rsidRDefault="008A26DF" w:rsidP="008A26DF">
      <w:pPr>
        <w:pStyle w:val="CH2"/>
      </w:pPr>
      <w:r>
        <w:rPr>
          <w:lang w:val="es-ES"/>
        </w:rPr>
        <w:tab/>
      </w:r>
      <w:r>
        <w:rPr>
          <w:lang w:val="es-ES"/>
        </w:rPr>
        <w:tab/>
        <w:t>Nota de la secretaría</w:t>
      </w:r>
    </w:p>
    <w:p w:rsidR="008A26DF" w:rsidRPr="005867AE" w:rsidRDefault="008A26DF" w:rsidP="004C126D">
      <w:pPr>
        <w:pStyle w:val="Normalnumber"/>
        <w:numPr>
          <w:ilvl w:val="0"/>
          <w:numId w:val="6"/>
        </w:numPr>
        <w:tabs>
          <w:tab w:val="clear" w:pos="1147"/>
          <w:tab w:val="clear" w:pos="1247"/>
          <w:tab w:val="clear" w:pos="1814"/>
          <w:tab w:val="clear" w:pos="2381"/>
          <w:tab w:val="clear" w:pos="2948"/>
          <w:tab w:val="clear" w:pos="3515"/>
          <w:tab w:val="clear" w:pos="4082"/>
        </w:tabs>
        <w:ind w:left="1247"/>
        <w:rPr>
          <w:lang w:val="es-ES_tradnl"/>
        </w:rPr>
      </w:pPr>
      <w:r>
        <w:rPr>
          <w:lang w:val="es-ES"/>
        </w:rPr>
        <w:t xml:space="preserve">En su quinto período de sesiones, el Comité Intergubernamental de Negociación encargado de elaborar un instrumento jurídicamente vinculante a nivel mundial sobre el mercurio señaló que la </w:t>
      </w:r>
      <w:r w:rsidR="002172C9">
        <w:rPr>
          <w:lang w:val="es-ES"/>
        </w:rPr>
        <w:t>quema</w:t>
      </w:r>
      <w:r>
        <w:rPr>
          <w:lang w:val="es-ES"/>
        </w:rPr>
        <w:t xml:space="preserve"> a cielo abierto de desechos era una posible fuente de emisiones en algunos países. La inclusión de la </w:t>
      </w:r>
      <w:r w:rsidR="005867AE">
        <w:rPr>
          <w:lang w:val="es-ES"/>
        </w:rPr>
        <w:t xml:space="preserve">quema a cielo </w:t>
      </w:r>
      <w:r>
        <w:rPr>
          <w:lang w:val="es-ES"/>
        </w:rPr>
        <w:t>abierto en la lista de fuentes de emisiones que trata el Convenio de Minamata sobre el Mercurio no recibió el apoyo de algunos países debido a que no se contaba con información suficiente. Se pidió a la secretaría que reuniese información suficiente para apoyar la adopción de decisiones sobre la cuestión y presentara un informe sobre sus actividades al respecto a la Conferencia de las Partes en el Convenio de Minamata en su primera reunión o tan pronto como fuese posible.</w:t>
      </w:r>
    </w:p>
    <w:p w:rsidR="008A26DF" w:rsidRPr="005867AE" w:rsidRDefault="00420467" w:rsidP="00FB32C8">
      <w:pPr>
        <w:pStyle w:val="Normalnumber"/>
        <w:numPr>
          <w:ilvl w:val="0"/>
          <w:numId w:val="6"/>
        </w:numPr>
        <w:tabs>
          <w:tab w:val="clear" w:pos="1147"/>
          <w:tab w:val="clear" w:pos="1247"/>
          <w:tab w:val="clear" w:pos="1814"/>
          <w:tab w:val="clear" w:pos="2381"/>
          <w:tab w:val="clear" w:pos="2948"/>
          <w:tab w:val="clear" w:pos="3515"/>
          <w:tab w:val="clear" w:pos="4082"/>
        </w:tabs>
        <w:ind w:left="1247"/>
        <w:rPr>
          <w:lang w:val="es-ES_tradnl"/>
        </w:rPr>
      </w:pPr>
      <w:r>
        <w:rPr>
          <w:lang w:val="es-ES"/>
        </w:rPr>
        <w:t xml:space="preserve">Tras el séptimo período de sesiones del Comité, la secretaría solicitó a los Gobiernos y a otros interesados que realizasen aportaciones para elaborar un </w:t>
      </w:r>
      <w:r w:rsidR="008A4EE2">
        <w:rPr>
          <w:lang w:val="es-ES"/>
        </w:rPr>
        <w:t xml:space="preserve">informe sobre la quema a cielo </w:t>
      </w:r>
      <w:r>
        <w:rPr>
          <w:lang w:val="es-ES"/>
        </w:rPr>
        <w:t xml:space="preserve">abierto. </w:t>
      </w:r>
      <w:r w:rsidR="008A26DF">
        <w:rPr>
          <w:lang w:val="es-ES"/>
        </w:rPr>
        <w:t>En el período transcurrido desde el séptimo período de sesiones, se han recibido aportaciones de 11 Gobiernos y de algunas fuentes no gubernamentales. La secretaría ha</w:t>
      </w:r>
      <w:r w:rsidR="00CC5E47">
        <w:rPr>
          <w:lang w:val="es-ES"/>
        </w:rPr>
        <w:t xml:space="preserve"> reunido también información de </w:t>
      </w:r>
      <w:r w:rsidR="008A26DF">
        <w:rPr>
          <w:lang w:val="es-ES"/>
        </w:rPr>
        <w:t>diversas fuentes, entre ellas, publicaciones del</w:t>
      </w:r>
      <w:r w:rsidR="005B2EB9">
        <w:rPr>
          <w:lang w:val="es-ES"/>
        </w:rPr>
        <w:t xml:space="preserve"> Programa de las Naciones </w:t>
      </w:r>
      <w:r w:rsidR="00CC5E47">
        <w:rPr>
          <w:lang w:val="es-ES"/>
        </w:rPr>
        <w:t>Unidas para el Medio </w:t>
      </w:r>
      <w:r w:rsidR="008A26DF">
        <w:rPr>
          <w:lang w:val="es-ES"/>
        </w:rPr>
        <w:t xml:space="preserve">Ambiente y el Banco Mundial, y de un grupo de organizaciones de la sociedad civil. En el anexo de la presente nota se recoge la evaluación de las aportaciones y de la información reunida. </w:t>
      </w:r>
    </w:p>
    <w:p w:rsidR="008A26DF" w:rsidRPr="005867AE" w:rsidRDefault="008A26DF" w:rsidP="00FB32C8">
      <w:pPr>
        <w:pStyle w:val="Normalnumber"/>
        <w:numPr>
          <w:ilvl w:val="0"/>
          <w:numId w:val="5"/>
        </w:numPr>
        <w:tabs>
          <w:tab w:val="clear" w:pos="1247"/>
          <w:tab w:val="clear" w:pos="1305"/>
          <w:tab w:val="clear" w:pos="1814"/>
          <w:tab w:val="clear" w:pos="2381"/>
          <w:tab w:val="clear" w:pos="2948"/>
          <w:tab w:val="clear" w:pos="3515"/>
          <w:tab w:val="clear" w:pos="4082"/>
        </w:tabs>
        <w:ind w:left="1247"/>
        <w:rPr>
          <w:lang w:val="es-ES_tradnl"/>
        </w:rPr>
      </w:pPr>
      <w:r>
        <w:rPr>
          <w:lang w:val="es-ES"/>
        </w:rPr>
        <w:t xml:space="preserve">A día de hoy, la información cuantificada es poca. Algunas fuentes recomiendan que se adopten medidas para reducir o eliminar totalmente la </w:t>
      </w:r>
      <w:r w:rsidR="005867AE">
        <w:rPr>
          <w:lang w:val="es-ES"/>
        </w:rPr>
        <w:t xml:space="preserve">quema a cielo </w:t>
      </w:r>
      <w:r>
        <w:rPr>
          <w:lang w:val="es-ES"/>
        </w:rPr>
        <w:t>abierto como parte de las actividades de desarrollo sostenible, y ponen de relieve la contribución que harían tales medida</w:t>
      </w:r>
      <w:r w:rsidR="005851AD">
        <w:rPr>
          <w:lang w:val="es-ES"/>
        </w:rPr>
        <w:t xml:space="preserve">s a la </w:t>
      </w:r>
      <w:r w:rsidR="00420467">
        <w:rPr>
          <w:lang w:val="es-ES"/>
        </w:rPr>
        <w:t>consecución</w:t>
      </w:r>
      <w:r>
        <w:rPr>
          <w:lang w:val="es-ES"/>
        </w:rPr>
        <w:t xml:space="preserve"> de la Agenda 2030 para el Desarrollo Sostenible y los Objetivos de Desarrollo Sostenible. Cabe señalar que es probable que los países puedan reunir información adicional sobre las cantidades de mercurio emitido como resultado de la </w:t>
      </w:r>
      <w:r w:rsidR="005867AE">
        <w:rPr>
          <w:lang w:val="es-ES"/>
        </w:rPr>
        <w:t xml:space="preserve">quema a cielo </w:t>
      </w:r>
      <w:r>
        <w:rPr>
          <w:lang w:val="es-ES"/>
        </w:rPr>
        <w:t xml:space="preserve">abierto durante la preparación de sus inventarios de mercurio, que formara parte de sus evaluaciones iniciales y </w:t>
      </w:r>
      <w:proofErr w:type="gramStart"/>
      <w:r>
        <w:rPr>
          <w:lang w:val="es-ES"/>
        </w:rPr>
        <w:t>preparativos</w:t>
      </w:r>
      <w:proofErr w:type="gramEnd"/>
      <w:r>
        <w:rPr>
          <w:lang w:val="es-ES"/>
        </w:rPr>
        <w:t xml:space="preserve"> para la aplicación y ratifi</w:t>
      </w:r>
      <w:r w:rsidR="00644193">
        <w:rPr>
          <w:lang w:val="es-ES"/>
        </w:rPr>
        <w:t>cación del Convenio de Minamata.</w:t>
      </w:r>
      <w:r>
        <w:rPr>
          <w:lang w:val="es-ES"/>
        </w:rPr>
        <w:t xml:space="preserve"> </w:t>
      </w:r>
    </w:p>
    <w:p w:rsidR="008A26DF" w:rsidRPr="005867AE" w:rsidRDefault="008A26DF" w:rsidP="00160554">
      <w:pPr>
        <w:pStyle w:val="CH2"/>
        <w:rPr>
          <w:lang w:val="es-ES_tradnl"/>
        </w:rPr>
      </w:pPr>
      <w:r>
        <w:rPr>
          <w:lang w:val="es-ES"/>
        </w:rPr>
        <w:lastRenderedPageBreak/>
        <w:tab/>
      </w:r>
      <w:r>
        <w:rPr>
          <w:lang w:val="es-ES"/>
        </w:rPr>
        <w:tab/>
        <w:t>Medida que podría adop</w:t>
      </w:r>
      <w:bookmarkStart w:id="0" w:name="_GoBack"/>
      <w:bookmarkEnd w:id="0"/>
      <w:r>
        <w:rPr>
          <w:lang w:val="es-ES"/>
        </w:rPr>
        <w:t>tar la Conferencia de las Partes</w:t>
      </w:r>
    </w:p>
    <w:p w:rsidR="008A26DF" w:rsidRPr="00A74D0D" w:rsidRDefault="008A26DF" w:rsidP="00FB32C8">
      <w:pPr>
        <w:pStyle w:val="Normalnumber"/>
        <w:keepNext/>
        <w:keepLines/>
        <w:numPr>
          <w:ilvl w:val="0"/>
          <w:numId w:val="5"/>
        </w:numPr>
        <w:tabs>
          <w:tab w:val="clear" w:pos="1247"/>
          <w:tab w:val="clear" w:pos="1305"/>
          <w:tab w:val="clear" w:pos="1814"/>
          <w:tab w:val="clear" w:pos="2381"/>
          <w:tab w:val="clear" w:pos="2948"/>
          <w:tab w:val="clear" w:pos="3515"/>
          <w:tab w:val="clear" w:pos="4082"/>
        </w:tabs>
        <w:ind w:left="1247"/>
        <w:rPr>
          <w:b/>
          <w:bCs/>
          <w:lang w:val="es-ES_tradnl"/>
        </w:rPr>
      </w:pPr>
      <w:r>
        <w:rPr>
          <w:lang w:val="es-ES"/>
        </w:rPr>
        <w:t xml:space="preserve">La Conferencia de las Partes tal vez desee examinar el informe sobre las emisiones de mercurio relacionadas con la </w:t>
      </w:r>
      <w:r w:rsidR="005867AE">
        <w:rPr>
          <w:lang w:val="es-ES"/>
        </w:rPr>
        <w:t xml:space="preserve">quema a cielo </w:t>
      </w:r>
      <w:r>
        <w:rPr>
          <w:lang w:val="es-ES"/>
        </w:rPr>
        <w:t xml:space="preserve">abierto de desechos (véase el anexo) y tal vez desee también considerar la posibilidad de solicitar a la secretaría que siga recopilando información sobre las emisiones dimanantes de la </w:t>
      </w:r>
      <w:r w:rsidR="005867AE">
        <w:rPr>
          <w:lang w:val="es-ES"/>
        </w:rPr>
        <w:t xml:space="preserve">quema a cielo </w:t>
      </w:r>
      <w:r>
        <w:rPr>
          <w:lang w:val="es-ES"/>
        </w:rPr>
        <w:t xml:space="preserve">abierto como parte de su examen general de los inventarios presentados por los países. La Conferencia </w:t>
      </w:r>
      <w:r w:rsidR="004D16D7">
        <w:rPr>
          <w:lang w:val="es-ES"/>
        </w:rPr>
        <w:t xml:space="preserve">de las Partes </w:t>
      </w:r>
      <w:r>
        <w:rPr>
          <w:lang w:val="es-ES"/>
        </w:rPr>
        <w:t xml:space="preserve">tal vez desee también considerar la posibilidad de solicitar a la secretaría que presente esa información como información de </w:t>
      </w:r>
      <w:r w:rsidR="00420467">
        <w:rPr>
          <w:lang w:val="es-ES"/>
        </w:rPr>
        <w:t>antecedentes</w:t>
      </w:r>
      <w:r w:rsidR="00CC5E47">
        <w:rPr>
          <w:lang w:val="es-ES"/>
        </w:rPr>
        <w:t xml:space="preserve"> en futuras reuniones de </w:t>
      </w:r>
      <w:r>
        <w:rPr>
          <w:lang w:val="es-ES"/>
        </w:rPr>
        <w:t xml:space="preserve">la Conferencia. </w:t>
      </w:r>
    </w:p>
    <w:p w:rsidR="00FB32C8" w:rsidRDefault="00FB32C8">
      <w:pPr>
        <w:tabs>
          <w:tab w:val="clear" w:pos="1247"/>
          <w:tab w:val="clear" w:pos="1814"/>
          <w:tab w:val="clear" w:pos="2381"/>
          <w:tab w:val="clear" w:pos="2948"/>
          <w:tab w:val="clear" w:pos="3515"/>
        </w:tabs>
        <w:rPr>
          <w:b/>
          <w:bCs/>
        </w:rPr>
      </w:pPr>
      <w:r>
        <w:rPr>
          <w:b/>
          <w:bCs/>
        </w:rPr>
        <w:br w:type="page"/>
      </w:r>
    </w:p>
    <w:p w:rsidR="008A26DF" w:rsidRPr="005867AE" w:rsidRDefault="008A26DF" w:rsidP="008A26DF">
      <w:pPr>
        <w:pStyle w:val="ZZAnxheader"/>
        <w:rPr>
          <w:lang w:val="es-ES_tradnl"/>
        </w:rPr>
      </w:pPr>
      <w:r>
        <w:rPr>
          <w:lang w:val="es-ES"/>
        </w:rPr>
        <w:t>Anexo</w:t>
      </w:r>
    </w:p>
    <w:p w:rsidR="008A26DF" w:rsidRPr="005867AE" w:rsidRDefault="008A26DF" w:rsidP="008A26DF">
      <w:pPr>
        <w:pStyle w:val="ZZAnxtitle"/>
        <w:rPr>
          <w:lang w:val="es-ES_tradnl"/>
        </w:rPr>
      </w:pPr>
      <w:r>
        <w:rPr>
          <w:lang w:val="es-ES"/>
        </w:rPr>
        <w:t xml:space="preserve">Informe sobre las emisiones de mercurio relacionadas con la </w:t>
      </w:r>
      <w:r w:rsidR="005867AE">
        <w:rPr>
          <w:lang w:val="es-ES"/>
        </w:rPr>
        <w:t xml:space="preserve">quema a cielo </w:t>
      </w:r>
      <w:r>
        <w:rPr>
          <w:lang w:val="es-ES"/>
        </w:rPr>
        <w:t>abierto de desechos</w:t>
      </w:r>
    </w:p>
    <w:p w:rsidR="008A26DF" w:rsidRPr="004D16D7" w:rsidRDefault="008A26DF" w:rsidP="00FB32C8">
      <w:pPr>
        <w:pStyle w:val="CH2"/>
        <w:keepNext w:val="0"/>
        <w:keepLines w:val="0"/>
        <w:rPr>
          <w:lang w:val="es-ES_tradnl"/>
        </w:rPr>
      </w:pPr>
      <w:r>
        <w:rPr>
          <w:lang w:val="es-ES"/>
        </w:rPr>
        <w:tab/>
      </w:r>
      <w:r w:rsidR="004D16D7" w:rsidRPr="004D16D7">
        <w:rPr>
          <w:lang w:val="es-ES"/>
        </w:rPr>
        <w:t>A.</w:t>
      </w:r>
      <w:r w:rsidRPr="004D16D7">
        <w:rPr>
          <w:lang w:val="es-ES"/>
        </w:rPr>
        <w:tab/>
        <w:t>Introducción</w:t>
      </w:r>
    </w:p>
    <w:p w:rsidR="008A26DF" w:rsidRPr="005867AE" w:rsidRDefault="008A26DF" w:rsidP="008F5CD9">
      <w:pPr>
        <w:pStyle w:val="Normalnumber"/>
        <w:numPr>
          <w:ilvl w:val="0"/>
          <w:numId w:val="23"/>
        </w:numPr>
        <w:tabs>
          <w:tab w:val="clear" w:pos="1247"/>
          <w:tab w:val="clear" w:pos="1814"/>
          <w:tab w:val="clear" w:pos="2381"/>
          <w:tab w:val="clear" w:pos="2948"/>
          <w:tab w:val="clear" w:pos="3515"/>
          <w:tab w:val="clear" w:pos="4082"/>
        </w:tabs>
        <w:ind w:left="1247" w:firstLine="0"/>
        <w:rPr>
          <w:b/>
          <w:bCs/>
          <w:lang w:val="es-ES_tradnl"/>
        </w:rPr>
      </w:pPr>
      <w:r>
        <w:rPr>
          <w:lang w:val="es-ES"/>
        </w:rPr>
        <w:t xml:space="preserve">La gestión de desechos es una cuestión clave que plantea </w:t>
      </w:r>
      <w:r w:rsidR="002172C9">
        <w:rPr>
          <w:lang w:val="es-ES"/>
        </w:rPr>
        <w:t>desafíos</w:t>
      </w:r>
      <w:r w:rsidR="00CC5E47">
        <w:rPr>
          <w:lang w:val="es-ES"/>
        </w:rPr>
        <w:t xml:space="preserve"> para todos los países, pero </w:t>
      </w:r>
      <w:r>
        <w:rPr>
          <w:lang w:val="es-ES"/>
        </w:rPr>
        <w:t xml:space="preserve">especialmente para los países en desarrollo y los países con economías en transición, donde los recursos para gestionar los desechos son limitados. Las emisiones y liberaciones derivadas de las actividades de gestión de desechos representan una amenaza para la salud pública y el medio ambiente de esos países, y ciertos contaminantes plantean una amenaza mundial debido a su movimiento transfronterizo. </w:t>
      </w:r>
    </w:p>
    <w:p w:rsidR="008A26DF" w:rsidRPr="005867AE" w:rsidRDefault="008A26DF" w:rsidP="008F5CD9">
      <w:pPr>
        <w:pStyle w:val="Normalnumber"/>
        <w:numPr>
          <w:ilvl w:val="0"/>
          <w:numId w:val="23"/>
        </w:numPr>
        <w:tabs>
          <w:tab w:val="clear" w:pos="1247"/>
          <w:tab w:val="clear" w:pos="1814"/>
          <w:tab w:val="clear" w:pos="2381"/>
          <w:tab w:val="clear" w:pos="2948"/>
          <w:tab w:val="clear" w:pos="3515"/>
          <w:tab w:val="clear" w:pos="4082"/>
        </w:tabs>
        <w:ind w:left="1247" w:firstLine="0"/>
        <w:rPr>
          <w:b/>
          <w:bCs/>
          <w:lang w:val="es-ES_tradnl"/>
        </w:rPr>
      </w:pPr>
      <w:r w:rsidRPr="005867AE">
        <w:rPr>
          <w:lang w:val="es-ES"/>
        </w:rPr>
        <w:t xml:space="preserve">El mercurio puede encontrarse en una amplia variedad de corrientes de desechos, </w:t>
      </w:r>
      <w:r w:rsidR="002172C9">
        <w:rPr>
          <w:lang w:val="es-ES"/>
        </w:rPr>
        <w:t xml:space="preserve">lo cual </w:t>
      </w:r>
      <w:r w:rsidRPr="005867AE">
        <w:rPr>
          <w:lang w:val="es-ES"/>
        </w:rPr>
        <w:t xml:space="preserve">no se limita a las reconocidas </w:t>
      </w:r>
      <w:r w:rsidRPr="00CC5E47">
        <w:rPr>
          <w:lang w:val="es-ES"/>
        </w:rPr>
        <w:t xml:space="preserve">como </w:t>
      </w:r>
      <w:r w:rsidRPr="00CC5E47">
        <w:rPr>
          <w:bCs/>
          <w:lang w:val="es-ES_tradnl"/>
        </w:rPr>
        <w:t>peligrosas</w:t>
      </w:r>
      <w:r w:rsidRPr="00CC5E47">
        <w:rPr>
          <w:lang w:val="es-ES"/>
        </w:rPr>
        <w:t xml:space="preserve"> sobre</w:t>
      </w:r>
      <w:r w:rsidRPr="005867AE">
        <w:rPr>
          <w:lang w:val="es-ES"/>
        </w:rPr>
        <w:t xml:space="preserve"> la base de la presencia confirmada de mercurio (por ejemplo, los productos con mercurio añadido o los desechos contaminados con mercurio). El Convenio de Minamata estipula, en su artículo 11</w:t>
      </w:r>
      <w:r w:rsidR="00B5557C">
        <w:rPr>
          <w:lang w:val="es-ES"/>
        </w:rPr>
        <w:t>, que los desechos deberán ser gestionados</w:t>
      </w:r>
      <w:r w:rsidRPr="005867AE">
        <w:rPr>
          <w:lang w:val="es-ES"/>
        </w:rPr>
        <w:t xml:space="preserve"> de manera ambientalmente racional, teniendo en cuenta las directrices técnicas elaboradas en el marco del Convenio de Basilea sobre el Control de los Movimientos Transfronterizos de los Desechos Peligrosos y su Eliminación. </w:t>
      </w:r>
    </w:p>
    <w:p w:rsidR="008A26DF" w:rsidRPr="005867AE" w:rsidRDefault="00E52C98" w:rsidP="008F5CD9">
      <w:pPr>
        <w:pStyle w:val="Normalnumber"/>
        <w:numPr>
          <w:ilvl w:val="0"/>
          <w:numId w:val="23"/>
        </w:numPr>
        <w:tabs>
          <w:tab w:val="clear" w:pos="1247"/>
          <w:tab w:val="clear" w:pos="1814"/>
          <w:tab w:val="clear" w:pos="2381"/>
          <w:tab w:val="clear" w:pos="2948"/>
          <w:tab w:val="clear" w:pos="3515"/>
          <w:tab w:val="clear" w:pos="4082"/>
        </w:tabs>
        <w:ind w:left="1247" w:firstLine="0"/>
        <w:rPr>
          <w:b/>
          <w:bCs/>
          <w:lang w:val="es-ES_tradnl"/>
        </w:rPr>
      </w:pPr>
      <w:r>
        <w:rPr>
          <w:lang w:val="es-ES"/>
        </w:rPr>
        <w:t xml:space="preserve">El reconocimiento de la presencia de mercurio en los desechos en general condujo a la inclusión de las </w:t>
      </w:r>
      <w:r w:rsidRPr="00CC5E47">
        <w:rPr>
          <w:lang w:val="es-ES"/>
        </w:rPr>
        <w:t xml:space="preserve">plantas de </w:t>
      </w:r>
      <w:r w:rsidRPr="00CC5E47">
        <w:rPr>
          <w:bCs/>
          <w:lang w:val="es-ES_tradnl"/>
        </w:rPr>
        <w:t>incineración</w:t>
      </w:r>
      <w:r w:rsidRPr="00CC5E47">
        <w:rPr>
          <w:lang w:val="es-ES"/>
        </w:rPr>
        <w:t xml:space="preserve"> de desechos</w:t>
      </w:r>
      <w:r>
        <w:rPr>
          <w:lang w:val="es-ES"/>
        </w:rPr>
        <w:t xml:space="preserve"> en la lista de fuentes de emisiones (v</w:t>
      </w:r>
      <w:r w:rsidR="00FB32C8">
        <w:rPr>
          <w:lang w:val="es-ES"/>
        </w:rPr>
        <w:t>éase el anexo </w:t>
      </w:r>
      <w:r>
        <w:rPr>
          <w:lang w:val="es-ES"/>
        </w:rPr>
        <w:t xml:space="preserve">D del Convenio de Minamata) controladas en virtud del artículo 8 del Convenio de Minamata, sobre las emisiones. El Comité Intergubernamental de Negociación encargado de elaborar un instrumento jurídicamente vinculante a nivel mundial sobre el mercurio, en su séptimo período de sesiones, en la orientación sobre mejores técnicas disponibles y mejores prácticas ambientales, aprobó, con carácter provisional, las orientaciones sobre el control y la reducción de las emisiones de mercurio </w:t>
      </w:r>
      <w:r w:rsidR="00420467">
        <w:rPr>
          <w:lang w:val="es-ES"/>
        </w:rPr>
        <w:t>dimanantes</w:t>
      </w:r>
      <w:r>
        <w:rPr>
          <w:lang w:val="es-ES"/>
        </w:rPr>
        <w:t xml:space="preserve"> de las plantas de incineración de desechos. </w:t>
      </w:r>
    </w:p>
    <w:p w:rsidR="008A26DF" w:rsidRPr="005867AE" w:rsidRDefault="008A26DF" w:rsidP="008F5CD9">
      <w:pPr>
        <w:pStyle w:val="Normalnumber"/>
        <w:numPr>
          <w:ilvl w:val="0"/>
          <w:numId w:val="23"/>
        </w:numPr>
        <w:tabs>
          <w:tab w:val="clear" w:pos="1247"/>
          <w:tab w:val="clear" w:pos="1814"/>
          <w:tab w:val="clear" w:pos="2381"/>
          <w:tab w:val="clear" w:pos="2948"/>
          <w:tab w:val="clear" w:pos="3515"/>
          <w:tab w:val="clear" w:pos="4082"/>
        </w:tabs>
        <w:ind w:left="1247" w:firstLine="0"/>
        <w:rPr>
          <w:b/>
          <w:bCs/>
          <w:lang w:val="es-ES_tradnl"/>
        </w:rPr>
      </w:pPr>
      <w:r>
        <w:rPr>
          <w:lang w:val="es-ES"/>
        </w:rPr>
        <w:t xml:space="preserve">No obstante, se reconoce que en muchos países solo una fracción de los desechos generados se elimina con el método de incineración en instalaciones reconocidas de gestión de desechos, mientras que gran parte de ellos se quema de manera informal utilizando prácticas </w:t>
      </w:r>
      <w:r w:rsidR="00CC481C">
        <w:rPr>
          <w:lang w:val="es-ES"/>
        </w:rPr>
        <w:t>que se conocen en general como “</w:t>
      </w:r>
      <w:r>
        <w:rPr>
          <w:lang w:val="es-ES"/>
        </w:rPr>
        <w:t>quema a cielo abierto</w:t>
      </w:r>
      <w:r w:rsidR="00CC481C">
        <w:rPr>
          <w:lang w:val="es-ES"/>
        </w:rPr>
        <w:t>”</w:t>
      </w:r>
      <w:r>
        <w:rPr>
          <w:lang w:val="es-ES"/>
        </w:rPr>
        <w:t>. La práctica de la quema a cielo abierto trae como resultado emisiones no controladas de diversos contaminantes al medio ambiente. Desde la perspectiva de la salud pública, las emisiones resultantes de la quema a cielo abierto plantean un alto riesgo por varias razones. Las emisiones suelen adoptar la forma de liberaciones al nivel del suelo, lo que resulta</w:t>
      </w:r>
      <w:r w:rsidR="002172C9">
        <w:rPr>
          <w:lang w:val="es-ES"/>
        </w:rPr>
        <w:t xml:space="preserve"> en una mayor exposición local </w:t>
      </w:r>
      <w:r>
        <w:rPr>
          <w:lang w:val="es-ES"/>
        </w:rPr>
        <w:t xml:space="preserve">y </w:t>
      </w:r>
      <w:r w:rsidR="002172C9">
        <w:rPr>
          <w:lang w:val="es-ES"/>
        </w:rPr>
        <w:t xml:space="preserve">habida cuenta de </w:t>
      </w:r>
      <w:r>
        <w:rPr>
          <w:lang w:val="es-ES"/>
        </w:rPr>
        <w:t xml:space="preserve">la diversidad de desechos se </w:t>
      </w:r>
      <w:r w:rsidR="002172C9">
        <w:rPr>
          <w:lang w:val="es-ES"/>
        </w:rPr>
        <w:t>libera al medio ambiente</w:t>
      </w:r>
      <w:r>
        <w:rPr>
          <w:lang w:val="es-ES"/>
        </w:rPr>
        <w:t xml:space="preserve"> una gran variedad de contaminantes que tienen diversos efectos en la salud. Resulta difícil imponer controles a la quema a cielo abierto ya que no suele realizarse siempre en los mismos lugares y puede ser intermitente. </w:t>
      </w:r>
      <w:r w:rsidR="002172C9">
        <w:rPr>
          <w:lang w:val="es-ES"/>
        </w:rPr>
        <w:t>Muy diversos</w:t>
      </w:r>
      <w:r>
        <w:rPr>
          <w:lang w:val="es-ES"/>
        </w:rPr>
        <w:t xml:space="preserve"> efectos en la salud, incluidos los efectos cardiovasculares y respiratorios, se han asociados a la exposición al humo emitido por la quema a cielo abierto</w:t>
      </w:r>
      <w:r w:rsidR="004D16D7">
        <w:rPr>
          <w:lang w:val="es-ES"/>
        </w:rPr>
        <w:t xml:space="preserve"> </w:t>
      </w:r>
      <w:r w:rsidR="004D16D7" w:rsidRPr="004D16D7">
        <w:rPr>
          <w:lang w:val="es-ES"/>
        </w:rPr>
        <w:t>(</w:t>
      </w:r>
      <w:proofErr w:type="spellStart"/>
      <w:r w:rsidR="004D16D7" w:rsidRPr="004D16D7">
        <w:rPr>
          <w:lang w:val="es-ES"/>
        </w:rPr>
        <w:t>Mavropoulos</w:t>
      </w:r>
      <w:proofErr w:type="spellEnd"/>
      <w:r w:rsidR="004D16D7" w:rsidRPr="004D16D7">
        <w:rPr>
          <w:lang w:val="es-ES"/>
        </w:rPr>
        <w:t>, 2015).</w:t>
      </w:r>
      <w:r>
        <w:rPr>
          <w:lang w:val="es-ES"/>
        </w:rPr>
        <w:t xml:space="preserve"> </w:t>
      </w:r>
    </w:p>
    <w:p w:rsidR="008A26DF" w:rsidRPr="005867AE" w:rsidRDefault="008A26DF" w:rsidP="008F5CD9">
      <w:pPr>
        <w:pStyle w:val="Normalnumber"/>
        <w:numPr>
          <w:ilvl w:val="0"/>
          <w:numId w:val="23"/>
        </w:numPr>
        <w:tabs>
          <w:tab w:val="clear" w:pos="1247"/>
          <w:tab w:val="clear" w:pos="1814"/>
          <w:tab w:val="clear" w:pos="2381"/>
          <w:tab w:val="clear" w:pos="2948"/>
          <w:tab w:val="clear" w:pos="3515"/>
          <w:tab w:val="clear" w:pos="4082"/>
        </w:tabs>
        <w:ind w:left="1247" w:firstLine="0"/>
        <w:rPr>
          <w:b/>
          <w:bCs/>
          <w:lang w:val="es-ES_tradnl"/>
        </w:rPr>
      </w:pPr>
      <w:r>
        <w:rPr>
          <w:lang w:val="es-ES"/>
        </w:rPr>
        <w:t>La eliminación de la quema a cielo abierto está vinculada a los Objet</w:t>
      </w:r>
      <w:r w:rsidR="002172C9">
        <w:rPr>
          <w:lang w:val="es-ES"/>
        </w:rPr>
        <w:t xml:space="preserve">ivos de Desarrollo Sostenible. Entre los </w:t>
      </w:r>
      <w:r>
        <w:rPr>
          <w:lang w:val="es-ES"/>
        </w:rPr>
        <w:t>objetivos mundiales en materia de gestión de los desechos in</w:t>
      </w:r>
      <w:r w:rsidR="002172C9">
        <w:rPr>
          <w:lang w:val="es-ES"/>
        </w:rPr>
        <w:t>corporados</w:t>
      </w:r>
      <w:r>
        <w:rPr>
          <w:lang w:val="es-ES"/>
        </w:rPr>
        <w:t xml:space="preserve"> en la Agenda 2030 para el Desarrollo Sostenible </w:t>
      </w:r>
      <w:r w:rsidR="002172C9">
        <w:rPr>
          <w:lang w:val="es-ES"/>
        </w:rPr>
        <w:t xml:space="preserve">se </w:t>
      </w:r>
      <w:r>
        <w:rPr>
          <w:lang w:val="es-ES"/>
        </w:rPr>
        <w:t xml:space="preserve">incluye la eliminación de la quema </w:t>
      </w:r>
      <w:r w:rsidR="00CC481C">
        <w:rPr>
          <w:lang w:val="es-ES"/>
        </w:rPr>
        <w:t>a cielo abierto a más tardar en </w:t>
      </w:r>
      <w:r>
        <w:rPr>
          <w:lang w:val="es-ES"/>
        </w:rPr>
        <w:t xml:space="preserve">2020, lo que </w:t>
      </w:r>
      <w:r w:rsidR="00420467">
        <w:rPr>
          <w:lang w:val="es-ES"/>
        </w:rPr>
        <w:t>contribuirá</w:t>
      </w:r>
      <w:r>
        <w:rPr>
          <w:lang w:val="es-ES"/>
        </w:rPr>
        <w:t xml:space="preserve"> a la consecución de varios de los Objetivos.</w:t>
      </w:r>
    </w:p>
    <w:p w:rsidR="008A26DF" w:rsidRPr="004D16D7" w:rsidRDefault="008A26DF" w:rsidP="00FB32C8">
      <w:pPr>
        <w:pStyle w:val="CH2"/>
        <w:keepNext w:val="0"/>
        <w:keepLines w:val="0"/>
        <w:rPr>
          <w:lang w:val="es-ES_tradnl"/>
        </w:rPr>
      </w:pPr>
      <w:r>
        <w:rPr>
          <w:lang w:val="es-ES"/>
        </w:rPr>
        <w:tab/>
      </w:r>
      <w:r w:rsidR="004D16D7" w:rsidRPr="004D16D7">
        <w:rPr>
          <w:lang w:val="es-ES"/>
        </w:rPr>
        <w:t>B.</w:t>
      </w:r>
      <w:r w:rsidRPr="004D16D7">
        <w:rPr>
          <w:lang w:val="es-ES"/>
        </w:rPr>
        <w:tab/>
        <w:t>Estimaciones del alcance de la quema a cielo abierto</w:t>
      </w:r>
    </w:p>
    <w:p w:rsidR="008A26DF" w:rsidRPr="005867AE" w:rsidRDefault="008A4EE2" w:rsidP="008F5CD9">
      <w:pPr>
        <w:pStyle w:val="Normalnumber"/>
        <w:numPr>
          <w:ilvl w:val="0"/>
          <w:numId w:val="23"/>
        </w:numPr>
        <w:tabs>
          <w:tab w:val="clear" w:pos="1247"/>
          <w:tab w:val="clear" w:pos="1814"/>
          <w:tab w:val="clear" w:pos="2381"/>
          <w:tab w:val="clear" w:pos="2948"/>
          <w:tab w:val="clear" w:pos="3515"/>
          <w:tab w:val="clear" w:pos="4082"/>
        </w:tabs>
        <w:ind w:left="1247" w:firstLine="0"/>
        <w:rPr>
          <w:b/>
          <w:bCs/>
          <w:lang w:val="es-ES_tradnl"/>
        </w:rPr>
      </w:pPr>
      <w:r>
        <w:rPr>
          <w:lang w:val="es-ES"/>
        </w:rPr>
        <w:t xml:space="preserve">En el documento </w:t>
      </w:r>
      <w:r w:rsidR="008A26DF">
        <w:rPr>
          <w:lang w:val="es-ES"/>
        </w:rPr>
        <w:t xml:space="preserve">Perspectivas sobre gestión de los desechos a nivel mundial, publicado </w:t>
      </w:r>
      <w:r w:rsidR="005B2EB9">
        <w:rPr>
          <w:lang w:val="es-ES"/>
        </w:rPr>
        <w:t>por el Programa de las Naciones </w:t>
      </w:r>
      <w:r w:rsidR="008A26DF">
        <w:rPr>
          <w:lang w:val="es-ES"/>
        </w:rPr>
        <w:t>Unidas para el Medio Ambiente (PNUMA) en 2015</w:t>
      </w:r>
      <w:r w:rsidR="0001309D">
        <w:rPr>
          <w:lang w:val="es-ES"/>
        </w:rPr>
        <w:t>, se estim</w:t>
      </w:r>
      <w:r w:rsidR="004D16D7">
        <w:rPr>
          <w:lang w:val="es-ES"/>
        </w:rPr>
        <w:t>a</w:t>
      </w:r>
      <w:r w:rsidR="0001309D">
        <w:rPr>
          <w:lang w:val="es-ES"/>
        </w:rPr>
        <w:t xml:space="preserve"> que la eliminación </w:t>
      </w:r>
      <w:r w:rsidR="008A26DF">
        <w:rPr>
          <w:lang w:val="es-ES"/>
        </w:rPr>
        <w:t>n</w:t>
      </w:r>
      <w:r w:rsidR="0001309D">
        <w:rPr>
          <w:lang w:val="es-ES"/>
        </w:rPr>
        <w:t xml:space="preserve">o </w:t>
      </w:r>
      <w:r w:rsidR="008A26DF">
        <w:rPr>
          <w:lang w:val="es-ES"/>
        </w:rPr>
        <w:t>controlada de desechos afecta a más del 50% de la población en los países de ingresos bajos, y que esa cifra aumentaba hasta casi el 100% en las zonas rurales en esos países. En el informe se calculó que al menos 3.000 millones de personas en todo el mundo seguían careciendo de acceso a instalaciones controladas de eliminación de los desechos, y que gran parte de la eliminación de desechos se llevaba a cabo en vertederos no controlados mediante la quema a cielo abierto.</w:t>
      </w:r>
    </w:p>
    <w:p w:rsidR="008A26DF" w:rsidRPr="004D16D7" w:rsidRDefault="008A26DF" w:rsidP="00644193">
      <w:pPr>
        <w:pStyle w:val="CH2"/>
        <w:keepLines w:val="0"/>
        <w:rPr>
          <w:lang w:val="es-ES_tradnl"/>
        </w:rPr>
      </w:pPr>
      <w:r>
        <w:rPr>
          <w:lang w:val="es-ES"/>
        </w:rPr>
        <w:tab/>
      </w:r>
      <w:r w:rsidR="004D16D7" w:rsidRPr="004D16D7">
        <w:rPr>
          <w:lang w:val="es-ES"/>
        </w:rPr>
        <w:t>C.</w:t>
      </w:r>
      <w:r w:rsidRPr="004D16D7">
        <w:rPr>
          <w:lang w:val="es-ES"/>
        </w:rPr>
        <w:tab/>
        <w:t>Estimaciones de las emisiones de mercurio dimanantes de la quema a cielo abierto de desechos</w:t>
      </w:r>
    </w:p>
    <w:p w:rsidR="008A26DF" w:rsidRPr="005867AE" w:rsidRDefault="009E080A" w:rsidP="008F5CD9">
      <w:pPr>
        <w:pStyle w:val="Normalnumber"/>
        <w:numPr>
          <w:ilvl w:val="0"/>
          <w:numId w:val="23"/>
        </w:numPr>
        <w:tabs>
          <w:tab w:val="clear" w:pos="1247"/>
          <w:tab w:val="clear" w:pos="1814"/>
          <w:tab w:val="clear" w:pos="2381"/>
          <w:tab w:val="clear" w:pos="2948"/>
          <w:tab w:val="clear" w:pos="3515"/>
          <w:tab w:val="clear" w:pos="4082"/>
        </w:tabs>
        <w:ind w:left="1247" w:firstLine="0"/>
        <w:rPr>
          <w:b/>
          <w:bCs/>
          <w:lang w:val="es-ES_tradnl"/>
        </w:rPr>
      </w:pPr>
      <w:r>
        <w:rPr>
          <w:lang w:val="es-ES"/>
        </w:rPr>
        <w:t xml:space="preserve">En la publicación </w:t>
      </w:r>
      <w:r w:rsidRPr="009E080A">
        <w:rPr>
          <w:i/>
          <w:lang w:val="es-ES_tradnl"/>
        </w:rPr>
        <w:t>Global Mercury Assessment 2013</w:t>
      </w:r>
      <w:r>
        <w:rPr>
          <w:i/>
          <w:lang w:val="es-ES_tradnl"/>
        </w:rPr>
        <w:t xml:space="preserve"> </w:t>
      </w:r>
      <w:r w:rsidR="008A26DF">
        <w:rPr>
          <w:lang w:val="es-ES"/>
        </w:rPr>
        <w:t xml:space="preserve">del PNUMA </w:t>
      </w:r>
      <w:r>
        <w:rPr>
          <w:lang w:val="es-ES"/>
        </w:rPr>
        <w:t>se</w:t>
      </w:r>
      <w:r w:rsidR="004D16D7">
        <w:rPr>
          <w:lang w:val="es-ES"/>
        </w:rPr>
        <w:t xml:space="preserve"> señala</w:t>
      </w:r>
      <w:r w:rsidR="008A26DF">
        <w:rPr>
          <w:lang w:val="es-ES"/>
        </w:rPr>
        <w:t xml:space="preserve"> que la proporción de mercurio en productos que entran en la corriente de des</w:t>
      </w:r>
      <w:r w:rsidR="008A26DF" w:rsidRPr="005867AE">
        <w:rPr>
          <w:b/>
          <w:bCs/>
          <w:lang w:val="es-ES"/>
        </w:rPr>
        <w:t>e</w:t>
      </w:r>
      <w:r w:rsidR="008A26DF">
        <w:rPr>
          <w:lang w:val="es-ES"/>
        </w:rPr>
        <w:t>chos se distribu</w:t>
      </w:r>
      <w:r w:rsidR="004D16D7">
        <w:rPr>
          <w:lang w:val="es-ES"/>
        </w:rPr>
        <w:t>ye</w:t>
      </w:r>
      <w:r w:rsidR="008A26DF">
        <w:rPr>
          <w:lang w:val="es-ES"/>
        </w:rPr>
        <w:t xml:space="preserve"> entre las actividades de reciclado, incineración y vert</w:t>
      </w:r>
      <w:r w:rsidR="0001309D">
        <w:rPr>
          <w:lang w:val="es-ES"/>
        </w:rPr>
        <w:t>ido</w:t>
      </w:r>
      <w:r w:rsidR="008A26DF">
        <w:rPr>
          <w:lang w:val="es-ES"/>
        </w:rPr>
        <w:t xml:space="preserve"> (el último de los cuales puede </w:t>
      </w:r>
      <w:r w:rsidR="004D16D7">
        <w:rPr>
          <w:lang w:val="es-ES"/>
        </w:rPr>
        <w:t>dar</w:t>
      </w:r>
      <w:r w:rsidR="008A26DF">
        <w:rPr>
          <w:lang w:val="es-ES"/>
        </w:rPr>
        <w:t xml:space="preserve"> lugar a ulteriores liberaciones de mercurio, en función de los controles existentes en el vertedero)</w:t>
      </w:r>
      <w:r w:rsidR="0001309D">
        <w:rPr>
          <w:lang w:val="es-ES"/>
        </w:rPr>
        <w:t xml:space="preserve">. </w:t>
      </w:r>
      <w:r w:rsidR="008A26DF">
        <w:rPr>
          <w:lang w:val="es-ES"/>
        </w:rPr>
        <w:t xml:space="preserve">Los desechos podrían además clasificarse </w:t>
      </w:r>
      <w:r w:rsidR="0001309D">
        <w:rPr>
          <w:lang w:val="es-ES"/>
        </w:rPr>
        <w:t>como</w:t>
      </w:r>
      <w:r w:rsidR="008A26DF">
        <w:rPr>
          <w:lang w:val="es-ES"/>
        </w:rPr>
        <w:t xml:space="preserve"> desechos controlados y no controlados, tanto en el caso de las actividades de incineración </w:t>
      </w:r>
      <w:r w:rsidR="0001309D">
        <w:rPr>
          <w:lang w:val="es-ES"/>
        </w:rPr>
        <w:t xml:space="preserve">como en </w:t>
      </w:r>
      <w:r w:rsidR="008A26DF">
        <w:rPr>
          <w:lang w:val="es-ES"/>
        </w:rPr>
        <w:t xml:space="preserve">las relacionadas con los vertederos. En la evaluación se elaboraron </w:t>
      </w:r>
      <w:r w:rsidR="00420467">
        <w:rPr>
          <w:lang w:val="es-ES"/>
        </w:rPr>
        <w:t>modelos</w:t>
      </w:r>
      <w:r w:rsidR="008A26DF">
        <w:rPr>
          <w:lang w:val="es-ES"/>
        </w:rPr>
        <w:t xml:space="preserve"> para estimar las emisiones de mercurio resultantes de diferentes prácticas de gestión de desechos en diferentes países, </w:t>
      </w:r>
      <w:r w:rsidR="0001309D">
        <w:rPr>
          <w:lang w:val="es-ES"/>
        </w:rPr>
        <w:t xml:space="preserve">tomando en cuenta en las </w:t>
      </w:r>
      <w:r w:rsidR="008A26DF">
        <w:rPr>
          <w:lang w:val="es-ES"/>
        </w:rPr>
        <w:t>estimaciones el nivel de desarrollo. La metodología seguida en la evaluación incluy</w:t>
      </w:r>
      <w:r w:rsidR="004D16D7">
        <w:rPr>
          <w:lang w:val="es-ES"/>
        </w:rPr>
        <w:t>e</w:t>
      </w:r>
      <w:r w:rsidR="008A26DF">
        <w:rPr>
          <w:lang w:val="es-ES"/>
        </w:rPr>
        <w:t xml:space="preserve"> algunos supuestos sobre las prácticas de gestión de los desechos, y se espera que la precisión de las estimaciones mejore con la recopilación de datos adicionales.</w:t>
      </w:r>
    </w:p>
    <w:p w:rsidR="008A26DF" w:rsidRPr="005867AE" w:rsidRDefault="001F5ADF" w:rsidP="008F5CD9">
      <w:pPr>
        <w:pStyle w:val="Normalnumber"/>
        <w:numPr>
          <w:ilvl w:val="0"/>
          <w:numId w:val="23"/>
        </w:numPr>
        <w:tabs>
          <w:tab w:val="clear" w:pos="1247"/>
          <w:tab w:val="clear" w:pos="1814"/>
          <w:tab w:val="clear" w:pos="2381"/>
          <w:tab w:val="clear" w:pos="2948"/>
          <w:tab w:val="clear" w:pos="3515"/>
          <w:tab w:val="clear" w:pos="4082"/>
        </w:tabs>
        <w:ind w:left="1247" w:firstLine="0"/>
        <w:rPr>
          <w:b/>
          <w:bCs/>
          <w:lang w:val="es-ES_tradnl"/>
        </w:rPr>
      </w:pPr>
      <w:r>
        <w:rPr>
          <w:lang w:val="es-ES"/>
        </w:rPr>
        <w:t>Una metodología parecida, que se presenta en el Instrumental para la Identificación y Cuantificación de Liberaciones de Mercurio, puede utilizarse para estimar la cantidad de mercurio emitido por la quema de desechos utilizando facto</w:t>
      </w:r>
      <w:r w:rsidR="0001309D">
        <w:rPr>
          <w:lang w:val="es-ES"/>
        </w:rPr>
        <w:t xml:space="preserve">res para estimar el volumen de quema </w:t>
      </w:r>
      <w:r>
        <w:rPr>
          <w:lang w:val="es-ES"/>
        </w:rPr>
        <w:t xml:space="preserve">controlada </w:t>
      </w:r>
      <w:r w:rsidR="0001309D">
        <w:rPr>
          <w:lang w:val="es-ES"/>
        </w:rPr>
        <w:t xml:space="preserve">y el volumen de quema </w:t>
      </w:r>
      <w:r>
        <w:rPr>
          <w:lang w:val="es-ES"/>
        </w:rPr>
        <w:t>no controlada</w:t>
      </w:r>
      <w:r w:rsidR="0001309D">
        <w:rPr>
          <w:lang w:val="es-ES"/>
        </w:rPr>
        <w:t xml:space="preserve"> </w:t>
      </w:r>
      <w:r>
        <w:rPr>
          <w:lang w:val="es-ES"/>
        </w:rPr>
        <w:t xml:space="preserve">a nivel nacional. Las estimaciones resultantes pueden precisarse mejor sumando el valor de la información nacional adicional. A medida que los países realicen sus inventarios de las emisiones y liberaciones de mercurio, como parte de su aplicación del Convenio de Minamata, será posible reunir más información y se podrá tener una idea más precisa del alcance de las emisiones de mercurio. </w:t>
      </w:r>
    </w:p>
    <w:p w:rsidR="008A26DF" w:rsidRPr="004D16D7" w:rsidRDefault="008A26DF" w:rsidP="008F5CD9">
      <w:pPr>
        <w:pStyle w:val="CH2"/>
        <w:keepNext w:val="0"/>
        <w:keepLines w:val="0"/>
        <w:rPr>
          <w:lang w:val="es-ES_tradnl"/>
        </w:rPr>
      </w:pPr>
      <w:r w:rsidRPr="004D16D7">
        <w:rPr>
          <w:lang w:val="es-ES"/>
        </w:rPr>
        <w:tab/>
      </w:r>
      <w:r w:rsidR="004D16D7" w:rsidRPr="004D16D7">
        <w:rPr>
          <w:lang w:val="es-ES"/>
        </w:rPr>
        <w:t>D.</w:t>
      </w:r>
      <w:r w:rsidRPr="004D16D7">
        <w:rPr>
          <w:lang w:val="es-ES"/>
        </w:rPr>
        <w:tab/>
        <w:t>Información recopilada a partir de las comunicaciones de los países sobre la quema a cielo abierto de desechos</w:t>
      </w:r>
    </w:p>
    <w:p w:rsidR="008110CF" w:rsidRPr="005867AE" w:rsidRDefault="008A26DF" w:rsidP="008F5CD9">
      <w:pPr>
        <w:pStyle w:val="Normalnumber"/>
        <w:numPr>
          <w:ilvl w:val="0"/>
          <w:numId w:val="23"/>
        </w:numPr>
        <w:tabs>
          <w:tab w:val="clear" w:pos="1247"/>
          <w:tab w:val="clear" w:pos="1814"/>
          <w:tab w:val="clear" w:pos="2381"/>
          <w:tab w:val="clear" w:pos="2948"/>
          <w:tab w:val="clear" w:pos="3515"/>
          <w:tab w:val="clear" w:pos="4082"/>
        </w:tabs>
        <w:ind w:left="1247" w:firstLine="0"/>
        <w:rPr>
          <w:b/>
          <w:bCs/>
          <w:lang w:val="es-ES_tradnl"/>
        </w:rPr>
      </w:pPr>
      <w:r>
        <w:rPr>
          <w:lang w:val="es-ES"/>
        </w:rPr>
        <w:t xml:space="preserve">Varios países indicaron que la quema a cielo abierto de desechos no estaba autorizada a nivel nacional. Entre otros métodos de tratamiento de desechos mencionaron el reciclaje, el tratamiento térmico en una instalación autorizada o el vertido controlado. Algunos países han </w:t>
      </w:r>
      <w:r w:rsidR="0001309D">
        <w:rPr>
          <w:lang w:val="es-ES"/>
        </w:rPr>
        <w:t>desarrollado</w:t>
      </w:r>
      <w:r>
        <w:rPr>
          <w:lang w:val="es-ES"/>
        </w:rPr>
        <w:t xml:space="preserve"> prácticas </w:t>
      </w:r>
      <w:r w:rsidR="0001309D">
        <w:rPr>
          <w:lang w:val="es-ES"/>
        </w:rPr>
        <w:t>para</w:t>
      </w:r>
      <w:r>
        <w:rPr>
          <w:lang w:val="es-ES"/>
        </w:rPr>
        <w:t xml:space="preserve"> utilizar el calor generado por la incineración de desechos para la producción de electricidad o la calefacción de edificios. Un país indicó que las prácticas culturales y religiosas en su territorio incluían la quema de una cierta cantidad de desechos, pero que la cantidad se consideraba insignificante, y que se preveía que los niveles de mercurio fuesen bajo</w:t>
      </w:r>
      <w:r w:rsidR="0001309D">
        <w:rPr>
          <w:lang w:val="es-ES"/>
        </w:rPr>
        <w:t>s</w:t>
      </w:r>
      <w:r>
        <w:rPr>
          <w:lang w:val="es-ES"/>
        </w:rPr>
        <w:t xml:space="preserve"> (es decir, comparables a los de los objetos naturales en el medio ambiente, como los árboles). </w:t>
      </w:r>
    </w:p>
    <w:p w:rsidR="008A26DF" w:rsidRPr="005867AE" w:rsidRDefault="008A26DF" w:rsidP="008F5CD9">
      <w:pPr>
        <w:pStyle w:val="Normalnumber"/>
        <w:numPr>
          <w:ilvl w:val="0"/>
          <w:numId w:val="23"/>
        </w:numPr>
        <w:tabs>
          <w:tab w:val="clear" w:pos="1247"/>
          <w:tab w:val="clear" w:pos="1814"/>
          <w:tab w:val="clear" w:pos="2381"/>
          <w:tab w:val="clear" w:pos="2948"/>
          <w:tab w:val="clear" w:pos="3515"/>
          <w:tab w:val="clear" w:pos="4082"/>
        </w:tabs>
        <w:ind w:left="1247" w:firstLine="0"/>
        <w:rPr>
          <w:b/>
          <w:bCs/>
          <w:lang w:val="es-ES_tradnl"/>
        </w:rPr>
      </w:pPr>
      <w:r>
        <w:rPr>
          <w:lang w:val="es-ES"/>
        </w:rPr>
        <w:t>Varios países proporcionaron información detallada en relación con sus prácticas de gestión de los desechos. Costa Rica proporcionó información sobre los desechos correspondiente al año 2014. En ese año se generaron casi 1,5 millones de toneladas de desechos. La mayoría de los desechos se eliminaron en un vertedero. Se estimó que alrededor del 68% de los desechos que no se enviaron al vertedero fue</w:t>
      </w:r>
      <w:r w:rsidR="0001309D">
        <w:rPr>
          <w:lang w:val="es-ES"/>
        </w:rPr>
        <w:t>ron</w:t>
      </w:r>
      <w:r>
        <w:rPr>
          <w:lang w:val="es-ES"/>
        </w:rPr>
        <w:t xml:space="preserve"> quemado</w:t>
      </w:r>
      <w:r w:rsidR="0001309D">
        <w:rPr>
          <w:lang w:val="es-ES"/>
        </w:rPr>
        <w:t>s</w:t>
      </w:r>
      <w:r>
        <w:rPr>
          <w:lang w:val="es-ES"/>
        </w:rPr>
        <w:t xml:space="preserve">. Tomando como base los factores de emisión que se indican en el Instrumental para la Identificación y </w:t>
      </w:r>
      <w:r w:rsidR="00420467">
        <w:rPr>
          <w:lang w:val="es-ES"/>
        </w:rPr>
        <w:t>Cuantificación</w:t>
      </w:r>
      <w:r>
        <w:rPr>
          <w:lang w:val="es-ES"/>
        </w:rPr>
        <w:t xml:space="preserve"> de las Liberaciones de Mercurio, se e</w:t>
      </w:r>
      <w:r w:rsidR="00CC481C">
        <w:rPr>
          <w:lang w:val="es-ES"/>
        </w:rPr>
        <w:t>stimó que en </w:t>
      </w:r>
      <w:r>
        <w:rPr>
          <w:lang w:val="es-ES"/>
        </w:rPr>
        <w:t>2014 las emisiones de mercurio alcanzaron los 475 kg aproximadamente.</w:t>
      </w:r>
    </w:p>
    <w:p w:rsidR="008A26DF" w:rsidRPr="005867AE" w:rsidRDefault="008A26DF" w:rsidP="008F5CD9">
      <w:pPr>
        <w:pStyle w:val="Normalnumber"/>
        <w:numPr>
          <w:ilvl w:val="0"/>
          <w:numId w:val="23"/>
        </w:numPr>
        <w:tabs>
          <w:tab w:val="clear" w:pos="1247"/>
          <w:tab w:val="clear" w:pos="1814"/>
          <w:tab w:val="clear" w:pos="2381"/>
          <w:tab w:val="clear" w:pos="2948"/>
          <w:tab w:val="clear" w:pos="3515"/>
          <w:tab w:val="clear" w:pos="4082"/>
        </w:tabs>
        <w:ind w:left="1247" w:firstLine="0"/>
        <w:rPr>
          <w:b/>
          <w:bCs/>
          <w:lang w:val="es-ES_tradnl"/>
        </w:rPr>
      </w:pPr>
      <w:r>
        <w:rPr>
          <w:lang w:val="es-ES"/>
        </w:rPr>
        <w:t xml:space="preserve">Guatemala estimó que en 2013 se habían generado 240.000 toneladas de desechos ordinarios. Sin embargo, no disponía de </w:t>
      </w:r>
      <w:r w:rsidRPr="005867AE">
        <w:rPr>
          <w:lang w:val="es-ES"/>
        </w:rPr>
        <w:t xml:space="preserve">información </w:t>
      </w:r>
      <w:r w:rsidRPr="005867AE">
        <w:rPr>
          <w:bCs/>
          <w:lang w:val="es-ES"/>
        </w:rPr>
        <w:t xml:space="preserve">ni de estimaciones sobre el contenido medio de mercurio </w:t>
      </w:r>
      <w:r w:rsidR="0001309D">
        <w:rPr>
          <w:bCs/>
          <w:lang w:val="es-ES"/>
        </w:rPr>
        <w:t>en</w:t>
      </w:r>
      <w:r w:rsidRPr="005867AE">
        <w:rPr>
          <w:lang w:val="es-ES"/>
        </w:rPr>
        <w:t xml:space="preserve"> los desechos</w:t>
      </w:r>
      <w:r w:rsidR="0001309D">
        <w:rPr>
          <w:lang w:val="es-ES"/>
        </w:rPr>
        <w:t xml:space="preserve"> </w:t>
      </w:r>
      <w:r w:rsidRPr="005867AE">
        <w:rPr>
          <w:lang w:val="es-ES"/>
        </w:rPr>
        <w:t xml:space="preserve">ni </w:t>
      </w:r>
      <w:r w:rsidR="0001309D">
        <w:rPr>
          <w:lang w:val="es-ES"/>
        </w:rPr>
        <w:t xml:space="preserve">sobre </w:t>
      </w:r>
      <w:r w:rsidRPr="005867AE">
        <w:rPr>
          <w:lang w:val="es-ES"/>
        </w:rPr>
        <w:t>la proporción de los</w:t>
      </w:r>
      <w:r>
        <w:rPr>
          <w:lang w:val="es-ES"/>
        </w:rPr>
        <w:t xml:space="preserve"> desechos </w:t>
      </w:r>
      <w:r w:rsidR="00420467">
        <w:rPr>
          <w:lang w:val="es-ES"/>
        </w:rPr>
        <w:t>eliminados</w:t>
      </w:r>
      <w:r>
        <w:rPr>
          <w:lang w:val="es-ES"/>
        </w:rPr>
        <w:t xml:space="preserve"> mediante la quema a cielo abierto. </w:t>
      </w:r>
    </w:p>
    <w:p w:rsidR="008A26DF" w:rsidRPr="005867AE" w:rsidRDefault="008A26DF" w:rsidP="008F5CD9">
      <w:pPr>
        <w:pStyle w:val="Normalnumber"/>
        <w:numPr>
          <w:ilvl w:val="0"/>
          <w:numId w:val="23"/>
        </w:numPr>
        <w:tabs>
          <w:tab w:val="clear" w:pos="1247"/>
          <w:tab w:val="clear" w:pos="1814"/>
          <w:tab w:val="clear" w:pos="2381"/>
          <w:tab w:val="clear" w:pos="2948"/>
          <w:tab w:val="clear" w:pos="3515"/>
          <w:tab w:val="clear" w:pos="4082"/>
        </w:tabs>
        <w:ind w:left="1247" w:firstLine="0"/>
        <w:rPr>
          <w:b/>
          <w:bCs/>
          <w:lang w:val="es-ES_tradnl"/>
        </w:rPr>
      </w:pPr>
      <w:r>
        <w:rPr>
          <w:lang w:val="es-ES"/>
        </w:rPr>
        <w:t xml:space="preserve">Montenegro presentó información detallada sobre los desechos generados en su territorio. Pudo proporcionar estimaciones de los desechos para varias </w:t>
      </w:r>
      <w:r w:rsidR="00420467">
        <w:rPr>
          <w:lang w:val="es-ES"/>
        </w:rPr>
        <w:t>categorías, entre</w:t>
      </w:r>
      <w:r>
        <w:rPr>
          <w:lang w:val="es-ES"/>
        </w:rPr>
        <w:t xml:space="preserve"> otros, desechos municipales, desechos industriales, desechos de la construcción, fangos cloacales, desechos médicos, desechos de vehículos, baterías y acumuladores de desecho, desechos de embalaje, neumáticos de desecho, desechos de productos eléctricos y electrónicos y aceites de desecho. Sin embargo, no contaba con ninguna información sobre el porcentaje de los desechos que se eliminan mediante la quema a cielo abierto ni sobre el contenido medio de mercurio de sus desechos. </w:t>
      </w:r>
    </w:p>
    <w:p w:rsidR="008A26DF" w:rsidRPr="005867AE" w:rsidRDefault="008A26DF" w:rsidP="008F5CD9">
      <w:pPr>
        <w:pStyle w:val="Normalnumber"/>
        <w:numPr>
          <w:ilvl w:val="0"/>
          <w:numId w:val="23"/>
        </w:numPr>
        <w:tabs>
          <w:tab w:val="clear" w:pos="1247"/>
          <w:tab w:val="clear" w:pos="1814"/>
          <w:tab w:val="clear" w:pos="2381"/>
          <w:tab w:val="clear" w:pos="2948"/>
          <w:tab w:val="clear" w:pos="3515"/>
          <w:tab w:val="clear" w:pos="4082"/>
        </w:tabs>
        <w:ind w:left="1247" w:firstLine="0"/>
        <w:rPr>
          <w:b/>
          <w:bCs/>
          <w:lang w:val="es-ES_tradnl"/>
        </w:rPr>
      </w:pPr>
      <w:r>
        <w:rPr>
          <w:lang w:val="es-ES"/>
        </w:rPr>
        <w:t>La Arabia Saudita indicó que, en el momento de la presentación de informes, no tenía ninguna información fiable sobre sus niveles nacionales de emisiones y liberaciones de mercurio y compuestos de mercurio. En la actualidad está realizando encuestas y otros estudios que se ocupan directamente de la contaminación atmosférica, incluidos el mercurio y los compuestos de mercurio, y que están dirigidos a estimar las emisiones de esa sustancia. En su presentación, la Arabia Saudita indicó que ya había adoptado medidas para:</w:t>
      </w:r>
    </w:p>
    <w:p w:rsidR="008A26DF" w:rsidRPr="005867AE" w:rsidRDefault="00AB544E" w:rsidP="008F5CD9">
      <w:pPr>
        <w:pStyle w:val="Normalnumber"/>
        <w:numPr>
          <w:ilvl w:val="0"/>
          <w:numId w:val="7"/>
        </w:numPr>
        <w:tabs>
          <w:tab w:val="clear" w:pos="1247"/>
          <w:tab w:val="clear" w:pos="1814"/>
          <w:tab w:val="clear" w:pos="2381"/>
          <w:tab w:val="clear" w:pos="2948"/>
          <w:tab w:val="clear" w:pos="3515"/>
          <w:tab w:val="clear" w:pos="4082"/>
          <w:tab w:val="left" w:pos="624"/>
        </w:tabs>
        <w:rPr>
          <w:b/>
          <w:bCs/>
          <w:lang w:val="es-ES_tradnl"/>
        </w:rPr>
      </w:pPr>
      <w:r>
        <w:rPr>
          <w:lang w:val="es-ES"/>
        </w:rPr>
        <w:t xml:space="preserve">Reducir al mínimo la generación de desechos de desechos peligrosos y </w:t>
      </w:r>
      <w:r w:rsidR="00420467">
        <w:rPr>
          <w:lang w:val="es-ES"/>
        </w:rPr>
        <w:t>otros</w:t>
      </w:r>
      <w:r>
        <w:rPr>
          <w:lang w:val="es-ES"/>
        </w:rPr>
        <w:t xml:space="preserve"> desechos (entre otros, el mercurio y los compuestos de mercurio), teniendo en cuenta los aspectos sociales, tecnológicos y económicos</w:t>
      </w:r>
      <w:r w:rsidR="00CC481C">
        <w:rPr>
          <w:lang w:val="es-ES"/>
        </w:rPr>
        <w:t>.</w:t>
      </w:r>
    </w:p>
    <w:p w:rsidR="008A26DF" w:rsidRPr="005867AE" w:rsidRDefault="00E27A2A" w:rsidP="008F5CD9">
      <w:pPr>
        <w:pStyle w:val="Normalnumber"/>
        <w:numPr>
          <w:ilvl w:val="0"/>
          <w:numId w:val="7"/>
        </w:numPr>
        <w:tabs>
          <w:tab w:val="clear" w:pos="1247"/>
          <w:tab w:val="clear" w:pos="1814"/>
          <w:tab w:val="clear" w:pos="2381"/>
          <w:tab w:val="clear" w:pos="2948"/>
          <w:tab w:val="clear" w:pos="3515"/>
          <w:tab w:val="clear" w:pos="4082"/>
          <w:tab w:val="left" w:pos="624"/>
        </w:tabs>
        <w:rPr>
          <w:b/>
          <w:bCs/>
          <w:lang w:val="es-ES_tradnl"/>
        </w:rPr>
      </w:pPr>
      <w:r>
        <w:rPr>
          <w:lang w:val="es-ES"/>
        </w:rPr>
        <w:t xml:space="preserve">Aplicar </w:t>
      </w:r>
      <w:r w:rsidR="00E008E0">
        <w:rPr>
          <w:lang w:val="es-ES"/>
        </w:rPr>
        <w:t>−</w:t>
      </w:r>
      <w:r w:rsidR="00AB544E">
        <w:rPr>
          <w:lang w:val="es-ES"/>
        </w:rPr>
        <w:t>y hacer cumplir</w:t>
      </w:r>
      <w:r w:rsidR="00E008E0">
        <w:rPr>
          <w:lang w:val="es-ES"/>
        </w:rPr>
        <w:t>−</w:t>
      </w:r>
      <w:r w:rsidR="00AB544E">
        <w:rPr>
          <w:lang w:val="es-ES"/>
        </w:rPr>
        <w:t xml:space="preserve"> normas ambientales nacionales respecto de los contaminantes del aire (entre ellos, el mercurio y los compuestos de mercurio) derivados de todas las actividades antropogénicas.</w:t>
      </w:r>
    </w:p>
    <w:p w:rsidR="008A26DF" w:rsidRPr="005867AE" w:rsidRDefault="0092054B" w:rsidP="008F5CD9">
      <w:pPr>
        <w:pStyle w:val="Normalnumber"/>
        <w:numPr>
          <w:ilvl w:val="0"/>
          <w:numId w:val="7"/>
        </w:numPr>
        <w:tabs>
          <w:tab w:val="clear" w:pos="1247"/>
          <w:tab w:val="clear" w:pos="1814"/>
          <w:tab w:val="clear" w:pos="2381"/>
          <w:tab w:val="clear" w:pos="2948"/>
          <w:tab w:val="clear" w:pos="3515"/>
          <w:tab w:val="clear" w:pos="4082"/>
          <w:tab w:val="left" w:pos="624"/>
        </w:tabs>
        <w:rPr>
          <w:b/>
          <w:bCs/>
          <w:lang w:val="es-ES_tradnl"/>
        </w:rPr>
      </w:pPr>
      <w:r>
        <w:rPr>
          <w:lang w:val="es-ES"/>
        </w:rPr>
        <w:t>Prohibir la quema a cielo abierto de desechos municipales y de otro tipo.</w:t>
      </w:r>
    </w:p>
    <w:p w:rsidR="008A26DF" w:rsidRPr="005867AE" w:rsidRDefault="002D1133" w:rsidP="008F5CD9">
      <w:pPr>
        <w:pStyle w:val="Normalnumber"/>
        <w:numPr>
          <w:ilvl w:val="0"/>
          <w:numId w:val="7"/>
        </w:numPr>
        <w:tabs>
          <w:tab w:val="clear" w:pos="1247"/>
          <w:tab w:val="clear" w:pos="1814"/>
          <w:tab w:val="clear" w:pos="2381"/>
          <w:tab w:val="clear" w:pos="2948"/>
          <w:tab w:val="clear" w:pos="3515"/>
          <w:tab w:val="clear" w:pos="4082"/>
          <w:tab w:val="left" w:pos="624"/>
        </w:tabs>
        <w:rPr>
          <w:b/>
          <w:bCs/>
          <w:lang w:val="es-ES_tradnl"/>
        </w:rPr>
      </w:pPr>
      <w:r>
        <w:rPr>
          <w:lang w:val="es-ES"/>
        </w:rPr>
        <w:t>Establecer instalaciones adecuadas de eliminación para la gestión ambientalmente racional de los desechos peligrosos y otros desechos que contengan mercurio o compuestos de mercurio, que estarán situadas, en la medida de lo posible, en el lugar donde se efectúa la eliminación.</w:t>
      </w:r>
    </w:p>
    <w:p w:rsidR="008A26DF" w:rsidRPr="005867AE" w:rsidRDefault="00720D61" w:rsidP="008F5CD9">
      <w:pPr>
        <w:pStyle w:val="Normalnumber"/>
        <w:numPr>
          <w:ilvl w:val="0"/>
          <w:numId w:val="7"/>
        </w:numPr>
        <w:tabs>
          <w:tab w:val="clear" w:pos="1247"/>
          <w:tab w:val="clear" w:pos="1814"/>
          <w:tab w:val="clear" w:pos="2381"/>
          <w:tab w:val="clear" w:pos="2948"/>
          <w:tab w:val="clear" w:pos="3515"/>
          <w:tab w:val="clear" w:pos="4082"/>
          <w:tab w:val="left" w:pos="624"/>
        </w:tabs>
        <w:rPr>
          <w:b/>
          <w:bCs/>
          <w:lang w:val="es-ES_tradnl"/>
        </w:rPr>
      </w:pPr>
      <w:r>
        <w:rPr>
          <w:lang w:val="es-ES"/>
        </w:rPr>
        <w:t xml:space="preserve">Velar por que las personas que participen en la gestión de los desechos peligrosos y otros desechos adopten las medidas necesarias para impedir la contaminación y, en caso de que esta se produzca, para reducir al mínimo sus consecuencias </w:t>
      </w:r>
      <w:r w:rsidR="00CC5E47">
        <w:rPr>
          <w:lang w:val="es-ES"/>
        </w:rPr>
        <w:t>para la salud humana y el medio </w:t>
      </w:r>
      <w:r>
        <w:rPr>
          <w:lang w:val="es-ES"/>
        </w:rPr>
        <w:t>ambiente</w:t>
      </w:r>
      <w:r w:rsidR="00CC481C">
        <w:rPr>
          <w:lang w:val="es-ES"/>
        </w:rPr>
        <w:t>.</w:t>
      </w:r>
    </w:p>
    <w:p w:rsidR="008A26DF" w:rsidRPr="005867AE" w:rsidRDefault="005213E1" w:rsidP="008F5CD9">
      <w:pPr>
        <w:pStyle w:val="Normalnumber"/>
        <w:numPr>
          <w:ilvl w:val="0"/>
          <w:numId w:val="7"/>
        </w:numPr>
        <w:tabs>
          <w:tab w:val="clear" w:pos="1247"/>
          <w:tab w:val="clear" w:pos="1814"/>
          <w:tab w:val="clear" w:pos="2381"/>
          <w:tab w:val="clear" w:pos="2948"/>
          <w:tab w:val="clear" w:pos="3515"/>
          <w:tab w:val="clear" w:pos="4082"/>
          <w:tab w:val="left" w:pos="624"/>
        </w:tabs>
        <w:rPr>
          <w:b/>
          <w:bCs/>
          <w:lang w:val="es-ES_tradnl"/>
        </w:rPr>
      </w:pPr>
      <w:r>
        <w:rPr>
          <w:lang w:val="es-ES"/>
        </w:rPr>
        <w:t xml:space="preserve">Aplicar </w:t>
      </w:r>
      <w:r w:rsidR="00E008E0">
        <w:rPr>
          <w:lang w:val="es-ES"/>
        </w:rPr>
        <w:t>−</w:t>
      </w:r>
      <w:r>
        <w:rPr>
          <w:lang w:val="es-ES"/>
        </w:rPr>
        <w:t>y hacer cumplir</w:t>
      </w:r>
      <w:r w:rsidR="00E008E0">
        <w:rPr>
          <w:lang w:val="es-ES"/>
        </w:rPr>
        <w:t>−</w:t>
      </w:r>
      <w:r>
        <w:rPr>
          <w:lang w:val="es-ES"/>
        </w:rPr>
        <w:t xml:space="preserve"> las disposiciones del Convenio de Basilea, en particular para garantizar que el movimiento transfronterizo de desechos peligrosos y otros desechos se reduzca a un mínimo, en consonancia con la gestión ambientalmente racional y eficiente de esos desechos, </w:t>
      </w:r>
      <w:r w:rsidR="00B5557C">
        <w:rPr>
          <w:lang w:val="es-ES"/>
        </w:rPr>
        <w:t>de manera que se protejan</w:t>
      </w:r>
      <w:r>
        <w:rPr>
          <w:lang w:val="es-ES"/>
        </w:rPr>
        <w:t xml:space="preserve"> la salud humana y el medio ambiente contra los efectos adversos que puedan derivarse de ese movimiento, y de que esas exportaciones se ajusten a las disposiciones del Convenio de Basilea.</w:t>
      </w:r>
    </w:p>
    <w:p w:rsidR="008A26DF" w:rsidRPr="005867AE" w:rsidRDefault="0054472E" w:rsidP="008F5CD9">
      <w:pPr>
        <w:pStyle w:val="Normalnumber"/>
        <w:numPr>
          <w:ilvl w:val="0"/>
          <w:numId w:val="7"/>
        </w:numPr>
        <w:tabs>
          <w:tab w:val="clear" w:pos="1247"/>
          <w:tab w:val="clear" w:pos="1814"/>
          <w:tab w:val="clear" w:pos="2381"/>
          <w:tab w:val="clear" w:pos="2948"/>
          <w:tab w:val="clear" w:pos="3515"/>
          <w:tab w:val="clear" w:pos="4082"/>
          <w:tab w:val="left" w:pos="624"/>
        </w:tabs>
        <w:rPr>
          <w:b/>
          <w:bCs/>
          <w:lang w:val="es-ES_tradnl"/>
        </w:rPr>
      </w:pPr>
      <w:r>
        <w:rPr>
          <w:lang w:val="es-ES"/>
        </w:rPr>
        <w:t xml:space="preserve">Impedir la importación de desechos peligrosos y otros desechos en su territorio. </w:t>
      </w:r>
    </w:p>
    <w:p w:rsidR="008A26DF" w:rsidRPr="005867AE" w:rsidRDefault="008A26DF" w:rsidP="008F5CD9">
      <w:pPr>
        <w:pStyle w:val="Normalnumber"/>
        <w:numPr>
          <w:ilvl w:val="0"/>
          <w:numId w:val="23"/>
        </w:numPr>
        <w:tabs>
          <w:tab w:val="clear" w:pos="1247"/>
          <w:tab w:val="clear" w:pos="1814"/>
          <w:tab w:val="clear" w:pos="2381"/>
          <w:tab w:val="clear" w:pos="2948"/>
          <w:tab w:val="clear" w:pos="3515"/>
          <w:tab w:val="clear" w:pos="4082"/>
        </w:tabs>
        <w:ind w:left="1247" w:firstLine="0"/>
        <w:rPr>
          <w:b/>
          <w:bCs/>
          <w:lang w:val="es-ES_tradnl"/>
        </w:rPr>
      </w:pPr>
      <w:r>
        <w:rPr>
          <w:lang w:val="es-ES"/>
        </w:rPr>
        <w:t>El Senegal presentó una estimación de las emisiones y liber</w:t>
      </w:r>
      <w:r w:rsidR="00CC481C">
        <w:rPr>
          <w:lang w:val="es-ES"/>
        </w:rPr>
        <w:t>aciones de mercurio procedentes </w:t>
      </w:r>
      <w:r>
        <w:rPr>
          <w:lang w:val="es-ES"/>
        </w:rPr>
        <w:t>de la quema a cielo abierto en su territori</w:t>
      </w:r>
      <w:r w:rsidR="00CC5E47">
        <w:rPr>
          <w:lang w:val="es-ES"/>
        </w:rPr>
        <w:t>o. Estimó que aproximadamente 2.</w:t>
      </w:r>
      <w:r>
        <w:rPr>
          <w:lang w:val="es-ES"/>
        </w:rPr>
        <w:t xml:space="preserve">557 kg de mercurio se emitían al aire, y que los desechos que quedaban después de la quema contenían aproximadamente 285 kg de mercurio. </w:t>
      </w:r>
    </w:p>
    <w:p w:rsidR="008A26DF" w:rsidRPr="005867AE" w:rsidRDefault="008A26DF" w:rsidP="008F5CD9">
      <w:pPr>
        <w:pStyle w:val="Normalnumber"/>
        <w:numPr>
          <w:ilvl w:val="0"/>
          <w:numId w:val="23"/>
        </w:numPr>
        <w:tabs>
          <w:tab w:val="clear" w:pos="1247"/>
          <w:tab w:val="clear" w:pos="1814"/>
          <w:tab w:val="clear" w:pos="2381"/>
          <w:tab w:val="clear" w:pos="2948"/>
          <w:tab w:val="clear" w:pos="3515"/>
          <w:tab w:val="clear" w:pos="4082"/>
        </w:tabs>
        <w:ind w:left="1247" w:firstLine="0"/>
        <w:rPr>
          <w:b/>
          <w:bCs/>
          <w:lang w:val="es-ES_tradnl"/>
        </w:rPr>
      </w:pPr>
      <w:r>
        <w:rPr>
          <w:lang w:val="es-ES"/>
        </w:rPr>
        <w:t xml:space="preserve">Sudáfrica indicó que actualmente no contaba con toda la información existente sobre la quema a cielo abierto de desechos en su territorio, mientras que Uganda indicó que la incineración de desechos sólidos no se practicaba habitualmente en su territorio, y que la práctica más común de </w:t>
      </w:r>
      <w:r w:rsidR="00420467">
        <w:rPr>
          <w:lang w:val="es-ES"/>
        </w:rPr>
        <w:t>gestión</w:t>
      </w:r>
      <w:r>
        <w:rPr>
          <w:lang w:val="es-ES"/>
        </w:rPr>
        <w:t xml:space="preserve"> de desechos era </w:t>
      </w:r>
      <w:r w:rsidR="00420467">
        <w:rPr>
          <w:lang w:val="es-ES"/>
        </w:rPr>
        <w:t>eliminarlos</w:t>
      </w:r>
      <w:r w:rsidR="00CC5E47">
        <w:rPr>
          <w:lang w:val="es-ES"/>
        </w:rPr>
        <w:t xml:space="preserve"> </w:t>
      </w:r>
      <w:r>
        <w:rPr>
          <w:lang w:val="es-ES"/>
        </w:rPr>
        <w:t>directamente en vertederos.</w:t>
      </w:r>
    </w:p>
    <w:p w:rsidR="008A26DF" w:rsidRPr="004D16D7" w:rsidRDefault="008A26DF" w:rsidP="008F5CD9">
      <w:pPr>
        <w:pStyle w:val="CH2"/>
        <w:keepNext w:val="0"/>
        <w:keepLines w:val="0"/>
      </w:pPr>
      <w:r>
        <w:rPr>
          <w:lang w:val="es-ES"/>
        </w:rPr>
        <w:tab/>
      </w:r>
      <w:r w:rsidR="004D16D7" w:rsidRPr="004D16D7">
        <w:rPr>
          <w:lang w:val="es-ES"/>
        </w:rPr>
        <w:t>E.</w:t>
      </w:r>
      <w:r w:rsidRPr="004D16D7">
        <w:rPr>
          <w:lang w:val="es-ES"/>
        </w:rPr>
        <w:tab/>
        <w:t>Conclusiones</w:t>
      </w:r>
    </w:p>
    <w:p w:rsidR="008A26DF" w:rsidRPr="005867AE" w:rsidRDefault="00B70143" w:rsidP="008F5CD9">
      <w:pPr>
        <w:pStyle w:val="Normalnumber"/>
        <w:numPr>
          <w:ilvl w:val="0"/>
          <w:numId w:val="23"/>
        </w:numPr>
        <w:tabs>
          <w:tab w:val="clear" w:pos="1247"/>
          <w:tab w:val="clear" w:pos="1814"/>
          <w:tab w:val="clear" w:pos="2381"/>
          <w:tab w:val="clear" w:pos="2948"/>
          <w:tab w:val="clear" w:pos="3515"/>
          <w:tab w:val="clear" w:pos="4082"/>
        </w:tabs>
        <w:ind w:left="1247" w:firstLine="0"/>
        <w:rPr>
          <w:b/>
          <w:bCs/>
          <w:lang w:val="es-ES_tradnl"/>
        </w:rPr>
      </w:pPr>
      <w:r>
        <w:rPr>
          <w:lang w:val="es-ES"/>
        </w:rPr>
        <w:t xml:space="preserve">Según la </w:t>
      </w:r>
      <w:r w:rsidR="009E080A">
        <w:rPr>
          <w:lang w:val="es-ES"/>
        </w:rPr>
        <w:t xml:space="preserve">publicación </w:t>
      </w:r>
      <w:r w:rsidR="009E080A" w:rsidRPr="009E080A">
        <w:rPr>
          <w:i/>
          <w:lang w:val="es-ES_tradnl"/>
        </w:rPr>
        <w:t>Global Mercury Assessment 2013</w:t>
      </w:r>
      <w:r w:rsidR="009E080A">
        <w:rPr>
          <w:i/>
          <w:lang w:val="es-ES_tradnl"/>
        </w:rPr>
        <w:t xml:space="preserve"> </w:t>
      </w:r>
      <w:r w:rsidR="009E080A">
        <w:rPr>
          <w:lang w:val="es-ES_tradnl"/>
        </w:rPr>
        <w:t>del</w:t>
      </w:r>
      <w:r>
        <w:rPr>
          <w:lang w:val="es-ES"/>
        </w:rPr>
        <w:t xml:space="preserve"> PNUMA, la gestión de desechos (incluidos los vertederos y la incineración controlada) contribuye menos del 5% a las emisiones de mercurio a nivel mundial en general. Las estimaciones de la contribución de la quema a cielo abierto varía de 0% en algunos países hasta un posible 100% de eliminación d</w:t>
      </w:r>
      <w:r w:rsidR="00CC481C">
        <w:rPr>
          <w:lang w:val="es-ES"/>
        </w:rPr>
        <w:t>e desechos en otros países. Las </w:t>
      </w:r>
      <w:r>
        <w:rPr>
          <w:lang w:val="es-ES"/>
        </w:rPr>
        <w:t>estimaciones de las cantidades de mercurio que se emiten y liberan al medio ambiente mejorará</w:t>
      </w:r>
      <w:r w:rsidR="00E27A2A">
        <w:rPr>
          <w:lang w:val="es-ES"/>
        </w:rPr>
        <w:t>n</w:t>
      </w:r>
      <w:r>
        <w:rPr>
          <w:lang w:val="es-ES"/>
        </w:rPr>
        <w:t xml:space="preserve"> a medida que se reúnan más datos, un proceso que ya está en marcha en muchos países com</w:t>
      </w:r>
      <w:r w:rsidR="00CC481C">
        <w:rPr>
          <w:lang w:val="es-ES"/>
        </w:rPr>
        <w:t>o parte de </w:t>
      </w:r>
      <w:r>
        <w:rPr>
          <w:lang w:val="es-ES"/>
        </w:rPr>
        <w:t>las evaluaciones iniciales del Convenio de Minamata y los prep</w:t>
      </w:r>
      <w:r w:rsidR="00CC481C">
        <w:rPr>
          <w:lang w:val="es-ES"/>
        </w:rPr>
        <w:t>arativos para la aplicación del </w:t>
      </w:r>
      <w:r>
        <w:rPr>
          <w:lang w:val="es-ES"/>
        </w:rPr>
        <w:t xml:space="preserve">Convenio. </w:t>
      </w:r>
    </w:p>
    <w:p w:rsidR="00212E52" w:rsidRPr="005867AE" w:rsidRDefault="008A26DF" w:rsidP="008F5CD9">
      <w:pPr>
        <w:pStyle w:val="Normalnumber"/>
        <w:numPr>
          <w:ilvl w:val="0"/>
          <w:numId w:val="23"/>
        </w:numPr>
        <w:tabs>
          <w:tab w:val="clear" w:pos="1247"/>
          <w:tab w:val="clear" w:pos="1814"/>
          <w:tab w:val="clear" w:pos="2381"/>
          <w:tab w:val="clear" w:pos="2948"/>
          <w:tab w:val="clear" w:pos="3515"/>
          <w:tab w:val="clear" w:pos="4082"/>
        </w:tabs>
        <w:ind w:left="1247" w:firstLine="0"/>
        <w:rPr>
          <w:b/>
          <w:bCs/>
          <w:lang w:val="es-ES_tradnl"/>
        </w:rPr>
      </w:pPr>
      <w:r>
        <w:rPr>
          <w:lang w:val="es-ES"/>
        </w:rPr>
        <w:t>Sin embargo, los retos que plantea la quema a cielo abierto de desechos van mucho más allá del problema que suponen las emisi</w:t>
      </w:r>
      <w:r w:rsidR="008A4EE2">
        <w:rPr>
          <w:lang w:val="es-ES"/>
        </w:rPr>
        <w:t>ones de mercurio. Como parte de</w:t>
      </w:r>
      <w:r>
        <w:rPr>
          <w:lang w:val="es-ES"/>
        </w:rPr>
        <w:t xml:space="preserve"> la agenda general de desarrollo, la eliminación de la quema a cielo abierto se ha identificado como una prioridad para el desarrollo sostenible, y ayudaría a reducir la gama </w:t>
      </w:r>
      <w:r w:rsidR="00E27A2A">
        <w:rPr>
          <w:lang w:val="es-ES"/>
        </w:rPr>
        <w:t xml:space="preserve">de </w:t>
      </w:r>
      <w:r>
        <w:rPr>
          <w:lang w:val="es-ES"/>
        </w:rPr>
        <w:t xml:space="preserve">contaminantes del aire y </w:t>
      </w:r>
      <w:r w:rsidR="00CC481C">
        <w:rPr>
          <w:lang w:val="es-ES"/>
        </w:rPr>
        <w:t>aportaría beneficios sociales y </w:t>
      </w:r>
      <w:r>
        <w:rPr>
          <w:lang w:val="es-ES"/>
        </w:rPr>
        <w:t>económicos.</w:t>
      </w:r>
    </w:p>
    <w:p w:rsidR="00212E52" w:rsidRPr="005867AE" w:rsidRDefault="00212E52">
      <w:pPr>
        <w:tabs>
          <w:tab w:val="clear" w:pos="1247"/>
          <w:tab w:val="clear" w:pos="1814"/>
          <w:tab w:val="clear" w:pos="2381"/>
          <w:tab w:val="clear" w:pos="2948"/>
          <w:tab w:val="clear" w:pos="3515"/>
        </w:tabs>
      </w:pPr>
      <w:r w:rsidRPr="005867AE">
        <w:rPr>
          <w:b/>
          <w:bCs/>
        </w:rPr>
        <w:br w:type="page"/>
      </w:r>
    </w:p>
    <w:p w:rsidR="008A26DF" w:rsidRPr="00E008E0" w:rsidRDefault="008A26DF" w:rsidP="008F4827">
      <w:pPr>
        <w:pStyle w:val="CH1"/>
        <w:keepNext w:val="0"/>
        <w:keepLines w:val="0"/>
        <w:rPr>
          <w:sz w:val="24"/>
          <w:szCs w:val="24"/>
          <w:lang w:val="es-ES"/>
        </w:rPr>
      </w:pPr>
      <w:r>
        <w:rPr>
          <w:lang w:val="es-ES"/>
        </w:rPr>
        <w:tab/>
      </w:r>
      <w:r>
        <w:rPr>
          <w:lang w:val="es-ES"/>
        </w:rPr>
        <w:tab/>
      </w:r>
      <w:r w:rsidRPr="00E008E0">
        <w:rPr>
          <w:sz w:val="24"/>
          <w:szCs w:val="24"/>
          <w:lang w:val="es-ES"/>
        </w:rPr>
        <w:t>Referencia</w:t>
      </w:r>
      <w:r w:rsidR="009E080A" w:rsidRPr="00E008E0">
        <w:rPr>
          <w:sz w:val="24"/>
          <w:szCs w:val="24"/>
          <w:lang w:val="es-ES"/>
        </w:rPr>
        <w:t>s</w:t>
      </w:r>
    </w:p>
    <w:p w:rsidR="00B5557C" w:rsidRPr="00B5557C" w:rsidRDefault="00B5557C" w:rsidP="008A26DF">
      <w:pPr>
        <w:pStyle w:val="Normal-pool"/>
        <w:spacing w:after="120"/>
        <w:ind w:left="1247"/>
        <w:rPr>
          <w:lang w:val="en-US"/>
        </w:rPr>
      </w:pPr>
      <w:proofErr w:type="spellStart"/>
      <w:r>
        <w:rPr>
          <w:lang w:val="en-US"/>
        </w:rPr>
        <w:t>Antonis</w:t>
      </w:r>
      <w:proofErr w:type="spellEnd"/>
      <w:r>
        <w:rPr>
          <w:lang w:val="en-US"/>
        </w:rPr>
        <w:t xml:space="preserve"> </w:t>
      </w:r>
      <w:proofErr w:type="spellStart"/>
      <w:r>
        <w:rPr>
          <w:lang w:val="en-US"/>
        </w:rPr>
        <w:t>Mavropoulos</w:t>
      </w:r>
      <w:proofErr w:type="spellEnd"/>
      <w:r>
        <w:rPr>
          <w:lang w:val="en-US"/>
        </w:rPr>
        <w:t xml:space="preserve">, “Wasted health: the tragic case of dumpsites” (Vienna, International Solid Waste Association, June 2015), </w:t>
      </w:r>
      <w:proofErr w:type="spellStart"/>
      <w:r w:rsidRPr="00B5557C">
        <w:rPr>
          <w:lang w:val="en-US"/>
        </w:rPr>
        <w:t>puede</w:t>
      </w:r>
      <w:proofErr w:type="spellEnd"/>
      <w:r w:rsidRPr="00B5557C">
        <w:rPr>
          <w:lang w:val="en-US"/>
        </w:rPr>
        <w:t xml:space="preserve"> </w:t>
      </w:r>
      <w:proofErr w:type="spellStart"/>
      <w:r w:rsidRPr="00B5557C">
        <w:rPr>
          <w:lang w:val="en-US"/>
        </w:rPr>
        <w:t>consultarse</w:t>
      </w:r>
      <w:proofErr w:type="spellEnd"/>
      <w:r w:rsidRPr="00B5557C">
        <w:rPr>
          <w:lang w:val="en-US"/>
        </w:rPr>
        <w:t xml:space="preserve"> en</w:t>
      </w:r>
      <w:r>
        <w:rPr>
          <w:lang w:val="en-US"/>
        </w:rPr>
        <w:t xml:space="preserve"> </w:t>
      </w:r>
      <w:r>
        <w:rPr>
          <w:lang w:val="en-US"/>
        </w:rPr>
        <w:t>www.iswa.org/fileadmin/galleries/Task_Forces/THE_TRAGIC_CASE_OF_DUMPSITES.pdf.</w:t>
      </w:r>
    </w:p>
    <w:p w:rsidR="008A26DF" w:rsidRPr="00B5557C" w:rsidRDefault="005B2EB9" w:rsidP="008A26DF">
      <w:pPr>
        <w:pStyle w:val="Normal-pool"/>
        <w:spacing w:after="120"/>
        <w:ind w:left="1247"/>
        <w:rPr>
          <w:lang w:val="es-ES"/>
        </w:rPr>
      </w:pPr>
      <w:r>
        <w:rPr>
          <w:lang w:val="es-ES_tradnl"/>
        </w:rPr>
        <w:t>Programa de las Naciones </w:t>
      </w:r>
      <w:r w:rsidR="009E080A" w:rsidRPr="009E080A">
        <w:rPr>
          <w:lang w:val="es-ES_tradnl"/>
        </w:rPr>
        <w:t>Unidas para el Medio Ambiente</w:t>
      </w:r>
      <w:r w:rsidR="00B5557C">
        <w:rPr>
          <w:lang w:val="es-ES_tradnl"/>
        </w:rPr>
        <w:t xml:space="preserve"> (2013)</w:t>
      </w:r>
      <w:r w:rsidR="00F40DDB" w:rsidRPr="009E080A">
        <w:rPr>
          <w:lang w:val="es-ES_tradnl"/>
        </w:rPr>
        <w:t>,</w:t>
      </w:r>
      <w:r w:rsidR="00F40DDB" w:rsidRPr="009E080A">
        <w:rPr>
          <w:i/>
          <w:lang w:val="es-ES_tradnl"/>
        </w:rPr>
        <w:t xml:space="preserve"> </w:t>
      </w:r>
      <w:r w:rsidR="008A26DF" w:rsidRPr="009E080A">
        <w:rPr>
          <w:i/>
          <w:lang w:val="es-ES_tradnl"/>
        </w:rPr>
        <w:t xml:space="preserve">Global Mercury </w:t>
      </w:r>
      <w:proofErr w:type="spellStart"/>
      <w:r w:rsidR="008A26DF" w:rsidRPr="009E080A">
        <w:rPr>
          <w:i/>
          <w:lang w:val="es-ES_tradnl"/>
        </w:rPr>
        <w:t>Assessment</w:t>
      </w:r>
      <w:proofErr w:type="spellEnd"/>
      <w:r w:rsidR="008A26DF" w:rsidRPr="009E080A">
        <w:rPr>
          <w:i/>
          <w:lang w:val="es-ES_tradnl"/>
        </w:rPr>
        <w:t xml:space="preserve"> 2013: </w:t>
      </w:r>
      <w:proofErr w:type="spellStart"/>
      <w:r w:rsidR="008A26DF" w:rsidRPr="009E080A">
        <w:rPr>
          <w:i/>
          <w:lang w:val="es-ES_tradnl"/>
        </w:rPr>
        <w:t>Sources</w:t>
      </w:r>
      <w:proofErr w:type="spellEnd"/>
      <w:r w:rsidR="008A26DF" w:rsidRPr="009E080A">
        <w:rPr>
          <w:i/>
          <w:lang w:val="es-ES_tradnl"/>
        </w:rPr>
        <w:t xml:space="preserve">, </w:t>
      </w:r>
      <w:proofErr w:type="spellStart"/>
      <w:r w:rsidR="008A26DF" w:rsidRPr="009E080A">
        <w:rPr>
          <w:i/>
          <w:lang w:val="es-ES_tradnl"/>
        </w:rPr>
        <w:t>Emissions</w:t>
      </w:r>
      <w:proofErr w:type="spellEnd"/>
      <w:r w:rsidR="008A26DF" w:rsidRPr="009E080A">
        <w:rPr>
          <w:i/>
          <w:lang w:val="es-ES_tradnl"/>
        </w:rPr>
        <w:t xml:space="preserve">, </w:t>
      </w:r>
      <w:proofErr w:type="spellStart"/>
      <w:r w:rsidR="008A26DF" w:rsidRPr="009E080A">
        <w:rPr>
          <w:i/>
          <w:lang w:val="es-ES_tradnl"/>
        </w:rPr>
        <w:t>Releases</w:t>
      </w:r>
      <w:proofErr w:type="spellEnd"/>
      <w:r w:rsidR="008A26DF" w:rsidRPr="009E080A">
        <w:rPr>
          <w:i/>
          <w:lang w:val="es-ES_tradnl"/>
        </w:rPr>
        <w:t xml:space="preserve"> and </w:t>
      </w:r>
      <w:proofErr w:type="spellStart"/>
      <w:r w:rsidR="008A26DF" w:rsidRPr="009E080A">
        <w:rPr>
          <w:i/>
          <w:lang w:val="es-ES_tradnl"/>
        </w:rPr>
        <w:t>Environmental</w:t>
      </w:r>
      <w:proofErr w:type="spellEnd"/>
      <w:r w:rsidR="008A26DF" w:rsidRPr="009E080A">
        <w:rPr>
          <w:i/>
          <w:lang w:val="es-ES_tradnl"/>
        </w:rPr>
        <w:t xml:space="preserve"> </w:t>
      </w:r>
      <w:proofErr w:type="spellStart"/>
      <w:r w:rsidR="008A26DF" w:rsidRPr="009E080A">
        <w:rPr>
          <w:i/>
          <w:lang w:val="es-ES_tradnl"/>
        </w:rPr>
        <w:t>Transport</w:t>
      </w:r>
      <w:proofErr w:type="spellEnd"/>
      <w:r w:rsidR="008A26DF" w:rsidRPr="009E080A">
        <w:rPr>
          <w:lang w:val="es-ES_tradnl"/>
        </w:rPr>
        <w:t xml:space="preserve"> </w:t>
      </w:r>
      <w:r w:rsidR="00F40DDB" w:rsidRPr="009E080A">
        <w:rPr>
          <w:lang w:val="es-ES_tradnl"/>
        </w:rPr>
        <w:t>(G</w:t>
      </w:r>
      <w:r w:rsidR="009E080A" w:rsidRPr="009E080A">
        <w:rPr>
          <w:lang w:val="es-ES_tradnl"/>
        </w:rPr>
        <w:t>inebra</w:t>
      </w:r>
      <w:r w:rsidR="00F40DDB" w:rsidRPr="009E080A">
        <w:rPr>
          <w:lang w:val="es-ES_tradnl"/>
        </w:rPr>
        <w:t xml:space="preserve">, </w:t>
      </w:r>
      <w:r w:rsidR="008A26DF" w:rsidRPr="009E080A">
        <w:rPr>
          <w:lang w:val="es-ES_tradnl"/>
        </w:rPr>
        <w:t>2013</w:t>
      </w:r>
      <w:r w:rsidR="00F40DDB" w:rsidRPr="009E080A">
        <w:rPr>
          <w:lang w:val="es-ES_tradnl"/>
        </w:rPr>
        <w:t>)</w:t>
      </w:r>
      <w:r w:rsidR="0058023F" w:rsidRPr="009E080A">
        <w:rPr>
          <w:lang w:val="es-ES_tradnl"/>
        </w:rPr>
        <w:t>.</w:t>
      </w:r>
      <w:r w:rsidR="00B5557C" w:rsidRPr="00B5557C">
        <w:rPr>
          <w:lang w:val="es-ES"/>
        </w:rPr>
        <w:t xml:space="preserve"> </w:t>
      </w:r>
      <w:r w:rsidR="00B5557C">
        <w:rPr>
          <w:lang w:val="es-ES"/>
        </w:rPr>
        <w:t xml:space="preserve">Disponible en: </w:t>
      </w:r>
      <w:r w:rsidR="00B5557C" w:rsidRPr="00B5557C">
        <w:rPr>
          <w:lang w:val="es-ES"/>
        </w:rPr>
        <w:t>http://www.unep.org/chemicalsandwaste/what-we-do/technology-and-metals/mercury/global-mercury-assessment.</w:t>
      </w:r>
    </w:p>
    <w:p w:rsidR="008A26DF" w:rsidRDefault="00B5557C">
      <w:pPr>
        <w:pStyle w:val="Normal-pool"/>
        <w:spacing w:after="120"/>
        <w:ind w:left="1247"/>
        <w:rPr>
          <w:lang w:val="es-ES_tradnl"/>
        </w:rPr>
      </w:pPr>
      <w:r w:rsidRPr="00B5557C">
        <w:rPr>
          <w:bCs/>
          <w:lang w:val="es-ES"/>
        </w:rPr>
        <w:t>___________(2015)</w:t>
      </w:r>
      <w:proofErr w:type="gramStart"/>
      <w:r w:rsidRPr="00B5557C">
        <w:rPr>
          <w:bCs/>
          <w:lang w:val="es-ES"/>
        </w:rPr>
        <w:t>.</w:t>
      </w:r>
      <w:r w:rsidRPr="00B5557C">
        <w:rPr>
          <w:lang w:val="es-ES"/>
        </w:rPr>
        <w:t>,</w:t>
      </w:r>
      <w:proofErr w:type="gramEnd"/>
      <w:r w:rsidRPr="00B5557C" w:rsidDel="00351732">
        <w:rPr>
          <w:lang w:val="es-ES"/>
        </w:rPr>
        <w:t xml:space="preserve"> </w:t>
      </w:r>
      <w:r w:rsidR="005B2EB9">
        <w:rPr>
          <w:lang w:val="es-ES_tradnl"/>
        </w:rPr>
        <w:t>Programa de las Naciones </w:t>
      </w:r>
      <w:r w:rsidR="009E080A">
        <w:rPr>
          <w:lang w:val="es-ES_tradnl"/>
        </w:rPr>
        <w:t>Unidas para el Medio Ambiente</w:t>
      </w:r>
      <w:r w:rsidR="00351732" w:rsidRPr="009E080A">
        <w:rPr>
          <w:lang w:val="es-ES_tradnl"/>
        </w:rPr>
        <w:t>,</w:t>
      </w:r>
      <w:r w:rsidR="00351732" w:rsidRPr="009E080A" w:rsidDel="00351732">
        <w:rPr>
          <w:lang w:val="es-ES_tradnl"/>
        </w:rPr>
        <w:t xml:space="preserve"> </w:t>
      </w:r>
      <w:r w:rsidR="009E080A" w:rsidRPr="009E080A">
        <w:rPr>
          <w:i/>
          <w:lang w:val="es-ES_tradnl"/>
        </w:rPr>
        <w:t>Perspectiva mundial de la gesti</w:t>
      </w:r>
      <w:r w:rsidR="009E080A">
        <w:rPr>
          <w:i/>
          <w:lang w:val="es-ES_tradnl"/>
        </w:rPr>
        <w:t xml:space="preserve">ón de residuos </w:t>
      </w:r>
      <w:r w:rsidR="00351732" w:rsidRPr="009E080A">
        <w:rPr>
          <w:lang w:val="es-ES_tradnl"/>
        </w:rPr>
        <w:t xml:space="preserve">(2015), </w:t>
      </w:r>
      <w:r w:rsidR="009E080A">
        <w:rPr>
          <w:lang w:val="es-ES_tradnl"/>
        </w:rPr>
        <w:t xml:space="preserve">puede consultarse en </w:t>
      </w:r>
      <w:hyperlink r:id="rId12" w:history="1">
        <w:r w:rsidRPr="00F33FBD">
          <w:rPr>
            <w:rStyle w:val="Hyperlink"/>
            <w:lang w:val="es-ES_tradnl"/>
          </w:rPr>
          <w:t>www.unep.org/ietc/Portals/136/Publications/Waste%20Management/GWMO%20report/GWMO%20full%20report.pdf</w:t>
        </w:r>
      </w:hyperlink>
      <w:r w:rsidR="0058023F" w:rsidRPr="009E080A">
        <w:rPr>
          <w:lang w:val="es-ES_tradnl"/>
        </w:rPr>
        <w:t>.</w:t>
      </w:r>
    </w:p>
    <w:p w:rsidR="00B5557C" w:rsidRPr="00B5557C" w:rsidRDefault="00B5557C">
      <w:pPr>
        <w:pStyle w:val="Normal-pool"/>
        <w:spacing w:after="120"/>
        <w:ind w:left="1247"/>
        <w:rPr>
          <w:lang w:val="en-US"/>
        </w:rPr>
      </w:pPr>
      <w:r>
        <w:rPr>
          <w:bCs/>
        </w:rPr>
        <w:t>__________</w:t>
      </w:r>
      <w:proofErr w:type="gramStart"/>
      <w:r>
        <w:rPr>
          <w:bCs/>
        </w:rPr>
        <w:t>_(</w:t>
      </w:r>
      <w:proofErr w:type="gramEnd"/>
      <w:r>
        <w:rPr>
          <w:bCs/>
        </w:rPr>
        <w:t xml:space="preserve">2017). </w:t>
      </w:r>
      <w:proofErr w:type="gramStart"/>
      <w:r>
        <w:rPr>
          <w:bCs/>
        </w:rPr>
        <w:t>“</w:t>
      </w:r>
      <w:r w:rsidRPr="008D3378">
        <w:rPr>
          <w:bCs/>
        </w:rPr>
        <w:t>Toolkit for Identification and Quantification of Mercury Releases</w:t>
      </w:r>
      <w:r>
        <w:rPr>
          <w:bCs/>
        </w:rPr>
        <w:t xml:space="preserve">”, </w:t>
      </w:r>
      <w:proofErr w:type="spellStart"/>
      <w:r w:rsidRPr="00B5557C">
        <w:rPr>
          <w:lang w:val="en-US"/>
        </w:rPr>
        <w:t>puede</w:t>
      </w:r>
      <w:proofErr w:type="spellEnd"/>
      <w:r w:rsidRPr="00B5557C">
        <w:rPr>
          <w:lang w:val="en-US"/>
        </w:rPr>
        <w:t xml:space="preserve"> </w:t>
      </w:r>
      <w:proofErr w:type="spellStart"/>
      <w:r w:rsidRPr="00B5557C">
        <w:rPr>
          <w:lang w:val="en-US"/>
        </w:rPr>
        <w:t>consultarse</w:t>
      </w:r>
      <w:proofErr w:type="spellEnd"/>
      <w:r w:rsidRPr="00B5557C">
        <w:rPr>
          <w:lang w:val="en-US"/>
        </w:rPr>
        <w:t xml:space="preserve"> en</w:t>
      </w:r>
      <w:r>
        <w:rPr>
          <w:bCs/>
        </w:rPr>
        <w:t xml:space="preserve"> </w:t>
      </w:r>
      <w:r w:rsidRPr="002D38F5">
        <w:rPr>
          <w:bCs/>
        </w:rPr>
        <w:t>http://www.unep.org/chemicalsandwaste/what-we-do/technology-and-metals/mercury/toolkit-identification-and-quantification-mercury-releases</w:t>
      </w:r>
      <w:r>
        <w:rPr>
          <w:bCs/>
        </w:rPr>
        <w:t>.</w:t>
      </w:r>
      <w:proofErr w:type="gramEnd"/>
    </w:p>
    <w:tbl>
      <w:tblPr>
        <w:tblW w:w="0" w:type="auto"/>
        <w:tblLayout w:type="fixed"/>
        <w:tblLook w:val="04A0" w:firstRow="1" w:lastRow="0" w:firstColumn="1" w:lastColumn="0" w:noHBand="0" w:noVBand="1"/>
      </w:tblPr>
      <w:tblGrid>
        <w:gridCol w:w="1942"/>
        <w:gridCol w:w="1942"/>
        <w:gridCol w:w="1942"/>
        <w:gridCol w:w="1943"/>
        <w:gridCol w:w="1943"/>
      </w:tblGrid>
      <w:tr w:rsidR="00E976AB" w:rsidRPr="004D16D7" w:rsidTr="00990918">
        <w:tc>
          <w:tcPr>
            <w:tcW w:w="1942" w:type="dxa"/>
            <w:shd w:val="clear" w:color="auto" w:fill="auto"/>
          </w:tcPr>
          <w:p w:rsidR="00E976AB" w:rsidRPr="00D25175" w:rsidRDefault="00E976AB" w:rsidP="00990918">
            <w:pPr>
              <w:pStyle w:val="Normal-pool"/>
              <w:spacing w:before="520"/>
            </w:pPr>
          </w:p>
        </w:tc>
        <w:tc>
          <w:tcPr>
            <w:tcW w:w="1942" w:type="dxa"/>
            <w:shd w:val="clear" w:color="auto" w:fill="auto"/>
          </w:tcPr>
          <w:p w:rsidR="00E976AB" w:rsidRPr="00D25175" w:rsidRDefault="00E976AB" w:rsidP="00990918">
            <w:pPr>
              <w:pStyle w:val="Normal-pool"/>
              <w:spacing w:before="520"/>
            </w:pPr>
          </w:p>
        </w:tc>
        <w:tc>
          <w:tcPr>
            <w:tcW w:w="1942" w:type="dxa"/>
            <w:tcBorders>
              <w:bottom w:val="single" w:sz="4" w:space="0" w:color="auto"/>
            </w:tcBorders>
            <w:shd w:val="clear" w:color="auto" w:fill="auto"/>
          </w:tcPr>
          <w:p w:rsidR="00E976AB" w:rsidRPr="00D25175" w:rsidRDefault="00E976AB" w:rsidP="00990918">
            <w:pPr>
              <w:pStyle w:val="Normal-pool"/>
              <w:spacing w:before="520"/>
            </w:pPr>
          </w:p>
        </w:tc>
        <w:tc>
          <w:tcPr>
            <w:tcW w:w="1943" w:type="dxa"/>
            <w:shd w:val="clear" w:color="auto" w:fill="auto"/>
          </w:tcPr>
          <w:p w:rsidR="00E976AB" w:rsidRPr="00D25175" w:rsidRDefault="00E976AB" w:rsidP="00990918">
            <w:pPr>
              <w:pStyle w:val="Normal-pool"/>
              <w:spacing w:before="520"/>
            </w:pPr>
          </w:p>
        </w:tc>
        <w:tc>
          <w:tcPr>
            <w:tcW w:w="1943" w:type="dxa"/>
            <w:shd w:val="clear" w:color="auto" w:fill="auto"/>
          </w:tcPr>
          <w:p w:rsidR="00E976AB" w:rsidRPr="00D25175" w:rsidRDefault="00E976AB" w:rsidP="00990918">
            <w:pPr>
              <w:pStyle w:val="Normal-pool"/>
              <w:spacing w:before="520"/>
            </w:pPr>
          </w:p>
        </w:tc>
      </w:tr>
    </w:tbl>
    <w:p w:rsidR="00032E4E" w:rsidRPr="00D25175" w:rsidRDefault="00032E4E" w:rsidP="00D013F5">
      <w:pPr>
        <w:pStyle w:val="Normal-pool"/>
      </w:pPr>
    </w:p>
    <w:sectPr w:rsidR="00032E4E" w:rsidRPr="00D25175" w:rsidSect="00C771A9">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B4FFD7" w15:done="0"/>
  <w15:commentEx w15:paraId="14C7A01E" w15:done="0"/>
  <w15:commentEx w15:paraId="49565D8A" w15:done="0"/>
  <w15:commentEx w15:paraId="114F4B48" w15:done="0"/>
  <w15:commentEx w15:paraId="2A07BB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17E" w:rsidRDefault="00C0217E">
      <w:r>
        <w:separator/>
      </w:r>
    </w:p>
  </w:endnote>
  <w:endnote w:type="continuationSeparator" w:id="0">
    <w:p w:rsidR="00C0217E" w:rsidRDefault="00C0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7E" w:rsidRDefault="00C0217E">
    <w:pPr>
      <w:pStyle w:val="Footer"/>
    </w:pPr>
    <w:r>
      <w:rPr>
        <w:rStyle w:val="PageNumber"/>
      </w:rPr>
      <w:fldChar w:fldCharType="begin"/>
    </w:r>
    <w:r>
      <w:rPr>
        <w:rStyle w:val="PageNumber"/>
      </w:rPr>
      <w:instrText xml:space="preserve"> PAGE </w:instrText>
    </w:r>
    <w:r>
      <w:rPr>
        <w:rStyle w:val="PageNumber"/>
      </w:rPr>
      <w:fldChar w:fldCharType="separate"/>
    </w:r>
    <w:r w:rsidR="00B5557C">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7E" w:rsidRDefault="00C0217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B5557C">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7E" w:rsidRPr="004C126D" w:rsidRDefault="00C0217E">
    <w:pPr>
      <w:pStyle w:val="Footer"/>
      <w:rPr>
        <w:sz w:val="20"/>
      </w:rPr>
    </w:pPr>
    <w:r w:rsidRPr="004C126D">
      <w:rPr>
        <w:sz w:val="20"/>
        <w:lang w:val="es-ES"/>
      </w:rPr>
      <w:t>K</w:t>
    </w:r>
    <w:r w:rsidR="004C126D">
      <w:rPr>
        <w:sz w:val="20"/>
        <w:lang w:val="es-ES"/>
      </w:rPr>
      <w:t>1706022</w:t>
    </w:r>
    <w:r w:rsidR="004C126D">
      <w:rPr>
        <w:sz w:val="20"/>
        <w:lang w:val="es-ES"/>
      </w:rPr>
      <w:tab/>
      <w:t>2</w:t>
    </w:r>
    <w:r w:rsidR="00B5557C">
      <w:rPr>
        <w:sz w:val="20"/>
        <w:lang w:val="es-ES"/>
      </w:rPr>
      <w:t>8</w:t>
    </w:r>
    <w:r w:rsidRPr="004C126D">
      <w:rPr>
        <w:sz w:val="20"/>
        <w:lang w:val="es-ES"/>
      </w:rPr>
      <w:t>0617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17E" w:rsidRDefault="00C0217E" w:rsidP="00D92DE0">
      <w:pPr>
        <w:ind w:left="624"/>
      </w:pPr>
      <w:r>
        <w:separator/>
      </w:r>
    </w:p>
  </w:footnote>
  <w:footnote w:type="continuationSeparator" w:id="0">
    <w:p w:rsidR="00C0217E" w:rsidRDefault="00C0217E">
      <w:r>
        <w:continuationSeparator/>
      </w:r>
    </w:p>
  </w:footnote>
  <w:footnote w:id="1">
    <w:p w:rsidR="00C0217E" w:rsidRPr="00CC481C" w:rsidRDefault="00C0217E" w:rsidP="0058023F">
      <w:pPr>
        <w:tabs>
          <w:tab w:val="left" w:pos="624"/>
        </w:tabs>
        <w:spacing w:before="20" w:after="40"/>
        <w:ind w:left="1247"/>
        <w:rPr>
          <w:sz w:val="18"/>
          <w:szCs w:val="18"/>
          <w:lang w:val="en-US"/>
        </w:rPr>
      </w:pPr>
      <w:proofErr w:type="gramStart"/>
      <w:r w:rsidRPr="00CC481C">
        <w:rPr>
          <w:sz w:val="18"/>
          <w:szCs w:val="18"/>
          <w:lang w:val="en-US"/>
        </w:rPr>
        <w:t>* UNEP/MC/COP.1/1.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7E" w:rsidRPr="00CA5CA9" w:rsidRDefault="00C0217E" w:rsidP="001646E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7E" w:rsidRPr="00CA5CA9" w:rsidRDefault="00C0217E"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7E" w:rsidRDefault="00C0217E"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80B"/>
    <w:multiLevelType w:val="hybridMultilevel"/>
    <w:tmpl w:val="E7B6F02E"/>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417270BB"/>
    <w:multiLevelType w:val="hybridMultilevel"/>
    <w:tmpl w:val="9CCCBB9A"/>
    <w:lvl w:ilvl="0" w:tplc="B2864D5E">
      <w:start w:val="1"/>
      <w:numFmt w:val="decimal"/>
      <w:lvlText w:val="%1."/>
      <w:lvlJc w:val="left"/>
      <w:pPr>
        <w:ind w:left="1967" w:hanging="360"/>
      </w:pPr>
      <w:rPr>
        <w:b w:val="0"/>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4">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1"/>
  </w:num>
  <w:num w:numId="3">
    <w:abstractNumId w:val="2"/>
  </w:num>
  <w:num w:numId="4">
    <w:abstractNumId w:val="4"/>
    <w:lvlOverride w:ilvl="0">
      <w:lvl w:ilvl="0">
        <w:start w:val="1"/>
        <w:numFmt w:val="decimal"/>
        <w:pStyle w:val="Normalnumber"/>
        <w:lvlText w:val="%1."/>
        <w:lvlJc w:val="left"/>
        <w:pPr>
          <w:tabs>
            <w:tab w:val="num" w:pos="1134"/>
          </w:tabs>
          <w:ind w:left="1247" w:firstLine="0"/>
        </w:pPr>
        <w:rPr>
          <w:rFonts w:hint="default"/>
        </w:rPr>
      </w:lvl>
    </w:lvlOverride>
  </w:num>
  <w:num w:numId="5">
    <w:abstractNumId w:val="4"/>
    <w:lvlOverride w:ilvl="0">
      <w:lvl w:ilvl="0">
        <w:start w:val="1"/>
        <w:numFmt w:val="decimal"/>
        <w:pStyle w:val="Normalnumber"/>
        <w:lvlText w:val="%1."/>
        <w:lvlJc w:val="left"/>
        <w:pPr>
          <w:tabs>
            <w:tab w:val="num" w:pos="1305"/>
          </w:tabs>
          <w:ind w:left="1418" w:firstLine="0"/>
        </w:pPr>
        <w:rPr>
          <w:rFonts w:hint="default"/>
          <w:b w:val="0"/>
          <w:bCs w:val="0"/>
        </w:rPr>
      </w:lvl>
    </w:lvlOverride>
  </w:num>
  <w:num w:numId="6">
    <w:abstractNumId w:val="4"/>
    <w:lvlOverride w:ilvl="0">
      <w:lvl w:ilvl="0">
        <w:start w:val="1"/>
        <w:numFmt w:val="decimal"/>
        <w:pStyle w:val="Normalnumber"/>
        <w:lvlText w:val="%1."/>
        <w:lvlJc w:val="left"/>
        <w:pPr>
          <w:tabs>
            <w:tab w:val="num" w:pos="1147"/>
          </w:tabs>
          <w:ind w:left="1260"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
    <w:abstractNumId w:val="0"/>
  </w:num>
  <w:num w:numId="8">
    <w:abstractNumId w:val="4"/>
    <w:lvlOverride w:ilvl="0">
      <w:lvl w:ilvl="0">
        <w:start w:val="1"/>
        <w:numFmt w:val="decimal"/>
        <w:pStyle w:val="Normalnumber"/>
        <w:lvlText w:val="%1."/>
        <w:lvlJc w:val="left"/>
        <w:pPr>
          <w:tabs>
            <w:tab w:val="num" w:pos="1134"/>
          </w:tabs>
          <w:ind w:left="1247" w:firstLine="0"/>
        </w:pPr>
        <w:rPr>
          <w:rFonts w:hint="default"/>
        </w:rPr>
      </w:lvl>
    </w:lvlOverride>
  </w:num>
  <w:num w:numId="9">
    <w:abstractNumId w:val="4"/>
    <w:lvlOverride w:ilvl="0">
      <w:lvl w:ilvl="0">
        <w:start w:val="1"/>
        <w:numFmt w:val="decimal"/>
        <w:pStyle w:val="Normalnumber"/>
        <w:lvlText w:val="%1."/>
        <w:lvlJc w:val="left"/>
        <w:pPr>
          <w:tabs>
            <w:tab w:val="num" w:pos="1134"/>
          </w:tabs>
          <w:ind w:left="1247" w:firstLine="0"/>
        </w:pPr>
        <w:rPr>
          <w:rFonts w:hint="default"/>
        </w:rPr>
      </w:lvl>
    </w:lvlOverride>
  </w:num>
  <w:num w:numId="10">
    <w:abstractNumId w:val="4"/>
    <w:lvlOverride w:ilvl="0">
      <w:lvl w:ilvl="0">
        <w:start w:val="1"/>
        <w:numFmt w:val="decimal"/>
        <w:pStyle w:val="Normalnumber"/>
        <w:lvlText w:val="%1."/>
        <w:lvlJc w:val="left"/>
        <w:pPr>
          <w:tabs>
            <w:tab w:val="num" w:pos="1134"/>
          </w:tabs>
          <w:ind w:left="1247" w:firstLine="0"/>
        </w:pPr>
        <w:rPr>
          <w:rFonts w:hint="default"/>
        </w:rPr>
      </w:lvl>
    </w:lvlOverride>
  </w:num>
  <w:num w:numId="11">
    <w:abstractNumId w:val="4"/>
    <w:lvlOverride w:ilvl="0">
      <w:lvl w:ilvl="0">
        <w:start w:val="1"/>
        <w:numFmt w:val="decimal"/>
        <w:pStyle w:val="Normalnumber"/>
        <w:lvlText w:val="%1."/>
        <w:lvlJc w:val="left"/>
        <w:pPr>
          <w:tabs>
            <w:tab w:val="num" w:pos="1134"/>
          </w:tabs>
          <w:ind w:left="1247" w:firstLine="0"/>
        </w:pPr>
        <w:rPr>
          <w:rFonts w:hint="default"/>
        </w:rPr>
      </w:lvl>
    </w:lvlOverride>
  </w:num>
  <w:num w:numId="12">
    <w:abstractNumId w:val="4"/>
    <w:lvlOverride w:ilvl="0">
      <w:lvl w:ilvl="0">
        <w:start w:val="1"/>
        <w:numFmt w:val="decimal"/>
        <w:pStyle w:val="Normalnumber"/>
        <w:lvlText w:val="%1."/>
        <w:lvlJc w:val="left"/>
        <w:pPr>
          <w:tabs>
            <w:tab w:val="num" w:pos="1134"/>
          </w:tabs>
          <w:ind w:left="1247" w:firstLine="0"/>
        </w:pPr>
        <w:rPr>
          <w:rFonts w:hint="default"/>
        </w:rPr>
      </w:lvl>
    </w:lvlOverride>
  </w:num>
  <w:num w:numId="13">
    <w:abstractNumId w:val="4"/>
    <w:lvlOverride w:ilvl="0">
      <w:lvl w:ilvl="0">
        <w:start w:val="1"/>
        <w:numFmt w:val="decimal"/>
        <w:pStyle w:val="Normalnumber"/>
        <w:lvlText w:val="%1."/>
        <w:lvlJc w:val="left"/>
        <w:pPr>
          <w:tabs>
            <w:tab w:val="num" w:pos="1134"/>
          </w:tabs>
          <w:ind w:left="1247" w:firstLine="0"/>
        </w:pPr>
        <w:rPr>
          <w:rFonts w:hint="default"/>
        </w:rPr>
      </w:lvl>
    </w:lvlOverride>
  </w:num>
  <w:num w:numId="14">
    <w:abstractNumId w:val="4"/>
    <w:lvlOverride w:ilvl="0">
      <w:lvl w:ilvl="0">
        <w:start w:val="1"/>
        <w:numFmt w:val="decimal"/>
        <w:pStyle w:val="Normalnumber"/>
        <w:lvlText w:val="%1."/>
        <w:lvlJc w:val="left"/>
        <w:pPr>
          <w:tabs>
            <w:tab w:val="num" w:pos="1134"/>
          </w:tabs>
          <w:ind w:left="1247" w:firstLine="0"/>
        </w:pPr>
        <w:rPr>
          <w:rFonts w:hint="default"/>
        </w:rPr>
      </w:lvl>
    </w:lvlOverride>
  </w:num>
  <w:num w:numId="15">
    <w:abstractNumId w:val="4"/>
    <w:lvlOverride w:ilvl="0">
      <w:lvl w:ilvl="0">
        <w:start w:val="1"/>
        <w:numFmt w:val="decimal"/>
        <w:pStyle w:val="Normalnumber"/>
        <w:lvlText w:val="%1."/>
        <w:lvlJc w:val="left"/>
        <w:pPr>
          <w:tabs>
            <w:tab w:val="num" w:pos="1134"/>
          </w:tabs>
          <w:ind w:left="1247" w:firstLine="0"/>
        </w:pPr>
        <w:rPr>
          <w:rFonts w:hint="default"/>
        </w:rPr>
      </w:lvl>
    </w:lvlOverride>
  </w:num>
  <w:num w:numId="16">
    <w:abstractNumId w:val="4"/>
    <w:lvlOverride w:ilvl="0">
      <w:lvl w:ilvl="0">
        <w:start w:val="1"/>
        <w:numFmt w:val="decimal"/>
        <w:pStyle w:val="Normalnumber"/>
        <w:lvlText w:val="%1."/>
        <w:lvlJc w:val="left"/>
        <w:pPr>
          <w:tabs>
            <w:tab w:val="num" w:pos="1134"/>
          </w:tabs>
          <w:ind w:left="1247" w:firstLine="0"/>
        </w:pPr>
        <w:rPr>
          <w:rFonts w:hint="default"/>
        </w:rPr>
      </w:lvl>
    </w:lvlOverride>
  </w:num>
  <w:num w:numId="17">
    <w:abstractNumId w:val="4"/>
    <w:lvlOverride w:ilvl="0">
      <w:lvl w:ilvl="0">
        <w:start w:val="1"/>
        <w:numFmt w:val="decimal"/>
        <w:pStyle w:val="Normalnumber"/>
        <w:lvlText w:val="%1."/>
        <w:lvlJc w:val="left"/>
        <w:pPr>
          <w:tabs>
            <w:tab w:val="num" w:pos="1134"/>
          </w:tabs>
          <w:ind w:left="1247" w:firstLine="0"/>
        </w:pPr>
        <w:rPr>
          <w:rFonts w:hint="default"/>
        </w:rPr>
      </w:lvl>
    </w:lvlOverride>
  </w:num>
  <w:num w:numId="18">
    <w:abstractNumId w:val="4"/>
    <w:lvlOverride w:ilvl="0">
      <w:lvl w:ilvl="0">
        <w:start w:val="1"/>
        <w:numFmt w:val="decimal"/>
        <w:pStyle w:val="Normalnumber"/>
        <w:lvlText w:val="%1."/>
        <w:lvlJc w:val="left"/>
        <w:pPr>
          <w:tabs>
            <w:tab w:val="num" w:pos="1134"/>
          </w:tabs>
          <w:ind w:left="1247" w:firstLine="0"/>
        </w:pPr>
        <w:rPr>
          <w:rFonts w:hint="default"/>
        </w:rPr>
      </w:lvl>
    </w:lvlOverride>
  </w:num>
  <w:num w:numId="19">
    <w:abstractNumId w:val="4"/>
    <w:lvlOverride w:ilvl="0">
      <w:lvl w:ilvl="0">
        <w:start w:val="1"/>
        <w:numFmt w:val="decimal"/>
        <w:pStyle w:val="Normalnumber"/>
        <w:lvlText w:val="%1."/>
        <w:lvlJc w:val="left"/>
        <w:pPr>
          <w:tabs>
            <w:tab w:val="num" w:pos="1134"/>
          </w:tabs>
          <w:ind w:left="1247" w:firstLine="0"/>
        </w:pPr>
        <w:rPr>
          <w:rFonts w:hint="default"/>
        </w:rPr>
      </w:lvl>
    </w:lvlOverride>
  </w:num>
  <w:num w:numId="20">
    <w:abstractNumId w:val="4"/>
    <w:lvlOverride w:ilvl="0">
      <w:lvl w:ilvl="0">
        <w:start w:val="1"/>
        <w:numFmt w:val="decimal"/>
        <w:pStyle w:val="Normalnumber"/>
        <w:lvlText w:val="%1."/>
        <w:lvlJc w:val="left"/>
        <w:pPr>
          <w:tabs>
            <w:tab w:val="num" w:pos="1134"/>
          </w:tabs>
          <w:ind w:left="1247" w:firstLine="0"/>
        </w:pPr>
        <w:rPr>
          <w:rFonts w:hint="default"/>
        </w:rPr>
      </w:lvl>
    </w:lvlOverride>
  </w:num>
  <w:num w:numId="21">
    <w:abstractNumId w:val="4"/>
    <w:lvlOverride w:ilvl="0">
      <w:lvl w:ilvl="0">
        <w:start w:val="1"/>
        <w:numFmt w:val="decimal"/>
        <w:pStyle w:val="Normalnumber"/>
        <w:lvlText w:val="%1."/>
        <w:lvlJc w:val="left"/>
        <w:pPr>
          <w:tabs>
            <w:tab w:val="num" w:pos="1134"/>
          </w:tabs>
          <w:ind w:left="1247" w:firstLine="0"/>
        </w:pPr>
        <w:rPr>
          <w:rFonts w:hint="default"/>
        </w:rPr>
      </w:lvl>
    </w:lvlOverride>
  </w:num>
  <w:num w:numId="22">
    <w:abstractNumId w:val="4"/>
    <w:lvlOverride w:ilvl="0">
      <w:lvl w:ilvl="0">
        <w:start w:val="1"/>
        <w:numFmt w:val="decimal"/>
        <w:pStyle w:val="Normalnumber"/>
        <w:lvlText w:val="%1."/>
        <w:lvlJc w:val="left"/>
        <w:pPr>
          <w:tabs>
            <w:tab w:val="num" w:pos="1134"/>
          </w:tabs>
          <w:ind w:left="1247" w:firstLine="0"/>
        </w:pPr>
        <w:rPr>
          <w:rFonts w:hint="default"/>
        </w:rPr>
      </w:lvl>
    </w:lvlOverride>
  </w:num>
  <w:num w:numId="23">
    <w:abstractNumId w:val="3"/>
  </w:num>
  <w:num w:numId="24">
    <w:abstractNumId w:val="4"/>
    <w:lvlOverride w:ilvl="0">
      <w:lvl w:ilvl="0">
        <w:start w:val="1"/>
        <w:numFmt w:val="decimal"/>
        <w:pStyle w:val="Normalnumber"/>
        <w:lvlText w:val="%1."/>
        <w:lvlJc w:val="left"/>
        <w:pPr>
          <w:tabs>
            <w:tab w:val="num" w:pos="1134"/>
          </w:tabs>
          <w:ind w:left="1247" w:firstLine="0"/>
        </w:pPr>
        <w:rPr>
          <w:rFonts w:hint="default"/>
        </w:rPr>
      </w:lvl>
    </w:lvlOverride>
  </w:num>
  <w:num w:numId="25">
    <w:abstractNumId w:val="4"/>
    <w:lvlOverride w:ilvl="0">
      <w:lvl w:ilvl="0">
        <w:start w:val="1"/>
        <w:numFmt w:val="decimal"/>
        <w:pStyle w:val="Normalnumber"/>
        <w:lvlText w:val="%1."/>
        <w:lvlJc w:val="left"/>
        <w:pPr>
          <w:tabs>
            <w:tab w:val="num" w:pos="1134"/>
          </w:tabs>
          <w:ind w:left="1247" w:firstLine="0"/>
        </w:pPr>
        <w:rPr>
          <w:rFonts w:hint="default"/>
        </w:rPr>
      </w:lvl>
    </w:lvlOverride>
  </w:num>
  <w:num w:numId="26">
    <w:abstractNumId w:val="4"/>
    <w:lvlOverride w:ilvl="0">
      <w:lvl w:ilvl="0">
        <w:start w:val="1"/>
        <w:numFmt w:val="decimal"/>
        <w:pStyle w:val="Normalnumber"/>
        <w:lvlText w:val="%1."/>
        <w:lvlJc w:val="left"/>
        <w:pPr>
          <w:tabs>
            <w:tab w:val="num" w:pos="1134"/>
          </w:tabs>
          <w:ind w:left="1247" w:firstLine="0"/>
        </w:pPr>
        <w:rPr>
          <w:rFonts w:hint="default"/>
        </w:rPr>
      </w:lvl>
    </w:lvlOverride>
  </w:num>
  <w:num w:numId="27">
    <w:abstractNumId w:val="4"/>
    <w:lvlOverride w:ilvl="0">
      <w:lvl w:ilvl="0">
        <w:start w:val="1"/>
        <w:numFmt w:val="decimal"/>
        <w:pStyle w:val="Normalnumber"/>
        <w:lvlText w:val="%1."/>
        <w:lvlJc w:val="left"/>
        <w:pPr>
          <w:tabs>
            <w:tab w:val="num" w:pos="1134"/>
          </w:tabs>
          <w:ind w:left="1247" w:firstLine="0"/>
        </w:pPr>
        <w:rPr>
          <w:rFonts w:hint="default"/>
        </w:rPr>
      </w:lvl>
    </w:lvlOverride>
  </w:num>
  <w:num w:numId="28">
    <w:abstractNumId w:val="4"/>
    <w:lvlOverride w:ilvl="0">
      <w:lvl w:ilvl="0">
        <w:start w:val="1"/>
        <w:numFmt w:val="decimal"/>
        <w:pStyle w:val="Normalnumber"/>
        <w:lvlText w:val="%1."/>
        <w:lvlJc w:val="left"/>
        <w:pPr>
          <w:tabs>
            <w:tab w:val="num" w:pos="1134"/>
          </w:tabs>
          <w:ind w:left="1247" w:firstLine="0"/>
        </w:pPr>
        <w:rPr>
          <w:rFonts w:hint="default"/>
        </w:rPr>
      </w:lvl>
    </w:lvlOverride>
  </w:num>
  <w:num w:numId="29">
    <w:abstractNumId w:val="4"/>
    <w:lvlOverride w:ilvl="0">
      <w:lvl w:ilvl="0">
        <w:start w:val="1"/>
        <w:numFmt w:val="decimal"/>
        <w:pStyle w:val="Normalnumber"/>
        <w:lvlText w:val="%1."/>
        <w:lvlJc w:val="left"/>
        <w:pPr>
          <w:tabs>
            <w:tab w:val="num" w:pos="1134"/>
          </w:tabs>
          <w:ind w:left="1247" w:firstLine="0"/>
        </w:pPr>
        <w:rPr>
          <w:rFonts w:hint="default"/>
        </w:rPr>
      </w:lvl>
    </w:lvlOverride>
  </w:num>
  <w:num w:numId="30">
    <w:abstractNumId w:val="4"/>
    <w:lvlOverride w:ilvl="0">
      <w:lvl w:ilvl="0">
        <w:start w:val="1"/>
        <w:numFmt w:val="decimal"/>
        <w:pStyle w:val="Normalnumber"/>
        <w:lvlText w:val="%1."/>
        <w:lvlJc w:val="left"/>
        <w:pPr>
          <w:tabs>
            <w:tab w:val="num" w:pos="1134"/>
          </w:tabs>
          <w:ind w:left="1247" w:firstLine="0"/>
        </w:pPr>
        <w:rPr>
          <w:rFonts w:hint="default"/>
        </w:rPr>
      </w:lvl>
    </w:lvlOverride>
  </w:num>
  <w:num w:numId="31">
    <w:abstractNumId w:val="4"/>
    <w:lvlOverride w:ilvl="0">
      <w:lvl w:ilvl="0">
        <w:start w:val="1"/>
        <w:numFmt w:val="decimal"/>
        <w:pStyle w:val="Normalnumber"/>
        <w:lvlText w:val="%1."/>
        <w:lvlJc w:val="left"/>
        <w:pPr>
          <w:tabs>
            <w:tab w:val="num" w:pos="1134"/>
          </w:tabs>
          <w:ind w:left="1247" w:firstLine="0"/>
        </w:pPr>
        <w:rPr>
          <w:rFonts w:hint="default"/>
        </w:rPr>
      </w:lvl>
    </w:lvlOverride>
  </w:num>
  <w:num w:numId="32">
    <w:abstractNumId w:val="4"/>
    <w:lvlOverride w:ilvl="0">
      <w:lvl w:ilvl="0">
        <w:start w:val="1"/>
        <w:numFmt w:val="decimal"/>
        <w:pStyle w:val="Normalnumber"/>
        <w:lvlText w:val="%1."/>
        <w:lvlJc w:val="left"/>
        <w:pPr>
          <w:tabs>
            <w:tab w:val="num" w:pos="1134"/>
          </w:tabs>
          <w:ind w:left="1247" w:firstLine="0"/>
        </w:pPr>
        <w:rPr>
          <w:rFonts w:hint="default"/>
        </w:rPr>
      </w:lvl>
    </w:lvlOverride>
  </w:num>
  <w:num w:numId="33">
    <w:abstractNumId w:val="4"/>
    <w:lvlOverride w:ilvl="0">
      <w:lvl w:ilvl="0">
        <w:start w:val="1"/>
        <w:numFmt w:val="decimal"/>
        <w:pStyle w:val="Normalnumber"/>
        <w:lvlText w:val="%1."/>
        <w:lvlJc w:val="left"/>
        <w:pPr>
          <w:tabs>
            <w:tab w:val="num" w:pos="1134"/>
          </w:tabs>
          <w:ind w:left="1247" w:firstLine="0"/>
        </w:pPr>
        <w:rPr>
          <w:rFonts w:hint="default"/>
        </w:rPr>
      </w:lvl>
    </w:lvlOverride>
  </w:num>
  <w:num w:numId="34">
    <w:abstractNumId w:val="4"/>
    <w:lvlOverride w:ilvl="0">
      <w:lvl w:ilvl="0">
        <w:start w:val="1"/>
        <w:numFmt w:val="decimal"/>
        <w:pStyle w:val="Normalnumber"/>
        <w:lvlText w:val="%1."/>
        <w:lvlJc w:val="left"/>
        <w:pPr>
          <w:tabs>
            <w:tab w:val="num" w:pos="1134"/>
          </w:tabs>
          <w:ind w:left="1247" w:firstLine="0"/>
        </w:pPr>
        <w:rPr>
          <w:rFonts w:hint="default"/>
        </w:rPr>
      </w:lvl>
    </w:lvlOverride>
  </w:num>
  <w:num w:numId="35">
    <w:abstractNumId w:val="4"/>
    <w:lvlOverride w:ilvl="0">
      <w:lvl w:ilvl="0">
        <w:start w:val="1"/>
        <w:numFmt w:val="decimal"/>
        <w:pStyle w:val="Normalnumber"/>
        <w:lvlText w:val="%1."/>
        <w:lvlJc w:val="left"/>
        <w:pPr>
          <w:tabs>
            <w:tab w:val="num" w:pos="1134"/>
          </w:tabs>
          <w:ind w:left="1247" w:firstLine="0"/>
        </w:pPr>
        <w:rPr>
          <w:rFonts w:hint="default"/>
        </w:rPr>
      </w:lvl>
    </w:lvlOverride>
  </w:num>
  <w:num w:numId="36">
    <w:abstractNumId w:val="4"/>
    <w:lvlOverride w:ilvl="0">
      <w:lvl w:ilvl="0">
        <w:start w:val="1"/>
        <w:numFmt w:val="decimal"/>
        <w:pStyle w:val="Normalnumber"/>
        <w:lvlText w:val="%1."/>
        <w:lvlJc w:val="left"/>
        <w:pPr>
          <w:tabs>
            <w:tab w:val="num" w:pos="1134"/>
          </w:tabs>
          <w:ind w:left="1247" w:firstLine="0"/>
        </w:pPr>
        <w:rPr>
          <w:rFonts w:hint="default"/>
        </w:rPr>
      </w:lvl>
    </w:lvlOverride>
  </w:num>
  <w:num w:numId="37">
    <w:abstractNumId w:val="4"/>
    <w:lvlOverride w:ilvl="0">
      <w:lvl w:ilvl="0">
        <w:start w:val="1"/>
        <w:numFmt w:val="decimal"/>
        <w:pStyle w:val="Normalnumber"/>
        <w:lvlText w:val="%1."/>
        <w:lvlJc w:val="left"/>
        <w:pPr>
          <w:tabs>
            <w:tab w:val="num" w:pos="1134"/>
          </w:tabs>
          <w:ind w:left="1247" w:firstLine="0"/>
        </w:pPr>
        <w:rPr>
          <w:rFonts w:hint="default"/>
        </w:rPr>
      </w:lvl>
    </w:lvlOverride>
  </w:num>
  <w:num w:numId="38">
    <w:abstractNumId w:val="4"/>
    <w:lvlOverride w:ilvl="0">
      <w:lvl w:ilvl="0">
        <w:start w:val="1"/>
        <w:numFmt w:val="decimal"/>
        <w:pStyle w:val="Normalnumber"/>
        <w:lvlText w:val="%1."/>
        <w:lvlJc w:val="left"/>
        <w:pPr>
          <w:tabs>
            <w:tab w:val="num" w:pos="1134"/>
          </w:tabs>
          <w:ind w:left="1247" w:firstLine="0"/>
        </w:pPr>
        <w:rPr>
          <w:rFonts w:hint="default"/>
        </w:rPr>
      </w:lvl>
    </w:lvlOverride>
  </w:num>
  <w:num w:numId="39">
    <w:abstractNumId w:val="4"/>
    <w:lvlOverride w:ilvl="0">
      <w:lvl w:ilvl="0">
        <w:start w:val="1"/>
        <w:numFmt w:val="decimal"/>
        <w:pStyle w:val="Normalnumber"/>
        <w:lvlText w:val="%1."/>
        <w:lvlJc w:val="left"/>
        <w:pPr>
          <w:tabs>
            <w:tab w:val="num" w:pos="1134"/>
          </w:tabs>
          <w:ind w:left="1247" w:firstLine="0"/>
        </w:pPr>
        <w:rPr>
          <w:rFonts w:hint="default"/>
        </w:rPr>
      </w:lvl>
    </w:lvlOverride>
  </w:num>
  <w:num w:numId="40">
    <w:abstractNumId w:val="4"/>
    <w:lvlOverride w:ilvl="0">
      <w:lvl w:ilvl="0">
        <w:start w:val="1"/>
        <w:numFmt w:val="decimal"/>
        <w:pStyle w:val="Normalnumber"/>
        <w:lvlText w:val="%1."/>
        <w:lvlJc w:val="left"/>
        <w:pPr>
          <w:tabs>
            <w:tab w:val="num" w:pos="1134"/>
          </w:tabs>
          <w:ind w:left="1247" w:firstLine="0"/>
        </w:pPr>
        <w:rPr>
          <w:rFonts w:hint="default"/>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ER">
    <w15:presenceInfo w15:providerId="AD" w15:userId="S-1-5-21-1645522239-1177238915-839522115-15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624"/>
  <w:hyphenationZone w:val="425"/>
  <w:evenAndOddHeaders/>
  <w:noPunctuationKerning/>
  <w:characterSpacingControl w:val="doNotCompress"/>
  <w:hdrShapeDefaults>
    <o:shapedefaults v:ext="edit" spidmax="4096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0330B"/>
    <w:rsid w:val="000077AD"/>
    <w:rsid w:val="00011A16"/>
    <w:rsid w:val="0001309D"/>
    <w:rsid w:val="000144C2"/>
    <w:rsid w:val="000149E6"/>
    <w:rsid w:val="00014F1D"/>
    <w:rsid w:val="00021CD6"/>
    <w:rsid w:val="00023DA9"/>
    <w:rsid w:val="000247B0"/>
    <w:rsid w:val="00026997"/>
    <w:rsid w:val="00026A08"/>
    <w:rsid w:val="00032E4E"/>
    <w:rsid w:val="00033E0B"/>
    <w:rsid w:val="00035EDE"/>
    <w:rsid w:val="00041A09"/>
    <w:rsid w:val="00043A14"/>
    <w:rsid w:val="000509B4"/>
    <w:rsid w:val="00053F8F"/>
    <w:rsid w:val="0006035B"/>
    <w:rsid w:val="0006096F"/>
    <w:rsid w:val="000649C5"/>
    <w:rsid w:val="00071886"/>
    <w:rsid w:val="000741D7"/>
    <w:rsid w:val="000742BC"/>
    <w:rsid w:val="00076CC6"/>
    <w:rsid w:val="00082A0C"/>
    <w:rsid w:val="00083504"/>
    <w:rsid w:val="00091A3E"/>
    <w:rsid w:val="000937A4"/>
    <w:rsid w:val="0009640C"/>
    <w:rsid w:val="000A02EC"/>
    <w:rsid w:val="000A11E0"/>
    <w:rsid w:val="000A27AC"/>
    <w:rsid w:val="000B22A2"/>
    <w:rsid w:val="000B73F9"/>
    <w:rsid w:val="000C2A52"/>
    <w:rsid w:val="000C2A88"/>
    <w:rsid w:val="000D28B0"/>
    <w:rsid w:val="000D33C0"/>
    <w:rsid w:val="000D4CF6"/>
    <w:rsid w:val="000D6941"/>
    <w:rsid w:val="000D6F0B"/>
    <w:rsid w:val="000E40C1"/>
    <w:rsid w:val="000F4829"/>
    <w:rsid w:val="001024C9"/>
    <w:rsid w:val="00114AA1"/>
    <w:rsid w:val="00115B23"/>
    <w:rsid w:val="001202E3"/>
    <w:rsid w:val="00123699"/>
    <w:rsid w:val="001241FB"/>
    <w:rsid w:val="0013059D"/>
    <w:rsid w:val="00134DB6"/>
    <w:rsid w:val="00136187"/>
    <w:rsid w:val="0014059B"/>
    <w:rsid w:val="00141A55"/>
    <w:rsid w:val="0014293F"/>
    <w:rsid w:val="0014397D"/>
    <w:rsid w:val="001446A3"/>
    <w:rsid w:val="00152B6B"/>
    <w:rsid w:val="00155395"/>
    <w:rsid w:val="00155A2F"/>
    <w:rsid w:val="00156B6B"/>
    <w:rsid w:val="00160554"/>
    <w:rsid w:val="00160D74"/>
    <w:rsid w:val="001646EA"/>
    <w:rsid w:val="001654AE"/>
    <w:rsid w:val="00167C79"/>
    <w:rsid w:val="00167D02"/>
    <w:rsid w:val="001710A8"/>
    <w:rsid w:val="001759D8"/>
    <w:rsid w:val="00177D7F"/>
    <w:rsid w:val="00180C3F"/>
    <w:rsid w:val="00181829"/>
    <w:rsid w:val="00181EC8"/>
    <w:rsid w:val="00184349"/>
    <w:rsid w:val="00190E62"/>
    <w:rsid w:val="00195F33"/>
    <w:rsid w:val="001B1617"/>
    <w:rsid w:val="001B504B"/>
    <w:rsid w:val="001B6F98"/>
    <w:rsid w:val="001C191A"/>
    <w:rsid w:val="001D3874"/>
    <w:rsid w:val="001D4E00"/>
    <w:rsid w:val="001D5447"/>
    <w:rsid w:val="001D7E75"/>
    <w:rsid w:val="001E0D73"/>
    <w:rsid w:val="001E4347"/>
    <w:rsid w:val="001E45BD"/>
    <w:rsid w:val="001E56D2"/>
    <w:rsid w:val="001E7D56"/>
    <w:rsid w:val="001E7DFC"/>
    <w:rsid w:val="001F5ADF"/>
    <w:rsid w:val="001F75DE"/>
    <w:rsid w:val="00200D58"/>
    <w:rsid w:val="002011C1"/>
    <w:rsid w:val="002013BE"/>
    <w:rsid w:val="00201EDC"/>
    <w:rsid w:val="002063A4"/>
    <w:rsid w:val="0021145B"/>
    <w:rsid w:val="00212E52"/>
    <w:rsid w:val="00214196"/>
    <w:rsid w:val="002172C9"/>
    <w:rsid w:val="00220C23"/>
    <w:rsid w:val="002247F6"/>
    <w:rsid w:val="00225E21"/>
    <w:rsid w:val="00225E44"/>
    <w:rsid w:val="00230569"/>
    <w:rsid w:val="00234E78"/>
    <w:rsid w:val="00235A32"/>
    <w:rsid w:val="00243D36"/>
    <w:rsid w:val="00246151"/>
    <w:rsid w:val="00247707"/>
    <w:rsid w:val="00252456"/>
    <w:rsid w:val="0026018E"/>
    <w:rsid w:val="0026226B"/>
    <w:rsid w:val="00276C34"/>
    <w:rsid w:val="00286740"/>
    <w:rsid w:val="00290CFA"/>
    <w:rsid w:val="00291EAE"/>
    <w:rsid w:val="002929D8"/>
    <w:rsid w:val="00292CE8"/>
    <w:rsid w:val="002A237D"/>
    <w:rsid w:val="002A4C53"/>
    <w:rsid w:val="002B0672"/>
    <w:rsid w:val="002B247F"/>
    <w:rsid w:val="002B27A9"/>
    <w:rsid w:val="002B50D4"/>
    <w:rsid w:val="002B58BF"/>
    <w:rsid w:val="002C145D"/>
    <w:rsid w:val="002C2C3E"/>
    <w:rsid w:val="002C533E"/>
    <w:rsid w:val="002D027F"/>
    <w:rsid w:val="002D1133"/>
    <w:rsid w:val="002D3E15"/>
    <w:rsid w:val="002D3E52"/>
    <w:rsid w:val="002D7A85"/>
    <w:rsid w:val="002D7B60"/>
    <w:rsid w:val="002E4AB4"/>
    <w:rsid w:val="002F4761"/>
    <w:rsid w:val="002F5C79"/>
    <w:rsid w:val="002F68EE"/>
    <w:rsid w:val="002F7A33"/>
    <w:rsid w:val="003019E2"/>
    <w:rsid w:val="00304338"/>
    <w:rsid w:val="00305743"/>
    <w:rsid w:val="00310BEB"/>
    <w:rsid w:val="0031413F"/>
    <w:rsid w:val="00314854"/>
    <w:rsid w:val="003148BB"/>
    <w:rsid w:val="00317976"/>
    <w:rsid w:val="00320F2F"/>
    <w:rsid w:val="003228BE"/>
    <w:rsid w:val="0032457E"/>
    <w:rsid w:val="00325D38"/>
    <w:rsid w:val="00333D11"/>
    <w:rsid w:val="00351732"/>
    <w:rsid w:val="0035277E"/>
    <w:rsid w:val="003528F9"/>
    <w:rsid w:val="00355EA9"/>
    <w:rsid w:val="003578DE"/>
    <w:rsid w:val="00357A72"/>
    <w:rsid w:val="00361688"/>
    <w:rsid w:val="00363258"/>
    <w:rsid w:val="00363EC2"/>
    <w:rsid w:val="00367432"/>
    <w:rsid w:val="003834D8"/>
    <w:rsid w:val="003877D5"/>
    <w:rsid w:val="003929B8"/>
    <w:rsid w:val="00393432"/>
    <w:rsid w:val="00393483"/>
    <w:rsid w:val="00396257"/>
    <w:rsid w:val="00397EB8"/>
    <w:rsid w:val="003A4FD0"/>
    <w:rsid w:val="003A69D1"/>
    <w:rsid w:val="003A6E04"/>
    <w:rsid w:val="003A7705"/>
    <w:rsid w:val="003A77F1"/>
    <w:rsid w:val="003B1545"/>
    <w:rsid w:val="003B1CFE"/>
    <w:rsid w:val="003B4C9E"/>
    <w:rsid w:val="003B5C96"/>
    <w:rsid w:val="003C00D1"/>
    <w:rsid w:val="003C3219"/>
    <w:rsid w:val="003C409D"/>
    <w:rsid w:val="003C4544"/>
    <w:rsid w:val="003C5583"/>
    <w:rsid w:val="003C5BA6"/>
    <w:rsid w:val="003C7322"/>
    <w:rsid w:val="003C74CF"/>
    <w:rsid w:val="003D2646"/>
    <w:rsid w:val="003D2C1C"/>
    <w:rsid w:val="003D3752"/>
    <w:rsid w:val="003E0FE7"/>
    <w:rsid w:val="003E35DA"/>
    <w:rsid w:val="003E455D"/>
    <w:rsid w:val="003F0E85"/>
    <w:rsid w:val="003F62C4"/>
    <w:rsid w:val="00410C55"/>
    <w:rsid w:val="00415F63"/>
    <w:rsid w:val="00416854"/>
    <w:rsid w:val="00416DCF"/>
    <w:rsid w:val="00417310"/>
    <w:rsid w:val="00417725"/>
    <w:rsid w:val="00420467"/>
    <w:rsid w:val="0042266F"/>
    <w:rsid w:val="004302AF"/>
    <w:rsid w:val="00431D71"/>
    <w:rsid w:val="00437F26"/>
    <w:rsid w:val="00440ABB"/>
    <w:rsid w:val="00444097"/>
    <w:rsid w:val="00445487"/>
    <w:rsid w:val="00447076"/>
    <w:rsid w:val="00447E0D"/>
    <w:rsid w:val="00453EA8"/>
    <w:rsid w:val="00454769"/>
    <w:rsid w:val="004547AA"/>
    <w:rsid w:val="00466643"/>
    <w:rsid w:val="00466991"/>
    <w:rsid w:val="0047064C"/>
    <w:rsid w:val="00471555"/>
    <w:rsid w:val="004822B7"/>
    <w:rsid w:val="0049469E"/>
    <w:rsid w:val="004A2217"/>
    <w:rsid w:val="004A24F9"/>
    <w:rsid w:val="004A42E1"/>
    <w:rsid w:val="004B162C"/>
    <w:rsid w:val="004B163F"/>
    <w:rsid w:val="004B2ABE"/>
    <w:rsid w:val="004C126D"/>
    <w:rsid w:val="004C3DBE"/>
    <w:rsid w:val="004C5C96"/>
    <w:rsid w:val="004D06A4"/>
    <w:rsid w:val="004D16D7"/>
    <w:rsid w:val="004E5A2B"/>
    <w:rsid w:val="004F1A81"/>
    <w:rsid w:val="004F36B0"/>
    <w:rsid w:val="00501354"/>
    <w:rsid w:val="00501866"/>
    <w:rsid w:val="0050186A"/>
    <w:rsid w:val="005046DA"/>
    <w:rsid w:val="005050D2"/>
    <w:rsid w:val="005213E1"/>
    <w:rsid w:val="005218D9"/>
    <w:rsid w:val="00536186"/>
    <w:rsid w:val="0054472E"/>
    <w:rsid w:val="00544CBB"/>
    <w:rsid w:val="00551B65"/>
    <w:rsid w:val="00554EB0"/>
    <w:rsid w:val="00556704"/>
    <w:rsid w:val="005656D7"/>
    <w:rsid w:val="00565BF4"/>
    <w:rsid w:val="0057315F"/>
    <w:rsid w:val="00576104"/>
    <w:rsid w:val="0058023F"/>
    <w:rsid w:val="00583FF4"/>
    <w:rsid w:val="005851AD"/>
    <w:rsid w:val="00586418"/>
    <w:rsid w:val="005867AE"/>
    <w:rsid w:val="00592B21"/>
    <w:rsid w:val="005944DF"/>
    <w:rsid w:val="005B1496"/>
    <w:rsid w:val="005B2EB9"/>
    <w:rsid w:val="005B44BF"/>
    <w:rsid w:val="005B7F60"/>
    <w:rsid w:val="005C67C8"/>
    <w:rsid w:val="005D0249"/>
    <w:rsid w:val="005D18FA"/>
    <w:rsid w:val="005D4FD4"/>
    <w:rsid w:val="005D6717"/>
    <w:rsid w:val="005D6E8C"/>
    <w:rsid w:val="005E0057"/>
    <w:rsid w:val="005E3004"/>
    <w:rsid w:val="005F100C"/>
    <w:rsid w:val="005F68DA"/>
    <w:rsid w:val="005F7419"/>
    <w:rsid w:val="00601BC9"/>
    <w:rsid w:val="0060773B"/>
    <w:rsid w:val="00613FD6"/>
    <w:rsid w:val="006157B5"/>
    <w:rsid w:val="00617224"/>
    <w:rsid w:val="00625A42"/>
    <w:rsid w:val="00626FC6"/>
    <w:rsid w:val="006303B4"/>
    <w:rsid w:val="00630ADC"/>
    <w:rsid w:val="00633D3D"/>
    <w:rsid w:val="00641703"/>
    <w:rsid w:val="006431A6"/>
    <w:rsid w:val="00643E3A"/>
    <w:rsid w:val="00644193"/>
    <w:rsid w:val="006459F6"/>
    <w:rsid w:val="006501AD"/>
    <w:rsid w:val="00651BFA"/>
    <w:rsid w:val="0065277B"/>
    <w:rsid w:val="00654475"/>
    <w:rsid w:val="00656DF0"/>
    <w:rsid w:val="00665A4B"/>
    <w:rsid w:val="00667C5D"/>
    <w:rsid w:val="00690E7B"/>
    <w:rsid w:val="00692E2A"/>
    <w:rsid w:val="00692ECD"/>
    <w:rsid w:val="0069496A"/>
    <w:rsid w:val="006A41C1"/>
    <w:rsid w:val="006A5C27"/>
    <w:rsid w:val="006A76F2"/>
    <w:rsid w:val="006B09A2"/>
    <w:rsid w:val="006B33F3"/>
    <w:rsid w:val="006B7D29"/>
    <w:rsid w:val="006C3DB7"/>
    <w:rsid w:val="006D19D4"/>
    <w:rsid w:val="006D2D62"/>
    <w:rsid w:val="006D2E9B"/>
    <w:rsid w:val="006D5644"/>
    <w:rsid w:val="006D7EFB"/>
    <w:rsid w:val="006E4765"/>
    <w:rsid w:val="006E6672"/>
    <w:rsid w:val="006E6722"/>
    <w:rsid w:val="006F7AFF"/>
    <w:rsid w:val="007027B9"/>
    <w:rsid w:val="007066B5"/>
    <w:rsid w:val="007145DA"/>
    <w:rsid w:val="0071548E"/>
    <w:rsid w:val="00715E88"/>
    <w:rsid w:val="00720462"/>
    <w:rsid w:val="00720D61"/>
    <w:rsid w:val="00734CAA"/>
    <w:rsid w:val="00735F78"/>
    <w:rsid w:val="00740EE2"/>
    <w:rsid w:val="00742680"/>
    <w:rsid w:val="007451E1"/>
    <w:rsid w:val="0075533C"/>
    <w:rsid w:val="00755A18"/>
    <w:rsid w:val="00757581"/>
    <w:rsid w:val="007602F5"/>
    <w:rsid w:val="00760D36"/>
    <w:rsid w:val="007611A0"/>
    <w:rsid w:val="00772574"/>
    <w:rsid w:val="00773E54"/>
    <w:rsid w:val="00787688"/>
    <w:rsid w:val="007935E6"/>
    <w:rsid w:val="00796984"/>
    <w:rsid w:val="00796D3F"/>
    <w:rsid w:val="007A1683"/>
    <w:rsid w:val="007A2028"/>
    <w:rsid w:val="007A5C12"/>
    <w:rsid w:val="007A7CB0"/>
    <w:rsid w:val="007B0B6D"/>
    <w:rsid w:val="007B3761"/>
    <w:rsid w:val="007B68A3"/>
    <w:rsid w:val="007C1232"/>
    <w:rsid w:val="007C2541"/>
    <w:rsid w:val="007D04A5"/>
    <w:rsid w:val="007D223C"/>
    <w:rsid w:val="007D66A8"/>
    <w:rsid w:val="007E003F"/>
    <w:rsid w:val="007F0CF8"/>
    <w:rsid w:val="007F3555"/>
    <w:rsid w:val="007F62CB"/>
    <w:rsid w:val="00803A10"/>
    <w:rsid w:val="00806118"/>
    <w:rsid w:val="00806C29"/>
    <w:rsid w:val="008110CF"/>
    <w:rsid w:val="00813853"/>
    <w:rsid w:val="008142EC"/>
    <w:rsid w:val="00814D57"/>
    <w:rsid w:val="00815DE2"/>
    <w:rsid w:val="008164F2"/>
    <w:rsid w:val="00821395"/>
    <w:rsid w:val="008279F4"/>
    <w:rsid w:val="00830E26"/>
    <w:rsid w:val="00834368"/>
    <w:rsid w:val="0083441A"/>
    <w:rsid w:val="00843576"/>
    <w:rsid w:val="00843B64"/>
    <w:rsid w:val="00846D4B"/>
    <w:rsid w:val="008478FC"/>
    <w:rsid w:val="00851C51"/>
    <w:rsid w:val="0085524F"/>
    <w:rsid w:val="00866F81"/>
    <w:rsid w:val="00867BFF"/>
    <w:rsid w:val="00871542"/>
    <w:rsid w:val="00872BF6"/>
    <w:rsid w:val="00875D5E"/>
    <w:rsid w:val="0088480A"/>
    <w:rsid w:val="0088757A"/>
    <w:rsid w:val="00893D3A"/>
    <w:rsid w:val="0089431B"/>
    <w:rsid w:val="00895668"/>
    <w:rsid w:val="008957DD"/>
    <w:rsid w:val="00897D98"/>
    <w:rsid w:val="008A26DF"/>
    <w:rsid w:val="008A2768"/>
    <w:rsid w:val="008A4EE2"/>
    <w:rsid w:val="008A6DF2"/>
    <w:rsid w:val="008A7807"/>
    <w:rsid w:val="008B4CC9"/>
    <w:rsid w:val="008B6368"/>
    <w:rsid w:val="008C0B15"/>
    <w:rsid w:val="008D75E4"/>
    <w:rsid w:val="008D7C99"/>
    <w:rsid w:val="008E0FCB"/>
    <w:rsid w:val="008E6C73"/>
    <w:rsid w:val="008F4827"/>
    <w:rsid w:val="008F5CD9"/>
    <w:rsid w:val="008F6DFE"/>
    <w:rsid w:val="00900007"/>
    <w:rsid w:val="0090529F"/>
    <w:rsid w:val="00910084"/>
    <w:rsid w:val="00910767"/>
    <w:rsid w:val="0091236F"/>
    <w:rsid w:val="00917825"/>
    <w:rsid w:val="0092054B"/>
    <w:rsid w:val="0092178C"/>
    <w:rsid w:val="00927471"/>
    <w:rsid w:val="00930B88"/>
    <w:rsid w:val="00935376"/>
    <w:rsid w:val="00940DCC"/>
    <w:rsid w:val="0094179A"/>
    <w:rsid w:val="0094459E"/>
    <w:rsid w:val="00944DBC"/>
    <w:rsid w:val="00946F15"/>
    <w:rsid w:val="00950977"/>
    <w:rsid w:val="00951A7B"/>
    <w:rsid w:val="00955512"/>
    <w:rsid w:val="009564A6"/>
    <w:rsid w:val="00956AAF"/>
    <w:rsid w:val="00957EF8"/>
    <w:rsid w:val="00961263"/>
    <w:rsid w:val="00966A53"/>
    <w:rsid w:val="00967621"/>
    <w:rsid w:val="00967E6A"/>
    <w:rsid w:val="00982117"/>
    <w:rsid w:val="009902C7"/>
    <w:rsid w:val="009907B9"/>
    <w:rsid w:val="00990918"/>
    <w:rsid w:val="009A3A83"/>
    <w:rsid w:val="009B0D84"/>
    <w:rsid w:val="009B4A0F"/>
    <w:rsid w:val="009C11D2"/>
    <w:rsid w:val="009C1240"/>
    <w:rsid w:val="009C1F65"/>
    <w:rsid w:val="009C5C08"/>
    <w:rsid w:val="009C5FFC"/>
    <w:rsid w:val="009C6C70"/>
    <w:rsid w:val="009C7B0A"/>
    <w:rsid w:val="009D0B63"/>
    <w:rsid w:val="009D5CB8"/>
    <w:rsid w:val="009E0111"/>
    <w:rsid w:val="009E080A"/>
    <w:rsid w:val="009E17CD"/>
    <w:rsid w:val="009E307E"/>
    <w:rsid w:val="00A03492"/>
    <w:rsid w:val="00A072C4"/>
    <w:rsid w:val="00A07870"/>
    <w:rsid w:val="00A07C54"/>
    <w:rsid w:val="00A07F19"/>
    <w:rsid w:val="00A1348D"/>
    <w:rsid w:val="00A13C99"/>
    <w:rsid w:val="00A232EE"/>
    <w:rsid w:val="00A252F3"/>
    <w:rsid w:val="00A35D6C"/>
    <w:rsid w:val="00A40357"/>
    <w:rsid w:val="00A4175F"/>
    <w:rsid w:val="00A42E0B"/>
    <w:rsid w:val="00A44411"/>
    <w:rsid w:val="00A469FA"/>
    <w:rsid w:val="00A47445"/>
    <w:rsid w:val="00A53662"/>
    <w:rsid w:val="00A55A0A"/>
    <w:rsid w:val="00A55B01"/>
    <w:rsid w:val="00A56B5B"/>
    <w:rsid w:val="00A603FF"/>
    <w:rsid w:val="00A61013"/>
    <w:rsid w:val="00A61199"/>
    <w:rsid w:val="00A619B6"/>
    <w:rsid w:val="00A63491"/>
    <w:rsid w:val="00A648CA"/>
    <w:rsid w:val="00A657DD"/>
    <w:rsid w:val="00A666A6"/>
    <w:rsid w:val="00A675FD"/>
    <w:rsid w:val="00A67854"/>
    <w:rsid w:val="00A72437"/>
    <w:rsid w:val="00A74D0D"/>
    <w:rsid w:val="00A7512B"/>
    <w:rsid w:val="00A8048B"/>
    <w:rsid w:val="00A80611"/>
    <w:rsid w:val="00A807D4"/>
    <w:rsid w:val="00A82795"/>
    <w:rsid w:val="00A93E8D"/>
    <w:rsid w:val="00A97FFE"/>
    <w:rsid w:val="00AA0384"/>
    <w:rsid w:val="00AA52D4"/>
    <w:rsid w:val="00AA5BF4"/>
    <w:rsid w:val="00AB5340"/>
    <w:rsid w:val="00AB544E"/>
    <w:rsid w:val="00AC0A89"/>
    <w:rsid w:val="00AC1E6B"/>
    <w:rsid w:val="00AC2885"/>
    <w:rsid w:val="00AC7C96"/>
    <w:rsid w:val="00AD5D6B"/>
    <w:rsid w:val="00AD5EDF"/>
    <w:rsid w:val="00AD6DEE"/>
    <w:rsid w:val="00AE0812"/>
    <w:rsid w:val="00AE237D"/>
    <w:rsid w:val="00AE502A"/>
    <w:rsid w:val="00AF0010"/>
    <w:rsid w:val="00AF2C1F"/>
    <w:rsid w:val="00AF7C07"/>
    <w:rsid w:val="00B06C64"/>
    <w:rsid w:val="00B11CAC"/>
    <w:rsid w:val="00B15A29"/>
    <w:rsid w:val="00B21142"/>
    <w:rsid w:val="00B22C93"/>
    <w:rsid w:val="00B27589"/>
    <w:rsid w:val="00B405B7"/>
    <w:rsid w:val="00B468C0"/>
    <w:rsid w:val="00B52222"/>
    <w:rsid w:val="00B531DA"/>
    <w:rsid w:val="00B54895"/>
    <w:rsid w:val="00B54FE7"/>
    <w:rsid w:val="00B5557C"/>
    <w:rsid w:val="00B647C6"/>
    <w:rsid w:val="00B655F9"/>
    <w:rsid w:val="00B66901"/>
    <w:rsid w:val="00B66F60"/>
    <w:rsid w:val="00B70143"/>
    <w:rsid w:val="00B71E6D"/>
    <w:rsid w:val="00B72070"/>
    <w:rsid w:val="00B779E1"/>
    <w:rsid w:val="00B81E3A"/>
    <w:rsid w:val="00B85CFB"/>
    <w:rsid w:val="00B914E9"/>
    <w:rsid w:val="00B91EE1"/>
    <w:rsid w:val="00B93972"/>
    <w:rsid w:val="00B93FBB"/>
    <w:rsid w:val="00B94602"/>
    <w:rsid w:val="00BA0090"/>
    <w:rsid w:val="00BA1A67"/>
    <w:rsid w:val="00BA4933"/>
    <w:rsid w:val="00BA6A80"/>
    <w:rsid w:val="00BB3439"/>
    <w:rsid w:val="00BB4ABB"/>
    <w:rsid w:val="00BC419C"/>
    <w:rsid w:val="00BC62BA"/>
    <w:rsid w:val="00BD2A8F"/>
    <w:rsid w:val="00BD552C"/>
    <w:rsid w:val="00BE5B5F"/>
    <w:rsid w:val="00BE7993"/>
    <w:rsid w:val="00BF04B3"/>
    <w:rsid w:val="00BF1A37"/>
    <w:rsid w:val="00BF6D63"/>
    <w:rsid w:val="00C0217E"/>
    <w:rsid w:val="00C17641"/>
    <w:rsid w:val="00C20818"/>
    <w:rsid w:val="00C26F55"/>
    <w:rsid w:val="00C27483"/>
    <w:rsid w:val="00C30C63"/>
    <w:rsid w:val="00C30FF3"/>
    <w:rsid w:val="00C314F9"/>
    <w:rsid w:val="00C33F02"/>
    <w:rsid w:val="00C34D5C"/>
    <w:rsid w:val="00C36B8B"/>
    <w:rsid w:val="00C415C1"/>
    <w:rsid w:val="00C47DBF"/>
    <w:rsid w:val="00C552FF"/>
    <w:rsid w:val="00C558DA"/>
    <w:rsid w:val="00C55AF3"/>
    <w:rsid w:val="00C56B14"/>
    <w:rsid w:val="00C74AAB"/>
    <w:rsid w:val="00C771A9"/>
    <w:rsid w:val="00C80ADD"/>
    <w:rsid w:val="00C84759"/>
    <w:rsid w:val="00C908CE"/>
    <w:rsid w:val="00C93096"/>
    <w:rsid w:val="00C9545A"/>
    <w:rsid w:val="00CA5CA9"/>
    <w:rsid w:val="00CA6C7F"/>
    <w:rsid w:val="00CA7E2C"/>
    <w:rsid w:val="00CB007D"/>
    <w:rsid w:val="00CB60CA"/>
    <w:rsid w:val="00CC0FC7"/>
    <w:rsid w:val="00CC10A6"/>
    <w:rsid w:val="00CC2F78"/>
    <w:rsid w:val="00CC481C"/>
    <w:rsid w:val="00CC5E47"/>
    <w:rsid w:val="00CD5EB8"/>
    <w:rsid w:val="00CD7044"/>
    <w:rsid w:val="00CE08B9"/>
    <w:rsid w:val="00CE3515"/>
    <w:rsid w:val="00CE524C"/>
    <w:rsid w:val="00CE66F8"/>
    <w:rsid w:val="00CF141F"/>
    <w:rsid w:val="00CF15AE"/>
    <w:rsid w:val="00CF4777"/>
    <w:rsid w:val="00CF52C2"/>
    <w:rsid w:val="00CF65C8"/>
    <w:rsid w:val="00CF695F"/>
    <w:rsid w:val="00D013F5"/>
    <w:rsid w:val="00D052EE"/>
    <w:rsid w:val="00D05E3F"/>
    <w:rsid w:val="00D067BB"/>
    <w:rsid w:val="00D1352A"/>
    <w:rsid w:val="00D1638E"/>
    <w:rsid w:val="00D169AF"/>
    <w:rsid w:val="00D200EF"/>
    <w:rsid w:val="00D25175"/>
    <w:rsid w:val="00D25249"/>
    <w:rsid w:val="00D26854"/>
    <w:rsid w:val="00D31988"/>
    <w:rsid w:val="00D3373A"/>
    <w:rsid w:val="00D44172"/>
    <w:rsid w:val="00D47BE3"/>
    <w:rsid w:val="00D63B8C"/>
    <w:rsid w:val="00D739CC"/>
    <w:rsid w:val="00D806F9"/>
    <w:rsid w:val="00D8093D"/>
    <w:rsid w:val="00D8108C"/>
    <w:rsid w:val="00D842AE"/>
    <w:rsid w:val="00D87B6A"/>
    <w:rsid w:val="00D91A66"/>
    <w:rsid w:val="00D9211C"/>
    <w:rsid w:val="00D92363"/>
    <w:rsid w:val="00D92DE0"/>
    <w:rsid w:val="00D92FEF"/>
    <w:rsid w:val="00D931F9"/>
    <w:rsid w:val="00D93A0F"/>
    <w:rsid w:val="00DA1BCA"/>
    <w:rsid w:val="00DA3663"/>
    <w:rsid w:val="00DB5BB0"/>
    <w:rsid w:val="00DC46FF"/>
    <w:rsid w:val="00DC5254"/>
    <w:rsid w:val="00DC569D"/>
    <w:rsid w:val="00DD12E6"/>
    <w:rsid w:val="00DD1A4F"/>
    <w:rsid w:val="00DD3107"/>
    <w:rsid w:val="00DD7C2C"/>
    <w:rsid w:val="00DE5BDA"/>
    <w:rsid w:val="00DF433C"/>
    <w:rsid w:val="00DF519F"/>
    <w:rsid w:val="00E0035A"/>
    <w:rsid w:val="00E008E0"/>
    <w:rsid w:val="00E06797"/>
    <w:rsid w:val="00E1265B"/>
    <w:rsid w:val="00E12E09"/>
    <w:rsid w:val="00E13B48"/>
    <w:rsid w:val="00E1404F"/>
    <w:rsid w:val="00E21C83"/>
    <w:rsid w:val="00E24ADA"/>
    <w:rsid w:val="00E27A2A"/>
    <w:rsid w:val="00E304A7"/>
    <w:rsid w:val="00E32F59"/>
    <w:rsid w:val="00E33F2F"/>
    <w:rsid w:val="00E41908"/>
    <w:rsid w:val="00E41A91"/>
    <w:rsid w:val="00E434BA"/>
    <w:rsid w:val="00E43CE0"/>
    <w:rsid w:val="00E46D9A"/>
    <w:rsid w:val="00E52C98"/>
    <w:rsid w:val="00E565FF"/>
    <w:rsid w:val="00E65388"/>
    <w:rsid w:val="00E67F20"/>
    <w:rsid w:val="00E73C23"/>
    <w:rsid w:val="00E7741D"/>
    <w:rsid w:val="00E808CD"/>
    <w:rsid w:val="00E80AA2"/>
    <w:rsid w:val="00E8348F"/>
    <w:rsid w:val="00E85B7D"/>
    <w:rsid w:val="00E9121B"/>
    <w:rsid w:val="00E9302E"/>
    <w:rsid w:val="00E976AB"/>
    <w:rsid w:val="00EA0AE2"/>
    <w:rsid w:val="00EA39E5"/>
    <w:rsid w:val="00EA57A3"/>
    <w:rsid w:val="00EA71B4"/>
    <w:rsid w:val="00EB41F2"/>
    <w:rsid w:val="00EC2813"/>
    <w:rsid w:val="00EC5A46"/>
    <w:rsid w:val="00EC63E2"/>
    <w:rsid w:val="00ED0225"/>
    <w:rsid w:val="00ED366A"/>
    <w:rsid w:val="00ED6BB7"/>
    <w:rsid w:val="00EE0943"/>
    <w:rsid w:val="00EF22B3"/>
    <w:rsid w:val="00F03B69"/>
    <w:rsid w:val="00F07A50"/>
    <w:rsid w:val="00F113DA"/>
    <w:rsid w:val="00F1265D"/>
    <w:rsid w:val="00F266FC"/>
    <w:rsid w:val="00F3037A"/>
    <w:rsid w:val="00F320C2"/>
    <w:rsid w:val="00F3314C"/>
    <w:rsid w:val="00F3465A"/>
    <w:rsid w:val="00F37DC8"/>
    <w:rsid w:val="00F40DDB"/>
    <w:rsid w:val="00F439B3"/>
    <w:rsid w:val="00F64E3B"/>
    <w:rsid w:val="00F650C3"/>
    <w:rsid w:val="00F65D85"/>
    <w:rsid w:val="00F6700B"/>
    <w:rsid w:val="00F7137B"/>
    <w:rsid w:val="00F8091E"/>
    <w:rsid w:val="00F80C3C"/>
    <w:rsid w:val="00F8615C"/>
    <w:rsid w:val="00F94207"/>
    <w:rsid w:val="00F9562F"/>
    <w:rsid w:val="00F969E5"/>
    <w:rsid w:val="00F97E99"/>
    <w:rsid w:val="00FA2F2A"/>
    <w:rsid w:val="00FA4972"/>
    <w:rsid w:val="00FA6BB0"/>
    <w:rsid w:val="00FB2DBD"/>
    <w:rsid w:val="00FB32C8"/>
    <w:rsid w:val="00FB783E"/>
    <w:rsid w:val="00FC1941"/>
    <w:rsid w:val="00FD48DF"/>
    <w:rsid w:val="00FD5860"/>
    <w:rsid w:val="00FE352D"/>
    <w:rsid w:val="00FE40EB"/>
    <w:rsid w:val="00FE4D02"/>
    <w:rsid w:val="00FE5858"/>
    <w:rsid w:val="00FE7D62"/>
    <w:rsid w:val="00FF045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8A26DF"/>
    <w:rPr>
      <w:b/>
      <w:sz w:val="28"/>
      <w:szCs w:val="28"/>
      <w:lang w:eastAsia="en-US"/>
    </w:rPr>
  </w:style>
  <w:style w:type="character" w:customStyle="1" w:styleId="CH2Char">
    <w:name w:val="CH2 Char"/>
    <w:link w:val="CH2"/>
    <w:rsid w:val="008A26DF"/>
    <w:rPr>
      <w:b/>
      <w:sz w:val="24"/>
      <w:szCs w:val="24"/>
      <w:lang w:eastAsia="en-US"/>
    </w:rPr>
  </w:style>
  <w:style w:type="character" w:customStyle="1" w:styleId="ZZAnxtitleChar">
    <w:name w:val="ZZ_Anx_title Char"/>
    <w:link w:val="ZZAnxtitle"/>
    <w:rsid w:val="008A26DF"/>
    <w:rPr>
      <w:b/>
      <w:bCs/>
      <w:sz w:val="28"/>
      <w:szCs w:val="26"/>
      <w:lang w:eastAsia="en-US"/>
    </w:rPr>
  </w:style>
  <w:style w:type="character" w:customStyle="1" w:styleId="ZZAnxheaderChar">
    <w:name w:val="ZZ_Anx_header Char"/>
    <w:link w:val="ZZAnxheader"/>
    <w:rsid w:val="008A26DF"/>
    <w:rPr>
      <w:b/>
      <w:bCs/>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8A26DF"/>
    <w:rPr>
      <w:b/>
      <w:sz w:val="28"/>
      <w:szCs w:val="28"/>
      <w:lang w:eastAsia="en-US"/>
    </w:rPr>
  </w:style>
  <w:style w:type="character" w:customStyle="1" w:styleId="CH2Char">
    <w:name w:val="CH2 Char"/>
    <w:link w:val="CH2"/>
    <w:rsid w:val="008A26DF"/>
    <w:rPr>
      <w:b/>
      <w:sz w:val="24"/>
      <w:szCs w:val="24"/>
      <w:lang w:eastAsia="en-US"/>
    </w:rPr>
  </w:style>
  <w:style w:type="character" w:customStyle="1" w:styleId="ZZAnxtitleChar">
    <w:name w:val="ZZ_Anx_title Char"/>
    <w:link w:val="ZZAnxtitle"/>
    <w:rsid w:val="008A26DF"/>
    <w:rPr>
      <w:b/>
      <w:bCs/>
      <w:sz w:val="28"/>
      <w:szCs w:val="26"/>
      <w:lang w:eastAsia="en-US"/>
    </w:rPr>
  </w:style>
  <w:style w:type="character" w:customStyle="1" w:styleId="ZZAnxheaderChar">
    <w:name w:val="ZZ_Anx_header Char"/>
    <w:link w:val="ZZAnxheader"/>
    <w:rsid w:val="008A26DF"/>
    <w:rPr>
      <w:b/>
      <w:bCs/>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ep.org/ietc/Portals/136/Publications/Waste%20Management/GWMO%20report/GWMO%20full%20report.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1F54-2928-4117-A535-9CBDD026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2610</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Jimena Vallejo</cp:lastModifiedBy>
  <cp:revision>2</cp:revision>
  <cp:lastPrinted>2016-07-18T09:51:00Z</cp:lastPrinted>
  <dcterms:created xsi:type="dcterms:W3CDTF">2017-06-28T14:00:00Z</dcterms:created>
  <dcterms:modified xsi:type="dcterms:W3CDTF">2017-06-28T14:00:00Z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6/14/2017 1:41:13 PM</vt:lpwstr>
  </property>
  <property fmtid="{D5CDD505-2E9C-101B-9397-08002B2CF9AE}" pid="5" name="OriginalDocID">
    <vt:lpwstr>2f16dd38-224d-4245-993a-51910baa6bbb</vt:lpwstr>
  </property>
</Properties>
</file>