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704"/>
        <w:gridCol w:w="4500"/>
        <w:gridCol w:w="3292"/>
      </w:tblGrid>
      <w:tr w:rsidR="001A0CDF" w:rsidRPr="00E02D7A" w14:paraId="2F0ECBAF" w14:textId="77777777" w:rsidTr="001A0CDF">
        <w:trPr>
          <w:cantSplit/>
          <w:trHeight w:val="850"/>
          <w:jc w:val="right"/>
        </w:trPr>
        <w:tc>
          <w:tcPr>
            <w:tcW w:w="1740" w:type="dxa"/>
            <w:hideMark/>
          </w:tcPr>
          <w:p w14:paraId="5C53E968" w14:textId="77777777" w:rsidR="001A0CDF" w:rsidRPr="00E02D7A" w:rsidRDefault="001A0CDF" w:rsidP="006F2B07">
            <w:pPr>
              <w:rPr>
                <w:rFonts w:ascii="Univers" w:hAnsi="Univers"/>
                <w:b/>
                <w:noProof/>
                <w:sz w:val="27"/>
                <w:szCs w:val="27"/>
                <w:lang w:val="es-ES" w:eastAsia="zh-CN"/>
              </w:rPr>
            </w:pPr>
            <w:r>
              <w:rPr>
                <w:rFonts w:ascii="Arial" w:hAnsi="Arial" w:cs="Arial"/>
                <w:b/>
                <w:noProof/>
                <w:sz w:val="27"/>
                <w:szCs w:val="27"/>
                <w:lang w:val="es-ES" w:eastAsia="zh-CN"/>
              </w:rPr>
              <w:t>NACIONES UNIDAS</w:t>
            </w:r>
          </w:p>
        </w:tc>
        <w:tc>
          <w:tcPr>
            <w:tcW w:w="4605" w:type="dxa"/>
          </w:tcPr>
          <w:p w14:paraId="1A2E2F5F" w14:textId="77777777" w:rsidR="001A0CDF" w:rsidRPr="00E02D7A" w:rsidRDefault="001A0CDF" w:rsidP="006F2B07">
            <w:pPr>
              <w:rPr>
                <w:rFonts w:ascii="Univers" w:hAnsi="Univers"/>
                <w:b/>
                <w:sz w:val="27"/>
                <w:szCs w:val="27"/>
                <w:lang w:val="es-ES" w:eastAsia="zh-CN"/>
              </w:rPr>
            </w:pPr>
          </w:p>
        </w:tc>
        <w:tc>
          <w:tcPr>
            <w:tcW w:w="3367" w:type="dxa"/>
            <w:hideMark/>
          </w:tcPr>
          <w:p w14:paraId="78DC1B43" w14:textId="77777777" w:rsidR="001A0CDF" w:rsidRPr="00E02D7A" w:rsidRDefault="001A0CDF" w:rsidP="006F2B07">
            <w:pPr>
              <w:jc w:val="right"/>
              <w:rPr>
                <w:rFonts w:ascii="Arial" w:hAnsi="Arial" w:cs="Arial"/>
                <w:b/>
                <w:sz w:val="64"/>
                <w:szCs w:val="64"/>
                <w:lang w:val="es-ES" w:eastAsia="zh-CN"/>
              </w:rPr>
            </w:pPr>
            <w:r w:rsidRPr="00E02D7A">
              <w:rPr>
                <w:rFonts w:ascii="Arial" w:hAnsi="Arial" w:cs="Arial"/>
                <w:b/>
                <w:sz w:val="64"/>
                <w:szCs w:val="64"/>
                <w:lang w:val="es-ES" w:eastAsia="zh-CN"/>
              </w:rPr>
              <w:t>MC</w:t>
            </w:r>
          </w:p>
        </w:tc>
      </w:tr>
      <w:tr w:rsidR="001A0CDF" w:rsidRPr="00E02D7A" w14:paraId="4037D352" w14:textId="77777777" w:rsidTr="001A0CDF">
        <w:trPr>
          <w:cantSplit/>
          <w:trHeight w:val="281"/>
          <w:jc w:val="right"/>
        </w:trPr>
        <w:tc>
          <w:tcPr>
            <w:tcW w:w="1740" w:type="dxa"/>
            <w:tcBorders>
              <w:top w:val="nil"/>
              <w:left w:val="nil"/>
              <w:bottom w:val="single" w:sz="4" w:space="0" w:color="auto"/>
              <w:right w:val="nil"/>
            </w:tcBorders>
          </w:tcPr>
          <w:p w14:paraId="65A8B33E" w14:textId="77777777" w:rsidR="001A0CDF" w:rsidRPr="00E02D7A" w:rsidRDefault="001A0CDF" w:rsidP="006F2B07">
            <w:pPr>
              <w:rPr>
                <w:noProof/>
                <w:sz w:val="18"/>
                <w:szCs w:val="18"/>
                <w:lang w:val="es-ES" w:eastAsia="zh-CN"/>
              </w:rPr>
            </w:pPr>
          </w:p>
        </w:tc>
        <w:tc>
          <w:tcPr>
            <w:tcW w:w="4605" w:type="dxa"/>
            <w:tcBorders>
              <w:top w:val="nil"/>
              <w:left w:val="nil"/>
              <w:bottom w:val="single" w:sz="4" w:space="0" w:color="auto"/>
              <w:right w:val="nil"/>
            </w:tcBorders>
          </w:tcPr>
          <w:p w14:paraId="13F133FB" w14:textId="77777777" w:rsidR="001A0CDF" w:rsidRPr="00E02D7A" w:rsidRDefault="001A0CDF" w:rsidP="006F2B07">
            <w:pPr>
              <w:rPr>
                <w:rFonts w:ascii="Univers" w:hAnsi="Univers"/>
                <w:b/>
                <w:sz w:val="18"/>
                <w:szCs w:val="18"/>
                <w:lang w:val="es-ES" w:eastAsia="zh-CN"/>
              </w:rPr>
            </w:pPr>
          </w:p>
        </w:tc>
        <w:tc>
          <w:tcPr>
            <w:tcW w:w="3367" w:type="dxa"/>
            <w:tcBorders>
              <w:top w:val="nil"/>
              <w:left w:val="nil"/>
              <w:bottom w:val="single" w:sz="4" w:space="0" w:color="auto"/>
              <w:right w:val="nil"/>
            </w:tcBorders>
            <w:hideMark/>
          </w:tcPr>
          <w:p w14:paraId="2763F196" w14:textId="77777777" w:rsidR="001A0CDF" w:rsidRPr="00E02D7A" w:rsidRDefault="001A0CDF" w:rsidP="006F2B07">
            <w:pPr>
              <w:rPr>
                <w:noProof/>
                <w:sz w:val="18"/>
                <w:szCs w:val="18"/>
                <w:lang w:val="es-ES" w:eastAsia="zh-CN"/>
              </w:rPr>
            </w:pPr>
            <w:r w:rsidRPr="00E02D7A">
              <w:rPr>
                <w:b/>
                <w:bCs/>
                <w:sz w:val="28"/>
                <w:lang w:val="es-ES" w:eastAsia="zh-CN"/>
              </w:rPr>
              <w:t>UNEP</w:t>
            </w:r>
            <w:r w:rsidRPr="00E02D7A">
              <w:rPr>
                <w:b/>
                <w:bCs/>
                <w:lang w:val="es-ES" w:eastAsia="zh-CN"/>
              </w:rPr>
              <w:t>/</w:t>
            </w:r>
            <w:r w:rsidRPr="00E02D7A">
              <w:rPr>
                <w:lang w:val="es-ES" w:eastAsia="zh-CN"/>
              </w:rPr>
              <w:t>MC/COP.1/</w:t>
            </w:r>
            <w:r>
              <w:rPr>
                <w:lang w:val="es-ES" w:eastAsia="zh-CN"/>
              </w:rPr>
              <w:t>18/Rev.1</w:t>
            </w:r>
          </w:p>
        </w:tc>
      </w:tr>
      <w:tr w:rsidR="001A0CDF" w:rsidRPr="00E02D7A" w14:paraId="34A51D31" w14:textId="77777777" w:rsidTr="001A0CDF">
        <w:trPr>
          <w:cantSplit/>
          <w:trHeight w:val="2549"/>
          <w:jc w:val="right"/>
        </w:trPr>
        <w:tc>
          <w:tcPr>
            <w:tcW w:w="1740" w:type="dxa"/>
            <w:tcBorders>
              <w:top w:val="single" w:sz="4" w:space="0" w:color="auto"/>
              <w:left w:val="nil"/>
              <w:bottom w:val="single" w:sz="24" w:space="0" w:color="auto"/>
              <w:right w:val="nil"/>
            </w:tcBorders>
            <w:hideMark/>
          </w:tcPr>
          <w:p w14:paraId="38B2C3BC" w14:textId="77777777" w:rsidR="001A0CDF" w:rsidRPr="00E02D7A" w:rsidRDefault="001A0CDF" w:rsidP="006F2B07">
            <w:pPr>
              <w:rPr>
                <w:noProof/>
                <w:lang w:val="es-ES" w:eastAsia="zh-CN"/>
              </w:rPr>
            </w:pPr>
            <w:r w:rsidRPr="00E02D7A">
              <w:rPr>
                <w:noProof/>
                <w:lang w:val="es-ES" w:eastAsia="zh-CN"/>
              </w:rPr>
              <w:object w:dxaOrig="1305" w:dyaOrig="1215" w14:anchorId="053BA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5.1pt;height:60.75pt" o:ole="" fillcolor="window">
                  <v:imagedata r:id="rId8" o:title=""/>
                </v:shape>
                <o:OLEObject Type="Embed" ProgID="Word.Picture.8" ShapeID="_x0000_i1070" DrawAspect="Content" ObjectID="_1566308283" r:id="rId9"/>
              </w:object>
            </w:r>
            <w:r w:rsidRPr="00E02D7A">
              <w:rPr>
                <w:noProof/>
                <w:lang w:eastAsia="en-GB"/>
              </w:rPr>
              <w:drawing>
                <wp:inline distT="0" distB="0" distL="0" distR="0" wp14:anchorId="3D5DBCBD" wp14:editId="501E73A1">
                  <wp:extent cx="723265" cy="770890"/>
                  <wp:effectExtent l="0" t="0" r="635" b="0"/>
                  <wp:docPr id="3" name="Picture 3"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70890"/>
                          </a:xfrm>
                          <a:prstGeom prst="rect">
                            <a:avLst/>
                          </a:prstGeom>
                          <a:noFill/>
                          <a:ln>
                            <a:noFill/>
                          </a:ln>
                        </pic:spPr>
                      </pic:pic>
                    </a:graphicData>
                  </a:graphic>
                </wp:inline>
              </w:drawing>
            </w:r>
          </w:p>
        </w:tc>
        <w:tc>
          <w:tcPr>
            <w:tcW w:w="4605" w:type="dxa"/>
            <w:tcBorders>
              <w:top w:val="single" w:sz="4" w:space="0" w:color="auto"/>
              <w:left w:val="nil"/>
              <w:bottom w:val="single" w:sz="24" w:space="0" w:color="auto"/>
              <w:right w:val="nil"/>
            </w:tcBorders>
            <w:hideMark/>
          </w:tcPr>
          <w:p w14:paraId="3D0BE00F" w14:textId="1663F235" w:rsidR="001A0CDF" w:rsidRPr="00E02D7A" w:rsidRDefault="001A0CDF" w:rsidP="006F2B07">
            <w:pPr>
              <w:spacing w:before="1200"/>
              <w:rPr>
                <w:rFonts w:ascii="Arial" w:hAnsi="Arial" w:cs="Arial"/>
                <w:b/>
                <w:sz w:val="28"/>
                <w:lang w:val="es-ES" w:eastAsia="zh-CN"/>
              </w:rPr>
            </w:pPr>
            <w:r w:rsidRPr="00E02D7A">
              <w:rPr>
                <w:rFonts w:ascii="Arial" w:hAnsi="Arial" w:cs="Arial"/>
                <w:b/>
                <w:sz w:val="32"/>
                <w:szCs w:val="32"/>
                <w:lang w:val="es-ES" w:eastAsia="zh-CN"/>
              </w:rPr>
              <w:t xml:space="preserve">Programa de las </w:t>
            </w:r>
            <w:r w:rsidRPr="00E02D7A">
              <w:rPr>
                <w:rFonts w:ascii="Arial" w:hAnsi="Arial" w:cs="Arial"/>
                <w:b/>
                <w:sz w:val="32"/>
                <w:szCs w:val="32"/>
                <w:lang w:val="es-ES" w:eastAsia="zh-CN"/>
              </w:rPr>
              <w:br/>
            </w:r>
            <w:r>
              <w:rPr>
                <w:rFonts w:ascii="Arial" w:hAnsi="Arial" w:cs="Arial"/>
                <w:b/>
                <w:sz w:val="32"/>
                <w:szCs w:val="32"/>
                <w:lang w:val="es-ES" w:eastAsia="zh-CN"/>
              </w:rPr>
              <w:t>Naciones Unidas</w:t>
            </w:r>
            <w:r w:rsidRPr="00E02D7A">
              <w:rPr>
                <w:rFonts w:ascii="Arial" w:hAnsi="Arial" w:cs="Arial"/>
                <w:b/>
                <w:sz w:val="32"/>
                <w:szCs w:val="32"/>
                <w:lang w:val="es-ES" w:eastAsia="zh-CN"/>
              </w:rPr>
              <w:t xml:space="preserve"> </w:t>
            </w:r>
            <w:r w:rsidR="003018DC">
              <w:rPr>
                <w:rFonts w:ascii="Arial" w:hAnsi="Arial" w:cs="Arial"/>
                <w:b/>
                <w:sz w:val="32"/>
                <w:szCs w:val="32"/>
                <w:lang w:val="es-ES" w:eastAsia="zh-CN"/>
              </w:rPr>
              <w:br/>
            </w:r>
            <w:r w:rsidRPr="00E02D7A">
              <w:rPr>
                <w:rFonts w:ascii="Arial" w:hAnsi="Arial" w:cs="Arial"/>
                <w:b/>
                <w:sz w:val="32"/>
                <w:szCs w:val="32"/>
                <w:lang w:val="es-ES" w:eastAsia="zh-CN"/>
              </w:rPr>
              <w:t>para el</w:t>
            </w:r>
            <w:r w:rsidR="003018DC">
              <w:rPr>
                <w:rFonts w:ascii="Arial" w:hAnsi="Arial" w:cs="Arial"/>
                <w:b/>
                <w:sz w:val="32"/>
                <w:szCs w:val="32"/>
                <w:lang w:val="es-ES" w:eastAsia="zh-CN"/>
              </w:rPr>
              <w:t xml:space="preserve"> </w:t>
            </w:r>
            <w:r w:rsidRPr="00E02D7A">
              <w:rPr>
                <w:rFonts w:ascii="Arial" w:hAnsi="Arial" w:cs="Arial"/>
                <w:b/>
                <w:sz w:val="32"/>
                <w:szCs w:val="32"/>
                <w:lang w:val="es-ES" w:eastAsia="zh-CN"/>
              </w:rPr>
              <w:t>Medio Ambiente</w:t>
            </w:r>
          </w:p>
        </w:tc>
        <w:tc>
          <w:tcPr>
            <w:tcW w:w="3367" w:type="dxa"/>
            <w:tcBorders>
              <w:top w:val="single" w:sz="4" w:space="0" w:color="auto"/>
              <w:left w:val="nil"/>
              <w:bottom w:val="single" w:sz="24" w:space="0" w:color="auto"/>
              <w:right w:val="nil"/>
            </w:tcBorders>
            <w:hideMark/>
          </w:tcPr>
          <w:p w14:paraId="0B9F7459" w14:textId="77777777" w:rsidR="001A0CDF" w:rsidRPr="00E02D7A" w:rsidRDefault="001A0CDF" w:rsidP="006F2B07">
            <w:pPr>
              <w:spacing w:before="120"/>
              <w:rPr>
                <w:lang w:val="es-ES" w:eastAsia="zh-CN"/>
              </w:rPr>
            </w:pPr>
            <w:proofErr w:type="spellStart"/>
            <w:r w:rsidRPr="00E02D7A">
              <w:rPr>
                <w:lang w:val="es-ES" w:eastAsia="zh-CN"/>
              </w:rPr>
              <w:t>Distr</w:t>
            </w:r>
            <w:proofErr w:type="spellEnd"/>
            <w:r w:rsidRPr="00E02D7A">
              <w:rPr>
                <w:lang w:val="es-ES" w:eastAsia="zh-CN"/>
              </w:rPr>
              <w:t xml:space="preserve">. </w:t>
            </w:r>
            <w:r>
              <w:rPr>
                <w:lang w:val="es-ES" w:eastAsia="zh-CN"/>
              </w:rPr>
              <w:t>g</w:t>
            </w:r>
            <w:r w:rsidRPr="00E02D7A">
              <w:rPr>
                <w:lang w:val="es-ES" w:eastAsia="zh-CN"/>
              </w:rPr>
              <w:t>eneral</w:t>
            </w:r>
            <w:r>
              <w:rPr>
                <w:lang w:val="es-ES" w:eastAsia="zh-CN"/>
              </w:rPr>
              <w:br/>
              <w:t xml:space="preserve">5 de septiembre </w:t>
            </w:r>
            <w:r w:rsidRPr="00E02D7A">
              <w:rPr>
                <w:lang w:val="es-ES" w:eastAsia="zh-CN"/>
              </w:rPr>
              <w:t>de 2017</w:t>
            </w:r>
          </w:p>
          <w:p w14:paraId="7F3F2616" w14:textId="77777777" w:rsidR="001A0CDF" w:rsidRPr="00E02D7A" w:rsidRDefault="001A0CDF" w:rsidP="006F2B07">
            <w:pPr>
              <w:spacing w:before="240"/>
              <w:rPr>
                <w:lang w:val="es-ES" w:eastAsia="zh-CN"/>
              </w:rPr>
            </w:pPr>
            <w:r w:rsidRPr="00E02D7A">
              <w:rPr>
                <w:lang w:val="es-ES" w:eastAsia="zh-CN"/>
              </w:rPr>
              <w:t xml:space="preserve">Español </w:t>
            </w:r>
            <w:r w:rsidRPr="00E02D7A">
              <w:rPr>
                <w:lang w:val="es-ES" w:eastAsia="zh-CN"/>
              </w:rPr>
              <w:br/>
              <w:t>Original: inglés</w:t>
            </w:r>
          </w:p>
        </w:tc>
      </w:tr>
    </w:tbl>
    <w:p w14:paraId="0A4BFFDA" w14:textId="7531A3D7" w:rsidR="00E976AB" w:rsidRPr="00A12347" w:rsidRDefault="00CB007D" w:rsidP="00E976AB">
      <w:pPr>
        <w:pStyle w:val="AATitle"/>
        <w:keepNext w:val="0"/>
        <w:keepLines w:val="0"/>
        <w:rPr>
          <w:lang w:val="es-ES"/>
        </w:rPr>
      </w:pPr>
      <w:r>
        <w:rPr>
          <w:lang w:val="es-ES"/>
        </w:rPr>
        <w:t>Conferencia de las Partes en el Convenio de Minamata sobre el Mercurio</w:t>
      </w:r>
    </w:p>
    <w:p w14:paraId="26A6CAA0" w14:textId="77777777" w:rsidR="00E976AB" w:rsidRPr="00A12347" w:rsidRDefault="00787688" w:rsidP="00E976AB">
      <w:pPr>
        <w:pStyle w:val="AATitle"/>
        <w:keepNext w:val="0"/>
        <w:keepLines w:val="0"/>
        <w:rPr>
          <w:lang w:val="es-ES"/>
        </w:rPr>
      </w:pPr>
      <w:r>
        <w:rPr>
          <w:lang w:val="es-ES"/>
        </w:rPr>
        <w:t>Primera reunión</w:t>
      </w:r>
    </w:p>
    <w:p w14:paraId="67B82F12" w14:textId="36780F78" w:rsidR="00787688" w:rsidRPr="00A12347" w:rsidRDefault="00787688" w:rsidP="00787688">
      <w:pPr>
        <w:pStyle w:val="AATitle"/>
        <w:rPr>
          <w:b w:val="0"/>
          <w:lang w:val="es-ES"/>
        </w:rPr>
      </w:pPr>
      <w:r w:rsidRPr="00A12347">
        <w:rPr>
          <w:b w:val="0"/>
          <w:lang w:val="es-ES"/>
        </w:rPr>
        <w:t>Ginebra, 24 a 29 de septiembre de 2017</w:t>
      </w:r>
    </w:p>
    <w:p w14:paraId="55E86FDE" w14:textId="092DDF50" w:rsidR="00690CDE" w:rsidRPr="00A12347" w:rsidRDefault="00690CDE" w:rsidP="00690CDE">
      <w:pPr>
        <w:pStyle w:val="AATitle"/>
        <w:keepNext w:val="0"/>
        <w:keepLines w:val="0"/>
        <w:rPr>
          <w:b w:val="0"/>
          <w:lang w:val="es-ES"/>
        </w:rPr>
      </w:pPr>
      <w:r w:rsidRPr="00A12347">
        <w:rPr>
          <w:b w:val="0"/>
          <w:lang w:val="es-ES"/>
        </w:rPr>
        <w:t>Tema 5 c) iii) del programa provisional</w:t>
      </w:r>
      <w:r w:rsidRPr="00A12347">
        <w:rPr>
          <w:b w:val="0"/>
          <w:lang w:val="es-ES"/>
        </w:rPr>
        <w:footnoteReference w:customMarkFollows="1" w:id="1"/>
        <w:t>*</w:t>
      </w:r>
    </w:p>
    <w:p w14:paraId="11A1EE7E" w14:textId="73EAA574" w:rsidR="002A6422" w:rsidRPr="00A12347" w:rsidRDefault="002A67C5" w:rsidP="009E7940">
      <w:pPr>
        <w:pStyle w:val="AATitle2"/>
        <w:spacing w:before="60" w:after="60"/>
        <w:ind w:right="4814"/>
        <w:rPr>
          <w:lang w:val="es-ES"/>
        </w:rPr>
      </w:pPr>
      <w:r>
        <w:rPr>
          <w:lang w:val="es-ES"/>
        </w:rPr>
        <w:t>Cuestiones sobre las que la Conferencia de las Partes podría adoptar medidas en su primera reunión: cuestiones recomendadas por el Comité Intergubernamental de Negociación: ubicación física de la secretaría permanente</w:t>
      </w:r>
    </w:p>
    <w:p w14:paraId="0C470615" w14:textId="77777777" w:rsidR="002A6422" w:rsidRPr="00A12347" w:rsidRDefault="002A6422" w:rsidP="00EA06BC">
      <w:pPr>
        <w:pStyle w:val="BBTitle"/>
        <w:rPr>
          <w:lang w:val="es-ES"/>
        </w:rPr>
      </w:pPr>
      <w:r>
        <w:rPr>
          <w:lang w:val="es-ES"/>
        </w:rPr>
        <w:t>Ubicación física de la secretaría permanente del Convenio de Minamata sobre el Merc</w:t>
      </w:r>
      <w:bookmarkStart w:id="0" w:name="_GoBack"/>
      <w:bookmarkEnd w:id="0"/>
      <w:r>
        <w:rPr>
          <w:lang w:val="es-ES"/>
        </w:rPr>
        <w:t>urio</w:t>
      </w:r>
    </w:p>
    <w:p w14:paraId="1BC110D9" w14:textId="77777777" w:rsidR="002A6422" w:rsidRPr="00EA06BC" w:rsidRDefault="002A6422" w:rsidP="00EA06BC">
      <w:pPr>
        <w:pStyle w:val="CH2"/>
      </w:pPr>
      <w:r>
        <w:rPr>
          <w:lang w:val="es-ES"/>
        </w:rPr>
        <w:tab/>
      </w:r>
      <w:r>
        <w:rPr>
          <w:lang w:val="es-ES"/>
        </w:rPr>
        <w:tab/>
        <w:t>Nota de la secretaría</w:t>
      </w:r>
    </w:p>
    <w:p w14:paraId="24218981" w14:textId="52A066BF" w:rsidR="00E614AC" w:rsidRPr="00A12347" w:rsidRDefault="002A6422" w:rsidP="00EE061C">
      <w:pPr>
        <w:pStyle w:val="Normalnumber"/>
        <w:tabs>
          <w:tab w:val="clear" w:pos="1134"/>
          <w:tab w:val="clear" w:pos="1247"/>
          <w:tab w:val="clear" w:pos="1814"/>
          <w:tab w:val="clear" w:pos="2381"/>
          <w:tab w:val="clear" w:pos="2948"/>
          <w:tab w:val="clear" w:pos="3515"/>
          <w:tab w:val="clear" w:pos="4082"/>
          <w:tab w:val="num" w:pos="624"/>
        </w:tabs>
        <w:rPr>
          <w:lang w:val="es-ES"/>
        </w:rPr>
      </w:pPr>
      <w:r>
        <w:rPr>
          <w:lang w:val="es-ES"/>
        </w:rPr>
        <w:t xml:space="preserve">En el párrafo 9 de su resolución sobre los arreglos para el período de transición (UNEP(DTIE)/Hg/CONF/4, anexo I), la Conferencia de Plenipotenciarios del Convenio de Minamata sobre el Mercurio solicitó al Director Ejecutivo </w:t>
      </w:r>
    </w:p>
    <w:p w14:paraId="58B017AB" w14:textId="6E92A0B3" w:rsidR="002A6422" w:rsidRPr="00A12347" w:rsidRDefault="002A6422" w:rsidP="002910B3">
      <w:pPr>
        <w:pStyle w:val="Normalnumber"/>
        <w:numPr>
          <w:ilvl w:val="0"/>
          <w:numId w:val="0"/>
        </w:numPr>
        <w:ind w:left="1871" w:right="1247"/>
        <w:rPr>
          <w:lang w:val="es-ES"/>
        </w:rPr>
      </w:pPr>
      <w:r>
        <w:rPr>
          <w:lang w:val="es-ES"/>
        </w:rPr>
        <w:t>“que presentase antes de la primera reunión de la Conferencia de las Partes, para que lo examinase el Comité, un informe sobre propuestas acerca de la manera en que desempeñará las funciones de secretaría permanente del Convenio, que incluyese un análisis de opciones que, entre otras cosas, aborden la eficacia, los beneficios en función de los costos, las diferentes ubicaciones de la secretaría, la fusión de la secretaría con la Secretaría del Convenio de Basilea sobre el Control de los Movimientos Transfronterizos de los Desechos Peligrosos y su Eliminación, la Secretaría del Convenio de Estocolmo sobre Contaminantes Orgánicos Persistentes y la Secretaría del Convenio de Rotterdam sobre el Procedimiento de Consentimiento Fundamentado Previo Aplicable a Ciertos Plaguicidas y Productos Químicos Peligrosos Objeto de Comercio Internacional y la utilización de la secretaría provisional”.</w:t>
      </w:r>
    </w:p>
    <w:p w14:paraId="7688D5DB" w14:textId="50812E63" w:rsidR="002A6422" w:rsidRPr="00A12347" w:rsidRDefault="002A6422" w:rsidP="002910B3">
      <w:pPr>
        <w:pStyle w:val="Normalnumber"/>
        <w:tabs>
          <w:tab w:val="clear" w:pos="1134"/>
          <w:tab w:val="clear" w:pos="1247"/>
          <w:tab w:val="clear" w:pos="1814"/>
          <w:tab w:val="clear" w:pos="2381"/>
          <w:tab w:val="clear" w:pos="2948"/>
          <w:tab w:val="clear" w:pos="3515"/>
          <w:tab w:val="clear" w:pos="4082"/>
          <w:tab w:val="num" w:pos="624"/>
        </w:tabs>
        <w:rPr>
          <w:lang w:val="es-ES"/>
        </w:rPr>
      </w:pPr>
      <w:r>
        <w:rPr>
          <w:lang w:val="es-ES"/>
        </w:rPr>
        <w:t>En respuesta a la petición de la Conferencia de Plenipotenciarios, el Director Ejecutivo elaboró, por intermedio de la secretaría provisional y en estrecha consulta con la Secretaría de los Convenios de Basilea, Estocolmo y Rotterdam, un informe sobre las propuestas de la manera en que el Director Ejecutivo desempeñaría las funciones de secretaría del Convenio de Minamata sobre el Mercurio, para que fuera examinado por el Comité Intergubernamental de Negociación en su séptimo período de sesiones.</w:t>
      </w:r>
    </w:p>
    <w:p w14:paraId="7A81317C" w14:textId="5F591484" w:rsidR="002A6422" w:rsidRPr="00A12347" w:rsidRDefault="002A6422">
      <w:pPr>
        <w:pStyle w:val="Normalnumber"/>
        <w:tabs>
          <w:tab w:val="clear" w:pos="1134"/>
          <w:tab w:val="clear" w:pos="1247"/>
          <w:tab w:val="clear" w:pos="1814"/>
          <w:tab w:val="clear" w:pos="2381"/>
          <w:tab w:val="clear" w:pos="2948"/>
          <w:tab w:val="clear" w:pos="3515"/>
          <w:tab w:val="clear" w:pos="4082"/>
          <w:tab w:val="num" w:pos="624"/>
        </w:tabs>
        <w:rPr>
          <w:lang w:val="es-ES"/>
        </w:rPr>
      </w:pPr>
      <w:r>
        <w:rPr>
          <w:lang w:val="es-ES"/>
        </w:rPr>
        <w:t xml:space="preserve">En la forma original que se presentó al Comité Intergubernamental de Negociación en su séptimo período de sesiones (UNEP(DTIE)/Hg/INC.7/15) y que se revisó para la primera reunión de la Conferencia de las Partes (UNEP/MC/COP.1/14), se señalan en el informe del Director Ejecutivo seis </w:t>
      </w:r>
      <w:r>
        <w:rPr>
          <w:lang w:val="es-ES"/>
        </w:rPr>
        <w:lastRenderedPageBreak/>
        <w:t>lugares que podrían considerarse para la secretaría permanente del Convenio de Minamata: Bangkok; Ginebra; Nairobi; Osaka (Japón); Viena; y Washington, D.C.</w:t>
      </w:r>
    </w:p>
    <w:p w14:paraId="495456DC" w14:textId="5937DA13" w:rsidR="002A6422" w:rsidRPr="00A12347" w:rsidRDefault="00EA06BC" w:rsidP="00EA06BC">
      <w:pPr>
        <w:pStyle w:val="CH2"/>
        <w:rPr>
          <w:lang w:val="es-ES"/>
        </w:rPr>
      </w:pPr>
      <w:r>
        <w:rPr>
          <w:lang w:val="es-ES"/>
        </w:rPr>
        <w:tab/>
      </w:r>
      <w:r>
        <w:rPr>
          <w:lang w:val="es-ES"/>
        </w:rPr>
        <w:tab/>
        <w:t>Medida que podría adoptar la Conferencia de las Partes</w:t>
      </w:r>
    </w:p>
    <w:p w14:paraId="439516A8" w14:textId="37CB8E04" w:rsidR="00A12347" w:rsidRDefault="002A6422" w:rsidP="002910B3">
      <w:pPr>
        <w:pStyle w:val="Normalnumber"/>
        <w:tabs>
          <w:tab w:val="clear" w:pos="1134"/>
          <w:tab w:val="clear" w:pos="1247"/>
          <w:tab w:val="clear" w:pos="1814"/>
          <w:tab w:val="clear" w:pos="2381"/>
          <w:tab w:val="clear" w:pos="2948"/>
          <w:tab w:val="clear" w:pos="3515"/>
          <w:tab w:val="clear" w:pos="4082"/>
          <w:tab w:val="num" w:pos="624"/>
        </w:tabs>
        <w:rPr>
          <w:lang w:val="es-ES"/>
        </w:rPr>
      </w:pPr>
      <w:r>
        <w:rPr>
          <w:lang w:val="es-ES"/>
        </w:rPr>
        <w:t xml:space="preserve">La Conferencia de las Partes tal vez deseará examinar la ubicación de la secretaría permanente y adoptar una decisión del tenor del proyecto de decisión que figura en el anexo de la presente nota. </w:t>
      </w:r>
    </w:p>
    <w:p w14:paraId="1713FA76" w14:textId="77777777" w:rsidR="00A12347" w:rsidRDefault="00A12347">
      <w:pPr>
        <w:tabs>
          <w:tab w:val="clear" w:pos="1247"/>
          <w:tab w:val="clear" w:pos="1814"/>
          <w:tab w:val="clear" w:pos="2381"/>
          <w:tab w:val="clear" w:pos="2948"/>
          <w:tab w:val="clear" w:pos="3515"/>
        </w:tabs>
        <w:rPr>
          <w:lang w:val="es-ES"/>
        </w:rPr>
      </w:pPr>
      <w:r>
        <w:rPr>
          <w:lang w:val="es-ES"/>
        </w:rPr>
        <w:br w:type="page"/>
      </w:r>
    </w:p>
    <w:p w14:paraId="254BF1EC" w14:textId="39A754DA" w:rsidR="002A6422" w:rsidRPr="00A12347" w:rsidRDefault="002A6422" w:rsidP="00EA06BC">
      <w:pPr>
        <w:pStyle w:val="ZZAnxheader"/>
        <w:rPr>
          <w:szCs w:val="28"/>
          <w:lang w:val="es-ES"/>
        </w:rPr>
      </w:pPr>
      <w:r>
        <w:rPr>
          <w:lang w:val="es-ES"/>
        </w:rPr>
        <w:t>Anexo</w:t>
      </w:r>
    </w:p>
    <w:p w14:paraId="4A0B07D8" w14:textId="636F000B" w:rsidR="002A6422" w:rsidRPr="00A12347" w:rsidRDefault="002A6422" w:rsidP="00EA06BC">
      <w:pPr>
        <w:pStyle w:val="ZZAnxtitle"/>
        <w:rPr>
          <w:lang w:val="es-ES"/>
        </w:rPr>
      </w:pPr>
      <w:r>
        <w:rPr>
          <w:lang w:val="es-ES"/>
        </w:rPr>
        <w:t>Proyecto de decisión MC-1/[XX]: Ubicación física de la secretaría permanente del Convenio de Minamata sobre el Mercurio</w:t>
      </w:r>
    </w:p>
    <w:p w14:paraId="2438CC00" w14:textId="34617F76" w:rsidR="002A6422" w:rsidRPr="00A12347" w:rsidRDefault="002A6422" w:rsidP="002910B3">
      <w:pPr>
        <w:pStyle w:val="NormalNonumber"/>
        <w:tabs>
          <w:tab w:val="clear" w:pos="1247"/>
          <w:tab w:val="clear" w:pos="1814"/>
          <w:tab w:val="clear" w:pos="2381"/>
          <w:tab w:val="clear" w:pos="2948"/>
          <w:tab w:val="clear" w:pos="3515"/>
          <w:tab w:val="clear" w:pos="4082"/>
        </w:tabs>
        <w:ind w:firstLine="624"/>
        <w:rPr>
          <w:i/>
          <w:lang w:val="es-ES"/>
        </w:rPr>
      </w:pPr>
      <w:r w:rsidRPr="00A12347">
        <w:rPr>
          <w:i/>
          <w:lang w:val="es-ES"/>
        </w:rPr>
        <w:t>La Conferencia de las Partes</w:t>
      </w:r>
    </w:p>
    <w:p w14:paraId="69703437" w14:textId="389D9407" w:rsidR="002A6422" w:rsidRPr="00A12347" w:rsidRDefault="002A6422" w:rsidP="002910B3">
      <w:pPr>
        <w:pStyle w:val="Normal-pool"/>
        <w:tabs>
          <w:tab w:val="clear" w:pos="1247"/>
          <w:tab w:val="clear" w:pos="1814"/>
          <w:tab w:val="clear" w:pos="2381"/>
          <w:tab w:val="clear" w:pos="2948"/>
          <w:tab w:val="clear" w:pos="3515"/>
          <w:tab w:val="clear" w:pos="4082"/>
        </w:tabs>
        <w:spacing w:after="120"/>
        <w:ind w:left="1247" w:firstLine="624"/>
        <w:rPr>
          <w:lang w:val="es-ES"/>
        </w:rPr>
      </w:pPr>
      <w:r w:rsidRPr="00A12347">
        <w:rPr>
          <w:i/>
          <w:lang w:val="es-ES"/>
        </w:rPr>
        <w:t>Decide</w:t>
      </w:r>
      <w:r>
        <w:rPr>
          <w:lang w:val="es-ES"/>
        </w:rPr>
        <w:t xml:space="preserve"> recomendar al Director Ejecutivo del Programa de la</w:t>
      </w:r>
      <w:r w:rsidR="0017092A">
        <w:rPr>
          <w:lang w:val="es-ES"/>
        </w:rPr>
        <w:t>s Naciones Unidas para el Medio </w:t>
      </w:r>
      <w:r>
        <w:rPr>
          <w:lang w:val="es-ES"/>
        </w:rPr>
        <w:t>Ambiente que la secretaría del Convenio de Minamata sobre el Mercurio se ubique en [Bangkok] [Ginebra] [Nairobi] [Osaka (Japón)] [Viena] [Washington, D. C].</w:t>
      </w:r>
    </w:p>
    <w:p w14:paraId="215C4E95" w14:textId="621577CE" w:rsidR="00D013F5" w:rsidRPr="00A12347" w:rsidRDefault="00D013F5" w:rsidP="00690CDE">
      <w:pPr>
        <w:pStyle w:val="Normal-pool"/>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1A0CDF" w14:paraId="6DB0CABC" w14:textId="77777777" w:rsidTr="00990918">
        <w:tc>
          <w:tcPr>
            <w:tcW w:w="1942" w:type="dxa"/>
            <w:shd w:val="clear" w:color="auto" w:fill="auto"/>
          </w:tcPr>
          <w:p w14:paraId="6D3F7C2C" w14:textId="77777777" w:rsidR="00E976AB" w:rsidRPr="00A12347" w:rsidRDefault="00E976AB" w:rsidP="00990918">
            <w:pPr>
              <w:pStyle w:val="Normal-pool"/>
              <w:spacing w:before="520"/>
              <w:rPr>
                <w:lang w:val="es-ES"/>
              </w:rPr>
            </w:pPr>
          </w:p>
        </w:tc>
        <w:tc>
          <w:tcPr>
            <w:tcW w:w="1942" w:type="dxa"/>
            <w:shd w:val="clear" w:color="auto" w:fill="auto"/>
          </w:tcPr>
          <w:p w14:paraId="378BA037" w14:textId="77777777" w:rsidR="00E976AB" w:rsidRPr="00A12347" w:rsidRDefault="00E976AB" w:rsidP="00990918">
            <w:pPr>
              <w:pStyle w:val="Normal-pool"/>
              <w:spacing w:before="520"/>
              <w:rPr>
                <w:lang w:val="es-ES"/>
              </w:rPr>
            </w:pPr>
          </w:p>
        </w:tc>
        <w:tc>
          <w:tcPr>
            <w:tcW w:w="1942" w:type="dxa"/>
            <w:tcBorders>
              <w:bottom w:val="single" w:sz="4" w:space="0" w:color="auto"/>
            </w:tcBorders>
            <w:shd w:val="clear" w:color="auto" w:fill="auto"/>
          </w:tcPr>
          <w:p w14:paraId="028E3E1E" w14:textId="77777777" w:rsidR="00E976AB" w:rsidRPr="00A12347" w:rsidRDefault="00E976AB" w:rsidP="00990918">
            <w:pPr>
              <w:pStyle w:val="Normal-pool"/>
              <w:spacing w:before="520"/>
              <w:rPr>
                <w:lang w:val="es-ES"/>
              </w:rPr>
            </w:pPr>
          </w:p>
        </w:tc>
        <w:tc>
          <w:tcPr>
            <w:tcW w:w="1943" w:type="dxa"/>
            <w:shd w:val="clear" w:color="auto" w:fill="auto"/>
          </w:tcPr>
          <w:p w14:paraId="25F1BA19" w14:textId="77777777" w:rsidR="00E976AB" w:rsidRPr="00A12347" w:rsidRDefault="00E976AB" w:rsidP="00990918">
            <w:pPr>
              <w:pStyle w:val="Normal-pool"/>
              <w:spacing w:before="520"/>
              <w:rPr>
                <w:lang w:val="es-ES"/>
              </w:rPr>
            </w:pPr>
          </w:p>
        </w:tc>
        <w:tc>
          <w:tcPr>
            <w:tcW w:w="1943" w:type="dxa"/>
            <w:shd w:val="clear" w:color="auto" w:fill="auto"/>
          </w:tcPr>
          <w:p w14:paraId="457D2993" w14:textId="77777777" w:rsidR="00E976AB" w:rsidRPr="00A12347" w:rsidRDefault="00E976AB" w:rsidP="00990918">
            <w:pPr>
              <w:pStyle w:val="Normal-pool"/>
              <w:spacing w:before="520"/>
              <w:rPr>
                <w:lang w:val="es-ES"/>
              </w:rPr>
            </w:pPr>
          </w:p>
        </w:tc>
      </w:tr>
    </w:tbl>
    <w:p w14:paraId="325E8270" w14:textId="77777777" w:rsidR="00032E4E" w:rsidRPr="00A12347" w:rsidRDefault="00032E4E" w:rsidP="00D013F5">
      <w:pPr>
        <w:pStyle w:val="Normal-pool"/>
        <w:rPr>
          <w:lang w:val="es-ES"/>
        </w:rPr>
      </w:pPr>
    </w:p>
    <w:sectPr w:rsidR="00032E4E" w:rsidRPr="00A12347"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8D2C" w14:textId="77777777" w:rsidR="00E31D8B" w:rsidRDefault="00E31D8B">
      <w:r>
        <w:separator/>
      </w:r>
    </w:p>
  </w:endnote>
  <w:endnote w:type="continuationSeparator" w:id="0">
    <w:p w14:paraId="2741DF55" w14:textId="77777777" w:rsidR="00E31D8B" w:rsidRDefault="00E3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3C5DE3AB" w:rsidR="00912611" w:rsidRDefault="00912611">
    <w:pPr>
      <w:pStyle w:val="Footer"/>
    </w:pPr>
    <w:r>
      <w:rPr>
        <w:rStyle w:val="PageNumber"/>
      </w:rPr>
      <w:fldChar w:fldCharType="begin"/>
    </w:r>
    <w:r>
      <w:rPr>
        <w:rStyle w:val="PageNumber"/>
      </w:rPr>
      <w:instrText xml:space="preserve"> PAGE </w:instrText>
    </w:r>
    <w:r>
      <w:rPr>
        <w:rStyle w:val="PageNumber"/>
      </w:rPr>
      <w:fldChar w:fldCharType="separate"/>
    </w:r>
    <w:r w:rsidR="00CE129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47BD4E4D" w:rsidR="00912611" w:rsidRDefault="0091261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E1299">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9573" w14:textId="0B15F8A7" w:rsidR="00912611" w:rsidRPr="001A0CDF" w:rsidRDefault="00912611">
    <w:pPr>
      <w:pStyle w:val="Footer"/>
      <w:rPr>
        <w:sz w:val="20"/>
      </w:rPr>
    </w:pPr>
    <w:r w:rsidRPr="001A0CDF">
      <w:rPr>
        <w:sz w:val="20"/>
        <w:lang w:val="es-ES"/>
      </w:rPr>
      <w:t>K170763</w:t>
    </w:r>
    <w:r w:rsidR="001A0CDF">
      <w:rPr>
        <w:sz w:val="20"/>
        <w:lang w:val="es-ES"/>
      </w:rPr>
      <w:t>3</w:t>
    </w:r>
    <w:r w:rsidRPr="001A0CDF">
      <w:rPr>
        <w:sz w:val="20"/>
        <w:lang w:val="es-ES"/>
      </w:rPr>
      <w:tab/>
      <w:t>0</w:t>
    </w:r>
    <w:r w:rsidR="001A0CDF">
      <w:rPr>
        <w:sz w:val="20"/>
        <w:lang w:val="es-ES"/>
      </w:rPr>
      <w:t>7</w:t>
    </w:r>
    <w:r w:rsidRPr="001A0CDF">
      <w:rPr>
        <w:sz w:val="20"/>
        <w:lang w:val="es-ES"/>
      </w:rPr>
      <w:t>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2E28" w14:textId="77777777" w:rsidR="00E31D8B" w:rsidRDefault="00E31D8B" w:rsidP="005308AB">
      <w:pPr>
        <w:spacing w:before="60"/>
        <w:ind w:left="624"/>
      </w:pPr>
      <w:r>
        <w:separator/>
      </w:r>
    </w:p>
  </w:footnote>
  <w:footnote w:type="continuationSeparator" w:id="0">
    <w:p w14:paraId="28F90052" w14:textId="77777777" w:rsidR="00E31D8B" w:rsidRDefault="00E31D8B">
      <w:r>
        <w:continuationSeparator/>
      </w:r>
    </w:p>
  </w:footnote>
  <w:footnote w:id="1">
    <w:p w14:paraId="34F4157C" w14:textId="77777777" w:rsidR="00912611" w:rsidRPr="001A0CDF" w:rsidRDefault="00912611" w:rsidP="005308AB">
      <w:pPr>
        <w:tabs>
          <w:tab w:val="clear" w:pos="1247"/>
          <w:tab w:val="clear" w:pos="1814"/>
          <w:tab w:val="clear" w:pos="2381"/>
          <w:tab w:val="clear" w:pos="2948"/>
          <w:tab w:val="clear" w:pos="3515"/>
          <w:tab w:val="left" w:pos="624"/>
        </w:tabs>
        <w:spacing w:before="20" w:after="40"/>
        <w:ind w:left="1247"/>
        <w:rPr>
          <w:sz w:val="18"/>
          <w:szCs w:val="18"/>
        </w:rPr>
      </w:pPr>
      <w:r w:rsidRPr="001A0CDF">
        <w:rPr>
          <w:sz w:val="18"/>
          <w:szCs w:val="18"/>
          <w:lang w:val="es-ES"/>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3479E20" w:rsidR="00912611" w:rsidRPr="00CA5CA9" w:rsidRDefault="00912611"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18/Rev.1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D8A052B" w:rsidR="00912611" w:rsidRPr="00CA5CA9" w:rsidRDefault="00912611" w:rsidP="00C5773A">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18/Rev.1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9F26634" w:rsidR="00912611" w:rsidRDefault="00912611"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B0D"/>
    <w:multiLevelType w:val="hybridMultilevel"/>
    <w:tmpl w:val="12E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 w:numId="25">
    <w:abstractNumId w:val="0"/>
  </w:num>
  <w:num w:numId="26">
    <w:abstractNumId w:val="4"/>
  </w:num>
  <w:num w:numId="27">
    <w:abstractNumId w:val="4"/>
  </w:num>
  <w:num w:numId="28">
    <w:abstractNumId w:val="4"/>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77AD"/>
    <w:rsid w:val="00011A16"/>
    <w:rsid w:val="000149E6"/>
    <w:rsid w:val="00020F4D"/>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73F9"/>
    <w:rsid w:val="000C2A52"/>
    <w:rsid w:val="000C2A88"/>
    <w:rsid w:val="000D33C0"/>
    <w:rsid w:val="000D4CF6"/>
    <w:rsid w:val="000D6941"/>
    <w:rsid w:val="000F4829"/>
    <w:rsid w:val="00104D46"/>
    <w:rsid w:val="001202E3"/>
    <w:rsid w:val="00123699"/>
    <w:rsid w:val="001241FB"/>
    <w:rsid w:val="0013059D"/>
    <w:rsid w:val="00136187"/>
    <w:rsid w:val="00141A55"/>
    <w:rsid w:val="0014293F"/>
    <w:rsid w:val="0014397D"/>
    <w:rsid w:val="001446A3"/>
    <w:rsid w:val="00145027"/>
    <w:rsid w:val="00152B6B"/>
    <w:rsid w:val="00155395"/>
    <w:rsid w:val="00155A2F"/>
    <w:rsid w:val="00156B6B"/>
    <w:rsid w:val="00160D74"/>
    <w:rsid w:val="001646EA"/>
    <w:rsid w:val="00167313"/>
    <w:rsid w:val="00167D02"/>
    <w:rsid w:val="0017092A"/>
    <w:rsid w:val="001759D8"/>
    <w:rsid w:val="00177D7F"/>
    <w:rsid w:val="00180C3F"/>
    <w:rsid w:val="00181EC8"/>
    <w:rsid w:val="00184349"/>
    <w:rsid w:val="00195F33"/>
    <w:rsid w:val="001A0CDF"/>
    <w:rsid w:val="001A4F5E"/>
    <w:rsid w:val="001B1617"/>
    <w:rsid w:val="001B504B"/>
    <w:rsid w:val="001B6F98"/>
    <w:rsid w:val="001C191A"/>
    <w:rsid w:val="001D3874"/>
    <w:rsid w:val="001D7E75"/>
    <w:rsid w:val="001E0D73"/>
    <w:rsid w:val="001E2CB0"/>
    <w:rsid w:val="001E45BD"/>
    <w:rsid w:val="001E56D2"/>
    <w:rsid w:val="001E7D56"/>
    <w:rsid w:val="001F75DE"/>
    <w:rsid w:val="00200D58"/>
    <w:rsid w:val="002011C1"/>
    <w:rsid w:val="002013BE"/>
    <w:rsid w:val="00201693"/>
    <w:rsid w:val="00201EDC"/>
    <w:rsid w:val="002063A4"/>
    <w:rsid w:val="0021145B"/>
    <w:rsid w:val="00220C23"/>
    <w:rsid w:val="002247F6"/>
    <w:rsid w:val="00225E21"/>
    <w:rsid w:val="00234E78"/>
    <w:rsid w:val="00234ECE"/>
    <w:rsid w:val="00243D36"/>
    <w:rsid w:val="0024468E"/>
    <w:rsid w:val="00246151"/>
    <w:rsid w:val="00247707"/>
    <w:rsid w:val="0026018E"/>
    <w:rsid w:val="00286740"/>
    <w:rsid w:val="002910B3"/>
    <w:rsid w:val="00291EAE"/>
    <w:rsid w:val="002929D8"/>
    <w:rsid w:val="002A237D"/>
    <w:rsid w:val="002A4C53"/>
    <w:rsid w:val="002A6422"/>
    <w:rsid w:val="002A67C5"/>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8DC"/>
    <w:rsid w:val="003019E2"/>
    <w:rsid w:val="00310BEB"/>
    <w:rsid w:val="00312C63"/>
    <w:rsid w:val="0031413F"/>
    <w:rsid w:val="00314854"/>
    <w:rsid w:val="003148BB"/>
    <w:rsid w:val="00317976"/>
    <w:rsid w:val="00320F2F"/>
    <w:rsid w:val="0032457E"/>
    <w:rsid w:val="00325D38"/>
    <w:rsid w:val="0035277E"/>
    <w:rsid w:val="00355EA9"/>
    <w:rsid w:val="003578DE"/>
    <w:rsid w:val="00361688"/>
    <w:rsid w:val="0037284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4F9"/>
    <w:rsid w:val="003D3752"/>
    <w:rsid w:val="003E35DA"/>
    <w:rsid w:val="003E455D"/>
    <w:rsid w:val="003F0E85"/>
    <w:rsid w:val="00410C55"/>
    <w:rsid w:val="00416854"/>
    <w:rsid w:val="00417725"/>
    <w:rsid w:val="0042266F"/>
    <w:rsid w:val="00433145"/>
    <w:rsid w:val="00437F26"/>
    <w:rsid w:val="00444097"/>
    <w:rsid w:val="00445487"/>
    <w:rsid w:val="00447E0D"/>
    <w:rsid w:val="00453EA8"/>
    <w:rsid w:val="00454769"/>
    <w:rsid w:val="00466991"/>
    <w:rsid w:val="0047064C"/>
    <w:rsid w:val="004822B7"/>
    <w:rsid w:val="00486522"/>
    <w:rsid w:val="0049469E"/>
    <w:rsid w:val="004A2217"/>
    <w:rsid w:val="004A24F9"/>
    <w:rsid w:val="004A42E1"/>
    <w:rsid w:val="004B162C"/>
    <w:rsid w:val="004B2ABE"/>
    <w:rsid w:val="004C3DBE"/>
    <w:rsid w:val="004C5C96"/>
    <w:rsid w:val="004D06A4"/>
    <w:rsid w:val="004D62D2"/>
    <w:rsid w:val="004F1A81"/>
    <w:rsid w:val="005050D2"/>
    <w:rsid w:val="005218D9"/>
    <w:rsid w:val="005308AB"/>
    <w:rsid w:val="00536186"/>
    <w:rsid w:val="00544CBB"/>
    <w:rsid w:val="00546349"/>
    <w:rsid w:val="00551B65"/>
    <w:rsid w:val="00556704"/>
    <w:rsid w:val="005656D7"/>
    <w:rsid w:val="0057085C"/>
    <w:rsid w:val="005727B5"/>
    <w:rsid w:val="0057315F"/>
    <w:rsid w:val="00576104"/>
    <w:rsid w:val="00583CBA"/>
    <w:rsid w:val="00586418"/>
    <w:rsid w:val="00592B21"/>
    <w:rsid w:val="005B44BF"/>
    <w:rsid w:val="005C67C8"/>
    <w:rsid w:val="005D0249"/>
    <w:rsid w:val="005D18FA"/>
    <w:rsid w:val="005D4FD4"/>
    <w:rsid w:val="005D69A7"/>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2BC5"/>
    <w:rsid w:val="00654475"/>
    <w:rsid w:val="00656DF0"/>
    <w:rsid w:val="00664CA6"/>
    <w:rsid w:val="00665A4B"/>
    <w:rsid w:val="00690CDE"/>
    <w:rsid w:val="00692E2A"/>
    <w:rsid w:val="0069496A"/>
    <w:rsid w:val="006A76F2"/>
    <w:rsid w:val="006B7D29"/>
    <w:rsid w:val="006D19D4"/>
    <w:rsid w:val="006D5644"/>
    <w:rsid w:val="006D7EFB"/>
    <w:rsid w:val="006E0F9F"/>
    <w:rsid w:val="006E6672"/>
    <w:rsid w:val="006E6722"/>
    <w:rsid w:val="006F7AFF"/>
    <w:rsid w:val="007027B9"/>
    <w:rsid w:val="00704B7B"/>
    <w:rsid w:val="007066B5"/>
    <w:rsid w:val="007145DA"/>
    <w:rsid w:val="00715E88"/>
    <w:rsid w:val="00723DFE"/>
    <w:rsid w:val="00734CAA"/>
    <w:rsid w:val="00740EE2"/>
    <w:rsid w:val="00742680"/>
    <w:rsid w:val="0075533C"/>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5958"/>
    <w:rsid w:val="007D66A8"/>
    <w:rsid w:val="007E003F"/>
    <w:rsid w:val="007E6D47"/>
    <w:rsid w:val="007F0CF8"/>
    <w:rsid w:val="007F62CB"/>
    <w:rsid w:val="008142EC"/>
    <w:rsid w:val="008164F2"/>
    <w:rsid w:val="00821395"/>
    <w:rsid w:val="008233CE"/>
    <w:rsid w:val="00830E26"/>
    <w:rsid w:val="00843576"/>
    <w:rsid w:val="00843B64"/>
    <w:rsid w:val="008478FC"/>
    <w:rsid w:val="00851C51"/>
    <w:rsid w:val="008558AF"/>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12611"/>
    <w:rsid w:val="0092178C"/>
    <w:rsid w:val="00930B88"/>
    <w:rsid w:val="00935376"/>
    <w:rsid w:val="00940DCC"/>
    <w:rsid w:val="0094179A"/>
    <w:rsid w:val="0094459E"/>
    <w:rsid w:val="00944DBC"/>
    <w:rsid w:val="00950977"/>
    <w:rsid w:val="00951A7B"/>
    <w:rsid w:val="00955512"/>
    <w:rsid w:val="009564A6"/>
    <w:rsid w:val="00957EF8"/>
    <w:rsid w:val="009608F5"/>
    <w:rsid w:val="00966A53"/>
    <w:rsid w:val="00967621"/>
    <w:rsid w:val="00967E6A"/>
    <w:rsid w:val="00972997"/>
    <w:rsid w:val="009907B9"/>
    <w:rsid w:val="00990918"/>
    <w:rsid w:val="009A3A83"/>
    <w:rsid w:val="009B4A0F"/>
    <w:rsid w:val="009C11D2"/>
    <w:rsid w:val="009C6C70"/>
    <w:rsid w:val="009C7B0A"/>
    <w:rsid w:val="009D0B63"/>
    <w:rsid w:val="009D4D79"/>
    <w:rsid w:val="009D5CB8"/>
    <w:rsid w:val="009E307E"/>
    <w:rsid w:val="009E33FE"/>
    <w:rsid w:val="009E7940"/>
    <w:rsid w:val="009F0D21"/>
    <w:rsid w:val="00A06D1E"/>
    <w:rsid w:val="00A07870"/>
    <w:rsid w:val="00A07C54"/>
    <w:rsid w:val="00A07F19"/>
    <w:rsid w:val="00A12347"/>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72B75"/>
    <w:rsid w:val="00A8048B"/>
    <w:rsid w:val="00A80611"/>
    <w:rsid w:val="00AA5BF4"/>
    <w:rsid w:val="00AB5340"/>
    <w:rsid w:val="00AC0A89"/>
    <w:rsid w:val="00AC7C96"/>
    <w:rsid w:val="00AE0812"/>
    <w:rsid w:val="00AE237D"/>
    <w:rsid w:val="00AE502A"/>
    <w:rsid w:val="00AE5A23"/>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86D6E"/>
    <w:rsid w:val="00B914E9"/>
    <w:rsid w:val="00B91EE1"/>
    <w:rsid w:val="00B94602"/>
    <w:rsid w:val="00BA0090"/>
    <w:rsid w:val="00BA1A67"/>
    <w:rsid w:val="00BA6A80"/>
    <w:rsid w:val="00BB4ABB"/>
    <w:rsid w:val="00BC62BA"/>
    <w:rsid w:val="00BE252F"/>
    <w:rsid w:val="00BE5B5F"/>
    <w:rsid w:val="00BE7993"/>
    <w:rsid w:val="00C161DE"/>
    <w:rsid w:val="00C26F55"/>
    <w:rsid w:val="00C30C63"/>
    <w:rsid w:val="00C30FF3"/>
    <w:rsid w:val="00C36B8B"/>
    <w:rsid w:val="00C415C1"/>
    <w:rsid w:val="00C4774A"/>
    <w:rsid w:val="00C47DBF"/>
    <w:rsid w:val="00C552FF"/>
    <w:rsid w:val="00C558DA"/>
    <w:rsid w:val="00C55AF3"/>
    <w:rsid w:val="00C5773A"/>
    <w:rsid w:val="00C771A9"/>
    <w:rsid w:val="00C84759"/>
    <w:rsid w:val="00C93096"/>
    <w:rsid w:val="00CA5CA9"/>
    <w:rsid w:val="00CA6C7F"/>
    <w:rsid w:val="00CB007D"/>
    <w:rsid w:val="00CB1B9C"/>
    <w:rsid w:val="00CB60CA"/>
    <w:rsid w:val="00CC0FC7"/>
    <w:rsid w:val="00CC10A6"/>
    <w:rsid w:val="00CC4B23"/>
    <w:rsid w:val="00CC6BBD"/>
    <w:rsid w:val="00CD5EB8"/>
    <w:rsid w:val="00CD6080"/>
    <w:rsid w:val="00CD7044"/>
    <w:rsid w:val="00CE08B9"/>
    <w:rsid w:val="00CE1299"/>
    <w:rsid w:val="00CE3515"/>
    <w:rsid w:val="00CE524C"/>
    <w:rsid w:val="00CF141F"/>
    <w:rsid w:val="00CF4777"/>
    <w:rsid w:val="00CF65C8"/>
    <w:rsid w:val="00D013F5"/>
    <w:rsid w:val="00D05E3F"/>
    <w:rsid w:val="00D067BB"/>
    <w:rsid w:val="00D13133"/>
    <w:rsid w:val="00D1352A"/>
    <w:rsid w:val="00D1638E"/>
    <w:rsid w:val="00D169AF"/>
    <w:rsid w:val="00D200EF"/>
    <w:rsid w:val="00D25175"/>
    <w:rsid w:val="00D25249"/>
    <w:rsid w:val="00D26854"/>
    <w:rsid w:val="00D44172"/>
    <w:rsid w:val="00D47BE3"/>
    <w:rsid w:val="00D5596C"/>
    <w:rsid w:val="00D63B8C"/>
    <w:rsid w:val="00D732AD"/>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1D8B"/>
    <w:rsid w:val="00E32F59"/>
    <w:rsid w:val="00E41908"/>
    <w:rsid w:val="00E46D9A"/>
    <w:rsid w:val="00E565FF"/>
    <w:rsid w:val="00E614AC"/>
    <w:rsid w:val="00E65388"/>
    <w:rsid w:val="00E702C7"/>
    <w:rsid w:val="00E7741D"/>
    <w:rsid w:val="00E808CD"/>
    <w:rsid w:val="00E8348F"/>
    <w:rsid w:val="00E85B7D"/>
    <w:rsid w:val="00E9121B"/>
    <w:rsid w:val="00E9302E"/>
    <w:rsid w:val="00E976AB"/>
    <w:rsid w:val="00EA06BC"/>
    <w:rsid w:val="00EA0AE2"/>
    <w:rsid w:val="00EA39E5"/>
    <w:rsid w:val="00EA57A3"/>
    <w:rsid w:val="00EA7A84"/>
    <w:rsid w:val="00EC2813"/>
    <w:rsid w:val="00EC5A46"/>
    <w:rsid w:val="00EC63E2"/>
    <w:rsid w:val="00ED0225"/>
    <w:rsid w:val="00ED366A"/>
    <w:rsid w:val="00ED6BB7"/>
    <w:rsid w:val="00EE061C"/>
    <w:rsid w:val="00EF22B3"/>
    <w:rsid w:val="00F00544"/>
    <w:rsid w:val="00F02BC0"/>
    <w:rsid w:val="00F03B69"/>
    <w:rsid w:val="00F07A50"/>
    <w:rsid w:val="00F113DA"/>
    <w:rsid w:val="00F266FC"/>
    <w:rsid w:val="00F3037A"/>
    <w:rsid w:val="00F3465A"/>
    <w:rsid w:val="00F34B1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406B4B"/>
  <w15:docId w15:val="{EF65D9E9-B7D9-405C-92F5-B795C81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lang w:eastAsia="zh-CN"/>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 w:type="character" w:customStyle="1" w:styleId="CH2Char">
    <w:name w:val="CH2 Char"/>
    <w:link w:val="CH2"/>
    <w:rsid w:val="002A6422"/>
    <w:rPr>
      <w:b/>
      <w:sz w:val="24"/>
      <w:szCs w:val="24"/>
      <w:lang w:eastAsia="en-US"/>
    </w:rPr>
  </w:style>
  <w:style w:type="character" w:customStyle="1" w:styleId="Normal-poolChar">
    <w:name w:val="Normal-pool Char"/>
    <w:link w:val="Normal-pool"/>
    <w:uiPriority w:val="99"/>
    <w:rsid w:val="002A6422"/>
    <w:rPr>
      <w:lang w:eastAsia="en-US"/>
    </w:rPr>
  </w:style>
  <w:style w:type="character" w:customStyle="1" w:styleId="NormalnumberChar">
    <w:name w:val="Normal_number Char"/>
    <w:link w:val="Normalnumber"/>
    <w:locked/>
    <w:rsid w:val="002A64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9751-D857-462F-A5C6-5E8CB2CE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 Montes</cp:lastModifiedBy>
  <cp:revision>2</cp:revision>
  <cp:lastPrinted>2017-09-07T13:51:00Z</cp:lastPrinted>
  <dcterms:created xsi:type="dcterms:W3CDTF">2017-09-07T13:52:00Z</dcterms:created>
  <dcterms:modified xsi:type="dcterms:W3CDTF">2017-09-07T13:52:00Z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9/7/2017 11:41:06 AM</vt:lpwstr>
  </property>
  <property fmtid="{D5CDD505-2E9C-101B-9397-08002B2CF9AE}" pid="5" name="OriginalDocID">
    <vt:lpwstr>ba5512b6-c3a3-4d63-9d8c-204e8ea9deb4</vt:lpwstr>
  </property>
</Properties>
</file>