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633"/>
        <w:gridCol w:w="3411"/>
      </w:tblGrid>
      <w:tr w:rsidR="0033467C" w14:paraId="49AAE060" w14:textId="77777777" w:rsidTr="00C842FE">
        <w:trPr>
          <w:cantSplit/>
          <w:trHeight w:val="850"/>
          <w:jc w:val="right"/>
        </w:trPr>
        <w:tc>
          <w:tcPr>
            <w:tcW w:w="1668" w:type="dxa"/>
            <w:hideMark/>
          </w:tcPr>
          <w:p w14:paraId="6E11ED38" w14:textId="77777777" w:rsidR="0033467C" w:rsidRDefault="0033467C" w:rsidP="00C842FE">
            <w:pPr>
              <w:rPr>
                <w:rFonts w:ascii="Univers" w:hAnsi="Univers"/>
                <w:b/>
                <w:noProof/>
                <w:sz w:val="27"/>
                <w:szCs w:val="27"/>
              </w:rPr>
            </w:pPr>
            <w:r>
              <w:rPr>
                <w:rFonts w:ascii="Arial" w:hAnsi="Arial" w:cs="Arial"/>
                <w:b/>
                <w:noProof/>
                <w:sz w:val="27"/>
                <w:szCs w:val="27"/>
              </w:rPr>
              <w:t>NACIONES UNIDAS</w:t>
            </w:r>
          </w:p>
        </w:tc>
        <w:tc>
          <w:tcPr>
            <w:tcW w:w="4633" w:type="dxa"/>
          </w:tcPr>
          <w:p w14:paraId="40C66C9D" w14:textId="77777777" w:rsidR="0033467C" w:rsidRDefault="0033467C" w:rsidP="00C842FE">
            <w:pPr>
              <w:rPr>
                <w:rFonts w:ascii="Univers" w:hAnsi="Univers"/>
                <w:b/>
                <w:sz w:val="27"/>
                <w:szCs w:val="27"/>
              </w:rPr>
            </w:pPr>
          </w:p>
        </w:tc>
        <w:tc>
          <w:tcPr>
            <w:tcW w:w="3411" w:type="dxa"/>
            <w:hideMark/>
          </w:tcPr>
          <w:p w14:paraId="174192D6" w14:textId="77777777" w:rsidR="0033467C" w:rsidRDefault="0033467C" w:rsidP="00C842FE">
            <w:pPr>
              <w:jc w:val="right"/>
              <w:rPr>
                <w:rFonts w:ascii="Arial" w:hAnsi="Arial" w:cs="Arial"/>
                <w:b/>
                <w:sz w:val="64"/>
                <w:szCs w:val="64"/>
              </w:rPr>
            </w:pPr>
            <w:r>
              <w:rPr>
                <w:rFonts w:ascii="Arial" w:hAnsi="Arial" w:cs="Arial"/>
                <w:b/>
                <w:sz w:val="64"/>
                <w:szCs w:val="64"/>
              </w:rPr>
              <w:t>MC</w:t>
            </w:r>
          </w:p>
        </w:tc>
      </w:tr>
      <w:tr w:rsidR="0033467C" w14:paraId="2F07AAEB" w14:textId="77777777" w:rsidTr="00C842FE">
        <w:trPr>
          <w:cantSplit/>
          <w:trHeight w:val="281"/>
          <w:jc w:val="right"/>
        </w:trPr>
        <w:tc>
          <w:tcPr>
            <w:tcW w:w="1668" w:type="dxa"/>
            <w:tcBorders>
              <w:top w:val="nil"/>
              <w:left w:val="nil"/>
              <w:bottom w:val="single" w:sz="4" w:space="0" w:color="auto"/>
              <w:right w:val="nil"/>
            </w:tcBorders>
          </w:tcPr>
          <w:p w14:paraId="3B6EAB67" w14:textId="77777777" w:rsidR="0033467C" w:rsidRDefault="0033467C" w:rsidP="00C842FE">
            <w:pPr>
              <w:rPr>
                <w:noProof/>
                <w:sz w:val="18"/>
                <w:szCs w:val="18"/>
              </w:rPr>
            </w:pPr>
          </w:p>
        </w:tc>
        <w:tc>
          <w:tcPr>
            <w:tcW w:w="4633" w:type="dxa"/>
            <w:tcBorders>
              <w:top w:val="nil"/>
              <w:left w:val="nil"/>
              <w:bottom w:val="single" w:sz="4" w:space="0" w:color="auto"/>
              <w:right w:val="nil"/>
            </w:tcBorders>
          </w:tcPr>
          <w:p w14:paraId="1FB250CF" w14:textId="77777777" w:rsidR="0033467C" w:rsidRDefault="0033467C" w:rsidP="00C842FE">
            <w:pPr>
              <w:rPr>
                <w:rFonts w:ascii="Univers" w:hAnsi="Univers"/>
                <w:b/>
                <w:sz w:val="18"/>
                <w:szCs w:val="18"/>
              </w:rPr>
            </w:pPr>
          </w:p>
        </w:tc>
        <w:tc>
          <w:tcPr>
            <w:tcW w:w="3411" w:type="dxa"/>
            <w:tcBorders>
              <w:top w:val="nil"/>
              <w:left w:val="nil"/>
              <w:bottom w:val="single" w:sz="4" w:space="0" w:color="auto"/>
              <w:right w:val="nil"/>
            </w:tcBorders>
            <w:hideMark/>
          </w:tcPr>
          <w:p w14:paraId="16D2C621" w14:textId="5C0CB8AD" w:rsidR="0033467C" w:rsidRDefault="0033467C" w:rsidP="00C842FE">
            <w:pPr>
              <w:rPr>
                <w:noProof/>
                <w:sz w:val="18"/>
                <w:szCs w:val="18"/>
              </w:rPr>
            </w:pPr>
            <w:r>
              <w:rPr>
                <w:b/>
                <w:bCs/>
                <w:sz w:val="28"/>
              </w:rPr>
              <w:t>UNEP</w:t>
            </w:r>
            <w:r w:rsidRPr="002E6754">
              <w:rPr>
                <w:b/>
                <w:bCs/>
              </w:rPr>
              <w:t>/</w:t>
            </w:r>
            <w:r>
              <w:t>MC/COP.1/10</w:t>
            </w:r>
          </w:p>
        </w:tc>
      </w:tr>
      <w:tr w:rsidR="0033467C" w:rsidRPr="002E6754" w14:paraId="58930F49" w14:textId="77777777" w:rsidTr="00C842FE">
        <w:trPr>
          <w:cantSplit/>
          <w:trHeight w:val="2549"/>
          <w:jc w:val="right"/>
        </w:trPr>
        <w:tc>
          <w:tcPr>
            <w:tcW w:w="1668" w:type="dxa"/>
            <w:tcBorders>
              <w:top w:val="single" w:sz="4" w:space="0" w:color="auto"/>
              <w:left w:val="nil"/>
              <w:bottom w:val="single" w:sz="24" w:space="0" w:color="auto"/>
              <w:right w:val="nil"/>
            </w:tcBorders>
            <w:hideMark/>
          </w:tcPr>
          <w:p w14:paraId="5434C56C" w14:textId="77777777" w:rsidR="0033467C" w:rsidRDefault="0033467C" w:rsidP="00C842FE">
            <w:pPr>
              <w:rPr>
                <w:noProof/>
              </w:rPr>
            </w:pPr>
            <w:r>
              <w:rPr>
                <w:noProof/>
              </w:rPr>
              <w:object w:dxaOrig="1305" w:dyaOrig="1215" w14:anchorId="128E0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pt" o:ole="" fillcolor="window">
                  <v:imagedata r:id="rId9" o:title=""/>
                </v:shape>
                <o:OLEObject Type="Embed" ProgID="Word.Picture.8" ShapeID="_x0000_i1025" DrawAspect="Content" ObjectID="_1559543301" r:id="rId10"/>
              </w:object>
            </w:r>
            <w:r>
              <w:rPr>
                <w:noProof/>
                <w:lang w:val="en-US"/>
              </w:rPr>
              <w:drawing>
                <wp:inline distT="0" distB="0" distL="0" distR="0" wp14:anchorId="1CBE4C0C" wp14:editId="4B782ABF">
                  <wp:extent cx="723265" cy="771525"/>
                  <wp:effectExtent l="0" t="0" r="635" b="9525"/>
                  <wp:docPr id="1"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14:paraId="0786A817" w14:textId="77777777" w:rsidR="0033467C" w:rsidRPr="000D22CD" w:rsidRDefault="0033467C" w:rsidP="00C842FE">
            <w:pPr>
              <w:spacing w:before="1200"/>
              <w:rPr>
                <w:rFonts w:ascii="Arial" w:hAnsi="Arial" w:cs="Arial"/>
                <w:b/>
                <w:sz w:val="28"/>
                <w:lang w:val="es-ES"/>
              </w:rPr>
            </w:pPr>
            <w:r w:rsidRPr="000D22CD">
              <w:rPr>
                <w:rFonts w:ascii="Arial" w:hAnsi="Arial" w:cs="Arial"/>
                <w:b/>
                <w:sz w:val="32"/>
                <w:szCs w:val="32"/>
                <w:lang w:val="es-ES"/>
              </w:rPr>
              <w:t xml:space="preserve">Programa de las </w:t>
            </w:r>
            <w:r>
              <w:rPr>
                <w:rFonts w:ascii="Arial" w:hAnsi="Arial" w:cs="Arial"/>
                <w:b/>
                <w:sz w:val="32"/>
                <w:szCs w:val="32"/>
                <w:lang w:val="es-ES"/>
              </w:rPr>
              <w:br/>
            </w:r>
            <w:r w:rsidRPr="000D22CD">
              <w:rPr>
                <w:rFonts w:ascii="Arial" w:hAnsi="Arial" w:cs="Arial"/>
                <w:b/>
                <w:sz w:val="32"/>
                <w:szCs w:val="32"/>
                <w:lang w:val="es-ES"/>
              </w:rPr>
              <w:t>Naciones Unidas</w:t>
            </w:r>
            <w:r>
              <w:rPr>
                <w:rFonts w:ascii="Arial" w:hAnsi="Arial" w:cs="Arial"/>
                <w:b/>
                <w:sz w:val="32"/>
                <w:szCs w:val="32"/>
                <w:lang w:val="es-ES"/>
              </w:rPr>
              <w:t xml:space="preserve"> para </w:t>
            </w:r>
            <w:bookmarkStart w:id="0" w:name="_GoBack"/>
            <w:bookmarkEnd w:id="0"/>
            <w:r>
              <w:rPr>
                <w:rFonts w:ascii="Arial" w:hAnsi="Arial" w:cs="Arial"/>
                <w:b/>
                <w:sz w:val="32"/>
                <w:szCs w:val="32"/>
                <w:lang w:val="es-ES"/>
              </w:rPr>
              <w:t>el Medio Ambiente</w:t>
            </w:r>
          </w:p>
        </w:tc>
        <w:tc>
          <w:tcPr>
            <w:tcW w:w="3411" w:type="dxa"/>
            <w:tcBorders>
              <w:top w:val="single" w:sz="4" w:space="0" w:color="auto"/>
              <w:left w:val="nil"/>
              <w:bottom w:val="single" w:sz="24" w:space="0" w:color="auto"/>
              <w:right w:val="nil"/>
            </w:tcBorders>
            <w:hideMark/>
          </w:tcPr>
          <w:p w14:paraId="53EB2464" w14:textId="0E4D534C" w:rsidR="0033467C" w:rsidRPr="000D22CD" w:rsidRDefault="0033467C" w:rsidP="00C842FE">
            <w:pPr>
              <w:spacing w:before="120"/>
              <w:rPr>
                <w:lang w:val="es-ES"/>
              </w:rPr>
            </w:pPr>
            <w:proofErr w:type="spellStart"/>
            <w:r w:rsidRPr="000D22CD">
              <w:rPr>
                <w:lang w:val="es-ES"/>
              </w:rPr>
              <w:t>Distr</w:t>
            </w:r>
            <w:proofErr w:type="spellEnd"/>
            <w:r w:rsidRPr="000D22CD">
              <w:rPr>
                <w:lang w:val="es-ES"/>
              </w:rPr>
              <w:t>.</w:t>
            </w:r>
            <w:r>
              <w:rPr>
                <w:lang w:val="es-ES"/>
              </w:rPr>
              <w:t xml:space="preserve"> g</w:t>
            </w:r>
            <w:r w:rsidRPr="000D22CD">
              <w:rPr>
                <w:lang w:val="es-ES"/>
              </w:rPr>
              <w:t>eneral</w:t>
            </w:r>
            <w:r w:rsidRPr="000D22CD">
              <w:rPr>
                <w:lang w:val="es-ES"/>
              </w:rPr>
              <w:br w:type="textWrapping" w:clear="all"/>
            </w:r>
            <w:r>
              <w:rPr>
                <w:lang w:val="es-ES"/>
              </w:rPr>
              <w:t>13</w:t>
            </w:r>
            <w:r w:rsidRPr="000D22CD">
              <w:rPr>
                <w:lang w:val="es-ES"/>
              </w:rPr>
              <w:t xml:space="preserve"> </w:t>
            </w:r>
            <w:r>
              <w:rPr>
                <w:lang w:val="es-ES"/>
              </w:rPr>
              <w:t>de abril de</w:t>
            </w:r>
            <w:r w:rsidRPr="000D22CD">
              <w:rPr>
                <w:lang w:val="es-ES"/>
              </w:rPr>
              <w:t xml:space="preserve"> 2017</w:t>
            </w:r>
          </w:p>
          <w:p w14:paraId="7EDFE658" w14:textId="77777777" w:rsidR="0033467C" w:rsidRDefault="0033467C" w:rsidP="00C842FE">
            <w:pPr>
              <w:spacing w:before="240"/>
              <w:rPr>
                <w:lang w:val="es-ES"/>
              </w:rPr>
            </w:pPr>
            <w:r>
              <w:rPr>
                <w:lang w:val="es-ES"/>
              </w:rPr>
              <w:t>Español</w:t>
            </w:r>
            <w:r w:rsidRPr="000D22CD">
              <w:rPr>
                <w:lang w:val="es-ES"/>
              </w:rPr>
              <w:t xml:space="preserve"> </w:t>
            </w:r>
            <w:r>
              <w:rPr>
                <w:lang w:val="es-ES"/>
              </w:rPr>
              <w:br/>
            </w:r>
            <w:r w:rsidRPr="000D22CD">
              <w:rPr>
                <w:lang w:val="es-ES"/>
              </w:rPr>
              <w:t xml:space="preserve">Original: </w:t>
            </w:r>
            <w:r>
              <w:rPr>
                <w:lang w:val="es-ES"/>
              </w:rPr>
              <w:t>inglés</w:t>
            </w:r>
          </w:p>
          <w:p w14:paraId="6E94ABE3" w14:textId="77777777" w:rsidR="0033467C" w:rsidRPr="000D22CD" w:rsidRDefault="0033467C" w:rsidP="00C842FE">
            <w:pPr>
              <w:spacing w:before="240"/>
              <w:rPr>
                <w:lang w:val="es-ES"/>
              </w:rPr>
            </w:pPr>
          </w:p>
        </w:tc>
      </w:tr>
    </w:tbl>
    <w:p w14:paraId="0A4BFFDA" w14:textId="0ABE027E" w:rsidR="00E976AB" w:rsidRPr="005027FA" w:rsidRDefault="00CB007D" w:rsidP="00E976AB">
      <w:pPr>
        <w:pStyle w:val="AATitle"/>
        <w:keepNext w:val="0"/>
        <w:keepLines w:val="0"/>
        <w:rPr>
          <w:lang w:val="es-ES"/>
        </w:rPr>
      </w:pPr>
      <w:r>
        <w:rPr>
          <w:lang w:val="es-ES"/>
        </w:rPr>
        <w:t>Conferencia de las Partes en el Convenio de Minamata sobre el Mercurio</w:t>
      </w:r>
    </w:p>
    <w:p w14:paraId="26A6CAA0" w14:textId="77777777" w:rsidR="00E976AB" w:rsidRPr="005027FA" w:rsidRDefault="00787688" w:rsidP="00E976AB">
      <w:pPr>
        <w:pStyle w:val="AATitle"/>
        <w:keepNext w:val="0"/>
        <w:keepLines w:val="0"/>
        <w:rPr>
          <w:lang w:val="es-ES"/>
        </w:rPr>
      </w:pPr>
      <w:r>
        <w:rPr>
          <w:lang w:val="es-ES"/>
        </w:rPr>
        <w:t>Primera reunión</w:t>
      </w:r>
    </w:p>
    <w:p w14:paraId="67B82F12" w14:textId="36780F78" w:rsidR="00787688" w:rsidRPr="005027FA" w:rsidRDefault="00787688" w:rsidP="00787688">
      <w:pPr>
        <w:pStyle w:val="AATitle"/>
        <w:rPr>
          <w:b w:val="0"/>
          <w:lang w:val="es-ES"/>
        </w:rPr>
      </w:pPr>
      <w:r w:rsidRPr="005027FA">
        <w:rPr>
          <w:b w:val="0"/>
          <w:lang w:val="es-ES"/>
        </w:rPr>
        <w:t>Ginebra, 24 a 29 de septiembre de 2017</w:t>
      </w:r>
    </w:p>
    <w:p w14:paraId="55E86FDE" w14:textId="77777777" w:rsidR="00690CDE" w:rsidRPr="005027FA" w:rsidRDefault="00690CDE" w:rsidP="00690CDE">
      <w:pPr>
        <w:pStyle w:val="AATitle"/>
        <w:keepNext w:val="0"/>
        <w:keepLines w:val="0"/>
        <w:rPr>
          <w:b w:val="0"/>
          <w:lang w:val="es-ES"/>
        </w:rPr>
      </w:pPr>
      <w:r w:rsidRPr="005027FA">
        <w:rPr>
          <w:b w:val="0"/>
          <w:lang w:val="es-ES"/>
        </w:rPr>
        <w:t>Tema 5 a) v) del programa provisional</w:t>
      </w:r>
      <w:r w:rsidRPr="005027FA">
        <w:rPr>
          <w:b w:val="0"/>
          <w:lang w:val="es-ES"/>
        </w:rPr>
        <w:footnoteReference w:customMarkFollows="1" w:id="1"/>
        <w:t>*</w:t>
      </w:r>
    </w:p>
    <w:p w14:paraId="3672619C" w14:textId="69E700DE" w:rsidR="00690CDE" w:rsidRPr="005027FA" w:rsidRDefault="00690CDE" w:rsidP="0033467C">
      <w:pPr>
        <w:pStyle w:val="AATitle2"/>
        <w:spacing w:before="60"/>
        <w:ind w:right="4253"/>
        <w:rPr>
          <w:lang w:val="es-ES"/>
        </w:rPr>
      </w:pPr>
      <w:r>
        <w:rPr>
          <w:lang w:val="es-ES"/>
        </w:rPr>
        <w:t>Cuestiones sobre las que la Conferencia de las Partes podría adoptar medidas en su primera reunión: cuestiones estipuladas en el Convenio: composición del Comité de Aplicación y Cumplimiento, como se indica en el párrafo 3 del artículo 15</w:t>
      </w:r>
    </w:p>
    <w:p w14:paraId="5EA1E245" w14:textId="5E193544" w:rsidR="00690CDE" w:rsidRPr="005027FA" w:rsidRDefault="00690CDE" w:rsidP="00690CDE">
      <w:pPr>
        <w:pStyle w:val="BBTitle"/>
        <w:rPr>
          <w:lang w:val="es-ES"/>
        </w:rPr>
      </w:pPr>
      <w:r>
        <w:rPr>
          <w:lang w:val="es-ES"/>
        </w:rPr>
        <w:t>Composición del Comité de Aplicación y Cumplimiento, como se indica en el párrafo 3 del artículo 15</w:t>
      </w:r>
    </w:p>
    <w:p w14:paraId="03725866" w14:textId="77777777" w:rsidR="00690CDE" w:rsidRPr="0015219A" w:rsidRDefault="00690CDE" w:rsidP="00690CDE">
      <w:pPr>
        <w:pStyle w:val="CH2"/>
      </w:pPr>
      <w:r>
        <w:rPr>
          <w:lang w:val="es-ES"/>
        </w:rPr>
        <w:tab/>
      </w:r>
      <w:r>
        <w:rPr>
          <w:lang w:val="es-ES"/>
        </w:rPr>
        <w:tab/>
        <w:t>Nota de la secretaría</w:t>
      </w:r>
    </w:p>
    <w:p w14:paraId="54B5E0AC" w14:textId="5BC7FFB5" w:rsidR="00690CDE" w:rsidRPr="005027FA" w:rsidRDefault="00F34B1A" w:rsidP="0033467C">
      <w:pPr>
        <w:pStyle w:val="Normalnumber"/>
        <w:numPr>
          <w:ilvl w:val="0"/>
          <w:numId w:val="1"/>
        </w:numPr>
        <w:tabs>
          <w:tab w:val="clear" w:pos="1134"/>
          <w:tab w:val="clear" w:pos="1247"/>
          <w:tab w:val="clear" w:pos="1814"/>
          <w:tab w:val="clear" w:pos="2381"/>
          <w:tab w:val="clear" w:pos="2948"/>
          <w:tab w:val="clear" w:pos="3515"/>
          <w:tab w:val="clear" w:pos="4082"/>
        </w:tabs>
        <w:rPr>
          <w:lang w:val="es-ES"/>
        </w:rPr>
      </w:pPr>
      <w:r>
        <w:rPr>
          <w:lang w:val="es-ES"/>
        </w:rPr>
        <w:t xml:space="preserve">En el párrafo 1 del artículo 15 del Convenio de Minamata sobre el Mercurio, relativo al Comité de Aplicación y Cumplimiento, las Partes en el Convenio establecieron un Comité como órgano subsidiario de la Conferencia de las Partes con el fin de promover la aplicación y examinar el cumplimiento de todas las disposiciones del Convenio. </w:t>
      </w:r>
    </w:p>
    <w:p w14:paraId="60791959" w14:textId="6CB4D8D1" w:rsidR="00690CDE" w:rsidRPr="005027FA" w:rsidRDefault="00690CDE" w:rsidP="0033467C">
      <w:pPr>
        <w:pStyle w:val="Normalnumber"/>
        <w:numPr>
          <w:ilvl w:val="0"/>
          <w:numId w:val="1"/>
        </w:numPr>
        <w:tabs>
          <w:tab w:val="clear" w:pos="1134"/>
          <w:tab w:val="clear" w:pos="1247"/>
          <w:tab w:val="clear" w:pos="1814"/>
          <w:tab w:val="clear" w:pos="2381"/>
          <w:tab w:val="clear" w:pos="2948"/>
          <w:tab w:val="clear" w:pos="3515"/>
          <w:tab w:val="clear" w:pos="4082"/>
        </w:tabs>
        <w:rPr>
          <w:lang w:val="es-ES"/>
        </w:rPr>
      </w:pPr>
      <w:r>
        <w:rPr>
          <w:lang w:val="es-ES"/>
        </w:rPr>
        <w:t>En el párrafo 3 del mismo artículo se estipula que el Comité estará integrado por 15 miembros propuestos por las Partes y elegidos por la Conferencia de las Partes teniendo debidamente en cuenta la representación geográfica equitativa de las</w:t>
      </w:r>
      <w:r w:rsidR="0033467C">
        <w:rPr>
          <w:lang w:val="es-ES"/>
        </w:rPr>
        <w:t xml:space="preserve"> cinco regiones de las Naciones </w:t>
      </w:r>
      <w:r>
        <w:rPr>
          <w:lang w:val="es-ES"/>
        </w:rPr>
        <w:t xml:space="preserve">Unidas, y que los primeros miembros del Comité serán elegidos en la primera reunión de la Conferencia de las Partes y, posteriormente, se elegirán de conformidad con el reglamento del Comité, que será aprobado por la Conferencia de las Partes en su segunda reunión. En el párrafo 3 también se especifica que los miembros del Comité tendrán competencia en una esfera de interés para el Convenio y reflejarán un equilibrio apropiado de conocimientos especializados. </w:t>
      </w:r>
    </w:p>
    <w:p w14:paraId="26DE3C86" w14:textId="2578D11A" w:rsidR="00690CDE" w:rsidRPr="005027FA" w:rsidRDefault="00690CDE" w:rsidP="00690CDE">
      <w:pPr>
        <w:pStyle w:val="CH2"/>
        <w:keepNext w:val="0"/>
        <w:keepLines w:val="0"/>
        <w:rPr>
          <w:bCs/>
          <w:lang w:val="es-ES"/>
        </w:rPr>
      </w:pPr>
      <w:r>
        <w:rPr>
          <w:lang w:val="es-ES"/>
        </w:rPr>
        <w:tab/>
      </w:r>
      <w:r>
        <w:rPr>
          <w:lang w:val="es-ES"/>
        </w:rPr>
        <w:tab/>
        <w:t>Medida que podría adoptar la Conferencia de las Partes</w:t>
      </w:r>
    </w:p>
    <w:p w14:paraId="62D0877F" w14:textId="3666C9F4" w:rsidR="00690CDE" w:rsidRPr="005027FA" w:rsidRDefault="00690CDE" w:rsidP="0033467C">
      <w:pPr>
        <w:pStyle w:val="Normalnumber"/>
        <w:numPr>
          <w:ilvl w:val="0"/>
          <w:numId w:val="1"/>
        </w:numPr>
        <w:tabs>
          <w:tab w:val="clear" w:pos="1134"/>
          <w:tab w:val="clear" w:pos="1247"/>
          <w:tab w:val="clear" w:pos="1814"/>
          <w:tab w:val="clear" w:pos="2381"/>
          <w:tab w:val="clear" w:pos="2948"/>
          <w:tab w:val="clear" w:pos="3515"/>
          <w:tab w:val="clear" w:pos="4082"/>
        </w:tabs>
        <w:rPr>
          <w:lang w:val="es-ES"/>
        </w:rPr>
      </w:pPr>
      <w:r>
        <w:rPr>
          <w:lang w:val="es-ES"/>
        </w:rPr>
        <w:t>Sobre la base de las candidaturas presentadas por las Partes, la Conferencia de las Partes tal vez deseará elegir a los primeros miembros del Comité de Aplicación y Cumplimiento y adoptar una decisión del tenor de la que figura en el anexo de la presente nota.</w:t>
      </w:r>
    </w:p>
    <w:p w14:paraId="74EB08FF" w14:textId="0BCBFC2E" w:rsidR="00690CDE" w:rsidRPr="005027FA" w:rsidRDefault="00690CDE">
      <w:pPr>
        <w:tabs>
          <w:tab w:val="clear" w:pos="1247"/>
          <w:tab w:val="clear" w:pos="1814"/>
          <w:tab w:val="clear" w:pos="2381"/>
          <w:tab w:val="clear" w:pos="2948"/>
          <w:tab w:val="clear" w:pos="3515"/>
        </w:tabs>
        <w:rPr>
          <w:b/>
          <w:sz w:val="28"/>
          <w:szCs w:val="28"/>
          <w:lang w:val="es-ES"/>
        </w:rPr>
      </w:pPr>
      <w:r w:rsidRPr="005027FA">
        <w:rPr>
          <w:lang w:val="es-ES"/>
        </w:rPr>
        <w:br w:type="page"/>
      </w:r>
    </w:p>
    <w:p w14:paraId="2CCD4174" w14:textId="1CE4E3B4" w:rsidR="00690CDE" w:rsidRPr="005027FA" w:rsidRDefault="00690CDE" w:rsidP="00690CDE">
      <w:pPr>
        <w:pStyle w:val="ZZAnxheader"/>
        <w:rPr>
          <w:lang w:val="es-ES"/>
        </w:rPr>
      </w:pPr>
      <w:r>
        <w:rPr>
          <w:lang w:val="es-ES"/>
        </w:rPr>
        <w:lastRenderedPageBreak/>
        <w:t xml:space="preserve">Anexo </w:t>
      </w:r>
    </w:p>
    <w:p w14:paraId="5954BE74" w14:textId="47B7B57D" w:rsidR="00690CDE" w:rsidRPr="005027FA" w:rsidRDefault="005727B5" w:rsidP="00690CDE">
      <w:pPr>
        <w:pStyle w:val="ZZAnxtitle"/>
        <w:rPr>
          <w:lang w:val="es-ES"/>
        </w:rPr>
      </w:pPr>
      <w:r>
        <w:rPr>
          <w:lang w:val="es-ES"/>
        </w:rPr>
        <w:t>Proyecto de decisión MC</w:t>
      </w:r>
      <w:r w:rsidR="0033467C">
        <w:rPr>
          <w:lang w:val="es-ES"/>
        </w:rPr>
        <w:noBreakHyphen/>
      </w:r>
      <w:r>
        <w:rPr>
          <w:lang w:val="es-ES"/>
        </w:rPr>
        <w:t>1</w:t>
      </w:r>
      <w:r w:rsidR="005027FA">
        <w:rPr>
          <w:lang w:val="es-ES"/>
        </w:rPr>
        <w:t>/</w:t>
      </w:r>
      <w:r w:rsidR="000656C0">
        <w:rPr>
          <w:lang w:val="es-ES"/>
        </w:rPr>
        <w:sym w:font="Symbol" w:char="F05B"/>
      </w:r>
      <w:r>
        <w:rPr>
          <w:lang w:val="es-ES"/>
        </w:rPr>
        <w:t>X</w:t>
      </w:r>
      <w:r w:rsidR="00424C37">
        <w:rPr>
          <w:lang w:val="es-ES"/>
        </w:rPr>
        <w:t>X</w:t>
      </w:r>
      <w:r w:rsidR="000656C0">
        <w:rPr>
          <w:lang w:val="es-ES"/>
        </w:rPr>
        <w:sym w:font="Symbol" w:char="F05D"/>
      </w:r>
      <w:r>
        <w:rPr>
          <w:lang w:val="es-ES"/>
        </w:rPr>
        <w:t>: Composición del Comité de Aplicación y Cumplimiento, como se indica en el párrafo 3 del artículo 15</w:t>
      </w:r>
    </w:p>
    <w:p w14:paraId="231B54A4" w14:textId="7E8EAA46" w:rsidR="00690CDE" w:rsidRPr="005027FA" w:rsidRDefault="00690CDE" w:rsidP="00690CDE">
      <w:pPr>
        <w:pStyle w:val="NormalNonumber"/>
        <w:tabs>
          <w:tab w:val="clear" w:pos="1247"/>
          <w:tab w:val="clear" w:pos="1814"/>
          <w:tab w:val="clear" w:pos="2381"/>
          <w:tab w:val="clear" w:pos="2948"/>
          <w:tab w:val="clear" w:pos="3515"/>
          <w:tab w:val="left" w:pos="624"/>
        </w:tabs>
        <w:ind w:right="57"/>
        <w:rPr>
          <w:i/>
          <w:lang w:val="es-ES"/>
        </w:rPr>
      </w:pPr>
      <w:r>
        <w:rPr>
          <w:i/>
          <w:iCs/>
          <w:lang w:val="es-ES"/>
        </w:rPr>
        <w:t>La Conferencia de las Partes</w:t>
      </w:r>
    </w:p>
    <w:p w14:paraId="6A8ACBA7" w14:textId="76A15CF1" w:rsidR="00690CDE" w:rsidRPr="005027FA" w:rsidRDefault="00690CDE" w:rsidP="00690CDE">
      <w:pPr>
        <w:pStyle w:val="Normal-pool"/>
        <w:spacing w:after="120"/>
        <w:ind w:left="1247"/>
        <w:rPr>
          <w:lang w:val="es-ES"/>
        </w:rPr>
      </w:pPr>
      <w:r>
        <w:rPr>
          <w:i/>
          <w:iCs/>
          <w:lang w:val="es-ES"/>
        </w:rPr>
        <w:t xml:space="preserve">Nombra, </w:t>
      </w:r>
      <w:r>
        <w:rPr>
          <w:lang w:val="es-ES"/>
        </w:rPr>
        <w:t xml:space="preserve">de conformidad con el párrafo 3 del artículo 15 del Convenio de Minamata sobre el Mercurio, a los siguientes miembros para que integren el Comité para promover la aplicación y examinar el cumplimiento de todas las disposiciones del Convenio: </w:t>
      </w:r>
    </w:p>
    <w:p w14:paraId="69B3A8B9" w14:textId="77777777" w:rsidR="00690CDE" w:rsidRPr="005027FA" w:rsidRDefault="00690CDE" w:rsidP="00690CDE">
      <w:pPr>
        <w:pStyle w:val="Normal-pool"/>
        <w:spacing w:after="120"/>
        <w:ind w:left="1247"/>
        <w:rPr>
          <w:color w:val="000000"/>
          <w:lang w:val="es-ES"/>
        </w:rPr>
      </w:pPr>
      <w:r>
        <w:rPr>
          <w:lang w:val="es-ES"/>
        </w:rPr>
        <w:t>Región de África: [</w:t>
      </w:r>
      <w:r w:rsidRPr="0033467C">
        <w:rPr>
          <w:i/>
          <w:lang w:val="es-ES"/>
        </w:rPr>
        <w:t>se completará</w:t>
      </w:r>
      <w:r>
        <w:rPr>
          <w:lang w:val="es-ES"/>
        </w:rPr>
        <w:t>]</w:t>
      </w:r>
    </w:p>
    <w:p w14:paraId="2C5C9FFE" w14:textId="57A439CA" w:rsidR="00690CDE" w:rsidRPr="005027FA" w:rsidRDefault="00690CDE" w:rsidP="00690CDE">
      <w:pPr>
        <w:pStyle w:val="Normal-pool"/>
        <w:spacing w:after="120"/>
        <w:ind w:left="1247"/>
        <w:rPr>
          <w:color w:val="000000"/>
          <w:lang w:val="es-ES"/>
        </w:rPr>
      </w:pPr>
      <w:r>
        <w:rPr>
          <w:lang w:val="es-ES"/>
        </w:rPr>
        <w:t>Región de Asia</w:t>
      </w:r>
      <w:r w:rsidR="00424C37">
        <w:rPr>
          <w:lang w:val="es-ES"/>
        </w:rPr>
        <w:t xml:space="preserve"> y el Pacífico</w:t>
      </w:r>
      <w:r>
        <w:rPr>
          <w:lang w:val="es-ES"/>
        </w:rPr>
        <w:t>: [</w:t>
      </w:r>
      <w:r w:rsidRPr="0033467C">
        <w:rPr>
          <w:i/>
          <w:lang w:val="es-ES"/>
        </w:rPr>
        <w:t>se completará</w:t>
      </w:r>
      <w:r>
        <w:rPr>
          <w:lang w:val="es-ES"/>
        </w:rPr>
        <w:t>]</w:t>
      </w:r>
    </w:p>
    <w:p w14:paraId="7872A47E" w14:textId="77777777" w:rsidR="00690CDE" w:rsidRPr="005027FA" w:rsidRDefault="00690CDE" w:rsidP="00690CDE">
      <w:pPr>
        <w:pStyle w:val="Normal-pool"/>
        <w:spacing w:after="120"/>
        <w:ind w:left="1247"/>
        <w:rPr>
          <w:color w:val="000000"/>
          <w:lang w:val="es-ES"/>
        </w:rPr>
      </w:pPr>
      <w:r>
        <w:rPr>
          <w:lang w:val="es-ES"/>
        </w:rPr>
        <w:t>Región de Europa Central y Oriental: [</w:t>
      </w:r>
      <w:r w:rsidRPr="0033467C">
        <w:rPr>
          <w:i/>
          <w:lang w:val="es-ES"/>
        </w:rPr>
        <w:t>se completará</w:t>
      </w:r>
      <w:r>
        <w:rPr>
          <w:lang w:val="es-ES"/>
        </w:rPr>
        <w:t>]</w:t>
      </w:r>
    </w:p>
    <w:p w14:paraId="611D7214" w14:textId="77777777" w:rsidR="00690CDE" w:rsidRPr="005027FA" w:rsidRDefault="00690CDE" w:rsidP="00690CDE">
      <w:pPr>
        <w:pStyle w:val="Normal-pool"/>
        <w:spacing w:after="120"/>
        <w:ind w:left="1247"/>
        <w:rPr>
          <w:color w:val="000000"/>
          <w:lang w:val="es-ES"/>
        </w:rPr>
      </w:pPr>
      <w:r>
        <w:rPr>
          <w:lang w:val="es-ES"/>
        </w:rPr>
        <w:t>Región de América Latina y el Caribe: [</w:t>
      </w:r>
      <w:r w:rsidRPr="0033467C">
        <w:rPr>
          <w:i/>
          <w:lang w:val="es-ES"/>
        </w:rPr>
        <w:t>se completará</w:t>
      </w:r>
      <w:r>
        <w:rPr>
          <w:lang w:val="es-ES"/>
        </w:rPr>
        <w:t>]</w:t>
      </w:r>
    </w:p>
    <w:p w14:paraId="41AE504B" w14:textId="77777777" w:rsidR="00690CDE" w:rsidRPr="005027FA" w:rsidRDefault="00690CDE" w:rsidP="00690CDE">
      <w:pPr>
        <w:pStyle w:val="Normal-pool"/>
        <w:spacing w:after="120"/>
        <w:ind w:left="1247"/>
        <w:rPr>
          <w:lang w:val="es-ES"/>
        </w:rPr>
      </w:pPr>
      <w:r>
        <w:rPr>
          <w:lang w:val="es-ES"/>
        </w:rPr>
        <w:t>Estados de Europa Occidental y otros Estados: [</w:t>
      </w:r>
      <w:r w:rsidRPr="0033467C">
        <w:rPr>
          <w:i/>
          <w:lang w:val="es-ES"/>
        </w:rPr>
        <w:t>se completará</w:t>
      </w:r>
      <w:r>
        <w:rPr>
          <w:lang w:val="es-ES"/>
        </w:rPr>
        <w:t>]</w:t>
      </w:r>
    </w:p>
    <w:tbl>
      <w:tblPr>
        <w:tblW w:w="0" w:type="auto"/>
        <w:tblLayout w:type="fixed"/>
        <w:tblLook w:val="04A0" w:firstRow="1" w:lastRow="0" w:firstColumn="1" w:lastColumn="0" w:noHBand="0" w:noVBand="1"/>
      </w:tblPr>
      <w:tblGrid>
        <w:gridCol w:w="1942"/>
        <w:gridCol w:w="1942"/>
        <w:gridCol w:w="1942"/>
        <w:gridCol w:w="1943"/>
        <w:gridCol w:w="1943"/>
      </w:tblGrid>
      <w:tr w:rsidR="00E976AB" w:rsidRPr="005027FA" w14:paraId="6DB0CABC" w14:textId="77777777" w:rsidTr="00990918">
        <w:tc>
          <w:tcPr>
            <w:tcW w:w="1942" w:type="dxa"/>
            <w:shd w:val="clear" w:color="auto" w:fill="auto"/>
          </w:tcPr>
          <w:p w14:paraId="6D3F7C2C" w14:textId="77777777" w:rsidR="00E976AB" w:rsidRPr="005027FA" w:rsidRDefault="00E976AB" w:rsidP="00990918">
            <w:pPr>
              <w:pStyle w:val="Normal-pool"/>
              <w:spacing w:before="520"/>
              <w:rPr>
                <w:lang w:val="es-ES"/>
              </w:rPr>
            </w:pPr>
          </w:p>
        </w:tc>
        <w:tc>
          <w:tcPr>
            <w:tcW w:w="1942" w:type="dxa"/>
            <w:shd w:val="clear" w:color="auto" w:fill="auto"/>
          </w:tcPr>
          <w:p w14:paraId="378BA037" w14:textId="77777777" w:rsidR="00E976AB" w:rsidRPr="005027FA" w:rsidRDefault="00E976AB" w:rsidP="00990918">
            <w:pPr>
              <w:pStyle w:val="Normal-pool"/>
              <w:spacing w:before="520"/>
              <w:rPr>
                <w:lang w:val="es-ES"/>
              </w:rPr>
            </w:pPr>
          </w:p>
        </w:tc>
        <w:tc>
          <w:tcPr>
            <w:tcW w:w="1942" w:type="dxa"/>
            <w:tcBorders>
              <w:bottom w:val="single" w:sz="4" w:space="0" w:color="auto"/>
            </w:tcBorders>
            <w:shd w:val="clear" w:color="auto" w:fill="auto"/>
          </w:tcPr>
          <w:p w14:paraId="028E3E1E" w14:textId="77777777" w:rsidR="00E976AB" w:rsidRPr="005027FA" w:rsidRDefault="00E976AB" w:rsidP="00990918">
            <w:pPr>
              <w:pStyle w:val="Normal-pool"/>
              <w:spacing w:before="520"/>
              <w:rPr>
                <w:lang w:val="es-ES"/>
              </w:rPr>
            </w:pPr>
          </w:p>
        </w:tc>
        <w:tc>
          <w:tcPr>
            <w:tcW w:w="1943" w:type="dxa"/>
            <w:shd w:val="clear" w:color="auto" w:fill="auto"/>
          </w:tcPr>
          <w:p w14:paraId="25F1BA19" w14:textId="77777777" w:rsidR="00E976AB" w:rsidRPr="005027FA" w:rsidRDefault="00E976AB" w:rsidP="00990918">
            <w:pPr>
              <w:pStyle w:val="Normal-pool"/>
              <w:spacing w:before="520"/>
              <w:rPr>
                <w:lang w:val="es-ES"/>
              </w:rPr>
            </w:pPr>
          </w:p>
        </w:tc>
        <w:tc>
          <w:tcPr>
            <w:tcW w:w="1943" w:type="dxa"/>
            <w:shd w:val="clear" w:color="auto" w:fill="auto"/>
          </w:tcPr>
          <w:p w14:paraId="457D2993" w14:textId="77777777" w:rsidR="00E976AB" w:rsidRPr="005027FA" w:rsidRDefault="00E976AB" w:rsidP="00990918">
            <w:pPr>
              <w:pStyle w:val="Normal-pool"/>
              <w:spacing w:before="520"/>
              <w:rPr>
                <w:lang w:val="es-ES"/>
              </w:rPr>
            </w:pPr>
          </w:p>
        </w:tc>
      </w:tr>
    </w:tbl>
    <w:p w14:paraId="325E8270" w14:textId="77777777" w:rsidR="00032E4E" w:rsidRPr="005027FA" w:rsidRDefault="00032E4E" w:rsidP="00D013F5">
      <w:pPr>
        <w:pStyle w:val="Normal-pool"/>
        <w:rPr>
          <w:lang w:val="es-ES"/>
        </w:rPr>
      </w:pPr>
    </w:p>
    <w:sectPr w:rsidR="00032E4E" w:rsidRPr="005027FA"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4FFD7" w15:done="0"/>
  <w15:commentEx w15:paraId="14C7A01E" w15:done="0"/>
  <w15:commentEx w15:paraId="49565D8A" w15:done="0"/>
  <w15:commentEx w15:paraId="114F4B48" w15:done="0"/>
  <w15:commentEx w15:paraId="2A07B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A54A1" w14:textId="77777777" w:rsidR="00DA2215" w:rsidRDefault="00DA2215">
      <w:r>
        <w:separator/>
      </w:r>
    </w:p>
  </w:endnote>
  <w:endnote w:type="continuationSeparator" w:id="0">
    <w:p w14:paraId="3AAFFA4A" w14:textId="77777777" w:rsidR="00DA2215" w:rsidRDefault="00DA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77777777" w:rsidR="000024A3" w:rsidRDefault="000024A3">
    <w:pPr>
      <w:pStyle w:val="Footer"/>
    </w:pPr>
    <w:r>
      <w:rPr>
        <w:rStyle w:val="PageNumber"/>
      </w:rPr>
      <w:fldChar w:fldCharType="begin"/>
    </w:r>
    <w:r>
      <w:rPr>
        <w:rStyle w:val="PageNumber"/>
      </w:rPr>
      <w:instrText xml:space="preserve"> PAGE </w:instrText>
    </w:r>
    <w:r>
      <w:rPr>
        <w:rStyle w:val="PageNumber"/>
      </w:rPr>
      <w:fldChar w:fldCharType="separate"/>
    </w:r>
    <w:r w:rsidR="008470F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77777777" w:rsidR="000024A3" w:rsidRDefault="000024A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690CD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9573" w14:textId="230C5CA6" w:rsidR="000024A3" w:rsidRPr="0033467C" w:rsidRDefault="000024A3">
    <w:pPr>
      <w:pStyle w:val="Footer"/>
      <w:rPr>
        <w:sz w:val="20"/>
      </w:rPr>
    </w:pPr>
    <w:r w:rsidRPr="0033467C">
      <w:rPr>
        <w:sz w:val="20"/>
        <w:lang w:val="es-ES"/>
      </w:rPr>
      <w:t>K</w:t>
    </w:r>
    <w:r w:rsidR="0033467C" w:rsidRPr="0033467C">
      <w:rPr>
        <w:sz w:val="20"/>
        <w:lang w:val="es-ES"/>
      </w:rPr>
      <w:t>1703524</w:t>
    </w:r>
    <w:r w:rsidR="0033467C" w:rsidRPr="0033467C">
      <w:rPr>
        <w:sz w:val="20"/>
        <w:lang w:val="es-ES"/>
      </w:rPr>
      <w:tab/>
      <w:t>21</w:t>
    </w:r>
    <w:r w:rsidRPr="0033467C">
      <w:rPr>
        <w:sz w:val="20"/>
        <w:lang w:val="es-ES"/>
      </w:rPr>
      <w:t>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26DD1" w14:textId="77777777" w:rsidR="00DA2215" w:rsidRDefault="00DA2215" w:rsidP="00D92DE0">
      <w:pPr>
        <w:ind w:left="624"/>
      </w:pPr>
      <w:r>
        <w:separator/>
      </w:r>
    </w:p>
  </w:footnote>
  <w:footnote w:type="continuationSeparator" w:id="0">
    <w:p w14:paraId="69968E50" w14:textId="77777777" w:rsidR="00DA2215" w:rsidRDefault="00DA2215">
      <w:r>
        <w:continuationSeparator/>
      </w:r>
    </w:p>
  </w:footnote>
  <w:footnote w:id="1">
    <w:p w14:paraId="34F4157C" w14:textId="77777777" w:rsidR="00690CDE" w:rsidRPr="0033467C" w:rsidRDefault="00690CDE" w:rsidP="00690CDE">
      <w:pPr>
        <w:tabs>
          <w:tab w:val="left" w:pos="624"/>
        </w:tabs>
        <w:spacing w:before="20" w:after="40"/>
        <w:ind w:left="1247"/>
        <w:rPr>
          <w:sz w:val="18"/>
          <w:szCs w:val="18"/>
        </w:rPr>
      </w:pPr>
      <w:r w:rsidRPr="0033467C">
        <w:rPr>
          <w:sz w:val="18"/>
          <w:szCs w:val="18"/>
          <w:lang w:val="es-ES"/>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56573567" w:rsidR="000024A3" w:rsidRPr="00CA5CA9" w:rsidRDefault="000024A3" w:rsidP="001646EA">
    <w:pPr>
      <w:pStyle w:val="Header"/>
      <w:rPr>
        <w:szCs w:val="18"/>
      </w:rPr>
    </w:pPr>
    <w:r w:rsidRPr="00CA5CA9">
      <w:rPr>
        <w:bCs/>
        <w:szCs w:val="18"/>
      </w:rPr>
      <w:t>UNEP</w:t>
    </w:r>
    <w:r w:rsidRPr="00CA5CA9">
      <w:rPr>
        <w:szCs w:val="18"/>
      </w:rPr>
      <w:t>/</w:t>
    </w:r>
    <w:r w:rsidR="001646EA">
      <w:rPr>
        <w:szCs w:val="18"/>
      </w:rPr>
      <w:t>MC</w:t>
    </w:r>
    <w:r w:rsidRPr="00CA5CA9">
      <w:rPr>
        <w:szCs w:val="18"/>
      </w:rPr>
      <w:t>/</w:t>
    </w:r>
    <w:r w:rsidR="001646EA">
      <w:rPr>
        <w:szCs w:val="18"/>
      </w:rPr>
      <w:t>COP.1</w:t>
    </w:r>
    <w:r w:rsidRPr="00CA5CA9">
      <w:rPr>
        <w:szCs w:val="18"/>
      </w:rPr>
      <w:t>/</w:t>
    </w:r>
    <w:r w:rsidR="001646EA">
      <w:rPr>
        <w:szCs w:val="18"/>
      </w:rPr>
      <w:t>1</w:t>
    </w:r>
    <w:r w:rsidR="00690CDE">
      <w:rPr>
        <w:szCs w:val="18"/>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28CA1425" w:rsidR="000024A3" w:rsidRPr="00CA5CA9" w:rsidRDefault="008470F5" w:rsidP="00F7137B">
    <w:pPr>
      <w:pStyle w:val="Header"/>
      <w:jc w:val="right"/>
      <w:rPr>
        <w:szCs w:val="18"/>
      </w:rPr>
    </w:pPr>
    <w:r>
      <w:rPr>
        <w:noProof/>
      </w:rPr>
      <w:pict w14:anchorId="7AB5B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571" o:spid="_x0000_s2051" type="#_x0000_t136" style="position:absolute;left:0;text-align:left;margin-left:0;margin-top:0;width:520.65pt;height:148.75pt;rotation:315;z-index:-251658752;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0024A3" w:rsidRPr="00CA5CA9">
      <w:rPr>
        <w:bCs/>
        <w:szCs w:val="18"/>
      </w:rPr>
      <w:t>UNEP</w:t>
    </w:r>
    <w:r w:rsidR="00F7137B" w:rsidRPr="00CA5CA9">
      <w:rPr>
        <w:szCs w:val="18"/>
      </w:rPr>
      <w:t>/</w:t>
    </w:r>
    <w:r w:rsidR="00F7137B">
      <w:rPr>
        <w:szCs w:val="18"/>
      </w:rPr>
      <w:t>MC</w:t>
    </w:r>
    <w:r w:rsidR="00F7137B" w:rsidRPr="00CA5CA9">
      <w:rPr>
        <w:szCs w:val="18"/>
      </w:rPr>
      <w:t>/</w:t>
    </w:r>
    <w:r w:rsidR="00F7137B">
      <w:rPr>
        <w:szCs w:val="18"/>
      </w:rPr>
      <w:t>COP.1</w:t>
    </w:r>
    <w:r w:rsidR="00F7137B" w:rsidRPr="00CA5CA9">
      <w:rPr>
        <w:szCs w:val="18"/>
      </w:rPr>
      <w:t>/</w:t>
    </w:r>
    <w:r w:rsidR="00F7137B">
      <w:rPr>
        <w:szCs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8784" w14:textId="2C4B0DA5" w:rsidR="000024A3" w:rsidRDefault="000024A3"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0"/>
  </w:num>
  <w:num w:numId="3">
    <w:abstractNumId w:val="2"/>
  </w:num>
  <w:num w:numId="4">
    <w:abstractNumId w:val="3"/>
  </w:num>
  <w:num w:numId="5">
    <w:abstractNumId w:val="3"/>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lvlOverride w:ilvl="0">
      <w:lvl w:ilvl="0">
        <w:start w:val="1"/>
        <w:numFmt w:val="decimal"/>
        <w:pStyle w:val="Normalnumber"/>
        <w:lvlText w:val="%1."/>
        <w:lvlJc w:val="left"/>
        <w:pPr>
          <w:tabs>
            <w:tab w:val="num" w:pos="1134"/>
          </w:tabs>
          <w:ind w:left="1247" w:firstLine="0"/>
        </w:pPr>
        <w:rPr>
          <w:rFonts w:hint="default"/>
        </w:rPr>
      </w:lvl>
    </w:lvlOverride>
  </w:num>
  <w:num w:numId="25">
    <w:abstractNumId w:val="3"/>
    <w:lvlOverride w:ilvl="0">
      <w:lvl w:ilvl="0">
        <w:start w:val="1"/>
        <w:numFmt w:val="decimal"/>
        <w:pStyle w:val="Normalnumber"/>
        <w:lvlText w:val="%1."/>
        <w:lvlJc w:val="left"/>
        <w:pPr>
          <w:tabs>
            <w:tab w:val="num" w:pos="1134"/>
          </w:tabs>
          <w:ind w:left="1247" w:firstLine="0"/>
        </w:pPr>
        <w:rPr>
          <w:rFonts w:hint="default"/>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656C0"/>
    <w:rsid w:val="00071886"/>
    <w:rsid w:val="000742BC"/>
    <w:rsid w:val="00076CC6"/>
    <w:rsid w:val="00082A0C"/>
    <w:rsid w:val="00083504"/>
    <w:rsid w:val="0009640C"/>
    <w:rsid w:val="000B22A2"/>
    <w:rsid w:val="000B73F9"/>
    <w:rsid w:val="000C2A52"/>
    <w:rsid w:val="000C2A88"/>
    <w:rsid w:val="000D33C0"/>
    <w:rsid w:val="000D4CF6"/>
    <w:rsid w:val="000D6941"/>
    <w:rsid w:val="000F4829"/>
    <w:rsid w:val="001202E3"/>
    <w:rsid w:val="00123699"/>
    <w:rsid w:val="001241FB"/>
    <w:rsid w:val="0013059D"/>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B1617"/>
    <w:rsid w:val="001B504B"/>
    <w:rsid w:val="001B6F98"/>
    <w:rsid w:val="001C191A"/>
    <w:rsid w:val="001D3874"/>
    <w:rsid w:val="001D7E75"/>
    <w:rsid w:val="001E0D73"/>
    <w:rsid w:val="001E2CB0"/>
    <w:rsid w:val="001E45BD"/>
    <w:rsid w:val="001E56D2"/>
    <w:rsid w:val="001E7D56"/>
    <w:rsid w:val="001F75DE"/>
    <w:rsid w:val="00200D58"/>
    <w:rsid w:val="002011C1"/>
    <w:rsid w:val="002013BE"/>
    <w:rsid w:val="00201EDC"/>
    <w:rsid w:val="002063A4"/>
    <w:rsid w:val="0021145B"/>
    <w:rsid w:val="00220C23"/>
    <w:rsid w:val="002247F6"/>
    <w:rsid w:val="00225E21"/>
    <w:rsid w:val="00234E78"/>
    <w:rsid w:val="00243D36"/>
    <w:rsid w:val="00246151"/>
    <w:rsid w:val="00247707"/>
    <w:rsid w:val="0026018E"/>
    <w:rsid w:val="00286740"/>
    <w:rsid w:val="00291EAE"/>
    <w:rsid w:val="002929D8"/>
    <w:rsid w:val="002A237D"/>
    <w:rsid w:val="002A4C53"/>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57E"/>
    <w:rsid w:val="00325D38"/>
    <w:rsid w:val="0033467C"/>
    <w:rsid w:val="0035277E"/>
    <w:rsid w:val="00355EA9"/>
    <w:rsid w:val="003578DE"/>
    <w:rsid w:val="00361688"/>
    <w:rsid w:val="003877D5"/>
    <w:rsid w:val="003929B8"/>
    <w:rsid w:val="00393432"/>
    <w:rsid w:val="00396257"/>
    <w:rsid w:val="00397EB8"/>
    <w:rsid w:val="003A4FD0"/>
    <w:rsid w:val="003A69D1"/>
    <w:rsid w:val="003A7705"/>
    <w:rsid w:val="003A77F1"/>
    <w:rsid w:val="003B1545"/>
    <w:rsid w:val="003C3219"/>
    <w:rsid w:val="003C409D"/>
    <w:rsid w:val="003C5583"/>
    <w:rsid w:val="003C5BA6"/>
    <w:rsid w:val="003C74CF"/>
    <w:rsid w:val="003D3752"/>
    <w:rsid w:val="003E35DA"/>
    <w:rsid w:val="003E455D"/>
    <w:rsid w:val="003F0E85"/>
    <w:rsid w:val="00410C55"/>
    <w:rsid w:val="00416854"/>
    <w:rsid w:val="00417725"/>
    <w:rsid w:val="0042266F"/>
    <w:rsid w:val="00424C37"/>
    <w:rsid w:val="00437F26"/>
    <w:rsid w:val="00444097"/>
    <w:rsid w:val="00445487"/>
    <w:rsid w:val="00447E0D"/>
    <w:rsid w:val="00453EA8"/>
    <w:rsid w:val="00454769"/>
    <w:rsid w:val="00466991"/>
    <w:rsid w:val="0047064C"/>
    <w:rsid w:val="004822B7"/>
    <w:rsid w:val="0049469E"/>
    <w:rsid w:val="004A2217"/>
    <w:rsid w:val="004A24F9"/>
    <w:rsid w:val="004A42E1"/>
    <w:rsid w:val="004B162C"/>
    <w:rsid w:val="004B2ABE"/>
    <w:rsid w:val="004C3DBE"/>
    <w:rsid w:val="004C5C96"/>
    <w:rsid w:val="004D06A4"/>
    <w:rsid w:val="004D62D2"/>
    <w:rsid w:val="004F1A81"/>
    <w:rsid w:val="005027FA"/>
    <w:rsid w:val="005050D2"/>
    <w:rsid w:val="005218D9"/>
    <w:rsid w:val="00536186"/>
    <w:rsid w:val="00544CBB"/>
    <w:rsid w:val="00551B65"/>
    <w:rsid w:val="00556704"/>
    <w:rsid w:val="005656D7"/>
    <w:rsid w:val="0057085C"/>
    <w:rsid w:val="005727B5"/>
    <w:rsid w:val="0057315F"/>
    <w:rsid w:val="00576104"/>
    <w:rsid w:val="00586418"/>
    <w:rsid w:val="00592B21"/>
    <w:rsid w:val="005B44BF"/>
    <w:rsid w:val="005C67C8"/>
    <w:rsid w:val="005D0249"/>
    <w:rsid w:val="005D18FA"/>
    <w:rsid w:val="005D4FD4"/>
    <w:rsid w:val="005D69A7"/>
    <w:rsid w:val="005D6E8C"/>
    <w:rsid w:val="005E3004"/>
    <w:rsid w:val="005F100C"/>
    <w:rsid w:val="005F68DA"/>
    <w:rsid w:val="005F7419"/>
    <w:rsid w:val="00601BC9"/>
    <w:rsid w:val="0060773B"/>
    <w:rsid w:val="00613FD6"/>
    <w:rsid w:val="006157B5"/>
    <w:rsid w:val="00617224"/>
    <w:rsid w:val="00626FC6"/>
    <w:rsid w:val="006303B4"/>
    <w:rsid w:val="00630ADC"/>
    <w:rsid w:val="00633D3D"/>
    <w:rsid w:val="00641703"/>
    <w:rsid w:val="006431A6"/>
    <w:rsid w:val="00643E3A"/>
    <w:rsid w:val="006459F6"/>
    <w:rsid w:val="006501AD"/>
    <w:rsid w:val="00651BFA"/>
    <w:rsid w:val="00652BC5"/>
    <w:rsid w:val="00654475"/>
    <w:rsid w:val="00656DF0"/>
    <w:rsid w:val="00665A4B"/>
    <w:rsid w:val="00690CDE"/>
    <w:rsid w:val="00692E2A"/>
    <w:rsid w:val="0069496A"/>
    <w:rsid w:val="006A76F2"/>
    <w:rsid w:val="006B7D29"/>
    <w:rsid w:val="006D19D4"/>
    <w:rsid w:val="006D5644"/>
    <w:rsid w:val="006D7EFB"/>
    <w:rsid w:val="006E6672"/>
    <w:rsid w:val="006E6722"/>
    <w:rsid w:val="006F7AFF"/>
    <w:rsid w:val="007027B9"/>
    <w:rsid w:val="007066B5"/>
    <w:rsid w:val="007145DA"/>
    <w:rsid w:val="00715E88"/>
    <w:rsid w:val="00734CAA"/>
    <w:rsid w:val="00740EE2"/>
    <w:rsid w:val="00741406"/>
    <w:rsid w:val="00742680"/>
    <w:rsid w:val="0075533C"/>
    <w:rsid w:val="00757581"/>
    <w:rsid w:val="007602F5"/>
    <w:rsid w:val="00760D36"/>
    <w:rsid w:val="007611A0"/>
    <w:rsid w:val="00772574"/>
    <w:rsid w:val="00773E54"/>
    <w:rsid w:val="00787688"/>
    <w:rsid w:val="007935E6"/>
    <w:rsid w:val="00796D3F"/>
    <w:rsid w:val="007A1683"/>
    <w:rsid w:val="007A58B4"/>
    <w:rsid w:val="007A5C12"/>
    <w:rsid w:val="007A7CB0"/>
    <w:rsid w:val="007B68A3"/>
    <w:rsid w:val="007C2541"/>
    <w:rsid w:val="007D66A8"/>
    <w:rsid w:val="007E003F"/>
    <w:rsid w:val="007F0CF8"/>
    <w:rsid w:val="007F62CB"/>
    <w:rsid w:val="008142EC"/>
    <w:rsid w:val="008164F2"/>
    <w:rsid w:val="00821395"/>
    <w:rsid w:val="00830E26"/>
    <w:rsid w:val="00843576"/>
    <w:rsid w:val="00843B64"/>
    <w:rsid w:val="008470F5"/>
    <w:rsid w:val="008478FC"/>
    <w:rsid w:val="00851C51"/>
    <w:rsid w:val="00867BFF"/>
    <w:rsid w:val="00871542"/>
    <w:rsid w:val="00872BF6"/>
    <w:rsid w:val="0088480A"/>
    <w:rsid w:val="0088757A"/>
    <w:rsid w:val="0089431B"/>
    <w:rsid w:val="00895668"/>
    <w:rsid w:val="008957DD"/>
    <w:rsid w:val="00897D98"/>
    <w:rsid w:val="008A6DF2"/>
    <w:rsid w:val="008A7807"/>
    <w:rsid w:val="008B4CC9"/>
    <w:rsid w:val="008C0B15"/>
    <w:rsid w:val="008D75E4"/>
    <w:rsid w:val="008D7C99"/>
    <w:rsid w:val="008E0FCB"/>
    <w:rsid w:val="008F6DFE"/>
    <w:rsid w:val="0090529F"/>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907B9"/>
    <w:rsid w:val="00990918"/>
    <w:rsid w:val="009A3A83"/>
    <w:rsid w:val="009B4A0F"/>
    <w:rsid w:val="009C11D2"/>
    <w:rsid w:val="009C6C70"/>
    <w:rsid w:val="009C7B0A"/>
    <w:rsid w:val="009D0B63"/>
    <w:rsid w:val="009D5CB8"/>
    <w:rsid w:val="009E307E"/>
    <w:rsid w:val="009F0D21"/>
    <w:rsid w:val="00A06D1E"/>
    <w:rsid w:val="00A07870"/>
    <w:rsid w:val="00A07C54"/>
    <w:rsid w:val="00A07F19"/>
    <w:rsid w:val="00A1348D"/>
    <w:rsid w:val="00A13C99"/>
    <w:rsid w:val="00A232EE"/>
    <w:rsid w:val="00A4175F"/>
    <w:rsid w:val="00A44411"/>
    <w:rsid w:val="00A469FA"/>
    <w:rsid w:val="00A53662"/>
    <w:rsid w:val="00A55B01"/>
    <w:rsid w:val="00A56B5B"/>
    <w:rsid w:val="00A603FF"/>
    <w:rsid w:val="00A619B6"/>
    <w:rsid w:val="00A648CA"/>
    <w:rsid w:val="00A657DD"/>
    <w:rsid w:val="00A666A6"/>
    <w:rsid w:val="00A675FD"/>
    <w:rsid w:val="00A72437"/>
    <w:rsid w:val="00A72B75"/>
    <w:rsid w:val="00A8048B"/>
    <w:rsid w:val="00A80611"/>
    <w:rsid w:val="00A953E4"/>
    <w:rsid w:val="00AA5BF4"/>
    <w:rsid w:val="00AB5340"/>
    <w:rsid w:val="00AC0A89"/>
    <w:rsid w:val="00AC7C96"/>
    <w:rsid w:val="00AE0812"/>
    <w:rsid w:val="00AE237D"/>
    <w:rsid w:val="00AE502A"/>
    <w:rsid w:val="00AF0010"/>
    <w:rsid w:val="00AF2C1F"/>
    <w:rsid w:val="00AF7C07"/>
    <w:rsid w:val="00B06C64"/>
    <w:rsid w:val="00B11CAC"/>
    <w:rsid w:val="00B15A29"/>
    <w:rsid w:val="00B22C93"/>
    <w:rsid w:val="00B27589"/>
    <w:rsid w:val="00B405B7"/>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62BA"/>
    <w:rsid w:val="00BE252F"/>
    <w:rsid w:val="00BE5B5F"/>
    <w:rsid w:val="00BE7993"/>
    <w:rsid w:val="00C161DE"/>
    <w:rsid w:val="00C26F55"/>
    <w:rsid w:val="00C30C63"/>
    <w:rsid w:val="00C30FF3"/>
    <w:rsid w:val="00C36B8B"/>
    <w:rsid w:val="00C415C1"/>
    <w:rsid w:val="00C47DBF"/>
    <w:rsid w:val="00C552FF"/>
    <w:rsid w:val="00C558DA"/>
    <w:rsid w:val="00C55AF3"/>
    <w:rsid w:val="00C771A9"/>
    <w:rsid w:val="00C84759"/>
    <w:rsid w:val="00C93096"/>
    <w:rsid w:val="00CA5CA9"/>
    <w:rsid w:val="00CA6C7F"/>
    <w:rsid w:val="00CB007D"/>
    <w:rsid w:val="00CB1B9C"/>
    <w:rsid w:val="00CB60CA"/>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4172"/>
    <w:rsid w:val="00D47BE3"/>
    <w:rsid w:val="00D5596C"/>
    <w:rsid w:val="00D63B8C"/>
    <w:rsid w:val="00D739CC"/>
    <w:rsid w:val="00D806F9"/>
    <w:rsid w:val="00D8093D"/>
    <w:rsid w:val="00D8108C"/>
    <w:rsid w:val="00D842AE"/>
    <w:rsid w:val="00D9211C"/>
    <w:rsid w:val="00D92DE0"/>
    <w:rsid w:val="00D92FEF"/>
    <w:rsid w:val="00D931F9"/>
    <w:rsid w:val="00D93A0F"/>
    <w:rsid w:val="00DA1BCA"/>
    <w:rsid w:val="00DA2215"/>
    <w:rsid w:val="00DA3663"/>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6D9A"/>
    <w:rsid w:val="00E565FF"/>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4B1A"/>
    <w:rsid w:val="00F37DC8"/>
    <w:rsid w:val="00F439B3"/>
    <w:rsid w:val="00F650C3"/>
    <w:rsid w:val="00F65D85"/>
    <w:rsid w:val="00F6700B"/>
    <w:rsid w:val="00F7137B"/>
    <w:rsid w:val="00F8091E"/>
    <w:rsid w:val="00F8615C"/>
    <w:rsid w:val="00F969E5"/>
    <w:rsid w:val="00FA4972"/>
    <w:rsid w:val="00FA6BB0"/>
    <w:rsid w:val="00FB2DBD"/>
    <w:rsid w:val="00FD48DF"/>
    <w:rsid w:val="00FD5860"/>
    <w:rsid w:val="00FE0E7C"/>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paragraph" w:customStyle="1" w:styleId="Decisionparagraphs">
    <w:name w:val="Decision paragraphs"/>
    <w:basedOn w:val="Normal"/>
    <w:next w:val="Normal"/>
    <w:uiPriority w:val="99"/>
    <w:rsid w:val="00690CDE"/>
    <w:pPr>
      <w:tabs>
        <w:tab w:val="clear" w:pos="1247"/>
        <w:tab w:val="clear" w:pos="1814"/>
        <w:tab w:val="clear" w:pos="2381"/>
        <w:tab w:val="clear" w:pos="2948"/>
        <w:tab w:val="clear" w:pos="3515"/>
      </w:tabs>
      <w:autoSpaceDE w:val="0"/>
      <w:autoSpaceDN w:val="0"/>
      <w:adjustRightInd w:val="0"/>
    </w:pPr>
    <w:rPr>
      <w:sz w:val="24"/>
      <w:szCs w:val="24"/>
      <w:lang w:eastAsia="zh-CN"/>
    </w:rPr>
  </w:style>
  <w:style w:type="character" w:customStyle="1" w:styleId="ZZAnxtitleChar">
    <w:name w:val="ZZ_Anx_title Char"/>
    <w:link w:val="ZZAnxtitle"/>
    <w:rsid w:val="00690CDE"/>
    <w:rPr>
      <w:b/>
      <w:bCs/>
      <w:sz w:val="28"/>
      <w:szCs w:val="26"/>
      <w:lang w:eastAsia="en-US"/>
    </w:rPr>
  </w:style>
  <w:style w:type="character" w:customStyle="1" w:styleId="ZZAnxheaderChar">
    <w:name w:val="ZZ_Anx_header Char"/>
    <w:link w:val="ZZAnxheader"/>
    <w:rsid w:val="00690CDE"/>
    <w:rPr>
      <w:b/>
      <w:bCs/>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paragraph" w:customStyle="1" w:styleId="Decisionparagraphs">
    <w:name w:val="Decision paragraphs"/>
    <w:basedOn w:val="Normal"/>
    <w:next w:val="Normal"/>
    <w:uiPriority w:val="99"/>
    <w:rsid w:val="00690CDE"/>
    <w:pPr>
      <w:tabs>
        <w:tab w:val="clear" w:pos="1247"/>
        <w:tab w:val="clear" w:pos="1814"/>
        <w:tab w:val="clear" w:pos="2381"/>
        <w:tab w:val="clear" w:pos="2948"/>
        <w:tab w:val="clear" w:pos="3515"/>
      </w:tabs>
      <w:autoSpaceDE w:val="0"/>
      <w:autoSpaceDN w:val="0"/>
      <w:adjustRightInd w:val="0"/>
    </w:pPr>
    <w:rPr>
      <w:sz w:val="24"/>
      <w:szCs w:val="24"/>
      <w:lang w:eastAsia="zh-CN"/>
    </w:rPr>
  </w:style>
  <w:style w:type="character" w:customStyle="1" w:styleId="ZZAnxtitleChar">
    <w:name w:val="ZZ_Anx_title Char"/>
    <w:link w:val="ZZAnxtitle"/>
    <w:rsid w:val="00690CDE"/>
    <w:rPr>
      <w:b/>
      <w:bCs/>
      <w:sz w:val="28"/>
      <w:szCs w:val="26"/>
      <w:lang w:eastAsia="en-US"/>
    </w:rPr>
  </w:style>
  <w:style w:type="character" w:customStyle="1" w:styleId="ZZAnxheaderChar">
    <w:name w:val="ZZ_Anx_header Char"/>
    <w:link w:val="ZZAnxheader"/>
    <w:rsid w:val="00690CDE"/>
    <w:rPr>
      <w:b/>
      <w:bCs/>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CE266-4F91-4379-AA4B-8B56FCE2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Language Spanish1</cp:lastModifiedBy>
  <cp:revision>2</cp:revision>
  <cp:lastPrinted>2016-07-18T09:51:00Z</cp:lastPrinted>
  <dcterms:created xsi:type="dcterms:W3CDTF">2017-06-21T06:42:00Z</dcterms:created>
  <dcterms:modified xsi:type="dcterms:W3CDTF">2017-06-21T06:42:00Z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joan.trujillo</vt:lpwstr>
  </property>
  <property fmtid="{D5CDD505-2E9C-101B-9397-08002B2CF9AE}" pid="4" name="GeneratedDate">
    <vt:lpwstr>6/15/2017 2:16:39 PM</vt:lpwstr>
  </property>
  <property fmtid="{D5CDD505-2E9C-101B-9397-08002B2CF9AE}" pid="5" name="OriginalDocID">
    <vt:lpwstr>4fcb2e31-b62a-4339-9ae8-b24584919b0c</vt:lpwstr>
  </property>
</Properties>
</file>