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874"/>
        <w:gridCol w:w="3083"/>
      </w:tblGrid>
      <w:tr w:rsidR="00032E4E" w:rsidRPr="00C6062B" w14:paraId="2623362B" w14:textId="77777777" w:rsidTr="005C782C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5C782C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D105487" w14:textId="61EBE3C3" w:rsidR="00032E4E" w:rsidRPr="007751E8" w:rsidRDefault="00032E4E" w:rsidP="0061674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>
              <w:rPr>
                <w:lang w:val="en-US"/>
              </w:rPr>
              <w:t>/MC/CO</w:t>
            </w:r>
            <w:r w:rsidR="007751E8">
              <w:t>P.1/</w:t>
            </w:r>
            <w:r w:rsidR="00356260">
              <w:rPr>
                <w:lang w:val="en-US"/>
              </w:rPr>
              <w:t>28</w:t>
            </w:r>
          </w:p>
        </w:tc>
      </w:tr>
      <w:tr w:rsidR="00032E4E" w:rsidRPr="006A0796" w14:paraId="0344FC84" w14:textId="77777777" w:rsidTr="005C782C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1" w:name="_MON_1021710510"/>
            <w:bookmarkStart w:id="2" w:name="_MON_1021710482"/>
            <w:bookmarkEnd w:id="1"/>
            <w:bookmarkEnd w:id="2"/>
            <w:r>
              <w:rPr>
                <w:noProof/>
                <w:lang w:eastAsia="ru-RU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eastAsia="ru-RU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Distr.: General</w:t>
            </w:r>
          </w:p>
          <w:p w14:paraId="32AB44BC" w14:textId="02127F4F" w:rsidR="00032E4E" w:rsidRPr="00200ABD" w:rsidRDefault="00356260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5 July</w:t>
            </w:r>
            <w:r w:rsidR="00032E4E" w:rsidRPr="00200ABD">
              <w:rPr>
                <w:lang w:val="en-GB"/>
              </w:rPr>
              <w:t xml:space="preserve"> 2017</w:t>
            </w:r>
          </w:p>
          <w:p w14:paraId="6F78AAFF" w14:textId="77777777" w:rsidR="00032E4E" w:rsidRPr="00200ABD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 xml:space="preserve">Russian </w:t>
            </w:r>
            <w:r w:rsidRPr="00200ABD">
              <w:rPr>
                <w:lang w:val="en-GB"/>
              </w:rPr>
              <w:br/>
              <w:t>Original: English</w:t>
            </w:r>
          </w:p>
        </w:tc>
      </w:tr>
    </w:tbl>
    <w:p w14:paraId="24730C11" w14:textId="4340694C" w:rsidR="005F0C10" w:rsidRPr="00674D82" w:rsidRDefault="005F0C10" w:rsidP="00356260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</w:pPr>
      <w:r>
        <w:t xml:space="preserve">Конференция Сторон </w:t>
      </w:r>
      <w:proofErr w:type="spellStart"/>
      <w:r>
        <w:t>Минаматской</w:t>
      </w:r>
      <w:proofErr w:type="spellEnd"/>
      <w:r>
        <w:t xml:space="preserve"> конвенции о ртути</w:t>
      </w:r>
    </w:p>
    <w:p w14:paraId="6CA2A6BD" w14:textId="77777777" w:rsidR="005F0C10" w:rsidRPr="00674D82" w:rsidRDefault="005F0C10" w:rsidP="00356260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</w:pPr>
      <w:r>
        <w:t>Первое совещание</w:t>
      </w:r>
    </w:p>
    <w:p w14:paraId="36E39433" w14:textId="02F1BD41" w:rsidR="005F0C10" w:rsidRPr="00641DAA" w:rsidRDefault="00356260" w:rsidP="00356260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bCs/>
        </w:rPr>
      </w:pPr>
      <w:r>
        <w:rPr>
          <w:b w:val="0"/>
        </w:rPr>
        <w:t>Женева, 24</w:t>
      </w:r>
      <w:r>
        <w:rPr>
          <w:b w:val="0"/>
          <w:lang w:val="en-US"/>
        </w:rPr>
        <w:t>-</w:t>
      </w:r>
      <w:r w:rsidR="005F0C10" w:rsidRPr="00641DAA">
        <w:rPr>
          <w:b w:val="0"/>
        </w:rPr>
        <w:t>29 сентября 2017 года</w:t>
      </w:r>
    </w:p>
    <w:p w14:paraId="53B945D0" w14:textId="77777777" w:rsidR="005F0C10" w:rsidRPr="00641DAA" w:rsidRDefault="005F0C10" w:rsidP="00356260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bCs/>
        </w:rPr>
      </w:pPr>
      <w:proofErr w:type="gramStart"/>
      <w:r w:rsidRPr="00641DAA">
        <w:rPr>
          <w:b w:val="0"/>
        </w:rPr>
        <w:t xml:space="preserve">Пункт 5 c) </w:t>
      </w:r>
      <w:proofErr w:type="spellStart"/>
      <w:r w:rsidRPr="00641DAA">
        <w:rPr>
          <w:b w:val="0"/>
        </w:rPr>
        <w:t>iii</w:t>
      </w:r>
      <w:proofErr w:type="spellEnd"/>
      <w:r w:rsidRPr="00641DAA">
        <w:rPr>
          <w:b w:val="0"/>
        </w:rPr>
        <w:t>) предварительной повестки дня</w:t>
      </w:r>
      <w:r w:rsidRPr="00641DAA">
        <w:rPr>
          <w:b w:val="0"/>
        </w:rPr>
        <w:footnoteReference w:customMarkFollows="1" w:id="1"/>
        <w:t>*</w:t>
      </w:r>
      <w:proofErr w:type="gramEnd"/>
    </w:p>
    <w:p w14:paraId="05B81BE0" w14:textId="77777777" w:rsidR="005F0C10" w:rsidRPr="00674D82" w:rsidRDefault="005F0C10" w:rsidP="00356260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/>
        <w:ind w:right="1701"/>
      </w:pPr>
      <w:r>
        <w:t>Вопросы для принятия мер Конференцией Сторон на ее первом совещании: вопросы, рекомендованные Межправительственным комитетом для ведения переговоров: местонахождение постоянного секретариата</w:t>
      </w:r>
    </w:p>
    <w:p w14:paraId="031215A7" w14:textId="77777777" w:rsidR="005F0C10" w:rsidRPr="00356260" w:rsidRDefault="005F0C1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284"/>
        <w:rPr>
          <w:b/>
          <w:sz w:val="28"/>
          <w:szCs w:val="28"/>
        </w:rPr>
      </w:pPr>
      <w:r w:rsidRPr="00356260">
        <w:rPr>
          <w:b/>
          <w:sz w:val="28"/>
          <w:szCs w:val="28"/>
        </w:rPr>
        <w:t xml:space="preserve">Обновленный анализ предложения правительства Швейцарии о размещении постоянного секретариата </w:t>
      </w:r>
      <w:proofErr w:type="spellStart"/>
      <w:r w:rsidRPr="00356260">
        <w:rPr>
          <w:b/>
          <w:sz w:val="28"/>
          <w:szCs w:val="28"/>
        </w:rPr>
        <w:t>Минаматской</w:t>
      </w:r>
      <w:proofErr w:type="spellEnd"/>
      <w:r w:rsidRPr="00356260">
        <w:rPr>
          <w:b/>
          <w:sz w:val="28"/>
          <w:szCs w:val="28"/>
        </w:rPr>
        <w:t xml:space="preserve"> конвенции о ртути в Женеве на основе разъяснений, полученных 27 июня 2017 года</w:t>
      </w:r>
    </w:p>
    <w:p w14:paraId="67D560C3" w14:textId="6D919CB7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>
        <w:tab/>
      </w:r>
      <w:r w:rsidR="005F0C10" w:rsidRPr="00356260">
        <w:rPr>
          <w:b/>
          <w:sz w:val="24"/>
          <w:szCs w:val="24"/>
        </w:rPr>
        <w:t>Записка секретариата</w:t>
      </w:r>
    </w:p>
    <w:p w14:paraId="7FEE026A" w14:textId="4B7EBFD8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56260">
        <w:t>1.</w:t>
      </w:r>
      <w:r w:rsidRPr="00356260">
        <w:tab/>
      </w:r>
      <w:r w:rsidR="005F0C10" w:rsidRPr="00356260">
        <w:t xml:space="preserve">На своей шестой сессии, состоявшейся в Бангкоке с 3 по 7 ноября 2014 года, Межправительственный комитет для ведения </w:t>
      </w:r>
      <w:proofErr w:type="gramStart"/>
      <w:r w:rsidR="005F0C10" w:rsidRPr="00356260">
        <w:t>переговоров</w:t>
      </w:r>
      <w:proofErr w:type="gramEnd"/>
      <w:r w:rsidR="005F0C10" w:rsidRPr="00356260">
        <w:t xml:space="preserve"> по подготовке имеющего обязательную юридическую силу глобального документа по ртути просил временный секретариат </w:t>
      </w:r>
      <w:proofErr w:type="spellStart"/>
      <w:r w:rsidR="005F0C10" w:rsidRPr="00356260">
        <w:t>Минаматской</w:t>
      </w:r>
      <w:proofErr w:type="spellEnd"/>
      <w:r w:rsidR="005F0C10" w:rsidRPr="00356260">
        <w:t xml:space="preserve"> конвенции о ртути запросить предложения правительств, заинтересованных в размещении у себя постоянного секретариата Конвенции, и обобщить и проанализировать любые такие предложения для рассмотрения Комитетом на его седьмой сессии.</w:t>
      </w:r>
    </w:p>
    <w:p w14:paraId="68DF8ABA" w14:textId="58929071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56260">
        <w:t>2.</w:t>
      </w:r>
      <w:r w:rsidRPr="00356260">
        <w:tab/>
      </w:r>
      <w:r w:rsidR="005F0C10" w:rsidRPr="00356260">
        <w:t xml:space="preserve">В этой связи Директор-исполнитель Программы Организации Объединенных Наций по окружающей среде (ЮНЕП) 5 декабря 2014 года направил всем правительствам письмо с просьбой представить предложения относительно фактического размещения постоянного секретариата Конвенции. В приложении к письму были указаны категории информации, которые могут содержаться в предложении от правительства, заинтересованного в фактическом размещении постоянного секретариата. </w:t>
      </w:r>
    </w:p>
    <w:p w14:paraId="62D9E2E6" w14:textId="1821F06D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56260">
        <w:t>3.</w:t>
      </w:r>
      <w:r w:rsidRPr="00356260">
        <w:tab/>
      </w:r>
      <w:r w:rsidR="005F0C10" w:rsidRPr="00356260">
        <w:t xml:space="preserve">К указанному сроку было получено одно предложение о фактическом размещении секретариата </w:t>
      </w:r>
      <w:proofErr w:type="spellStart"/>
      <w:r w:rsidR="005F0C10" w:rsidRPr="00356260">
        <w:t>Минаматской</w:t>
      </w:r>
      <w:proofErr w:type="spellEnd"/>
      <w:r w:rsidR="005F0C10" w:rsidRPr="00356260">
        <w:t xml:space="preserve"> конвенции. Это предложение поступило от правительства Швейцарии, которое предложило </w:t>
      </w:r>
      <w:proofErr w:type="gramStart"/>
      <w:r w:rsidR="005F0C10" w:rsidRPr="00356260">
        <w:t>разместить</w:t>
      </w:r>
      <w:proofErr w:type="gramEnd"/>
      <w:r w:rsidR="005F0C10" w:rsidRPr="00356260">
        <w:t xml:space="preserve"> постоянный секретариат в Женеве. Предложени</w:t>
      </w:r>
      <w:r>
        <w:t>е правительства Швейцарии (UNEP</w:t>
      </w:r>
      <w:r w:rsidR="005F0C10" w:rsidRPr="00356260">
        <w:t>(DTIE)/</w:t>
      </w:r>
      <w:proofErr w:type="spellStart"/>
      <w:r w:rsidR="005F0C10" w:rsidRPr="00356260">
        <w:t>Hg</w:t>
      </w:r>
      <w:proofErr w:type="spellEnd"/>
      <w:r w:rsidR="005F0C10" w:rsidRPr="00356260">
        <w:t>/INC.7/INF/5) и анализ этого предложения, подготовленны</w:t>
      </w:r>
      <w:r>
        <w:t>й временным секретариатом (UNEP</w:t>
      </w:r>
      <w:r w:rsidR="005F0C10" w:rsidRPr="00356260">
        <w:t>(DTIE)/</w:t>
      </w:r>
      <w:proofErr w:type="spellStart"/>
      <w:r w:rsidR="005F0C10" w:rsidRPr="00356260">
        <w:t>Hg</w:t>
      </w:r>
      <w:proofErr w:type="spellEnd"/>
      <w:r w:rsidR="005F0C10" w:rsidRPr="00356260">
        <w:t>/INC.7/16), были представлены Комитету на его седьмой сессии, состоявшейся в районе Мерт</w:t>
      </w:r>
      <w:r>
        <w:t>вого моря в Иордании с 10 по 15</w:t>
      </w:r>
      <w:r>
        <w:rPr>
          <w:lang w:val="en-US"/>
        </w:rPr>
        <w:t> </w:t>
      </w:r>
      <w:r w:rsidR="005F0C10" w:rsidRPr="00356260">
        <w:t xml:space="preserve">марта 2017 года. </w:t>
      </w:r>
    </w:p>
    <w:p w14:paraId="5BE28FE2" w14:textId="69114150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56260">
        <w:t>4.</w:t>
      </w:r>
      <w:r w:rsidRPr="00356260">
        <w:tab/>
      </w:r>
      <w:r w:rsidR="005F0C10" w:rsidRPr="00356260">
        <w:t xml:space="preserve">На своей седьмой сессии Комитет рассмотрел предложение правительства Швейцарии и подготовленный временным секретариатом анализ этого предложения, после чего Комитет просил правительство Швейцарии рассмотреть вопрос о разъяснении условий его предложения для дальнейшего рассмотрения Конференцией Сторон на ее первом совещании. </w:t>
      </w:r>
    </w:p>
    <w:p w14:paraId="1DB6B462" w14:textId="74A7F629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56260">
        <w:lastRenderedPageBreak/>
        <w:t>5.</w:t>
      </w:r>
      <w:r w:rsidRPr="00356260">
        <w:tab/>
      </w:r>
      <w:r w:rsidR="005F0C10" w:rsidRPr="00356260">
        <w:t xml:space="preserve">В этой связи правительство Швейцарии представило документ с разъяснением, а в некоторых случаях с расширением своего предложения о размещении постоянного секретариата, который был получен временным секретариатом 27 июня 2017 года. Этот документ (UNEP/MC/COP.1/INF/8) и первоначальное предложение (UNEP/MC/COP.1/INF/7) представлены для сведения Конференции Сторон на ее первом совещании. </w:t>
      </w:r>
    </w:p>
    <w:p w14:paraId="0532E0EE" w14:textId="6A9B6D97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56260">
        <w:t>6.</w:t>
      </w:r>
      <w:r w:rsidRPr="00356260">
        <w:tab/>
      </w:r>
      <w:r w:rsidR="005F0C10" w:rsidRPr="00356260">
        <w:t xml:space="preserve">В нижеследующих пунктах временный секретариат проводит дополнительный анализ предложения правительства Швейцарии в свете информации, представленной в разъясняющем документе. </w:t>
      </w:r>
    </w:p>
    <w:p w14:paraId="0BEBCF53" w14:textId="67C82CDE" w:rsidR="005F0C10" w:rsidRPr="00356260" w:rsidRDefault="005F0C1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356260">
        <w:tab/>
      </w:r>
      <w:r w:rsidRPr="00356260">
        <w:rPr>
          <w:b/>
          <w:sz w:val="24"/>
          <w:szCs w:val="24"/>
        </w:rPr>
        <w:t xml:space="preserve">Вариант 1 а): объединение с секретариатом </w:t>
      </w:r>
      <w:proofErr w:type="spellStart"/>
      <w:r w:rsidRPr="00356260">
        <w:rPr>
          <w:b/>
          <w:sz w:val="24"/>
          <w:szCs w:val="24"/>
        </w:rPr>
        <w:t>Базельской</w:t>
      </w:r>
      <w:proofErr w:type="spellEnd"/>
      <w:r w:rsidRPr="00356260">
        <w:rPr>
          <w:b/>
          <w:sz w:val="24"/>
          <w:szCs w:val="24"/>
        </w:rPr>
        <w:t xml:space="preserve">, </w:t>
      </w:r>
      <w:proofErr w:type="spellStart"/>
      <w:r w:rsidRPr="00356260">
        <w:rPr>
          <w:b/>
          <w:sz w:val="24"/>
          <w:szCs w:val="24"/>
        </w:rPr>
        <w:t>Роттердамской</w:t>
      </w:r>
      <w:proofErr w:type="spellEnd"/>
      <w:r w:rsidRPr="00356260">
        <w:rPr>
          <w:b/>
          <w:sz w:val="24"/>
          <w:szCs w:val="24"/>
        </w:rPr>
        <w:t xml:space="preserve"> и Стокгольмской конвенций с использованием его нынешней структуры</w:t>
      </w:r>
    </w:p>
    <w:p w14:paraId="707D53DA" w14:textId="65BEC3C5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7</w:t>
      </w:r>
      <w:r w:rsidRPr="00356260">
        <w:t>.</w:t>
      </w:r>
      <w:r w:rsidRPr="00356260">
        <w:tab/>
      </w:r>
      <w:r w:rsidR="005F0C10" w:rsidRPr="00356260">
        <w:t xml:space="preserve">В разъясняющем документе подтверждается поддержка со стороны правительства Швейцарии идеи об объединении постоянного секретариата </w:t>
      </w:r>
      <w:proofErr w:type="spellStart"/>
      <w:r w:rsidR="005F0C10" w:rsidRPr="00356260">
        <w:t>Минаматской</w:t>
      </w:r>
      <w:proofErr w:type="spellEnd"/>
      <w:r w:rsidR="005F0C10" w:rsidRPr="00356260">
        <w:t xml:space="preserve"> конвенции с секретариатом </w:t>
      </w:r>
      <w:proofErr w:type="spellStart"/>
      <w:r w:rsidR="005F0C10" w:rsidRPr="00356260">
        <w:t>Базельской</w:t>
      </w:r>
      <w:proofErr w:type="spellEnd"/>
      <w:r w:rsidR="005F0C10" w:rsidRPr="00356260">
        <w:t xml:space="preserve">, </w:t>
      </w:r>
      <w:proofErr w:type="spellStart"/>
      <w:r w:rsidR="005F0C10" w:rsidRPr="00356260">
        <w:t>Роттердамской</w:t>
      </w:r>
      <w:proofErr w:type="spellEnd"/>
      <w:r w:rsidR="005F0C10" w:rsidRPr="00356260">
        <w:t xml:space="preserve"> и Стокгольмской конвенций с использованием нынешней структуры последнего. Если этот вариант будет принят, правительство Швейцарии будет выплачивать ежегодный взнос принимающей страны в бюджет </w:t>
      </w:r>
      <w:proofErr w:type="spellStart"/>
      <w:r w:rsidR="005F0C10" w:rsidRPr="00356260">
        <w:t>Минаматской</w:t>
      </w:r>
      <w:proofErr w:type="spellEnd"/>
      <w:r w:rsidR="005F0C10" w:rsidRPr="00356260">
        <w:t xml:space="preserve"> конвенци</w:t>
      </w:r>
      <w:r w:rsidR="00AC10C1">
        <w:t>и в размере 2,5 млн. швейц</w:t>
      </w:r>
      <w:r w:rsidR="00AC10C1" w:rsidRPr="00AC10C1">
        <w:t>.</w:t>
      </w:r>
      <w:r w:rsidR="005F0C10" w:rsidRPr="00356260">
        <w:t xml:space="preserve"> франков. </w:t>
      </w:r>
    </w:p>
    <w:p w14:paraId="1306D4F3" w14:textId="19F613C9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</w:rPr>
      </w:pPr>
      <w:r w:rsidRPr="00356260">
        <w:t>8.</w:t>
      </w:r>
      <w:r w:rsidRPr="00356260">
        <w:tab/>
      </w:r>
      <w:proofErr w:type="gramStart"/>
      <w:r w:rsidR="005F0C10" w:rsidRPr="00356260">
        <w:t>Что касается этого варианта, предусматривающего объединение секретариата, Швейцария пояснила, что ее ежегодный взнос принимающей страны будет состоять из двух частей</w:t>
      </w:r>
      <w:r w:rsidR="00AC10C1">
        <w:t xml:space="preserve">, первая из которых составит </w:t>
      </w:r>
      <w:r w:rsidR="00AC10C1" w:rsidRPr="00AC10C1">
        <w:t>2</w:t>
      </w:r>
      <w:r w:rsidR="00AC10C1">
        <w:t xml:space="preserve"> млн</w:t>
      </w:r>
      <w:r w:rsidR="00AC10C1" w:rsidRPr="00AC10C1">
        <w:t>.</w:t>
      </w:r>
      <w:r w:rsidR="00AC10C1">
        <w:t xml:space="preserve"> швейц</w:t>
      </w:r>
      <w:r w:rsidR="00AC10C1" w:rsidRPr="00AC10C1">
        <w:t>.</w:t>
      </w:r>
      <w:r w:rsidR="005F0C10" w:rsidRPr="00356260">
        <w:t xml:space="preserve"> франков, использование которых будет неограниченным; эта часть ежегодного взноса может использоваться, например, для покрытия расходов на проведение совещаний, вне зависимости от того, где они проводятся.</w:t>
      </w:r>
      <w:proofErr w:type="gramEnd"/>
      <w:r w:rsidR="005F0C10" w:rsidRPr="00356260">
        <w:t xml:space="preserve"> Швейцария также пояснила, что эта нецелевая часть ее ежегодного взноса будет включать в себя начисленный взнос Швейцарии как Стороны Конвенции. </w:t>
      </w:r>
      <w:proofErr w:type="gramStart"/>
      <w:r w:rsidR="005F0C10" w:rsidRPr="00356260">
        <w:t xml:space="preserve">(На первом совещании Конференции Сторон в рамках доработки финансовых правил должно быть принято решение о том, как взнос принимающей страны должен быть распределен между общим целевым фондом </w:t>
      </w:r>
      <w:proofErr w:type="spellStart"/>
      <w:r w:rsidR="005F0C10" w:rsidRPr="00356260">
        <w:t>Минаматской</w:t>
      </w:r>
      <w:proofErr w:type="spellEnd"/>
      <w:r w:rsidR="005F0C10" w:rsidRPr="00356260">
        <w:t xml:space="preserve"> конвенции, который будет учрежден для поддержки основных видов деятельности, и специальным целевым фондом, который будет финансироваться за счет добровольных взносов в поддержку дополнительных видов деятельности). </w:t>
      </w:r>
      <w:proofErr w:type="gramEnd"/>
    </w:p>
    <w:p w14:paraId="08242068" w14:textId="6F965F0D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</w:rPr>
      </w:pPr>
      <w:r w:rsidRPr="00356260">
        <w:t>9.</w:t>
      </w:r>
      <w:r w:rsidRPr="00356260">
        <w:tab/>
      </w:r>
      <w:r w:rsidR="005F0C10" w:rsidRPr="00356260">
        <w:t>Если будет принят вариант, предусматривающий полное объединение секретариата, вторая часть ежегодного взноса Швейцарии составит 500 000 швейц</w:t>
      </w:r>
      <w:r w:rsidR="00AC10C1" w:rsidRPr="00AC10C1">
        <w:t>.</w:t>
      </w:r>
      <w:r w:rsidR="005F0C10" w:rsidRPr="00356260">
        <w:t xml:space="preserve"> франков, предназначенных для финансирования должности в поддержку объединения секретариата и для совместной деятельности </w:t>
      </w:r>
      <w:proofErr w:type="spellStart"/>
      <w:r w:rsidR="005F0C10" w:rsidRPr="00356260">
        <w:t>Минаматской</w:t>
      </w:r>
      <w:proofErr w:type="spellEnd"/>
      <w:r w:rsidR="005F0C10" w:rsidRPr="00356260">
        <w:t xml:space="preserve">, </w:t>
      </w:r>
      <w:proofErr w:type="spellStart"/>
      <w:r w:rsidR="005F0C10" w:rsidRPr="00356260">
        <w:t>Базельской</w:t>
      </w:r>
      <w:proofErr w:type="spellEnd"/>
      <w:r w:rsidR="005F0C10" w:rsidRPr="00356260">
        <w:t xml:space="preserve">, </w:t>
      </w:r>
      <w:proofErr w:type="spellStart"/>
      <w:r w:rsidR="005F0C10" w:rsidRPr="00356260">
        <w:t>Роттердамской</w:t>
      </w:r>
      <w:proofErr w:type="spellEnd"/>
      <w:r w:rsidR="005F0C10" w:rsidRPr="00356260">
        <w:t xml:space="preserve"> и Стокгольмской конвенций. </w:t>
      </w:r>
    </w:p>
    <w:p w14:paraId="6CFBFD1C" w14:textId="3457A6F1" w:rsidR="005F0C10" w:rsidRPr="00356260" w:rsidRDefault="0035626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56260">
        <w:t>10.</w:t>
      </w:r>
      <w:r w:rsidRPr="00356260">
        <w:tab/>
      </w:r>
      <w:r w:rsidR="005F0C10" w:rsidRPr="00356260">
        <w:t>Наконец, при выборе варианта полного объединения секретариата Швейцария также предоставит первоначальный платеж в размере 100 000 швейц</w:t>
      </w:r>
      <w:r w:rsidR="00AC10C1" w:rsidRPr="00AC10C1">
        <w:t>.</w:t>
      </w:r>
      <w:r w:rsidR="005F0C10" w:rsidRPr="00356260">
        <w:t xml:space="preserve"> франков на цели создания офисной инфраструктуры и объединения секретариата. </w:t>
      </w:r>
    </w:p>
    <w:p w14:paraId="1A2A1861" w14:textId="0D4450CB" w:rsidR="005F0C10" w:rsidRPr="00CE512E" w:rsidRDefault="005F0C1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356260">
        <w:tab/>
      </w:r>
      <w:r w:rsidRPr="00CE512E">
        <w:rPr>
          <w:b/>
          <w:sz w:val="24"/>
          <w:szCs w:val="24"/>
        </w:rPr>
        <w:t xml:space="preserve">Вариант 1 b): объединение с секретариатом </w:t>
      </w:r>
      <w:proofErr w:type="spellStart"/>
      <w:r w:rsidRPr="00CE512E">
        <w:rPr>
          <w:b/>
          <w:sz w:val="24"/>
          <w:szCs w:val="24"/>
        </w:rPr>
        <w:t>Базельской</w:t>
      </w:r>
      <w:proofErr w:type="spellEnd"/>
      <w:r w:rsidRPr="00CE512E">
        <w:rPr>
          <w:b/>
          <w:sz w:val="24"/>
          <w:szCs w:val="24"/>
        </w:rPr>
        <w:t xml:space="preserve">, </w:t>
      </w:r>
      <w:proofErr w:type="spellStart"/>
      <w:r w:rsidRPr="00CE512E">
        <w:rPr>
          <w:b/>
          <w:sz w:val="24"/>
          <w:szCs w:val="24"/>
        </w:rPr>
        <w:t>Роттердамской</w:t>
      </w:r>
      <w:proofErr w:type="spellEnd"/>
      <w:r w:rsidRPr="00CE512E">
        <w:rPr>
          <w:b/>
          <w:sz w:val="24"/>
          <w:szCs w:val="24"/>
        </w:rPr>
        <w:t xml:space="preserve"> и </w:t>
      </w:r>
      <w:proofErr w:type="gramStart"/>
      <w:r w:rsidRPr="00CE512E">
        <w:rPr>
          <w:b/>
          <w:sz w:val="24"/>
          <w:szCs w:val="24"/>
        </w:rPr>
        <w:t>Стокгольмской</w:t>
      </w:r>
      <w:proofErr w:type="gramEnd"/>
      <w:r w:rsidRPr="00CE512E">
        <w:rPr>
          <w:b/>
          <w:sz w:val="24"/>
          <w:szCs w:val="24"/>
        </w:rPr>
        <w:t xml:space="preserve"> конвенций посредством создания четвертого подразделения на переходный период</w:t>
      </w:r>
    </w:p>
    <w:p w14:paraId="5BF608CB" w14:textId="7E7BD772" w:rsidR="005F0C10" w:rsidRPr="00356260" w:rsidRDefault="00CE512E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</w:rPr>
      </w:pPr>
      <w:r w:rsidRPr="00CE512E">
        <w:t>11.</w:t>
      </w:r>
      <w:r w:rsidRPr="00CE512E">
        <w:tab/>
      </w:r>
      <w:r w:rsidR="005F0C10" w:rsidRPr="00356260">
        <w:t xml:space="preserve">В представленном правительством Швейцарии разъясняющем документе также рассматривается возможность объединения секретариата путем создания на временной основе четвертого подразделения секретариата. Первоначальное предложение Швейцарии о размещении у себя постоянного секретариата не включало рассмотрение этого варианта. </w:t>
      </w:r>
    </w:p>
    <w:p w14:paraId="08BC3F7F" w14:textId="43367BF4" w:rsidR="005F0C10" w:rsidRPr="00356260" w:rsidRDefault="00CE512E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</w:rPr>
      </w:pPr>
      <w:r w:rsidRPr="00CE512E">
        <w:t>12.</w:t>
      </w:r>
      <w:r w:rsidRPr="00CE512E">
        <w:tab/>
      </w:r>
      <w:r w:rsidR="005F0C10" w:rsidRPr="00356260">
        <w:t>Швейцария указывает, что если будет принят этот вариант, она будет выплачивать ежегодны</w:t>
      </w:r>
      <w:r w:rsidR="00AC10C1">
        <w:t xml:space="preserve">й нецелевой взнос в размере </w:t>
      </w:r>
      <w:r w:rsidR="00AC10C1" w:rsidRPr="00AC10C1">
        <w:t>2</w:t>
      </w:r>
      <w:r w:rsidR="00AC10C1">
        <w:t xml:space="preserve"> млн. швейц.</w:t>
      </w:r>
      <w:r w:rsidR="005F0C10" w:rsidRPr="00356260">
        <w:t xml:space="preserve"> франков. Как и в вышеуказанном варианте, можно заключить, что этот нецелевой ежегодный взнос предоставляется без каких</w:t>
      </w:r>
      <w:r w:rsidR="006A0796" w:rsidRPr="006A0796">
        <w:noBreakHyphen/>
      </w:r>
      <w:r w:rsidR="005F0C10" w:rsidRPr="00356260">
        <w:t xml:space="preserve">либо ограничений в отношении его использования, в том числе без каких-либо конкретных ограничений на его использование для проведения совещаний, где бы они ни проходили. Как указывалось выше, можно также предположить, что этот нецелевой ежегодный взнос в размере </w:t>
      </w:r>
      <w:r w:rsidR="00AC10C1">
        <w:t>2 млн. швейц.</w:t>
      </w:r>
      <w:r w:rsidR="005F0C10" w:rsidRPr="00356260">
        <w:t xml:space="preserve"> франков включает начисленный взнос Швейцарии как Стороны Конвенции.</w:t>
      </w:r>
    </w:p>
    <w:p w14:paraId="38DCA642" w14:textId="37F67BD4" w:rsidR="005F0C10" w:rsidRPr="00356260" w:rsidRDefault="00CE512E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</w:rPr>
      </w:pPr>
      <w:r w:rsidRPr="00CE512E">
        <w:t>13.</w:t>
      </w:r>
      <w:r w:rsidRPr="00CE512E">
        <w:tab/>
      </w:r>
      <w:r w:rsidR="005F0C10" w:rsidRPr="00356260">
        <w:t>Этот вариант также включает первоначальный платеж в размере 100 000 швейц</w:t>
      </w:r>
      <w:r w:rsidR="00AC10C1">
        <w:t>.</w:t>
      </w:r>
      <w:r w:rsidR="005F0C10" w:rsidRPr="00356260">
        <w:t xml:space="preserve"> франков на цели создания офисной инфраструктуры и объединения секретариата.</w:t>
      </w:r>
    </w:p>
    <w:p w14:paraId="03E2F185" w14:textId="345DD1EE" w:rsidR="005F0C10" w:rsidRPr="00CE512E" w:rsidRDefault="00CE512E" w:rsidP="00CE512E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>
        <w:lastRenderedPageBreak/>
        <w:tab/>
      </w:r>
      <w:r w:rsidR="005F0C10" w:rsidRPr="00CE512E">
        <w:rPr>
          <w:b/>
          <w:sz w:val="24"/>
          <w:szCs w:val="24"/>
        </w:rPr>
        <w:t>Вариант 2: использование временного секретариата</w:t>
      </w:r>
    </w:p>
    <w:p w14:paraId="34582FFE" w14:textId="17DC3675" w:rsidR="005F0C10" w:rsidRPr="00356260" w:rsidRDefault="00CE512E" w:rsidP="00CE512E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</w:rPr>
      </w:pPr>
      <w:r w:rsidRPr="00CE512E">
        <w:t>14.</w:t>
      </w:r>
      <w:r w:rsidRPr="00CE512E">
        <w:tab/>
      </w:r>
      <w:r w:rsidR="005F0C10" w:rsidRPr="00356260">
        <w:t xml:space="preserve">Что касается варианта, предусматривающего использование временного секретариата в качестве основы для постоянного секретариата в Женеве, в первоначальном предложении Швейцарии ее поддержка такого варианта была ограничена ее начисленными взносами в качестве Стороны Конвенции. Однако в разъясняющем документе правительство Швейцарии указывает, что оно также предоставит взнос в </w:t>
      </w:r>
      <w:r w:rsidR="00AC10C1">
        <w:t>размере 100 000 швейц.</w:t>
      </w:r>
      <w:r w:rsidR="005F0C10" w:rsidRPr="00356260">
        <w:t xml:space="preserve"> франков на цели создания офисной инфраструктуры и объединения секретариата.</w:t>
      </w:r>
    </w:p>
    <w:p w14:paraId="3635F15A" w14:textId="6142A1CF" w:rsidR="005F0C10" w:rsidRPr="00CE512E" w:rsidRDefault="00CE512E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>
        <w:tab/>
      </w:r>
      <w:r w:rsidR="005F0C10" w:rsidRPr="00CE512E">
        <w:rPr>
          <w:b/>
          <w:sz w:val="24"/>
          <w:szCs w:val="24"/>
        </w:rPr>
        <w:t>Для всех вариантов</w:t>
      </w:r>
    </w:p>
    <w:p w14:paraId="4E78C783" w14:textId="54465E96" w:rsidR="005F0C10" w:rsidRPr="00356260" w:rsidRDefault="00CE512E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E512E">
        <w:t>15.</w:t>
      </w:r>
      <w:r w:rsidRPr="00CE512E">
        <w:tab/>
      </w:r>
      <w:r w:rsidR="005F0C10" w:rsidRPr="00356260">
        <w:t xml:space="preserve">Наконец, для всех вариантов, связанных с размещением постоянного секретариата в Женеве, правительство Швейцарии указало, что оно предоставит без арендной платы служебные помещения и возможность использования Женевского международного </w:t>
      </w:r>
      <w:proofErr w:type="spellStart"/>
      <w:r w:rsidR="005F0C10" w:rsidRPr="00356260">
        <w:t>конференционного</w:t>
      </w:r>
      <w:proofErr w:type="spellEnd"/>
      <w:r w:rsidR="005F0C10" w:rsidRPr="00356260">
        <w:t xml:space="preserve"> центра для целей проведения совещаний. </w:t>
      </w:r>
    </w:p>
    <w:p w14:paraId="0A8AC0D0" w14:textId="2AA778E9" w:rsidR="005F0C10" w:rsidRPr="00CE512E" w:rsidRDefault="005F0C10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356260">
        <w:tab/>
      </w:r>
      <w:r w:rsidRPr="00CE512E">
        <w:rPr>
          <w:b/>
          <w:sz w:val="24"/>
          <w:szCs w:val="24"/>
        </w:rPr>
        <w:t>Предлагаемые меры для принятия Конференцией Сторон</w:t>
      </w:r>
    </w:p>
    <w:p w14:paraId="0813A556" w14:textId="7621D3C2" w:rsidR="005F0C10" w:rsidRPr="00356260" w:rsidRDefault="00AC10C1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16.</w:t>
      </w:r>
      <w:r>
        <w:tab/>
      </w:r>
      <w:r w:rsidR="005F0C10" w:rsidRPr="00356260">
        <w:t xml:space="preserve">Конференция Сторон, возможно, пожелает рассмотреть предложение правительства Швейцарии в ходе обсуждения вопроса о размещении постоянного секретариата </w:t>
      </w:r>
      <w:proofErr w:type="spellStart"/>
      <w:r w:rsidR="005F0C10" w:rsidRPr="00356260">
        <w:t>Минаматской</w:t>
      </w:r>
      <w:proofErr w:type="spellEnd"/>
      <w:r w:rsidR="005F0C10" w:rsidRPr="00356260">
        <w:t xml:space="preserve"> конвенции. </w:t>
      </w:r>
    </w:p>
    <w:p w14:paraId="48675DA9" w14:textId="336DAA7A" w:rsidR="008F1BC0" w:rsidRPr="00CE512E" w:rsidRDefault="00CE512E" w:rsidP="00CE512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120"/>
        <w:ind w:left="1247"/>
        <w:jc w:val="center"/>
        <w:rPr>
          <w:lang w:val="en-US"/>
        </w:rPr>
      </w:pPr>
      <w:r>
        <w:rPr>
          <w:lang w:val="en-US"/>
        </w:rPr>
        <w:t>_____________________</w:t>
      </w:r>
    </w:p>
    <w:sectPr w:rsidR="008F1BC0" w:rsidRPr="00CE512E" w:rsidSect="00C60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7547" w14:textId="77777777" w:rsidR="006A0796" w:rsidRDefault="006A0796">
      <w:r>
        <w:separator/>
      </w:r>
    </w:p>
  </w:endnote>
  <w:endnote w:type="continuationSeparator" w:id="0">
    <w:p w14:paraId="4F8F563F" w14:textId="77777777" w:rsidR="006A0796" w:rsidRDefault="006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741886E2" w:rsidR="006A0796" w:rsidRDefault="006A0796" w:rsidP="00BC77BD">
    <w:pPr>
      <w:pStyle w:val="af3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A25CD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351E83D8" w:rsidR="006A0796" w:rsidRDefault="006A0796" w:rsidP="00F1712F">
    <w:pPr>
      <w:pStyle w:val="af3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A25CD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5A896B47" w:rsidR="006A0796" w:rsidRPr="00C4766A" w:rsidRDefault="006A0796" w:rsidP="000A2D09">
    <w:pPr>
      <w:pStyle w:val="af3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K170</w:t>
    </w:r>
    <w:r>
      <w:rPr>
        <w:sz w:val="20"/>
        <w:lang w:val="en-US"/>
      </w:rPr>
      <w:t>7154</w:t>
    </w:r>
    <w:r w:rsidRPr="00C4766A">
      <w:rPr>
        <w:sz w:val="20"/>
        <w:lang w:val="en-US"/>
      </w:rPr>
      <w:t xml:space="preserve">      </w:t>
    </w:r>
    <w:r w:rsidR="00BA25CD">
      <w:rPr>
        <w:sz w:val="20"/>
        <w:lang w:val="en-US"/>
      </w:rPr>
      <w:t>09</w:t>
    </w:r>
    <w:r>
      <w:rPr>
        <w:sz w:val="20"/>
        <w:lang w:val="en-US"/>
      </w:rPr>
      <w:t>08</w:t>
    </w:r>
    <w:r w:rsidRPr="00C4766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5350" w14:textId="77777777" w:rsidR="006A0796" w:rsidRDefault="006A0796" w:rsidP="003562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</w:pPr>
      <w:r>
        <w:separator/>
      </w:r>
    </w:p>
  </w:footnote>
  <w:footnote w:type="continuationSeparator" w:id="0">
    <w:p w14:paraId="584ED0D4" w14:textId="77777777" w:rsidR="006A0796" w:rsidRDefault="006A0796">
      <w:r>
        <w:continuationSeparator/>
      </w:r>
    </w:p>
  </w:footnote>
  <w:footnote w:id="1">
    <w:p w14:paraId="74BA8970" w14:textId="67F8C882" w:rsidR="006A0796" w:rsidRPr="00C40E6F" w:rsidRDefault="006A0796" w:rsidP="00356260">
      <w:pPr>
        <w:pStyle w:val="Body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ab/>
      </w:r>
      <w:r w:rsidRPr="00C40E6F">
        <w:rPr>
          <w:sz w:val="18"/>
          <w:szCs w:val="18"/>
          <w:lang w:val="ru-RU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4A4120A5" w:rsidR="006A0796" w:rsidRPr="008E11C4" w:rsidRDefault="006A0796" w:rsidP="000A2D09">
    <w:pPr>
      <w:pStyle w:val="af4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t>UNEP/MC/COP.1/</w:t>
    </w:r>
    <w:r>
      <w:rPr>
        <w:lang w:val="en-US"/>
      </w:rPr>
      <w:t>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4F7BF946" w:rsidR="006A0796" w:rsidRPr="00BC77BD" w:rsidRDefault="006A0796" w:rsidP="000965E2">
    <w:pPr>
      <w:pStyle w:val="af4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t>UNEP/MC/COP.1/</w:t>
    </w:r>
    <w:r>
      <w:rPr>
        <w:lang w:val="en-US"/>
      </w:rPr>
      <w:t>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422262CC" w:rsidR="006A0796" w:rsidRDefault="006A0796" w:rsidP="00032E4E">
    <w:pPr>
      <w:pStyle w:val="af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EF64359"/>
    <w:multiLevelType w:val="hybridMultilevel"/>
    <w:tmpl w:val="BBB80F2E"/>
    <w:numStyleLink w:val="Normallist"/>
  </w:abstractNum>
  <w:abstractNum w:abstractNumId="4">
    <w:nsid w:val="35571603"/>
    <w:multiLevelType w:val="singleLevel"/>
    <w:tmpl w:val="2868AC2A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5F451EDC"/>
    <w:multiLevelType w:val="hybridMultilevel"/>
    <w:tmpl w:val="45DE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5"/>
  </w:num>
  <w:num w:numId="19">
    <w:abstractNumId w:val="6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7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11076"/>
    <w:rsid w:val="000149E6"/>
    <w:rsid w:val="00023DA9"/>
    <w:rsid w:val="000247B0"/>
    <w:rsid w:val="0002502C"/>
    <w:rsid w:val="00026997"/>
    <w:rsid w:val="00026A08"/>
    <w:rsid w:val="00032E4E"/>
    <w:rsid w:val="00033E0B"/>
    <w:rsid w:val="00035CB9"/>
    <w:rsid w:val="00035EDE"/>
    <w:rsid w:val="000509B4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965E2"/>
    <w:rsid w:val="000A035D"/>
    <w:rsid w:val="000A2D09"/>
    <w:rsid w:val="000A33DF"/>
    <w:rsid w:val="000A48BD"/>
    <w:rsid w:val="000A5627"/>
    <w:rsid w:val="000B22A2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3A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2EAB"/>
    <w:rsid w:val="00184349"/>
    <w:rsid w:val="00195F33"/>
    <w:rsid w:val="001A04AA"/>
    <w:rsid w:val="001A3865"/>
    <w:rsid w:val="001B1617"/>
    <w:rsid w:val="001B504B"/>
    <w:rsid w:val="001B6F89"/>
    <w:rsid w:val="001B6F98"/>
    <w:rsid w:val="001C191A"/>
    <w:rsid w:val="001D3874"/>
    <w:rsid w:val="001D7E75"/>
    <w:rsid w:val="001E037C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6260"/>
    <w:rsid w:val="00357156"/>
    <w:rsid w:val="003578DE"/>
    <w:rsid w:val="00361688"/>
    <w:rsid w:val="003616AB"/>
    <w:rsid w:val="00361855"/>
    <w:rsid w:val="00372443"/>
    <w:rsid w:val="00377EC7"/>
    <w:rsid w:val="00377FD5"/>
    <w:rsid w:val="003877D5"/>
    <w:rsid w:val="003929B8"/>
    <w:rsid w:val="00393E67"/>
    <w:rsid w:val="00396257"/>
    <w:rsid w:val="00397EB8"/>
    <w:rsid w:val="003A301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D5A7E"/>
    <w:rsid w:val="003D5F55"/>
    <w:rsid w:val="003E35DA"/>
    <w:rsid w:val="003E36CB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927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0C10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67455"/>
    <w:rsid w:val="00684BE1"/>
    <w:rsid w:val="00692E2A"/>
    <w:rsid w:val="006A0796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7AFF"/>
    <w:rsid w:val="007027B9"/>
    <w:rsid w:val="007066B5"/>
    <w:rsid w:val="007145DA"/>
    <w:rsid w:val="00715E88"/>
    <w:rsid w:val="00721A6D"/>
    <w:rsid w:val="007334E8"/>
    <w:rsid w:val="00734CAA"/>
    <w:rsid w:val="00741552"/>
    <w:rsid w:val="00742680"/>
    <w:rsid w:val="00744004"/>
    <w:rsid w:val="00754586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1E8"/>
    <w:rsid w:val="00775D8D"/>
    <w:rsid w:val="0078489D"/>
    <w:rsid w:val="00787240"/>
    <w:rsid w:val="00787688"/>
    <w:rsid w:val="007935E6"/>
    <w:rsid w:val="00795D0D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478D"/>
    <w:rsid w:val="007F62CB"/>
    <w:rsid w:val="00805335"/>
    <w:rsid w:val="008142EC"/>
    <w:rsid w:val="008164F2"/>
    <w:rsid w:val="00821395"/>
    <w:rsid w:val="008234D4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C34A4"/>
    <w:rsid w:val="008C5EE0"/>
    <w:rsid w:val="008C5FFF"/>
    <w:rsid w:val="008D4EF1"/>
    <w:rsid w:val="008D75E4"/>
    <w:rsid w:val="008D7C99"/>
    <w:rsid w:val="008E0FCB"/>
    <w:rsid w:val="008E11C4"/>
    <w:rsid w:val="008F1BC0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5CB8"/>
    <w:rsid w:val="009E307E"/>
    <w:rsid w:val="009F0A2A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0C8F"/>
    <w:rsid w:val="00A414F6"/>
    <w:rsid w:val="00A4175F"/>
    <w:rsid w:val="00A43A67"/>
    <w:rsid w:val="00A44411"/>
    <w:rsid w:val="00A469FA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7617D"/>
    <w:rsid w:val="00A8048B"/>
    <w:rsid w:val="00A80611"/>
    <w:rsid w:val="00A84544"/>
    <w:rsid w:val="00A845BB"/>
    <w:rsid w:val="00A91D38"/>
    <w:rsid w:val="00A92050"/>
    <w:rsid w:val="00AA2EC0"/>
    <w:rsid w:val="00AA5BF4"/>
    <w:rsid w:val="00AB5340"/>
    <w:rsid w:val="00AC0A89"/>
    <w:rsid w:val="00AC10C1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1F1B"/>
    <w:rsid w:val="00B85CFB"/>
    <w:rsid w:val="00B91EE1"/>
    <w:rsid w:val="00B94602"/>
    <w:rsid w:val="00BA0090"/>
    <w:rsid w:val="00BA1A67"/>
    <w:rsid w:val="00BA25CD"/>
    <w:rsid w:val="00BA6A80"/>
    <w:rsid w:val="00BB3A5D"/>
    <w:rsid w:val="00BB4ABB"/>
    <w:rsid w:val="00BC041F"/>
    <w:rsid w:val="00BC5810"/>
    <w:rsid w:val="00BC77BD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46D4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A0074"/>
    <w:rsid w:val="00CA2EA3"/>
    <w:rsid w:val="00CA5CA9"/>
    <w:rsid w:val="00CA6C7F"/>
    <w:rsid w:val="00CB6B35"/>
    <w:rsid w:val="00CB71A3"/>
    <w:rsid w:val="00CC0FC7"/>
    <w:rsid w:val="00CC10A6"/>
    <w:rsid w:val="00CC5847"/>
    <w:rsid w:val="00CC7142"/>
    <w:rsid w:val="00CD2011"/>
    <w:rsid w:val="00CD46C5"/>
    <w:rsid w:val="00CD5EB8"/>
    <w:rsid w:val="00CD7044"/>
    <w:rsid w:val="00CE08B9"/>
    <w:rsid w:val="00CE512E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6625C"/>
    <w:rsid w:val="00D739CC"/>
    <w:rsid w:val="00D8093D"/>
    <w:rsid w:val="00D8108C"/>
    <w:rsid w:val="00D842AE"/>
    <w:rsid w:val="00D9211C"/>
    <w:rsid w:val="00D92DE0"/>
    <w:rsid w:val="00D92FEF"/>
    <w:rsid w:val="00D93A0F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B5E39"/>
    <w:rsid w:val="00EC2813"/>
    <w:rsid w:val="00EC4197"/>
    <w:rsid w:val="00EC5A46"/>
    <w:rsid w:val="00EC6255"/>
    <w:rsid w:val="00EC63E2"/>
    <w:rsid w:val="00EC7AAA"/>
    <w:rsid w:val="00ED366A"/>
    <w:rsid w:val="00ED6BB7"/>
    <w:rsid w:val="00EE1723"/>
    <w:rsid w:val="00EF22B3"/>
    <w:rsid w:val="00EF5D53"/>
    <w:rsid w:val="00F03B69"/>
    <w:rsid w:val="00F07A50"/>
    <w:rsid w:val="00F113DA"/>
    <w:rsid w:val="00F12DA4"/>
    <w:rsid w:val="00F1495C"/>
    <w:rsid w:val="00F1712F"/>
    <w:rsid w:val="00F266FC"/>
    <w:rsid w:val="00F3037A"/>
    <w:rsid w:val="00F3465A"/>
    <w:rsid w:val="00F37DC8"/>
    <w:rsid w:val="00F4009F"/>
    <w:rsid w:val="00F439B3"/>
    <w:rsid w:val="00F650C3"/>
    <w:rsid w:val="00F65D85"/>
    <w:rsid w:val="00F6700B"/>
    <w:rsid w:val="00F8091E"/>
    <w:rsid w:val="00F83855"/>
    <w:rsid w:val="00F8615C"/>
    <w:rsid w:val="00F8673E"/>
    <w:rsid w:val="00F938EA"/>
    <w:rsid w:val="00F969E5"/>
    <w:rsid w:val="00FA1D9B"/>
    <w:rsid w:val="00FA37C4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1">
    <w:name w:val="heading 1"/>
    <w:basedOn w:val="a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2">
    <w:name w:val="heading 2"/>
    <w:basedOn w:val="a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3">
    <w:name w:val="heading 3"/>
    <w:basedOn w:val="a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4">
    <w:name w:val="heading 4"/>
    <w:basedOn w:val="3"/>
    <w:next w:val="Normalnumber"/>
    <w:qFormat/>
    <w:rsid w:val="000D6941"/>
    <w:pPr>
      <w:keepNext/>
      <w:outlineLvl w:val="3"/>
    </w:pPr>
  </w:style>
  <w:style w:type="paragraph" w:styleId="5">
    <w:name w:val="heading 5"/>
    <w:basedOn w:val="a"/>
    <w:next w:val="a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6">
    <w:name w:val="heading 6"/>
    <w:basedOn w:val="a"/>
    <w:next w:val="a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8">
    <w:name w:val="heading 8"/>
    <w:basedOn w:val="a"/>
    <w:next w:val="a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9">
    <w:name w:val="heading 9"/>
    <w:basedOn w:val="a"/>
    <w:next w:val="a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a1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60">
    <w:name w:val="toc 6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a4">
    <w:name w:val="table of figures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a1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a"/>
    <w:next w:val="a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a"/>
    <w:next w:val="a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5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a6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a7"/>
    <w:uiPriority w:val="99"/>
    <w:rsid w:val="000D6941"/>
    <w:pPr>
      <w:spacing w:before="20" w:after="40"/>
      <w:ind w:left="1247"/>
    </w:pPr>
    <w:rPr>
      <w:sz w:val="18"/>
    </w:rPr>
  </w:style>
  <w:style w:type="character" w:styleId="a8">
    <w:name w:val="annotation reference"/>
    <w:rsid w:val="003929B8"/>
    <w:rPr>
      <w:sz w:val="16"/>
      <w:szCs w:val="16"/>
    </w:rPr>
  </w:style>
  <w:style w:type="paragraph" w:styleId="a9">
    <w:name w:val="annotation text"/>
    <w:basedOn w:val="a"/>
    <w:link w:val="aa"/>
    <w:rsid w:val="003929B8"/>
  </w:style>
  <w:style w:type="character" w:customStyle="1" w:styleId="aa">
    <w:name w:val="Текст примечания Знак"/>
    <w:link w:val="a9"/>
    <w:rsid w:val="003929B8"/>
    <w:rPr>
      <w:lang w:eastAsia="en-US"/>
    </w:rPr>
  </w:style>
  <w:style w:type="paragraph" w:styleId="ab">
    <w:name w:val="annotation subject"/>
    <w:basedOn w:val="a9"/>
    <w:next w:val="a9"/>
    <w:link w:val="ac"/>
    <w:rsid w:val="003929B8"/>
    <w:rPr>
      <w:b/>
      <w:bCs/>
    </w:rPr>
  </w:style>
  <w:style w:type="character" w:customStyle="1" w:styleId="ac">
    <w:name w:val="Тема примечания Знак"/>
    <w:link w:val="ab"/>
    <w:rsid w:val="003929B8"/>
    <w:rPr>
      <w:b/>
      <w:bCs/>
      <w:lang w:eastAsia="en-US"/>
    </w:rPr>
  </w:style>
  <w:style w:type="paragraph" w:styleId="ad">
    <w:name w:val="Balloon Text"/>
    <w:basedOn w:val="a"/>
    <w:link w:val="ae"/>
    <w:rsid w:val="003929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сноски Знак"/>
    <w:aliases w:val="DNV-FT Знак,Geneva 9 Знак,Font: Geneva 9 Знак,Boston 10 Знак,f Знак,footnote3 Знак,text Знак,Geneva Знак,92 Знак,Font: Знак,Boston Знак,10 Знак,FOOTNOTES Знак,fn Знак,single space Знак,Footnote Text Rail EIS Знак,ft Знак,Footnotes Знак"/>
    <w:link w:val="a6"/>
    <w:uiPriority w:val="99"/>
    <w:locked/>
    <w:rsid w:val="0014293F"/>
    <w:rPr>
      <w:sz w:val="18"/>
      <w:lang w:val="ru-RU" w:eastAsia="en-US"/>
    </w:rPr>
  </w:style>
  <w:style w:type="table" w:styleId="af">
    <w:name w:val="Table Grid"/>
    <w:basedOn w:val="a1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a"/>
    <w:next w:val="af1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af1">
    <w:name w:val="Subtitle"/>
    <w:basedOn w:val="a"/>
    <w:next w:val="a"/>
    <w:link w:val="af2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af2">
    <w:name w:val="Подзаголовок Знак"/>
    <w:link w:val="af1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a1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af3">
    <w:name w:val="footer"/>
    <w:basedOn w:val="a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af4">
    <w:name w:val="header"/>
    <w:basedOn w:val="a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af5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2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10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20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30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40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50">
    <w:name w:val="toc 5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af6">
    <w:name w:val="Revision"/>
    <w:hidden/>
    <w:uiPriority w:val="99"/>
    <w:semiHidden/>
    <w:rsid w:val="00255632"/>
    <w:rPr>
      <w:lang w:eastAsia="en-US"/>
    </w:rPr>
  </w:style>
  <w:style w:type="character" w:customStyle="1" w:styleId="Normal-poolChar">
    <w:name w:val="Normal-pool Char"/>
    <w:link w:val="Normal-pool"/>
    <w:uiPriority w:val="99"/>
    <w:rsid w:val="007751E8"/>
    <w:rPr>
      <w:lang w:eastAsia="en-US"/>
    </w:rPr>
  </w:style>
  <w:style w:type="paragraph" w:customStyle="1" w:styleId="Body">
    <w:name w:val="Body"/>
    <w:rsid w:val="005F0C1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1">
    <w:name w:val="heading 1"/>
    <w:basedOn w:val="a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2">
    <w:name w:val="heading 2"/>
    <w:basedOn w:val="a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3">
    <w:name w:val="heading 3"/>
    <w:basedOn w:val="a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4">
    <w:name w:val="heading 4"/>
    <w:basedOn w:val="3"/>
    <w:next w:val="Normalnumber"/>
    <w:qFormat/>
    <w:rsid w:val="000D6941"/>
    <w:pPr>
      <w:keepNext/>
      <w:outlineLvl w:val="3"/>
    </w:pPr>
  </w:style>
  <w:style w:type="paragraph" w:styleId="5">
    <w:name w:val="heading 5"/>
    <w:basedOn w:val="a"/>
    <w:next w:val="a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6">
    <w:name w:val="heading 6"/>
    <w:basedOn w:val="a"/>
    <w:next w:val="a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8">
    <w:name w:val="heading 8"/>
    <w:basedOn w:val="a"/>
    <w:next w:val="a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9">
    <w:name w:val="heading 9"/>
    <w:basedOn w:val="a"/>
    <w:next w:val="a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a1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60">
    <w:name w:val="toc 6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a4">
    <w:name w:val="table of figures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a1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a"/>
    <w:next w:val="a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a"/>
    <w:next w:val="a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5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a6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a7"/>
    <w:uiPriority w:val="99"/>
    <w:rsid w:val="000D6941"/>
    <w:pPr>
      <w:spacing w:before="20" w:after="40"/>
      <w:ind w:left="1247"/>
    </w:pPr>
    <w:rPr>
      <w:sz w:val="18"/>
    </w:rPr>
  </w:style>
  <w:style w:type="character" w:styleId="a8">
    <w:name w:val="annotation reference"/>
    <w:rsid w:val="003929B8"/>
    <w:rPr>
      <w:sz w:val="16"/>
      <w:szCs w:val="16"/>
    </w:rPr>
  </w:style>
  <w:style w:type="paragraph" w:styleId="a9">
    <w:name w:val="annotation text"/>
    <w:basedOn w:val="a"/>
    <w:link w:val="aa"/>
    <w:rsid w:val="003929B8"/>
  </w:style>
  <w:style w:type="character" w:customStyle="1" w:styleId="aa">
    <w:name w:val="Текст примечания Знак"/>
    <w:link w:val="a9"/>
    <w:rsid w:val="003929B8"/>
    <w:rPr>
      <w:lang w:eastAsia="en-US"/>
    </w:rPr>
  </w:style>
  <w:style w:type="paragraph" w:styleId="ab">
    <w:name w:val="annotation subject"/>
    <w:basedOn w:val="a9"/>
    <w:next w:val="a9"/>
    <w:link w:val="ac"/>
    <w:rsid w:val="003929B8"/>
    <w:rPr>
      <w:b/>
      <w:bCs/>
    </w:rPr>
  </w:style>
  <w:style w:type="character" w:customStyle="1" w:styleId="ac">
    <w:name w:val="Тема примечания Знак"/>
    <w:link w:val="ab"/>
    <w:rsid w:val="003929B8"/>
    <w:rPr>
      <w:b/>
      <w:bCs/>
      <w:lang w:eastAsia="en-US"/>
    </w:rPr>
  </w:style>
  <w:style w:type="paragraph" w:styleId="ad">
    <w:name w:val="Balloon Text"/>
    <w:basedOn w:val="a"/>
    <w:link w:val="ae"/>
    <w:rsid w:val="003929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сноски Знак"/>
    <w:aliases w:val="DNV-FT Знак,Geneva 9 Знак,Font: Geneva 9 Знак,Boston 10 Знак,f Знак,footnote3 Знак,text Знак,Geneva Знак,92 Знак,Font: Знак,Boston Знак,10 Знак,FOOTNOTES Знак,fn Знак,single space Знак,Footnote Text Rail EIS Знак,ft Знак,Footnotes Знак"/>
    <w:link w:val="a6"/>
    <w:uiPriority w:val="99"/>
    <w:locked/>
    <w:rsid w:val="0014293F"/>
    <w:rPr>
      <w:sz w:val="18"/>
      <w:lang w:val="ru-RU" w:eastAsia="en-US"/>
    </w:rPr>
  </w:style>
  <w:style w:type="table" w:styleId="af">
    <w:name w:val="Table Grid"/>
    <w:basedOn w:val="a1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a"/>
    <w:next w:val="af1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af1">
    <w:name w:val="Subtitle"/>
    <w:basedOn w:val="a"/>
    <w:next w:val="a"/>
    <w:link w:val="af2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af2">
    <w:name w:val="Подзаголовок Знак"/>
    <w:link w:val="af1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a1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af3">
    <w:name w:val="footer"/>
    <w:basedOn w:val="a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af4">
    <w:name w:val="header"/>
    <w:basedOn w:val="a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af5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2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10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20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30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40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50">
    <w:name w:val="toc 5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af6">
    <w:name w:val="Revision"/>
    <w:hidden/>
    <w:uiPriority w:val="99"/>
    <w:semiHidden/>
    <w:rsid w:val="00255632"/>
    <w:rPr>
      <w:lang w:eastAsia="en-US"/>
    </w:rPr>
  </w:style>
  <w:style w:type="character" w:customStyle="1" w:styleId="Normal-poolChar">
    <w:name w:val="Normal-pool Char"/>
    <w:link w:val="Normal-pool"/>
    <w:uiPriority w:val="99"/>
    <w:rsid w:val="007751E8"/>
    <w:rPr>
      <w:lang w:eastAsia="en-US"/>
    </w:rPr>
  </w:style>
  <w:style w:type="paragraph" w:customStyle="1" w:styleId="Body">
    <w:name w:val="Body"/>
    <w:rsid w:val="005F0C1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392C-DD55-41F8-A381-F58BDEA6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Russian Pool1</cp:lastModifiedBy>
  <cp:revision>3</cp:revision>
  <cp:lastPrinted>2017-06-08T13:28:00Z</cp:lastPrinted>
  <dcterms:created xsi:type="dcterms:W3CDTF">2017-08-03T09:35:00Z</dcterms:created>
  <dcterms:modified xsi:type="dcterms:W3CDTF">2017-08-09T05:36:00Z</dcterms:modified>
</cp:coreProperties>
</file>