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3"/>
        <w:gridCol w:w="1203"/>
        <w:gridCol w:w="3874"/>
        <w:gridCol w:w="3083"/>
      </w:tblGrid>
      <w:tr w:rsidR="00732C77" w:rsidRPr="00C6062B" w14:paraId="301E7A39" w14:textId="77777777" w:rsidTr="00890D5A">
        <w:trPr>
          <w:cantSplit/>
          <w:trHeight w:val="850"/>
          <w:jc w:val="right"/>
        </w:trPr>
        <w:tc>
          <w:tcPr>
            <w:tcW w:w="2756" w:type="dxa"/>
            <w:gridSpan w:val="2"/>
          </w:tcPr>
          <w:p w14:paraId="76F46692" w14:textId="77777777" w:rsidR="00732C77" w:rsidRPr="00C6062B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90FD3F8" w14:textId="77777777" w:rsidR="00732C77" w:rsidRPr="00C6062B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F439E59" w14:textId="77777777" w:rsidR="00732C77" w:rsidRPr="00C6062B" w:rsidRDefault="00732C77" w:rsidP="00470D75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732C77" w:rsidRPr="00C6062B" w14:paraId="0ADED010" w14:textId="77777777" w:rsidTr="00890D5A">
        <w:trPr>
          <w:cantSplit/>
          <w:trHeight w:val="281"/>
          <w:jc w:val="right"/>
        </w:trPr>
        <w:tc>
          <w:tcPr>
            <w:tcW w:w="1553" w:type="dxa"/>
            <w:tcBorders>
              <w:bottom w:val="single" w:sz="4" w:space="0" w:color="auto"/>
            </w:tcBorders>
          </w:tcPr>
          <w:p w14:paraId="1C43B7E6" w14:textId="77777777" w:rsidR="00732C77" w:rsidRPr="00C6062B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6CF2A833" w14:textId="77777777" w:rsidR="00732C77" w:rsidRPr="00C6062B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42BAED4" w14:textId="7F131A28" w:rsidR="00732C77" w:rsidRPr="0045684C" w:rsidRDefault="00732C77" w:rsidP="00890D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</w:t>
            </w:r>
            <w:r>
              <w:rPr>
                <w:b/>
                <w:bCs/>
                <w:sz w:val="28"/>
                <w:lang w:val="en-US"/>
              </w:rPr>
              <w:t>P</w:t>
            </w:r>
            <w:r>
              <w:rPr>
                <w:lang w:val="en-US"/>
              </w:rPr>
              <w:t>/MC/CO</w:t>
            </w:r>
            <w:r>
              <w:t>P.1/</w:t>
            </w:r>
            <w:r w:rsidR="00890D5A">
              <w:t>21</w:t>
            </w:r>
          </w:p>
        </w:tc>
      </w:tr>
      <w:tr w:rsidR="00732C77" w:rsidRPr="00123CBB" w14:paraId="1D1EB7C0" w14:textId="77777777" w:rsidTr="00890D5A">
        <w:trPr>
          <w:cantSplit/>
          <w:trHeight w:val="2549"/>
          <w:jc w:val="right"/>
        </w:trPr>
        <w:tc>
          <w:tcPr>
            <w:tcW w:w="1553" w:type="dxa"/>
            <w:tcBorders>
              <w:top w:val="single" w:sz="4" w:space="0" w:color="auto"/>
              <w:bottom w:val="single" w:sz="24" w:space="0" w:color="auto"/>
            </w:tcBorders>
          </w:tcPr>
          <w:p w14:paraId="20E0AF82" w14:textId="77777777" w:rsidR="00732C77" w:rsidRPr="00123CBB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 w:rsidRPr="00123CBB">
              <w:rPr>
                <w:noProof/>
                <w:lang w:val="en-US"/>
              </w:rPr>
              <w:drawing>
                <wp:inline distT="0" distB="0" distL="0" distR="0" wp14:anchorId="3E7BFD4B" wp14:editId="35B0F718">
                  <wp:extent cx="826770" cy="7829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CBB">
              <w:rPr>
                <w:noProof/>
                <w:lang w:val="en-US"/>
              </w:rPr>
              <w:drawing>
                <wp:inline distT="0" distB="0" distL="0" distR="0" wp14:anchorId="61042D2E" wp14:editId="78463944">
                  <wp:extent cx="723900" cy="76835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6B9E2D2" w14:textId="77777777" w:rsidR="00732C77" w:rsidRPr="00123CBB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  <w:lang w:val="ru-RU"/>
              </w:rPr>
            </w:pPr>
            <w:r w:rsidRPr="00123CBB">
              <w:rPr>
                <w:rFonts w:ascii="Arial" w:hAnsi="Arial"/>
                <w:b/>
                <w:sz w:val="32"/>
                <w:szCs w:val="32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043F6EE8" w14:textId="77777777" w:rsidR="00732C77" w:rsidRPr="00123CBB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123CBB">
              <w:rPr>
                <w:lang w:val="en-US"/>
              </w:rPr>
              <w:t>Distr.: General</w:t>
            </w:r>
          </w:p>
          <w:p w14:paraId="108E5AE1" w14:textId="47783A0A" w:rsidR="00732C77" w:rsidRPr="00123CBB" w:rsidRDefault="00890D5A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123CBB">
              <w:rPr>
                <w:lang w:val="en-US"/>
              </w:rPr>
              <w:t xml:space="preserve">3 July </w:t>
            </w:r>
            <w:r w:rsidR="00732C77" w:rsidRPr="00123CBB">
              <w:rPr>
                <w:lang w:val="en-US"/>
              </w:rPr>
              <w:t>2017</w:t>
            </w:r>
          </w:p>
          <w:p w14:paraId="40411DBD" w14:textId="77777777" w:rsidR="00732C77" w:rsidRPr="00FF0593" w:rsidRDefault="00732C77" w:rsidP="00470D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123CBB">
              <w:rPr>
                <w:lang w:val="en-US"/>
              </w:rPr>
              <w:t xml:space="preserve">Russian </w:t>
            </w:r>
            <w:r w:rsidRPr="00123CBB">
              <w:rPr>
                <w:lang w:val="en-US"/>
              </w:rPr>
              <w:br/>
              <w:t>Original: English</w:t>
            </w:r>
          </w:p>
        </w:tc>
      </w:tr>
    </w:tbl>
    <w:p w14:paraId="3DC2E125" w14:textId="77777777" w:rsidR="00F04D99" w:rsidRPr="00123CBB" w:rsidRDefault="00F04D99" w:rsidP="00123C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123CBB">
        <w:rPr>
          <w:b/>
          <w:lang w:val="ru-RU"/>
        </w:rPr>
        <w:t>Конференция Сторон Минаматской конвенции о ртути</w:t>
      </w:r>
    </w:p>
    <w:p w14:paraId="78442E31" w14:textId="77777777" w:rsidR="00F04D99" w:rsidRPr="00123CBB" w:rsidRDefault="00F04D99" w:rsidP="00123C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123CBB">
        <w:rPr>
          <w:b/>
          <w:lang w:val="ru-RU"/>
        </w:rPr>
        <w:t>Первое совещание</w:t>
      </w:r>
    </w:p>
    <w:p w14:paraId="6AAD0143" w14:textId="77777777" w:rsidR="00F04D99" w:rsidRPr="00123CBB" w:rsidRDefault="00F04D99" w:rsidP="00123C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123CBB">
        <w:rPr>
          <w:lang w:val="ru-RU"/>
        </w:rPr>
        <w:t>Женева, 24-29 сентября 2017 года</w:t>
      </w:r>
    </w:p>
    <w:p w14:paraId="0A166419" w14:textId="4E11A622" w:rsidR="00F04D99" w:rsidRPr="00123CBB" w:rsidRDefault="00F04D99" w:rsidP="00123C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lang w:val="ru-RU"/>
        </w:rPr>
      </w:pPr>
      <w:r w:rsidRPr="00123CBB">
        <w:rPr>
          <w:lang w:val="ru-RU"/>
        </w:rPr>
        <w:t>Пункт 5 d) предварительной повестки дня</w:t>
      </w:r>
      <w:r w:rsidRPr="00123CBB">
        <w:rPr>
          <w:lang w:val="ru-RU"/>
        </w:rPr>
        <w:footnoteReference w:customMarkFollows="1" w:id="1"/>
        <w:t>*</w:t>
      </w:r>
    </w:p>
    <w:p w14:paraId="24C622BE" w14:textId="3FEABFE5" w:rsidR="00CC4FD8" w:rsidRPr="00F878B1" w:rsidRDefault="00CC4FD8" w:rsidP="00123CBB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right="1701"/>
        <w:rPr>
          <w:b w:val="0"/>
          <w:bCs/>
          <w:lang w:val="ru-RU"/>
        </w:rPr>
      </w:pPr>
      <w:r w:rsidRPr="00F878B1">
        <w:rPr>
          <w:lang w:val="ru-RU"/>
        </w:rPr>
        <w:t xml:space="preserve">Вопросы для принятия мер Конференцией Сторон на ее первом совещании: </w:t>
      </w:r>
      <w:r w:rsidR="00256A24" w:rsidRPr="00256A24">
        <w:rPr>
          <w:lang w:val="ru-RU"/>
        </w:rPr>
        <w:t xml:space="preserve"> </w:t>
      </w:r>
      <w:r w:rsidRPr="00F878B1">
        <w:rPr>
          <w:lang w:val="ru-RU"/>
        </w:rPr>
        <w:t>программа работы секретариата и бюджет на перио</w:t>
      </w:r>
      <w:r w:rsidR="00A74DDB" w:rsidRPr="00F878B1">
        <w:rPr>
          <w:lang w:val="ru-RU"/>
        </w:rPr>
        <w:t>д 2018-</w:t>
      </w:r>
      <w:r w:rsidRPr="00F878B1">
        <w:rPr>
          <w:lang w:val="ru-RU"/>
        </w:rPr>
        <w:t>2019 годов</w:t>
      </w:r>
    </w:p>
    <w:p w14:paraId="602F8C1E" w14:textId="3F0FFD25" w:rsidR="006B2718" w:rsidRPr="00F878B1" w:rsidRDefault="008B47EA" w:rsidP="00C670F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F878B1">
        <w:rPr>
          <w:b/>
          <w:sz w:val="28"/>
          <w:szCs w:val="28"/>
          <w:lang w:val="ru-RU"/>
        </w:rPr>
        <w:t>Программа работы секретариата и бюджет на период 2018</w:t>
      </w:r>
      <w:r w:rsidR="00C670FC" w:rsidRPr="00F878B1">
        <w:rPr>
          <w:b/>
          <w:sz w:val="28"/>
          <w:szCs w:val="28"/>
          <w:lang w:val="ru-RU"/>
        </w:rPr>
        <w:noBreakHyphen/>
      </w:r>
      <w:r w:rsidRPr="00F878B1">
        <w:rPr>
          <w:b/>
          <w:sz w:val="28"/>
          <w:szCs w:val="28"/>
          <w:lang w:val="ru-RU"/>
        </w:rPr>
        <w:t>2019 годов</w:t>
      </w:r>
    </w:p>
    <w:p w14:paraId="1B1F447A" w14:textId="636F4117" w:rsidR="006B2718" w:rsidRPr="00F878B1" w:rsidRDefault="006B2718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  <w:t>Записка секретариата</w:t>
      </w:r>
    </w:p>
    <w:p w14:paraId="1992AD2D" w14:textId="4888C9D8" w:rsidR="006B2718" w:rsidRPr="00F878B1" w:rsidRDefault="006E27F1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F878B1">
        <w:rPr>
          <w:b/>
          <w:sz w:val="28"/>
          <w:szCs w:val="28"/>
          <w:lang w:val="ru-RU"/>
        </w:rPr>
        <w:tab/>
      </w:r>
      <w:r w:rsidR="006B2718" w:rsidRPr="00F878B1">
        <w:rPr>
          <w:b/>
          <w:sz w:val="28"/>
          <w:szCs w:val="28"/>
          <w:lang w:val="ru-RU"/>
        </w:rPr>
        <w:t>I.</w:t>
      </w:r>
      <w:r w:rsidR="006B2718" w:rsidRPr="00F878B1">
        <w:rPr>
          <w:b/>
          <w:sz w:val="28"/>
          <w:szCs w:val="28"/>
          <w:lang w:val="ru-RU"/>
        </w:rPr>
        <w:tab/>
        <w:t>Введение</w:t>
      </w:r>
    </w:p>
    <w:p w14:paraId="03FDA58B" w14:textId="308BA308" w:rsidR="00CF1BD2" w:rsidRPr="00F878B1" w:rsidRDefault="0006470F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1.</w:t>
      </w:r>
      <w:r w:rsidRPr="00F878B1">
        <w:rPr>
          <w:lang w:val="ru-RU"/>
        </w:rPr>
        <w:tab/>
      </w:r>
      <w:r w:rsidR="002400F0" w:rsidRPr="00F878B1">
        <w:rPr>
          <w:lang w:val="ru-RU"/>
        </w:rPr>
        <w:t>Период 2018</w:t>
      </w:r>
      <w:r w:rsidR="00E820AA" w:rsidRPr="00F878B1">
        <w:rPr>
          <w:lang w:val="ru-RU"/>
        </w:rPr>
        <w:t>-</w:t>
      </w:r>
      <w:r w:rsidR="002400F0" w:rsidRPr="00F878B1">
        <w:rPr>
          <w:lang w:val="ru-RU"/>
        </w:rPr>
        <w:t>2019 годов знаменует собой первый для Минаматской конвенции о ртути двухгодичный период. В связи с этим в настоящей записке излагаются предлагаемые мероприятия первой программы работы секретариата и бюджет для осуществления этой программы работы.</w:t>
      </w:r>
    </w:p>
    <w:p w14:paraId="43C83C79" w14:textId="175F7185" w:rsidR="00031A11" w:rsidRPr="00F878B1" w:rsidRDefault="0006470F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2.</w:t>
      </w:r>
      <w:r w:rsidRPr="00F878B1">
        <w:rPr>
          <w:lang w:val="ru-RU"/>
        </w:rPr>
        <w:tab/>
      </w:r>
      <w:r w:rsidR="003448C7" w:rsidRPr="00F878B1">
        <w:rPr>
          <w:lang w:val="ru-RU"/>
        </w:rPr>
        <w:t>В пункте 11 своей резолюции о мероприятиях на промежуточный период (</w:t>
      </w:r>
      <w:r w:rsidR="005E10BE" w:rsidRPr="00F878B1">
        <w:rPr>
          <w:lang w:val="ru-RU"/>
        </w:rPr>
        <w:t xml:space="preserve">см. </w:t>
      </w:r>
      <w:r w:rsidR="003448C7" w:rsidRPr="00F878B1">
        <w:rPr>
          <w:lang w:val="ru-RU"/>
        </w:rPr>
        <w:t>UNEP(DTIE)/</w:t>
      </w:r>
      <w:proofErr w:type="spellStart"/>
      <w:r w:rsidR="003448C7" w:rsidRPr="00F878B1">
        <w:rPr>
          <w:lang w:val="ru-RU"/>
        </w:rPr>
        <w:t>Hg</w:t>
      </w:r>
      <w:proofErr w:type="spellEnd"/>
      <w:r w:rsidR="003448C7" w:rsidRPr="00F878B1">
        <w:rPr>
          <w:lang w:val="ru-RU"/>
        </w:rPr>
        <w:t>/CONF/4, приложение I) Конференция полномочных представителей по Минаматской конвенции просила Директора-исполнителя Программы Организации Объединенных Наций по окружающей среде (ЮНЕП) предоставить услуги временного секретариата в поддержку Межправительственного комитета для ведения переговоров и его деятельности до первого совещания Конференции Сторон. В этой связи временному секретариату было поручено подготовить первую программу работы для постоянного секретариата и первый бюджет для Конвенции, которые буд</w:t>
      </w:r>
      <w:r w:rsidR="002B4DE8">
        <w:rPr>
          <w:lang w:val="ru-RU"/>
        </w:rPr>
        <w:t>у</w:t>
      </w:r>
      <w:r w:rsidR="003448C7" w:rsidRPr="00F878B1">
        <w:rPr>
          <w:lang w:val="ru-RU"/>
        </w:rPr>
        <w:t>т представлены для рассмотрения и принятия Конференцией</w:t>
      </w:r>
      <w:r w:rsidR="009006E0" w:rsidRPr="00F878B1">
        <w:rPr>
          <w:lang w:val="ru-RU"/>
        </w:rPr>
        <w:t xml:space="preserve"> Сторон на ее первом совещании.</w:t>
      </w:r>
    </w:p>
    <w:p w14:paraId="1037ACCB" w14:textId="473880C8" w:rsidR="00C208D1" w:rsidRPr="00F878B1" w:rsidRDefault="0006470F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3.</w:t>
      </w:r>
      <w:r w:rsidRPr="00F878B1">
        <w:rPr>
          <w:lang w:val="ru-RU"/>
        </w:rPr>
        <w:tab/>
      </w:r>
      <w:r w:rsidR="0062620A" w:rsidRPr="00F878B1">
        <w:rPr>
          <w:lang w:val="ru-RU"/>
        </w:rPr>
        <w:t xml:space="preserve">Во исполнение этой просьбы в настоящей записке представлена </w:t>
      </w:r>
      <w:r w:rsidR="00FF0593" w:rsidRPr="00F878B1">
        <w:rPr>
          <w:lang w:val="ru-RU"/>
        </w:rPr>
        <w:t xml:space="preserve">подготовленная временным секретариатом </w:t>
      </w:r>
      <w:r w:rsidR="0062620A" w:rsidRPr="00F878B1">
        <w:rPr>
          <w:lang w:val="ru-RU"/>
        </w:rPr>
        <w:t xml:space="preserve">наиболее точная оценка в </w:t>
      </w:r>
      <w:r w:rsidR="00FF0593" w:rsidRPr="00F878B1">
        <w:rPr>
          <w:lang w:val="ru-RU"/>
        </w:rPr>
        <w:t xml:space="preserve">отношении приоритетов </w:t>
      </w:r>
      <w:r w:rsidR="0062620A" w:rsidRPr="00F878B1">
        <w:rPr>
          <w:lang w:val="ru-RU"/>
        </w:rPr>
        <w:t xml:space="preserve">программы работы и предлагаемого бюджета для новой </w:t>
      </w:r>
      <w:r w:rsidR="005E10BE" w:rsidRPr="00F878B1">
        <w:rPr>
          <w:lang w:val="ru-RU"/>
        </w:rPr>
        <w:t>к</w:t>
      </w:r>
      <w:r w:rsidR="0062620A" w:rsidRPr="00F878B1">
        <w:rPr>
          <w:lang w:val="ru-RU"/>
        </w:rPr>
        <w:t>онвенции на двухгодичный период 2018</w:t>
      </w:r>
      <w:r w:rsidR="009006E0" w:rsidRPr="00F878B1">
        <w:rPr>
          <w:lang w:val="ru-RU"/>
        </w:rPr>
        <w:noBreakHyphen/>
        <w:t>2019 </w:t>
      </w:r>
      <w:r w:rsidR="0062620A" w:rsidRPr="00F878B1">
        <w:rPr>
          <w:lang w:val="ru-RU"/>
        </w:rPr>
        <w:t>годов. Эта оценка основана как на информации, собранной временным секретариатом с 2010 года, так и н</w:t>
      </w:r>
      <w:r w:rsidR="009006E0" w:rsidRPr="00F878B1">
        <w:rPr>
          <w:lang w:val="ru-RU"/>
        </w:rPr>
        <w:t>а тексте Конвенции и ее статей.</w:t>
      </w:r>
    </w:p>
    <w:p w14:paraId="7F00A064" w14:textId="423DCC85" w:rsidR="001C7D10" w:rsidRPr="00F878B1" w:rsidRDefault="0006470F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4.</w:t>
      </w:r>
      <w:r w:rsidRPr="00F878B1">
        <w:rPr>
          <w:lang w:val="ru-RU"/>
        </w:rPr>
        <w:tab/>
      </w:r>
      <w:r w:rsidR="0062620A" w:rsidRPr="00F878B1">
        <w:rPr>
          <w:lang w:val="ru-RU"/>
        </w:rPr>
        <w:t xml:space="preserve">Данная записка состоит из трех разделов. В вводном разделе излагаются функции секретариата, которые </w:t>
      </w:r>
      <w:r w:rsidR="00391CC8" w:rsidRPr="00F878B1">
        <w:rPr>
          <w:lang w:val="ru-RU"/>
        </w:rPr>
        <w:t>служат</w:t>
      </w:r>
      <w:r w:rsidR="0062620A" w:rsidRPr="00F878B1">
        <w:rPr>
          <w:lang w:val="ru-RU"/>
        </w:rPr>
        <w:t xml:space="preserve"> основ</w:t>
      </w:r>
      <w:r w:rsidR="00391CC8" w:rsidRPr="00F878B1">
        <w:rPr>
          <w:lang w:val="ru-RU"/>
        </w:rPr>
        <w:t>ой</w:t>
      </w:r>
      <w:r w:rsidR="0062620A" w:rsidRPr="00F878B1">
        <w:rPr>
          <w:lang w:val="ru-RU"/>
        </w:rPr>
        <w:t xml:space="preserve"> для программы работы, указываются положения проекта </w:t>
      </w:r>
      <w:bookmarkStart w:id="0" w:name="_GoBack"/>
      <w:bookmarkEnd w:id="0"/>
      <w:r w:rsidR="0062620A" w:rsidRPr="00F878B1">
        <w:rPr>
          <w:lang w:val="ru-RU"/>
        </w:rPr>
        <w:t xml:space="preserve">финансовых правил, </w:t>
      </w:r>
      <w:r w:rsidR="00391CC8" w:rsidRPr="00F878B1">
        <w:rPr>
          <w:lang w:val="ru-RU"/>
        </w:rPr>
        <w:t>используемые в качестве</w:t>
      </w:r>
      <w:r w:rsidR="0062620A" w:rsidRPr="00F878B1">
        <w:rPr>
          <w:lang w:val="ru-RU"/>
        </w:rPr>
        <w:t xml:space="preserve"> руководств</w:t>
      </w:r>
      <w:r w:rsidR="00391CC8" w:rsidRPr="00F878B1">
        <w:rPr>
          <w:lang w:val="ru-RU"/>
        </w:rPr>
        <w:t>а</w:t>
      </w:r>
      <w:r w:rsidR="0062620A" w:rsidRPr="00F878B1">
        <w:rPr>
          <w:lang w:val="ru-RU"/>
        </w:rPr>
        <w:t xml:space="preserve"> </w:t>
      </w:r>
      <w:r w:rsidR="00391CC8" w:rsidRPr="00F878B1">
        <w:rPr>
          <w:lang w:val="ru-RU"/>
        </w:rPr>
        <w:t>при</w:t>
      </w:r>
      <w:r w:rsidR="0062620A" w:rsidRPr="00F878B1">
        <w:rPr>
          <w:lang w:val="ru-RU"/>
        </w:rPr>
        <w:t xml:space="preserve"> подготовк</w:t>
      </w:r>
      <w:r w:rsidR="00391CC8" w:rsidRPr="00F878B1">
        <w:rPr>
          <w:lang w:val="ru-RU"/>
        </w:rPr>
        <w:t>е</w:t>
      </w:r>
      <w:r w:rsidR="0062620A" w:rsidRPr="00F878B1">
        <w:rPr>
          <w:lang w:val="ru-RU"/>
        </w:rPr>
        <w:t xml:space="preserve"> бюджета, и обращается внимание на </w:t>
      </w:r>
      <w:r w:rsidR="00391CC8" w:rsidRPr="00F878B1">
        <w:rPr>
          <w:lang w:val="ru-RU"/>
        </w:rPr>
        <w:t xml:space="preserve">основные </w:t>
      </w:r>
      <w:r w:rsidR="0062620A" w:rsidRPr="00F878B1">
        <w:rPr>
          <w:lang w:val="ru-RU"/>
        </w:rPr>
        <w:t xml:space="preserve">решения, </w:t>
      </w:r>
      <w:r w:rsidR="00391CC8" w:rsidRPr="00F878B1">
        <w:rPr>
          <w:lang w:val="ru-RU"/>
        </w:rPr>
        <w:t>подлежащие</w:t>
      </w:r>
      <w:r w:rsidR="0062620A" w:rsidRPr="00F878B1">
        <w:rPr>
          <w:lang w:val="ru-RU"/>
        </w:rPr>
        <w:t xml:space="preserve"> принят</w:t>
      </w:r>
      <w:r w:rsidR="00391CC8" w:rsidRPr="00F878B1">
        <w:rPr>
          <w:lang w:val="ru-RU"/>
        </w:rPr>
        <w:t>ию</w:t>
      </w:r>
      <w:r w:rsidR="0062620A" w:rsidRPr="00F878B1">
        <w:rPr>
          <w:lang w:val="ru-RU"/>
        </w:rPr>
        <w:t xml:space="preserve"> Конференцией</w:t>
      </w:r>
      <w:r w:rsidR="005E10BE" w:rsidRPr="00F878B1">
        <w:rPr>
          <w:lang w:val="ru-RU"/>
        </w:rPr>
        <w:t xml:space="preserve"> Сторон</w:t>
      </w:r>
      <w:r w:rsidR="0062620A" w:rsidRPr="00F878B1">
        <w:rPr>
          <w:lang w:val="ru-RU"/>
        </w:rPr>
        <w:t xml:space="preserve">, </w:t>
      </w:r>
      <w:r w:rsidR="00391CC8" w:rsidRPr="00F878B1">
        <w:rPr>
          <w:lang w:val="ru-RU"/>
        </w:rPr>
        <w:t xml:space="preserve">которые </w:t>
      </w:r>
      <w:r w:rsidR="0062620A" w:rsidRPr="00F878B1">
        <w:rPr>
          <w:lang w:val="ru-RU"/>
        </w:rPr>
        <w:t>влияю</w:t>
      </w:r>
      <w:r w:rsidR="00391CC8" w:rsidRPr="00F878B1">
        <w:rPr>
          <w:lang w:val="ru-RU"/>
        </w:rPr>
        <w:t xml:space="preserve">т </w:t>
      </w:r>
      <w:r w:rsidR="0062620A" w:rsidRPr="00F878B1">
        <w:rPr>
          <w:lang w:val="ru-RU"/>
        </w:rPr>
        <w:t>на предлагаемый бюджет Конвенции. Раздел II начинается с общего обзора программы работы и бюдж</w:t>
      </w:r>
      <w:r w:rsidR="009006E0" w:rsidRPr="00F878B1">
        <w:rPr>
          <w:lang w:val="ru-RU"/>
        </w:rPr>
        <w:t>ета на двухгодичный период 2018-</w:t>
      </w:r>
      <w:r w:rsidR="0062620A" w:rsidRPr="00F878B1">
        <w:rPr>
          <w:lang w:val="ru-RU"/>
        </w:rPr>
        <w:t xml:space="preserve">2019 годов, за которым следует более подробное рассмотрение тех </w:t>
      </w:r>
      <w:r w:rsidR="00FC5D81" w:rsidRPr="00F878B1">
        <w:rPr>
          <w:lang w:val="ru-RU"/>
        </w:rPr>
        <w:t>мероприятий</w:t>
      </w:r>
      <w:r w:rsidR="0062620A" w:rsidRPr="00F878B1">
        <w:rPr>
          <w:lang w:val="ru-RU"/>
        </w:rPr>
        <w:t xml:space="preserve">, которые лежат в основе программы работы (см. также UNEP/MC/COP.1/21/Add.1), и потребностей в ресурсах, необходимых для формирования штатного расписания при различных вариантах размещения секретариата (см. </w:t>
      </w:r>
      <w:r w:rsidR="0062620A" w:rsidRPr="00F878B1">
        <w:rPr>
          <w:lang w:val="ru-RU"/>
        </w:rPr>
        <w:lastRenderedPageBreak/>
        <w:t>UNEP/MC/COP.1/21/Add.2). В этом разделе также содержится информация об ориентировочной шкале взносов и прогнозируемых начисленных взносах (UNEP/MC/COP.1/21/Add.3)</w:t>
      </w:r>
      <w:r w:rsidR="00D74102" w:rsidRPr="00F878B1">
        <w:rPr>
          <w:lang w:val="ru-RU"/>
        </w:rPr>
        <w:t xml:space="preserve"> и общее представление </w:t>
      </w:r>
      <w:r w:rsidR="0062620A" w:rsidRPr="00F878B1">
        <w:rPr>
          <w:lang w:val="ru-RU"/>
        </w:rPr>
        <w:t xml:space="preserve">программы работы и бюджета в разбивке по различным вариантам организации работы секретариата (UNEP/MC/COP.1/21/Add.4). В разделе II также </w:t>
      </w:r>
      <w:r w:rsidR="00924EF2" w:rsidRPr="00F878B1">
        <w:rPr>
          <w:lang w:val="ru-RU"/>
        </w:rPr>
        <w:t>изложена</w:t>
      </w:r>
      <w:r w:rsidR="0062620A" w:rsidRPr="00F878B1">
        <w:rPr>
          <w:lang w:val="ru-RU"/>
        </w:rPr>
        <w:t xml:space="preserve"> дополнительная информация в отношении </w:t>
      </w:r>
      <w:r w:rsidR="00E820AA" w:rsidRPr="00F878B1">
        <w:rPr>
          <w:lang w:val="ru-RU"/>
        </w:rPr>
        <w:t xml:space="preserve">Секретариата </w:t>
      </w:r>
      <w:r w:rsidR="0062620A" w:rsidRPr="00F878B1">
        <w:rPr>
          <w:lang w:val="ru-RU"/>
        </w:rPr>
        <w:t>Организации Объединенных Наций и ЮНЕП в том, что касается Международных стандартов учета в государственном секторе (МСУГС), системы «</w:t>
      </w:r>
      <w:proofErr w:type="spellStart"/>
      <w:r w:rsidR="0062620A" w:rsidRPr="00F878B1">
        <w:rPr>
          <w:lang w:val="ru-RU"/>
        </w:rPr>
        <w:t>Умоджа</w:t>
      </w:r>
      <w:proofErr w:type="spellEnd"/>
      <w:r w:rsidR="0062620A" w:rsidRPr="00F878B1">
        <w:rPr>
          <w:lang w:val="ru-RU"/>
        </w:rPr>
        <w:t>» и других соответствующих в</w:t>
      </w:r>
      <w:r w:rsidR="00D74102" w:rsidRPr="00F878B1">
        <w:rPr>
          <w:lang w:val="ru-RU"/>
        </w:rPr>
        <w:t xml:space="preserve">опросов. В разделе III изложены предлагаемые </w:t>
      </w:r>
      <w:r w:rsidR="0062620A" w:rsidRPr="00F878B1">
        <w:rPr>
          <w:lang w:val="ru-RU"/>
        </w:rPr>
        <w:t>меры</w:t>
      </w:r>
      <w:r w:rsidR="00D74102" w:rsidRPr="00F878B1">
        <w:rPr>
          <w:lang w:val="ru-RU"/>
        </w:rPr>
        <w:t xml:space="preserve"> </w:t>
      </w:r>
      <w:r w:rsidR="0062620A" w:rsidRPr="00F878B1">
        <w:rPr>
          <w:lang w:val="ru-RU"/>
        </w:rPr>
        <w:t>для принятия Конференцией</w:t>
      </w:r>
      <w:r w:rsidR="00353B31" w:rsidRPr="00F878B1">
        <w:rPr>
          <w:lang w:val="ru-RU"/>
        </w:rPr>
        <w:t xml:space="preserve"> Сторон</w:t>
      </w:r>
      <w:r w:rsidR="009006E0" w:rsidRPr="00F878B1">
        <w:rPr>
          <w:lang w:val="ru-RU"/>
        </w:rPr>
        <w:t>.</w:t>
      </w:r>
    </w:p>
    <w:p w14:paraId="213DAB4B" w14:textId="23DBE48D" w:rsidR="0062620A" w:rsidRPr="00F878B1" w:rsidRDefault="00D74102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</w:r>
      <w:r w:rsidR="002F278F" w:rsidRPr="00F878B1">
        <w:rPr>
          <w:b/>
          <w:sz w:val="24"/>
          <w:szCs w:val="24"/>
          <w:lang w:val="ru-RU"/>
        </w:rPr>
        <w:t>A.</w:t>
      </w:r>
      <w:r w:rsidR="001C7D10" w:rsidRPr="00F878B1">
        <w:rPr>
          <w:b/>
          <w:sz w:val="24"/>
          <w:szCs w:val="24"/>
          <w:lang w:val="ru-RU"/>
        </w:rPr>
        <w:tab/>
      </w:r>
      <w:r w:rsidR="00551859" w:rsidRPr="00F878B1">
        <w:rPr>
          <w:b/>
          <w:sz w:val="24"/>
          <w:szCs w:val="24"/>
          <w:lang w:val="ru-RU"/>
        </w:rPr>
        <w:t xml:space="preserve">Формирование </w:t>
      </w:r>
      <w:r w:rsidR="001C7D10" w:rsidRPr="00F878B1">
        <w:rPr>
          <w:b/>
          <w:sz w:val="24"/>
          <w:szCs w:val="24"/>
          <w:lang w:val="ru-RU"/>
        </w:rPr>
        <w:t>первой программы работы секретариата и первого предлагаемого бюджета на период 2018</w:t>
      </w:r>
      <w:r w:rsidR="002F278F" w:rsidRPr="00F878B1">
        <w:rPr>
          <w:b/>
          <w:sz w:val="24"/>
          <w:szCs w:val="24"/>
          <w:lang w:val="ru-RU"/>
        </w:rPr>
        <w:t>-</w:t>
      </w:r>
      <w:r w:rsidR="001C7D10" w:rsidRPr="00F878B1">
        <w:rPr>
          <w:b/>
          <w:sz w:val="24"/>
          <w:szCs w:val="24"/>
          <w:lang w:val="ru-RU"/>
        </w:rPr>
        <w:t xml:space="preserve">2019 годов </w:t>
      </w:r>
    </w:p>
    <w:p w14:paraId="15D6269D" w14:textId="29A3775A" w:rsidR="004634F9" w:rsidRPr="00F878B1" w:rsidRDefault="002F278F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5.</w:t>
      </w:r>
      <w:r w:rsidRPr="00F878B1">
        <w:rPr>
          <w:lang w:val="ru-RU"/>
        </w:rPr>
        <w:tab/>
      </w:r>
      <w:r w:rsidR="005C7E66" w:rsidRPr="00F878B1">
        <w:rPr>
          <w:lang w:val="ru-RU"/>
        </w:rPr>
        <w:t xml:space="preserve">В статье 24 Минаматской конвенции </w:t>
      </w:r>
      <w:r w:rsidR="00924EF2" w:rsidRPr="00F878B1">
        <w:rPr>
          <w:lang w:val="ru-RU"/>
        </w:rPr>
        <w:t xml:space="preserve">предусматривается </w:t>
      </w:r>
      <w:r w:rsidR="005C7E66" w:rsidRPr="00F878B1">
        <w:rPr>
          <w:lang w:val="ru-RU"/>
        </w:rPr>
        <w:t>учреждени</w:t>
      </w:r>
      <w:r w:rsidR="00924EF2" w:rsidRPr="00F878B1">
        <w:rPr>
          <w:lang w:val="ru-RU"/>
        </w:rPr>
        <w:t>е</w:t>
      </w:r>
      <w:r w:rsidR="005C7E66" w:rsidRPr="00F878B1">
        <w:rPr>
          <w:lang w:val="ru-RU"/>
        </w:rPr>
        <w:t xml:space="preserve"> секретариата и </w:t>
      </w:r>
      <w:r w:rsidR="00924EF2" w:rsidRPr="00F878B1">
        <w:rPr>
          <w:lang w:val="ru-RU"/>
        </w:rPr>
        <w:t xml:space="preserve">оговариваются </w:t>
      </w:r>
      <w:r w:rsidR="002B4DE8">
        <w:rPr>
          <w:lang w:val="ru-RU"/>
        </w:rPr>
        <w:t>следующие его функции:</w:t>
      </w:r>
    </w:p>
    <w:p w14:paraId="2B0A5B4F" w14:textId="394A5B7F" w:rsidR="008E1214" w:rsidRPr="00F878B1" w:rsidRDefault="002F278F" w:rsidP="002F278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a)</w:t>
      </w:r>
      <w:r w:rsidRPr="00F878B1">
        <w:rPr>
          <w:lang w:val="ru-RU"/>
        </w:rPr>
        <w:tab/>
      </w:r>
      <w:r w:rsidR="004634F9" w:rsidRPr="00F878B1">
        <w:rPr>
          <w:lang w:val="ru-RU"/>
        </w:rPr>
        <w:t>организация совещаний Конференции Сторон и ее вспомогательных органов и их обслуживание в случае необходимости;</w:t>
      </w:r>
    </w:p>
    <w:p w14:paraId="180B5448" w14:textId="74A4F099" w:rsidR="004634F9" w:rsidRPr="00F878B1" w:rsidRDefault="002F278F" w:rsidP="002F278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b)</w:t>
      </w:r>
      <w:r w:rsidRPr="00F878B1">
        <w:rPr>
          <w:lang w:val="ru-RU"/>
        </w:rPr>
        <w:tab/>
      </w:r>
      <w:r w:rsidR="004634F9" w:rsidRPr="00F878B1">
        <w:rPr>
          <w:lang w:val="ru-RU"/>
        </w:rPr>
        <w:t>содействие оказанию Сторонам, особенно Сторонам, являющимся развивающимися странами, и Сторонам, являющимся странами с переходной экономикой, содействия, по их просьбе, в осуществлении Конвенции;</w:t>
      </w:r>
    </w:p>
    <w:p w14:paraId="7A13AF0D" w14:textId="76AF1923" w:rsidR="004634F9" w:rsidRPr="00F878B1" w:rsidRDefault="002F278F" w:rsidP="002F278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c)</w:t>
      </w:r>
      <w:r w:rsidRPr="00F878B1">
        <w:rPr>
          <w:lang w:val="ru-RU"/>
        </w:rPr>
        <w:tab/>
      </w:r>
      <w:r w:rsidR="004634F9" w:rsidRPr="00F878B1">
        <w:rPr>
          <w:lang w:val="ru-RU"/>
        </w:rPr>
        <w:t>обеспечение необходимой координации деятельности с секретариатами других соответствующих международных органов, особенно других конвенций о химических веществах и отходах;</w:t>
      </w:r>
    </w:p>
    <w:p w14:paraId="649E438E" w14:textId="366441C9" w:rsidR="004634F9" w:rsidRPr="00F878B1" w:rsidRDefault="002F278F" w:rsidP="002F278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d)</w:t>
      </w:r>
      <w:r w:rsidRPr="00F878B1">
        <w:rPr>
          <w:lang w:val="ru-RU"/>
        </w:rPr>
        <w:tab/>
      </w:r>
      <w:r w:rsidR="004634F9" w:rsidRPr="00F878B1">
        <w:rPr>
          <w:lang w:val="ru-RU"/>
        </w:rPr>
        <w:t xml:space="preserve">оказание Сторонам помощи в обмене информацией, связанной с осуществлением Конвенции; </w:t>
      </w:r>
    </w:p>
    <w:p w14:paraId="5F4A7AED" w14:textId="3F3C8F6A" w:rsidR="004634F9" w:rsidRPr="00F878B1" w:rsidRDefault="002F278F" w:rsidP="002F278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e)</w:t>
      </w:r>
      <w:r w:rsidRPr="00F878B1">
        <w:rPr>
          <w:lang w:val="ru-RU"/>
        </w:rPr>
        <w:tab/>
      </w:r>
      <w:r w:rsidR="004634F9" w:rsidRPr="00F878B1">
        <w:rPr>
          <w:lang w:val="ru-RU"/>
        </w:rPr>
        <w:t>подготовка и представление Сторонам периодических докладов, основанных на информации, полученной в соответствии со статьями 15 и 21, и другой имеющейся информации;</w:t>
      </w:r>
    </w:p>
    <w:p w14:paraId="0F5A79BE" w14:textId="71E83A15" w:rsidR="004634F9" w:rsidRPr="00F878B1" w:rsidRDefault="00C56CE8" w:rsidP="002F278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f)</w:t>
      </w:r>
      <w:r w:rsidRPr="00F878B1">
        <w:rPr>
          <w:lang w:val="ru-RU"/>
        </w:rPr>
        <w:tab/>
      </w:r>
      <w:r w:rsidR="004634F9" w:rsidRPr="00F878B1">
        <w:rPr>
          <w:lang w:val="ru-RU"/>
        </w:rPr>
        <w:t>заключение под общим руководством Конференции Сторон таких административных и договорных соглашений, которые могут потребоваться для эффективного выполнения его функций;</w:t>
      </w:r>
      <w:r w:rsidR="008063C8" w:rsidRPr="00F878B1">
        <w:rPr>
          <w:lang w:val="ru-RU"/>
        </w:rPr>
        <w:t xml:space="preserve"> и</w:t>
      </w:r>
      <w:r w:rsidR="004634F9" w:rsidRPr="00F878B1">
        <w:rPr>
          <w:lang w:val="ru-RU"/>
        </w:rPr>
        <w:t xml:space="preserve"> </w:t>
      </w:r>
    </w:p>
    <w:p w14:paraId="70FDFAB8" w14:textId="00E52403" w:rsidR="004634F9" w:rsidRPr="00F878B1" w:rsidRDefault="00C56CE8" w:rsidP="002F278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g)</w:t>
      </w:r>
      <w:r w:rsidRPr="00F878B1">
        <w:rPr>
          <w:lang w:val="ru-RU"/>
        </w:rPr>
        <w:tab/>
      </w:r>
      <w:r w:rsidR="004634F9" w:rsidRPr="00F878B1">
        <w:rPr>
          <w:lang w:val="ru-RU"/>
        </w:rPr>
        <w:t xml:space="preserve">выполнение других функций секретариата, определенных в Конвенции, и таких других функций, которые могут быть определены Конференцией Сторон. </w:t>
      </w:r>
    </w:p>
    <w:p w14:paraId="402B7E51" w14:textId="0CBA19F9" w:rsidR="00D83048" w:rsidRPr="00F878B1" w:rsidRDefault="00C56CE8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6.</w:t>
      </w:r>
      <w:r w:rsidRPr="00F878B1">
        <w:rPr>
          <w:lang w:val="ru-RU"/>
        </w:rPr>
        <w:tab/>
      </w:r>
      <w:r w:rsidR="00F21952" w:rsidRPr="00F878B1">
        <w:rPr>
          <w:lang w:val="ru-RU"/>
        </w:rPr>
        <w:t>Перво</w:t>
      </w:r>
      <w:r w:rsidR="00763CD9" w:rsidRPr="00F878B1">
        <w:rPr>
          <w:lang w:val="ru-RU"/>
        </w:rPr>
        <w:t>му</w:t>
      </w:r>
      <w:r w:rsidR="00F21952" w:rsidRPr="00F878B1">
        <w:rPr>
          <w:lang w:val="ru-RU"/>
        </w:rPr>
        <w:t xml:space="preserve"> совещани</w:t>
      </w:r>
      <w:r w:rsidR="00763CD9" w:rsidRPr="00F878B1">
        <w:rPr>
          <w:lang w:val="ru-RU"/>
        </w:rPr>
        <w:t>ю</w:t>
      </w:r>
      <w:r w:rsidR="00F21952" w:rsidRPr="00F878B1">
        <w:rPr>
          <w:lang w:val="ru-RU"/>
        </w:rPr>
        <w:t xml:space="preserve"> Конференции Сторон Минаматской конвенции </w:t>
      </w:r>
      <w:r w:rsidR="00763CD9" w:rsidRPr="00F878B1">
        <w:rPr>
          <w:lang w:val="ru-RU"/>
        </w:rPr>
        <w:t xml:space="preserve">надлежит </w:t>
      </w:r>
      <w:r w:rsidR="00F21952" w:rsidRPr="00F878B1">
        <w:rPr>
          <w:lang w:val="ru-RU"/>
        </w:rPr>
        <w:t>при</w:t>
      </w:r>
      <w:r w:rsidR="00763CD9" w:rsidRPr="00F878B1">
        <w:rPr>
          <w:lang w:val="ru-RU"/>
        </w:rPr>
        <w:t>нять</w:t>
      </w:r>
      <w:r w:rsidR="00F21952" w:rsidRPr="00F878B1">
        <w:rPr>
          <w:lang w:val="ru-RU"/>
        </w:rPr>
        <w:t xml:space="preserve"> проект финансовых правил для Конференции и любых ее вспомогательных органов, а также финансовые положения, регулирующие функционирование секретариата Конвенции (см. UNEP/MC/COP.1/13, приложение II). В проекте финансовых правил содержится ряд положений, служащих руководством для подготовки первого предлагаемого бюджета Конвенции, а именно: </w:t>
      </w:r>
    </w:p>
    <w:p w14:paraId="5F99B481" w14:textId="6F203668" w:rsidR="00D83048" w:rsidRPr="00F878B1" w:rsidRDefault="00C56CE8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ab/>
      </w:r>
      <w:r w:rsidR="00615A68" w:rsidRPr="00F878B1">
        <w:rPr>
          <w:lang w:val="ru-RU"/>
        </w:rPr>
        <w:t>a)</w:t>
      </w:r>
      <w:r w:rsidR="00615A68" w:rsidRPr="00F878B1">
        <w:rPr>
          <w:lang w:val="ru-RU"/>
        </w:rPr>
        <w:tab/>
      </w:r>
      <w:r w:rsidR="00E820AA" w:rsidRPr="00F878B1">
        <w:rPr>
          <w:lang w:val="ru-RU"/>
        </w:rPr>
        <w:t xml:space="preserve">правило </w:t>
      </w:r>
      <w:r w:rsidR="00D83048" w:rsidRPr="00F878B1">
        <w:rPr>
          <w:lang w:val="ru-RU"/>
        </w:rPr>
        <w:t>2 о финансовом периоде гласит, что продолжительность финансового периода Конвенции составляет календарный год и что двухгодичная программа работы и бюджет обычно состоят из двух следующих один за другим календарных годов, первый из которых является четным годом. Таким образом</w:t>
      </w:r>
      <w:r w:rsidR="005900C5" w:rsidRPr="00F878B1">
        <w:rPr>
          <w:lang w:val="ru-RU"/>
        </w:rPr>
        <w:t xml:space="preserve">, </w:t>
      </w:r>
      <w:r w:rsidR="00D83048" w:rsidRPr="00F878B1">
        <w:rPr>
          <w:lang w:val="ru-RU"/>
        </w:rPr>
        <w:t>первая программа работы и бюджет Конвенции составлены на двухгодичный период 2018</w:t>
      </w:r>
      <w:r w:rsidR="00615A68" w:rsidRPr="00F878B1">
        <w:rPr>
          <w:lang w:val="ru-RU"/>
        </w:rPr>
        <w:t>-</w:t>
      </w:r>
      <w:r w:rsidR="00E820AA" w:rsidRPr="00F878B1">
        <w:rPr>
          <w:lang w:val="ru-RU"/>
        </w:rPr>
        <w:t>2019 годов;</w:t>
      </w:r>
    </w:p>
    <w:p w14:paraId="26AE9E51" w14:textId="24E08ACA" w:rsidR="00D83048" w:rsidRPr="00F878B1" w:rsidRDefault="00615A68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b)</w:t>
      </w:r>
      <w:r w:rsidRPr="00F878B1">
        <w:rPr>
          <w:lang w:val="ru-RU"/>
        </w:rPr>
        <w:tab/>
      </w:r>
      <w:r w:rsidR="00DE25C4" w:rsidRPr="00F878B1">
        <w:rPr>
          <w:lang w:val="ru-RU"/>
        </w:rPr>
        <w:t xml:space="preserve">правило </w:t>
      </w:r>
      <w:r w:rsidR="00D83048" w:rsidRPr="00F878B1">
        <w:rPr>
          <w:lang w:val="ru-RU"/>
        </w:rPr>
        <w:t>3 о бюджете предусматривает, что глава секретариата Конвенции подготавливает бюджетную смету на двухгодичный период в долларах СШ</w:t>
      </w:r>
      <w:r w:rsidR="00701906" w:rsidRPr="00F878B1">
        <w:rPr>
          <w:lang w:val="ru-RU"/>
        </w:rPr>
        <w:t>А</w:t>
      </w:r>
      <w:r w:rsidR="00D83048" w:rsidRPr="00F878B1">
        <w:rPr>
          <w:lang w:val="ru-RU"/>
        </w:rPr>
        <w:t>, отражающую планируемые поступления и расходы за каждый год. В соответствии с мандатом, предоставленным Конференцией полномочных представителей, главный координатор временного секретариата от имени Директора-исполнителя ЮНЕП изложил предлагаемую программу работы и бюджет Конвенции на двухгодичный период 2018</w:t>
      </w:r>
      <w:r w:rsidR="00CE518B" w:rsidRPr="00F878B1">
        <w:rPr>
          <w:lang w:val="ru-RU"/>
        </w:rPr>
        <w:t>-</w:t>
      </w:r>
      <w:r w:rsidR="00DE25C4" w:rsidRPr="00F878B1">
        <w:rPr>
          <w:lang w:val="ru-RU"/>
        </w:rPr>
        <w:t>2019 годов;</w:t>
      </w:r>
    </w:p>
    <w:p w14:paraId="13FC6105" w14:textId="0DEA207B" w:rsidR="00D83048" w:rsidRPr="00F878B1" w:rsidRDefault="00615A68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c)</w:t>
      </w:r>
      <w:r w:rsidRPr="00F878B1">
        <w:rPr>
          <w:lang w:val="ru-RU"/>
        </w:rPr>
        <w:tab/>
      </w:r>
      <w:r w:rsidR="00DE25C4" w:rsidRPr="00F878B1">
        <w:rPr>
          <w:lang w:val="ru-RU"/>
        </w:rPr>
        <w:t xml:space="preserve">далее </w:t>
      </w:r>
      <w:r w:rsidR="00D83048" w:rsidRPr="00F878B1">
        <w:rPr>
          <w:lang w:val="ru-RU"/>
        </w:rPr>
        <w:t xml:space="preserve">правило 3 в его нынешней формулировке гласит, что </w:t>
      </w:r>
      <w:r w:rsidR="00F724D7" w:rsidRPr="00F878B1">
        <w:rPr>
          <w:lang w:val="ru-RU"/>
        </w:rPr>
        <w:t>«</w:t>
      </w:r>
      <w:r w:rsidR="00D83048" w:rsidRPr="00F878B1">
        <w:rPr>
          <w:lang w:val="ru-RU"/>
        </w:rPr>
        <w:t>бюджет должен представляться в программном формате [согласованном с форматом, используемым секретариат</w:t>
      </w:r>
      <w:r w:rsidR="003E49D2" w:rsidRPr="00F878B1">
        <w:rPr>
          <w:lang w:val="ru-RU"/>
        </w:rPr>
        <w:t>а</w:t>
      </w:r>
      <w:r w:rsidR="00D83048" w:rsidRPr="00F878B1">
        <w:rPr>
          <w:lang w:val="ru-RU"/>
        </w:rPr>
        <w:t>м</w:t>
      </w:r>
      <w:r w:rsidR="003E49D2" w:rsidRPr="00F878B1">
        <w:rPr>
          <w:lang w:val="ru-RU"/>
        </w:rPr>
        <w:t>и</w:t>
      </w:r>
      <w:r w:rsidR="00D83048" w:rsidRPr="00F878B1">
        <w:rPr>
          <w:lang w:val="ru-RU"/>
        </w:rPr>
        <w:t xml:space="preserve"> Базельской</w:t>
      </w:r>
      <w:r w:rsidR="003E49D2" w:rsidRPr="00F878B1">
        <w:rPr>
          <w:lang w:val="ru-RU"/>
        </w:rPr>
        <w:t xml:space="preserve"> конвенции о контроле за трансграничной перевозкой опасных отходов и их удалением</w:t>
      </w:r>
      <w:r w:rsidR="00D83048" w:rsidRPr="00F878B1">
        <w:rPr>
          <w:lang w:val="ru-RU"/>
        </w:rPr>
        <w:t xml:space="preserve">, Роттердамской </w:t>
      </w:r>
      <w:r w:rsidR="003E49D2" w:rsidRPr="00F878B1">
        <w:rPr>
          <w:lang w:val="ru-RU"/>
        </w:rPr>
        <w:t xml:space="preserve">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</w:t>
      </w:r>
      <w:r w:rsidR="00D83048" w:rsidRPr="00F878B1">
        <w:rPr>
          <w:lang w:val="ru-RU"/>
        </w:rPr>
        <w:t xml:space="preserve">и Стокгольмской </w:t>
      </w:r>
      <w:r w:rsidR="003E49D2" w:rsidRPr="00F878B1">
        <w:rPr>
          <w:lang w:val="ru-RU"/>
        </w:rPr>
        <w:t>конвенции о стойких органических загрязнителях</w:t>
      </w:r>
      <w:r w:rsidR="00D83048" w:rsidRPr="00F878B1">
        <w:rPr>
          <w:lang w:val="ru-RU"/>
        </w:rPr>
        <w:t>]</w:t>
      </w:r>
      <w:r w:rsidR="00F724D7" w:rsidRPr="00F878B1">
        <w:rPr>
          <w:lang w:val="ru-RU"/>
        </w:rPr>
        <w:t>»</w:t>
      </w:r>
      <w:r w:rsidR="00D83048" w:rsidRPr="00F878B1">
        <w:rPr>
          <w:lang w:val="ru-RU"/>
        </w:rPr>
        <w:t>. Предлагаемая программа работы и бюджет Минаматской конвенции о рт</w:t>
      </w:r>
      <w:r w:rsidR="006B2C53" w:rsidRPr="00F878B1">
        <w:rPr>
          <w:lang w:val="ru-RU"/>
        </w:rPr>
        <w:t xml:space="preserve">ути на двухгодичный </w:t>
      </w:r>
      <w:r w:rsidR="006B2C53" w:rsidRPr="00F878B1">
        <w:rPr>
          <w:lang w:val="ru-RU"/>
        </w:rPr>
        <w:lastRenderedPageBreak/>
        <w:t>период 2018-</w:t>
      </w:r>
      <w:r w:rsidR="00D83048" w:rsidRPr="00F878B1">
        <w:rPr>
          <w:lang w:val="ru-RU"/>
        </w:rPr>
        <w:t>2019 год</w:t>
      </w:r>
      <w:r w:rsidR="006B2C53" w:rsidRPr="00F878B1">
        <w:rPr>
          <w:lang w:val="ru-RU"/>
        </w:rPr>
        <w:t>ов</w:t>
      </w:r>
      <w:r w:rsidR="00D83048" w:rsidRPr="00F878B1">
        <w:rPr>
          <w:lang w:val="ru-RU"/>
        </w:rPr>
        <w:t xml:space="preserve"> действительно соответствует формату, используемо</w:t>
      </w:r>
      <w:r w:rsidR="00DE25C4" w:rsidRPr="00F878B1">
        <w:rPr>
          <w:lang w:val="ru-RU"/>
        </w:rPr>
        <w:t xml:space="preserve">му вышеупомянутыми </w:t>
      </w:r>
      <w:r w:rsidR="003E49D2" w:rsidRPr="00F878B1">
        <w:rPr>
          <w:lang w:val="ru-RU"/>
        </w:rPr>
        <w:t>к</w:t>
      </w:r>
      <w:r w:rsidR="00DE25C4" w:rsidRPr="00F878B1">
        <w:rPr>
          <w:lang w:val="ru-RU"/>
        </w:rPr>
        <w:t>онвенциями;</w:t>
      </w:r>
    </w:p>
    <w:p w14:paraId="5422BD41" w14:textId="3E553C58" w:rsidR="00D83048" w:rsidRPr="00F878B1" w:rsidRDefault="00615A68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d)</w:t>
      </w:r>
      <w:r w:rsidRPr="00F878B1">
        <w:rPr>
          <w:lang w:val="ru-RU"/>
        </w:rPr>
        <w:tab/>
      </w:r>
      <w:r w:rsidR="00DE25C4" w:rsidRPr="00F878B1">
        <w:rPr>
          <w:lang w:val="ru-RU"/>
        </w:rPr>
        <w:t xml:space="preserve">правило </w:t>
      </w:r>
      <w:r w:rsidR="00D83048" w:rsidRPr="00F878B1">
        <w:rPr>
          <w:lang w:val="ru-RU"/>
        </w:rPr>
        <w:t xml:space="preserve">3 также предусматривает, что Конференция Сторон рассматривает и принимает операционный бюджет до начала финансового периода, охватываемого бюджетом. Поскольку первое совещание Конференции Сторон созывается в сентябре 2017 года, Конференция </w:t>
      </w:r>
      <w:r w:rsidR="00DA03D0" w:rsidRPr="00F878B1">
        <w:rPr>
          <w:lang w:val="ru-RU"/>
        </w:rPr>
        <w:t xml:space="preserve">Сторон </w:t>
      </w:r>
      <w:r w:rsidR="00D83048" w:rsidRPr="00F878B1">
        <w:rPr>
          <w:lang w:val="ru-RU"/>
        </w:rPr>
        <w:t>сможет соблюсти это положение на двухгодичный период 2018</w:t>
      </w:r>
      <w:r w:rsidR="009006E0" w:rsidRPr="00F878B1">
        <w:rPr>
          <w:lang w:val="ru-RU"/>
        </w:rPr>
        <w:noBreakHyphen/>
        <w:t>2019 </w:t>
      </w:r>
      <w:r w:rsidR="00D83048" w:rsidRPr="00F878B1">
        <w:rPr>
          <w:lang w:val="ru-RU"/>
        </w:rPr>
        <w:t>годов. Операционный бюджет на двухгодичный период 2018</w:t>
      </w:r>
      <w:r w:rsidR="00CE518B" w:rsidRPr="00F878B1">
        <w:rPr>
          <w:lang w:val="ru-RU"/>
        </w:rPr>
        <w:t>-</w:t>
      </w:r>
      <w:r w:rsidR="00D83048" w:rsidRPr="00F878B1">
        <w:rPr>
          <w:lang w:val="ru-RU"/>
        </w:rPr>
        <w:t>2019 годов может быть рассмотрен и принят на первом совещании Конференц</w:t>
      </w:r>
      <w:r w:rsidR="006B2C53" w:rsidRPr="00F878B1">
        <w:rPr>
          <w:lang w:val="ru-RU"/>
        </w:rPr>
        <w:t>ии Сторон в сентябре 2017 года;</w:t>
      </w:r>
    </w:p>
    <w:p w14:paraId="53C3488B" w14:textId="0CB66D52" w:rsidR="00D83048" w:rsidRPr="00F878B1" w:rsidRDefault="00CE518B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e)</w:t>
      </w:r>
      <w:r w:rsidRPr="00F878B1">
        <w:rPr>
          <w:lang w:val="ru-RU"/>
        </w:rPr>
        <w:tab/>
      </w:r>
      <w:r w:rsidR="006B2C53" w:rsidRPr="00F878B1">
        <w:rPr>
          <w:lang w:val="ru-RU"/>
        </w:rPr>
        <w:t xml:space="preserve">правило </w:t>
      </w:r>
      <w:r w:rsidR="00D83048" w:rsidRPr="00F878B1">
        <w:rPr>
          <w:lang w:val="ru-RU"/>
        </w:rPr>
        <w:t xml:space="preserve">4 предусматривает, что Директор-исполнитель ЮНЕП учреждает </w:t>
      </w:r>
      <w:r w:rsidR="00470D75" w:rsidRPr="00F878B1">
        <w:rPr>
          <w:lang w:val="ru-RU"/>
        </w:rPr>
        <w:t>О</w:t>
      </w:r>
      <w:r w:rsidR="00D83048" w:rsidRPr="00F878B1">
        <w:rPr>
          <w:lang w:val="ru-RU"/>
        </w:rPr>
        <w:t>бщий целевой фонд, которым распоряжается глава секретариата. Общий целевой фонд предназначен для оказания финансовой поддержк</w:t>
      </w:r>
      <w:r w:rsidR="006B2C53" w:rsidRPr="00F878B1">
        <w:rPr>
          <w:lang w:val="ru-RU"/>
        </w:rPr>
        <w:t>и работе секретариата Конвенции;</w:t>
      </w:r>
    </w:p>
    <w:p w14:paraId="05C2E5D9" w14:textId="6531A694" w:rsidR="00D83048" w:rsidRPr="00F878B1" w:rsidRDefault="00CE518B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f)</w:t>
      </w:r>
      <w:r w:rsidRPr="00F878B1">
        <w:rPr>
          <w:lang w:val="ru-RU"/>
        </w:rPr>
        <w:tab/>
      </w:r>
      <w:r w:rsidR="006B2C53" w:rsidRPr="00F878B1">
        <w:rPr>
          <w:lang w:val="ru-RU"/>
        </w:rPr>
        <w:t xml:space="preserve">правило </w:t>
      </w:r>
      <w:r w:rsidR="00D83048" w:rsidRPr="00F878B1">
        <w:rPr>
          <w:lang w:val="ru-RU"/>
        </w:rPr>
        <w:t>4 далее предусматривает, что Директор-исполнитель также учреждает добров</w:t>
      </w:r>
      <w:r w:rsidR="00470D75" w:rsidRPr="00F878B1">
        <w:rPr>
          <w:lang w:val="ru-RU"/>
        </w:rPr>
        <w:t>о</w:t>
      </w:r>
      <w:r w:rsidR="00D83048" w:rsidRPr="00F878B1">
        <w:rPr>
          <w:lang w:val="ru-RU"/>
        </w:rPr>
        <w:t xml:space="preserve">льный </w:t>
      </w:r>
      <w:r w:rsidR="00470D75" w:rsidRPr="00F878B1">
        <w:rPr>
          <w:lang w:val="ru-RU"/>
        </w:rPr>
        <w:t>С</w:t>
      </w:r>
      <w:r w:rsidR="00D83048" w:rsidRPr="00F878B1">
        <w:rPr>
          <w:lang w:val="ru-RU"/>
        </w:rPr>
        <w:t xml:space="preserve">пециальный целевой фонд, которым распоряжается глава секретариата. Конкретные аспекты, связанные с использованием </w:t>
      </w:r>
      <w:r w:rsidR="00470D75" w:rsidRPr="00F878B1">
        <w:rPr>
          <w:lang w:val="ru-RU"/>
        </w:rPr>
        <w:t>С</w:t>
      </w:r>
      <w:r w:rsidR="00D83048" w:rsidRPr="00F878B1">
        <w:rPr>
          <w:lang w:val="ru-RU"/>
        </w:rPr>
        <w:t>пециального целевого фонда, еще окончательно не</w:t>
      </w:r>
      <w:r w:rsidR="00763CD9" w:rsidRPr="00F878B1">
        <w:rPr>
          <w:lang w:val="ru-RU"/>
        </w:rPr>
        <w:t xml:space="preserve"> проработаны</w:t>
      </w:r>
      <w:r w:rsidR="00D83048" w:rsidRPr="00F878B1">
        <w:rPr>
          <w:lang w:val="ru-RU"/>
        </w:rPr>
        <w:t xml:space="preserve">, однако этот фонд будет оказывать поддержку осуществлению статьи 14 Конвенции. Кроме того, фонд будет оказывать поддержку участию представителей </w:t>
      </w:r>
      <w:r w:rsidR="00763CD9" w:rsidRPr="00F878B1">
        <w:rPr>
          <w:lang w:val="ru-RU"/>
        </w:rPr>
        <w:t>Сторон</w:t>
      </w:r>
      <w:r w:rsidR="00D83048" w:rsidRPr="00F878B1">
        <w:rPr>
          <w:lang w:val="ru-RU"/>
        </w:rPr>
        <w:t xml:space="preserve">, являющихся развивающимися странами, в частности, </w:t>
      </w:r>
      <w:r w:rsidR="00DA03D0" w:rsidRPr="00F878B1">
        <w:rPr>
          <w:lang w:val="ru-RU"/>
        </w:rPr>
        <w:t xml:space="preserve">из числа </w:t>
      </w:r>
      <w:r w:rsidR="00D83048" w:rsidRPr="00F878B1">
        <w:rPr>
          <w:lang w:val="ru-RU"/>
        </w:rPr>
        <w:t>наименее развиты</w:t>
      </w:r>
      <w:r w:rsidR="00DA03D0" w:rsidRPr="00F878B1">
        <w:rPr>
          <w:lang w:val="ru-RU"/>
        </w:rPr>
        <w:t>х</w:t>
      </w:r>
      <w:r w:rsidR="00D83048" w:rsidRPr="00F878B1">
        <w:rPr>
          <w:lang w:val="ru-RU"/>
        </w:rPr>
        <w:t xml:space="preserve"> стран и малы</w:t>
      </w:r>
      <w:r w:rsidR="00DA03D0" w:rsidRPr="00F878B1">
        <w:rPr>
          <w:lang w:val="ru-RU"/>
        </w:rPr>
        <w:t>х</w:t>
      </w:r>
      <w:r w:rsidR="00D83048" w:rsidRPr="00F878B1">
        <w:rPr>
          <w:lang w:val="ru-RU"/>
        </w:rPr>
        <w:t xml:space="preserve"> островны</w:t>
      </w:r>
      <w:r w:rsidR="00DA03D0" w:rsidRPr="00F878B1">
        <w:rPr>
          <w:lang w:val="ru-RU"/>
        </w:rPr>
        <w:t>х</w:t>
      </w:r>
      <w:r w:rsidR="00D83048" w:rsidRPr="00F878B1">
        <w:rPr>
          <w:lang w:val="ru-RU"/>
        </w:rPr>
        <w:t xml:space="preserve"> развивающи</w:t>
      </w:r>
      <w:r w:rsidR="00DA03D0" w:rsidRPr="00F878B1">
        <w:rPr>
          <w:lang w:val="ru-RU"/>
        </w:rPr>
        <w:t>х</w:t>
      </w:r>
      <w:r w:rsidR="00D83048" w:rsidRPr="00F878B1">
        <w:rPr>
          <w:lang w:val="ru-RU"/>
        </w:rPr>
        <w:t xml:space="preserve">ся государств, а также </w:t>
      </w:r>
      <w:r w:rsidR="00763CD9" w:rsidRPr="00F878B1">
        <w:rPr>
          <w:lang w:val="ru-RU"/>
        </w:rPr>
        <w:t>Сторон</w:t>
      </w:r>
      <w:r w:rsidR="00E14C85" w:rsidRPr="00F878B1">
        <w:rPr>
          <w:lang w:val="ru-RU"/>
        </w:rPr>
        <w:t xml:space="preserve"> </w:t>
      </w:r>
      <w:r w:rsidR="00D83048" w:rsidRPr="00F878B1">
        <w:rPr>
          <w:lang w:val="ru-RU"/>
        </w:rPr>
        <w:t>с переходной экономикой, в совещаниях Конференци</w:t>
      </w:r>
      <w:r w:rsidR="006B2C53" w:rsidRPr="00F878B1">
        <w:rPr>
          <w:lang w:val="ru-RU"/>
        </w:rPr>
        <w:t>и и ее вспомогательных органов;</w:t>
      </w:r>
    </w:p>
    <w:p w14:paraId="451016D2" w14:textId="7D29A34D" w:rsidR="009C5D0B" w:rsidRPr="00F878B1" w:rsidRDefault="00CE518B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g)</w:t>
      </w:r>
      <w:r w:rsidRPr="00F878B1">
        <w:rPr>
          <w:lang w:val="ru-RU"/>
        </w:rPr>
        <w:tab/>
      </w:r>
      <w:r w:rsidR="0027324C" w:rsidRPr="00F878B1">
        <w:rPr>
          <w:lang w:val="ru-RU"/>
        </w:rPr>
        <w:t xml:space="preserve">правило </w:t>
      </w:r>
      <w:r w:rsidR="00D83048" w:rsidRPr="00F878B1">
        <w:rPr>
          <w:lang w:val="ru-RU"/>
        </w:rPr>
        <w:t xml:space="preserve">5 </w:t>
      </w:r>
      <w:r w:rsidR="00763CD9" w:rsidRPr="00F878B1">
        <w:rPr>
          <w:lang w:val="ru-RU"/>
        </w:rPr>
        <w:t>оговаривает</w:t>
      </w:r>
      <w:r w:rsidR="00D83048" w:rsidRPr="00F878B1">
        <w:rPr>
          <w:lang w:val="ru-RU"/>
        </w:rPr>
        <w:t xml:space="preserve"> положение о ресурсах Конференции </w:t>
      </w:r>
      <w:r w:rsidR="00C70E05" w:rsidRPr="00F878B1">
        <w:rPr>
          <w:lang w:val="ru-RU"/>
        </w:rPr>
        <w:t xml:space="preserve">Сторон </w:t>
      </w:r>
      <w:r w:rsidR="00D83048" w:rsidRPr="00F878B1">
        <w:rPr>
          <w:lang w:val="ru-RU"/>
        </w:rPr>
        <w:t xml:space="preserve">и предусматривает, что база ресурсов Конвенции </w:t>
      </w:r>
      <w:r w:rsidR="00763CD9" w:rsidRPr="00F878B1">
        <w:rPr>
          <w:lang w:val="ru-RU"/>
        </w:rPr>
        <w:t xml:space="preserve">формируется за счет </w:t>
      </w:r>
      <w:r w:rsidR="00D83048" w:rsidRPr="00F878B1">
        <w:rPr>
          <w:lang w:val="ru-RU"/>
        </w:rPr>
        <w:t>взносов, в</w:t>
      </w:r>
      <w:r w:rsidR="00763CD9" w:rsidRPr="00F878B1">
        <w:rPr>
          <w:lang w:val="ru-RU"/>
        </w:rPr>
        <w:t xml:space="preserve">ыплачиваемых </w:t>
      </w:r>
      <w:r w:rsidR="00D83048" w:rsidRPr="00F878B1">
        <w:rPr>
          <w:lang w:val="ru-RU"/>
        </w:rPr>
        <w:t>Сторонами ежегодно на основе ориентировочной шкалы, утверж</w:t>
      </w:r>
      <w:r w:rsidR="00F264D3" w:rsidRPr="00F878B1">
        <w:rPr>
          <w:lang w:val="ru-RU"/>
        </w:rPr>
        <w:t xml:space="preserve">даемой консенсусом Конференцией </w:t>
      </w:r>
      <w:r w:rsidR="00D83048" w:rsidRPr="00F878B1">
        <w:rPr>
          <w:lang w:val="ru-RU"/>
        </w:rPr>
        <w:t xml:space="preserve">и основанной на шкале взносов Организации Объединенных Наций, которая периодически утверждается Генеральной Ассамблеей. </w:t>
      </w:r>
      <w:r w:rsidR="00763CD9" w:rsidRPr="00F878B1">
        <w:rPr>
          <w:lang w:val="ru-RU"/>
        </w:rPr>
        <w:t>Ресурсная б</w:t>
      </w:r>
      <w:r w:rsidR="00D83048" w:rsidRPr="00F878B1">
        <w:rPr>
          <w:lang w:val="ru-RU"/>
        </w:rPr>
        <w:t>аза Конференции может также включать в себя взнос принимающей страны, а также дополнительные взносы Сторон и государств, не являющихся Сторонами Конвенции, и взносы от правительственных, межправительственных и н</w:t>
      </w:r>
      <w:r w:rsidR="002A0FDF" w:rsidRPr="00F878B1">
        <w:rPr>
          <w:lang w:val="ru-RU"/>
        </w:rPr>
        <w:t>еправительственных организаций;</w:t>
      </w:r>
    </w:p>
    <w:p w14:paraId="14841FC1" w14:textId="0B35D67C" w:rsidR="00573740" w:rsidRPr="00F878B1" w:rsidRDefault="00CE518B" w:rsidP="00C56C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h)</w:t>
      </w:r>
      <w:r w:rsidRPr="00F878B1">
        <w:rPr>
          <w:lang w:val="ru-RU"/>
        </w:rPr>
        <w:tab/>
      </w:r>
      <w:r w:rsidR="002A0FDF" w:rsidRPr="00F878B1">
        <w:rPr>
          <w:lang w:val="ru-RU"/>
        </w:rPr>
        <w:t xml:space="preserve">правило </w:t>
      </w:r>
      <w:r w:rsidR="00573740" w:rsidRPr="00F878B1">
        <w:rPr>
          <w:lang w:val="ru-RU"/>
        </w:rPr>
        <w:t xml:space="preserve">5 также предусматривает распределение взноса принимающей страны между </w:t>
      </w:r>
      <w:r w:rsidR="00470D75" w:rsidRPr="00F878B1">
        <w:rPr>
          <w:lang w:val="ru-RU"/>
        </w:rPr>
        <w:t>О</w:t>
      </w:r>
      <w:r w:rsidR="00573740" w:rsidRPr="00F878B1">
        <w:rPr>
          <w:lang w:val="ru-RU"/>
        </w:rPr>
        <w:t xml:space="preserve">бщим целевым фондом и добровольным </w:t>
      </w:r>
      <w:r w:rsidR="00470D75" w:rsidRPr="00F878B1">
        <w:rPr>
          <w:lang w:val="ru-RU"/>
        </w:rPr>
        <w:t>С</w:t>
      </w:r>
      <w:r w:rsidR="00573740" w:rsidRPr="00F878B1">
        <w:rPr>
          <w:lang w:val="ru-RU"/>
        </w:rPr>
        <w:t>пециальным целевым фондом. Коэффициент этого распределения еще не был согласован, и процентные показатели в наст</w:t>
      </w:r>
      <w:r w:rsidR="002A0FDF" w:rsidRPr="00F878B1">
        <w:rPr>
          <w:lang w:val="ru-RU"/>
        </w:rPr>
        <w:t>оящее время заключены в скобки.</w:t>
      </w:r>
    </w:p>
    <w:p w14:paraId="17B6949E" w14:textId="369E5E1A" w:rsidR="00E40A4B" w:rsidRPr="00F878B1" w:rsidRDefault="00CE518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7.</w:t>
      </w:r>
      <w:r w:rsidRPr="00F878B1">
        <w:rPr>
          <w:lang w:val="ru-RU"/>
        </w:rPr>
        <w:tab/>
      </w:r>
      <w:r w:rsidR="00E40A4B" w:rsidRPr="00F878B1">
        <w:rPr>
          <w:lang w:val="ru-RU"/>
        </w:rPr>
        <w:t xml:space="preserve">После первого совещания Конференции </w:t>
      </w:r>
      <w:r w:rsidR="00C70E05" w:rsidRPr="00F878B1">
        <w:rPr>
          <w:lang w:val="ru-RU"/>
        </w:rPr>
        <w:t xml:space="preserve">Сторон </w:t>
      </w:r>
      <w:r w:rsidR="00470D75" w:rsidRPr="00F878B1">
        <w:rPr>
          <w:lang w:val="ru-RU"/>
        </w:rPr>
        <w:t>О</w:t>
      </w:r>
      <w:r w:rsidR="00E40A4B" w:rsidRPr="00F878B1">
        <w:rPr>
          <w:lang w:val="ru-RU"/>
        </w:rPr>
        <w:t xml:space="preserve">бщий целевой фонд и добровольный </w:t>
      </w:r>
      <w:r w:rsidR="00470D75" w:rsidRPr="00F878B1">
        <w:rPr>
          <w:lang w:val="ru-RU"/>
        </w:rPr>
        <w:t>С</w:t>
      </w:r>
      <w:r w:rsidR="00E40A4B" w:rsidRPr="00F878B1">
        <w:rPr>
          <w:lang w:val="ru-RU"/>
        </w:rPr>
        <w:t>пециал</w:t>
      </w:r>
      <w:r w:rsidR="00F9220D" w:rsidRPr="00F878B1">
        <w:rPr>
          <w:lang w:val="ru-RU"/>
        </w:rPr>
        <w:t>ьный целевой фонд будут созданы от имени Директора</w:t>
      </w:r>
      <w:r w:rsidR="00F9220D" w:rsidRPr="00F878B1">
        <w:rPr>
          <w:lang w:val="ru-RU"/>
        </w:rPr>
        <w:noBreakHyphen/>
        <w:t xml:space="preserve">исполнителя ЮНЕП </w:t>
      </w:r>
      <w:r w:rsidR="00E40A4B" w:rsidRPr="00F878B1">
        <w:rPr>
          <w:lang w:val="ru-RU"/>
        </w:rPr>
        <w:t xml:space="preserve">Контролером Организации Объединенных Наций в Нью-Йорке </w:t>
      </w:r>
      <w:r w:rsidR="00F9220D" w:rsidRPr="00F878B1">
        <w:rPr>
          <w:lang w:val="ru-RU"/>
        </w:rPr>
        <w:t xml:space="preserve">с использованием возможностей </w:t>
      </w:r>
      <w:r w:rsidR="00E40A4B" w:rsidRPr="00F878B1">
        <w:rPr>
          <w:lang w:val="ru-RU"/>
        </w:rPr>
        <w:t>Отдел</w:t>
      </w:r>
      <w:r w:rsidR="00F9220D" w:rsidRPr="00F878B1">
        <w:rPr>
          <w:lang w:val="ru-RU"/>
        </w:rPr>
        <w:t>а</w:t>
      </w:r>
      <w:r w:rsidR="00E40A4B" w:rsidRPr="00F878B1">
        <w:rPr>
          <w:lang w:val="ru-RU"/>
        </w:rPr>
        <w:t xml:space="preserve"> общеорганизаци</w:t>
      </w:r>
      <w:r w:rsidR="009006E0" w:rsidRPr="00F878B1">
        <w:rPr>
          <w:lang w:val="ru-RU"/>
        </w:rPr>
        <w:t>онного обслуживания.</w:t>
      </w:r>
    </w:p>
    <w:p w14:paraId="619BD0D3" w14:textId="3C745FCD" w:rsidR="00551A8D" w:rsidRPr="00F878B1" w:rsidRDefault="00F264D3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</w:r>
      <w:r w:rsidR="00CE518B" w:rsidRPr="00F878B1">
        <w:rPr>
          <w:b/>
          <w:sz w:val="24"/>
          <w:szCs w:val="24"/>
          <w:lang w:val="ru-RU"/>
        </w:rPr>
        <w:t>B.</w:t>
      </w:r>
      <w:r w:rsidR="001C7D10" w:rsidRPr="00F878B1">
        <w:rPr>
          <w:b/>
          <w:sz w:val="24"/>
          <w:szCs w:val="24"/>
          <w:lang w:val="ru-RU"/>
        </w:rPr>
        <w:tab/>
      </w:r>
      <w:r w:rsidR="00B713C3" w:rsidRPr="00F878B1">
        <w:rPr>
          <w:b/>
          <w:sz w:val="24"/>
          <w:szCs w:val="24"/>
          <w:lang w:val="ru-RU"/>
        </w:rPr>
        <w:t>Основные</w:t>
      </w:r>
      <w:r w:rsidR="001C7D10" w:rsidRPr="00F878B1">
        <w:rPr>
          <w:b/>
          <w:sz w:val="24"/>
          <w:szCs w:val="24"/>
          <w:lang w:val="ru-RU"/>
        </w:rPr>
        <w:t xml:space="preserve"> решения Конференции Сторон, влияющие на предлагаемый бюджет Минаматской конвенции </w:t>
      </w:r>
    </w:p>
    <w:p w14:paraId="1FCFFC7B" w14:textId="15266083" w:rsidR="006E1A6B" w:rsidRPr="00F878B1" w:rsidRDefault="00CE518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8.</w:t>
      </w:r>
      <w:r w:rsidRPr="00F878B1">
        <w:rPr>
          <w:lang w:val="ru-RU"/>
        </w:rPr>
        <w:tab/>
      </w:r>
      <w:r w:rsidR="008762E1" w:rsidRPr="00F878B1">
        <w:rPr>
          <w:lang w:val="ru-RU"/>
        </w:rPr>
        <w:t>Работа над предлагаемым бюджетом продолжается, и он претерпит изменения в свете решений, принятых первым совещанием Конференции Сторон. Два из этих решений, в частности, повлияют на общий бюджет Минаматской конвенции: решения, касающиеся организации работы и разме</w:t>
      </w:r>
      <w:r w:rsidR="00A8133B" w:rsidRPr="00F878B1">
        <w:rPr>
          <w:lang w:val="ru-RU"/>
        </w:rPr>
        <w:t>щения постоянного секретариата.</w:t>
      </w:r>
    </w:p>
    <w:p w14:paraId="75BFE6E4" w14:textId="2CC4DD81" w:rsidR="00733979" w:rsidRPr="00F878B1" w:rsidRDefault="00CE518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9.</w:t>
      </w:r>
      <w:r w:rsidRPr="00F878B1">
        <w:rPr>
          <w:lang w:val="ru-RU"/>
        </w:rPr>
        <w:tab/>
      </w:r>
      <w:r w:rsidR="000D7C58" w:rsidRPr="00F878B1">
        <w:rPr>
          <w:lang w:val="ru-RU"/>
        </w:rPr>
        <w:t>В пункте 9 резолюции о мероприятиях на промежуточный период Конференция полномочных представителей просила Директора-исполнителя представить доклад о предложениях относительно того, как он или она будет обеспечивать выполнение функций постоянного секретари</w:t>
      </w:r>
      <w:r w:rsidR="00A8133B" w:rsidRPr="00F878B1">
        <w:rPr>
          <w:lang w:val="ru-RU"/>
        </w:rPr>
        <w:t>ата Конвенции.</w:t>
      </w:r>
    </w:p>
    <w:p w14:paraId="159F05E8" w14:textId="078F664F" w:rsidR="006446F0" w:rsidRPr="00F878B1" w:rsidRDefault="00803C5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10.</w:t>
      </w:r>
      <w:r w:rsidRPr="00F878B1">
        <w:rPr>
          <w:lang w:val="ru-RU"/>
        </w:rPr>
        <w:tab/>
      </w:r>
      <w:r w:rsidR="003466ED" w:rsidRPr="00F878B1">
        <w:rPr>
          <w:lang w:val="ru-RU"/>
        </w:rPr>
        <w:t>Межправительственный комитет для ведения переговоров рассмотрел доклад Директора</w:t>
      </w:r>
      <w:r w:rsidRPr="00F878B1">
        <w:rPr>
          <w:lang w:val="ru-RU"/>
        </w:rPr>
        <w:noBreakHyphen/>
      </w:r>
      <w:r w:rsidR="003466ED" w:rsidRPr="00F878B1">
        <w:rPr>
          <w:lang w:val="ru-RU"/>
        </w:rPr>
        <w:t>исполнителя (UNEP (DTIE)/</w:t>
      </w:r>
      <w:proofErr w:type="spellStart"/>
      <w:r w:rsidR="003466ED" w:rsidRPr="00F878B1">
        <w:rPr>
          <w:lang w:val="ru-RU"/>
        </w:rPr>
        <w:t>Hg</w:t>
      </w:r>
      <w:proofErr w:type="spellEnd"/>
      <w:r w:rsidR="003466ED" w:rsidRPr="00F878B1">
        <w:rPr>
          <w:lang w:val="ru-RU"/>
        </w:rPr>
        <w:t xml:space="preserve">/INC.7/15, приложение) на своей седьмой сессии. В докладе содержался анализ вариантов и затрагивались, в частности, вопросы эффективности, рентабельности, различных мест размещения секретариата, объединения секретариата с секретариатом Базельской, Роттердамской и Стокгольмской </w:t>
      </w:r>
      <w:r w:rsidR="006A550B" w:rsidRPr="00F878B1">
        <w:rPr>
          <w:lang w:val="ru-RU"/>
        </w:rPr>
        <w:t xml:space="preserve">конвенций </w:t>
      </w:r>
      <w:r w:rsidR="003466ED" w:rsidRPr="00F878B1">
        <w:rPr>
          <w:lang w:val="ru-RU"/>
        </w:rPr>
        <w:t>и использования временного секретариата</w:t>
      </w:r>
      <w:r w:rsidR="006A550B" w:rsidRPr="00F878B1">
        <w:rPr>
          <w:lang w:val="ru-RU"/>
        </w:rPr>
        <w:t>; обновленный доклад для рассмотрения Конференцией Сторон на ее первом совещании приводится в документе UNEP/MC/COP.1/14</w:t>
      </w:r>
      <w:r w:rsidR="00A8133B" w:rsidRPr="00F878B1">
        <w:rPr>
          <w:lang w:val="ru-RU"/>
        </w:rPr>
        <w:t>. В докладе Директора</w:t>
      </w:r>
      <w:r w:rsidR="00A8133B" w:rsidRPr="00F878B1">
        <w:rPr>
          <w:lang w:val="ru-RU"/>
        </w:rPr>
        <w:noBreakHyphen/>
      </w:r>
      <w:r w:rsidR="003466ED" w:rsidRPr="00F878B1">
        <w:rPr>
          <w:lang w:val="ru-RU"/>
        </w:rPr>
        <w:t>исполнителя, подготовленном в тесной консультации с секретариатом Базельской, Роттердамской и Стокгольмской конвенций, изл</w:t>
      </w:r>
      <w:r w:rsidR="00B713C3" w:rsidRPr="00F878B1">
        <w:rPr>
          <w:lang w:val="ru-RU"/>
        </w:rPr>
        <w:t xml:space="preserve">ожены </w:t>
      </w:r>
      <w:r w:rsidR="003466ED" w:rsidRPr="00F878B1">
        <w:rPr>
          <w:lang w:val="ru-RU"/>
        </w:rPr>
        <w:t>предложения о</w:t>
      </w:r>
      <w:r w:rsidR="00B713C3" w:rsidRPr="00F878B1">
        <w:rPr>
          <w:lang w:val="ru-RU"/>
        </w:rPr>
        <w:t>тносительно</w:t>
      </w:r>
      <w:r w:rsidR="003466ED" w:rsidRPr="00F878B1">
        <w:rPr>
          <w:lang w:val="ru-RU"/>
        </w:rPr>
        <w:t xml:space="preserve"> выполнени</w:t>
      </w:r>
      <w:r w:rsidR="00B713C3" w:rsidRPr="00F878B1">
        <w:rPr>
          <w:lang w:val="ru-RU"/>
        </w:rPr>
        <w:t>я</w:t>
      </w:r>
      <w:r w:rsidR="003466ED" w:rsidRPr="00F878B1">
        <w:rPr>
          <w:lang w:val="ru-RU"/>
        </w:rPr>
        <w:t xml:space="preserve"> функций постоянного секретариа</w:t>
      </w:r>
      <w:r w:rsidR="00A8133B" w:rsidRPr="00F878B1">
        <w:rPr>
          <w:lang w:val="ru-RU"/>
        </w:rPr>
        <w:t>та Конвенции следующим образом:</w:t>
      </w:r>
    </w:p>
    <w:p w14:paraId="65BA2324" w14:textId="633DB385" w:rsidR="001D7A26" w:rsidRPr="00F878B1" w:rsidRDefault="0067034F" w:rsidP="00803C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b/>
          <w:lang w:val="ru-RU"/>
        </w:rPr>
        <w:t>Вариант 1 а)</w:t>
      </w:r>
      <w:r w:rsidR="009D7DA0" w:rsidRPr="00F878B1">
        <w:rPr>
          <w:b/>
          <w:lang w:val="ru-RU"/>
        </w:rPr>
        <w:t xml:space="preserve"> (объединение)</w:t>
      </w:r>
      <w:r w:rsidRPr="00F878B1">
        <w:rPr>
          <w:lang w:val="ru-RU"/>
        </w:rPr>
        <w:t xml:space="preserve">: </w:t>
      </w:r>
      <w:r w:rsidR="009D7DA0" w:rsidRPr="00F878B1">
        <w:rPr>
          <w:lang w:val="ru-RU"/>
        </w:rPr>
        <w:t xml:space="preserve">слияние функций </w:t>
      </w:r>
      <w:r w:rsidRPr="00F878B1">
        <w:rPr>
          <w:lang w:val="ru-RU"/>
        </w:rPr>
        <w:t xml:space="preserve">секретариата Минаматской конвенции с секретариатом Базельской, Роттердамской и Стокгольмской конвенций с использованием его нынешней структуры </w:t>
      </w:r>
      <w:r w:rsidR="009D7DA0" w:rsidRPr="00F878B1">
        <w:rPr>
          <w:lang w:val="ru-RU"/>
        </w:rPr>
        <w:t xml:space="preserve">(место </w:t>
      </w:r>
      <w:r w:rsidRPr="00F878B1">
        <w:rPr>
          <w:lang w:val="ru-RU"/>
        </w:rPr>
        <w:t>размещени</w:t>
      </w:r>
      <w:r w:rsidR="009D7DA0" w:rsidRPr="00F878B1">
        <w:rPr>
          <w:lang w:val="ru-RU"/>
        </w:rPr>
        <w:t>я:</w:t>
      </w:r>
      <w:r w:rsidRPr="00F878B1">
        <w:rPr>
          <w:lang w:val="ru-RU"/>
        </w:rPr>
        <w:t xml:space="preserve"> Женев</w:t>
      </w:r>
      <w:r w:rsidR="009D7DA0" w:rsidRPr="00F878B1">
        <w:rPr>
          <w:lang w:val="ru-RU"/>
        </w:rPr>
        <w:t>а)</w:t>
      </w:r>
      <w:r w:rsidR="00A8133B" w:rsidRPr="00F878B1">
        <w:rPr>
          <w:lang w:val="ru-RU"/>
        </w:rPr>
        <w:t>;</w:t>
      </w:r>
    </w:p>
    <w:p w14:paraId="602323B9" w14:textId="09A0ADC3" w:rsidR="001D7A26" w:rsidRPr="00F878B1" w:rsidRDefault="0067034F" w:rsidP="00803C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b/>
          <w:lang w:val="ru-RU"/>
        </w:rPr>
        <w:t>Вариант 1 b)</w:t>
      </w:r>
      <w:r w:rsidR="009D7DA0" w:rsidRPr="00F878B1">
        <w:rPr>
          <w:b/>
          <w:lang w:val="ru-RU"/>
        </w:rPr>
        <w:t xml:space="preserve"> (подразделение)</w:t>
      </w:r>
      <w:r w:rsidRPr="00F878B1">
        <w:rPr>
          <w:lang w:val="ru-RU"/>
        </w:rPr>
        <w:t xml:space="preserve">: объединение секретариата Минаматской конвенции с секретариатом Базельской, Роттердамской и Стокгольмской конвенций путем создания на </w:t>
      </w:r>
      <w:r w:rsidR="00D95B8C" w:rsidRPr="00F878B1">
        <w:rPr>
          <w:lang w:val="ru-RU"/>
        </w:rPr>
        <w:t>временной основе</w:t>
      </w:r>
      <w:r w:rsidRPr="00F878B1">
        <w:rPr>
          <w:lang w:val="ru-RU"/>
        </w:rPr>
        <w:t xml:space="preserve"> подразделения </w:t>
      </w:r>
      <w:r w:rsidR="009D7DA0" w:rsidRPr="00F878B1">
        <w:rPr>
          <w:lang w:val="ru-RU"/>
        </w:rPr>
        <w:t xml:space="preserve">для Минаматской конвенции (место </w:t>
      </w:r>
      <w:r w:rsidRPr="00F878B1">
        <w:rPr>
          <w:lang w:val="ru-RU"/>
        </w:rPr>
        <w:t>размещени</w:t>
      </w:r>
      <w:r w:rsidR="009D7DA0" w:rsidRPr="00F878B1">
        <w:rPr>
          <w:lang w:val="ru-RU"/>
        </w:rPr>
        <w:t xml:space="preserve">я: </w:t>
      </w:r>
      <w:r w:rsidRPr="00F878B1">
        <w:rPr>
          <w:lang w:val="ru-RU"/>
        </w:rPr>
        <w:t>Женев</w:t>
      </w:r>
      <w:r w:rsidR="009D7DA0" w:rsidRPr="00F878B1">
        <w:rPr>
          <w:lang w:val="ru-RU"/>
        </w:rPr>
        <w:t>а</w:t>
      </w:r>
      <w:r w:rsidR="00ED10A3" w:rsidRPr="00F878B1">
        <w:rPr>
          <w:lang w:val="ru-RU"/>
        </w:rPr>
        <w:t>)</w:t>
      </w:r>
      <w:r w:rsidR="00A8133B" w:rsidRPr="00F878B1">
        <w:rPr>
          <w:lang w:val="ru-RU"/>
        </w:rPr>
        <w:t>;</w:t>
      </w:r>
    </w:p>
    <w:p w14:paraId="666BEABD" w14:textId="47BCD89D" w:rsidR="001D7A26" w:rsidRPr="00F878B1" w:rsidRDefault="0067034F" w:rsidP="00803C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b/>
          <w:lang w:val="ru-RU"/>
        </w:rPr>
        <w:t>Вариант 2</w:t>
      </w:r>
      <w:r w:rsidR="00ED10A3" w:rsidRPr="00F878B1">
        <w:rPr>
          <w:b/>
          <w:lang w:val="ru-RU"/>
        </w:rPr>
        <w:t xml:space="preserve"> (отдельный секретариат)</w:t>
      </w:r>
      <w:r w:rsidRPr="00F878B1">
        <w:rPr>
          <w:lang w:val="ru-RU"/>
        </w:rPr>
        <w:t xml:space="preserve">: </w:t>
      </w:r>
      <w:r w:rsidR="00ED10A3" w:rsidRPr="00F878B1">
        <w:rPr>
          <w:lang w:val="ru-RU"/>
        </w:rPr>
        <w:t xml:space="preserve">учреждение независимого </w:t>
      </w:r>
      <w:r w:rsidRPr="00F878B1">
        <w:rPr>
          <w:lang w:val="ru-RU"/>
        </w:rPr>
        <w:t>секретариата</w:t>
      </w:r>
      <w:r w:rsidR="00ED10A3" w:rsidRPr="00F878B1">
        <w:rPr>
          <w:lang w:val="ru-RU"/>
        </w:rPr>
        <w:t xml:space="preserve"> Минаматской конвенции (</w:t>
      </w:r>
      <w:r w:rsidRPr="00F878B1">
        <w:rPr>
          <w:lang w:val="ru-RU"/>
        </w:rPr>
        <w:t>местонахождение будет определено на основе анализа следующих мест службы ЮНЕП: Бангкок, Вашингтон, О.К., Вена, Женева, Найроби и Осака</w:t>
      </w:r>
      <w:r w:rsidR="00ED10A3" w:rsidRPr="00F878B1">
        <w:rPr>
          <w:lang w:val="ru-RU"/>
        </w:rPr>
        <w:t>)</w:t>
      </w:r>
      <w:r w:rsidRPr="00F878B1">
        <w:rPr>
          <w:lang w:val="ru-RU"/>
        </w:rPr>
        <w:t>.</w:t>
      </w:r>
    </w:p>
    <w:p w14:paraId="55623492" w14:textId="09CC2732" w:rsidR="006F08B2" w:rsidRPr="00F878B1" w:rsidRDefault="00773A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11.</w:t>
      </w:r>
      <w:r w:rsidRPr="00F878B1">
        <w:rPr>
          <w:lang w:val="ru-RU"/>
        </w:rPr>
        <w:tab/>
      </w:r>
      <w:r w:rsidR="00DC0056" w:rsidRPr="00F878B1">
        <w:rPr>
          <w:lang w:val="ru-RU"/>
        </w:rPr>
        <w:t>На своем первом совещании Конференция Сторон также рассмотрит сделанное в 2015</w:t>
      </w:r>
      <w:r w:rsidR="00FF43BF" w:rsidRPr="00F878B1">
        <w:rPr>
          <w:lang w:val="ru-RU"/>
        </w:rPr>
        <w:t> </w:t>
      </w:r>
      <w:r w:rsidR="00DC0056" w:rsidRPr="00F878B1">
        <w:rPr>
          <w:lang w:val="ru-RU"/>
        </w:rPr>
        <w:t>году предложение правительства Швейцарии о размещении постоянного секретариата Минаматской конвенции в Женеве. Правительство Швейцарии предложило Конвенции финансовую поддержку при условии объединения ее секретариата с секретариатом Базельской, Роттердамск</w:t>
      </w:r>
      <w:r w:rsidR="00E2036B" w:rsidRPr="00F878B1">
        <w:rPr>
          <w:lang w:val="ru-RU"/>
        </w:rPr>
        <w:t>ой и Стокгольмской конвенций.</w:t>
      </w:r>
    </w:p>
    <w:p w14:paraId="77D52DA7" w14:textId="7943EDCF" w:rsidR="006F08B2" w:rsidRPr="00F878B1" w:rsidRDefault="00FF43BF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12.</w:t>
      </w:r>
      <w:r w:rsidRPr="00F878B1">
        <w:rPr>
          <w:lang w:val="ru-RU"/>
        </w:rPr>
        <w:tab/>
      </w:r>
      <w:r w:rsidR="00E01BA4" w:rsidRPr="00F878B1">
        <w:rPr>
          <w:lang w:val="ru-RU"/>
        </w:rPr>
        <w:t>На своей седьмой сессии Межправительственный комитет для ведения переговоров рассмотрел предложен</w:t>
      </w:r>
      <w:r w:rsidRPr="00F878B1">
        <w:rPr>
          <w:lang w:val="ru-RU"/>
        </w:rPr>
        <w:t>ие правительства Швейцарии (</w:t>
      </w:r>
      <w:r w:rsidR="00ED10A3" w:rsidRPr="00F878B1">
        <w:rPr>
          <w:lang w:val="ru-RU"/>
        </w:rPr>
        <w:t>UNEP/MC/COP.1/INF/</w:t>
      </w:r>
      <w:r w:rsidR="00B7169B" w:rsidRPr="00F878B1">
        <w:rPr>
          <w:lang w:val="ru-RU"/>
        </w:rPr>
        <w:t>7</w:t>
      </w:r>
      <w:r w:rsidR="00E01BA4" w:rsidRPr="00F878B1">
        <w:rPr>
          <w:lang w:val="ru-RU"/>
        </w:rPr>
        <w:t>). После обсуждения</w:t>
      </w:r>
      <w:r w:rsidR="00ED10A3" w:rsidRPr="00F878B1">
        <w:rPr>
          <w:lang w:val="ru-RU"/>
        </w:rPr>
        <w:t xml:space="preserve"> </w:t>
      </w:r>
      <w:r w:rsidR="00E01BA4" w:rsidRPr="00F878B1">
        <w:rPr>
          <w:lang w:val="ru-RU"/>
        </w:rPr>
        <w:t xml:space="preserve">Комитет просил правительство Швейцарии дополнительно разъяснить это предложение, включая связанные с ним условия и финансовые аспекты, касающиеся суммы, которую </w:t>
      </w:r>
      <w:r w:rsidR="00B7169B" w:rsidRPr="00F878B1">
        <w:rPr>
          <w:lang w:val="ru-RU"/>
        </w:rPr>
        <w:t>внесет правительство Швейцарии.</w:t>
      </w:r>
    </w:p>
    <w:p w14:paraId="08D4DBA1" w14:textId="2E742666" w:rsidR="00BD5B94" w:rsidRPr="00F878B1" w:rsidRDefault="00FF43BF" w:rsidP="00253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F878B1">
        <w:rPr>
          <w:lang w:val="ru-RU"/>
        </w:rPr>
        <w:t>13.</w:t>
      </w:r>
      <w:r w:rsidRPr="00F878B1">
        <w:rPr>
          <w:lang w:val="ru-RU"/>
        </w:rPr>
        <w:tab/>
      </w:r>
      <w:r w:rsidR="00A078DA" w:rsidRPr="00F878B1">
        <w:rPr>
          <w:lang w:val="ru-RU"/>
        </w:rPr>
        <w:t>В полученном от правительства Швейцарии разъяс</w:t>
      </w:r>
      <w:r w:rsidRPr="00F878B1">
        <w:rPr>
          <w:lang w:val="ru-RU"/>
        </w:rPr>
        <w:t>нении от 27 июня 2017 года (см. </w:t>
      </w:r>
      <w:r w:rsidR="00A078DA" w:rsidRPr="00F878B1">
        <w:rPr>
          <w:lang w:val="ru-RU"/>
        </w:rPr>
        <w:t>UNEP/MC/COP.1/INF/8) подтверждается, что выплата взноса принимающей страны зависит от объединения секретариата Минаматской конвенции с секретариатом Базельской, Роттердамской и Стокгольмской конвенций. Что касается вариантов, перечисленных в пункте</w:t>
      </w:r>
      <w:r w:rsidR="00E0684E" w:rsidRPr="00F878B1">
        <w:rPr>
          <w:lang w:val="ru-RU"/>
        </w:rPr>
        <w:t> </w:t>
      </w:r>
      <w:r w:rsidR="00A078DA" w:rsidRPr="00F878B1">
        <w:rPr>
          <w:lang w:val="ru-RU"/>
        </w:rPr>
        <w:t>10 выше, в случае полного слияния секретариата и е</w:t>
      </w:r>
      <w:r w:rsidR="00EB0D86" w:rsidRPr="00F878B1">
        <w:rPr>
          <w:lang w:val="ru-RU"/>
        </w:rPr>
        <w:t>го размещения в Женеве (вариант 1 </w:t>
      </w:r>
      <w:r w:rsidR="00A078DA" w:rsidRPr="00F878B1">
        <w:rPr>
          <w:lang w:val="ru-RU"/>
        </w:rPr>
        <w:t>a)) ежегодный взнос принимающей страны составит 2,5 млн. швейцарских франков (из которых 500 000 предназначены для финансирования совместной деятельности с секретариатом Базельской, Роттердамской и Стокгольмской конвенций). В случае слияния по прошествии некоторого времени (вариант 1 b)), при котором изначально в Женеве создается четвертое подразделение, ежегодный взнос составит 2 млн. швейцарских франков. При выборе варианта</w:t>
      </w:r>
      <w:r w:rsidR="00E0684E" w:rsidRPr="00F878B1">
        <w:rPr>
          <w:lang w:val="ru-RU"/>
        </w:rPr>
        <w:t> </w:t>
      </w:r>
      <w:r w:rsidR="00A078DA" w:rsidRPr="00F878B1">
        <w:rPr>
          <w:lang w:val="ru-RU"/>
        </w:rPr>
        <w:t xml:space="preserve">2, предусматривающего </w:t>
      </w:r>
      <w:r w:rsidR="005C0BA1" w:rsidRPr="00F878B1">
        <w:rPr>
          <w:lang w:val="ru-RU"/>
        </w:rPr>
        <w:t>учреждение независимого</w:t>
      </w:r>
      <w:r w:rsidR="00A078DA" w:rsidRPr="00F878B1">
        <w:rPr>
          <w:lang w:val="ru-RU"/>
        </w:rPr>
        <w:t xml:space="preserve"> секретариата </w:t>
      </w:r>
      <w:r w:rsidR="00BB5A3A" w:rsidRPr="00F878B1">
        <w:rPr>
          <w:lang w:val="ru-RU"/>
        </w:rPr>
        <w:t xml:space="preserve">для </w:t>
      </w:r>
      <w:r w:rsidR="00A078DA" w:rsidRPr="00F878B1">
        <w:rPr>
          <w:lang w:val="ru-RU"/>
        </w:rPr>
        <w:t xml:space="preserve">Минаматской конвенции, взнос принимающей страны не выплачивается. </w:t>
      </w:r>
      <w:r w:rsidR="005C0BA1" w:rsidRPr="00F878B1">
        <w:rPr>
          <w:lang w:val="ru-RU"/>
        </w:rPr>
        <w:t>П</w:t>
      </w:r>
      <w:r w:rsidR="00A078DA" w:rsidRPr="00F878B1">
        <w:rPr>
          <w:lang w:val="ru-RU"/>
        </w:rPr>
        <w:t>ри всех вариантах, предусматривающих размещение секретариата в Женеве, правительство Швейцарии выплатит единовременный взнос в размере 100 000 швейцарских франков на покрытие расходов на совместную инфраструктуру.</w:t>
      </w:r>
    </w:p>
    <w:p w14:paraId="749DC7D3" w14:textId="5873768B" w:rsidR="005642B6" w:rsidRPr="00F878B1" w:rsidRDefault="00B265B2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F878B1">
        <w:rPr>
          <w:b/>
          <w:sz w:val="28"/>
          <w:szCs w:val="28"/>
          <w:lang w:val="ru-RU"/>
        </w:rPr>
        <w:tab/>
      </w:r>
      <w:r w:rsidR="00065928" w:rsidRPr="00F878B1">
        <w:rPr>
          <w:b/>
          <w:sz w:val="28"/>
          <w:szCs w:val="28"/>
          <w:lang w:val="ru-RU"/>
        </w:rPr>
        <w:t>II.</w:t>
      </w:r>
      <w:r w:rsidR="00065928" w:rsidRPr="00F878B1">
        <w:rPr>
          <w:b/>
          <w:sz w:val="28"/>
          <w:szCs w:val="28"/>
          <w:lang w:val="ru-RU"/>
        </w:rPr>
        <w:tab/>
        <w:t>Осуществление</w:t>
      </w:r>
    </w:p>
    <w:p w14:paraId="7CD7E17E" w14:textId="00CF7584" w:rsidR="005642B6" w:rsidRPr="00F878B1" w:rsidRDefault="00B265B2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</w:r>
      <w:r w:rsidR="005642B6" w:rsidRPr="00F878B1">
        <w:rPr>
          <w:b/>
          <w:sz w:val="24"/>
          <w:szCs w:val="24"/>
          <w:lang w:val="ru-RU"/>
        </w:rPr>
        <w:t>A.</w:t>
      </w:r>
      <w:r w:rsidR="005642B6" w:rsidRPr="00F878B1">
        <w:rPr>
          <w:b/>
          <w:sz w:val="24"/>
          <w:szCs w:val="24"/>
          <w:lang w:val="ru-RU"/>
        </w:rPr>
        <w:tab/>
        <w:t>Общий обзор предлагаемой программы работы и бюдж</w:t>
      </w:r>
      <w:r w:rsidR="00E0684E" w:rsidRPr="00F878B1">
        <w:rPr>
          <w:b/>
          <w:sz w:val="24"/>
          <w:szCs w:val="24"/>
          <w:lang w:val="ru-RU"/>
        </w:rPr>
        <w:t>ета на период 2018</w:t>
      </w:r>
      <w:r w:rsidR="00E0684E" w:rsidRPr="00F878B1">
        <w:rPr>
          <w:b/>
          <w:sz w:val="24"/>
          <w:szCs w:val="24"/>
          <w:lang w:val="ru-RU"/>
        </w:rPr>
        <w:noBreakHyphen/>
      </w:r>
      <w:r w:rsidR="005642B6" w:rsidRPr="00F878B1">
        <w:rPr>
          <w:b/>
          <w:sz w:val="24"/>
          <w:szCs w:val="24"/>
          <w:lang w:val="ru-RU"/>
        </w:rPr>
        <w:t>2019 годов</w:t>
      </w:r>
    </w:p>
    <w:p w14:paraId="49958006" w14:textId="6BBCD1BF" w:rsidR="00E278EE" w:rsidRPr="00F878B1" w:rsidRDefault="00253B7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14.</w:t>
      </w:r>
      <w:r w:rsidRPr="00F878B1">
        <w:rPr>
          <w:lang w:val="ru-RU"/>
        </w:rPr>
        <w:tab/>
      </w:r>
      <w:r w:rsidR="00023440" w:rsidRPr="00F878B1">
        <w:rPr>
          <w:lang w:val="ru-RU"/>
        </w:rPr>
        <w:t>Предлагаемая программа работы и бюджет секретариата Минаматской конвенции основаны на подготовленной временным секретариатом наиболее точной оценке мероприятий и ресурсов, которые потребуются для оказания поддержки осуществлению Конвенции в течение двухгодичного периода 2018</w:t>
      </w:r>
      <w:r w:rsidR="00E0684E" w:rsidRPr="00F878B1">
        <w:rPr>
          <w:lang w:val="ru-RU"/>
        </w:rPr>
        <w:t>-</w:t>
      </w:r>
      <w:r w:rsidR="008E5D73" w:rsidRPr="00F878B1">
        <w:rPr>
          <w:lang w:val="ru-RU"/>
        </w:rPr>
        <w:t>2019 годов.</w:t>
      </w:r>
    </w:p>
    <w:p w14:paraId="3947BB16" w14:textId="3D2C151A" w:rsidR="00285A5C" w:rsidRPr="00F878B1" w:rsidRDefault="00253B7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15.</w:t>
      </w:r>
      <w:r w:rsidRPr="00F878B1">
        <w:rPr>
          <w:lang w:val="ru-RU"/>
        </w:rPr>
        <w:tab/>
      </w:r>
      <w:r w:rsidR="00285A5C" w:rsidRPr="00F878B1">
        <w:rPr>
          <w:lang w:val="ru-RU"/>
        </w:rPr>
        <w:t xml:space="preserve">Поскольку это первая программа работы секретариата Конвенции, следует отметить, что, хотя все предлагаемые мероприятия в рамках программы работы являются новыми, программа основана на </w:t>
      </w:r>
      <w:r w:rsidR="00D95B8C" w:rsidRPr="00F878B1">
        <w:rPr>
          <w:lang w:val="ru-RU"/>
        </w:rPr>
        <w:t xml:space="preserve">следующем </w:t>
      </w:r>
      <w:r w:rsidR="00285A5C" w:rsidRPr="00F878B1">
        <w:rPr>
          <w:lang w:val="ru-RU"/>
        </w:rPr>
        <w:t>опыте, накопленном врем</w:t>
      </w:r>
      <w:r w:rsidR="00D95B8C" w:rsidRPr="00F878B1">
        <w:rPr>
          <w:lang w:val="ru-RU"/>
        </w:rPr>
        <w:t>енным секретариатом с 2010 года</w:t>
      </w:r>
      <w:r w:rsidR="008E5D73" w:rsidRPr="00F878B1">
        <w:rPr>
          <w:lang w:val="ru-RU"/>
        </w:rPr>
        <w:t>:</w:t>
      </w:r>
    </w:p>
    <w:p w14:paraId="2B100373" w14:textId="313DF58B" w:rsidR="005642B6" w:rsidRPr="00F878B1" w:rsidRDefault="00253B7B" w:rsidP="00253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a)</w:t>
      </w:r>
      <w:r w:rsidRPr="00F878B1">
        <w:rPr>
          <w:lang w:val="ru-RU"/>
        </w:rPr>
        <w:tab/>
      </w:r>
      <w:r w:rsidR="009B3595" w:rsidRPr="00F878B1">
        <w:rPr>
          <w:lang w:val="ru-RU"/>
        </w:rPr>
        <w:t>организаци</w:t>
      </w:r>
      <w:r w:rsidR="00D95B8C" w:rsidRPr="00F878B1">
        <w:rPr>
          <w:lang w:val="ru-RU"/>
        </w:rPr>
        <w:t>я</w:t>
      </w:r>
      <w:r w:rsidR="009B3595" w:rsidRPr="00F878B1">
        <w:rPr>
          <w:lang w:val="ru-RU"/>
        </w:rPr>
        <w:t xml:space="preserve"> семи совещаний Межправительственного комитета </w:t>
      </w:r>
      <w:r w:rsidR="00C70452" w:rsidRPr="00F878B1">
        <w:rPr>
          <w:lang w:val="ru-RU"/>
        </w:rPr>
        <w:t xml:space="preserve">для </w:t>
      </w:r>
      <w:r w:rsidR="009B3595" w:rsidRPr="00F878B1">
        <w:rPr>
          <w:lang w:val="ru-RU"/>
        </w:rPr>
        <w:t>ведени</w:t>
      </w:r>
      <w:r w:rsidR="00C70452" w:rsidRPr="00F878B1">
        <w:rPr>
          <w:lang w:val="ru-RU"/>
        </w:rPr>
        <w:t>я</w:t>
      </w:r>
      <w:r w:rsidR="009B3595" w:rsidRPr="00F878B1">
        <w:rPr>
          <w:lang w:val="ru-RU"/>
        </w:rPr>
        <w:t xml:space="preserve"> переговоров, совещаний Бюро Комитета, многочисленных межсессионных совещаний и, совсем недавно, первого совещания Конференции Сторон, а также региональ</w:t>
      </w:r>
      <w:r w:rsidR="008E5D73" w:rsidRPr="00F878B1">
        <w:rPr>
          <w:lang w:val="ru-RU"/>
        </w:rPr>
        <w:t>ных подготовительных совещаний;</w:t>
      </w:r>
    </w:p>
    <w:p w14:paraId="47016BE4" w14:textId="397A4321" w:rsidR="005642B6" w:rsidRPr="00F878B1" w:rsidRDefault="00253B7B" w:rsidP="00253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b)</w:t>
      </w:r>
      <w:r w:rsidRPr="00F878B1">
        <w:rPr>
          <w:lang w:val="ru-RU"/>
        </w:rPr>
        <w:tab/>
      </w:r>
      <w:r w:rsidR="009B3595" w:rsidRPr="00F878B1">
        <w:rPr>
          <w:lang w:val="ru-RU"/>
        </w:rPr>
        <w:t>оказание содействия и предоставление помощи государствам, в частности</w:t>
      </w:r>
      <w:r w:rsidR="007715E4" w:rsidRPr="00F878B1">
        <w:rPr>
          <w:lang w:val="ru-RU"/>
        </w:rPr>
        <w:t>,</w:t>
      </w:r>
      <w:r w:rsidR="009B3595" w:rsidRPr="00F878B1">
        <w:rPr>
          <w:lang w:val="ru-RU"/>
        </w:rPr>
        <w:t xml:space="preserve"> развивающимся странам и странам с переходной экономикой, по их просьбе, с целью поддержки ратификации и скорейшего осуществления Минаматской конвенции;</w:t>
      </w:r>
    </w:p>
    <w:p w14:paraId="7103E02D" w14:textId="226E23CE" w:rsidR="005F22CA" w:rsidRPr="00F878B1" w:rsidRDefault="00253B7B" w:rsidP="00253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c)</w:t>
      </w:r>
      <w:r w:rsidRPr="00F878B1">
        <w:rPr>
          <w:lang w:val="ru-RU"/>
        </w:rPr>
        <w:tab/>
      </w:r>
      <w:r w:rsidR="009B3595" w:rsidRPr="00F878B1">
        <w:rPr>
          <w:lang w:val="ru-RU"/>
        </w:rPr>
        <w:t>обеспечение необходимой координации деятельности с секретариатами соответствующих международных органов, особенно других конвенций о химических веществах и отходах;</w:t>
      </w:r>
    </w:p>
    <w:p w14:paraId="0B7E9B33" w14:textId="599DB12B" w:rsidR="005642B6" w:rsidRPr="00F878B1" w:rsidRDefault="006D631C" w:rsidP="00253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d)</w:t>
      </w:r>
      <w:r w:rsidRPr="00F878B1">
        <w:rPr>
          <w:lang w:val="ru-RU"/>
        </w:rPr>
        <w:tab/>
      </w:r>
      <w:r w:rsidR="009B3595" w:rsidRPr="00F878B1">
        <w:rPr>
          <w:lang w:val="ru-RU"/>
        </w:rPr>
        <w:t>заключение, по мере необходимости, административных и договорных соглашений в целях эффективного выполнения вышеупомянутых функций в рамках общих полномочий, делегированны</w:t>
      </w:r>
      <w:r w:rsidR="008E5D73" w:rsidRPr="00F878B1">
        <w:rPr>
          <w:lang w:val="ru-RU"/>
        </w:rPr>
        <w:t>х Директором-исполнителем ЮНЕП;</w:t>
      </w:r>
    </w:p>
    <w:p w14:paraId="352DE795" w14:textId="09351A62" w:rsidR="008162A1" w:rsidRPr="00F878B1" w:rsidRDefault="006D631C" w:rsidP="00253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e)</w:t>
      </w:r>
      <w:r w:rsidRPr="00F878B1">
        <w:rPr>
          <w:lang w:val="ru-RU"/>
        </w:rPr>
        <w:tab/>
      </w:r>
      <w:r w:rsidR="009B3595" w:rsidRPr="00F878B1">
        <w:rPr>
          <w:lang w:val="ru-RU"/>
        </w:rPr>
        <w:t>предоставление экспертн</w:t>
      </w:r>
      <w:r w:rsidR="00D95B8C" w:rsidRPr="00F878B1">
        <w:rPr>
          <w:lang w:val="ru-RU"/>
        </w:rPr>
        <w:t xml:space="preserve">ых услуг </w:t>
      </w:r>
      <w:r w:rsidR="009B3595" w:rsidRPr="00F878B1">
        <w:rPr>
          <w:lang w:val="ru-RU"/>
        </w:rPr>
        <w:t xml:space="preserve">в научно-технической сфере в целях оказания поддержки и обеспечения основы для разработки руководящих указаний, в том числе в отношении наилучших имеющихся методов и </w:t>
      </w:r>
      <w:r w:rsidR="00D95B8C" w:rsidRPr="00F878B1">
        <w:rPr>
          <w:lang w:val="ru-RU"/>
        </w:rPr>
        <w:t xml:space="preserve">наилучших </w:t>
      </w:r>
      <w:r w:rsidR="009B3595" w:rsidRPr="00F878B1">
        <w:rPr>
          <w:lang w:val="ru-RU"/>
        </w:rPr>
        <w:t>видов природоохранной деятельности, в ходе деятельности Межправительственного комитета для ведения переговоров. Эти руководящие указания будут представлены для принятия на первом совещании Конференции.</w:t>
      </w:r>
    </w:p>
    <w:p w14:paraId="45A473FA" w14:textId="7BCC93D7" w:rsidR="00C027AC" w:rsidRPr="00F878B1" w:rsidRDefault="006D631C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16.</w:t>
      </w:r>
      <w:r w:rsidRPr="00F878B1">
        <w:rPr>
          <w:lang w:val="ru-RU"/>
        </w:rPr>
        <w:tab/>
      </w:r>
      <w:r w:rsidR="00892470" w:rsidRPr="00F878B1">
        <w:rPr>
          <w:lang w:val="ru-RU"/>
        </w:rPr>
        <w:t>Предлагаемые мероприятия в рамках программы работы также основаны на подготовленной временным секретариатом оценке мероприятий и ресурсов, необходимых для продвижения и реализации вопросов для принятия мер вторым и третьим совещаниями Конференции</w:t>
      </w:r>
      <w:r w:rsidR="006807D3" w:rsidRPr="00F878B1">
        <w:rPr>
          <w:lang w:val="ru-RU"/>
        </w:rPr>
        <w:t xml:space="preserve"> Сторон</w:t>
      </w:r>
      <w:r w:rsidR="00892470" w:rsidRPr="00F878B1">
        <w:rPr>
          <w:lang w:val="ru-RU"/>
        </w:rPr>
        <w:t>, как указано в Минаматской конвенции и Заключительном акте, а также мероприятий, которые необходимо провести для оказания помощи в осуществлении Конвенции в теч</w:t>
      </w:r>
      <w:r w:rsidRPr="00F878B1">
        <w:rPr>
          <w:lang w:val="ru-RU"/>
        </w:rPr>
        <w:t>ение двухгодичного периода 2018-</w:t>
      </w:r>
      <w:r w:rsidR="008E5D73" w:rsidRPr="00F878B1">
        <w:rPr>
          <w:lang w:val="ru-RU"/>
        </w:rPr>
        <w:t>2019 годов.</w:t>
      </w:r>
    </w:p>
    <w:p w14:paraId="07D5B4F6" w14:textId="55F01B49" w:rsidR="00336272" w:rsidRPr="00F878B1" w:rsidRDefault="006D631C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17.</w:t>
      </w:r>
      <w:r w:rsidRPr="00F878B1">
        <w:rPr>
          <w:lang w:val="ru-RU"/>
        </w:rPr>
        <w:tab/>
      </w:r>
      <w:r w:rsidR="00020A06" w:rsidRPr="00F878B1">
        <w:rPr>
          <w:lang w:val="ru-RU"/>
        </w:rPr>
        <w:t xml:space="preserve">Предлагаемая программа работы также зиждется на опыте секретариата Базельской, Роттердамской и Стокгольмской конвенций и извлеченных им уроках, в частности в том, что касается масштабирования смет расходов и рассмотрения временных рамок для осуществления мероприятий. </w:t>
      </w:r>
    </w:p>
    <w:p w14:paraId="3F0EB12D" w14:textId="7832B734" w:rsidR="00510281" w:rsidRPr="00F878B1" w:rsidRDefault="006D631C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18.</w:t>
      </w:r>
      <w:r w:rsidRPr="00F878B1">
        <w:rPr>
          <w:lang w:val="ru-RU"/>
        </w:rPr>
        <w:tab/>
      </w:r>
      <w:r w:rsidR="00827321" w:rsidRPr="00F878B1">
        <w:rPr>
          <w:lang w:val="ru-RU"/>
        </w:rPr>
        <w:t>Предлагаем</w:t>
      </w:r>
      <w:r w:rsidR="00D95B8C" w:rsidRPr="00F878B1">
        <w:rPr>
          <w:lang w:val="ru-RU"/>
        </w:rPr>
        <w:t xml:space="preserve">ые </w:t>
      </w:r>
      <w:r w:rsidR="00827321" w:rsidRPr="00F878B1">
        <w:rPr>
          <w:lang w:val="ru-RU"/>
        </w:rPr>
        <w:t>программа работы и бюджет на двухгодичный период 2018</w:t>
      </w:r>
      <w:r w:rsidR="009E55D4" w:rsidRPr="00F878B1">
        <w:rPr>
          <w:lang w:val="ru-RU"/>
        </w:rPr>
        <w:t>-</w:t>
      </w:r>
      <w:r w:rsidR="00827321" w:rsidRPr="00F878B1">
        <w:rPr>
          <w:lang w:val="ru-RU"/>
        </w:rPr>
        <w:t>2019 годов предусматривают, что постоянный секретариат будет оказывать поддержку и содействие как осуществлению Конвенции Сторонами, так и выполнению решений Конференции. Предлагаемые мероприятия включают следующее:</w:t>
      </w:r>
    </w:p>
    <w:p w14:paraId="31AFD7C7" w14:textId="73F2454E" w:rsidR="00510281" w:rsidRPr="00F878B1" w:rsidRDefault="00F21952" w:rsidP="006D63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a)</w:t>
      </w:r>
      <w:r w:rsidRPr="00F878B1">
        <w:rPr>
          <w:lang w:val="ru-RU"/>
        </w:rPr>
        <w:tab/>
        <w:t>созыв и обслуживание всех требуемых совещаний Конференции</w:t>
      </w:r>
      <w:r w:rsidR="006807D3" w:rsidRPr="00F878B1">
        <w:rPr>
          <w:lang w:val="ru-RU"/>
        </w:rPr>
        <w:t xml:space="preserve"> Сторон</w:t>
      </w:r>
      <w:r w:rsidRPr="00F878B1">
        <w:rPr>
          <w:lang w:val="ru-RU"/>
        </w:rPr>
        <w:t>;</w:t>
      </w:r>
    </w:p>
    <w:p w14:paraId="41F5AB42" w14:textId="1A47E62A" w:rsidR="00510281" w:rsidRPr="00F878B1" w:rsidRDefault="00F21952" w:rsidP="006D63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b)</w:t>
      </w:r>
      <w:r w:rsidRPr="00F878B1">
        <w:rPr>
          <w:lang w:val="ru-RU"/>
        </w:rPr>
        <w:tab/>
        <w:t xml:space="preserve">содействие оказанию Сторонам, особенно </w:t>
      </w:r>
      <w:r w:rsidR="00D95B8C" w:rsidRPr="00F878B1">
        <w:rPr>
          <w:lang w:val="ru-RU"/>
        </w:rPr>
        <w:t>Сторонам</w:t>
      </w:r>
      <w:r w:rsidRPr="00F878B1">
        <w:rPr>
          <w:lang w:val="ru-RU"/>
        </w:rPr>
        <w:t xml:space="preserve">, являющимся развивающимися странами, и </w:t>
      </w:r>
      <w:r w:rsidR="00D95B8C" w:rsidRPr="00F878B1">
        <w:rPr>
          <w:lang w:val="ru-RU"/>
        </w:rPr>
        <w:t>Сторонам</w:t>
      </w:r>
      <w:r w:rsidRPr="00F878B1">
        <w:rPr>
          <w:lang w:val="ru-RU"/>
        </w:rPr>
        <w:t xml:space="preserve"> с переходной экономикой, </w:t>
      </w:r>
      <w:r w:rsidR="00D95B8C" w:rsidRPr="00F878B1">
        <w:rPr>
          <w:lang w:val="ru-RU"/>
        </w:rPr>
        <w:t xml:space="preserve">помощи, </w:t>
      </w:r>
      <w:r w:rsidRPr="00F878B1">
        <w:rPr>
          <w:lang w:val="ru-RU"/>
        </w:rPr>
        <w:t>по их просьбе, в осуществлении Конвенции;</w:t>
      </w:r>
    </w:p>
    <w:p w14:paraId="08B7E523" w14:textId="1B6D2E8D" w:rsidR="00510281" w:rsidRPr="00F878B1" w:rsidRDefault="00F21952" w:rsidP="006D63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c)</w:t>
      </w:r>
      <w:r w:rsidRPr="00F878B1">
        <w:rPr>
          <w:lang w:val="ru-RU"/>
        </w:rPr>
        <w:tab/>
        <w:t>обеспечение необходимой координации деятельности с секретариатами соответствующих международных органов, особенно конвенций о химических веществах и отходах;</w:t>
      </w:r>
    </w:p>
    <w:p w14:paraId="11DE213F" w14:textId="469F8C6C" w:rsidR="00510281" w:rsidRPr="00F878B1" w:rsidRDefault="00F21952" w:rsidP="006D63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d)</w:t>
      </w:r>
      <w:r w:rsidRPr="00F878B1">
        <w:rPr>
          <w:lang w:val="ru-RU"/>
        </w:rPr>
        <w:tab/>
        <w:t>оказание странам помощи в обмене информацией, связанной с осуществлением Конвенции;</w:t>
      </w:r>
    </w:p>
    <w:p w14:paraId="11AE23D7" w14:textId="58B692DF" w:rsidR="00510281" w:rsidRPr="00F878B1" w:rsidRDefault="00F21952" w:rsidP="006D63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e)</w:t>
      </w:r>
      <w:r w:rsidRPr="00F878B1">
        <w:rPr>
          <w:lang w:val="ru-RU"/>
        </w:rPr>
        <w:tab/>
        <w:t>подготовка и представление Сторонам периодических докладов, основанных на информации, полученной в</w:t>
      </w:r>
      <w:r w:rsidR="00EB65DF" w:rsidRPr="00F878B1">
        <w:rPr>
          <w:lang w:val="ru-RU"/>
        </w:rPr>
        <w:t xml:space="preserve">о исполнение </w:t>
      </w:r>
      <w:r w:rsidRPr="00F878B1">
        <w:rPr>
          <w:lang w:val="ru-RU"/>
        </w:rPr>
        <w:t>стат</w:t>
      </w:r>
      <w:r w:rsidR="00EB65DF" w:rsidRPr="00F878B1">
        <w:rPr>
          <w:lang w:val="ru-RU"/>
        </w:rPr>
        <w:t xml:space="preserve">ей </w:t>
      </w:r>
      <w:r w:rsidRPr="00F878B1">
        <w:rPr>
          <w:lang w:val="ru-RU"/>
        </w:rPr>
        <w:t xml:space="preserve">15 и 21, и другой </w:t>
      </w:r>
      <w:r w:rsidR="00EB65DF" w:rsidRPr="00F878B1">
        <w:rPr>
          <w:lang w:val="ru-RU"/>
        </w:rPr>
        <w:t>соответствующей</w:t>
      </w:r>
      <w:r w:rsidRPr="00F878B1">
        <w:rPr>
          <w:lang w:val="ru-RU"/>
        </w:rPr>
        <w:t xml:space="preserve"> информации;</w:t>
      </w:r>
    </w:p>
    <w:p w14:paraId="60A19A30" w14:textId="37981512" w:rsidR="00510281" w:rsidRPr="00F878B1" w:rsidRDefault="00F21952" w:rsidP="006D63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f)</w:t>
      </w:r>
      <w:r w:rsidRPr="00F878B1">
        <w:rPr>
          <w:lang w:val="ru-RU"/>
        </w:rPr>
        <w:tab/>
        <w:t>заключение под общим руководством Конференции</w:t>
      </w:r>
      <w:r w:rsidR="006807D3" w:rsidRPr="00F878B1">
        <w:rPr>
          <w:lang w:val="ru-RU"/>
        </w:rPr>
        <w:t xml:space="preserve"> Сторон</w:t>
      </w:r>
      <w:r w:rsidRPr="00F878B1">
        <w:rPr>
          <w:lang w:val="ru-RU"/>
        </w:rPr>
        <w:t xml:space="preserve"> таких административных и договорных соглашений, которые могут потребоваться для эффективного выполнения его функций;</w:t>
      </w:r>
    </w:p>
    <w:p w14:paraId="355F8886" w14:textId="10FE6447" w:rsidR="005E577F" w:rsidRPr="00F878B1" w:rsidRDefault="00F21952" w:rsidP="006D63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g)</w:t>
      </w:r>
      <w:r w:rsidRPr="00F878B1">
        <w:rPr>
          <w:lang w:val="ru-RU"/>
        </w:rPr>
        <w:tab/>
        <w:t xml:space="preserve">выполнение других функций секретариата, </w:t>
      </w:r>
      <w:r w:rsidR="003D25C4" w:rsidRPr="00F878B1">
        <w:rPr>
          <w:lang w:val="ru-RU"/>
        </w:rPr>
        <w:t>указанных</w:t>
      </w:r>
      <w:r w:rsidRPr="00F878B1">
        <w:rPr>
          <w:lang w:val="ru-RU"/>
        </w:rPr>
        <w:t xml:space="preserve"> в Конвенции, и таких функций, которые могу</w:t>
      </w:r>
      <w:r w:rsidR="008E5D73" w:rsidRPr="00F878B1">
        <w:rPr>
          <w:lang w:val="ru-RU"/>
        </w:rPr>
        <w:t>т быть определены Конференцией.</w:t>
      </w:r>
    </w:p>
    <w:p w14:paraId="2B76530A" w14:textId="2CB693B9" w:rsidR="00827321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19.</w:t>
      </w:r>
      <w:r w:rsidRPr="00F878B1">
        <w:rPr>
          <w:lang w:val="ru-RU"/>
        </w:rPr>
        <w:tab/>
      </w:r>
      <w:r w:rsidR="00556F3A" w:rsidRPr="00F878B1">
        <w:rPr>
          <w:lang w:val="ru-RU"/>
        </w:rPr>
        <w:t>Предлагаемая программа работы состоит из семи функциональных разделов, которые в целом соответствуют ф</w:t>
      </w:r>
      <w:r w:rsidR="008E5D73" w:rsidRPr="00F878B1">
        <w:rPr>
          <w:lang w:val="ru-RU"/>
        </w:rPr>
        <w:t>ункциям секретариата, а именно:</w:t>
      </w:r>
    </w:p>
    <w:p w14:paraId="755C7455" w14:textId="051B423E" w:rsidR="00827321" w:rsidRPr="00F878B1" w:rsidRDefault="00835746" w:rsidP="00F966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a)</w:t>
      </w:r>
      <w:r w:rsidRPr="00F878B1">
        <w:rPr>
          <w:lang w:val="ru-RU"/>
        </w:rPr>
        <w:tab/>
        <w:t>конференции и совещания;</w:t>
      </w:r>
    </w:p>
    <w:p w14:paraId="76E7C894" w14:textId="0A8FB9A8" w:rsidR="00827321" w:rsidRPr="00F878B1" w:rsidRDefault="00835746" w:rsidP="00F966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b)</w:t>
      </w:r>
      <w:r w:rsidRPr="00F878B1">
        <w:rPr>
          <w:lang w:val="ru-RU"/>
        </w:rPr>
        <w:tab/>
        <w:t>создание потенциала и оказание технической помощи;</w:t>
      </w:r>
    </w:p>
    <w:p w14:paraId="3506BE97" w14:textId="5D86DF15" w:rsidR="00827321" w:rsidRPr="00F878B1" w:rsidRDefault="00835746" w:rsidP="00F966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c)</w:t>
      </w:r>
      <w:r w:rsidRPr="00F878B1">
        <w:rPr>
          <w:lang w:val="ru-RU"/>
        </w:rPr>
        <w:tab/>
        <w:t>научные и технические мероприятия;</w:t>
      </w:r>
    </w:p>
    <w:p w14:paraId="5ECA8530" w14:textId="305935D1" w:rsidR="00827321" w:rsidRPr="00F878B1" w:rsidRDefault="00835746" w:rsidP="00F966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d)</w:t>
      </w:r>
      <w:r w:rsidRPr="00F878B1">
        <w:rPr>
          <w:lang w:val="ru-RU"/>
        </w:rPr>
        <w:tab/>
        <w:t>управление знаниями и информацией и пропагандистская деятельность;</w:t>
      </w:r>
    </w:p>
    <w:p w14:paraId="1A647694" w14:textId="4368E181" w:rsidR="00827321" w:rsidRPr="00F878B1" w:rsidRDefault="00835746" w:rsidP="00F966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e)</w:t>
      </w:r>
      <w:r w:rsidRPr="00F878B1">
        <w:rPr>
          <w:lang w:val="ru-RU"/>
        </w:rPr>
        <w:tab/>
        <w:t>общее управление;</w:t>
      </w:r>
    </w:p>
    <w:p w14:paraId="1B25D413" w14:textId="46D205D9" w:rsidR="00827321" w:rsidRPr="00F878B1" w:rsidRDefault="00835746" w:rsidP="00F966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f)</w:t>
      </w:r>
      <w:r w:rsidRPr="00F878B1">
        <w:rPr>
          <w:lang w:val="ru-RU"/>
        </w:rPr>
        <w:tab/>
        <w:t>мероприятия в области права и политики;</w:t>
      </w:r>
    </w:p>
    <w:p w14:paraId="05C7657E" w14:textId="57DAD7E0" w:rsidR="00556F3A" w:rsidRPr="00F878B1" w:rsidRDefault="00835746" w:rsidP="00F966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g)</w:t>
      </w:r>
      <w:r w:rsidRPr="00F878B1">
        <w:rPr>
          <w:lang w:val="ru-RU"/>
        </w:rPr>
        <w:tab/>
      </w:r>
      <w:r w:rsidR="003D25C4" w:rsidRPr="00F878B1">
        <w:rPr>
          <w:lang w:val="ru-RU"/>
        </w:rPr>
        <w:t>эксплуатация</w:t>
      </w:r>
      <w:r w:rsidRPr="00F878B1">
        <w:rPr>
          <w:lang w:val="ru-RU"/>
        </w:rPr>
        <w:t xml:space="preserve"> служебных помещений и услуг</w:t>
      </w:r>
      <w:r w:rsidR="008E5D73" w:rsidRPr="00F878B1">
        <w:rPr>
          <w:lang w:val="ru-RU"/>
        </w:rPr>
        <w:t>и.</w:t>
      </w:r>
    </w:p>
    <w:p w14:paraId="12397B12" w14:textId="7BEC1D15" w:rsidR="00A67AF2" w:rsidRPr="00F878B1" w:rsidRDefault="007715E4" w:rsidP="008E5D7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F878B1">
        <w:rPr>
          <w:b/>
          <w:sz w:val="24"/>
          <w:lang w:val="ru-RU"/>
        </w:rPr>
        <w:tab/>
      </w:r>
      <w:r w:rsidR="00F4232E" w:rsidRPr="00F878B1">
        <w:rPr>
          <w:b/>
          <w:sz w:val="24"/>
          <w:lang w:val="ru-RU"/>
        </w:rPr>
        <w:t>B.</w:t>
      </w:r>
      <w:r w:rsidR="00F4232E" w:rsidRPr="00F878B1">
        <w:rPr>
          <w:b/>
          <w:sz w:val="24"/>
          <w:lang w:val="ru-RU"/>
        </w:rPr>
        <w:tab/>
        <w:t>Мероприятия в рамках программы работы на период 2018</w:t>
      </w:r>
      <w:r w:rsidR="009E55D4" w:rsidRPr="00F878B1">
        <w:rPr>
          <w:b/>
          <w:sz w:val="24"/>
          <w:lang w:val="ru-RU"/>
        </w:rPr>
        <w:t>-</w:t>
      </w:r>
      <w:r w:rsidR="00F4232E" w:rsidRPr="00F878B1">
        <w:rPr>
          <w:b/>
          <w:sz w:val="24"/>
          <w:lang w:val="ru-RU"/>
        </w:rPr>
        <w:t xml:space="preserve">2019 годов </w:t>
      </w:r>
    </w:p>
    <w:p w14:paraId="3149758F" w14:textId="159D3879" w:rsidR="003660BF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20.</w:t>
      </w:r>
      <w:r w:rsidRPr="00F878B1">
        <w:rPr>
          <w:lang w:val="ru-RU"/>
        </w:rPr>
        <w:tab/>
      </w:r>
      <w:r w:rsidR="002A4379" w:rsidRPr="00F878B1">
        <w:rPr>
          <w:lang w:val="ru-RU"/>
        </w:rPr>
        <w:t>Согласно системе управления финансовой деятельностью Организации Объединенных Наций (см. дополнительные пояснения ниже по МСУГС и системе «</w:t>
      </w:r>
      <w:proofErr w:type="spellStart"/>
      <w:r w:rsidR="002A4379" w:rsidRPr="00F878B1">
        <w:rPr>
          <w:lang w:val="ru-RU"/>
        </w:rPr>
        <w:t>Умоджа</w:t>
      </w:r>
      <w:proofErr w:type="spellEnd"/>
      <w:r w:rsidR="002A4379" w:rsidRPr="00F878B1">
        <w:rPr>
          <w:lang w:val="ru-RU"/>
        </w:rPr>
        <w:t xml:space="preserve">»), мероприятия, составляющие программу работы, служат основой для формирования бюджета. В этой связи, согласно семи функциональным разделам, предлагаемая программа работы и соответствующий бюджет Минаматской конвенции состоят из 16 предлагаемых </w:t>
      </w:r>
      <w:r w:rsidR="00F951A7" w:rsidRPr="00F878B1">
        <w:rPr>
          <w:lang w:val="ru-RU"/>
        </w:rPr>
        <w:t>мероприятий</w:t>
      </w:r>
      <w:r w:rsidR="00BE2262" w:rsidRPr="00F878B1">
        <w:rPr>
          <w:lang w:val="ru-RU"/>
        </w:rPr>
        <w:t xml:space="preserve"> (см. приложение II).</w:t>
      </w:r>
    </w:p>
    <w:p w14:paraId="23EDA497" w14:textId="78141ECB" w:rsidR="002A4379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21.</w:t>
      </w:r>
      <w:r w:rsidRPr="00F878B1">
        <w:rPr>
          <w:lang w:val="ru-RU"/>
        </w:rPr>
        <w:tab/>
      </w:r>
      <w:r w:rsidR="00F951A7" w:rsidRPr="00F878B1">
        <w:rPr>
          <w:lang w:val="ru-RU"/>
        </w:rPr>
        <w:t>Мероприятия</w:t>
      </w:r>
      <w:r w:rsidR="00287AC3" w:rsidRPr="00F878B1">
        <w:rPr>
          <w:lang w:val="ru-RU"/>
        </w:rPr>
        <w:t xml:space="preserve">, </w:t>
      </w:r>
      <w:r w:rsidR="000E55D9" w:rsidRPr="00F878B1">
        <w:rPr>
          <w:lang w:val="ru-RU"/>
        </w:rPr>
        <w:t xml:space="preserve">составляющие предлагаемую программу работы Конвенции, приводятся ниже, а информация о ресурсах, необходимых для осуществления этих </w:t>
      </w:r>
      <w:r w:rsidR="00F951A7" w:rsidRPr="00F878B1">
        <w:rPr>
          <w:lang w:val="ru-RU"/>
        </w:rPr>
        <w:t>мероприятий</w:t>
      </w:r>
      <w:r w:rsidR="000E55D9" w:rsidRPr="00F878B1">
        <w:rPr>
          <w:lang w:val="ru-RU"/>
        </w:rPr>
        <w:t>, кроме перечня сотрудников, содержится в добавлении 1 к настоящей записке (UNEP/MC/COP.1/21/Add.1).</w:t>
      </w:r>
      <w:r w:rsidR="00DD5A83" w:rsidRPr="00F878B1">
        <w:rPr>
          <w:lang w:val="ru-RU"/>
        </w:rPr>
        <w:t xml:space="preserve"> Расходы оцениваются на основе варианта, предусматривающего расположение секретариата в Женеве.</w:t>
      </w:r>
    </w:p>
    <w:p w14:paraId="41666406" w14:textId="71D0AC2E" w:rsidR="009D2448" w:rsidRPr="00F878B1" w:rsidRDefault="00007DE9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F878B1">
        <w:rPr>
          <w:b/>
          <w:lang w:val="ru-RU"/>
        </w:rPr>
        <w:tab/>
      </w:r>
      <w:r w:rsidR="00BE2262" w:rsidRPr="00F878B1">
        <w:rPr>
          <w:b/>
          <w:lang w:val="ru-RU"/>
        </w:rPr>
        <w:t>1.</w:t>
      </w:r>
      <w:r w:rsidR="00BE2262" w:rsidRPr="00F878B1">
        <w:rPr>
          <w:b/>
          <w:lang w:val="ru-RU"/>
        </w:rPr>
        <w:tab/>
        <w:t>Конференции и совещания</w:t>
      </w:r>
    </w:p>
    <w:p w14:paraId="0DA96340" w14:textId="29A5C1A1" w:rsidR="009D2448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22.</w:t>
      </w:r>
      <w:r w:rsidRPr="00F878B1">
        <w:rPr>
          <w:lang w:val="ru-RU"/>
        </w:rPr>
        <w:tab/>
      </w:r>
      <w:r w:rsidR="00124F81" w:rsidRPr="00F878B1">
        <w:rPr>
          <w:lang w:val="ru-RU"/>
        </w:rPr>
        <w:t xml:space="preserve">Конференция Сторон является директивным органом Минаматской конвенции, как это предусмотрено в статье </w:t>
      </w:r>
      <w:r w:rsidR="002D3037" w:rsidRPr="00F878B1">
        <w:rPr>
          <w:lang w:val="ru-RU"/>
        </w:rPr>
        <w:t>23</w:t>
      </w:r>
      <w:r w:rsidR="00124F81" w:rsidRPr="00F878B1">
        <w:rPr>
          <w:lang w:val="ru-RU"/>
        </w:rPr>
        <w:t xml:space="preserve">. Организация ее совещаний </w:t>
      </w:r>
      <w:r w:rsidR="00F951A7" w:rsidRPr="00F878B1">
        <w:rPr>
          <w:lang w:val="ru-RU"/>
        </w:rPr>
        <w:t xml:space="preserve">с периодичностью, определенной </w:t>
      </w:r>
      <w:r w:rsidR="00124F81" w:rsidRPr="00F878B1">
        <w:rPr>
          <w:lang w:val="ru-RU"/>
        </w:rPr>
        <w:t>согласно решению Конференции</w:t>
      </w:r>
      <w:r w:rsidR="00F951A7" w:rsidRPr="00F878B1">
        <w:rPr>
          <w:lang w:val="ru-RU"/>
        </w:rPr>
        <w:t>,</w:t>
      </w:r>
      <w:r w:rsidR="00124F81" w:rsidRPr="00F878B1">
        <w:rPr>
          <w:lang w:val="ru-RU"/>
        </w:rPr>
        <w:t xml:space="preserve"> является одним из основных видов деятельности секретариата. В соответствии с проектом правил процедуры, второе и третье совещания Конференции проводятся в следующие друг за другом годы, после чего совещания проводятся раз в два года. Таким образом, второе и третье совещания Конференции, как ожидается, состоятся до конца 2018 и 2019 годов, соответственно. Расходы на проведение совещаний, являющихся одним из основных видов деятельности в рамках Конвенции, будут финансироваться по линии </w:t>
      </w:r>
      <w:r w:rsidR="00470D75" w:rsidRPr="00F878B1">
        <w:rPr>
          <w:lang w:val="ru-RU"/>
        </w:rPr>
        <w:t>О</w:t>
      </w:r>
      <w:r w:rsidR="00124F81" w:rsidRPr="00F878B1">
        <w:rPr>
          <w:lang w:val="ru-RU"/>
        </w:rPr>
        <w:t xml:space="preserve">бщего целевого фонда. Каждому совещанию будет предшествовать подготовительные совещания. Региональные подготовительные совещания проводятся с тем, чтобы Стороны могли подготовиться к совещанию Конференции. Финансовая поддержка для оплаты поездок представителей </w:t>
      </w:r>
      <w:r w:rsidR="00470D75" w:rsidRPr="00F878B1">
        <w:rPr>
          <w:lang w:val="ru-RU"/>
        </w:rPr>
        <w:t>Сторон</w:t>
      </w:r>
      <w:r w:rsidR="00124F81" w:rsidRPr="00F878B1">
        <w:rPr>
          <w:lang w:val="ru-RU"/>
        </w:rPr>
        <w:t xml:space="preserve">, являющихся либо развивающимися странами, либо странами с переходной экономикой, позволяет обеспечить их полное и эффективное участие и вовлеченность в процесс принятия решений. Такие поездки будут финансироваться </w:t>
      </w:r>
      <w:r w:rsidR="000642E9" w:rsidRPr="00F878B1">
        <w:rPr>
          <w:lang w:val="ru-RU"/>
        </w:rPr>
        <w:t xml:space="preserve">по линии </w:t>
      </w:r>
      <w:r w:rsidR="00124F81" w:rsidRPr="00F878B1">
        <w:rPr>
          <w:lang w:val="ru-RU"/>
        </w:rPr>
        <w:t xml:space="preserve">добровольного </w:t>
      </w:r>
      <w:r w:rsidR="00470D75" w:rsidRPr="00F878B1">
        <w:rPr>
          <w:lang w:val="ru-RU"/>
        </w:rPr>
        <w:t>С</w:t>
      </w:r>
      <w:r w:rsidR="00124F81" w:rsidRPr="00F878B1">
        <w:rPr>
          <w:lang w:val="ru-RU"/>
        </w:rPr>
        <w:t>пециального целевого фонда.</w:t>
      </w:r>
    </w:p>
    <w:p w14:paraId="6338F8F5" w14:textId="09B07A63" w:rsidR="00EC0B75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23.</w:t>
      </w:r>
      <w:r w:rsidRPr="00F878B1">
        <w:rPr>
          <w:lang w:val="ru-RU"/>
        </w:rPr>
        <w:tab/>
      </w:r>
      <w:r w:rsidR="00C2392A" w:rsidRPr="00F878B1">
        <w:rPr>
          <w:lang w:val="ru-RU"/>
        </w:rPr>
        <w:t xml:space="preserve">Ожидается, что первое и второе совещания Конференции могут учредить создаваемые на конкретные сроки межсессионные группы экспертов по техническим вопросам, включая оценку эффективности, временное хранение ртути и ртутных соединений, установление пороговых значений </w:t>
      </w:r>
      <w:r w:rsidR="00A37547" w:rsidRPr="00F878B1">
        <w:rPr>
          <w:lang w:val="ru-RU"/>
        </w:rPr>
        <w:t xml:space="preserve">для </w:t>
      </w:r>
      <w:r w:rsidR="00C2392A" w:rsidRPr="00F878B1">
        <w:rPr>
          <w:lang w:val="ru-RU"/>
        </w:rPr>
        <w:t>отходов и подготовку руководства по принципам регулирования загрязненных участков. Принятие мер для оказания поддержки этим группам экспертов в соответствии с решениями, принятыми Конференцией в отношении функционирования таких групп, считается одним из основных видов деятельности</w:t>
      </w:r>
      <w:r w:rsidR="009354C3" w:rsidRPr="00F878B1">
        <w:rPr>
          <w:lang w:val="ru-RU"/>
        </w:rPr>
        <w:t xml:space="preserve"> </w:t>
      </w:r>
      <w:r w:rsidR="002D3037" w:rsidRPr="00F878B1">
        <w:rPr>
          <w:lang w:val="ru-RU"/>
        </w:rPr>
        <w:t>секретариата</w:t>
      </w:r>
      <w:r w:rsidR="00BE2262" w:rsidRPr="00F878B1">
        <w:rPr>
          <w:lang w:val="ru-RU"/>
        </w:rPr>
        <w:t>.</w:t>
      </w:r>
    </w:p>
    <w:p w14:paraId="40670A54" w14:textId="20EF0F00" w:rsidR="00EC0B75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24.</w:t>
      </w:r>
      <w:r w:rsidRPr="00F878B1">
        <w:rPr>
          <w:lang w:val="ru-RU"/>
        </w:rPr>
        <w:tab/>
      </w:r>
      <w:r w:rsidR="00EC0B75" w:rsidRPr="00F878B1">
        <w:rPr>
          <w:lang w:val="ru-RU"/>
        </w:rPr>
        <w:t>Секретариат будет также организовывать совещания Бюро Конференции</w:t>
      </w:r>
      <w:r w:rsidR="009354C3" w:rsidRPr="00F878B1">
        <w:rPr>
          <w:lang w:val="ru-RU"/>
        </w:rPr>
        <w:t xml:space="preserve"> Сторон</w:t>
      </w:r>
      <w:r w:rsidR="00EC0B75" w:rsidRPr="00F878B1">
        <w:rPr>
          <w:lang w:val="ru-RU"/>
        </w:rPr>
        <w:t>. В состав Бюро входят 10 членов, при этом каждая региональная группа Организации Объединенных Наций представлена двумя членами. Как ожидается, совещания Бюро проводятся в межсессионный период, при этом планируется одно очное совещание. Другие совещания будут проводиться в формате телеконференции.</w:t>
      </w:r>
    </w:p>
    <w:p w14:paraId="24A29D73" w14:textId="7EA0A943" w:rsidR="00EC0B75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25.</w:t>
      </w:r>
      <w:r w:rsidRPr="00F878B1">
        <w:rPr>
          <w:lang w:val="ru-RU"/>
        </w:rPr>
        <w:tab/>
      </w:r>
      <w:r w:rsidR="00EC0B75" w:rsidRPr="00F878B1">
        <w:rPr>
          <w:lang w:val="ru-RU"/>
        </w:rPr>
        <w:t xml:space="preserve">Секретариат </w:t>
      </w:r>
      <w:r w:rsidR="00A37547" w:rsidRPr="00F878B1">
        <w:rPr>
          <w:lang w:val="ru-RU"/>
        </w:rPr>
        <w:t>также</w:t>
      </w:r>
      <w:r w:rsidR="00EC0B75" w:rsidRPr="00F878B1">
        <w:rPr>
          <w:lang w:val="ru-RU"/>
        </w:rPr>
        <w:t xml:space="preserve"> организует совещани</w:t>
      </w:r>
      <w:r w:rsidR="009354C3" w:rsidRPr="00F878B1">
        <w:rPr>
          <w:lang w:val="ru-RU"/>
        </w:rPr>
        <w:t>я</w:t>
      </w:r>
      <w:r w:rsidR="00EC0B75" w:rsidRPr="00F878B1">
        <w:rPr>
          <w:lang w:val="ru-RU"/>
        </w:rPr>
        <w:t xml:space="preserve"> Комитета по осуществлению и соблюдению, который будет учрежден в качестве вспомогательного органа на первом совещании Конференции Сторон в соответствии со статьей 15 Конвенции. Комитет состоит из 15 членов с учетом представительства на основе пяти регионов Организации Объединенных Наций. Как указано в тексте Конвенции,</w:t>
      </w:r>
      <w:r w:rsidR="001A4664" w:rsidRPr="00F878B1">
        <w:rPr>
          <w:lang w:val="ru-RU"/>
        </w:rPr>
        <w:t xml:space="preserve"> первой задачей, стоящей перед </w:t>
      </w:r>
      <w:r w:rsidR="00EC0B75" w:rsidRPr="00F878B1">
        <w:rPr>
          <w:lang w:val="ru-RU"/>
        </w:rPr>
        <w:t xml:space="preserve">Комитетом, станет </w:t>
      </w:r>
      <w:r w:rsidR="002B4DE8" w:rsidRPr="00F878B1">
        <w:rPr>
          <w:lang w:val="ru-RU"/>
        </w:rPr>
        <w:t>разработка</w:t>
      </w:r>
      <w:r w:rsidR="00EC0B75" w:rsidRPr="00F878B1">
        <w:rPr>
          <w:lang w:val="ru-RU"/>
        </w:rPr>
        <w:t xml:space="preserve"> его правил процедуры для утверждения вторым совещанием Конференции Сторон. Предполагается, что для разработки этих правил Комитет проведет межсессионные совещания.</w:t>
      </w:r>
    </w:p>
    <w:p w14:paraId="77841A5F" w14:textId="33D95B98" w:rsidR="00EC0B75" w:rsidRPr="00F878B1" w:rsidRDefault="00F96601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26.</w:t>
      </w:r>
      <w:r w:rsidRPr="00F878B1">
        <w:rPr>
          <w:lang w:val="ru-RU"/>
        </w:rPr>
        <w:tab/>
      </w:r>
      <w:r w:rsidR="00EC0B75" w:rsidRPr="00F878B1">
        <w:rPr>
          <w:lang w:val="ru-RU"/>
        </w:rPr>
        <w:t xml:space="preserve">Большинство </w:t>
      </w:r>
      <w:r w:rsidR="00A37547" w:rsidRPr="00F878B1">
        <w:rPr>
          <w:lang w:val="ru-RU"/>
        </w:rPr>
        <w:t>мероприятий</w:t>
      </w:r>
      <w:r w:rsidR="00EC0B75" w:rsidRPr="00F878B1">
        <w:rPr>
          <w:lang w:val="ru-RU"/>
        </w:rPr>
        <w:t>, связанных с проведением конференций и совещан</w:t>
      </w:r>
      <w:r w:rsidR="006437EF" w:rsidRPr="00F878B1">
        <w:rPr>
          <w:lang w:val="ru-RU"/>
        </w:rPr>
        <w:t>ий в</w:t>
      </w:r>
      <w:r w:rsidR="00A37547" w:rsidRPr="00F878B1">
        <w:rPr>
          <w:lang w:val="ru-RU"/>
        </w:rPr>
        <w:t xml:space="preserve"> течение</w:t>
      </w:r>
      <w:r w:rsidR="006437EF" w:rsidRPr="00F878B1">
        <w:rPr>
          <w:lang w:val="ru-RU"/>
        </w:rPr>
        <w:t xml:space="preserve"> двухгодично</w:t>
      </w:r>
      <w:r w:rsidR="00A37547" w:rsidRPr="00F878B1">
        <w:rPr>
          <w:lang w:val="ru-RU"/>
        </w:rPr>
        <w:t>го</w:t>
      </w:r>
      <w:r w:rsidR="006437EF" w:rsidRPr="00F878B1">
        <w:rPr>
          <w:lang w:val="ru-RU"/>
        </w:rPr>
        <w:t xml:space="preserve"> период</w:t>
      </w:r>
      <w:r w:rsidR="00A37547" w:rsidRPr="00F878B1">
        <w:rPr>
          <w:lang w:val="ru-RU"/>
        </w:rPr>
        <w:t>а</w:t>
      </w:r>
      <w:r w:rsidR="006437EF" w:rsidRPr="00F878B1">
        <w:rPr>
          <w:lang w:val="ru-RU"/>
        </w:rPr>
        <w:t xml:space="preserve"> 2018-</w:t>
      </w:r>
      <w:r w:rsidR="00EC0B75" w:rsidRPr="00F878B1">
        <w:rPr>
          <w:lang w:val="ru-RU"/>
        </w:rPr>
        <w:t xml:space="preserve">2019 годов, являются основными видами деятельности секретариата и, следовательно, требуют поддержки со стороны </w:t>
      </w:r>
      <w:r w:rsidR="00470D75" w:rsidRPr="00F878B1">
        <w:rPr>
          <w:lang w:val="ru-RU"/>
        </w:rPr>
        <w:t>О</w:t>
      </w:r>
      <w:r w:rsidR="00EC0B75" w:rsidRPr="00F878B1">
        <w:rPr>
          <w:lang w:val="ru-RU"/>
        </w:rPr>
        <w:t xml:space="preserve">бщего целевого фонда. Региональные подготовительные совещания и дополнительные совещания </w:t>
      </w:r>
      <w:r w:rsidR="009354C3" w:rsidRPr="00F878B1">
        <w:rPr>
          <w:lang w:val="ru-RU"/>
        </w:rPr>
        <w:t xml:space="preserve">к совещаниям </w:t>
      </w:r>
      <w:r w:rsidR="00EC0B75" w:rsidRPr="00F878B1">
        <w:rPr>
          <w:lang w:val="ru-RU"/>
        </w:rPr>
        <w:t xml:space="preserve">Конференции </w:t>
      </w:r>
      <w:r w:rsidR="009354C3" w:rsidRPr="00F878B1">
        <w:rPr>
          <w:lang w:val="ru-RU"/>
        </w:rPr>
        <w:t xml:space="preserve">Сторон </w:t>
      </w:r>
      <w:r w:rsidR="00EC0B75" w:rsidRPr="00F878B1">
        <w:rPr>
          <w:lang w:val="ru-RU"/>
        </w:rPr>
        <w:t xml:space="preserve">будут проводиться при поддержке </w:t>
      </w:r>
      <w:r w:rsidR="00470D75" w:rsidRPr="00F878B1">
        <w:rPr>
          <w:lang w:val="ru-RU"/>
        </w:rPr>
        <w:t>С</w:t>
      </w:r>
      <w:r w:rsidR="00EC0B75" w:rsidRPr="00F878B1">
        <w:rPr>
          <w:lang w:val="ru-RU"/>
        </w:rPr>
        <w:t>пециального целевого фонда и при условии наличия средств.</w:t>
      </w:r>
    </w:p>
    <w:p w14:paraId="11A6EE61" w14:textId="0825CCAD" w:rsidR="00D134D2" w:rsidRPr="00F878B1" w:rsidRDefault="004E5D9E" w:rsidP="00F96601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F878B1">
        <w:rPr>
          <w:b/>
          <w:lang w:val="ru-RU"/>
        </w:rPr>
        <w:tab/>
      </w:r>
      <w:r w:rsidR="00431A61" w:rsidRPr="00F878B1">
        <w:rPr>
          <w:b/>
          <w:lang w:val="ru-RU"/>
        </w:rPr>
        <w:t>2.</w:t>
      </w:r>
      <w:r w:rsidR="00431A61" w:rsidRPr="00F878B1">
        <w:rPr>
          <w:b/>
          <w:lang w:val="ru-RU"/>
        </w:rPr>
        <w:tab/>
        <w:t>Создание потенциал</w:t>
      </w:r>
      <w:r w:rsidRPr="00F878B1">
        <w:rPr>
          <w:b/>
          <w:lang w:val="ru-RU"/>
        </w:rPr>
        <w:t>а и оказание технической помощи</w:t>
      </w:r>
    </w:p>
    <w:p w14:paraId="4C13AD65" w14:textId="6799F111" w:rsidR="00D134D2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27.</w:t>
      </w:r>
      <w:r w:rsidRPr="00F878B1">
        <w:rPr>
          <w:lang w:val="ru-RU"/>
        </w:rPr>
        <w:tab/>
      </w:r>
      <w:r w:rsidR="008B6EFE" w:rsidRPr="00F878B1">
        <w:rPr>
          <w:lang w:val="ru-RU"/>
        </w:rPr>
        <w:t xml:space="preserve">Согласно статье 14 Конвенции, Стороны Минаматской конвенции осуществляют сотрудничество с целью оказания, в пределах их соответствующих возможностей, своевременной и надлежащей помощи в создании потенциала и технического содействия </w:t>
      </w:r>
      <w:r w:rsidR="00A37547" w:rsidRPr="00F878B1">
        <w:rPr>
          <w:lang w:val="ru-RU"/>
        </w:rPr>
        <w:t>Сторонам</w:t>
      </w:r>
      <w:r w:rsidR="008B6EFE" w:rsidRPr="00F878B1">
        <w:rPr>
          <w:lang w:val="ru-RU"/>
        </w:rPr>
        <w:t>, являющимся развивающимися странами, в</w:t>
      </w:r>
      <w:r w:rsidR="00A10BCA" w:rsidRPr="00F878B1">
        <w:rPr>
          <w:lang w:val="ru-RU"/>
        </w:rPr>
        <w:t xml:space="preserve"> </w:t>
      </w:r>
      <w:r w:rsidR="008B6EFE" w:rsidRPr="00F878B1">
        <w:rPr>
          <w:lang w:val="ru-RU"/>
        </w:rPr>
        <w:t xml:space="preserve">частности, </w:t>
      </w:r>
      <w:r w:rsidR="00A37547" w:rsidRPr="00F878B1">
        <w:rPr>
          <w:lang w:val="ru-RU"/>
        </w:rPr>
        <w:t xml:space="preserve">Сторонам, являющимся </w:t>
      </w:r>
      <w:r w:rsidR="008B6EFE" w:rsidRPr="00F878B1">
        <w:rPr>
          <w:lang w:val="ru-RU"/>
        </w:rPr>
        <w:t xml:space="preserve">наименее развитыми странами или малыми островными развивающимися государствами, и </w:t>
      </w:r>
      <w:r w:rsidR="00A37547" w:rsidRPr="00F878B1">
        <w:rPr>
          <w:lang w:val="ru-RU"/>
        </w:rPr>
        <w:t xml:space="preserve">Сторонам, являющимся странами </w:t>
      </w:r>
      <w:r w:rsidR="008B6EFE" w:rsidRPr="00F878B1">
        <w:rPr>
          <w:lang w:val="ru-RU"/>
        </w:rPr>
        <w:t xml:space="preserve">с переходной экономикой, в порядке способствования им в соблюдении их обязательств по Конвенции. Во исполнение этой просьбы секретариат учредит программу создания потенциала и оказания технической помощи в интересах осуществления Конвенции. Мероприятия в рамках этой программы будут в первую очередь направлены на оказание поддержки Сторонам, но также будут включать оказание поддержки государствам, не являющимся Сторонами, в интересах скорейшего осуществления и ратификации Конвенции. </w:t>
      </w:r>
    </w:p>
    <w:p w14:paraId="604BB83F" w14:textId="3599145C" w:rsidR="008B6EFE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28.</w:t>
      </w:r>
      <w:r w:rsidRPr="00F878B1">
        <w:rPr>
          <w:lang w:val="ru-RU"/>
        </w:rPr>
        <w:tab/>
      </w:r>
      <w:r w:rsidR="00743EA7" w:rsidRPr="00F878B1">
        <w:rPr>
          <w:lang w:val="ru-RU"/>
        </w:rPr>
        <w:t>Общая задача программы создания потенциала и оказания технической помощи будет заключаться в планировании, создании, укреплении и поддержании потенциала, необходимого Сторонам для выполнения обязательств по Конвенции на индивидуальном, организационном и системном уровнях.</w:t>
      </w:r>
    </w:p>
    <w:p w14:paraId="781A72D3" w14:textId="213C019C" w:rsidR="008B6EFE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29.</w:t>
      </w:r>
      <w:r w:rsidRPr="00F878B1">
        <w:rPr>
          <w:lang w:val="ru-RU"/>
        </w:rPr>
        <w:tab/>
      </w:r>
      <w:r w:rsidR="008B6EFE" w:rsidRPr="00F878B1">
        <w:rPr>
          <w:lang w:val="ru-RU"/>
        </w:rPr>
        <w:t xml:space="preserve">Программа создания потенциала и оказания технической помощи будет включать в себя проведение </w:t>
      </w:r>
      <w:proofErr w:type="spellStart"/>
      <w:r w:rsidR="008B6EFE" w:rsidRPr="00F878B1">
        <w:rPr>
          <w:lang w:val="ru-RU"/>
        </w:rPr>
        <w:t>межсекторальных</w:t>
      </w:r>
      <w:proofErr w:type="spellEnd"/>
      <w:r w:rsidR="008B6EFE" w:rsidRPr="00F878B1">
        <w:rPr>
          <w:lang w:val="ru-RU"/>
        </w:rPr>
        <w:t xml:space="preserve"> мероприятий в поддержку координации на национальном уровне, институционального потенциала, национального законодательства и обмена информацией. Эти мероприятия будут также </w:t>
      </w:r>
      <w:r w:rsidR="00A37547" w:rsidRPr="00F878B1">
        <w:rPr>
          <w:lang w:val="ru-RU"/>
        </w:rPr>
        <w:t xml:space="preserve">предусматривать </w:t>
      </w:r>
      <w:r w:rsidR="008B6EFE" w:rsidRPr="00F878B1">
        <w:rPr>
          <w:lang w:val="ru-RU"/>
        </w:rPr>
        <w:t>оказ</w:t>
      </w:r>
      <w:r w:rsidR="00A37547" w:rsidRPr="00F878B1">
        <w:rPr>
          <w:lang w:val="ru-RU"/>
        </w:rPr>
        <w:t xml:space="preserve">ание </w:t>
      </w:r>
      <w:r w:rsidR="008B6EFE" w:rsidRPr="00F878B1">
        <w:rPr>
          <w:lang w:val="ru-RU"/>
        </w:rPr>
        <w:t>поддержк</w:t>
      </w:r>
      <w:r w:rsidR="00A37547" w:rsidRPr="00F878B1">
        <w:rPr>
          <w:lang w:val="ru-RU"/>
        </w:rPr>
        <w:t>и</w:t>
      </w:r>
      <w:r w:rsidR="008B6EFE" w:rsidRPr="00F878B1">
        <w:rPr>
          <w:lang w:val="ru-RU"/>
        </w:rPr>
        <w:t xml:space="preserve"> проведению оценки потребностей и воздействия и разработке инструментов и методологий, необходимых для содействия осуществлению. Кроме того, секретариат будет обеспечивать создание потенциала на основе оценки потребностей и воздействия. Секретариат также должен быть готов реагировать по запросу на конкретные мероприятия по созданию потенциала. </w:t>
      </w:r>
    </w:p>
    <w:p w14:paraId="6EC2535A" w14:textId="07C81E18" w:rsidR="00CE7657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30.</w:t>
      </w:r>
      <w:r w:rsidRPr="00F878B1">
        <w:rPr>
          <w:lang w:val="ru-RU"/>
        </w:rPr>
        <w:tab/>
      </w:r>
      <w:r w:rsidR="008B6EFE" w:rsidRPr="00F878B1">
        <w:rPr>
          <w:lang w:val="ru-RU"/>
        </w:rPr>
        <w:t>Все мероприятия, связанные с созданием потенциала и оказанием технической помощи, на двухгодичный период 2018</w:t>
      </w:r>
      <w:r w:rsidRPr="00F878B1">
        <w:rPr>
          <w:lang w:val="ru-RU"/>
        </w:rPr>
        <w:t>-</w:t>
      </w:r>
      <w:r w:rsidR="008B6EFE" w:rsidRPr="00F878B1">
        <w:rPr>
          <w:lang w:val="ru-RU"/>
        </w:rPr>
        <w:t xml:space="preserve">2019 годов будут финансироваться по линии добровольного </w:t>
      </w:r>
      <w:r w:rsidR="00470D75" w:rsidRPr="00F878B1">
        <w:rPr>
          <w:lang w:val="ru-RU"/>
        </w:rPr>
        <w:t>С</w:t>
      </w:r>
      <w:r w:rsidR="00117DAC" w:rsidRPr="00F878B1">
        <w:rPr>
          <w:lang w:val="ru-RU"/>
        </w:rPr>
        <w:t>пециального целевого фонда.</w:t>
      </w:r>
    </w:p>
    <w:p w14:paraId="0E4E32BD" w14:textId="1575132B" w:rsidR="00CE7657" w:rsidRPr="00F878B1" w:rsidRDefault="00884DBA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F878B1">
        <w:rPr>
          <w:b/>
          <w:lang w:val="ru-RU"/>
        </w:rPr>
        <w:tab/>
      </w:r>
      <w:r w:rsidR="00431A61" w:rsidRPr="00F878B1">
        <w:rPr>
          <w:b/>
          <w:lang w:val="ru-RU"/>
        </w:rPr>
        <w:t>3.</w:t>
      </w:r>
      <w:r w:rsidR="00431A61" w:rsidRPr="00F878B1">
        <w:rPr>
          <w:b/>
          <w:lang w:val="ru-RU"/>
        </w:rPr>
        <w:tab/>
        <w:t>Научные и технические мероприятия</w:t>
      </w:r>
    </w:p>
    <w:p w14:paraId="61F1A4DA" w14:textId="448AF75C" w:rsidR="00CE7657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31.</w:t>
      </w:r>
      <w:r w:rsidRPr="00F878B1">
        <w:rPr>
          <w:lang w:val="ru-RU"/>
        </w:rPr>
        <w:tab/>
      </w:r>
      <w:r w:rsidR="002738BA" w:rsidRPr="00F878B1">
        <w:rPr>
          <w:lang w:val="ru-RU"/>
        </w:rPr>
        <w:t xml:space="preserve">Секретариату поручено </w:t>
      </w:r>
      <w:r w:rsidR="00A37547" w:rsidRPr="00F878B1">
        <w:rPr>
          <w:lang w:val="ru-RU"/>
        </w:rPr>
        <w:t xml:space="preserve">оказывать </w:t>
      </w:r>
      <w:r w:rsidR="002738BA" w:rsidRPr="00F878B1">
        <w:rPr>
          <w:lang w:val="ru-RU"/>
        </w:rPr>
        <w:t>Сторонам Конвенции научную и техническую поддержку, включая дальнейшую разработку руководящих документов и проектов руководящих принципов, как того требует Конвенция. Направления работы включают выбросы и высвобождения ртути и ртутных соединений, временное хранение, отходы и загрязненные участки. Секретариат представит сбалансированные, основанны</w:t>
      </w:r>
      <w:r w:rsidR="00E979A5" w:rsidRPr="00F878B1">
        <w:rPr>
          <w:lang w:val="ru-RU"/>
        </w:rPr>
        <w:t>е</w:t>
      </w:r>
      <w:r w:rsidR="002738BA" w:rsidRPr="00F878B1">
        <w:rPr>
          <w:lang w:val="ru-RU"/>
        </w:rPr>
        <w:t xml:space="preserve"> на фактических данных доклады и научно-технические аналитические исследования с целью содействия принятию решений и оказания поддержки осуществлению Конвенции, подготовит </w:t>
      </w:r>
      <w:r w:rsidR="00A37547" w:rsidRPr="00F878B1">
        <w:rPr>
          <w:lang w:val="ru-RU"/>
        </w:rPr>
        <w:t>программные</w:t>
      </w:r>
      <w:r w:rsidR="002738BA" w:rsidRPr="00F878B1">
        <w:rPr>
          <w:lang w:val="ru-RU"/>
        </w:rPr>
        <w:t xml:space="preserve"> и технические аналитические исследования по </w:t>
      </w:r>
      <w:proofErr w:type="spellStart"/>
      <w:r w:rsidR="002738BA" w:rsidRPr="00F878B1">
        <w:rPr>
          <w:lang w:val="ru-RU"/>
        </w:rPr>
        <w:t>межсекторальным</w:t>
      </w:r>
      <w:proofErr w:type="spellEnd"/>
      <w:r w:rsidR="002738BA" w:rsidRPr="00F878B1">
        <w:rPr>
          <w:lang w:val="ru-RU"/>
        </w:rPr>
        <w:t xml:space="preserve"> вопросам и будет координировать совместные усилия с партнерами в поддержку </w:t>
      </w:r>
      <w:r w:rsidR="002B4DE8" w:rsidRPr="00F878B1">
        <w:rPr>
          <w:lang w:val="ru-RU"/>
        </w:rPr>
        <w:t>Конвенции</w:t>
      </w:r>
      <w:r w:rsidR="002738BA" w:rsidRPr="00F878B1">
        <w:rPr>
          <w:lang w:val="ru-RU"/>
        </w:rPr>
        <w:t xml:space="preserve"> и принимать в них участие. Наконец, научно-техническая поддержка будет также лежать в основе стратегической коммуникационной и информационно-пропагандистской деятельности в интересах Ко</w:t>
      </w:r>
      <w:r w:rsidR="00117DAC" w:rsidRPr="00F878B1">
        <w:rPr>
          <w:lang w:val="ru-RU"/>
        </w:rPr>
        <w:t>нвенции.</w:t>
      </w:r>
    </w:p>
    <w:p w14:paraId="36674CC5" w14:textId="2A30023C" w:rsidR="00C10042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32.</w:t>
      </w:r>
      <w:r w:rsidRPr="00F878B1">
        <w:rPr>
          <w:lang w:val="ru-RU"/>
        </w:rPr>
        <w:tab/>
      </w:r>
      <w:r w:rsidR="00C10042" w:rsidRPr="00F878B1">
        <w:rPr>
          <w:lang w:val="ru-RU"/>
        </w:rPr>
        <w:t>Согласно Конвенции, Конференция Сторон, как ожидается, пров</w:t>
      </w:r>
      <w:r w:rsidR="00E979A5" w:rsidRPr="00F878B1">
        <w:rPr>
          <w:lang w:val="ru-RU"/>
        </w:rPr>
        <w:t>е</w:t>
      </w:r>
      <w:r w:rsidR="00C10042" w:rsidRPr="00F878B1">
        <w:rPr>
          <w:lang w:val="ru-RU"/>
        </w:rPr>
        <w:t>д</w:t>
      </w:r>
      <w:r w:rsidR="00E979A5" w:rsidRPr="00F878B1">
        <w:rPr>
          <w:lang w:val="ru-RU"/>
        </w:rPr>
        <w:t>е</w:t>
      </w:r>
      <w:r w:rsidR="00C10042" w:rsidRPr="00F878B1">
        <w:rPr>
          <w:lang w:val="ru-RU"/>
        </w:rPr>
        <w:t>т</w:t>
      </w:r>
      <w:r w:rsidR="00E979A5" w:rsidRPr="00F878B1">
        <w:rPr>
          <w:lang w:val="ru-RU"/>
        </w:rPr>
        <w:t xml:space="preserve"> </w:t>
      </w:r>
      <w:r w:rsidR="00C10042" w:rsidRPr="00F878B1">
        <w:rPr>
          <w:lang w:val="ru-RU"/>
        </w:rPr>
        <w:t>оценку эффективности Конвенции не позднее чем через шесть лет после ее вступления в силу. Эта работа должна начаться на первом совещании, когда Конференция приступит к принятию мер для обеспечения себя данными мониторинга. Секретариату, как ожидается, будет поручено оказывать этому процессу содействие посредством разработки проектов документов, по мере необходимости, а также координации вклада и организации совещаний любых групп эксперт</w:t>
      </w:r>
      <w:r w:rsidR="00117DAC" w:rsidRPr="00F878B1">
        <w:rPr>
          <w:lang w:val="ru-RU"/>
        </w:rPr>
        <w:t>ов, которые могут быть созданы.</w:t>
      </w:r>
    </w:p>
    <w:p w14:paraId="06B88E07" w14:textId="321AC598" w:rsidR="002738BA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33.</w:t>
      </w:r>
      <w:r w:rsidRPr="00F878B1">
        <w:rPr>
          <w:lang w:val="ru-RU"/>
        </w:rPr>
        <w:tab/>
      </w:r>
      <w:r w:rsidR="00A271B3" w:rsidRPr="00F878B1">
        <w:rPr>
          <w:lang w:val="ru-RU"/>
        </w:rPr>
        <w:t>Первое совещание Конференции Сторон согласует структуру и содержание формы представления отчетности, а также периодичность представления отчетности. Секретариат будет оказывать поддержку процессу представления отчетности, в том числе путем разработки онлайнового инструмента для использования Сторонами. По мере необходимости секретариат будет также представлять информацию и другие инструменты и руководящие у</w:t>
      </w:r>
      <w:r w:rsidR="00117DAC" w:rsidRPr="00F878B1">
        <w:rPr>
          <w:lang w:val="ru-RU"/>
        </w:rPr>
        <w:t>казания в отношении отчетности.</w:t>
      </w:r>
    </w:p>
    <w:p w14:paraId="1D2FFE3E" w14:textId="1A10768B" w:rsidR="007B6BE2" w:rsidRPr="00F878B1" w:rsidRDefault="004348D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34.</w:t>
      </w:r>
      <w:r w:rsidRPr="00F878B1">
        <w:rPr>
          <w:lang w:val="ru-RU"/>
        </w:rPr>
        <w:tab/>
      </w:r>
      <w:r w:rsidR="002738BA" w:rsidRPr="00F878B1">
        <w:rPr>
          <w:lang w:val="ru-RU"/>
        </w:rPr>
        <w:t>Научные и технические мероприятия в течение двухгодичного периода 2018</w:t>
      </w:r>
      <w:r w:rsidR="006437EF" w:rsidRPr="00F878B1">
        <w:rPr>
          <w:lang w:val="ru-RU"/>
        </w:rPr>
        <w:t>-</w:t>
      </w:r>
      <w:r w:rsidR="002738BA" w:rsidRPr="00F878B1">
        <w:rPr>
          <w:lang w:val="ru-RU"/>
        </w:rPr>
        <w:t>2019 годов, как ожидается, будут финансироваться за счет бюджетных</w:t>
      </w:r>
      <w:r w:rsidR="00A37547" w:rsidRPr="00F878B1">
        <w:rPr>
          <w:lang w:val="ru-RU"/>
        </w:rPr>
        <w:t xml:space="preserve"> ассигнований</w:t>
      </w:r>
      <w:r w:rsidR="002738BA" w:rsidRPr="00F878B1">
        <w:rPr>
          <w:lang w:val="ru-RU"/>
        </w:rPr>
        <w:t xml:space="preserve">, выделяемых на покрытие расходов по персоналу, за исключением сумм, </w:t>
      </w:r>
      <w:r w:rsidR="00A37547" w:rsidRPr="00F878B1">
        <w:rPr>
          <w:lang w:val="ru-RU"/>
        </w:rPr>
        <w:t>предназначенных</w:t>
      </w:r>
      <w:r w:rsidR="002738BA" w:rsidRPr="00F878B1">
        <w:rPr>
          <w:lang w:val="ru-RU"/>
        </w:rPr>
        <w:t xml:space="preserve"> </w:t>
      </w:r>
      <w:r w:rsidR="00A37547" w:rsidRPr="00F878B1">
        <w:rPr>
          <w:lang w:val="ru-RU"/>
        </w:rPr>
        <w:t>для</w:t>
      </w:r>
      <w:r w:rsidR="002738BA" w:rsidRPr="00F878B1">
        <w:rPr>
          <w:lang w:val="ru-RU"/>
        </w:rPr>
        <w:t xml:space="preserve"> разработк</w:t>
      </w:r>
      <w:r w:rsidR="00A37547" w:rsidRPr="00F878B1">
        <w:rPr>
          <w:lang w:val="ru-RU"/>
        </w:rPr>
        <w:t>и</w:t>
      </w:r>
      <w:r w:rsidR="002738BA" w:rsidRPr="00F878B1">
        <w:rPr>
          <w:lang w:val="ru-RU"/>
        </w:rPr>
        <w:t xml:space="preserve"> онлайнового инструмента.</w:t>
      </w:r>
    </w:p>
    <w:p w14:paraId="659E2407" w14:textId="0743A856" w:rsidR="00EF5CEC" w:rsidRPr="00F878B1" w:rsidRDefault="00490D72" w:rsidP="004348D3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F878B1">
        <w:rPr>
          <w:b/>
          <w:lang w:val="ru-RU"/>
        </w:rPr>
        <w:tab/>
      </w:r>
      <w:r w:rsidR="00431A61" w:rsidRPr="00F878B1">
        <w:rPr>
          <w:b/>
          <w:lang w:val="ru-RU"/>
        </w:rPr>
        <w:t>4.</w:t>
      </w:r>
      <w:r w:rsidR="00431A61" w:rsidRPr="00F878B1">
        <w:rPr>
          <w:b/>
          <w:lang w:val="ru-RU"/>
        </w:rPr>
        <w:tab/>
        <w:t xml:space="preserve">Управление знаниями и информацией </w:t>
      </w:r>
      <w:r w:rsidR="00117DAC" w:rsidRPr="00F878B1">
        <w:rPr>
          <w:b/>
          <w:lang w:val="ru-RU"/>
        </w:rPr>
        <w:t>и пропагандистская деятельность</w:t>
      </w:r>
    </w:p>
    <w:p w14:paraId="3FFF0B8E" w14:textId="01F53803" w:rsidR="00EF5CEC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35.</w:t>
      </w:r>
      <w:r w:rsidRPr="00F878B1">
        <w:rPr>
          <w:lang w:val="ru-RU"/>
        </w:rPr>
        <w:tab/>
      </w:r>
      <w:r w:rsidR="004A5554" w:rsidRPr="00F878B1">
        <w:rPr>
          <w:lang w:val="ru-RU"/>
        </w:rPr>
        <w:t xml:space="preserve">Секретариат будет оказывать поддержку </w:t>
      </w:r>
      <w:r w:rsidR="009354C3" w:rsidRPr="00F878B1">
        <w:rPr>
          <w:lang w:val="ru-RU"/>
        </w:rPr>
        <w:t xml:space="preserve">мероприятиям по </w:t>
      </w:r>
      <w:r w:rsidR="004A5554" w:rsidRPr="00F878B1">
        <w:rPr>
          <w:lang w:val="ru-RU"/>
        </w:rPr>
        <w:t>управлению знаниями и информацией в рамках Конвенции, как это предусмотрено в статье 17. Эффективное управление знаниями и информацией является краеугольным камнем усилий по осуществлению, поскольку оно позволяет Сторона</w:t>
      </w:r>
      <w:r w:rsidR="008E02E7" w:rsidRPr="00F878B1">
        <w:rPr>
          <w:lang w:val="ru-RU"/>
        </w:rPr>
        <w:t xml:space="preserve">м обмениваться информацией друг с </w:t>
      </w:r>
      <w:r w:rsidR="004A5554" w:rsidRPr="00F878B1">
        <w:rPr>
          <w:lang w:val="ru-RU"/>
        </w:rPr>
        <w:t>другом и обеспечивает создание хранилища знаний в области осуществления Конвенции в различных национальных и региональных контекстах, включая уроки, извлеченные в ходе сотрудничества по линии Юг</w:t>
      </w:r>
      <w:r w:rsidRPr="00F878B1">
        <w:rPr>
          <w:lang w:val="ru-RU"/>
        </w:rPr>
        <w:noBreakHyphen/>
      </w:r>
      <w:r w:rsidR="004A5554" w:rsidRPr="00F878B1">
        <w:rPr>
          <w:lang w:val="ru-RU"/>
        </w:rPr>
        <w:t>Юг и Север-Юг. В этом отношении ключевое значение имеет создание специализированной, гибкой и доступной системы управления знаниями и инф</w:t>
      </w:r>
      <w:r w:rsidR="00117DAC" w:rsidRPr="00F878B1">
        <w:rPr>
          <w:lang w:val="ru-RU"/>
        </w:rPr>
        <w:t>ормацией в интересах Конвенции.</w:t>
      </w:r>
    </w:p>
    <w:p w14:paraId="143D199E" w14:textId="441261F0" w:rsidR="00924EA9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36.</w:t>
      </w:r>
      <w:r w:rsidRPr="00F878B1">
        <w:rPr>
          <w:lang w:val="ru-RU"/>
        </w:rPr>
        <w:tab/>
      </w:r>
      <w:r w:rsidR="00924EA9" w:rsidRPr="00F878B1">
        <w:rPr>
          <w:lang w:val="ru-RU"/>
        </w:rPr>
        <w:t xml:space="preserve">Секретариату также поручена работа по повышению осведомленности о Конвенции посредством стратегической коммуникационной и информационно-пропагандистской деятельности. Долгосрочная устойчивость Конвенции повысится, если директивные органы и общественность будут осведомлены и проинформированы о важности ее целей, значении этих целей для повседневной жизни и взаимосвязях между работой в рамках Конвенции </w:t>
      </w:r>
      <w:r w:rsidR="00117DAC" w:rsidRPr="00F878B1">
        <w:rPr>
          <w:lang w:val="ru-RU"/>
        </w:rPr>
        <w:t>и различными другими секторами.</w:t>
      </w:r>
    </w:p>
    <w:p w14:paraId="21C1C60B" w14:textId="5A146FDF" w:rsidR="00FC4067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37.</w:t>
      </w:r>
      <w:r w:rsidRPr="00F878B1">
        <w:rPr>
          <w:lang w:val="ru-RU"/>
        </w:rPr>
        <w:tab/>
      </w:r>
      <w:r w:rsidR="004A5554" w:rsidRPr="00F878B1">
        <w:rPr>
          <w:lang w:val="ru-RU"/>
        </w:rPr>
        <w:t xml:space="preserve">Разработка и распространение материалов и публикаций (включая электронные публикации) имеют ключевое значение для усилий по повышению осведомленности и должны </w:t>
      </w:r>
      <w:r w:rsidR="00A37547" w:rsidRPr="00F878B1">
        <w:rPr>
          <w:lang w:val="ru-RU"/>
        </w:rPr>
        <w:t>предусматривать</w:t>
      </w:r>
      <w:r w:rsidR="004A5554" w:rsidRPr="00F878B1">
        <w:rPr>
          <w:lang w:val="ru-RU"/>
        </w:rPr>
        <w:t xml:space="preserve"> </w:t>
      </w:r>
      <w:proofErr w:type="spellStart"/>
      <w:r w:rsidR="004A5554" w:rsidRPr="00F878B1">
        <w:rPr>
          <w:lang w:val="ru-RU"/>
        </w:rPr>
        <w:t>публик</w:t>
      </w:r>
      <w:r w:rsidR="00A37547" w:rsidRPr="00F878B1">
        <w:rPr>
          <w:lang w:val="ru-RU"/>
        </w:rPr>
        <w:t>ование</w:t>
      </w:r>
      <w:proofErr w:type="spellEnd"/>
      <w:r w:rsidR="004A5554" w:rsidRPr="00F878B1">
        <w:rPr>
          <w:lang w:val="ru-RU"/>
        </w:rPr>
        <w:t xml:space="preserve"> и распространение текста Конвенции, правил процедуры и финансовых правил, а также информационных бюллетене</w:t>
      </w:r>
      <w:r w:rsidR="00117DAC" w:rsidRPr="00F878B1">
        <w:rPr>
          <w:lang w:val="ru-RU"/>
        </w:rPr>
        <w:t>й и других основных публикаций.</w:t>
      </w:r>
    </w:p>
    <w:p w14:paraId="441098C8" w14:textId="0501C799" w:rsidR="00FC4067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38.</w:t>
      </w:r>
      <w:r w:rsidRPr="00F878B1">
        <w:rPr>
          <w:lang w:val="ru-RU"/>
        </w:rPr>
        <w:tab/>
      </w:r>
      <w:r w:rsidR="00FC4067" w:rsidRPr="00F878B1">
        <w:rPr>
          <w:lang w:val="ru-RU"/>
        </w:rPr>
        <w:t xml:space="preserve">Поскольку речь идет о новой конвенции, необходимо будет также разработать стратегическую </w:t>
      </w:r>
      <w:r w:rsidR="00A37547" w:rsidRPr="00F878B1">
        <w:rPr>
          <w:lang w:val="ru-RU"/>
        </w:rPr>
        <w:t>коммуникационную</w:t>
      </w:r>
      <w:r w:rsidR="00FC4067" w:rsidRPr="00F878B1">
        <w:rPr>
          <w:lang w:val="ru-RU"/>
        </w:rPr>
        <w:t xml:space="preserve"> кампанию, которая должна </w:t>
      </w:r>
      <w:r w:rsidR="00A37547" w:rsidRPr="00F878B1">
        <w:rPr>
          <w:lang w:val="ru-RU"/>
        </w:rPr>
        <w:t>обеспечить</w:t>
      </w:r>
      <w:r w:rsidR="00FC4067" w:rsidRPr="00F878B1">
        <w:rPr>
          <w:lang w:val="ru-RU"/>
        </w:rPr>
        <w:t xml:space="preserve"> присутствие в социальных сетях, </w:t>
      </w:r>
      <w:r w:rsidR="00A37547" w:rsidRPr="00F878B1">
        <w:rPr>
          <w:lang w:val="ru-RU"/>
        </w:rPr>
        <w:t>визуальную идентичность</w:t>
      </w:r>
      <w:r w:rsidR="00FC4067" w:rsidRPr="00F878B1">
        <w:rPr>
          <w:lang w:val="ru-RU"/>
        </w:rPr>
        <w:t>, символику и логотип, а также соответствующие мультимедийные элеме</w:t>
      </w:r>
      <w:r w:rsidR="00117DAC" w:rsidRPr="00F878B1">
        <w:rPr>
          <w:lang w:val="ru-RU"/>
        </w:rPr>
        <w:t>нты в пропагандистских целях.</w:t>
      </w:r>
    </w:p>
    <w:p w14:paraId="616D30F5" w14:textId="6F2DF5D8" w:rsidR="00FC4067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39.</w:t>
      </w:r>
      <w:r w:rsidRPr="00F878B1">
        <w:rPr>
          <w:lang w:val="ru-RU"/>
        </w:rPr>
        <w:tab/>
      </w:r>
      <w:r w:rsidR="00FC4067" w:rsidRPr="00F878B1">
        <w:rPr>
          <w:lang w:val="ru-RU"/>
        </w:rPr>
        <w:t>Функции управления знаниями и информацией, а также стратегическ</w:t>
      </w:r>
      <w:r w:rsidR="00A37547" w:rsidRPr="00F878B1">
        <w:rPr>
          <w:lang w:val="ru-RU"/>
        </w:rPr>
        <w:t xml:space="preserve">ие мероприятия в области </w:t>
      </w:r>
      <w:r w:rsidR="00FC4067" w:rsidRPr="00F878B1">
        <w:rPr>
          <w:lang w:val="ru-RU"/>
        </w:rPr>
        <w:t>коммуникационной и информационно-пропагандистской деятельности в теч</w:t>
      </w:r>
      <w:r w:rsidRPr="00F878B1">
        <w:rPr>
          <w:lang w:val="ru-RU"/>
        </w:rPr>
        <w:t>ение двухгодичного периода 2018</w:t>
      </w:r>
      <w:r w:rsidR="002536D6" w:rsidRPr="00F878B1">
        <w:rPr>
          <w:lang w:val="ru-RU"/>
        </w:rPr>
        <w:t>-</w:t>
      </w:r>
      <w:r w:rsidR="00FC4067" w:rsidRPr="00F878B1">
        <w:rPr>
          <w:lang w:val="ru-RU"/>
        </w:rPr>
        <w:t>2019</w:t>
      </w:r>
      <w:r w:rsidRPr="00F878B1">
        <w:rPr>
          <w:lang w:val="ru-RU"/>
        </w:rPr>
        <w:t> </w:t>
      </w:r>
      <w:r w:rsidR="00FC4067" w:rsidRPr="00F878B1">
        <w:rPr>
          <w:lang w:val="ru-RU"/>
        </w:rPr>
        <w:t xml:space="preserve">годов являются одним из основных направлений работы секретариата и будут в основном поддерживаться по линии </w:t>
      </w:r>
      <w:r w:rsidR="00470D75" w:rsidRPr="00F878B1">
        <w:rPr>
          <w:lang w:val="ru-RU"/>
        </w:rPr>
        <w:t>О</w:t>
      </w:r>
      <w:r w:rsidR="00117DAC" w:rsidRPr="00F878B1">
        <w:rPr>
          <w:lang w:val="ru-RU"/>
        </w:rPr>
        <w:t>бщего целевого фонда.</w:t>
      </w:r>
    </w:p>
    <w:p w14:paraId="4BFD7E59" w14:textId="76C20523" w:rsidR="00C07F78" w:rsidRPr="00F878B1" w:rsidRDefault="008E02E7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F878B1">
        <w:rPr>
          <w:b/>
          <w:lang w:val="ru-RU"/>
        </w:rPr>
        <w:tab/>
      </w:r>
      <w:r w:rsidR="00117DAC" w:rsidRPr="00F878B1">
        <w:rPr>
          <w:b/>
          <w:lang w:val="ru-RU"/>
        </w:rPr>
        <w:t>5.</w:t>
      </w:r>
      <w:r w:rsidR="00117DAC" w:rsidRPr="00F878B1">
        <w:rPr>
          <w:b/>
          <w:lang w:val="ru-RU"/>
        </w:rPr>
        <w:tab/>
        <w:t>Общее управление</w:t>
      </w:r>
    </w:p>
    <w:p w14:paraId="2896BF7E" w14:textId="76CD5E8E" w:rsidR="00C07F78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40.</w:t>
      </w:r>
      <w:r w:rsidRPr="00F878B1">
        <w:rPr>
          <w:lang w:val="ru-RU"/>
        </w:rPr>
        <w:tab/>
      </w:r>
      <w:r w:rsidR="001F183F" w:rsidRPr="00F878B1">
        <w:rPr>
          <w:lang w:val="ru-RU"/>
        </w:rPr>
        <w:t xml:space="preserve">Оказание эффективной поддержки Сторонам Конвенции требует оперативного и стратегического исполнительного руководства. Оно также требует согласованности в вопросах управления персоналом, осуществления </w:t>
      </w:r>
      <w:proofErr w:type="spellStart"/>
      <w:r w:rsidR="001F183F" w:rsidRPr="00F878B1">
        <w:rPr>
          <w:lang w:val="ru-RU"/>
        </w:rPr>
        <w:t>секретариатских</w:t>
      </w:r>
      <w:proofErr w:type="spellEnd"/>
      <w:r w:rsidR="001F183F" w:rsidRPr="00F878B1">
        <w:rPr>
          <w:lang w:val="ru-RU"/>
        </w:rPr>
        <w:t xml:space="preserve"> функций и в области финансовых ресурсов. В этой связи глава секретариата осуществляет стратегическое планирование и управление, обеспечивает эффективные потоки информации и отслеживает ход осуществления программы работы.</w:t>
      </w:r>
    </w:p>
    <w:p w14:paraId="11E8B333" w14:textId="3FB1604D" w:rsidR="00C07F78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41.</w:t>
      </w:r>
      <w:r w:rsidRPr="00F878B1">
        <w:rPr>
          <w:lang w:val="ru-RU"/>
        </w:rPr>
        <w:tab/>
      </w:r>
      <w:r w:rsidR="00C07F78" w:rsidRPr="00F878B1">
        <w:rPr>
          <w:lang w:val="ru-RU"/>
        </w:rPr>
        <w:t xml:space="preserve">Главе секретариата поручено обеспечение согласованности совещаний, </w:t>
      </w:r>
      <w:proofErr w:type="spellStart"/>
      <w:r w:rsidR="00C07F78" w:rsidRPr="00F878B1">
        <w:rPr>
          <w:lang w:val="ru-RU"/>
        </w:rPr>
        <w:t>приоритизация</w:t>
      </w:r>
      <w:proofErr w:type="spellEnd"/>
      <w:r w:rsidR="00C07F78" w:rsidRPr="00F878B1">
        <w:rPr>
          <w:lang w:val="ru-RU"/>
        </w:rPr>
        <w:t xml:space="preserve"> и организация его работы, эффективное использование его ресурсов и обеспечение последовательности его процедур; главная цель этой деятельности заключается в обеспечении эффективности и действенности процессов и структур, с тем чтобы наилучшим образом способствовать осуществлению Конвенции.</w:t>
      </w:r>
    </w:p>
    <w:p w14:paraId="6270CBE6" w14:textId="43CD03B8" w:rsidR="00C07F78" w:rsidRPr="00F878B1" w:rsidRDefault="009E1CE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42.</w:t>
      </w:r>
      <w:r w:rsidRPr="00F878B1">
        <w:rPr>
          <w:lang w:val="ru-RU"/>
        </w:rPr>
        <w:tab/>
      </w:r>
      <w:r w:rsidR="00257D31" w:rsidRPr="00F878B1">
        <w:rPr>
          <w:lang w:val="ru-RU"/>
        </w:rPr>
        <w:t>Глава секретариата также должен обеспечить надлежащее финансирование его работы. Основными функциями в этой связи являются подготовка бюджета и контроль за его исполнением и, в частности, мобилизация ресурсов. Кроме того, руководителю секретариата поручено налаживание и укрепление отношений с донорами с целью общего распределения ресурсов для осуществления Конвенции, что подразумевает использование как традиционных, так и нетрадиционных источников финансирования, а также Глобального экологического фонда, который является частью меха</w:t>
      </w:r>
      <w:r w:rsidR="00117DAC" w:rsidRPr="00F878B1">
        <w:rPr>
          <w:lang w:val="ru-RU"/>
        </w:rPr>
        <w:t>низма финансирования Конвенции.</w:t>
      </w:r>
    </w:p>
    <w:p w14:paraId="2B7F6498" w14:textId="7A6A433B" w:rsidR="00C07F78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43.</w:t>
      </w:r>
      <w:r w:rsidRPr="00F878B1">
        <w:rPr>
          <w:lang w:val="ru-RU"/>
        </w:rPr>
        <w:tab/>
      </w:r>
      <w:r w:rsidR="00C07F78" w:rsidRPr="00F878B1">
        <w:rPr>
          <w:lang w:val="ru-RU"/>
        </w:rPr>
        <w:t>Эффективное оказание поддержки осуществлению также требует координации и сотрудничества секретариата</w:t>
      </w:r>
      <w:r w:rsidR="00A37547" w:rsidRPr="00F878B1">
        <w:rPr>
          <w:lang w:val="ru-RU"/>
        </w:rPr>
        <w:t xml:space="preserve"> в рамках направления деятельности, охватывающей вопросы </w:t>
      </w:r>
      <w:r w:rsidR="00C07F78" w:rsidRPr="00F878B1">
        <w:rPr>
          <w:lang w:val="ru-RU"/>
        </w:rPr>
        <w:t>химических веществ и отходов</w:t>
      </w:r>
      <w:r w:rsidR="00A37547" w:rsidRPr="00F878B1">
        <w:rPr>
          <w:lang w:val="ru-RU"/>
        </w:rPr>
        <w:t xml:space="preserve">, и </w:t>
      </w:r>
      <w:r w:rsidR="00C07F78" w:rsidRPr="00F878B1">
        <w:rPr>
          <w:lang w:val="ru-RU"/>
        </w:rPr>
        <w:t>более широкой повестк</w:t>
      </w:r>
      <w:r w:rsidR="00A37547" w:rsidRPr="00F878B1">
        <w:rPr>
          <w:lang w:val="ru-RU"/>
        </w:rPr>
        <w:t>и</w:t>
      </w:r>
      <w:r w:rsidR="00C07F78" w:rsidRPr="00F878B1">
        <w:rPr>
          <w:lang w:val="ru-RU"/>
        </w:rPr>
        <w:t xml:space="preserve"> дня в области устойчивого развития и окружающей среды, в том числе </w:t>
      </w:r>
      <w:r w:rsidR="00A37547" w:rsidRPr="00F878B1">
        <w:rPr>
          <w:lang w:val="ru-RU"/>
        </w:rPr>
        <w:t>по линии</w:t>
      </w:r>
      <w:r w:rsidR="00C07F78" w:rsidRPr="00F878B1">
        <w:rPr>
          <w:lang w:val="ru-RU"/>
        </w:rPr>
        <w:t xml:space="preserve"> ЮНЕП, други</w:t>
      </w:r>
      <w:r w:rsidR="00A37547" w:rsidRPr="00F878B1">
        <w:rPr>
          <w:lang w:val="ru-RU"/>
        </w:rPr>
        <w:t>х</w:t>
      </w:r>
      <w:r w:rsidR="00C07F78" w:rsidRPr="00F878B1">
        <w:rPr>
          <w:lang w:val="ru-RU"/>
        </w:rPr>
        <w:t xml:space="preserve"> соответствующи</w:t>
      </w:r>
      <w:r w:rsidR="00A37547" w:rsidRPr="00F878B1">
        <w:rPr>
          <w:lang w:val="ru-RU"/>
        </w:rPr>
        <w:t>х</w:t>
      </w:r>
      <w:r w:rsidR="00C07F78" w:rsidRPr="00F878B1">
        <w:rPr>
          <w:lang w:val="ru-RU"/>
        </w:rPr>
        <w:t xml:space="preserve"> и надлежащи</w:t>
      </w:r>
      <w:r w:rsidR="00A37547" w:rsidRPr="00F878B1">
        <w:rPr>
          <w:lang w:val="ru-RU"/>
        </w:rPr>
        <w:t>х</w:t>
      </w:r>
      <w:r w:rsidR="00C07F78" w:rsidRPr="00F878B1">
        <w:rPr>
          <w:lang w:val="ru-RU"/>
        </w:rPr>
        <w:t xml:space="preserve"> форум</w:t>
      </w:r>
      <w:r w:rsidR="00A37547" w:rsidRPr="00F878B1">
        <w:rPr>
          <w:lang w:val="ru-RU"/>
        </w:rPr>
        <w:t>ов</w:t>
      </w:r>
      <w:r w:rsidR="00C07F78" w:rsidRPr="00F878B1">
        <w:rPr>
          <w:lang w:val="ru-RU"/>
        </w:rPr>
        <w:t>; а также с учреждениями-партнерами, включая Всемирную организацию здравоохранения.</w:t>
      </w:r>
    </w:p>
    <w:p w14:paraId="741A812D" w14:textId="0B1EE67D" w:rsidR="00C07F78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44.</w:t>
      </w:r>
      <w:r w:rsidRPr="00F878B1">
        <w:rPr>
          <w:lang w:val="ru-RU"/>
        </w:rPr>
        <w:tab/>
      </w:r>
      <w:r w:rsidR="00257D31" w:rsidRPr="00F878B1">
        <w:rPr>
          <w:lang w:val="ru-RU"/>
        </w:rPr>
        <w:t>Для оказания поддержки деятельности по осуществлению Конвенции и для удовлетворения потребностей Конвенции и ее вспомогательных органов в течение двухгодичного периода 2018</w:t>
      </w:r>
      <w:r w:rsidR="002536D6" w:rsidRPr="00F878B1">
        <w:rPr>
          <w:lang w:val="ru-RU"/>
        </w:rPr>
        <w:t>-</w:t>
      </w:r>
      <w:r w:rsidR="00257D31" w:rsidRPr="00F878B1">
        <w:rPr>
          <w:lang w:val="ru-RU"/>
        </w:rPr>
        <w:t>2019 годов могут потреб</w:t>
      </w:r>
      <w:r w:rsidR="00117DAC" w:rsidRPr="00F878B1">
        <w:rPr>
          <w:lang w:val="ru-RU"/>
        </w:rPr>
        <w:t>оваться командировки персонала.</w:t>
      </w:r>
    </w:p>
    <w:p w14:paraId="66FFA417" w14:textId="68BA424E" w:rsidR="003D18D9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45.</w:t>
      </w:r>
      <w:r w:rsidRPr="00F878B1">
        <w:rPr>
          <w:lang w:val="ru-RU"/>
        </w:rPr>
        <w:tab/>
      </w:r>
      <w:r w:rsidR="003D18D9" w:rsidRPr="00F878B1">
        <w:rPr>
          <w:lang w:val="ru-RU"/>
        </w:rPr>
        <w:t xml:space="preserve">Следует отметить, что на первом совещании Конференции </w:t>
      </w:r>
      <w:r w:rsidR="0011674B" w:rsidRPr="00F878B1">
        <w:rPr>
          <w:lang w:val="ru-RU"/>
        </w:rPr>
        <w:t xml:space="preserve">Сторон </w:t>
      </w:r>
      <w:r w:rsidR="003D18D9" w:rsidRPr="00F878B1">
        <w:rPr>
          <w:lang w:val="ru-RU"/>
        </w:rPr>
        <w:t xml:space="preserve">должна быть создана целевая международная программа, которая наряду с </w:t>
      </w:r>
      <w:r w:rsidR="00470D75" w:rsidRPr="00F878B1">
        <w:rPr>
          <w:lang w:val="ru-RU"/>
        </w:rPr>
        <w:t>Ц</w:t>
      </w:r>
      <w:r w:rsidR="003D18D9" w:rsidRPr="00F878B1">
        <w:rPr>
          <w:lang w:val="ru-RU"/>
        </w:rPr>
        <w:t>елевым фондом Глобального экологического фонда будет составлять механизм финансирования Конвенции. Решение о месте размещения этой программы и ее секретариата еще не принято (см. UNEP/MC/COP.1/9 и UNEP/MC/COP.1/9/Add.1). Ожидается, что секретариат и его деятельность буд</w:t>
      </w:r>
      <w:r w:rsidR="00230219" w:rsidRPr="00F878B1">
        <w:rPr>
          <w:lang w:val="ru-RU"/>
        </w:rPr>
        <w:t>у</w:t>
      </w:r>
      <w:r w:rsidR="003D18D9" w:rsidRPr="00F878B1">
        <w:rPr>
          <w:lang w:val="ru-RU"/>
        </w:rPr>
        <w:t>т финансироватьс</w:t>
      </w:r>
      <w:r w:rsidR="00117DAC" w:rsidRPr="00F878B1">
        <w:rPr>
          <w:lang w:val="ru-RU"/>
        </w:rPr>
        <w:t>я за счет добровольных взносов.</w:t>
      </w:r>
    </w:p>
    <w:p w14:paraId="5DC94C64" w14:textId="4FE2F849" w:rsidR="002506FD" w:rsidRPr="00F878B1" w:rsidRDefault="00230219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F878B1">
        <w:rPr>
          <w:b/>
          <w:lang w:val="ru-RU"/>
        </w:rPr>
        <w:tab/>
      </w:r>
      <w:r w:rsidR="00431A61" w:rsidRPr="00F878B1">
        <w:rPr>
          <w:b/>
          <w:lang w:val="ru-RU"/>
        </w:rPr>
        <w:t>6.</w:t>
      </w:r>
      <w:r w:rsidR="00431A61" w:rsidRPr="00F878B1">
        <w:rPr>
          <w:b/>
          <w:lang w:val="ru-RU"/>
        </w:rPr>
        <w:tab/>
        <w:t>Мероприятия в области права и политики</w:t>
      </w:r>
    </w:p>
    <w:p w14:paraId="458C5599" w14:textId="554732F7" w:rsidR="002506FD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46.</w:t>
      </w:r>
      <w:r w:rsidRPr="00F878B1">
        <w:rPr>
          <w:lang w:val="ru-RU"/>
        </w:rPr>
        <w:tab/>
      </w:r>
      <w:r w:rsidR="0036498C" w:rsidRPr="00F878B1">
        <w:rPr>
          <w:lang w:val="ru-RU"/>
        </w:rPr>
        <w:t xml:space="preserve">Мероприятия в области права и политики лежат в основе многих функций секретариата, включая как общие, так и связанные с Конвенцией виды деятельности. Такие </w:t>
      </w:r>
      <w:r w:rsidR="00B67ECC" w:rsidRPr="00F878B1">
        <w:rPr>
          <w:lang w:val="ru-RU"/>
        </w:rPr>
        <w:t>мероприятия</w:t>
      </w:r>
      <w:r w:rsidR="0036498C" w:rsidRPr="00F878B1">
        <w:rPr>
          <w:lang w:val="ru-RU"/>
        </w:rPr>
        <w:t xml:space="preserve"> включают предоставление </w:t>
      </w:r>
      <w:r w:rsidR="008F19AE" w:rsidRPr="00F878B1">
        <w:rPr>
          <w:lang w:val="ru-RU"/>
        </w:rPr>
        <w:t xml:space="preserve">консультативных услуг по вопросам права и политики </w:t>
      </w:r>
      <w:r w:rsidR="0036498C" w:rsidRPr="00F878B1">
        <w:rPr>
          <w:lang w:val="ru-RU"/>
        </w:rPr>
        <w:t>по целому ряду</w:t>
      </w:r>
      <w:r w:rsidR="008F19AE" w:rsidRPr="00F878B1">
        <w:rPr>
          <w:lang w:val="ru-RU"/>
        </w:rPr>
        <w:t xml:space="preserve"> направлений</w:t>
      </w:r>
      <w:r w:rsidR="0036498C" w:rsidRPr="00F878B1">
        <w:rPr>
          <w:lang w:val="ru-RU"/>
        </w:rPr>
        <w:t xml:space="preserve">, включая осуществление и расширение Конвенции, мероприятия в области международного сотрудничества по вопросам </w:t>
      </w:r>
      <w:r w:rsidR="008F19AE" w:rsidRPr="00F878B1">
        <w:rPr>
          <w:lang w:val="ru-RU"/>
        </w:rPr>
        <w:t xml:space="preserve">права и политики </w:t>
      </w:r>
      <w:r w:rsidR="0036498C" w:rsidRPr="00F878B1">
        <w:rPr>
          <w:lang w:val="ru-RU"/>
        </w:rPr>
        <w:t xml:space="preserve">и общеорганизационную </w:t>
      </w:r>
      <w:r w:rsidR="008F19AE" w:rsidRPr="00F878B1">
        <w:rPr>
          <w:lang w:val="ru-RU"/>
        </w:rPr>
        <w:t xml:space="preserve">правовую </w:t>
      </w:r>
      <w:r w:rsidR="00117DAC" w:rsidRPr="00F878B1">
        <w:rPr>
          <w:lang w:val="ru-RU"/>
        </w:rPr>
        <w:t>деятельность секретариата.</w:t>
      </w:r>
    </w:p>
    <w:p w14:paraId="1C55340B" w14:textId="2C9205CD" w:rsidR="0036498C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47.</w:t>
      </w:r>
      <w:r w:rsidRPr="00F878B1">
        <w:rPr>
          <w:lang w:val="ru-RU"/>
        </w:rPr>
        <w:tab/>
      </w:r>
      <w:r w:rsidR="0036498C" w:rsidRPr="00F878B1">
        <w:rPr>
          <w:lang w:val="ru-RU"/>
        </w:rPr>
        <w:t>Мероприятия секретариата в области права и политики также включают оказание Конвенции конкретной поддержки, обеспечение согласованности ее конференций и совещаний, организацию ее работы и обеспечение последовательности ее процессов и процедур. Такие мероприятия также включают оказание поддержки в межсессионный период Комитету по осуществлению и соблюдению, который будет учрежден на первом совещании Конференции Сторон, включая оказание поддержки в разработке круга ведения.</w:t>
      </w:r>
    </w:p>
    <w:p w14:paraId="59800AA4" w14:textId="3EB675F8" w:rsidR="0036498C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48.</w:t>
      </w:r>
      <w:r w:rsidRPr="00F878B1">
        <w:rPr>
          <w:lang w:val="ru-RU"/>
        </w:rPr>
        <w:tab/>
      </w:r>
      <w:r w:rsidR="0036498C" w:rsidRPr="00F878B1">
        <w:rPr>
          <w:lang w:val="ru-RU"/>
        </w:rPr>
        <w:t>Мероприятия в области права и политики в течение двухгодичного периода 2018</w:t>
      </w:r>
      <w:r w:rsidRPr="00F878B1">
        <w:rPr>
          <w:lang w:val="ru-RU"/>
        </w:rPr>
        <w:noBreakHyphen/>
      </w:r>
      <w:r w:rsidR="0036498C" w:rsidRPr="00F878B1">
        <w:rPr>
          <w:lang w:val="ru-RU"/>
        </w:rPr>
        <w:t>2019</w:t>
      </w:r>
      <w:r w:rsidRPr="00F878B1">
        <w:rPr>
          <w:lang w:val="ru-RU"/>
        </w:rPr>
        <w:t> </w:t>
      </w:r>
      <w:r w:rsidR="0036498C" w:rsidRPr="00F878B1">
        <w:rPr>
          <w:lang w:val="ru-RU"/>
        </w:rPr>
        <w:t xml:space="preserve">годов, как ожидается, будут финансироваться за счет бюджетных средств, выделяемых на покрытие расходов по персоналу. </w:t>
      </w:r>
      <w:r w:rsidR="0011674B" w:rsidRPr="00F878B1">
        <w:rPr>
          <w:lang w:val="ru-RU"/>
        </w:rPr>
        <w:t xml:space="preserve">Необходимость в </w:t>
      </w:r>
      <w:r w:rsidR="0036498C" w:rsidRPr="00F878B1">
        <w:rPr>
          <w:lang w:val="ru-RU"/>
        </w:rPr>
        <w:t>дополнительных эксперт</w:t>
      </w:r>
      <w:r w:rsidR="0011674B" w:rsidRPr="00F878B1">
        <w:rPr>
          <w:lang w:val="ru-RU"/>
        </w:rPr>
        <w:t>ах</w:t>
      </w:r>
      <w:r w:rsidR="0036498C" w:rsidRPr="00F878B1">
        <w:rPr>
          <w:lang w:val="ru-RU"/>
        </w:rPr>
        <w:t xml:space="preserve"> не </w:t>
      </w:r>
      <w:r w:rsidR="0011674B" w:rsidRPr="00F878B1">
        <w:rPr>
          <w:lang w:val="ru-RU"/>
        </w:rPr>
        <w:t>предусматривается</w:t>
      </w:r>
      <w:r w:rsidR="00117DAC" w:rsidRPr="00F878B1">
        <w:rPr>
          <w:lang w:val="ru-RU"/>
        </w:rPr>
        <w:t>.</w:t>
      </w:r>
    </w:p>
    <w:p w14:paraId="0C273B42" w14:textId="1ACC38A0" w:rsidR="0036498C" w:rsidRPr="00F878B1" w:rsidRDefault="00C06E2F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F878B1">
        <w:rPr>
          <w:b/>
          <w:lang w:val="ru-RU"/>
        </w:rPr>
        <w:tab/>
      </w:r>
      <w:r w:rsidR="00431A61" w:rsidRPr="00F878B1">
        <w:rPr>
          <w:b/>
          <w:lang w:val="ru-RU"/>
        </w:rPr>
        <w:t>7.</w:t>
      </w:r>
      <w:r w:rsidR="00431A61" w:rsidRPr="00F878B1">
        <w:rPr>
          <w:b/>
          <w:lang w:val="ru-RU"/>
        </w:rPr>
        <w:tab/>
      </w:r>
      <w:r w:rsidR="008F19AE" w:rsidRPr="00F878B1">
        <w:rPr>
          <w:b/>
          <w:lang w:val="ru-RU"/>
        </w:rPr>
        <w:t>Эксплуатация</w:t>
      </w:r>
      <w:r w:rsidR="00117DAC" w:rsidRPr="00F878B1">
        <w:rPr>
          <w:b/>
          <w:lang w:val="ru-RU"/>
        </w:rPr>
        <w:t xml:space="preserve"> служебных помещений и услуги</w:t>
      </w:r>
    </w:p>
    <w:p w14:paraId="4C7E60F7" w14:textId="3224539E" w:rsidR="00446662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49.</w:t>
      </w:r>
      <w:r w:rsidRPr="00F878B1">
        <w:rPr>
          <w:lang w:val="ru-RU"/>
        </w:rPr>
        <w:tab/>
      </w:r>
      <w:r w:rsidR="008F19AE" w:rsidRPr="00F878B1">
        <w:rPr>
          <w:lang w:val="ru-RU"/>
        </w:rPr>
        <w:t>Для н</w:t>
      </w:r>
      <w:r w:rsidR="00446662" w:rsidRPr="00F878B1">
        <w:rPr>
          <w:lang w:val="ru-RU"/>
        </w:rPr>
        <w:t>адлежаще</w:t>
      </w:r>
      <w:r w:rsidR="008F19AE" w:rsidRPr="00F878B1">
        <w:rPr>
          <w:lang w:val="ru-RU"/>
        </w:rPr>
        <w:t>го</w:t>
      </w:r>
      <w:r w:rsidR="00446662" w:rsidRPr="00F878B1">
        <w:rPr>
          <w:lang w:val="ru-RU"/>
        </w:rPr>
        <w:t xml:space="preserve"> функционировани</w:t>
      </w:r>
      <w:r w:rsidR="008F19AE" w:rsidRPr="00F878B1">
        <w:rPr>
          <w:lang w:val="ru-RU"/>
        </w:rPr>
        <w:t>я</w:t>
      </w:r>
      <w:r w:rsidR="00446662" w:rsidRPr="00F878B1">
        <w:rPr>
          <w:lang w:val="ru-RU"/>
        </w:rPr>
        <w:t xml:space="preserve"> секретариата требует</w:t>
      </w:r>
      <w:r w:rsidR="008F19AE" w:rsidRPr="00F878B1">
        <w:rPr>
          <w:lang w:val="ru-RU"/>
        </w:rPr>
        <w:t xml:space="preserve">ся обеспечить </w:t>
      </w:r>
      <w:r w:rsidR="00446662" w:rsidRPr="00F878B1">
        <w:rPr>
          <w:lang w:val="ru-RU"/>
        </w:rPr>
        <w:t>служебны</w:t>
      </w:r>
      <w:r w:rsidR="008F19AE" w:rsidRPr="00F878B1">
        <w:rPr>
          <w:lang w:val="ru-RU"/>
        </w:rPr>
        <w:t>е</w:t>
      </w:r>
      <w:r w:rsidR="00446662" w:rsidRPr="00F878B1">
        <w:rPr>
          <w:lang w:val="ru-RU"/>
        </w:rPr>
        <w:t xml:space="preserve"> помещени</w:t>
      </w:r>
      <w:r w:rsidR="008F19AE" w:rsidRPr="00F878B1">
        <w:rPr>
          <w:lang w:val="ru-RU"/>
        </w:rPr>
        <w:t>я</w:t>
      </w:r>
      <w:r w:rsidR="00446662" w:rsidRPr="00F878B1">
        <w:rPr>
          <w:lang w:val="ru-RU"/>
        </w:rPr>
        <w:t>, офисн</w:t>
      </w:r>
      <w:r w:rsidR="008F19AE" w:rsidRPr="00F878B1">
        <w:rPr>
          <w:lang w:val="ru-RU"/>
        </w:rPr>
        <w:t>ую</w:t>
      </w:r>
      <w:r w:rsidR="00446662" w:rsidRPr="00F878B1">
        <w:rPr>
          <w:lang w:val="ru-RU"/>
        </w:rPr>
        <w:t xml:space="preserve"> мебел</w:t>
      </w:r>
      <w:r w:rsidR="008F19AE" w:rsidRPr="00F878B1">
        <w:rPr>
          <w:lang w:val="ru-RU"/>
        </w:rPr>
        <w:t>ь</w:t>
      </w:r>
      <w:r w:rsidR="00446662" w:rsidRPr="00F878B1">
        <w:rPr>
          <w:lang w:val="ru-RU"/>
        </w:rPr>
        <w:t xml:space="preserve"> и предмет</w:t>
      </w:r>
      <w:r w:rsidR="008F19AE" w:rsidRPr="00F878B1">
        <w:rPr>
          <w:lang w:val="ru-RU"/>
        </w:rPr>
        <w:t>ы</w:t>
      </w:r>
      <w:r w:rsidR="00446662" w:rsidRPr="00F878B1">
        <w:rPr>
          <w:lang w:val="ru-RU"/>
        </w:rPr>
        <w:t xml:space="preserve"> снабжения, а также соответствующ</w:t>
      </w:r>
      <w:r w:rsidR="008F19AE" w:rsidRPr="00F878B1">
        <w:rPr>
          <w:lang w:val="ru-RU"/>
        </w:rPr>
        <w:t>ую эксплуатацию</w:t>
      </w:r>
      <w:r w:rsidR="00446662" w:rsidRPr="00F878B1">
        <w:rPr>
          <w:lang w:val="ru-RU"/>
        </w:rPr>
        <w:t xml:space="preserve"> служебных помещений, коммунальны</w:t>
      </w:r>
      <w:r w:rsidR="008F19AE" w:rsidRPr="00F878B1">
        <w:rPr>
          <w:lang w:val="ru-RU"/>
        </w:rPr>
        <w:t>е</w:t>
      </w:r>
      <w:r w:rsidR="00446662" w:rsidRPr="00F878B1">
        <w:rPr>
          <w:lang w:val="ru-RU"/>
        </w:rPr>
        <w:t xml:space="preserve"> услуг</w:t>
      </w:r>
      <w:r w:rsidR="00963595" w:rsidRPr="00F878B1">
        <w:rPr>
          <w:lang w:val="ru-RU"/>
        </w:rPr>
        <w:t>и</w:t>
      </w:r>
      <w:r w:rsidR="00446662" w:rsidRPr="00F878B1">
        <w:rPr>
          <w:lang w:val="ru-RU"/>
        </w:rPr>
        <w:t xml:space="preserve"> и покрыти</w:t>
      </w:r>
      <w:r w:rsidR="008F19AE" w:rsidRPr="00F878B1">
        <w:rPr>
          <w:lang w:val="ru-RU"/>
        </w:rPr>
        <w:t>е</w:t>
      </w:r>
      <w:r w:rsidR="00446662" w:rsidRPr="00F878B1">
        <w:rPr>
          <w:lang w:val="ru-RU"/>
        </w:rPr>
        <w:t xml:space="preserve"> административных расходов. </w:t>
      </w:r>
      <w:r w:rsidR="008F19AE" w:rsidRPr="00F878B1">
        <w:rPr>
          <w:lang w:val="ru-RU"/>
        </w:rPr>
        <w:t xml:space="preserve">Здесь также </w:t>
      </w:r>
      <w:r w:rsidR="00446662" w:rsidRPr="00F878B1">
        <w:rPr>
          <w:lang w:val="ru-RU"/>
        </w:rPr>
        <w:t>требует</w:t>
      </w:r>
      <w:r w:rsidR="008F19AE" w:rsidRPr="00F878B1">
        <w:rPr>
          <w:lang w:val="ru-RU"/>
        </w:rPr>
        <w:t>ся</w:t>
      </w:r>
      <w:r w:rsidR="00446662" w:rsidRPr="00F878B1">
        <w:rPr>
          <w:lang w:val="ru-RU"/>
        </w:rPr>
        <w:t xml:space="preserve"> надлежащ</w:t>
      </w:r>
      <w:r w:rsidR="008F19AE" w:rsidRPr="00F878B1">
        <w:rPr>
          <w:lang w:val="ru-RU"/>
        </w:rPr>
        <w:t>ая</w:t>
      </w:r>
      <w:r w:rsidR="00446662" w:rsidRPr="00F878B1">
        <w:rPr>
          <w:lang w:val="ru-RU"/>
        </w:rPr>
        <w:t xml:space="preserve"> информационн</w:t>
      </w:r>
      <w:r w:rsidR="008F19AE" w:rsidRPr="00F878B1">
        <w:rPr>
          <w:lang w:val="ru-RU"/>
        </w:rPr>
        <w:t>ая</w:t>
      </w:r>
      <w:r w:rsidR="00446662" w:rsidRPr="00F878B1">
        <w:rPr>
          <w:lang w:val="ru-RU"/>
        </w:rPr>
        <w:t xml:space="preserve"> инфраструктур</w:t>
      </w:r>
      <w:r w:rsidR="008F19AE" w:rsidRPr="00F878B1">
        <w:rPr>
          <w:lang w:val="ru-RU"/>
        </w:rPr>
        <w:t>а</w:t>
      </w:r>
      <w:r w:rsidR="00446662" w:rsidRPr="00F878B1">
        <w:rPr>
          <w:lang w:val="ru-RU"/>
        </w:rPr>
        <w:t>, оборудовани</w:t>
      </w:r>
      <w:r w:rsidR="008F19AE" w:rsidRPr="00F878B1">
        <w:rPr>
          <w:lang w:val="ru-RU"/>
        </w:rPr>
        <w:t>е</w:t>
      </w:r>
      <w:r w:rsidR="00446662" w:rsidRPr="00F878B1">
        <w:rPr>
          <w:lang w:val="ru-RU"/>
        </w:rPr>
        <w:t xml:space="preserve"> и постоянн</w:t>
      </w:r>
      <w:r w:rsidR="008F19AE" w:rsidRPr="00F878B1">
        <w:rPr>
          <w:lang w:val="ru-RU"/>
        </w:rPr>
        <w:t>ая</w:t>
      </w:r>
      <w:r w:rsidR="00446662" w:rsidRPr="00F878B1">
        <w:rPr>
          <w:lang w:val="ru-RU"/>
        </w:rPr>
        <w:t xml:space="preserve"> поддержк</w:t>
      </w:r>
      <w:r w:rsidR="008F19AE" w:rsidRPr="00F878B1">
        <w:rPr>
          <w:lang w:val="ru-RU"/>
        </w:rPr>
        <w:t>а</w:t>
      </w:r>
      <w:r w:rsidR="00446662" w:rsidRPr="00F878B1">
        <w:rPr>
          <w:lang w:val="ru-RU"/>
        </w:rPr>
        <w:t xml:space="preserve"> в этом отношении. Несмотря на то, что можно подготовить общую оценку операционных потребностей, такие расходы, вероятно, будут различаться в зависимости</w:t>
      </w:r>
      <w:r w:rsidR="00117DAC" w:rsidRPr="00F878B1">
        <w:rPr>
          <w:lang w:val="ru-RU"/>
        </w:rPr>
        <w:t xml:space="preserve"> от предложенного места службы.</w:t>
      </w:r>
    </w:p>
    <w:p w14:paraId="59C94EC9" w14:textId="4E80DD2D" w:rsidR="00EC5915" w:rsidRPr="00F878B1" w:rsidRDefault="006329A9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</w:r>
      <w:r w:rsidR="009262E4" w:rsidRPr="00F878B1">
        <w:rPr>
          <w:b/>
          <w:sz w:val="24"/>
          <w:szCs w:val="24"/>
          <w:lang w:val="ru-RU"/>
        </w:rPr>
        <w:t>C.</w:t>
      </w:r>
      <w:r w:rsidR="009262E4" w:rsidRPr="00F878B1">
        <w:rPr>
          <w:b/>
          <w:sz w:val="24"/>
          <w:szCs w:val="24"/>
          <w:lang w:val="ru-RU"/>
        </w:rPr>
        <w:tab/>
        <w:t>Кадровые потребности на период 2018</w:t>
      </w:r>
      <w:r w:rsidR="002536D6" w:rsidRPr="00F878B1">
        <w:rPr>
          <w:b/>
          <w:sz w:val="24"/>
          <w:szCs w:val="24"/>
          <w:lang w:val="ru-RU"/>
        </w:rPr>
        <w:t>-</w:t>
      </w:r>
      <w:r w:rsidR="00117DAC" w:rsidRPr="00F878B1">
        <w:rPr>
          <w:b/>
          <w:sz w:val="24"/>
          <w:szCs w:val="24"/>
          <w:lang w:val="ru-RU"/>
        </w:rPr>
        <w:t>2019 годов</w:t>
      </w:r>
    </w:p>
    <w:p w14:paraId="18D14C5C" w14:textId="7ADF25AE" w:rsidR="00EC5915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50.</w:t>
      </w:r>
      <w:r w:rsidRPr="00F878B1">
        <w:rPr>
          <w:lang w:val="ru-RU"/>
        </w:rPr>
        <w:tab/>
      </w:r>
      <w:r w:rsidR="009262E4" w:rsidRPr="00F878B1">
        <w:rPr>
          <w:lang w:val="ru-RU"/>
        </w:rPr>
        <w:t>Как отмечалось ранее, решение о мерах в отношении того, каким образом Директор</w:t>
      </w:r>
      <w:r w:rsidR="002536D6" w:rsidRPr="00F878B1">
        <w:rPr>
          <w:lang w:val="ru-RU"/>
        </w:rPr>
        <w:noBreakHyphen/>
      </w:r>
      <w:r w:rsidR="009262E4" w:rsidRPr="00F878B1">
        <w:rPr>
          <w:lang w:val="ru-RU"/>
        </w:rPr>
        <w:t>исполнитель будет выполнять функции секретариата, будет принято на первом совещании Конференции Сторон. Решение о месте размещения секретариата также будет принято на этом совещании</w:t>
      </w:r>
      <w:r w:rsidR="00117DAC" w:rsidRPr="00F878B1">
        <w:rPr>
          <w:lang w:val="ru-RU"/>
        </w:rPr>
        <w:t>.</w:t>
      </w:r>
    </w:p>
    <w:p w14:paraId="5D0854DA" w14:textId="3F35053C" w:rsidR="00EC5915" w:rsidRPr="00F878B1" w:rsidRDefault="00B27BF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51.</w:t>
      </w:r>
      <w:r w:rsidRPr="00F878B1">
        <w:rPr>
          <w:lang w:val="ru-RU"/>
        </w:rPr>
        <w:tab/>
      </w:r>
      <w:r w:rsidR="009262E4" w:rsidRPr="00F878B1">
        <w:rPr>
          <w:lang w:val="ru-RU"/>
        </w:rPr>
        <w:t xml:space="preserve">Как указано в документе UNEP/MC/COP.1/14, штатное расписание будет различаться в зависимости от выбранного варианта </w:t>
      </w:r>
      <w:r w:rsidR="00965B73" w:rsidRPr="00F878B1">
        <w:rPr>
          <w:lang w:val="ru-RU"/>
        </w:rPr>
        <w:t xml:space="preserve">организации работы </w:t>
      </w:r>
      <w:r w:rsidR="009262E4" w:rsidRPr="00F878B1">
        <w:rPr>
          <w:lang w:val="ru-RU"/>
        </w:rPr>
        <w:t>секретариата, и если будет выбран вариант, предусматривающий отдельное размещение секретариата, то ресурсы, требующиеся для оплаты персонала, будут также различаться в зависимости от выбранного места службы (см. UNEP/MC/COP.1/21/Add.2). Ниже приводится краткое</w:t>
      </w:r>
      <w:r w:rsidR="00117DAC" w:rsidRPr="00F878B1">
        <w:rPr>
          <w:lang w:val="ru-RU"/>
        </w:rPr>
        <w:t xml:space="preserve"> изложение различных сценариев.</w:t>
      </w:r>
    </w:p>
    <w:p w14:paraId="1ECC00D5" w14:textId="6A3D5590" w:rsidR="003D246F" w:rsidRPr="00F878B1" w:rsidRDefault="00E010AD" w:rsidP="00DD250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lang w:val="ru-RU"/>
        </w:rPr>
      </w:pPr>
      <w:r w:rsidRPr="00F878B1">
        <w:rPr>
          <w:lang w:val="ru-RU"/>
        </w:rPr>
        <w:tab/>
      </w:r>
      <w:r w:rsidRPr="00F878B1">
        <w:rPr>
          <w:b/>
          <w:lang w:val="ru-RU"/>
        </w:rPr>
        <w:t>Вариант 1 а)</w:t>
      </w:r>
      <w:r w:rsidR="00A736FB" w:rsidRPr="00F878B1">
        <w:rPr>
          <w:b/>
          <w:lang w:val="ru-RU"/>
        </w:rPr>
        <w:t xml:space="preserve"> (объединение)</w:t>
      </w:r>
      <w:r w:rsidRPr="00F878B1">
        <w:rPr>
          <w:b/>
          <w:lang w:val="ru-RU"/>
        </w:rPr>
        <w:t xml:space="preserve">. </w:t>
      </w:r>
      <w:r w:rsidR="00A736FB" w:rsidRPr="00F878B1">
        <w:rPr>
          <w:b/>
          <w:lang w:val="ru-RU"/>
        </w:rPr>
        <w:t xml:space="preserve">Слияние функций </w:t>
      </w:r>
      <w:r w:rsidRPr="00F878B1">
        <w:rPr>
          <w:b/>
          <w:lang w:val="ru-RU"/>
        </w:rPr>
        <w:t xml:space="preserve">секретариата Минаматской конвенции с секретариатом Базельской, Роттердамской и Стокгольмской конвенций с использованием его нынешней структуры </w:t>
      </w:r>
      <w:r w:rsidR="00A736FB" w:rsidRPr="00F878B1">
        <w:rPr>
          <w:b/>
          <w:lang w:val="ru-RU"/>
        </w:rPr>
        <w:t xml:space="preserve">(место </w:t>
      </w:r>
      <w:r w:rsidRPr="00F878B1">
        <w:rPr>
          <w:b/>
          <w:lang w:val="ru-RU"/>
        </w:rPr>
        <w:t>размещени</w:t>
      </w:r>
      <w:r w:rsidR="00A736FB" w:rsidRPr="00F878B1">
        <w:rPr>
          <w:b/>
          <w:lang w:val="ru-RU"/>
        </w:rPr>
        <w:t>я:</w:t>
      </w:r>
      <w:r w:rsidRPr="00F878B1">
        <w:rPr>
          <w:b/>
          <w:lang w:val="ru-RU"/>
        </w:rPr>
        <w:t xml:space="preserve"> Женев</w:t>
      </w:r>
      <w:r w:rsidR="00A736FB" w:rsidRPr="00F878B1">
        <w:rPr>
          <w:b/>
          <w:lang w:val="ru-RU"/>
        </w:rPr>
        <w:t>а)</w:t>
      </w:r>
    </w:p>
    <w:p w14:paraId="2E58163A" w14:textId="0B2953E9" w:rsidR="003D246F" w:rsidRPr="00F878B1" w:rsidRDefault="00DD250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52.</w:t>
      </w:r>
      <w:r w:rsidRPr="00F878B1">
        <w:rPr>
          <w:lang w:val="ru-RU"/>
        </w:rPr>
        <w:tab/>
      </w:r>
      <w:r w:rsidR="003D246F" w:rsidRPr="00F878B1">
        <w:rPr>
          <w:lang w:val="ru-RU"/>
        </w:rPr>
        <w:t xml:space="preserve">В соответствии с вариантом 1 a) функции секретариата Минаматской конвенции будут </w:t>
      </w:r>
      <w:r w:rsidR="00A47D40" w:rsidRPr="00F878B1">
        <w:rPr>
          <w:lang w:val="ru-RU"/>
        </w:rPr>
        <w:t>переданы</w:t>
      </w:r>
      <w:r w:rsidR="003D246F" w:rsidRPr="00F878B1">
        <w:rPr>
          <w:lang w:val="ru-RU"/>
        </w:rPr>
        <w:t xml:space="preserve"> объединенн</w:t>
      </w:r>
      <w:r w:rsidR="00A47D40" w:rsidRPr="00F878B1">
        <w:rPr>
          <w:lang w:val="ru-RU"/>
        </w:rPr>
        <w:t>ому</w:t>
      </w:r>
      <w:r w:rsidR="003D246F" w:rsidRPr="00F878B1">
        <w:rPr>
          <w:lang w:val="ru-RU"/>
        </w:rPr>
        <w:t xml:space="preserve"> секретариат</w:t>
      </w:r>
      <w:r w:rsidR="00A47D40" w:rsidRPr="00F878B1">
        <w:rPr>
          <w:lang w:val="ru-RU"/>
        </w:rPr>
        <w:t>у</w:t>
      </w:r>
      <w:r w:rsidR="003D246F" w:rsidRPr="00F878B1">
        <w:rPr>
          <w:lang w:val="ru-RU"/>
        </w:rPr>
        <w:t xml:space="preserve"> Базельской, Роттердамской и Стокгольмской конвенций, а распределение времени и </w:t>
      </w:r>
      <w:r w:rsidR="00A47D40" w:rsidRPr="00F878B1">
        <w:rPr>
          <w:lang w:val="ru-RU"/>
        </w:rPr>
        <w:t xml:space="preserve">соответствующих </w:t>
      </w:r>
      <w:r w:rsidR="003D246F" w:rsidRPr="00F878B1">
        <w:rPr>
          <w:lang w:val="ru-RU"/>
        </w:rPr>
        <w:t>расход</w:t>
      </w:r>
      <w:r w:rsidR="00C537F1" w:rsidRPr="00F878B1">
        <w:rPr>
          <w:lang w:val="ru-RU"/>
        </w:rPr>
        <w:t xml:space="preserve">ов </w:t>
      </w:r>
      <w:r w:rsidR="003D246F" w:rsidRPr="00F878B1">
        <w:rPr>
          <w:lang w:val="ru-RU"/>
        </w:rPr>
        <w:t>по всем должностям объединенного секретариата буд</w:t>
      </w:r>
      <w:r w:rsidR="00C537F1" w:rsidRPr="00F878B1">
        <w:rPr>
          <w:lang w:val="ru-RU"/>
        </w:rPr>
        <w:t>е</w:t>
      </w:r>
      <w:r w:rsidR="003D246F" w:rsidRPr="00F878B1">
        <w:rPr>
          <w:lang w:val="ru-RU"/>
        </w:rPr>
        <w:t>т определяться и утверждаться конференциями Сторон</w:t>
      </w:r>
      <w:r w:rsidR="00E71949" w:rsidRPr="00F878B1">
        <w:rPr>
          <w:lang w:val="ru-RU"/>
        </w:rPr>
        <w:t xml:space="preserve"> этих </w:t>
      </w:r>
      <w:r w:rsidR="003D246F" w:rsidRPr="00F878B1">
        <w:rPr>
          <w:lang w:val="ru-RU"/>
        </w:rPr>
        <w:t xml:space="preserve">четырех конвенций. Следующие совещания конференций Сторон Базельской, Роттердамской и Стокгольмской конвенций состоятся в 2019 году. В соответствии с этим вариантом предусматривается, что </w:t>
      </w:r>
      <w:proofErr w:type="spellStart"/>
      <w:r w:rsidR="003D246F" w:rsidRPr="00F878B1">
        <w:rPr>
          <w:lang w:val="ru-RU"/>
        </w:rPr>
        <w:t>Минаматская</w:t>
      </w:r>
      <w:proofErr w:type="spellEnd"/>
      <w:r w:rsidR="003D246F" w:rsidRPr="00F878B1">
        <w:rPr>
          <w:lang w:val="ru-RU"/>
        </w:rPr>
        <w:t xml:space="preserve"> конвенция будет оплачивать 20 процентов расходов по должностям Исполнительного секретаря и заместителя Исполнительного секретаря, а также 20</w:t>
      </w:r>
      <w:r w:rsidRPr="00F878B1">
        <w:rPr>
          <w:lang w:val="ru-RU"/>
        </w:rPr>
        <w:t> </w:t>
      </w:r>
      <w:r w:rsidR="003D246F" w:rsidRPr="00F878B1">
        <w:rPr>
          <w:lang w:val="ru-RU"/>
        </w:rPr>
        <w:t xml:space="preserve">процентов расходов по остальным должностям, которые в настоящее время заложены в бюджет </w:t>
      </w:r>
      <w:r w:rsidR="00470D75" w:rsidRPr="00F878B1">
        <w:rPr>
          <w:lang w:val="ru-RU"/>
        </w:rPr>
        <w:t>О</w:t>
      </w:r>
      <w:r w:rsidR="003D246F" w:rsidRPr="00F878B1">
        <w:rPr>
          <w:lang w:val="ru-RU"/>
        </w:rPr>
        <w:t>бщих целевых фондов трех конвенций. Доля для Минаматской конвенции в размере 20 процентов была рассчитана с учетом ожидаемого объема деятельности по соответствующим конвенциям. Остальные 80 процентов р</w:t>
      </w:r>
      <w:r w:rsidR="00046030" w:rsidRPr="00F878B1">
        <w:rPr>
          <w:lang w:val="ru-RU"/>
        </w:rPr>
        <w:t>абочего времени сотрудников буду</w:t>
      </w:r>
      <w:r w:rsidR="003D246F" w:rsidRPr="00F878B1">
        <w:rPr>
          <w:lang w:val="ru-RU"/>
        </w:rPr>
        <w:t>т выделен</w:t>
      </w:r>
      <w:r w:rsidR="00046030" w:rsidRPr="00F878B1">
        <w:rPr>
          <w:lang w:val="ru-RU"/>
        </w:rPr>
        <w:t>ы</w:t>
      </w:r>
      <w:r w:rsidR="003D246F" w:rsidRPr="00F878B1">
        <w:rPr>
          <w:lang w:val="ru-RU"/>
        </w:rPr>
        <w:t xml:space="preserve"> для осуществления Базельской, Роттердамской и Стокгольмской конвенций.</w:t>
      </w:r>
    </w:p>
    <w:p w14:paraId="63276EAC" w14:textId="672CC695" w:rsidR="0028454A" w:rsidRPr="00F878B1" w:rsidRDefault="00DD250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53.</w:t>
      </w:r>
      <w:r w:rsidRPr="00F878B1">
        <w:rPr>
          <w:lang w:val="ru-RU"/>
        </w:rPr>
        <w:tab/>
      </w:r>
      <w:r w:rsidR="001170F8" w:rsidRPr="00F878B1">
        <w:rPr>
          <w:lang w:val="ru-RU"/>
        </w:rPr>
        <w:t>В дополнение к существующему штату сотрудников секретариата Базельской, Роттердамской и Стокгольмской конвенций следующие новые должности, как ожидается, будут необходимы для обеспечения программной поддержки Минаматской конвенции:</w:t>
      </w:r>
      <w:r w:rsidR="00F728AC" w:rsidRPr="00F878B1">
        <w:rPr>
          <w:lang w:val="ru-RU"/>
        </w:rPr>
        <w:t xml:space="preserve"> </w:t>
      </w:r>
      <w:r w:rsidR="001170F8" w:rsidRPr="00F878B1">
        <w:rPr>
          <w:lang w:val="ru-RU"/>
        </w:rPr>
        <w:t>две должности категории С-</w:t>
      </w:r>
      <w:r w:rsidR="00F728AC" w:rsidRPr="00F878B1">
        <w:rPr>
          <w:lang w:val="ru-RU"/>
        </w:rPr>
        <w:t xml:space="preserve">4 (один сотрудник по вопросам оказания научной поддержки и один по вопросам создания потенциала и оказания технической поддержки), три должности категории С-3 </w:t>
      </w:r>
      <w:r w:rsidR="001170F8" w:rsidRPr="00F878B1">
        <w:rPr>
          <w:lang w:val="ru-RU"/>
        </w:rPr>
        <w:t>(один сотрудник</w:t>
      </w:r>
      <w:r w:rsidR="00A47D40" w:rsidRPr="00F878B1">
        <w:rPr>
          <w:lang w:val="ru-RU"/>
        </w:rPr>
        <w:t xml:space="preserve"> по вопросам </w:t>
      </w:r>
      <w:r w:rsidR="00F728AC" w:rsidRPr="00F878B1">
        <w:rPr>
          <w:lang w:val="ru-RU"/>
        </w:rPr>
        <w:t xml:space="preserve">создания потенциала и </w:t>
      </w:r>
      <w:r w:rsidR="001170F8" w:rsidRPr="00F878B1">
        <w:rPr>
          <w:lang w:val="ru-RU"/>
        </w:rPr>
        <w:t>оказания технической помощи</w:t>
      </w:r>
      <w:r w:rsidR="00F728AC" w:rsidRPr="00F878B1">
        <w:rPr>
          <w:lang w:val="ru-RU"/>
        </w:rPr>
        <w:t xml:space="preserve">, один по вопросам оказания научной поддержки </w:t>
      </w:r>
      <w:r w:rsidR="001170F8" w:rsidRPr="00F878B1">
        <w:rPr>
          <w:lang w:val="ru-RU"/>
        </w:rPr>
        <w:t>и один для координации</w:t>
      </w:r>
      <w:r w:rsidR="00F728AC" w:rsidRPr="00F878B1">
        <w:rPr>
          <w:lang w:val="ru-RU"/>
        </w:rPr>
        <w:t xml:space="preserve"> конференций</w:t>
      </w:r>
      <w:r w:rsidR="001170F8" w:rsidRPr="00F878B1">
        <w:rPr>
          <w:lang w:val="ru-RU"/>
        </w:rPr>
        <w:t xml:space="preserve">) и четыре должности категории общего обслуживания. </w:t>
      </w:r>
      <w:r w:rsidR="00F728AC" w:rsidRPr="00F878B1">
        <w:rPr>
          <w:lang w:val="ru-RU"/>
        </w:rPr>
        <w:t>Сотрудники на э</w:t>
      </w:r>
      <w:r w:rsidR="001170F8" w:rsidRPr="00F878B1">
        <w:rPr>
          <w:lang w:val="ru-RU"/>
        </w:rPr>
        <w:t>ти</w:t>
      </w:r>
      <w:r w:rsidR="00F728AC" w:rsidRPr="00F878B1">
        <w:rPr>
          <w:lang w:val="ru-RU"/>
        </w:rPr>
        <w:t>х</w:t>
      </w:r>
      <w:r w:rsidR="001170F8" w:rsidRPr="00F878B1">
        <w:rPr>
          <w:lang w:val="ru-RU"/>
        </w:rPr>
        <w:t xml:space="preserve"> должност</w:t>
      </w:r>
      <w:r w:rsidR="00F728AC" w:rsidRPr="00F878B1">
        <w:rPr>
          <w:lang w:val="ru-RU"/>
        </w:rPr>
        <w:t>ях</w:t>
      </w:r>
      <w:r w:rsidR="001170F8" w:rsidRPr="00F878B1">
        <w:rPr>
          <w:lang w:val="ru-RU"/>
        </w:rPr>
        <w:t xml:space="preserve"> </w:t>
      </w:r>
      <w:r w:rsidR="00F728AC" w:rsidRPr="00F878B1">
        <w:rPr>
          <w:lang w:val="ru-RU"/>
        </w:rPr>
        <w:t xml:space="preserve">будут обслуживать все </w:t>
      </w:r>
      <w:r w:rsidR="001170F8" w:rsidRPr="00F878B1">
        <w:rPr>
          <w:lang w:val="ru-RU"/>
        </w:rPr>
        <w:t>четыре конвенци</w:t>
      </w:r>
      <w:r w:rsidR="00F728AC" w:rsidRPr="00F878B1">
        <w:rPr>
          <w:lang w:val="ru-RU"/>
        </w:rPr>
        <w:t xml:space="preserve">и и </w:t>
      </w:r>
      <w:r w:rsidR="001170F8" w:rsidRPr="00F878B1">
        <w:rPr>
          <w:lang w:val="ru-RU"/>
        </w:rPr>
        <w:t>финансировать</w:t>
      </w:r>
      <w:r w:rsidR="00F728AC" w:rsidRPr="00F878B1">
        <w:rPr>
          <w:lang w:val="ru-RU"/>
        </w:rPr>
        <w:t>ся</w:t>
      </w:r>
      <w:r w:rsidR="001170F8" w:rsidRPr="00F878B1">
        <w:rPr>
          <w:lang w:val="ru-RU"/>
        </w:rPr>
        <w:t xml:space="preserve"> за счет </w:t>
      </w:r>
      <w:r w:rsidR="00F728AC" w:rsidRPr="00F878B1">
        <w:rPr>
          <w:lang w:val="ru-RU"/>
        </w:rPr>
        <w:t xml:space="preserve">договоренности о </w:t>
      </w:r>
      <w:r w:rsidR="001170F8" w:rsidRPr="00F878B1">
        <w:rPr>
          <w:lang w:val="ru-RU"/>
        </w:rPr>
        <w:t>совместно</w:t>
      </w:r>
      <w:r w:rsidR="00F728AC" w:rsidRPr="00F878B1">
        <w:rPr>
          <w:lang w:val="ru-RU"/>
        </w:rPr>
        <w:t>м</w:t>
      </w:r>
      <w:r w:rsidR="001170F8" w:rsidRPr="00F878B1">
        <w:rPr>
          <w:lang w:val="ru-RU"/>
        </w:rPr>
        <w:t xml:space="preserve"> несени</w:t>
      </w:r>
      <w:r w:rsidR="00F728AC" w:rsidRPr="00F878B1">
        <w:rPr>
          <w:lang w:val="ru-RU"/>
        </w:rPr>
        <w:t>и</w:t>
      </w:r>
      <w:r w:rsidR="001170F8" w:rsidRPr="00F878B1">
        <w:rPr>
          <w:lang w:val="ru-RU"/>
        </w:rPr>
        <w:t xml:space="preserve"> расходов </w:t>
      </w:r>
      <w:r w:rsidR="00F728AC" w:rsidRPr="00F878B1">
        <w:rPr>
          <w:lang w:val="ru-RU"/>
        </w:rPr>
        <w:t xml:space="preserve">между </w:t>
      </w:r>
      <w:r w:rsidR="001170F8" w:rsidRPr="00F878B1">
        <w:rPr>
          <w:lang w:val="ru-RU"/>
        </w:rPr>
        <w:t>четыр</w:t>
      </w:r>
      <w:r w:rsidR="00F728AC" w:rsidRPr="00F878B1">
        <w:rPr>
          <w:lang w:val="ru-RU"/>
        </w:rPr>
        <w:t xml:space="preserve">ьмя </w:t>
      </w:r>
      <w:r w:rsidR="001170F8" w:rsidRPr="00F878B1">
        <w:rPr>
          <w:lang w:val="ru-RU"/>
        </w:rPr>
        <w:t>конвенци</w:t>
      </w:r>
      <w:r w:rsidR="00F728AC" w:rsidRPr="00F878B1">
        <w:rPr>
          <w:lang w:val="ru-RU"/>
        </w:rPr>
        <w:t>ями</w:t>
      </w:r>
      <w:r w:rsidR="001170F8" w:rsidRPr="00F878B1">
        <w:rPr>
          <w:lang w:val="ru-RU"/>
        </w:rPr>
        <w:t xml:space="preserve">, то есть </w:t>
      </w:r>
      <w:proofErr w:type="spellStart"/>
      <w:r w:rsidR="001170F8" w:rsidRPr="00F878B1">
        <w:rPr>
          <w:lang w:val="ru-RU"/>
        </w:rPr>
        <w:t>Минаматская</w:t>
      </w:r>
      <w:proofErr w:type="spellEnd"/>
      <w:r w:rsidR="001170F8" w:rsidRPr="00F878B1">
        <w:rPr>
          <w:lang w:val="ru-RU"/>
        </w:rPr>
        <w:t xml:space="preserve"> конвенция должна будет покры</w:t>
      </w:r>
      <w:r w:rsidR="00A47D40" w:rsidRPr="00F878B1">
        <w:rPr>
          <w:lang w:val="ru-RU"/>
        </w:rPr>
        <w:t>ва</w:t>
      </w:r>
      <w:r w:rsidR="001170F8" w:rsidRPr="00F878B1">
        <w:rPr>
          <w:lang w:val="ru-RU"/>
        </w:rPr>
        <w:t>ть 20 процентов расходов по должностям, которые в настоящее время заложены в бюджет</w:t>
      </w:r>
      <w:r w:rsidR="00F728AC" w:rsidRPr="00F878B1">
        <w:rPr>
          <w:lang w:val="ru-RU"/>
        </w:rPr>
        <w:t>ы</w:t>
      </w:r>
      <w:r w:rsidR="001170F8" w:rsidRPr="00F878B1">
        <w:rPr>
          <w:lang w:val="ru-RU"/>
        </w:rPr>
        <w:t xml:space="preserve"> </w:t>
      </w:r>
      <w:r w:rsidR="00F728AC" w:rsidRPr="00F878B1">
        <w:rPr>
          <w:lang w:val="ru-RU"/>
        </w:rPr>
        <w:t>о</w:t>
      </w:r>
      <w:r w:rsidR="001170F8" w:rsidRPr="00F878B1">
        <w:rPr>
          <w:lang w:val="ru-RU"/>
        </w:rPr>
        <w:t>бщ</w:t>
      </w:r>
      <w:r w:rsidR="00F728AC" w:rsidRPr="00F878B1">
        <w:rPr>
          <w:lang w:val="ru-RU"/>
        </w:rPr>
        <w:t>их</w:t>
      </w:r>
      <w:r w:rsidR="001170F8" w:rsidRPr="00F878B1">
        <w:rPr>
          <w:lang w:val="ru-RU"/>
        </w:rPr>
        <w:t xml:space="preserve"> целев</w:t>
      </w:r>
      <w:r w:rsidR="00F728AC" w:rsidRPr="00F878B1">
        <w:rPr>
          <w:lang w:val="ru-RU"/>
        </w:rPr>
        <w:t>ых</w:t>
      </w:r>
      <w:r w:rsidR="001170F8" w:rsidRPr="00F878B1">
        <w:rPr>
          <w:lang w:val="ru-RU"/>
        </w:rPr>
        <w:t xml:space="preserve"> фонд</w:t>
      </w:r>
      <w:r w:rsidR="00F728AC" w:rsidRPr="00F878B1">
        <w:rPr>
          <w:lang w:val="ru-RU"/>
        </w:rPr>
        <w:t>ов</w:t>
      </w:r>
      <w:r w:rsidR="001170F8" w:rsidRPr="00F878B1">
        <w:rPr>
          <w:lang w:val="ru-RU"/>
        </w:rPr>
        <w:t xml:space="preserve"> Базельской, Роттердамской и Стокгольмской конвенций, а также расходы по вновь созданным должностям.</w:t>
      </w:r>
    </w:p>
    <w:p w14:paraId="05B530EE" w14:textId="16A2DCC5" w:rsidR="00DE472B" w:rsidRPr="00F878B1" w:rsidRDefault="00DE472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54.</w:t>
      </w:r>
      <w:r w:rsidRPr="00F878B1">
        <w:rPr>
          <w:lang w:val="ru-RU"/>
        </w:rPr>
        <w:tab/>
        <w:t>Кроме того, сэкономленные Сторонами Базельской, Роттердамской и Стокгольмской конвенций за счет этого варианта средства могут быть частично вновь инвестированы в укрепление структуры объединенного секретариата путем найма сотрудника по программам категории С-3 на 1,5 ставки (для покрытия расходов на выполнение таких функций</w:t>
      </w:r>
      <w:r w:rsidR="00977E94" w:rsidRPr="00F878B1">
        <w:rPr>
          <w:lang w:val="ru-RU"/>
        </w:rPr>
        <w:t>,</w:t>
      </w:r>
      <w:r w:rsidRPr="00F878B1">
        <w:rPr>
          <w:lang w:val="ru-RU"/>
        </w:rPr>
        <w:t xml:space="preserve"> как юридическая поддержка, управление знаниями, услуги информационно-пропагандистского характера и в области информационных технологий).</w:t>
      </w:r>
    </w:p>
    <w:p w14:paraId="63CAEED9" w14:textId="36E9B432" w:rsidR="00F62ED2" w:rsidRPr="00F878B1" w:rsidRDefault="00E010A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F878B1">
        <w:rPr>
          <w:lang w:val="ru-RU"/>
        </w:rPr>
        <w:tab/>
      </w:r>
      <w:r w:rsidRPr="00F878B1">
        <w:rPr>
          <w:b/>
          <w:lang w:val="ru-RU"/>
        </w:rPr>
        <w:t>Вариант 1 b)</w:t>
      </w:r>
      <w:r w:rsidR="00DE472B" w:rsidRPr="00F878B1">
        <w:rPr>
          <w:b/>
          <w:lang w:val="ru-RU"/>
        </w:rPr>
        <w:t xml:space="preserve"> (подразделение)</w:t>
      </w:r>
      <w:r w:rsidRPr="00F878B1">
        <w:rPr>
          <w:b/>
          <w:lang w:val="ru-RU"/>
        </w:rPr>
        <w:t>.</w:t>
      </w:r>
      <w:r w:rsidR="00DE472B" w:rsidRPr="00F878B1">
        <w:rPr>
          <w:b/>
          <w:lang w:val="ru-RU"/>
        </w:rPr>
        <w:t xml:space="preserve"> </w:t>
      </w:r>
      <w:r w:rsidRPr="00F878B1">
        <w:rPr>
          <w:b/>
          <w:lang w:val="ru-RU"/>
        </w:rPr>
        <w:t xml:space="preserve">Объединение секретариата Минаматской конвенции с секретариатом Базельской, Роттердамской и Стокгольмской конвенций путем создания на </w:t>
      </w:r>
      <w:r w:rsidR="00A47D40" w:rsidRPr="00F878B1">
        <w:rPr>
          <w:b/>
          <w:lang w:val="ru-RU"/>
        </w:rPr>
        <w:t xml:space="preserve">временной основе </w:t>
      </w:r>
      <w:r w:rsidRPr="00F878B1">
        <w:rPr>
          <w:b/>
          <w:lang w:val="ru-RU"/>
        </w:rPr>
        <w:t xml:space="preserve">подразделения </w:t>
      </w:r>
      <w:r w:rsidR="00DE472B" w:rsidRPr="00F878B1">
        <w:rPr>
          <w:b/>
          <w:lang w:val="ru-RU"/>
        </w:rPr>
        <w:t xml:space="preserve">для Минаматской конвенции (место </w:t>
      </w:r>
      <w:r w:rsidRPr="00F878B1">
        <w:rPr>
          <w:b/>
          <w:lang w:val="ru-RU"/>
        </w:rPr>
        <w:t>размещени</w:t>
      </w:r>
      <w:r w:rsidR="00DE472B" w:rsidRPr="00F878B1">
        <w:rPr>
          <w:b/>
          <w:lang w:val="ru-RU"/>
        </w:rPr>
        <w:t xml:space="preserve">я: </w:t>
      </w:r>
      <w:r w:rsidRPr="00F878B1">
        <w:rPr>
          <w:b/>
          <w:lang w:val="ru-RU"/>
        </w:rPr>
        <w:t>Женев</w:t>
      </w:r>
      <w:r w:rsidR="00DE472B" w:rsidRPr="00F878B1">
        <w:rPr>
          <w:b/>
          <w:lang w:val="ru-RU"/>
        </w:rPr>
        <w:t>а)</w:t>
      </w:r>
    </w:p>
    <w:p w14:paraId="2FBD919F" w14:textId="3AE7383E" w:rsidR="009F51CE" w:rsidRPr="00F878B1" w:rsidRDefault="00DD250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</w:t>
      </w:r>
      <w:r w:rsidR="00147B66" w:rsidRPr="00F878B1">
        <w:rPr>
          <w:lang w:val="ru-RU"/>
        </w:rPr>
        <w:t>5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147B66" w:rsidRPr="00F878B1">
        <w:rPr>
          <w:lang w:val="ru-RU"/>
        </w:rPr>
        <w:t>В соответствии с этим вариантом будет создано подразделение для Минаматской конвенции, подчиняющееся Исполнительному секретарю секретариата Базельской, Роттердамской и Стокгольмской конвенций и Минаматской конвенции.</w:t>
      </w:r>
      <w:r w:rsidR="009F51CE" w:rsidRPr="00F878B1">
        <w:rPr>
          <w:lang w:val="ru-RU"/>
        </w:rPr>
        <w:t xml:space="preserve"> Заместитель Исполнительного секретаря и руководитель Сектора обеспечения деятельности конвенций также будут оказывать поддержку подразделению для Минаматской конвенции.</w:t>
      </w:r>
    </w:p>
    <w:p w14:paraId="6153C10F" w14:textId="1512F0CB" w:rsidR="00F62ED2" w:rsidRPr="00F878B1" w:rsidRDefault="009F51CE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56.</w:t>
      </w:r>
      <w:r w:rsidRPr="00F878B1">
        <w:rPr>
          <w:lang w:val="ru-RU"/>
        </w:rPr>
        <w:tab/>
        <w:t>А</w:t>
      </w:r>
      <w:r w:rsidR="0028454A" w:rsidRPr="00F878B1">
        <w:rPr>
          <w:lang w:val="ru-RU"/>
        </w:rPr>
        <w:t>налогично</w:t>
      </w:r>
      <w:r w:rsidRPr="00F878B1">
        <w:rPr>
          <w:lang w:val="ru-RU"/>
        </w:rPr>
        <w:t xml:space="preserve"> </w:t>
      </w:r>
      <w:r w:rsidR="0028454A" w:rsidRPr="00F878B1">
        <w:rPr>
          <w:lang w:val="ru-RU"/>
        </w:rPr>
        <w:t>вариант</w:t>
      </w:r>
      <w:r w:rsidRPr="00F878B1">
        <w:rPr>
          <w:lang w:val="ru-RU"/>
        </w:rPr>
        <w:t>у</w:t>
      </w:r>
      <w:r w:rsidR="0028454A" w:rsidRPr="00F878B1">
        <w:rPr>
          <w:lang w:val="ru-RU"/>
        </w:rPr>
        <w:t xml:space="preserve"> 1 а)</w:t>
      </w:r>
      <w:r w:rsidRPr="00F878B1">
        <w:rPr>
          <w:lang w:val="ru-RU"/>
        </w:rPr>
        <w:t>, согласно которому д</w:t>
      </w:r>
      <w:r w:rsidR="0028454A" w:rsidRPr="00F878B1">
        <w:rPr>
          <w:lang w:val="ru-RU"/>
        </w:rPr>
        <w:t>ействующи</w:t>
      </w:r>
      <w:r w:rsidRPr="00F878B1">
        <w:rPr>
          <w:lang w:val="ru-RU"/>
        </w:rPr>
        <w:t>е</w:t>
      </w:r>
      <w:r w:rsidR="0028454A" w:rsidRPr="00F878B1">
        <w:rPr>
          <w:lang w:val="ru-RU"/>
        </w:rPr>
        <w:t xml:space="preserve"> сотрудник</w:t>
      </w:r>
      <w:r w:rsidRPr="00F878B1">
        <w:rPr>
          <w:lang w:val="ru-RU"/>
        </w:rPr>
        <w:t>и</w:t>
      </w:r>
      <w:r w:rsidR="0028454A" w:rsidRPr="00F878B1">
        <w:rPr>
          <w:lang w:val="ru-RU"/>
        </w:rPr>
        <w:t xml:space="preserve"> секретариата Базельской, Роттердамской и Стокгольмской конвенций</w:t>
      </w:r>
      <w:r w:rsidRPr="00F878B1">
        <w:rPr>
          <w:lang w:val="ru-RU"/>
        </w:rPr>
        <w:t xml:space="preserve"> возьму</w:t>
      </w:r>
      <w:r w:rsidR="009E0E65" w:rsidRPr="00F878B1">
        <w:rPr>
          <w:lang w:val="ru-RU"/>
        </w:rPr>
        <w:t xml:space="preserve">т на себя функции, связанные с </w:t>
      </w:r>
      <w:r w:rsidR="0028454A" w:rsidRPr="00F878B1">
        <w:rPr>
          <w:lang w:val="ru-RU"/>
        </w:rPr>
        <w:t>Минаматской конвенци</w:t>
      </w:r>
      <w:r w:rsidRPr="00F878B1">
        <w:rPr>
          <w:lang w:val="ru-RU"/>
        </w:rPr>
        <w:t xml:space="preserve">ей, а расходы, связанные с их должностями, будут поделены между четырьмя конвенциями, для варианта 1 b) (подразделение) эти расходы оцениваются в </w:t>
      </w:r>
      <w:r w:rsidR="0028454A" w:rsidRPr="00F878B1">
        <w:rPr>
          <w:lang w:val="ru-RU"/>
        </w:rPr>
        <w:t>40 процентов для должности категории Д-2 (Исполнительный секретарь), 20 процентов для должности категории Д-1 (заместитель Исполнительного секретаря) и 40 процентов для должности категории С-5 (руководитель сектора, Сектор обеспечения деятельности конвенций</w:t>
      </w:r>
      <w:r w:rsidRPr="00F878B1">
        <w:rPr>
          <w:lang w:val="ru-RU"/>
        </w:rPr>
        <w:t xml:space="preserve"> для Минаматской конвенции</w:t>
      </w:r>
      <w:r w:rsidR="0028454A" w:rsidRPr="00F878B1">
        <w:rPr>
          <w:lang w:val="ru-RU"/>
        </w:rPr>
        <w:t xml:space="preserve">). Кроме того, в целях повышения потенциала </w:t>
      </w:r>
      <w:r w:rsidRPr="00F878B1">
        <w:rPr>
          <w:lang w:val="ru-RU"/>
        </w:rPr>
        <w:t xml:space="preserve">структуры секретариата </w:t>
      </w:r>
      <w:r w:rsidR="0028454A" w:rsidRPr="00F878B1">
        <w:rPr>
          <w:lang w:val="ru-RU"/>
        </w:rPr>
        <w:t xml:space="preserve">по удовлетворению потребностей </w:t>
      </w:r>
      <w:r w:rsidRPr="00F878B1">
        <w:rPr>
          <w:lang w:val="ru-RU"/>
        </w:rPr>
        <w:t xml:space="preserve">подразделения для </w:t>
      </w:r>
      <w:r w:rsidR="0028454A" w:rsidRPr="00F878B1">
        <w:rPr>
          <w:lang w:val="ru-RU"/>
        </w:rPr>
        <w:t>Минаматско</w:t>
      </w:r>
      <w:r w:rsidRPr="00F878B1">
        <w:rPr>
          <w:lang w:val="ru-RU"/>
        </w:rPr>
        <w:t>й конвенции</w:t>
      </w:r>
      <w:r w:rsidR="0018564F" w:rsidRPr="00F878B1">
        <w:rPr>
          <w:lang w:val="ru-RU"/>
        </w:rPr>
        <w:t xml:space="preserve"> будет нанят </w:t>
      </w:r>
      <w:r w:rsidR="0028454A" w:rsidRPr="00F878B1">
        <w:rPr>
          <w:lang w:val="ru-RU"/>
        </w:rPr>
        <w:t xml:space="preserve">сотрудник категории С-3 </w:t>
      </w:r>
      <w:r w:rsidR="0018564F" w:rsidRPr="00F878B1">
        <w:rPr>
          <w:lang w:val="ru-RU"/>
        </w:rPr>
        <w:t xml:space="preserve">на 1,5 ставки </w:t>
      </w:r>
      <w:r w:rsidR="0028454A" w:rsidRPr="00F878B1">
        <w:rPr>
          <w:lang w:val="ru-RU"/>
        </w:rPr>
        <w:t>(для выполнения таких функций</w:t>
      </w:r>
      <w:r w:rsidR="009C3F60" w:rsidRPr="00F878B1">
        <w:rPr>
          <w:lang w:val="ru-RU"/>
        </w:rPr>
        <w:t>,</w:t>
      </w:r>
      <w:r w:rsidR="0028454A" w:rsidRPr="00F878B1">
        <w:rPr>
          <w:lang w:val="ru-RU"/>
        </w:rPr>
        <w:t xml:space="preserve"> как правовые вопросы, информационно-пропагандистская деятельность и информирование общественности, информационные технологии и управление информацией)</w:t>
      </w:r>
      <w:r w:rsidR="009C3F60" w:rsidRPr="00F878B1">
        <w:rPr>
          <w:lang w:val="ru-RU"/>
        </w:rPr>
        <w:t>,</w:t>
      </w:r>
      <w:r w:rsidR="0028454A" w:rsidRPr="00F878B1">
        <w:rPr>
          <w:lang w:val="ru-RU"/>
        </w:rPr>
        <w:t xml:space="preserve"> и </w:t>
      </w:r>
      <w:r w:rsidR="0018564F" w:rsidRPr="00F878B1">
        <w:rPr>
          <w:lang w:val="ru-RU"/>
        </w:rPr>
        <w:t xml:space="preserve">будут необходимы </w:t>
      </w:r>
      <w:r w:rsidR="0028454A" w:rsidRPr="00F878B1">
        <w:rPr>
          <w:lang w:val="ru-RU"/>
        </w:rPr>
        <w:t>четыре должности категории общего обслуживания.</w:t>
      </w:r>
    </w:p>
    <w:p w14:paraId="2F1DA80A" w14:textId="278A2FE1" w:rsidR="00740323" w:rsidRPr="00F878B1" w:rsidRDefault="00DD250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</w:t>
      </w:r>
      <w:r w:rsidR="0018564F" w:rsidRPr="00F878B1">
        <w:rPr>
          <w:lang w:val="ru-RU"/>
        </w:rPr>
        <w:t>7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18564F" w:rsidRPr="00F878B1">
        <w:rPr>
          <w:lang w:val="ru-RU"/>
        </w:rPr>
        <w:t xml:space="preserve">Для выполнения функций подразделения для Минаматской конвенции </w:t>
      </w:r>
      <w:r w:rsidR="00B93E9C" w:rsidRPr="00F878B1">
        <w:rPr>
          <w:lang w:val="ru-RU"/>
        </w:rPr>
        <w:t>потребуется создание следующих новых должностей: одна должность категории Д-1 (руководитель подразделения), одна должность категории С-4 (</w:t>
      </w:r>
      <w:r w:rsidR="0018564F" w:rsidRPr="00F878B1">
        <w:rPr>
          <w:lang w:val="ru-RU"/>
        </w:rPr>
        <w:t xml:space="preserve">сотрудник по </w:t>
      </w:r>
      <w:r w:rsidR="00B93E9C" w:rsidRPr="00F878B1">
        <w:rPr>
          <w:lang w:val="ru-RU"/>
        </w:rPr>
        <w:t>научны</w:t>
      </w:r>
      <w:r w:rsidR="0018564F" w:rsidRPr="00F878B1">
        <w:rPr>
          <w:lang w:val="ru-RU"/>
        </w:rPr>
        <w:t>м вопросам)</w:t>
      </w:r>
      <w:r w:rsidR="00B93E9C" w:rsidRPr="00F878B1">
        <w:rPr>
          <w:lang w:val="ru-RU"/>
        </w:rPr>
        <w:t>, три должности категории С-3 (</w:t>
      </w:r>
      <w:r w:rsidR="0018564F" w:rsidRPr="00F878B1">
        <w:rPr>
          <w:lang w:val="ru-RU"/>
        </w:rPr>
        <w:t xml:space="preserve">один сотрудник по техническим и научным вопросам, </w:t>
      </w:r>
      <w:r w:rsidR="00B93E9C" w:rsidRPr="00F878B1">
        <w:rPr>
          <w:lang w:val="ru-RU"/>
        </w:rPr>
        <w:t xml:space="preserve">один </w:t>
      </w:r>
      <w:r w:rsidR="00A47D40" w:rsidRPr="00F878B1">
        <w:rPr>
          <w:lang w:val="ru-RU"/>
        </w:rPr>
        <w:t xml:space="preserve">по вопросам </w:t>
      </w:r>
      <w:r w:rsidR="00B93E9C" w:rsidRPr="00F878B1">
        <w:rPr>
          <w:lang w:val="ru-RU"/>
        </w:rPr>
        <w:t>оказания технической помощи</w:t>
      </w:r>
      <w:r w:rsidR="0018564F" w:rsidRPr="00F878B1">
        <w:rPr>
          <w:lang w:val="ru-RU"/>
        </w:rPr>
        <w:t xml:space="preserve"> и </w:t>
      </w:r>
      <w:r w:rsidR="00B93E9C" w:rsidRPr="00F878B1">
        <w:rPr>
          <w:lang w:val="ru-RU"/>
        </w:rPr>
        <w:t>создания потенциала и один</w:t>
      </w:r>
      <w:r w:rsidR="0018564F" w:rsidRPr="00F878B1">
        <w:rPr>
          <w:lang w:val="ru-RU"/>
        </w:rPr>
        <w:t xml:space="preserve"> по вопросам управления знаниями и отчетности</w:t>
      </w:r>
      <w:r w:rsidR="00B93E9C" w:rsidRPr="00F878B1">
        <w:rPr>
          <w:lang w:val="ru-RU"/>
        </w:rPr>
        <w:t>)</w:t>
      </w:r>
      <w:r w:rsidR="00117DAC" w:rsidRPr="00F878B1">
        <w:rPr>
          <w:lang w:val="ru-RU"/>
        </w:rPr>
        <w:t>.</w:t>
      </w:r>
    </w:p>
    <w:p w14:paraId="67310D04" w14:textId="4E698F83" w:rsidR="00740323" w:rsidRPr="00F878B1" w:rsidRDefault="00040F66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F878B1">
        <w:rPr>
          <w:lang w:val="ru-RU"/>
        </w:rPr>
        <w:tab/>
      </w:r>
      <w:r w:rsidR="00990141" w:rsidRPr="00F878B1">
        <w:rPr>
          <w:b/>
          <w:lang w:val="ru-RU"/>
        </w:rPr>
        <w:t>Вариант 2 (отдельный секретариат): учреждение независимого секретариата Минаматской конвенции (местонахождение будет определено на основе анализа следующих мест службы ЮНЕП: Бангкок, Вашингтон, О.К., Вена, Женева, Найроби и Осака)</w:t>
      </w:r>
    </w:p>
    <w:p w14:paraId="16394263" w14:textId="0CF6C033" w:rsidR="00740323" w:rsidRPr="00F878B1" w:rsidRDefault="00472AD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</w:t>
      </w:r>
      <w:r w:rsidR="00D0206F" w:rsidRPr="00F878B1">
        <w:rPr>
          <w:lang w:val="ru-RU"/>
        </w:rPr>
        <w:t>8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95385F" w:rsidRPr="00F878B1">
        <w:rPr>
          <w:lang w:val="ru-RU"/>
        </w:rPr>
        <w:t>В соответствии с вариантом 2 секретариат Минаматской конвенции будет возглавлять Исполнительный секретарь – должность категории Д-1</w:t>
      </w:r>
      <w:r w:rsidR="00A74DDB" w:rsidRPr="00F878B1">
        <w:rPr>
          <w:lang w:val="ru-RU"/>
        </w:rPr>
        <w:t>,</w:t>
      </w:r>
      <w:r w:rsidR="0095385F" w:rsidRPr="00F878B1">
        <w:rPr>
          <w:lang w:val="ru-RU"/>
        </w:rPr>
        <w:t xml:space="preserve"> </w:t>
      </w:r>
      <w:r w:rsidR="00A74DDB" w:rsidRPr="00F878B1">
        <w:rPr>
          <w:lang w:val="ru-RU"/>
        </w:rPr>
        <w:t>–</w:t>
      </w:r>
      <w:r w:rsidR="0095385F" w:rsidRPr="00F878B1">
        <w:rPr>
          <w:lang w:val="ru-RU"/>
        </w:rPr>
        <w:t xml:space="preserve"> поддержку которому будут оказывать руководитель подразделения </w:t>
      </w:r>
      <w:r w:rsidR="00D52409" w:rsidRPr="00F878B1">
        <w:rPr>
          <w:lang w:val="ru-RU"/>
        </w:rPr>
        <w:t xml:space="preserve">услуг </w:t>
      </w:r>
      <w:r w:rsidR="0095385F" w:rsidRPr="00F878B1">
        <w:rPr>
          <w:lang w:val="ru-RU"/>
        </w:rPr>
        <w:t>по вопросам политики и руководитель подразделения по вопросам техническ</w:t>
      </w:r>
      <w:r w:rsidR="00D52409" w:rsidRPr="00F878B1">
        <w:rPr>
          <w:lang w:val="ru-RU"/>
        </w:rPr>
        <w:t xml:space="preserve">их услуг </w:t>
      </w:r>
      <w:r w:rsidR="0095385F" w:rsidRPr="00F878B1">
        <w:rPr>
          <w:lang w:val="ru-RU"/>
        </w:rPr>
        <w:t xml:space="preserve">(обе должности категории С-5). В подразделении </w:t>
      </w:r>
      <w:r w:rsidR="00E369BD" w:rsidRPr="00F878B1">
        <w:rPr>
          <w:lang w:val="ru-RU"/>
        </w:rPr>
        <w:t xml:space="preserve">услуг </w:t>
      </w:r>
      <w:r w:rsidR="0095385F" w:rsidRPr="00F878B1">
        <w:rPr>
          <w:lang w:val="ru-RU"/>
        </w:rPr>
        <w:t xml:space="preserve">по вопросам политики работу в области науки и научно-политического взаимодействия будут проводить сотрудник по научным вопросам категории С-4 и сотрудник </w:t>
      </w:r>
      <w:r w:rsidR="00D52409" w:rsidRPr="00F878B1">
        <w:rPr>
          <w:lang w:val="ru-RU"/>
        </w:rPr>
        <w:t xml:space="preserve">категории С-3 </w:t>
      </w:r>
      <w:r w:rsidR="0095385F" w:rsidRPr="00F878B1">
        <w:rPr>
          <w:lang w:val="ru-RU"/>
        </w:rPr>
        <w:t>по информационно</w:t>
      </w:r>
      <w:r w:rsidR="00046030" w:rsidRPr="00F878B1">
        <w:rPr>
          <w:lang w:val="ru-RU"/>
        </w:rPr>
        <w:noBreakHyphen/>
      </w:r>
      <w:r w:rsidR="0095385F" w:rsidRPr="00F878B1">
        <w:rPr>
          <w:lang w:val="ru-RU"/>
        </w:rPr>
        <w:t>пропагандистской деятельности в научно-политиче</w:t>
      </w:r>
      <w:r w:rsidR="00E71949" w:rsidRPr="00F878B1">
        <w:rPr>
          <w:lang w:val="ru-RU"/>
        </w:rPr>
        <w:t>с</w:t>
      </w:r>
      <w:r w:rsidR="0095385F" w:rsidRPr="00F878B1">
        <w:rPr>
          <w:lang w:val="ru-RU"/>
        </w:rPr>
        <w:t xml:space="preserve">кой сфере. Для предоставления руководящих указаний правового характера и работы над общими вопросами политики будет </w:t>
      </w:r>
      <w:r w:rsidR="00E71949" w:rsidRPr="00F878B1">
        <w:rPr>
          <w:lang w:val="ru-RU"/>
        </w:rPr>
        <w:t xml:space="preserve">нанят </w:t>
      </w:r>
      <w:r w:rsidR="0095385F" w:rsidRPr="00F878B1">
        <w:rPr>
          <w:lang w:val="ru-RU"/>
        </w:rPr>
        <w:t xml:space="preserve">сотрудник по правовым вопросам категории С-3, а координацию и подготовку конференций будет осуществлять другой сотрудник на должности категории С-3. В подразделении </w:t>
      </w:r>
      <w:r w:rsidR="00E369BD" w:rsidRPr="00F878B1">
        <w:rPr>
          <w:lang w:val="ru-RU"/>
        </w:rPr>
        <w:t xml:space="preserve">по вопросам </w:t>
      </w:r>
      <w:r w:rsidR="0095385F" w:rsidRPr="00F878B1">
        <w:rPr>
          <w:lang w:val="ru-RU"/>
        </w:rPr>
        <w:t>техническ</w:t>
      </w:r>
      <w:r w:rsidR="00E369BD" w:rsidRPr="00F878B1">
        <w:rPr>
          <w:lang w:val="ru-RU"/>
        </w:rPr>
        <w:t xml:space="preserve">их услуг </w:t>
      </w:r>
      <w:r w:rsidR="0095385F" w:rsidRPr="00F878B1">
        <w:rPr>
          <w:lang w:val="ru-RU"/>
        </w:rPr>
        <w:t>содействие работе в области создания потенциала и оказания технической помощи будет о</w:t>
      </w:r>
      <w:r w:rsidR="00E369BD" w:rsidRPr="00F878B1">
        <w:rPr>
          <w:lang w:val="ru-RU"/>
        </w:rPr>
        <w:t xml:space="preserve">беспечивать </w:t>
      </w:r>
      <w:r w:rsidR="0095385F" w:rsidRPr="00F878B1">
        <w:rPr>
          <w:lang w:val="ru-RU"/>
        </w:rPr>
        <w:t>один сотрудник на должности категории С-4, а сотрудник на должности категории С-3 будет возглавлять работу по управлению знаниями, оказанию услуг в области информационных технологий и информационно-пропагандистскую деятельность в поддержку создания потенциала и оказания технической помощи. Этот вариант предусматривает поддержку со стороны четырех сотрудников</w:t>
      </w:r>
      <w:r w:rsidR="00117DAC" w:rsidRPr="00F878B1">
        <w:rPr>
          <w:lang w:val="ru-RU"/>
        </w:rPr>
        <w:t xml:space="preserve"> категории общего обслуживания.</w:t>
      </w:r>
    </w:p>
    <w:p w14:paraId="65A3B24E" w14:textId="442211DF" w:rsidR="0051131A" w:rsidRPr="00F878B1" w:rsidRDefault="00F565DF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</w:r>
      <w:r w:rsidR="00472ADB" w:rsidRPr="00F878B1">
        <w:rPr>
          <w:b/>
          <w:sz w:val="24"/>
          <w:szCs w:val="24"/>
          <w:lang w:val="ru-RU"/>
        </w:rPr>
        <w:t>D.</w:t>
      </w:r>
      <w:r w:rsidR="00593548" w:rsidRPr="00F878B1">
        <w:rPr>
          <w:b/>
          <w:sz w:val="24"/>
          <w:szCs w:val="24"/>
          <w:lang w:val="ru-RU"/>
        </w:rPr>
        <w:tab/>
        <w:t>Проект шкалы вносов на период 2018</w:t>
      </w:r>
      <w:r w:rsidR="00997BF9" w:rsidRPr="00F878B1">
        <w:rPr>
          <w:b/>
          <w:sz w:val="24"/>
          <w:szCs w:val="24"/>
          <w:lang w:val="ru-RU"/>
        </w:rPr>
        <w:t>-</w:t>
      </w:r>
      <w:r w:rsidR="00593548" w:rsidRPr="00F878B1">
        <w:rPr>
          <w:b/>
          <w:sz w:val="24"/>
          <w:szCs w:val="24"/>
          <w:lang w:val="ru-RU"/>
        </w:rPr>
        <w:t>2019 годов</w:t>
      </w:r>
    </w:p>
    <w:p w14:paraId="0090352F" w14:textId="40F103F9" w:rsidR="0051131A" w:rsidRPr="00F878B1" w:rsidRDefault="00472AD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5</w:t>
      </w:r>
      <w:r w:rsidR="00D0206F" w:rsidRPr="00F878B1">
        <w:rPr>
          <w:lang w:val="ru-RU"/>
        </w:rPr>
        <w:t>9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51131A" w:rsidRPr="00F878B1">
        <w:rPr>
          <w:lang w:val="ru-RU"/>
        </w:rPr>
        <w:t xml:space="preserve">В соответствии с правилом 5 проекта финансовых правил Минаматской конвенции ресурсы </w:t>
      </w:r>
      <w:r w:rsidR="00282183" w:rsidRPr="00F878B1">
        <w:rPr>
          <w:lang w:val="ru-RU"/>
        </w:rPr>
        <w:t xml:space="preserve">Конференции Сторон </w:t>
      </w:r>
      <w:r w:rsidR="0051131A" w:rsidRPr="00F878B1">
        <w:rPr>
          <w:lang w:val="ru-RU"/>
        </w:rPr>
        <w:t xml:space="preserve">состоят из начисленных взносов на основе </w:t>
      </w:r>
      <w:r w:rsidR="00282183" w:rsidRPr="00F878B1">
        <w:rPr>
          <w:lang w:val="ru-RU"/>
        </w:rPr>
        <w:t xml:space="preserve">ориентировочной </w:t>
      </w:r>
      <w:r w:rsidR="0051131A" w:rsidRPr="00F878B1">
        <w:rPr>
          <w:lang w:val="ru-RU"/>
        </w:rPr>
        <w:t>шкалы, утвержденной</w:t>
      </w:r>
      <w:r w:rsidR="00282183" w:rsidRPr="00F878B1">
        <w:rPr>
          <w:lang w:val="ru-RU"/>
        </w:rPr>
        <w:t xml:space="preserve"> Конференцией Сторон исходя из шкалы взносов </w:t>
      </w:r>
      <w:r w:rsidR="0051131A" w:rsidRPr="00F878B1">
        <w:rPr>
          <w:lang w:val="ru-RU"/>
        </w:rPr>
        <w:t>Организаци</w:t>
      </w:r>
      <w:r w:rsidR="00282183" w:rsidRPr="00F878B1">
        <w:rPr>
          <w:lang w:val="ru-RU"/>
        </w:rPr>
        <w:t>и</w:t>
      </w:r>
      <w:r w:rsidR="0051131A" w:rsidRPr="00F878B1">
        <w:rPr>
          <w:lang w:val="ru-RU"/>
        </w:rPr>
        <w:t xml:space="preserve"> Объедине</w:t>
      </w:r>
      <w:r w:rsidR="00FA063D" w:rsidRPr="00F878B1">
        <w:rPr>
          <w:lang w:val="ru-RU"/>
        </w:rPr>
        <w:t>нных Наций</w:t>
      </w:r>
      <w:r w:rsidR="00AE20B7" w:rsidRPr="00F878B1">
        <w:rPr>
          <w:lang w:val="ru-RU"/>
        </w:rPr>
        <w:t>,</w:t>
      </w:r>
      <w:r w:rsidR="00282183" w:rsidRPr="00F878B1">
        <w:rPr>
          <w:lang w:val="ru-RU"/>
        </w:rPr>
        <w:t xml:space="preserve"> </w:t>
      </w:r>
      <w:r w:rsidR="00FA063D" w:rsidRPr="00F878B1">
        <w:rPr>
          <w:lang w:val="ru-RU"/>
        </w:rPr>
        <w:t xml:space="preserve">скорректированной </w:t>
      </w:r>
      <w:r w:rsidR="0051131A" w:rsidRPr="00F878B1">
        <w:rPr>
          <w:lang w:val="ru-RU"/>
        </w:rPr>
        <w:t>с тем</w:t>
      </w:r>
      <w:r w:rsidR="00FA063D" w:rsidRPr="00F878B1">
        <w:rPr>
          <w:lang w:val="ru-RU"/>
        </w:rPr>
        <w:t xml:space="preserve">, </w:t>
      </w:r>
      <w:r w:rsidR="0051131A" w:rsidRPr="00F878B1">
        <w:rPr>
          <w:lang w:val="ru-RU"/>
        </w:rPr>
        <w:t xml:space="preserve">чтобы обеспечить следующее: a) взнос любой Стороны составляет не менее 0,01 процента от общей суммы, b) ни </w:t>
      </w:r>
      <w:r w:rsidR="00CB5966" w:rsidRPr="00F878B1">
        <w:rPr>
          <w:lang w:val="ru-RU"/>
        </w:rPr>
        <w:t>один взнос не превышает 22 </w:t>
      </w:r>
      <w:r w:rsidR="0051131A" w:rsidRPr="00F878B1">
        <w:rPr>
          <w:lang w:val="ru-RU"/>
        </w:rPr>
        <w:t>процентов от общей суммы, и c) взнос ни одно</w:t>
      </w:r>
      <w:r w:rsidR="00E369BD" w:rsidRPr="00F878B1">
        <w:rPr>
          <w:lang w:val="ru-RU"/>
        </w:rPr>
        <w:t>й</w:t>
      </w:r>
      <w:r w:rsidR="0051131A" w:rsidRPr="00F878B1">
        <w:rPr>
          <w:lang w:val="ru-RU"/>
        </w:rPr>
        <w:t xml:space="preserve"> из</w:t>
      </w:r>
      <w:r w:rsidR="00E369BD" w:rsidRPr="00F878B1">
        <w:rPr>
          <w:lang w:val="ru-RU"/>
        </w:rPr>
        <w:t xml:space="preserve"> Сторон, являющихся </w:t>
      </w:r>
      <w:r w:rsidR="0051131A" w:rsidRPr="00F878B1">
        <w:rPr>
          <w:lang w:val="ru-RU"/>
        </w:rPr>
        <w:t>наименее разв</w:t>
      </w:r>
      <w:r w:rsidRPr="00F878B1">
        <w:rPr>
          <w:lang w:val="ru-RU"/>
        </w:rPr>
        <w:t>итым</w:t>
      </w:r>
      <w:r w:rsidR="00E369BD" w:rsidRPr="00F878B1">
        <w:rPr>
          <w:lang w:val="ru-RU"/>
        </w:rPr>
        <w:t>и</w:t>
      </w:r>
      <w:r w:rsidRPr="00F878B1">
        <w:rPr>
          <w:lang w:val="ru-RU"/>
        </w:rPr>
        <w:t xml:space="preserve"> странам</w:t>
      </w:r>
      <w:r w:rsidR="00E369BD" w:rsidRPr="00F878B1">
        <w:rPr>
          <w:lang w:val="ru-RU"/>
        </w:rPr>
        <w:t>и</w:t>
      </w:r>
      <w:r w:rsidRPr="00F878B1">
        <w:rPr>
          <w:lang w:val="ru-RU"/>
        </w:rPr>
        <w:t>,</w:t>
      </w:r>
      <w:r w:rsidR="00E369BD" w:rsidRPr="00F878B1">
        <w:rPr>
          <w:lang w:val="ru-RU"/>
        </w:rPr>
        <w:t xml:space="preserve"> </w:t>
      </w:r>
      <w:r w:rsidRPr="00F878B1">
        <w:rPr>
          <w:lang w:val="ru-RU"/>
        </w:rPr>
        <w:t>не превышает 0,01 </w:t>
      </w:r>
      <w:r w:rsidR="0051131A" w:rsidRPr="00F878B1">
        <w:rPr>
          <w:lang w:val="ru-RU"/>
        </w:rPr>
        <w:t>процента от общей суммы. Начисленные взносы Сторон в настоящее время и в дальнейшем будут основаны на текущей шкале взносов Организации Объединенных Наций на 2016</w:t>
      </w:r>
      <w:r w:rsidRPr="00F878B1">
        <w:rPr>
          <w:lang w:val="ru-RU"/>
        </w:rPr>
        <w:noBreakHyphen/>
      </w:r>
      <w:r w:rsidR="0051131A" w:rsidRPr="00F878B1">
        <w:rPr>
          <w:lang w:val="ru-RU"/>
        </w:rPr>
        <w:t>2018</w:t>
      </w:r>
      <w:r w:rsidRPr="00F878B1">
        <w:rPr>
          <w:lang w:val="ru-RU"/>
        </w:rPr>
        <w:t> </w:t>
      </w:r>
      <w:r w:rsidR="0051131A" w:rsidRPr="00F878B1">
        <w:rPr>
          <w:lang w:val="ru-RU"/>
        </w:rPr>
        <w:t>годы, которая была принята Генеральной Ассамблеей в ее резолюции 70/245. Эта шкала взносов была скорректирована с учетом того факта, что не все государства</w:t>
      </w:r>
      <w:r w:rsidR="00997BF9" w:rsidRPr="00F878B1">
        <w:rPr>
          <w:lang w:val="ru-RU"/>
        </w:rPr>
        <w:t> </w:t>
      </w:r>
      <w:r w:rsidR="00AE20B7" w:rsidRPr="00F878B1">
        <w:rPr>
          <w:lang w:val="ru-RU"/>
        </w:rPr>
        <w:t>–</w:t>
      </w:r>
      <w:r w:rsidR="00997BF9" w:rsidRPr="00F878B1">
        <w:rPr>
          <w:lang w:val="ru-RU"/>
        </w:rPr>
        <w:t> </w:t>
      </w:r>
      <w:r w:rsidR="0051131A" w:rsidRPr="00F878B1">
        <w:rPr>
          <w:lang w:val="ru-RU"/>
        </w:rPr>
        <w:t>члены Организации Объединенных Наций являются Сторонами Конвенции.</w:t>
      </w:r>
    </w:p>
    <w:p w14:paraId="37550E03" w14:textId="04C5A80F" w:rsidR="0051131A" w:rsidRPr="00F878B1" w:rsidRDefault="00282183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60</w:t>
      </w:r>
      <w:r w:rsidR="00472ADB" w:rsidRPr="00F878B1">
        <w:rPr>
          <w:lang w:val="ru-RU"/>
        </w:rPr>
        <w:t>.</w:t>
      </w:r>
      <w:r w:rsidR="00472ADB" w:rsidRPr="00F878B1">
        <w:rPr>
          <w:lang w:val="ru-RU"/>
        </w:rPr>
        <w:tab/>
      </w:r>
      <w:r w:rsidR="00062993" w:rsidRPr="00F878B1">
        <w:rPr>
          <w:lang w:val="ru-RU"/>
        </w:rPr>
        <w:t xml:space="preserve">Ориентировочная шкала взносов и размер ежегодных начисленных взносов каждой Стороны приведены в третьем добавлении к настоящей записке (UNEP/MC/COP.1/21/Add.3). По состоянию на 1 июля 2017 года, последний день сдачи на хранение ратификационных грамот для того, чтобы </w:t>
      </w:r>
      <w:r w:rsidR="00E369BD" w:rsidRPr="00F878B1">
        <w:rPr>
          <w:lang w:val="ru-RU"/>
        </w:rPr>
        <w:t>стать</w:t>
      </w:r>
      <w:r w:rsidR="00062993" w:rsidRPr="00F878B1">
        <w:rPr>
          <w:lang w:val="ru-RU"/>
        </w:rPr>
        <w:t xml:space="preserve"> Стороной на момент проведения первого совещания Конференции, 70 будущих Сторон сдали на хранение свои грамоты. </w:t>
      </w:r>
      <w:r w:rsidRPr="00F878B1">
        <w:rPr>
          <w:lang w:val="ru-RU"/>
        </w:rPr>
        <w:t>По состоянию на 24</w:t>
      </w:r>
      <w:r w:rsidR="00AE20B7" w:rsidRPr="00F878B1">
        <w:rPr>
          <w:lang w:val="ru-RU"/>
        </w:rPr>
        <w:t> </w:t>
      </w:r>
      <w:r w:rsidRPr="00F878B1">
        <w:rPr>
          <w:lang w:val="ru-RU"/>
        </w:rPr>
        <w:t>августа 74 страны сдали на хранение свои ратификационные грамоты и станут Сторонами ко времени вступления в силу бюджета на двухгодичный период 2018-2019 годов.</w:t>
      </w:r>
      <w:r w:rsidR="00DB1041" w:rsidRPr="00F878B1">
        <w:rPr>
          <w:lang w:val="ru-RU"/>
        </w:rPr>
        <w:t xml:space="preserve"> Таким образом, расчеты, приведенные в добавлении 3 к настоящей записке, сделаны исходя из наличия 74</w:t>
      </w:r>
      <w:r w:rsidR="00AE20B7" w:rsidRPr="00F878B1">
        <w:rPr>
          <w:lang w:val="ru-RU"/>
        </w:rPr>
        <w:t> </w:t>
      </w:r>
      <w:r w:rsidR="00DB1041" w:rsidRPr="00F878B1">
        <w:rPr>
          <w:lang w:val="ru-RU"/>
        </w:rPr>
        <w:t xml:space="preserve">Сторон. </w:t>
      </w:r>
      <w:r w:rsidR="00062993" w:rsidRPr="00F878B1">
        <w:rPr>
          <w:lang w:val="ru-RU"/>
        </w:rPr>
        <w:t>Незадолго до первого совещания Конференции</w:t>
      </w:r>
      <w:r w:rsidR="00DB1041" w:rsidRPr="00F878B1">
        <w:rPr>
          <w:lang w:val="ru-RU"/>
        </w:rPr>
        <w:t xml:space="preserve"> Сторон в качестве обновленной информации</w:t>
      </w:r>
      <w:r w:rsidR="00062993" w:rsidRPr="00F878B1">
        <w:rPr>
          <w:lang w:val="ru-RU"/>
        </w:rPr>
        <w:t xml:space="preserve"> будет подготовлен пересмотренный вариант этого добавления. Этот перечень будет и далее обновляться по мере того, как государства сдают на хранение свои грамоты.</w:t>
      </w:r>
    </w:p>
    <w:p w14:paraId="30FEAF69" w14:textId="47EFB409" w:rsidR="00B019DD" w:rsidRPr="00F878B1" w:rsidRDefault="00FA063D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</w:r>
      <w:r w:rsidR="00472ADB" w:rsidRPr="00F878B1">
        <w:rPr>
          <w:b/>
          <w:sz w:val="24"/>
          <w:szCs w:val="24"/>
          <w:lang w:val="ru-RU"/>
        </w:rPr>
        <w:t>E.</w:t>
      </w:r>
      <w:r w:rsidR="00593548" w:rsidRPr="00F878B1">
        <w:rPr>
          <w:b/>
          <w:sz w:val="24"/>
          <w:szCs w:val="24"/>
          <w:lang w:val="ru-RU"/>
        </w:rPr>
        <w:tab/>
        <w:t>Внедрение МСУГС и системы «</w:t>
      </w:r>
      <w:proofErr w:type="spellStart"/>
      <w:r w:rsidR="00593548" w:rsidRPr="00F878B1">
        <w:rPr>
          <w:b/>
          <w:sz w:val="24"/>
          <w:szCs w:val="24"/>
          <w:lang w:val="ru-RU"/>
        </w:rPr>
        <w:t>Умоджа</w:t>
      </w:r>
      <w:proofErr w:type="spellEnd"/>
      <w:r w:rsidR="00593548" w:rsidRPr="00F878B1">
        <w:rPr>
          <w:b/>
          <w:sz w:val="24"/>
          <w:szCs w:val="24"/>
          <w:lang w:val="ru-RU"/>
        </w:rPr>
        <w:t xml:space="preserve">» в </w:t>
      </w:r>
      <w:r w:rsidR="00713F61" w:rsidRPr="00F878B1">
        <w:rPr>
          <w:b/>
          <w:sz w:val="24"/>
          <w:szCs w:val="24"/>
          <w:lang w:val="ru-RU"/>
        </w:rPr>
        <w:t>С</w:t>
      </w:r>
      <w:r w:rsidR="00593548" w:rsidRPr="00F878B1">
        <w:rPr>
          <w:b/>
          <w:sz w:val="24"/>
          <w:szCs w:val="24"/>
          <w:lang w:val="ru-RU"/>
        </w:rPr>
        <w:t>екретариате Организации Объединенных Наций и ЮНЕП</w:t>
      </w:r>
    </w:p>
    <w:p w14:paraId="1474AE52" w14:textId="3E2AB8B2" w:rsidR="00B019DD" w:rsidRPr="00F878B1" w:rsidRDefault="00472AD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1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B019DD" w:rsidRPr="00F878B1">
        <w:rPr>
          <w:lang w:val="ru-RU"/>
        </w:rPr>
        <w:t>МСУГС представля</w:t>
      </w:r>
      <w:r w:rsidR="0053667B" w:rsidRPr="00F878B1">
        <w:rPr>
          <w:lang w:val="ru-RU"/>
        </w:rPr>
        <w:t>ю</w:t>
      </w:r>
      <w:r w:rsidR="00B019DD" w:rsidRPr="00F878B1">
        <w:rPr>
          <w:lang w:val="ru-RU"/>
        </w:rPr>
        <w:t>т собой комплекс принципов и стандартов учета, которые рекомендованы в качестве передовой практики при подготовке финансовой отчетности субъектов государственного сектора. После принятия МСУГС Генеральной Ассамблеей (резолюция 60/283 Генеральной Ассамблеи Организации Объединенных Наций), Организация Объединенных Наций постепенно внедряет эти новые стандарты. Секретариат Организации Объединенных Наций и ЮНЕП перешли</w:t>
      </w:r>
      <w:r w:rsidR="00117DAC" w:rsidRPr="00F878B1">
        <w:rPr>
          <w:lang w:val="ru-RU"/>
        </w:rPr>
        <w:t xml:space="preserve"> на МСУГС с 1 января 2014 года.</w:t>
      </w:r>
    </w:p>
    <w:p w14:paraId="57D1727D" w14:textId="62D3154A" w:rsidR="0009539A" w:rsidRPr="00F878B1" w:rsidRDefault="00472ADB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2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B019DD" w:rsidRPr="00F878B1">
        <w:rPr>
          <w:lang w:val="ru-RU"/>
        </w:rPr>
        <w:t xml:space="preserve">В 2015 году </w:t>
      </w:r>
      <w:r w:rsidR="00997BF9" w:rsidRPr="00F878B1">
        <w:rPr>
          <w:lang w:val="ru-RU"/>
        </w:rPr>
        <w:t xml:space="preserve">Секретариат </w:t>
      </w:r>
      <w:r w:rsidR="00B019DD" w:rsidRPr="00F878B1">
        <w:rPr>
          <w:lang w:val="ru-RU"/>
        </w:rPr>
        <w:t>Организации Объединенных Наций в рамках крупной административной реформы внедрил новую систему общеорганизационного планирования ресурсов «</w:t>
      </w:r>
      <w:proofErr w:type="spellStart"/>
      <w:r w:rsidR="00B019DD" w:rsidRPr="00F878B1">
        <w:rPr>
          <w:lang w:val="ru-RU"/>
        </w:rPr>
        <w:t>Умоджа</w:t>
      </w:r>
      <w:proofErr w:type="spellEnd"/>
      <w:r w:rsidR="00B019DD" w:rsidRPr="00F878B1">
        <w:rPr>
          <w:lang w:val="ru-RU"/>
        </w:rPr>
        <w:t>», которая обеспечивает упрощенный подход к управлению финансами, ресурсами и активами</w:t>
      </w:r>
      <w:r w:rsidR="0053667B" w:rsidRPr="00F878B1">
        <w:rPr>
          <w:lang w:val="ru-RU"/>
        </w:rPr>
        <w:t xml:space="preserve"> </w:t>
      </w:r>
      <w:r w:rsidR="00B019DD" w:rsidRPr="00F878B1">
        <w:rPr>
          <w:lang w:val="ru-RU"/>
        </w:rPr>
        <w:t xml:space="preserve">в режиме реального времени </w:t>
      </w:r>
      <w:r w:rsidR="006D253D" w:rsidRPr="00F878B1">
        <w:rPr>
          <w:lang w:val="ru-RU"/>
        </w:rPr>
        <w:t xml:space="preserve">Секретариатом </w:t>
      </w:r>
      <w:r w:rsidR="00B019DD" w:rsidRPr="00F878B1">
        <w:rPr>
          <w:lang w:val="ru-RU"/>
        </w:rPr>
        <w:t>Организации Объединенных Наций. Система «</w:t>
      </w:r>
      <w:proofErr w:type="spellStart"/>
      <w:r w:rsidR="00B019DD" w:rsidRPr="00F878B1">
        <w:rPr>
          <w:lang w:val="ru-RU"/>
        </w:rPr>
        <w:t>Умоджа</w:t>
      </w:r>
      <w:proofErr w:type="spellEnd"/>
      <w:r w:rsidR="00B019DD" w:rsidRPr="00F878B1">
        <w:rPr>
          <w:lang w:val="ru-RU"/>
        </w:rPr>
        <w:t>» предназначена для поддержки МСУГС и в качестве таковой полностью соответствует им. ЮНЕП приступила к внедрению системы «</w:t>
      </w:r>
      <w:proofErr w:type="spellStart"/>
      <w:r w:rsidR="00B019DD" w:rsidRPr="00F878B1">
        <w:rPr>
          <w:lang w:val="ru-RU"/>
        </w:rPr>
        <w:t>Умоджа</w:t>
      </w:r>
      <w:proofErr w:type="spellEnd"/>
      <w:r w:rsidR="00B019DD" w:rsidRPr="00F878B1">
        <w:rPr>
          <w:lang w:val="ru-RU"/>
        </w:rPr>
        <w:t>» 1</w:t>
      </w:r>
      <w:r w:rsidR="006D253D" w:rsidRPr="00F878B1">
        <w:rPr>
          <w:lang w:val="ru-RU"/>
        </w:rPr>
        <w:t> </w:t>
      </w:r>
      <w:r w:rsidR="00B019DD" w:rsidRPr="00F878B1">
        <w:rPr>
          <w:lang w:val="ru-RU"/>
        </w:rPr>
        <w:t>июня 2015</w:t>
      </w:r>
      <w:r w:rsidR="00D51F84" w:rsidRPr="00F878B1">
        <w:rPr>
          <w:lang w:val="ru-RU"/>
        </w:rPr>
        <w:t> </w:t>
      </w:r>
      <w:r w:rsidR="00117DAC" w:rsidRPr="00F878B1">
        <w:rPr>
          <w:lang w:val="ru-RU"/>
        </w:rPr>
        <w:t>года.</w:t>
      </w:r>
    </w:p>
    <w:p w14:paraId="7E15E092" w14:textId="617BE368" w:rsidR="000B08F0" w:rsidRPr="00F878B1" w:rsidRDefault="00D51F84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3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0B08F0" w:rsidRPr="00F878B1">
        <w:rPr>
          <w:lang w:val="ru-RU"/>
        </w:rPr>
        <w:t>Секретариат Минаматской конвенции, будучи частью ЮНЕП, будет осуществлять свои финансовые операции в системе «</w:t>
      </w:r>
      <w:proofErr w:type="spellStart"/>
      <w:r w:rsidR="000B08F0" w:rsidRPr="00F878B1">
        <w:rPr>
          <w:lang w:val="ru-RU"/>
        </w:rPr>
        <w:t>Умоджа</w:t>
      </w:r>
      <w:proofErr w:type="spellEnd"/>
      <w:r w:rsidR="000B08F0" w:rsidRPr="00F878B1">
        <w:rPr>
          <w:lang w:val="ru-RU"/>
        </w:rPr>
        <w:t>» в соответствии с МСУГС.</w:t>
      </w:r>
    </w:p>
    <w:p w14:paraId="1F4A7BB8" w14:textId="118072FB" w:rsidR="000B08F0" w:rsidRPr="00F878B1" w:rsidRDefault="00D51F84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4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FC436B" w:rsidRPr="00F878B1">
        <w:rPr>
          <w:lang w:val="ru-RU"/>
        </w:rPr>
        <w:t xml:space="preserve">Следует отметить, что МСУГС основаны на учете методом начисления в соответствии с общепринятыми принципами бухгалтерского учета и международными стандартами финансовой отчетности. Это позволит проводить более взвешенные оценки решений о распределении ресурсов по сравнению с предыдущей системой, используемой </w:t>
      </w:r>
      <w:r w:rsidR="006D253D" w:rsidRPr="00F878B1">
        <w:rPr>
          <w:lang w:val="ru-RU"/>
        </w:rPr>
        <w:t xml:space="preserve">Секретариатом </w:t>
      </w:r>
      <w:r w:rsidR="00FC436B" w:rsidRPr="00F878B1">
        <w:rPr>
          <w:lang w:val="ru-RU"/>
        </w:rPr>
        <w:t>Организации Объединенных Наций. Финансовая информация на основе МСУГС обеспечивает полное раскрытие информации о ресурсах Организации и ее будущих обязательствах. Будучи основанной на МСУГС, «</w:t>
      </w:r>
      <w:proofErr w:type="spellStart"/>
      <w:r w:rsidR="00FC436B" w:rsidRPr="00F878B1">
        <w:rPr>
          <w:lang w:val="ru-RU"/>
        </w:rPr>
        <w:t>Умоджа</w:t>
      </w:r>
      <w:proofErr w:type="spellEnd"/>
      <w:r w:rsidR="00FC436B" w:rsidRPr="00F878B1">
        <w:rPr>
          <w:lang w:val="ru-RU"/>
        </w:rPr>
        <w:t>» обеспечивает соблюдение строгого режима управления ликвидностью, который применяется в отношении как начисленных, так и добровольных взносов. Средства могут быть предоставлены только после того, как они будут доступны как наличные денежные средства. Таким образом</w:t>
      </w:r>
      <w:r w:rsidR="005900C5" w:rsidRPr="00F878B1">
        <w:rPr>
          <w:lang w:val="ru-RU"/>
        </w:rPr>
        <w:t>,</w:t>
      </w:r>
      <w:r w:rsidR="00FC436B" w:rsidRPr="00F878B1">
        <w:rPr>
          <w:lang w:val="ru-RU"/>
        </w:rPr>
        <w:t xml:space="preserve"> начало осуществления проекта непосредственно связано с перечислением объявленных взносов. В этой связи Конференции Сторон Минаматской конвенции необходимо будет внимательно ознакомиться как c объемом взносов, так и со сроками их выплаты, с тем чтобы обеспечить эффективное функционирование секретариата. Согласно правилу 5 проекта финансовых правил Конвенции, взносы за каждый календарный год, как ожидается, будут по</w:t>
      </w:r>
      <w:r w:rsidR="00E369BD" w:rsidRPr="00F878B1">
        <w:rPr>
          <w:lang w:val="ru-RU"/>
        </w:rPr>
        <w:t xml:space="preserve">ступать </w:t>
      </w:r>
      <w:r w:rsidR="00FC436B" w:rsidRPr="00F878B1">
        <w:rPr>
          <w:lang w:val="ru-RU"/>
        </w:rPr>
        <w:t xml:space="preserve">к 1 января </w:t>
      </w:r>
      <w:r w:rsidR="00E369BD" w:rsidRPr="00F878B1">
        <w:rPr>
          <w:lang w:val="ru-RU"/>
        </w:rPr>
        <w:t xml:space="preserve">соответствующего </w:t>
      </w:r>
      <w:r w:rsidR="00FC436B" w:rsidRPr="00F878B1">
        <w:rPr>
          <w:lang w:val="ru-RU"/>
        </w:rPr>
        <w:t>года. Все взносы уплачиваются в долларах СШ</w:t>
      </w:r>
      <w:r w:rsidR="00080027" w:rsidRPr="00F878B1">
        <w:rPr>
          <w:lang w:val="ru-RU"/>
        </w:rPr>
        <w:t>А</w:t>
      </w:r>
      <w:r w:rsidR="00701906" w:rsidRPr="00F878B1">
        <w:rPr>
          <w:lang w:val="ru-RU"/>
        </w:rPr>
        <w:t xml:space="preserve"> </w:t>
      </w:r>
      <w:r w:rsidR="00FC436B" w:rsidRPr="00F878B1">
        <w:rPr>
          <w:lang w:val="ru-RU"/>
        </w:rPr>
        <w:t>или в их эквив</w:t>
      </w:r>
      <w:r w:rsidR="00117DAC" w:rsidRPr="00F878B1">
        <w:rPr>
          <w:lang w:val="ru-RU"/>
        </w:rPr>
        <w:t>аленте в конвертируемой валюте.</w:t>
      </w:r>
    </w:p>
    <w:p w14:paraId="39FC939E" w14:textId="3BE78CD8" w:rsidR="000B08F0" w:rsidRPr="00F878B1" w:rsidRDefault="00D51F84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5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0B08F0" w:rsidRPr="00F878B1">
        <w:rPr>
          <w:lang w:val="ru-RU"/>
        </w:rPr>
        <w:t>Кроме того, учитывая жесткий режим управления ликвидностью, Комиссия ревизоров Организации Объединенных Наций рекомендовала, чтобы все многосторонние природоохранные соглашения, конвенции и программы конвенций по региональным морям создали финансируемый операционный резерв (резерв оборотны</w:t>
      </w:r>
      <w:r w:rsidRPr="00F878B1">
        <w:rPr>
          <w:lang w:val="ru-RU"/>
        </w:rPr>
        <w:t>х средств) в размере 15 </w:t>
      </w:r>
      <w:r w:rsidR="000B08F0" w:rsidRPr="00F878B1">
        <w:rPr>
          <w:lang w:val="ru-RU"/>
        </w:rPr>
        <w:t>процентов для сглаживания неравномерного движения денежных средств и непредвиденных колебаний бюджета по программам в рамках ограниченных пороговых уровней, установленных руководящими органами. Необходимо будет создать резерв оборотных средств для Минаматской конвенции. Это может быть сделано постеп</w:t>
      </w:r>
      <w:r w:rsidRPr="00F878B1">
        <w:rPr>
          <w:lang w:val="ru-RU"/>
        </w:rPr>
        <w:t xml:space="preserve">енно, и для его создания может </w:t>
      </w:r>
      <w:r w:rsidR="000B08F0" w:rsidRPr="00F878B1">
        <w:rPr>
          <w:lang w:val="ru-RU"/>
        </w:rPr>
        <w:t>потребоваться несколько лет в соответствии с графиком, уст</w:t>
      </w:r>
      <w:r w:rsidR="00117DAC" w:rsidRPr="00F878B1">
        <w:rPr>
          <w:lang w:val="ru-RU"/>
        </w:rPr>
        <w:t>ановленным Конференцией Сторон.</w:t>
      </w:r>
    </w:p>
    <w:p w14:paraId="2499D071" w14:textId="25610A22" w:rsidR="0008780C" w:rsidRPr="00F878B1" w:rsidRDefault="00080027" w:rsidP="00E128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F878B1">
        <w:rPr>
          <w:b/>
          <w:sz w:val="24"/>
          <w:szCs w:val="24"/>
          <w:lang w:val="ru-RU"/>
        </w:rPr>
        <w:tab/>
      </w:r>
      <w:r w:rsidR="00D51F84" w:rsidRPr="00F878B1">
        <w:rPr>
          <w:b/>
          <w:sz w:val="24"/>
          <w:szCs w:val="24"/>
          <w:lang w:val="ru-RU"/>
        </w:rPr>
        <w:t>F.</w:t>
      </w:r>
      <w:r w:rsidR="0008780C" w:rsidRPr="00F878B1">
        <w:rPr>
          <w:b/>
          <w:sz w:val="24"/>
          <w:szCs w:val="24"/>
          <w:lang w:val="ru-RU"/>
        </w:rPr>
        <w:tab/>
        <w:t>Дополнительные факторы и соображения</w:t>
      </w:r>
    </w:p>
    <w:p w14:paraId="5DE2FCE6" w14:textId="73677284" w:rsidR="0008780C" w:rsidRPr="00F878B1" w:rsidRDefault="00D51F84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6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880F7E" w:rsidRPr="00F878B1">
        <w:rPr>
          <w:lang w:val="ru-RU"/>
        </w:rPr>
        <w:t>Хотя расходы на развертывание системы «</w:t>
      </w:r>
      <w:proofErr w:type="spellStart"/>
      <w:r w:rsidR="00880F7E" w:rsidRPr="00F878B1">
        <w:rPr>
          <w:lang w:val="ru-RU"/>
        </w:rPr>
        <w:t>Умоджа</w:t>
      </w:r>
      <w:proofErr w:type="spellEnd"/>
      <w:r w:rsidR="00880F7E" w:rsidRPr="00F878B1">
        <w:rPr>
          <w:lang w:val="ru-RU"/>
        </w:rPr>
        <w:t>» первоначально были централизованно оплачены Центральными учреждениями Организации Объединенных Наций и ЮНЕП, будущие операционные расходы, включая лицензионные платежи, буд</w:t>
      </w:r>
      <w:r w:rsidR="006D253D" w:rsidRPr="00F878B1">
        <w:rPr>
          <w:lang w:val="ru-RU"/>
        </w:rPr>
        <w:t>у</w:t>
      </w:r>
      <w:r w:rsidR="00880F7E" w:rsidRPr="00F878B1">
        <w:rPr>
          <w:lang w:val="ru-RU"/>
        </w:rPr>
        <w:t>т переложены на субъект</w:t>
      </w:r>
      <w:r w:rsidR="003227CE" w:rsidRPr="00F878B1">
        <w:rPr>
          <w:lang w:val="ru-RU"/>
        </w:rPr>
        <w:t>ов</w:t>
      </w:r>
      <w:r w:rsidR="00880F7E" w:rsidRPr="00F878B1">
        <w:rPr>
          <w:lang w:val="ru-RU"/>
        </w:rPr>
        <w:t>-пользовател</w:t>
      </w:r>
      <w:r w:rsidR="003227CE" w:rsidRPr="00F878B1">
        <w:rPr>
          <w:lang w:val="ru-RU"/>
        </w:rPr>
        <w:t>ей</w:t>
      </w:r>
      <w:r w:rsidR="00880F7E" w:rsidRPr="00F878B1">
        <w:rPr>
          <w:lang w:val="ru-RU"/>
        </w:rPr>
        <w:t>, включая секретариат Минаматской конвенции. От Конвенции потребуется принять участие в оплате эти</w:t>
      </w:r>
      <w:r w:rsidR="006D253D" w:rsidRPr="00F878B1">
        <w:rPr>
          <w:lang w:val="ru-RU"/>
        </w:rPr>
        <w:t>х</w:t>
      </w:r>
      <w:r w:rsidR="00880F7E" w:rsidRPr="00F878B1">
        <w:rPr>
          <w:lang w:val="ru-RU"/>
        </w:rPr>
        <w:t xml:space="preserve"> расходов на основе формулы, предоставленной Центральными учреждениями Организации Объе</w:t>
      </w:r>
      <w:r w:rsidR="00A75416" w:rsidRPr="00F878B1">
        <w:rPr>
          <w:lang w:val="ru-RU"/>
        </w:rPr>
        <w:t xml:space="preserve">диненных Наций. Согласно МСУГС, ежегодно должна представляться </w:t>
      </w:r>
      <w:r w:rsidR="00880F7E" w:rsidRPr="00F878B1">
        <w:rPr>
          <w:lang w:val="ru-RU"/>
        </w:rPr>
        <w:t>проверенная финансовая отчетность</w:t>
      </w:r>
      <w:r w:rsidR="00A75416" w:rsidRPr="00F878B1">
        <w:rPr>
          <w:lang w:val="ru-RU"/>
        </w:rPr>
        <w:t xml:space="preserve">, </w:t>
      </w:r>
      <w:r w:rsidR="00880F7E" w:rsidRPr="00F878B1">
        <w:rPr>
          <w:lang w:val="ru-RU"/>
        </w:rPr>
        <w:t>в связи с чем требуется, чтобы в бюджете Конвенции была предусмотре</w:t>
      </w:r>
      <w:r w:rsidR="00117DAC" w:rsidRPr="00F878B1">
        <w:rPr>
          <w:lang w:val="ru-RU"/>
        </w:rPr>
        <w:t>на оплата аудиторских проверок.</w:t>
      </w:r>
    </w:p>
    <w:p w14:paraId="5F4DE6B4" w14:textId="4CA77F56" w:rsidR="00FA4966" w:rsidRPr="00F878B1" w:rsidRDefault="00D51F84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7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F82561" w:rsidRPr="00F878B1">
        <w:rPr>
          <w:lang w:val="ru-RU"/>
        </w:rPr>
        <w:t>Секретариат Организации Объединенных Наций внедрил систему возмещения расходов. В результате этого некоторые расходы, которые ранее централизованно управлялись и оплачивались ЮНЕП, включая аренду служебных помещений, административные расходы, связанные с использованием освобожденных от арендной платы служебных помещений, расход</w:t>
      </w:r>
      <w:r w:rsidR="001A4664" w:rsidRPr="00F878B1">
        <w:rPr>
          <w:lang w:val="ru-RU"/>
        </w:rPr>
        <w:t xml:space="preserve">ы на </w:t>
      </w:r>
      <w:r w:rsidR="00D00224" w:rsidRPr="00F878B1">
        <w:rPr>
          <w:lang w:val="ru-RU"/>
        </w:rPr>
        <w:t xml:space="preserve">техническое обслуживание, </w:t>
      </w:r>
      <w:r w:rsidR="00F82561" w:rsidRPr="00F878B1">
        <w:rPr>
          <w:lang w:val="ru-RU"/>
        </w:rPr>
        <w:t xml:space="preserve">платежи за обеспечение безопасности </w:t>
      </w:r>
      <w:r w:rsidR="00D00224" w:rsidRPr="00F878B1">
        <w:rPr>
          <w:lang w:val="ru-RU"/>
        </w:rPr>
        <w:t xml:space="preserve">на местном уровне </w:t>
      </w:r>
      <w:r w:rsidR="00F82561" w:rsidRPr="00F878B1">
        <w:rPr>
          <w:lang w:val="ru-RU"/>
        </w:rPr>
        <w:t>и операционные расходы на содержание коммуникационной инфраструктуры, теперь буд</w:t>
      </w:r>
      <w:r w:rsidR="00D00224" w:rsidRPr="00F878B1">
        <w:rPr>
          <w:lang w:val="ru-RU"/>
        </w:rPr>
        <w:t>у</w:t>
      </w:r>
      <w:r w:rsidR="00F82561" w:rsidRPr="00F878B1">
        <w:rPr>
          <w:lang w:val="ru-RU"/>
        </w:rPr>
        <w:t xml:space="preserve">т распределяться на основе системы </w:t>
      </w:r>
      <w:r w:rsidR="00D00224" w:rsidRPr="00F878B1">
        <w:rPr>
          <w:lang w:val="ru-RU"/>
        </w:rPr>
        <w:t>«</w:t>
      </w:r>
      <w:r w:rsidR="00F82561" w:rsidRPr="00F878B1">
        <w:rPr>
          <w:lang w:val="ru-RU"/>
        </w:rPr>
        <w:t>платит пользователь</w:t>
      </w:r>
      <w:r w:rsidR="00D00224" w:rsidRPr="00F878B1">
        <w:rPr>
          <w:lang w:val="ru-RU"/>
        </w:rPr>
        <w:t>»</w:t>
      </w:r>
      <w:r w:rsidR="00F82561" w:rsidRPr="00F878B1">
        <w:rPr>
          <w:lang w:val="ru-RU"/>
        </w:rPr>
        <w:t>. Таким образом</w:t>
      </w:r>
      <w:r w:rsidR="005900C5" w:rsidRPr="00F878B1">
        <w:rPr>
          <w:lang w:val="ru-RU"/>
        </w:rPr>
        <w:t>,</w:t>
      </w:r>
      <w:r w:rsidR="00F82561" w:rsidRPr="00F878B1">
        <w:rPr>
          <w:lang w:val="ru-RU"/>
        </w:rPr>
        <w:t xml:space="preserve"> в будущем будет необходимо создать резерв для таких платежей, и секретариат Конвенции будет представлять эту информацию в рамках своей программы работы</w:t>
      </w:r>
      <w:r w:rsidR="00117DAC" w:rsidRPr="00F878B1">
        <w:rPr>
          <w:lang w:val="ru-RU"/>
        </w:rPr>
        <w:t xml:space="preserve"> и бюджета.</w:t>
      </w:r>
    </w:p>
    <w:p w14:paraId="7410FBDF" w14:textId="2F994873" w:rsidR="00FA4966" w:rsidRPr="00F878B1" w:rsidRDefault="00D51F84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8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FA4966" w:rsidRPr="00F878B1">
        <w:rPr>
          <w:lang w:val="ru-RU"/>
        </w:rPr>
        <w:t xml:space="preserve">В соответствии с Финансовыми положениями и правилами Организации Объединенных Наций в пользу ЮНЕП </w:t>
      </w:r>
      <w:r w:rsidR="00E369BD" w:rsidRPr="00F878B1">
        <w:rPr>
          <w:lang w:val="ru-RU"/>
        </w:rPr>
        <w:t xml:space="preserve">предоставляется оплата </w:t>
      </w:r>
      <w:r w:rsidR="00FA4966" w:rsidRPr="00F878B1">
        <w:rPr>
          <w:lang w:val="ru-RU"/>
        </w:rPr>
        <w:t xml:space="preserve">в размере 13 процентов средств на </w:t>
      </w:r>
      <w:r w:rsidR="00E369BD" w:rsidRPr="00F878B1">
        <w:rPr>
          <w:lang w:val="ru-RU"/>
        </w:rPr>
        <w:t xml:space="preserve">покрытие </w:t>
      </w:r>
      <w:r w:rsidR="00FA4966" w:rsidRPr="00F878B1">
        <w:rPr>
          <w:lang w:val="ru-RU"/>
        </w:rPr>
        <w:t>расходов на программную поддержку с целью возмещения дополнительных расходов, понесенных в случае, когда вспомогательная деятельность финансируется за счет взносов. В соответствии со стандартной практикой в отношении использования средств на оплату расходов на программную поддержку ЮНЕП будет ежегодно выделять Конвенции средства, с тем чтобы способствовать покрытию расходов на вспомогательное обслуживание. Согласно оценкам, средства на оплату расходов на программную поддержку, выделяемые секретариату Конвенции, бу</w:t>
      </w:r>
      <w:r w:rsidR="00E369BD" w:rsidRPr="00F878B1">
        <w:rPr>
          <w:lang w:val="ru-RU"/>
        </w:rPr>
        <w:t xml:space="preserve">дут покрывать часть расходов на </w:t>
      </w:r>
      <w:r w:rsidR="00FA4966" w:rsidRPr="00F878B1">
        <w:rPr>
          <w:lang w:val="ru-RU"/>
        </w:rPr>
        <w:t xml:space="preserve">сотрудника по административным и финансовым вопросам </w:t>
      </w:r>
      <w:r w:rsidR="00270A29" w:rsidRPr="00F878B1">
        <w:rPr>
          <w:lang w:val="ru-RU"/>
        </w:rPr>
        <w:t xml:space="preserve">(категория С-3) </w:t>
      </w:r>
      <w:r w:rsidR="00FA4966" w:rsidRPr="00F878B1">
        <w:rPr>
          <w:lang w:val="ru-RU"/>
        </w:rPr>
        <w:t>и финансового помощника. Сотрудник по административным и финансовым вопросам будет обеспечивать управление средствами, финансовые услуги и материально-техническую поддержку, а также выполнять административные и кадро</w:t>
      </w:r>
      <w:r w:rsidR="00117DAC" w:rsidRPr="00F878B1">
        <w:rPr>
          <w:lang w:val="ru-RU"/>
        </w:rPr>
        <w:t>вые функции для секретариата.</w:t>
      </w:r>
    </w:p>
    <w:p w14:paraId="52FA4DF2" w14:textId="4D339848" w:rsidR="00FA4966" w:rsidRPr="00F878B1" w:rsidRDefault="00E3558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6</w:t>
      </w:r>
      <w:r w:rsidR="00270A29" w:rsidRPr="00F878B1">
        <w:rPr>
          <w:lang w:val="ru-RU"/>
        </w:rPr>
        <w:t>9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E369BD" w:rsidRPr="00F878B1">
        <w:rPr>
          <w:lang w:val="ru-RU"/>
        </w:rPr>
        <w:t xml:space="preserve">Показатели сметы расходов </w:t>
      </w:r>
      <w:r w:rsidR="00FA4966" w:rsidRPr="00F878B1">
        <w:rPr>
          <w:lang w:val="ru-RU"/>
        </w:rPr>
        <w:t>по персоналу в связи с предлагаемым бюдже</w:t>
      </w:r>
      <w:r w:rsidR="00AE20B7" w:rsidRPr="00F878B1">
        <w:rPr>
          <w:lang w:val="ru-RU"/>
        </w:rPr>
        <w:t>том на двухгодичный период 2018-</w:t>
      </w:r>
      <w:r w:rsidR="00FA4966" w:rsidRPr="00F878B1">
        <w:rPr>
          <w:lang w:val="ru-RU"/>
        </w:rPr>
        <w:t>2019 годов</w:t>
      </w:r>
      <w:r w:rsidR="00270A29" w:rsidRPr="00F878B1">
        <w:rPr>
          <w:lang w:val="ru-RU"/>
        </w:rPr>
        <w:t xml:space="preserve"> </w:t>
      </w:r>
      <w:r w:rsidR="00FA4966" w:rsidRPr="00F878B1">
        <w:rPr>
          <w:lang w:val="ru-RU"/>
        </w:rPr>
        <w:t xml:space="preserve">рассчитаны на основе </w:t>
      </w:r>
      <w:r w:rsidR="00270A29" w:rsidRPr="00F878B1">
        <w:rPr>
          <w:lang w:val="ru-RU"/>
        </w:rPr>
        <w:t xml:space="preserve">реальных </w:t>
      </w:r>
      <w:r w:rsidR="00FA4966" w:rsidRPr="00F878B1">
        <w:rPr>
          <w:lang w:val="ru-RU"/>
        </w:rPr>
        <w:t xml:space="preserve">расходов </w:t>
      </w:r>
      <w:r w:rsidR="00270A29" w:rsidRPr="00F878B1">
        <w:rPr>
          <w:lang w:val="ru-RU"/>
        </w:rPr>
        <w:t>секретариата Базельской, Роттердамской и Стокгольмской конвенций при всех вариантах, предусматривающих размещение в Женеве. Станда</w:t>
      </w:r>
      <w:r w:rsidR="00272950" w:rsidRPr="00F878B1">
        <w:rPr>
          <w:lang w:val="ru-RU"/>
        </w:rPr>
        <w:t>р</w:t>
      </w:r>
      <w:r w:rsidR="00270A29" w:rsidRPr="00F878B1">
        <w:rPr>
          <w:lang w:val="ru-RU"/>
        </w:rPr>
        <w:t xml:space="preserve">тные расходы </w:t>
      </w:r>
      <w:r w:rsidR="00FA4966" w:rsidRPr="00F878B1">
        <w:rPr>
          <w:lang w:val="ru-RU"/>
        </w:rPr>
        <w:t>по персоналу</w:t>
      </w:r>
      <w:r w:rsidR="00270A29" w:rsidRPr="00F878B1">
        <w:rPr>
          <w:lang w:val="ru-RU"/>
        </w:rPr>
        <w:t xml:space="preserve"> используются для варианта 2 в других местах расположения. Различные варианты и их переменные расходы по персоналу </w:t>
      </w:r>
      <w:r w:rsidR="00FA4966" w:rsidRPr="00F878B1">
        <w:rPr>
          <w:lang w:val="ru-RU"/>
        </w:rPr>
        <w:t xml:space="preserve">отражены в добавлении </w:t>
      </w:r>
      <w:r w:rsidR="00270A29" w:rsidRPr="00F878B1">
        <w:rPr>
          <w:lang w:val="ru-RU"/>
        </w:rPr>
        <w:t>2</w:t>
      </w:r>
      <w:r w:rsidR="00FA4966" w:rsidRPr="00F878B1">
        <w:rPr>
          <w:lang w:val="ru-RU"/>
        </w:rPr>
        <w:t xml:space="preserve"> к настоящей записке (UNEP/MC/COP.1/21/Add.</w:t>
      </w:r>
      <w:r w:rsidR="00270A29" w:rsidRPr="00F878B1">
        <w:rPr>
          <w:lang w:val="ru-RU"/>
        </w:rPr>
        <w:t>2</w:t>
      </w:r>
      <w:r w:rsidR="00117DAC" w:rsidRPr="00F878B1">
        <w:rPr>
          <w:lang w:val="ru-RU"/>
        </w:rPr>
        <w:t>).</w:t>
      </w:r>
    </w:p>
    <w:p w14:paraId="5F9FABC8" w14:textId="5DF91898" w:rsidR="007D4D6F" w:rsidRPr="00F878B1" w:rsidRDefault="00272950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70</w:t>
      </w:r>
      <w:r w:rsidR="00E3558D" w:rsidRPr="00F878B1">
        <w:rPr>
          <w:lang w:val="ru-RU"/>
        </w:rPr>
        <w:t>.</w:t>
      </w:r>
      <w:r w:rsidR="00E3558D" w:rsidRPr="00F878B1">
        <w:rPr>
          <w:lang w:val="ru-RU"/>
        </w:rPr>
        <w:tab/>
      </w:r>
      <w:r w:rsidR="00FA4966" w:rsidRPr="00F878B1">
        <w:rPr>
          <w:lang w:val="ru-RU"/>
        </w:rPr>
        <w:t xml:space="preserve">В зависимости от решений, принятых на первом совещании, ресурсы Конвенции могут включать взнос принимающей страны в </w:t>
      </w:r>
      <w:r w:rsidR="00470D75" w:rsidRPr="00F878B1">
        <w:rPr>
          <w:lang w:val="ru-RU"/>
        </w:rPr>
        <w:t>О</w:t>
      </w:r>
      <w:r w:rsidR="00FA4966" w:rsidRPr="00F878B1">
        <w:rPr>
          <w:lang w:val="ru-RU"/>
        </w:rPr>
        <w:t xml:space="preserve">бщий целевой фонд и добровольный </w:t>
      </w:r>
      <w:r w:rsidR="00470D75" w:rsidRPr="00F878B1">
        <w:rPr>
          <w:lang w:val="ru-RU"/>
        </w:rPr>
        <w:t>С</w:t>
      </w:r>
      <w:r w:rsidR="00117DAC" w:rsidRPr="00F878B1">
        <w:rPr>
          <w:lang w:val="ru-RU"/>
        </w:rPr>
        <w:t>пециальный целевой фонд.</w:t>
      </w:r>
    </w:p>
    <w:p w14:paraId="25C87FE2" w14:textId="12BC804E" w:rsidR="00FA4966" w:rsidRPr="00F878B1" w:rsidRDefault="00E3558D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7</w:t>
      </w:r>
      <w:r w:rsidR="00272950" w:rsidRPr="00F878B1">
        <w:rPr>
          <w:lang w:val="ru-RU"/>
        </w:rPr>
        <w:t>1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272950" w:rsidRPr="00F878B1">
        <w:rPr>
          <w:lang w:val="ru-RU"/>
        </w:rPr>
        <w:t xml:space="preserve">Учитывая, что </w:t>
      </w:r>
      <w:r w:rsidR="007D4D6F" w:rsidRPr="00F878B1">
        <w:rPr>
          <w:lang w:val="ru-RU"/>
        </w:rPr>
        <w:t xml:space="preserve">на общую программу работы и бюджетные параметры влияет множество составляющих, </w:t>
      </w:r>
      <w:r w:rsidR="00272950" w:rsidRPr="00F878B1">
        <w:rPr>
          <w:lang w:val="ru-RU"/>
        </w:rPr>
        <w:t xml:space="preserve">в четвертом добавлении </w:t>
      </w:r>
      <w:r w:rsidR="007D4D6F" w:rsidRPr="00F878B1">
        <w:rPr>
          <w:lang w:val="ru-RU"/>
        </w:rPr>
        <w:t xml:space="preserve">к настоящей записке </w:t>
      </w:r>
      <w:r w:rsidR="00272950" w:rsidRPr="00F878B1">
        <w:rPr>
          <w:lang w:val="ru-RU"/>
        </w:rPr>
        <w:t xml:space="preserve">(UNEP/MC/COP.1/21/Add.4) приводится </w:t>
      </w:r>
      <w:r w:rsidR="007D4D6F" w:rsidRPr="00F878B1">
        <w:rPr>
          <w:lang w:val="ru-RU"/>
        </w:rPr>
        <w:t>общее представление программы работы и бюджета в разбивке по всем вариантам организации</w:t>
      </w:r>
      <w:r w:rsidR="00D74102" w:rsidRPr="00F878B1">
        <w:rPr>
          <w:lang w:val="ru-RU"/>
        </w:rPr>
        <w:t xml:space="preserve"> работы</w:t>
      </w:r>
      <w:r w:rsidR="007D4D6F" w:rsidRPr="00F878B1">
        <w:rPr>
          <w:lang w:val="ru-RU"/>
        </w:rPr>
        <w:t xml:space="preserve"> секретариата.</w:t>
      </w:r>
    </w:p>
    <w:p w14:paraId="30CFD90A" w14:textId="66A159B0" w:rsidR="00D77B12" w:rsidRPr="00F878B1" w:rsidRDefault="00E3558D" w:rsidP="00E3558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F878B1">
        <w:rPr>
          <w:lang w:val="ru-RU"/>
        </w:rPr>
        <w:t>7</w:t>
      </w:r>
      <w:r w:rsidR="00272950" w:rsidRPr="00F878B1">
        <w:rPr>
          <w:lang w:val="ru-RU"/>
        </w:rPr>
        <w:t>2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FA4966" w:rsidRPr="00F878B1">
        <w:rPr>
          <w:lang w:val="ru-RU"/>
        </w:rPr>
        <w:t>Отделом корпоративных услуг был сделан обзор предлагаемого бюджета на двух</w:t>
      </w:r>
      <w:r w:rsidR="006D253D" w:rsidRPr="00F878B1">
        <w:rPr>
          <w:lang w:val="ru-RU"/>
        </w:rPr>
        <w:t>годичный период 2018-</w:t>
      </w:r>
      <w:r w:rsidR="004520C1" w:rsidRPr="00F878B1">
        <w:rPr>
          <w:lang w:val="ru-RU"/>
        </w:rPr>
        <w:t xml:space="preserve">2019 годов для Директора-исполнителя ЮНЕП </w:t>
      </w:r>
      <w:r w:rsidR="00FA4966" w:rsidRPr="00F878B1">
        <w:rPr>
          <w:lang w:val="ru-RU"/>
        </w:rPr>
        <w:t>в рамках установленного процесса подготовки предлагаемых бюджетов.</w:t>
      </w:r>
    </w:p>
    <w:p w14:paraId="3AB4AB3C" w14:textId="5B79DCAA" w:rsidR="00844429" w:rsidRPr="00F878B1" w:rsidRDefault="00574CE3" w:rsidP="00E3558D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F878B1">
        <w:rPr>
          <w:b/>
          <w:sz w:val="28"/>
          <w:szCs w:val="28"/>
          <w:lang w:val="ru-RU"/>
        </w:rPr>
        <w:tab/>
      </w:r>
      <w:r w:rsidR="009C3938" w:rsidRPr="00F878B1">
        <w:rPr>
          <w:b/>
          <w:sz w:val="28"/>
          <w:szCs w:val="28"/>
          <w:lang w:val="ru-RU"/>
        </w:rPr>
        <w:t>III.</w:t>
      </w:r>
      <w:r w:rsidR="009C3938" w:rsidRPr="00F878B1">
        <w:rPr>
          <w:b/>
          <w:sz w:val="28"/>
          <w:szCs w:val="28"/>
          <w:lang w:val="ru-RU"/>
        </w:rPr>
        <w:tab/>
        <w:t>Предлагаемые меры для принятия Конференцией Сторон</w:t>
      </w:r>
    </w:p>
    <w:p w14:paraId="6703EF9B" w14:textId="39D87342" w:rsidR="00294386" w:rsidRPr="00F878B1" w:rsidRDefault="00A2616C" w:rsidP="007958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878B1">
        <w:rPr>
          <w:lang w:val="ru-RU"/>
        </w:rPr>
        <w:t>73.</w:t>
      </w:r>
      <w:r w:rsidRPr="00F878B1">
        <w:rPr>
          <w:lang w:val="ru-RU"/>
        </w:rPr>
        <w:tab/>
      </w:r>
      <w:r w:rsidR="00844429" w:rsidRPr="00F878B1">
        <w:rPr>
          <w:lang w:val="ru-RU"/>
        </w:rPr>
        <w:t>Рассмотрев настоящую записку о программе работы для секретариата и бюджете для Минаматской конвенции на двухгодичный период 2018</w:t>
      </w:r>
      <w:r w:rsidR="00E3558D" w:rsidRPr="00F878B1">
        <w:rPr>
          <w:lang w:val="ru-RU"/>
        </w:rPr>
        <w:t>-</w:t>
      </w:r>
      <w:r w:rsidR="00844429" w:rsidRPr="00F878B1">
        <w:rPr>
          <w:lang w:val="ru-RU"/>
        </w:rPr>
        <w:t>2019 годов и добавлени</w:t>
      </w:r>
      <w:r w:rsidR="00574CE3" w:rsidRPr="00F878B1">
        <w:rPr>
          <w:lang w:val="ru-RU"/>
        </w:rPr>
        <w:t>й</w:t>
      </w:r>
      <w:r w:rsidR="00844429" w:rsidRPr="00F878B1">
        <w:rPr>
          <w:lang w:val="ru-RU"/>
        </w:rPr>
        <w:t xml:space="preserve"> 1-4, касающи</w:t>
      </w:r>
      <w:r w:rsidR="00574CE3" w:rsidRPr="00F878B1">
        <w:rPr>
          <w:lang w:val="ru-RU"/>
        </w:rPr>
        <w:t>х</w:t>
      </w:r>
      <w:r w:rsidR="00844429" w:rsidRPr="00F878B1">
        <w:rPr>
          <w:lang w:val="ru-RU"/>
        </w:rPr>
        <w:t xml:space="preserve">ся, соответственно, начисленных взносов, ресурсов, необходимых для осуществления мероприятий, и ресурсов, требуемых для укомплектования штатов, и в свете результатов решений Конференции об организации </w:t>
      </w:r>
      <w:r w:rsidR="00574CE3" w:rsidRPr="00F878B1">
        <w:rPr>
          <w:lang w:val="ru-RU"/>
        </w:rPr>
        <w:t xml:space="preserve">работы и </w:t>
      </w:r>
      <w:r w:rsidR="00844429" w:rsidRPr="00F878B1">
        <w:rPr>
          <w:lang w:val="ru-RU"/>
        </w:rPr>
        <w:t>размещении постоянного секретариата, Конференция</w:t>
      </w:r>
      <w:r w:rsidRPr="00F878B1">
        <w:rPr>
          <w:lang w:val="ru-RU"/>
        </w:rPr>
        <w:t xml:space="preserve"> Сторон</w:t>
      </w:r>
      <w:r w:rsidR="00844429" w:rsidRPr="00F878B1">
        <w:rPr>
          <w:lang w:val="ru-RU"/>
        </w:rPr>
        <w:t>, возможно, пожелает завершить свою работу над бюджетом и принять решение в соответствии с положения</w:t>
      </w:r>
      <w:r w:rsidR="00117DAC" w:rsidRPr="00F878B1">
        <w:rPr>
          <w:lang w:val="ru-RU"/>
        </w:rPr>
        <w:t>ми, изложенными в приложении I.</w:t>
      </w:r>
    </w:p>
    <w:p w14:paraId="2ADA4A7D" w14:textId="77777777" w:rsidR="00294386" w:rsidRPr="00F878B1" w:rsidRDefault="0029438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F878B1">
        <w:rPr>
          <w:lang w:val="ru-RU"/>
        </w:rPr>
        <w:br w:type="page"/>
      </w:r>
    </w:p>
    <w:p w14:paraId="3A7E933B" w14:textId="0E0C2BF1" w:rsidR="00D63972" w:rsidRPr="00F878B1" w:rsidRDefault="00D63972" w:rsidP="00E3558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  <w:rPr>
          <w:szCs w:val="28"/>
          <w:lang w:val="ru-RU"/>
        </w:rPr>
      </w:pPr>
      <w:r w:rsidRPr="00F878B1">
        <w:rPr>
          <w:lang w:val="ru-RU"/>
        </w:rPr>
        <w:t>Приложение I</w:t>
      </w:r>
    </w:p>
    <w:p w14:paraId="3F64DDAC" w14:textId="49B080E8" w:rsidR="00D63972" w:rsidRPr="00F878B1" w:rsidRDefault="00D63972" w:rsidP="00E3558D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right="567"/>
        <w:rPr>
          <w:lang w:val="ru-RU"/>
        </w:rPr>
      </w:pPr>
      <w:r w:rsidRPr="00F878B1">
        <w:rPr>
          <w:lang w:val="ru-RU"/>
        </w:rPr>
        <w:t>Проект решения М</w:t>
      </w:r>
      <w:r w:rsidR="002D67F6" w:rsidRPr="00F878B1">
        <w:rPr>
          <w:lang w:val="ru-RU"/>
        </w:rPr>
        <w:t>К</w:t>
      </w:r>
      <w:r w:rsidRPr="00F878B1">
        <w:rPr>
          <w:lang w:val="ru-RU"/>
        </w:rPr>
        <w:t xml:space="preserve">-1/X: программа работы секретариата и предлагаемый бюджет на двухгодичный </w:t>
      </w:r>
      <w:r w:rsidR="00E3558D" w:rsidRPr="00F878B1">
        <w:rPr>
          <w:lang w:val="ru-RU"/>
        </w:rPr>
        <w:t>период 2018</w:t>
      </w:r>
      <w:r w:rsidR="00120B38" w:rsidRPr="00F878B1">
        <w:rPr>
          <w:lang w:val="ru-RU"/>
        </w:rPr>
        <w:noBreakHyphen/>
      </w:r>
      <w:r w:rsidR="00E3558D" w:rsidRPr="00F878B1">
        <w:rPr>
          <w:lang w:val="ru-RU"/>
        </w:rPr>
        <w:t>2019 </w:t>
      </w:r>
      <w:r w:rsidRPr="00F878B1">
        <w:rPr>
          <w:lang w:val="ru-RU"/>
        </w:rPr>
        <w:t>годов</w:t>
      </w:r>
    </w:p>
    <w:p w14:paraId="538F020C" w14:textId="607B8694" w:rsidR="005C4233" w:rsidRPr="00F878B1" w:rsidRDefault="00D63972" w:rsidP="002B24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  <w:lang w:val="ru-RU"/>
        </w:rPr>
      </w:pPr>
      <w:r w:rsidRPr="00F878B1">
        <w:rPr>
          <w:i/>
          <w:lang w:val="ru-RU"/>
        </w:rPr>
        <w:t>Конференция Сторон,</w:t>
      </w:r>
    </w:p>
    <w:p w14:paraId="1753272A" w14:textId="326486A4" w:rsidR="00FF25E0" w:rsidRPr="00F878B1" w:rsidRDefault="00FF25E0" w:rsidP="002B24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F878B1">
        <w:rPr>
          <w:i/>
          <w:lang w:val="ru-RU"/>
        </w:rPr>
        <w:t>принимая к сведению</w:t>
      </w:r>
      <w:r w:rsidRPr="00F878B1">
        <w:rPr>
          <w:lang w:val="ru-RU"/>
        </w:rPr>
        <w:t xml:space="preserve"> решение об организационных мероприятиях для выполнения функций секретар</w:t>
      </w:r>
      <w:r w:rsidR="00120B38" w:rsidRPr="00F878B1">
        <w:rPr>
          <w:lang w:val="ru-RU"/>
        </w:rPr>
        <w:t>иата и размещении секретариата,</w:t>
      </w:r>
    </w:p>
    <w:p w14:paraId="304E7BC6" w14:textId="77777777" w:rsidR="005C4233" w:rsidRPr="00F878B1" w:rsidRDefault="005C4233" w:rsidP="002B2430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right="0" w:firstLine="0"/>
        <w:jc w:val="center"/>
        <w:rPr>
          <w:lang w:val="ru-RU"/>
        </w:rPr>
      </w:pPr>
      <w:r w:rsidRPr="00F878B1">
        <w:rPr>
          <w:lang w:val="ru-RU"/>
        </w:rPr>
        <w:t>I</w:t>
      </w:r>
    </w:p>
    <w:p w14:paraId="4DEF269B" w14:textId="4D2C7A73" w:rsidR="005C4233" w:rsidRPr="00F878B1" w:rsidRDefault="00FF25E0" w:rsidP="002B2430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right="0" w:firstLine="0"/>
        <w:jc w:val="center"/>
        <w:rPr>
          <w:lang w:val="ru-RU"/>
        </w:rPr>
      </w:pPr>
      <w:r w:rsidRPr="00F878B1">
        <w:rPr>
          <w:lang w:val="ru-RU"/>
        </w:rPr>
        <w:t>Общий целевой фонд Минаматской конвенции о ртути</w:t>
      </w:r>
    </w:p>
    <w:p w14:paraId="2699BDD7" w14:textId="15CA87CB" w:rsidR="004C769D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1.</w:t>
      </w:r>
      <w:r w:rsidRPr="00F878B1">
        <w:rPr>
          <w:lang w:val="ru-RU"/>
        </w:rPr>
        <w:tab/>
      </w:r>
      <w:r w:rsidR="004C769D" w:rsidRPr="00F878B1">
        <w:rPr>
          <w:i/>
          <w:lang w:val="ru-RU"/>
        </w:rPr>
        <w:t>принимает к сведению</w:t>
      </w:r>
      <w:r w:rsidR="004C769D" w:rsidRPr="00F878B1">
        <w:rPr>
          <w:lang w:val="ru-RU"/>
        </w:rPr>
        <w:t xml:space="preserve"> программу работы секретариата на двухгодичный период 2018</w:t>
      </w:r>
      <w:r w:rsidR="002D67F6" w:rsidRPr="00F878B1">
        <w:rPr>
          <w:lang w:val="ru-RU"/>
        </w:rPr>
        <w:noBreakHyphen/>
      </w:r>
      <w:r w:rsidR="004C769D" w:rsidRPr="00F878B1">
        <w:rPr>
          <w:lang w:val="ru-RU"/>
        </w:rPr>
        <w:t xml:space="preserve">2019 годов, </w:t>
      </w:r>
      <w:r w:rsidR="00074569" w:rsidRPr="00F878B1">
        <w:rPr>
          <w:lang w:val="ru-RU"/>
        </w:rPr>
        <w:t>изложенную</w:t>
      </w:r>
      <w:r w:rsidR="004C769D" w:rsidRPr="00F878B1">
        <w:rPr>
          <w:lang w:val="ru-RU"/>
        </w:rPr>
        <w:t xml:space="preserve"> в записке секретариата;</w:t>
      </w:r>
    </w:p>
    <w:p w14:paraId="4A93740B" w14:textId="487333FE" w:rsidR="004908C1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2.</w:t>
      </w:r>
      <w:r w:rsidRPr="00F878B1">
        <w:rPr>
          <w:lang w:val="ru-RU"/>
        </w:rPr>
        <w:tab/>
      </w:r>
      <w:r w:rsidR="004C769D" w:rsidRPr="00F878B1">
        <w:rPr>
          <w:i/>
          <w:lang w:val="ru-RU"/>
        </w:rPr>
        <w:t>утверждает</w:t>
      </w:r>
      <w:r w:rsidR="004C769D" w:rsidRPr="00F878B1">
        <w:rPr>
          <w:lang w:val="ru-RU"/>
        </w:rPr>
        <w:t xml:space="preserve"> бюджет по программам Минаматской конвенции на двухгодичный период 2018</w:t>
      </w:r>
      <w:r w:rsidR="002D67F6" w:rsidRPr="00F878B1">
        <w:rPr>
          <w:lang w:val="ru-RU"/>
        </w:rPr>
        <w:t>-</w:t>
      </w:r>
      <w:r w:rsidR="004C769D" w:rsidRPr="00F878B1">
        <w:rPr>
          <w:lang w:val="ru-RU"/>
        </w:rPr>
        <w:t>2019 годов в объеме [ ] долл. США на 2018 год и [ ] долл. США на 2019 год для целей, указанных в таблице [ ] настоящего решения;</w:t>
      </w:r>
    </w:p>
    <w:p w14:paraId="413AD8C3" w14:textId="0CC79FB4" w:rsidR="004908C1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3.</w:t>
      </w:r>
      <w:r w:rsidRPr="00F878B1">
        <w:rPr>
          <w:lang w:val="ru-RU"/>
        </w:rPr>
        <w:tab/>
      </w:r>
      <w:r w:rsidR="004908C1" w:rsidRPr="00F878B1">
        <w:rPr>
          <w:i/>
          <w:lang w:val="ru-RU"/>
        </w:rPr>
        <w:t>уполномочивает</w:t>
      </w:r>
      <w:r w:rsidR="004908C1" w:rsidRPr="00F878B1">
        <w:rPr>
          <w:lang w:val="ru-RU"/>
        </w:rPr>
        <w:t xml:space="preserve"> Исполнительного секретаря Минаматской конвенции принимать на себя обязательства в пределах суммы утвержденного операционного бюджета, используя имеющиеся денежные ресурсы;</w:t>
      </w:r>
    </w:p>
    <w:p w14:paraId="7BB0C495" w14:textId="3B748A3D" w:rsidR="004908C1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4.</w:t>
      </w:r>
      <w:r w:rsidRPr="00F878B1">
        <w:rPr>
          <w:lang w:val="ru-RU"/>
        </w:rPr>
        <w:tab/>
      </w:r>
      <w:r w:rsidR="004908C1" w:rsidRPr="00F878B1">
        <w:rPr>
          <w:i/>
          <w:lang w:val="ru-RU"/>
        </w:rPr>
        <w:t>постановляет</w:t>
      </w:r>
      <w:r w:rsidR="004908C1" w:rsidRPr="00F878B1">
        <w:rPr>
          <w:lang w:val="ru-RU"/>
        </w:rPr>
        <w:t xml:space="preserve"> </w:t>
      </w:r>
      <w:r w:rsidR="00074569" w:rsidRPr="00F878B1">
        <w:rPr>
          <w:lang w:val="ru-RU"/>
        </w:rPr>
        <w:t xml:space="preserve">приступить к </w:t>
      </w:r>
      <w:r w:rsidR="004908C1" w:rsidRPr="00F878B1">
        <w:rPr>
          <w:lang w:val="ru-RU"/>
        </w:rPr>
        <w:t>создани</w:t>
      </w:r>
      <w:r w:rsidR="00074569" w:rsidRPr="00F878B1">
        <w:rPr>
          <w:lang w:val="ru-RU"/>
        </w:rPr>
        <w:t>ю</w:t>
      </w:r>
      <w:r w:rsidR="004908C1" w:rsidRPr="00F878B1">
        <w:rPr>
          <w:lang w:val="ru-RU"/>
        </w:rPr>
        <w:t xml:space="preserve"> резерва оборотных средств, который к [  ] должен достичь 15 процентов среднегодового показателя двухгодичного операционного бюджета</w:t>
      </w:r>
      <w:r w:rsidR="00074569" w:rsidRPr="00F878B1">
        <w:rPr>
          <w:lang w:val="ru-RU"/>
        </w:rPr>
        <w:t xml:space="preserve">, </w:t>
      </w:r>
      <w:r w:rsidR="004908C1" w:rsidRPr="00F878B1">
        <w:rPr>
          <w:lang w:val="ru-RU"/>
        </w:rPr>
        <w:t>и установить [  ] в качестве ц</w:t>
      </w:r>
      <w:r w:rsidR="005B195C" w:rsidRPr="00F878B1">
        <w:rPr>
          <w:lang w:val="ru-RU"/>
        </w:rPr>
        <w:t>ел</w:t>
      </w:r>
      <w:r w:rsidR="00074569" w:rsidRPr="00F878B1">
        <w:rPr>
          <w:lang w:val="ru-RU"/>
        </w:rPr>
        <w:t xml:space="preserve">евого показателя </w:t>
      </w:r>
      <w:r w:rsidR="005B195C" w:rsidRPr="00F878B1">
        <w:rPr>
          <w:lang w:val="ru-RU"/>
        </w:rPr>
        <w:t>на двухгодичный период 2018</w:t>
      </w:r>
      <w:r w:rsidR="00120B38" w:rsidRPr="00F878B1">
        <w:rPr>
          <w:lang w:val="ru-RU"/>
        </w:rPr>
        <w:noBreakHyphen/>
        <w:t>2019 </w:t>
      </w:r>
      <w:r w:rsidR="004908C1" w:rsidRPr="00F878B1">
        <w:rPr>
          <w:lang w:val="ru-RU"/>
        </w:rPr>
        <w:t>годов;</w:t>
      </w:r>
    </w:p>
    <w:p w14:paraId="2BF3C734" w14:textId="169598F5" w:rsidR="004908C1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5.</w:t>
      </w:r>
      <w:r w:rsidRPr="00F878B1">
        <w:rPr>
          <w:lang w:val="ru-RU"/>
        </w:rPr>
        <w:tab/>
      </w:r>
      <w:r w:rsidR="004908C1" w:rsidRPr="00F878B1">
        <w:rPr>
          <w:lang w:val="ru-RU"/>
        </w:rPr>
        <w:t>[</w:t>
      </w:r>
      <w:r w:rsidR="004908C1" w:rsidRPr="00F878B1">
        <w:rPr>
          <w:i/>
          <w:lang w:val="ru-RU"/>
        </w:rPr>
        <w:t>приветствует</w:t>
      </w:r>
      <w:r w:rsidR="004908C1" w:rsidRPr="00F878B1">
        <w:rPr>
          <w:lang w:val="ru-RU"/>
        </w:rPr>
        <w:t xml:space="preserve"> ежегодный взнос Швейцарии</w:t>
      </w:r>
      <w:r w:rsidR="00EC126C" w:rsidRPr="00F878B1">
        <w:rPr>
          <w:lang w:val="ru-RU"/>
        </w:rPr>
        <w:t xml:space="preserve"> в качестве </w:t>
      </w:r>
      <w:r w:rsidR="004908C1" w:rsidRPr="00F878B1">
        <w:rPr>
          <w:lang w:val="ru-RU"/>
        </w:rPr>
        <w:t>принимающей страны секретариата</w:t>
      </w:r>
      <w:r w:rsidR="00EC126C" w:rsidRPr="00F878B1">
        <w:rPr>
          <w:lang w:val="ru-RU"/>
        </w:rPr>
        <w:t xml:space="preserve"> </w:t>
      </w:r>
      <w:r w:rsidR="004908C1" w:rsidRPr="00F878B1">
        <w:rPr>
          <w:lang w:val="ru-RU"/>
        </w:rPr>
        <w:t>в размере [  ] д</w:t>
      </w:r>
      <w:r w:rsidR="005360D6" w:rsidRPr="00F878B1">
        <w:rPr>
          <w:lang w:val="ru-RU"/>
        </w:rPr>
        <w:t>ля</w:t>
      </w:r>
      <w:r w:rsidR="004908C1" w:rsidRPr="00F878B1">
        <w:rPr>
          <w:lang w:val="ru-RU"/>
        </w:rPr>
        <w:t xml:space="preserve"> [  ];]</w:t>
      </w:r>
    </w:p>
    <w:p w14:paraId="422DCE29" w14:textId="4F4BECD7" w:rsidR="004908C1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iCs/>
          <w:lang w:val="ru-RU"/>
        </w:rPr>
      </w:pPr>
      <w:r w:rsidRPr="00F878B1">
        <w:rPr>
          <w:lang w:val="ru-RU"/>
        </w:rPr>
        <w:t>6.</w:t>
      </w:r>
      <w:r w:rsidRPr="00F878B1">
        <w:rPr>
          <w:lang w:val="ru-RU"/>
        </w:rPr>
        <w:tab/>
      </w:r>
      <w:r w:rsidR="004908C1" w:rsidRPr="00F878B1">
        <w:rPr>
          <w:lang w:val="ru-RU"/>
        </w:rPr>
        <w:t>[</w:t>
      </w:r>
      <w:r w:rsidR="004908C1" w:rsidRPr="00F878B1">
        <w:rPr>
          <w:i/>
          <w:lang w:val="ru-RU"/>
        </w:rPr>
        <w:t>отмечает</w:t>
      </w:r>
      <w:r w:rsidR="004908C1" w:rsidRPr="00F878B1">
        <w:rPr>
          <w:lang w:val="ru-RU"/>
        </w:rPr>
        <w:t xml:space="preserve">, что взнос Швейцарии </w:t>
      </w:r>
      <w:r w:rsidR="00EC126C" w:rsidRPr="00F878B1">
        <w:rPr>
          <w:lang w:val="ru-RU"/>
        </w:rPr>
        <w:t xml:space="preserve">в качестве </w:t>
      </w:r>
      <w:r w:rsidR="004908C1" w:rsidRPr="00F878B1">
        <w:rPr>
          <w:lang w:val="ru-RU"/>
        </w:rPr>
        <w:t xml:space="preserve">принимающей страны в размере [  ] будет распределен следующим образом: [  ] процентов в </w:t>
      </w:r>
      <w:r w:rsidR="00470D75" w:rsidRPr="00F878B1">
        <w:rPr>
          <w:lang w:val="ru-RU"/>
        </w:rPr>
        <w:t>О</w:t>
      </w:r>
      <w:r w:rsidR="004908C1" w:rsidRPr="00F878B1">
        <w:rPr>
          <w:lang w:val="ru-RU"/>
        </w:rPr>
        <w:t xml:space="preserve">бщий целевой фонд и [  ] процентов в добровольный </w:t>
      </w:r>
      <w:r w:rsidR="00470D75" w:rsidRPr="00F878B1">
        <w:rPr>
          <w:lang w:val="ru-RU"/>
        </w:rPr>
        <w:t>С</w:t>
      </w:r>
      <w:r w:rsidR="004908C1" w:rsidRPr="00F878B1">
        <w:rPr>
          <w:lang w:val="ru-RU"/>
        </w:rPr>
        <w:t xml:space="preserve">пециальный целевой фонд в 2018, 2019 годах и </w:t>
      </w:r>
      <w:r w:rsidR="00EC126C" w:rsidRPr="00F878B1">
        <w:rPr>
          <w:lang w:val="ru-RU"/>
        </w:rPr>
        <w:t xml:space="preserve">в </w:t>
      </w:r>
      <w:r w:rsidR="004908C1" w:rsidRPr="00F878B1">
        <w:rPr>
          <w:lang w:val="ru-RU"/>
        </w:rPr>
        <w:t>дал</w:t>
      </w:r>
      <w:r w:rsidR="00EC126C" w:rsidRPr="00F878B1">
        <w:rPr>
          <w:lang w:val="ru-RU"/>
        </w:rPr>
        <w:t>ьнейшем</w:t>
      </w:r>
      <w:r w:rsidR="004908C1" w:rsidRPr="00F878B1">
        <w:rPr>
          <w:lang w:val="ru-RU"/>
        </w:rPr>
        <w:t>;]</w:t>
      </w:r>
    </w:p>
    <w:p w14:paraId="34DC61D0" w14:textId="4A501E3E" w:rsidR="004908C1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iCs/>
          <w:lang w:val="ru-RU"/>
        </w:rPr>
      </w:pPr>
      <w:r w:rsidRPr="00F878B1">
        <w:rPr>
          <w:lang w:val="ru-RU"/>
        </w:rPr>
        <w:t>7.</w:t>
      </w:r>
      <w:r w:rsidRPr="00F878B1">
        <w:rPr>
          <w:lang w:val="ru-RU"/>
        </w:rPr>
        <w:tab/>
      </w:r>
      <w:r w:rsidR="004908C1" w:rsidRPr="00F878B1">
        <w:rPr>
          <w:i/>
          <w:lang w:val="ru-RU"/>
        </w:rPr>
        <w:t>принимает</w:t>
      </w:r>
      <w:r w:rsidR="004908C1" w:rsidRPr="00F878B1">
        <w:rPr>
          <w:lang w:val="ru-RU"/>
        </w:rPr>
        <w:t xml:space="preserve"> изложенную в таблице [ </w:t>
      </w:r>
      <w:r w:rsidR="001A4664" w:rsidRPr="00F878B1">
        <w:rPr>
          <w:lang w:val="ru-RU"/>
        </w:rPr>
        <w:t xml:space="preserve"> </w:t>
      </w:r>
      <w:r w:rsidR="004908C1" w:rsidRPr="00F878B1">
        <w:rPr>
          <w:lang w:val="ru-RU"/>
        </w:rPr>
        <w:t>] настоящего решения ориентировочную шкалу взносов для распределения расхо</w:t>
      </w:r>
      <w:r w:rsidR="005B195C" w:rsidRPr="00F878B1">
        <w:rPr>
          <w:lang w:val="ru-RU"/>
        </w:rPr>
        <w:t>дов на двухгодичный период 2018-</w:t>
      </w:r>
      <w:r w:rsidR="004908C1" w:rsidRPr="00F878B1">
        <w:rPr>
          <w:lang w:val="ru-RU"/>
        </w:rPr>
        <w:t>2019 годов и уполномочивает Исполнительного секретаря в соответствии с Финансовыми положениями и правилами Организации Объединенных Наций скорректировать шкалу взносов, включив в нее все Стороны, для которых Конвенция вступает в силу до 1 янва</w:t>
      </w:r>
      <w:r w:rsidR="005B195C" w:rsidRPr="00F878B1">
        <w:rPr>
          <w:lang w:val="ru-RU"/>
        </w:rPr>
        <w:t>ря 2018 года, – в шкалу на 2018 </w:t>
      </w:r>
      <w:r w:rsidR="004908C1" w:rsidRPr="00F878B1">
        <w:rPr>
          <w:lang w:val="ru-RU"/>
        </w:rPr>
        <w:t>год</w:t>
      </w:r>
      <w:r w:rsidR="00171073" w:rsidRPr="00F878B1">
        <w:rPr>
          <w:lang w:val="ru-RU"/>
        </w:rPr>
        <w:t xml:space="preserve">, </w:t>
      </w:r>
      <w:r w:rsidR="004908C1" w:rsidRPr="00F878B1">
        <w:rPr>
          <w:lang w:val="ru-RU"/>
        </w:rPr>
        <w:t>и до 1 января 2019 года – в шкалу на 2019 год;</w:t>
      </w:r>
    </w:p>
    <w:p w14:paraId="755A8E94" w14:textId="6DAEF109" w:rsidR="004908C1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iCs/>
          <w:lang w:val="ru-RU"/>
        </w:rPr>
      </w:pPr>
      <w:r w:rsidRPr="00F878B1">
        <w:rPr>
          <w:lang w:val="ru-RU"/>
        </w:rPr>
        <w:t>8.</w:t>
      </w:r>
      <w:r w:rsidRPr="00F878B1">
        <w:rPr>
          <w:lang w:val="ru-RU"/>
        </w:rPr>
        <w:tab/>
      </w:r>
      <w:r w:rsidR="004908C1" w:rsidRPr="00F878B1">
        <w:rPr>
          <w:i/>
          <w:lang w:val="ru-RU"/>
        </w:rPr>
        <w:t>напоминает</w:t>
      </w:r>
      <w:r w:rsidR="004908C1" w:rsidRPr="00F878B1">
        <w:rPr>
          <w:lang w:val="ru-RU"/>
        </w:rPr>
        <w:t xml:space="preserve"> о том, что взносы в целевой фонд Минаматской конвенции подлежат уплате до или 1 января того года, для которого эти взносы были заложены в бюджет, и призывает Стороны выплачивать свои взносы своевременно, с тем чтобы секретариат мог незамедлительно приступить к своей работе;</w:t>
      </w:r>
    </w:p>
    <w:p w14:paraId="58B4B2D1" w14:textId="01FA555C" w:rsidR="00BB1444" w:rsidRPr="00F878B1" w:rsidRDefault="003D17F4" w:rsidP="003D17F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i/>
          <w:lang w:val="ru-RU"/>
        </w:rPr>
      </w:pPr>
      <w:r w:rsidRPr="00F878B1">
        <w:rPr>
          <w:lang w:val="ru-RU"/>
        </w:rPr>
        <w:t>9.</w:t>
      </w:r>
      <w:r w:rsidRPr="00F878B1">
        <w:rPr>
          <w:lang w:val="ru-RU"/>
        </w:rPr>
        <w:tab/>
      </w:r>
      <w:r w:rsidR="004C769D" w:rsidRPr="00F878B1">
        <w:rPr>
          <w:i/>
          <w:lang w:val="ru-RU"/>
        </w:rPr>
        <w:t>утверждает</w:t>
      </w:r>
      <w:r w:rsidR="004C769D" w:rsidRPr="00F878B1">
        <w:rPr>
          <w:lang w:val="ru-RU"/>
        </w:rPr>
        <w:t xml:space="preserve"> изложенное в таблице [ </w:t>
      </w:r>
      <w:r w:rsidR="00120B38" w:rsidRPr="00F878B1">
        <w:rPr>
          <w:lang w:val="ru-RU"/>
        </w:rPr>
        <w:t xml:space="preserve"> </w:t>
      </w:r>
      <w:r w:rsidR="004C769D" w:rsidRPr="00F878B1">
        <w:rPr>
          <w:lang w:val="ru-RU"/>
        </w:rPr>
        <w:t>] настоящего решения ориентировочное штатное расписание секретари</w:t>
      </w:r>
      <w:r w:rsidR="005B195C" w:rsidRPr="00F878B1">
        <w:rPr>
          <w:lang w:val="ru-RU"/>
        </w:rPr>
        <w:t>ата на двухгодичный период 2018-</w:t>
      </w:r>
      <w:r w:rsidR="004C769D" w:rsidRPr="00F878B1">
        <w:rPr>
          <w:lang w:val="ru-RU"/>
        </w:rPr>
        <w:t>2019 годов, которое использовалось для калькуляции расходов при составлении общего бюджета;</w:t>
      </w:r>
    </w:p>
    <w:p w14:paraId="73442E76" w14:textId="77777777" w:rsidR="005C4233" w:rsidRPr="00F878B1" w:rsidRDefault="005C4233" w:rsidP="00745DC5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right="0" w:firstLine="0"/>
        <w:jc w:val="center"/>
        <w:rPr>
          <w:lang w:val="ru-RU"/>
        </w:rPr>
      </w:pPr>
      <w:r w:rsidRPr="00F878B1">
        <w:rPr>
          <w:lang w:val="ru-RU"/>
        </w:rPr>
        <w:t>II</w:t>
      </w:r>
    </w:p>
    <w:p w14:paraId="19B75F9A" w14:textId="67110B01" w:rsidR="005C4233" w:rsidRPr="00F878B1" w:rsidRDefault="00365888" w:rsidP="00745DC5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right="0" w:firstLine="0"/>
        <w:jc w:val="center"/>
        <w:rPr>
          <w:lang w:val="ru-RU"/>
        </w:rPr>
      </w:pPr>
      <w:r w:rsidRPr="00F878B1">
        <w:rPr>
          <w:lang w:val="ru-RU"/>
        </w:rPr>
        <w:t>Специальный целевой фонд Минаматской конвенции</w:t>
      </w:r>
    </w:p>
    <w:p w14:paraId="2ADB5ECE" w14:textId="7C372207" w:rsidR="005C4233" w:rsidRPr="00F878B1" w:rsidRDefault="00745DC5" w:rsidP="00745DC5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1</w:t>
      </w:r>
      <w:r w:rsidR="0087618A" w:rsidRPr="00F878B1">
        <w:rPr>
          <w:lang w:val="ru-RU"/>
        </w:rPr>
        <w:t>0</w:t>
      </w:r>
      <w:r w:rsidRPr="00F878B1">
        <w:rPr>
          <w:lang w:val="ru-RU"/>
        </w:rPr>
        <w:t>.</w:t>
      </w:r>
      <w:r w:rsidRPr="00F878B1">
        <w:rPr>
          <w:lang w:val="ru-RU"/>
        </w:rPr>
        <w:tab/>
      </w:r>
      <w:r w:rsidR="00365888" w:rsidRPr="00F878B1">
        <w:rPr>
          <w:i/>
          <w:lang w:val="ru-RU"/>
        </w:rPr>
        <w:t>соглашается</w:t>
      </w:r>
      <w:r w:rsidR="00365888" w:rsidRPr="00F878B1">
        <w:rPr>
          <w:lang w:val="ru-RU"/>
        </w:rPr>
        <w:t xml:space="preserve"> с приведенными в таблице [ </w:t>
      </w:r>
      <w:r w:rsidR="00120B38" w:rsidRPr="00F878B1">
        <w:rPr>
          <w:lang w:val="ru-RU"/>
        </w:rPr>
        <w:t xml:space="preserve"> </w:t>
      </w:r>
      <w:r w:rsidR="00365888" w:rsidRPr="00F878B1">
        <w:rPr>
          <w:lang w:val="ru-RU"/>
        </w:rPr>
        <w:t xml:space="preserve">] настоящего решения сметами финансирования мероприятий в рамках Конвенции за счет средств </w:t>
      </w:r>
      <w:r w:rsidR="00470D75" w:rsidRPr="00F878B1">
        <w:rPr>
          <w:lang w:val="ru-RU"/>
        </w:rPr>
        <w:t>С</w:t>
      </w:r>
      <w:r w:rsidR="00656717" w:rsidRPr="00F878B1">
        <w:rPr>
          <w:lang w:val="ru-RU"/>
        </w:rPr>
        <w:t xml:space="preserve">пециального </w:t>
      </w:r>
      <w:r w:rsidR="00365888" w:rsidRPr="00F878B1">
        <w:rPr>
          <w:lang w:val="ru-RU"/>
        </w:rPr>
        <w:t xml:space="preserve">целевого фонда в объеме [ </w:t>
      </w:r>
      <w:r w:rsidR="00120B38" w:rsidRPr="00F878B1">
        <w:rPr>
          <w:lang w:val="ru-RU"/>
        </w:rPr>
        <w:t xml:space="preserve"> </w:t>
      </w:r>
      <w:r w:rsidR="00365888" w:rsidRPr="00F878B1">
        <w:rPr>
          <w:lang w:val="ru-RU"/>
        </w:rPr>
        <w:t xml:space="preserve">] долл. США </w:t>
      </w:r>
      <w:r w:rsidR="008A30C6" w:rsidRPr="00F878B1">
        <w:rPr>
          <w:lang w:val="ru-RU"/>
        </w:rPr>
        <w:t xml:space="preserve">на </w:t>
      </w:r>
      <w:r w:rsidR="00365888" w:rsidRPr="00F878B1">
        <w:rPr>
          <w:lang w:val="ru-RU"/>
        </w:rPr>
        <w:t xml:space="preserve">2018 год и [ </w:t>
      </w:r>
      <w:r w:rsidR="00120B38" w:rsidRPr="00F878B1">
        <w:rPr>
          <w:lang w:val="ru-RU"/>
        </w:rPr>
        <w:t xml:space="preserve"> </w:t>
      </w:r>
      <w:r w:rsidR="00365888" w:rsidRPr="00F878B1">
        <w:rPr>
          <w:lang w:val="ru-RU"/>
        </w:rPr>
        <w:t xml:space="preserve">] долл. США </w:t>
      </w:r>
      <w:r w:rsidR="008A30C6" w:rsidRPr="00F878B1">
        <w:rPr>
          <w:lang w:val="ru-RU"/>
        </w:rPr>
        <w:t xml:space="preserve">на </w:t>
      </w:r>
      <w:r w:rsidR="00365888" w:rsidRPr="00F878B1">
        <w:rPr>
          <w:lang w:val="ru-RU"/>
        </w:rPr>
        <w:t>2019 год;</w:t>
      </w:r>
    </w:p>
    <w:p w14:paraId="381D34A9" w14:textId="45EA30EA" w:rsidR="007C5644" w:rsidRPr="00F878B1" w:rsidRDefault="0087618A" w:rsidP="00745DC5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11</w:t>
      </w:r>
      <w:r w:rsidR="00745DC5" w:rsidRPr="00F878B1">
        <w:rPr>
          <w:lang w:val="ru-RU"/>
        </w:rPr>
        <w:t>.</w:t>
      </w:r>
      <w:r w:rsidR="00745DC5" w:rsidRPr="00F878B1">
        <w:rPr>
          <w:lang w:val="ru-RU"/>
        </w:rPr>
        <w:tab/>
      </w:r>
      <w:r w:rsidR="00365888" w:rsidRPr="00F878B1">
        <w:rPr>
          <w:i/>
          <w:lang w:val="ru-RU"/>
        </w:rPr>
        <w:t>просит</w:t>
      </w:r>
      <w:r w:rsidR="00365888" w:rsidRPr="00F878B1">
        <w:rPr>
          <w:lang w:val="ru-RU"/>
        </w:rPr>
        <w:t xml:space="preserve"> Стороны и предлагает </w:t>
      </w:r>
      <w:r w:rsidR="00EC126C" w:rsidRPr="00F878B1">
        <w:rPr>
          <w:lang w:val="ru-RU"/>
        </w:rPr>
        <w:t>государствам</w:t>
      </w:r>
      <w:r w:rsidR="00365888" w:rsidRPr="00F878B1">
        <w:rPr>
          <w:lang w:val="ru-RU"/>
        </w:rPr>
        <w:t xml:space="preserve">, не являющимся Сторонами Конвенции, и другим субъектам, располагающим такой возможностью, предоставить взносы в </w:t>
      </w:r>
      <w:r w:rsidR="00470D75" w:rsidRPr="00F878B1">
        <w:rPr>
          <w:lang w:val="ru-RU"/>
        </w:rPr>
        <w:t>С</w:t>
      </w:r>
      <w:r w:rsidR="00365888" w:rsidRPr="00F878B1">
        <w:rPr>
          <w:lang w:val="ru-RU"/>
        </w:rPr>
        <w:t>пециальный целевой фонд, с тем чтобы обеспечить поддержку деятельности по созданию потенциала и оказанию технической помощ</w:t>
      </w:r>
      <w:r w:rsidR="00120B38" w:rsidRPr="00F878B1">
        <w:rPr>
          <w:lang w:val="ru-RU"/>
        </w:rPr>
        <w:t>и в соответствии со статьей 14;</w:t>
      </w:r>
    </w:p>
    <w:p w14:paraId="5C2B965A" w14:textId="668EB607" w:rsidR="00D63972" w:rsidRPr="00F878B1" w:rsidRDefault="0087618A" w:rsidP="00745DC5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12</w:t>
      </w:r>
      <w:r w:rsidR="00745DC5" w:rsidRPr="00F878B1">
        <w:rPr>
          <w:lang w:val="ru-RU"/>
        </w:rPr>
        <w:t>.</w:t>
      </w:r>
      <w:r w:rsidR="00745DC5" w:rsidRPr="00F878B1">
        <w:rPr>
          <w:lang w:val="ru-RU"/>
        </w:rPr>
        <w:tab/>
      </w:r>
      <w:r w:rsidR="007C5644" w:rsidRPr="00F878B1">
        <w:rPr>
          <w:i/>
          <w:lang w:val="ru-RU"/>
        </w:rPr>
        <w:t>просит</w:t>
      </w:r>
      <w:r w:rsidR="007C5644" w:rsidRPr="00F878B1">
        <w:rPr>
          <w:lang w:val="ru-RU"/>
        </w:rPr>
        <w:t xml:space="preserve"> Стороны и предлагает </w:t>
      </w:r>
      <w:r w:rsidR="00EC126C" w:rsidRPr="00F878B1">
        <w:rPr>
          <w:lang w:val="ru-RU"/>
        </w:rPr>
        <w:t>государствам</w:t>
      </w:r>
      <w:r w:rsidR="007C5644" w:rsidRPr="00F878B1">
        <w:rPr>
          <w:lang w:val="ru-RU"/>
        </w:rPr>
        <w:t xml:space="preserve">, не являющимся Сторонами Конвенции, и другим субъектам, располагающим такой возможностью, предоставить взносы в </w:t>
      </w:r>
      <w:r w:rsidR="00470D75" w:rsidRPr="00F878B1">
        <w:rPr>
          <w:lang w:val="ru-RU"/>
        </w:rPr>
        <w:t>С</w:t>
      </w:r>
      <w:r w:rsidR="00656717" w:rsidRPr="00F878B1">
        <w:rPr>
          <w:lang w:val="ru-RU"/>
        </w:rPr>
        <w:t xml:space="preserve">пециальный </w:t>
      </w:r>
      <w:r w:rsidR="007C5644" w:rsidRPr="00F878B1">
        <w:rPr>
          <w:lang w:val="ru-RU"/>
        </w:rPr>
        <w:t>целевой фонд, с тем чтобы содействовать участию представителей развивающихся стран, являющихся Сторонами Конвенции, в совещаниях Конференции Сторон и ее вспомогательных органов;</w:t>
      </w:r>
    </w:p>
    <w:p w14:paraId="616465A5" w14:textId="352D5457" w:rsidR="00BB1444" w:rsidRPr="00F878B1" w:rsidRDefault="0087618A" w:rsidP="00745DC5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i/>
          <w:lang w:val="ru-RU"/>
        </w:rPr>
      </w:pPr>
      <w:r w:rsidRPr="00F878B1">
        <w:rPr>
          <w:lang w:val="ru-RU"/>
        </w:rPr>
        <w:t>13.</w:t>
      </w:r>
      <w:r w:rsidRPr="00F878B1">
        <w:rPr>
          <w:lang w:val="ru-RU"/>
        </w:rPr>
        <w:tab/>
      </w:r>
      <w:r w:rsidR="00BB1444" w:rsidRPr="00F878B1">
        <w:rPr>
          <w:lang w:val="ru-RU"/>
        </w:rPr>
        <w:t>[</w:t>
      </w:r>
      <w:r w:rsidR="00BB1444" w:rsidRPr="00F878B1">
        <w:rPr>
          <w:i/>
          <w:lang w:val="ru-RU"/>
        </w:rPr>
        <w:t>предлагает</w:t>
      </w:r>
      <w:r w:rsidR="00BB1444" w:rsidRPr="00F878B1">
        <w:rPr>
          <w:lang w:val="ru-RU"/>
        </w:rPr>
        <w:t xml:space="preserve"> Швейцарии предусмотреть в рамках своего взноса в добровольный </w:t>
      </w:r>
      <w:r w:rsidR="00470D75" w:rsidRPr="00F878B1">
        <w:rPr>
          <w:lang w:val="ru-RU"/>
        </w:rPr>
        <w:t>С</w:t>
      </w:r>
      <w:r w:rsidR="00BB1444" w:rsidRPr="00F878B1">
        <w:rPr>
          <w:lang w:val="ru-RU"/>
        </w:rPr>
        <w:t xml:space="preserve">пециальный целевой фонд оказание поддержки, среди прочего, участию развивающихся стран, являющихся Сторонами Конвенции, в частности наименее развитых стран и малых островных развивающихся государств, а также </w:t>
      </w:r>
      <w:r w:rsidR="00EC126C" w:rsidRPr="00F878B1">
        <w:rPr>
          <w:lang w:val="ru-RU"/>
        </w:rPr>
        <w:t xml:space="preserve">Сторон </w:t>
      </w:r>
      <w:r w:rsidR="00BB1444" w:rsidRPr="00F878B1">
        <w:rPr>
          <w:lang w:val="ru-RU"/>
        </w:rPr>
        <w:t>с переходной экономикой, в совещаниях Конвенции и совместных мероприятиях Базельской, Роттердамской и Стокгольмской конвенций];</w:t>
      </w:r>
    </w:p>
    <w:p w14:paraId="70C2074F" w14:textId="2461A252" w:rsidR="00BB1444" w:rsidRPr="00F878B1" w:rsidRDefault="00BB1444" w:rsidP="0087618A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right="0" w:firstLine="0"/>
        <w:jc w:val="center"/>
        <w:rPr>
          <w:lang w:val="ru-RU"/>
        </w:rPr>
      </w:pPr>
      <w:r w:rsidRPr="00F878B1">
        <w:rPr>
          <w:lang w:val="ru-RU"/>
        </w:rPr>
        <w:t>III</w:t>
      </w:r>
    </w:p>
    <w:p w14:paraId="55C47021" w14:textId="3983FA2F" w:rsidR="00BB1444" w:rsidRPr="00F878B1" w:rsidRDefault="005D5AE3" w:rsidP="0087618A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right="0" w:firstLine="0"/>
        <w:jc w:val="center"/>
        <w:rPr>
          <w:lang w:val="ru-RU"/>
        </w:rPr>
      </w:pPr>
      <w:r w:rsidRPr="00F878B1">
        <w:rPr>
          <w:lang w:val="ru-RU"/>
        </w:rPr>
        <w:t>Текущий двухгодичный период и подготовка к следующему двухгодичному периоду</w:t>
      </w:r>
    </w:p>
    <w:p w14:paraId="792C5340" w14:textId="3A87525C" w:rsidR="003E2D1B" w:rsidRPr="00F878B1" w:rsidRDefault="00D04B29" w:rsidP="00D04B2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ru-RU"/>
        </w:rPr>
      </w:pPr>
      <w:r w:rsidRPr="00F878B1">
        <w:rPr>
          <w:lang w:val="ru-RU"/>
        </w:rPr>
        <w:t>14.</w:t>
      </w:r>
      <w:r w:rsidRPr="00F878B1">
        <w:rPr>
          <w:lang w:val="ru-RU"/>
        </w:rPr>
        <w:tab/>
      </w:r>
      <w:r w:rsidR="003E2D1B" w:rsidRPr="00F878B1">
        <w:rPr>
          <w:i/>
          <w:lang w:val="ru-RU"/>
        </w:rPr>
        <w:t>просит</w:t>
      </w:r>
      <w:r w:rsidR="003E2D1B" w:rsidRPr="00F878B1">
        <w:rPr>
          <w:lang w:val="ru-RU"/>
        </w:rPr>
        <w:t xml:space="preserve"> Исполнительного секретаря представить на втором совещании Конференции Сторон обновленную информацию</w:t>
      </w:r>
      <w:r w:rsidR="00B15C48" w:rsidRPr="00F878B1">
        <w:rPr>
          <w:lang w:val="ru-RU"/>
        </w:rPr>
        <w:t xml:space="preserve"> о [  ] </w:t>
      </w:r>
      <w:r w:rsidR="005A7D27" w:rsidRPr="00F878B1">
        <w:rPr>
          <w:lang w:val="ru-RU"/>
        </w:rPr>
        <w:t xml:space="preserve">и, где это уместно, </w:t>
      </w:r>
      <w:r w:rsidR="003E2D1B" w:rsidRPr="00F878B1">
        <w:rPr>
          <w:lang w:val="ru-RU"/>
        </w:rPr>
        <w:t>смет</w:t>
      </w:r>
      <w:r w:rsidR="005A7D27" w:rsidRPr="00F878B1">
        <w:rPr>
          <w:lang w:val="ru-RU"/>
        </w:rPr>
        <w:t>у</w:t>
      </w:r>
      <w:r w:rsidR="003E2D1B" w:rsidRPr="00F878B1">
        <w:rPr>
          <w:lang w:val="ru-RU"/>
        </w:rPr>
        <w:t xml:space="preserve"> расходов в отношении имеющих бюджетные последствия мероприятий, которые не были предусмотрены в первой программе работы, но включены в предлагаемые проекты решений, до принятия этих решений Конференцией Сторон, и</w:t>
      </w:r>
      <w:r w:rsidR="005900C5" w:rsidRPr="00F878B1">
        <w:rPr>
          <w:lang w:val="ru-RU"/>
        </w:rPr>
        <w:t>,</w:t>
      </w:r>
      <w:r w:rsidR="003E2D1B" w:rsidRPr="00F878B1">
        <w:rPr>
          <w:lang w:val="ru-RU"/>
        </w:rPr>
        <w:t xml:space="preserve"> таким образом</w:t>
      </w:r>
      <w:r w:rsidR="005900C5" w:rsidRPr="00F878B1">
        <w:rPr>
          <w:lang w:val="ru-RU"/>
        </w:rPr>
        <w:t>,</w:t>
      </w:r>
      <w:r w:rsidR="003E2D1B" w:rsidRPr="00F878B1">
        <w:rPr>
          <w:lang w:val="ru-RU"/>
        </w:rPr>
        <w:t xml:space="preserve"> имеющих бюджетные последствия в текущем двухгодичном периоде;</w:t>
      </w:r>
    </w:p>
    <w:p w14:paraId="4C28F2E9" w14:textId="3142D6D3" w:rsidR="003E2D1B" w:rsidRPr="00F878B1" w:rsidRDefault="00D04B29" w:rsidP="00D04B2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i/>
          <w:lang w:val="ru-RU"/>
        </w:rPr>
      </w:pPr>
      <w:r w:rsidRPr="00F878B1">
        <w:rPr>
          <w:lang w:val="ru-RU"/>
        </w:rPr>
        <w:t>15.</w:t>
      </w:r>
      <w:r w:rsidRPr="00F878B1">
        <w:rPr>
          <w:lang w:val="ru-RU"/>
        </w:rPr>
        <w:tab/>
      </w:r>
      <w:r w:rsidR="003E2D1B" w:rsidRPr="00F878B1">
        <w:rPr>
          <w:i/>
          <w:lang w:val="ru-RU"/>
        </w:rPr>
        <w:t>просит</w:t>
      </w:r>
      <w:r w:rsidR="003E2D1B" w:rsidRPr="00F878B1">
        <w:rPr>
          <w:lang w:val="ru-RU"/>
        </w:rPr>
        <w:t xml:space="preserve"> Исполнительного секретаря подготовить бюджет на двухгодичный период 2020</w:t>
      </w:r>
      <w:r w:rsidR="00641E42" w:rsidRPr="00F878B1">
        <w:rPr>
          <w:lang w:val="ru-RU"/>
        </w:rPr>
        <w:noBreakHyphen/>
      </w:r>
      <w:r w:rsidR="003E2D1B" w:rsidRPr="00F878B1">
        <w:rPr>
          <w:lang w:val="ru-RU"/>
        </w:rPr>
        <w:t xml:space="preserve">2021 годов для рассмотрения Конференцией Сторон на ее третьем совещании в 2019 году, разъяснив основные принципы, предположения и программную стратегию, лежащие в основе этого бюджета, и представив расходы на этот двухгодичный период в соответствии с программным форматом. </w:t>
      </w:r>
    </w:p>
    <w:p w14:paraId="1CA2DBD7" w14:textId="7954980E" w:rsidR="00D63972" w:rsidRPr="00F878B1" w:rsidRDefault="00D639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 w:val="28"/>
          <w:szCs w:val="22"/>
          <w:lang w:val="ru-RU"/>
        </w:rPr>
      </w:pPr>
      <w:r w:rsidRPr="00F878B1">
        <w:rPr>
          <w:lang w:val="ru-RU"/>
        </w:rPr>
        <w:br w:type="page"/>
      </w:r>
    </w:p>
    <w:p w14:paraId="3D5A50FD" w14:textId="646948EA" w:rsidR="00D63972" w:rsidRPr="00D04B29" w:rsidRDefault="00D04B29" w:rsidP="00D04B2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F878B1">
        <w:rPr>
          <w:b/>
          <w:sz w:val="28"/>
          <w:szCs w:val="28"/>
          <w:lang w:val="ru-RU"/>
        </w:rPr>
        <w:t xml:space="preserve">Приложение </w:t>
      </w:r>
      <w:r>
        <w:rPr>
          <w:b/>
          <w:sz w:val="28"/>
          <w:szCs w:val="28"/>
        </w:rPr>
        <w:t>II</w:t>
      </w:r>
    </w:p>
    <w:p w14:paraId="4587FD74" w14:textId="4EB38B6B" w:rsidR="00FF1C4E" w:rsidRPr="00F878B1" w:rsidRDefault="00FF1C4E" w:rsidP="00D04B2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  <w:lang w:val="ru-RU"/>
        </w:rPr>
      </w:pPr>
      <w:r w:rsidRPr="00F878B1">
        <w:rPr>
          <w:b/>
          <w:sz w:val="28"/>
          <w:szCs w:val="28"/>
          <w:lang w:val="ru-RU"/>
        </w:rPr>
        <w:t xml:space="preserve">Перечень предлагаемых </w:t>
      </w:r>
      <w:r w:rsidR="00EC126C" w:rsidRPr="00F878B1">
        <w:rPr>
          <w:b/>
          <w:sz w:val="28"/>
          <w:szCs w:val="28"/>
          <w:lang w:val="ru-RU"/>
        </w:rPr>
        <w:t>мероприятий</w:t>
      </w:r>
      <w:r w:rsidRPr="00F878B1">
        <w:rPr>
          <w:b/>
          <w:sz w:val="28"/>
          <w:szCs w:val="28"/>
          <w:lang w:val="ru-RU"/>
        </w:rPr>
        <w:t>, включенных в программу работы Минаматской конвенции о рт</w:t>
      </w:r>
      <w:r w:rsidR="00D04B29" w:rsidRPr="00F878B1">
        <w:rPr>
          <w:b/>
          <w:sz w:val="28"/>
          <w:szCs w:val="28"/>
          <w:lang w:val="ru-RU"/>
        </w:rPr>
        <w:t>ути на двухгодичный период 2018-</w:t>
      </w:r>
      <w:r w:rsidR="00411565" w:rsidRPr="00F878B1">
        <w:rPr>
          <w:b/>
          <w:sz w:val="28"/>
          <w:szCs w:val="28"/>
          <w:lang w:val="ru-RU"/>
        </w:rPr>
        <w:t>2019 годов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4"/>
        <w:gridCol w:w="7041"/>
      </w:tblGrid>
      <w:tr w:rsidR="00FF1C4E" w:rsidRPr="00F878B1" w14:paraId="16BD7E85" w14:textId="77777777" w:rsidTr="00120B38">
        <w:trPr>
          <w:trHeight w:val="522"/>
          <w:tblHeader/>
          <w:jc w:val="right"/>
        </w:trPr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</w:tcPr>
          <w:p w14:paraId="0D132EE0" w14:textId="0B2B50E2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lang w:val="ru-RU"/>
              </w:rPr>
            </w:pPr>
            <w:r w:rsidRPr="00F878B1">
              <w:rPr>
                <w:i/>
                <w:lang w:val="ru-RU"/>
              </w:rPr>
              <w:t xml:space="preserve">Номер </w:t>
            </w:r>
            <w:proofErr w:type="spellStart"/>
            <w:r w:rsidR="00EC126C" w:rsidRPr="00F878B1">
              <w:rPr>
                <w:i/>
                <w:lang w:val="ru-RU"/>
              </w:rPr>
              <w:t>меро</w:t>
            </w:r>
            <w:proofErr w:type="spellEnd"/>
            <w:r w:rsidR="00F878B1">
              <w:rPr>
                <w:i/>
                <w:lang w:val="ru-RU"/>
              </w:rPr>
              <w:t>-при</w:t>
            </w:r>
            <w:r w:rsidR="00EC126C" w:rsidRPr="00F878B1">
              <w:rPr>
                <w:i/>
                <w:lang w:val="ru-RU"/>
              </w:rPr>
              <w:t>ятия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12" w:space="0" w:color="auto"/>
            </w:tcBorders>
          </w:tcPr>
          <w:p w14:paraId="33F9F1C9" w14:textId="4FD891FD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lang w:val="ru-RU"/>
              </w:rPr>
            </w:pPr>
            <w:r w:rsidRPr="00F878B1">
              <w:rPr>
                <w:i/>
                <w:lang w:val="ru-RU"/>
              </w:rPr>
              <w:t xml:space="preserve">Раздел и описание </w:t>
            </w:r>
            <w:r w:rsidR="00EC126C" w:rsidRPr="00F878B1">
              <w:rPr>
                <w:i/>
                <w:lang w:val="ru-RU"/>
              </w:rPr>
              <w:t>мероприятия</w:t>
            </w:r>
          </w:p>
        </w:tc>
      </w:tr>
      <w:tr w:rsidR="00FF1C4E" w:rsidRPr="00F878B1" w14:paraId="3992051A" w14:textId="77777777" w:rsidTr="00120B38">
        <w:trPr>
          <w:jc w:val="right"/>
        </w:trPr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</w:tcPr>
          <w:p w14:paraId="7EAB6744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41" w:type="dxa"/>
            <w:tcBorders>
              <w:top w:val="single" w:sz="12" w:space="0" w:color="auto"/>
              <w:bottom w:val="single" w:sz="4" w:space="0" w:color="auto"/>
            </w:tcBorders>
          </w:tcPr>
          <w:p w14:paraId="10A58954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u w:val="single"/>
                <w:lang w:val="ru-RU"/>
              </w:rPr>
            </w:pPr>
            <w:r w:rsidRPr="00F878B1">
              <w:rPr>
                <w:b/>
                <w:lang w:val="ru-RU"/>
              </w:rPr>
              <w:t>1. Конференции и совещания</w:t>
            </w:r>
          </w:p>
        </w:tc>
      </w:tr>
      <w:tr w:rsidR="00FF1C4E" w:rsidRPr="00F878B1" w14:paraId="21BE9BCC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</w:tcBorders>
          </w:tcPr>
          <w:p w14:paraId="31DA8904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 xml:space="preserve">1 </w:t>
            </w:r>
          </w:p>
        </w:tc>
        <w:tc>
          <w:tcPr>
            <w:tcW w:w="7041" w:type="dxa"/>
            <w:tcBorders>
              <w:top w:val="single" w:sz="4" w:space="0" w:color="auto"/>
            </w:tcBorders>
          </w:tcPr>
          <w:p w14:paraId="27C73EBD" w14:textId="7D94B94B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Втор</w:t>
            </w:r>
            <w:r w:rsidR="00C6128D" w:rsidRPr="00F878B1">
              <w:rPr>
                <w:lang w:val="ru-RU"/>
              </w:rPr>
              <w:t>ое совещание Конференции Сторон</w:t>
            </w:r>
          </w:p>
        </w:tc>
      </w:tr>
      <w:tr w:rsidR="00FF1C4E" w:rsidRPr="00F878B1" w14:paraId="3287CAAA" w14:textId="77777777" w:rsidTr="00120B38">
        <w:trPr>
          <w:jc w:val="right"/>
        </w:trPr>
        <w:tc>
          <w:tcPr>
            <w:tcW w:w="1294" w:type="dxa"/>
          </w:tcPr>
          <w:p w14:paraId="286BB15C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2</w:t>
            </w:r>
          </w:p>
        </w:tc>
        <w:tc>
          <w:tcPr>
            <w:tcW w:w="7041" w:type="dxa"/>
          </w:tcPr>
          <w:p w14:paraId="467FDE81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Третье совещание Конференции Сторон</w:t>
            </w:r>
          </w:p>
        </w:tc>
      </w:tr>
      <w:tr w:rsidR="00FF1C4E" w:rsidRPr="00F878B1" w14:paraId="776B07F1" w14:textId="77777777" w:rsidTr="00120B38">
        <w:trPr>
          <w:jc w:val="right"/>
        </w:trPr>
        <w:tc>
          <w:tcPr>
            <w:tcW w:w="1294" w:type="dxa"/>
          </w:tcPr>
          <w:p w14:paraId="1E76A065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3</w:t>
            </w:r>
          </w:p>
        </w:tc>
        <w:tc>
          <w:tcPr>
            <w:tcW w:w="7041" w:type="dxa"/>
          </w:tcPr>
          <w:p w14:paraId="47F404DA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Бюро Конференции Сторон</w:t>
            </w:r>
          </w:p>
        </w:tc>
      </w:tr>
      <w:tr w:rsidR="00FF1C4E" w:rsidRPr="00F878B1" w14:paraId="7C9358FE" w14:textId="77777777" w:rsidTr="00120B38">
        <w:trPr>
          <w:jc w:val="right"/>
        </w:trPr>
        <w:tc>
          <w:tcPr>
            <w:tcW w:w="1294" w:type="dxa"/>
          </w:tcPr>
          <w:p w14:paraId="601CA634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4</w:t>
            </w:r>
          </w:p>
        </w:tc>
        <w:tc>
          <w:tcPr>
            <w:tcW w:w="7041" w:type="dxa"/>
          </w:tcPr>
          <w:p w14:paraId="46210A42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 xml:space="preserve">Комитет по осуществлению и соблюдению </w:t>
            </w:r>
          </w:p>
        </w:tc>
      </w:tr>
      <w:tr w:rsidR="00FF1C4E" w:rsidRPr="00F878B1" w14:paraId="010EC01B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3BCA125E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522F70FF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u w:val="single"/>
                <w:lang w:val="ru-RU"/>
              </w:rPr>
            </w:pPr>
            <w:r w:rsidRPr="00F878B1">
              <w:rPr>
                <w:b/>
                <w:lang w:val="ru-RU"/>
              </w:rPr>
              <w:t>2. Создание потенциала и оказание технической помощи</w:t>
            </w:r>
          </w:p>
        </w:tc>
      </w:tr>
      <w:tr w:rsidR="00FF1C4E" w:rsidRPr="00F878B1" w14:paraId="2DE6C879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</w:tcBorders>
          </w:tcPr>
          <w:p w14:paraId="2DEC7AA4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</w:tcBorders>
          </w:tcPr>
          <w:p w14:paraId="6429AD35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Программа Минаматской конвенции по созданию потенциала и оказанию технической помощи</w:t>
            </w:r>
          </w:p>
        </w:tc>
      </w:tr>
      <w:tr w:rsidR="00FF1C4E" w:rsidRPr="00F878B1" w14:paraId="04067F76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09A58FA5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2F845D92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u w:val="single"/>
                <w:lang w:val="ru-RU"/>
              </w:rPr>
            </w:pPr>
            <w:r w:rsidRPr="00F878B1">
              <w:rPr>
                <w:b/>
                <w:lang w:val="ru-RU"/>
              </w:rPr>
              <w:t>3. Научные и технические мероприятия</w:t>
            </w:r>
          </w:p>
        </w:tc>
      </w:tr>
      <w:tr w:rsidR="00FF1C4E" w:rsidRPr="00F878B1" w14:paraId="7D321B07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</w:tcBorders>
          </w:tcPr>
          <w:p w14:paraId="0854880B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</w:tcBorders>
          </w:tcPr>
          <w:p w14:paraId="2DF3CDFC" w14:textId="6D203853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 xml:space="preserve">Оказание научной поддержки </w:t>
            </w:r>
            <w:r w:rsidR="00522474" w:rsidRPr="00F878B1">
              <w:rPr>
                <w:lang w:val="ru-RU"/>
              </w:rPr>
              <w:t xml:space="preserve">Сторонам </w:t>
            </w:r>
            <w:r w:rsidRPr="00F878B1">
              <w:rPr>
                <w:lang w:val="ru-RU"/>
              </w:rPr>
              <w:t>Минаматской конвенции</w:t>
            </w:r>
          </w:p>
        </w:tc>
      </w:tr>
      <w:tr w:rsidR="00FF1C4E" w:rsidRPr="00F878B1" w14:paraId="4DB9701B" w14:textId="77777777" w:rsidTr="00120B38">
        <w:trPr>
          <w:jc w:val="right"/>
        </w:trPr>
        <w:tc>
          <w:tcPr>
            <w:tcW w:w="1294" w:type="dxa"/>
          </w:tcPr>
          <w:p w14:paraId="0643DD9F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7</w:t>
            </w:r>
          </w:p>
        </w:tc>
        <w:tc>
          <w:tcPr>
            <w:tcW w:w="7041" w:type="dxa"/>
          </w:tcPr>
          <w:p w14:paraId="7499DCD3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Оценка эффективности и план глобального мониторинга</w:t>
            </w:r>
          </w:p>
        </w:tc>
      </w:tr>
      <w:tr w:rsidR="00FF1C4E" w:rsidRPr="00F878B1" w14:paraId="48EA0545" w14:textId="77777777" w:rsidTr="00120B38">
        <w:trPr>
          <w:jc w:val="right"/>
        </w:trPr>
        <w:tc>
          <w:tcPr>
            <w:tcW w:w="1294" w:type="dxa"/>
            <w:tcBorders>
              <w:bottom w:val="single" w:sz="4" w:space="0" w:color="auto"/>
            </w:tcBorders>
          </w:tcPr>
          <w:p w14:paraId="5E0E938C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8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703F5698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Представление национальной отчетности в соответствии с Минаматской конвенцией</w:t>
            </w:r>
          </w:p>
        </w:tc>
      </w:tr>
      <w:tr w:rsidR="00FF1C4E" w:rsidRPr="00F878B1" w14:paraId="06AD8033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54D9123D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269D96C3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u w:val="single"/>
                <w:lang w:val="ru-RU"/>
              </w:rPr>
            </w:pPr>
            <w:r w:rsidRPr="00F878B1">
              <w:rPr>
                <w:b/>
                <w:lang w:val="ru-RU"/>
              </w:rPr>
              <w:t>4. Управление знаниями и информацией и пропагандистская деятельность</w:t>
            </w:r>
          </w:p>
        </w:tc>
      </w:tr>
      <w:tr w:rsidR="00FF1C4E" w:rsidRPr="00F878B1" w14:paraId="226E1264" w14:textId="77777777" w:rsidTr="00120B38">
        <w:trPr>
          <w:jc w:val="right"/>
        </w:trPr>
        <w:tc>
          <w:tcPr>
            <w:tcW w:w="1294" w:type="dxa"/>
          </w:tcPr>
          <w:p w14:paraId="491BD156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9</w:t>
            </w:r>
          </w:p>
        </w:tc>
        <w:tc>
          <w:tcPr>
            <w:tcW w:w="7041" w:type="dxa"/>
          </w:tcPr>
          <w:p w14:paraId="4B3A9B8B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Публикации</w:t>
            </w:r>
          </w:p>
        </w:tc>
      </w:tr>
      <w:tr w:rsidR="00FF1C4E" w:rsidRPr="00F878B1" w14:paraId="64E46768" w14:textId="77777777" w:rsidTr="00120B38">
        <w:trPr>
          <w:jc w:val="right"/>
        </w:trPr>
        <w:tc>
          <w:tcPr>
            <w:tcW w:w="1294" w:type="dxa"/>
            <w:tcBorders>
              <w:bottom w:val="single" w:sz="4" w:space="0" w:color="auto"/>
            </w:tcBorders>
          </w:tcPr>
          <w:p w14:paraId="73C45992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10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4EAD2EAC" w14:textId="63C0DFE9" w:rsidR="00FF1C4E" w:rsidRPr="00F878B1" w:rsidRDefault="00C6128D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Коммуникационная, и</w:t>
            </w:r>
            <w:r w:rsidR="00FF1C4E" w:rsidRPr="00F878B1">
              <w:rPr>
                <w:lang w:val="ru-RU"/>
              </w:rPr>
              <w:t>нформационно-пропагандистская и общественно-просветительская деятельность</w:t>
            </w:r>
          </w:p>
        </w:tc>
      </w:tr>
      <w:tr w:rsidR="00FF1C4E" w:rsidRPr="00F878B1" w14:paraId="2C743174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295FE257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5E7AEA1D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u w:val="single"/>
                <w:lang w:val="ru-RU"/>
              </w:rPr>
            </w:pPr>
            <w:r w:rsidRPr="00F878B1">
              <w:rPr>
                <w:b/>
                <w:lang w:val="ru-RU"/>
              </w:rPr>
              <w:t>5. Общее управление</w:t>
            </w:r>
          </w:p>
        </w:tc>
      </w:tr>
      <w:tr w:rsidR="00FF1C4E" w:rsidRPr="00F878B1" w14:paraId="27DD0992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</w:tcBorders>
          </w:tcPr>
          <w:p w14:paraId="0099FD98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11</w:t>
            </w:r>
          </w:p>
        </w:tc>
        <w:tc>
          <w:tcPr>
            <w:tcW w:w="7041" w:type="dxa"/>
            <w:tcBorders>
              <w:top w:val="single" w:sz="4" w:space="0" w:color="auto"/>
            </w:tcBorders>
          </w:tcPr>
          <w:p w14:paraId="2EA26A84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Исполнительное руководство и управление</w:t>
            </w:r>
          </w:p>
        </w:tc>
      </w:tr>
      <w:tr w:rsidR="00FF1C4E" w:rsidRPr="00F878B1" w14:paraId="02A95DDB" w14:textId="77777777" w:rsidTr="00120B38">
        <w:trPr>
          <w:jc w:val="right"/>
        </w:trPr>
        <w:tc>
          <w:tcPr>
            <w:tcW w:w="1294" w:type="dxa"/>
          </w:tcPr>
          <w:p w14:paraId="65C4ED2E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12</w:t>
            </w:r>
          </w:p>
        </w:tc>
        <w:tc>
          <w:tcPr>
            <w:tcW w:w="7041" w:type="dxa"/>
          </w:tcPr>
          <w:p w14:paraId="4ECBFCAD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Международное сотрудничество и координация</w:t>
            </w:r>
          </w:p>
        </w:tc>
      </w:tr>
      <w:tr w:rsidR="00FF1C4E" w:rsidRPr="00F878B1" w14:paraId="7E901E40" w14:textId="77777777" w:rsidTr="00120B38">
        <w:trPr>
          <w:jc w:val="right"/>
        </w:trPr>
        <w:tc>
          <w:tcPr>
            <w:tcW w:w="1294" w:type="dxa"/>
            <w:tcBorders>
              <w:bottom w:val="single" w:sz="4" w:space="0" w:color="auto"/>
            </w:tcBorders>
          </w:tcPr>
          <w:p w14:paraId="36824857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13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3F1E0AC6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Финансовые ресурсы и механизм финансирования</w:t>
            </w:r>
          </w:p>
        </w:tc>
      </w:tr>
      <w:tr w:rsidR="00FF1C4E" w:rsidRPr="00F878B1" w14:paraId="4E9600A4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79E572A9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726CAF82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u w:val="single"/>
                <w:lang w:val="ru-RU"/>
              </w:rPr>
            </w:pPr>
            <w:r w:rsidRPr="00F878B1">
              <w:rPr>
                <w:b/>
                <w:lang w:val="ru-RU"/>
              </w:rPr>
              <w:t xml:space="preserve">6. Мероприятия в области права и политики </w:t>
            </w:r>
          </w:p>
        </w:tc>
      </w:tr>
      <w:tr w:rsidR="00FF1C4E" w:rsidRPr="00F878B1" w14:paraId="3678387B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</w:tcBorders>
          </w:tcPr>
          <w:p w14:paraId="6BA37B80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14</w:t>
            </w:r>
          </w:p>
        </w:tc>
        <w:tc>
          <w:tcPr>
            <w:tcW w:w="7041" w:type="dxa"/>
            <w:tcBorders>
              <w:top w:val="single" w:sz="4" w:space="0" w:color="auto"/>
            </w:tcBorders>
          </w:tcPr>
          <w:p w14:paraId="79C5DB3A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Мероприятия в области права и политики</w:t>
            </w:r>
          </w:p>
        </w:tc>
      </w:tr>
      <w:tr w:rsidR="00FF1C4E" w:rsidRPr="00F878B1" w14:paraId="31B501C5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3D1B9CA0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67548D13" w14:textId="1178BEF6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u w:val="single"/>
                <w:lang w:val="ru-RU"/>
              </w:rPr>
            </w:pPr>
            <w:r w:rsidRPr="00F878B1">
              <w:rPr>
                <w:b/>
                <w:lang w:val="ru-RU"/>
              </w:rPr>
              <w:t xml:space="preserve">7. </w:t>
            </w:r>
            <w:r w:rsidR="00522474" w:rsidRPr="00F878B1">
              <w:rPr>
                <w:b/>
                <w:lang w:val="ru-RU"/>
              </w:rPr>
              <w:t>Эксплуатация</w:t>
            </w:r>
            <w:r w:rsidRPr="00F878B1">
              <w:rPr>
                <w:b/>
                <w:lang w:val="ru-RU"/>
              </w:rPr>
              <w:t xml:space="preserve"> служебных помещений и услуги</w:t>
            </w:r>
          </w:p>
        </w:tc>
      </w:tr>
      <w:tr w:rsidR="00FF1C4E" w:rsidRPr="00F878B1" w14:paraId="262061ED" w14:textId="77777777" w:rsidTr="00120B38">
        <w:trPr>
          <w:jc w:val="right"/>
        </w:trPr>
        <w:tc>
          <w:tcPr>
            <w:tcW w:w="1294" w:type="dxa"/>
            <w:tcBorders>
              <w:top w:val="single" w:sz="4" w:space="0" w:color="auto"/>
            </w:tcBorders>
          </w:tcPr>
          <w:p w14:paraId="0811C3AD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15</w:t>
            </w:r>
          </w:p>
        </w:tc>
        <w:tc>
          <w:tcPr>
            <w:tcW w:w="7041" w:type="dxa"/>
            <w:tcBorders>
              <w:top w:val="single" w:sz="4" w:space="0" w:color="auto"/>
            </w:tcBorders>
          </w:tcPr>
          <w:p w14:paraId="2C8C86E9" w14:textId="6273DB16" w:rsidR="00FF1C4E" w:rsidRPr="00F878B1" w:rsidRDefault="00522474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Эксплуатация</w:t>
            </w:r>
            <w:r w:rsidR="00FF1C4E" w:rsidRPr="00F878B1">
              <w:rPr>
                <w:lang w:val="ru-RU"/>
              </w:rPr>
              <w:t xml:space="preserve"> служебных помещений и услуги </w:t>
            </w:r>
          </w:p>
        </w:tc>
      </w:tr>
      <w:tr w:rsidR="00FF1C4E" w:rsidRPr="00F878B1" w14:paraId="41931B36" w14:textId="77777777" w:rsidTr="00120B38">
        <w:trPr>
          <w:jc w:val="right"/>
        </w:trPr>
        <w:tc>
          <w:tcPr>
            <w:tcW w:w="1294" w:type="dxa"/>
            <w:tcBorders>
              <w:bottom w:val="single" w:sz="12" w:space="0" w:color="auto"/>
            </w:tcBorders>
          </w:tcPr>
          <w:p w14:paraId="43598D4D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lang w:val="ru-RU"/>
              </w:rPr>
            </w:pPr>
            <w:r w:rsidRPr="00F878B1">
              <w:rPr>
                <w:lang w:val="ru-RU"/>
              </w:rPr>
              <w:t>16</w:t>
            </w:r>
          </w:p>
        </w:tc>
        <w:tc>
          <w:tcPr>
            <w:tcW w:w="7041" w:type="dxa"/>
            <w:tcBorders>
              <w:bottom w:val="single" w:sz="12" w:space="0" w:color="auto"/>
            </w:tcBorders>
          </w:tcPr>
          <w:p w14:paraId="5D8E9265" w14:textId="77777777" w:rsidR="00FF1C4E" w:rsidRPr="00F878B1" w:rsidRDefault="00FF1C4E" w:rsidP="003F31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F878B1">
              <w:rPr>
                <w:lang w:val="ru-RU"/>
              </w:rPr>
              <w:t>Услуги в области информационных технологий</w:t>
            </w:r>
          </w:p>
        </w:tc>
      </w:tr>
    </w:tbl>
    <w:p w14:paraId="43CA7C20" w14:textId="231FC306" w:rsidR="00040F66" w:rsidRPr="00F878B1" w:rsidRDefault="003F313C" w:rsidP="00411565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360"/>
        <w:jc w:val="center"/>
        <w:rPr>
          <w:rFonts w:eastAsia="Calibri"/>
          <w:lang w:val="ru-RU"/>
        </w:rPr>
      </w:pPr>
      <w:r w:rsidRPr="00F878B1">
        <w:rPr>
          <w:rFonts w:eastAsia="Calibri"/>
          <w:lang w:val="ru-RU"/>
        </w:rPr>
        <w:t>___</w:t>
      </w:r>
      <w:r w:rsidR="00641E42" w:rsidRPr="00F878B1">
        <w:rPr>
          <w:rFonts w:eastAsia="Calibri"/>
          <w:lang w:val="ru-RU"/>
        </w:rPr>
        <w:t>________________</w:t>
      </w:r>
    </w:p>
    <w:sectPr w:rsidR="00040F66" w:rsidRPr="00F878B1" w:rsidSect="00EB0D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69EDA" w14:textId="77777777" w:rsidR="00282183" w:rsidRDefault="00282183">
      <w:r>
        <w:separator/>
      </w:r>
    </w:p>
  </w:endnote>
  <w:endnote w:type="continuationSeparator" w:id="0">
    <w:p w14:paraId="2E71CA25" w14:textId="77777777" w:rsidR="00282183" w:rsidRDefault="002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FA2F1" w14:textId="3E7A9BED" w:rsidR="00282183" w:rsidRDefault="0028218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EC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944" w14:textId="02A16552" w:rsidR="00282183" w:rsidRDefault="00282183" w:rsidP="0079584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EC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4040" w14:textId="5B01ED08" w:rsidR="00282183" w:rsidRPr="00C670FC" w:rsidRDefault="00282183" w:rsidP="00C670FC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>
      <w:rPr>
        <w:sz w:val="20"/>
        <w:lang w:val="ru-RU"/>
      </w:rPr>
      <w:t>K17071</w:t>
    </w:r>
    <w:r>
      <w:rPr>
        <w:sz w:val="20"/>
        <w:lang w:val="en-US"/>
      </w:rPr>
      <w:t xml:space="preserve">20      </w:t>
    </w:r>
    <w:r w:rsidR="001245B6">
      <w:rPr>
        <w:sz w:val="20"/>
        <w:lang w:val="en-US"/>
      </w:rPr>
      <w:t>11</w:t>
    </w:r>
    <w:r>
      <w:rPr>
        <w:sz w:val="20"/>
        <w:lang w:val="en-US"/>
      </w:rPr>
      <w:t>0</w:t>
    </w:r>
    <w:r w:rsidR="00372C8F">
      <w:rPr>
        <w:sz w:val="20"/>
        <w:lang w:val="en-US"/>
      </w:rPr>
      <w:t>9</w:t>
    </w:r>
    <w:r w:rsidRPr="00C670FC">
      <w:rPr>
        <w:sz w:val="20"/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095F8" w14:textId="77777777" w:rsidR="00282183" w:rsidRPr="00636DD8" w:rsidRDefault="00282183" w:rsidP="00636DD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636DD8">
        <w:rPr>
          <w:sz w:val="18"/>
          <w:szCs w:val="18"/>
        </w:rPr>
        <w:separator/>
      </w:r>
    </w:p>
  </w:footnote>
  <w:footnote w:type="continuationSeparator" w:id="0">
    <w:p w14:paraId="79F914D0" w14:textId="77777777" w:rsidR="00282183" w:rsidRDefault="00282183">
      <w:r>
        <w:continuationSeparator/>
      </w:r>
    </w:p>
  </w:footnote>
  <w:footnote w:id="1">
    <w:p w14:paraId="180AD71F" w14:textId="77777777" w:rsidR="00282183" w:rsidRPr="001176CB" w:rsidRDefault="00282183" w:rsidP="00F04D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</w:t>
      </w:r>
      <w:r w:rsidRPr="00F04D99">
        <w:rPr>
          <w:sz w:val="18"/>
          <w:szCs w:val="18"/>
          <w:lang w:val="ru-RU"/>
        </w:rPr>
        <w:tab/>
      </w:r>
      <w:r>
        <w:rPr>
          <w:sz w:val="18"/>
          <w:szCs w:val="18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D1AC" w14:textId="1ED1913F" w:rsidR="00282183" w:rsidRPr="005642B6" w:rsidRDefault="00282183" w:rsidP="00795849">
    <w:pPr>
      <w:pStyle w:val="Header"/>
      <w:tabs>
        <w:tab w:val="clear" w:pos="1247"/>
        <w:tab w:val="clear" w:pos="4536"/>
        <w:tab w:val="clear" w:pos="9072"/>
      </w:tabs>
    </w:pPr>
    <w:r w:rsidRPr="005642B6">
      <w:rPr>
        <w:lang w:val="en-US"/>
      </w:rPr>
      <w:t>UNEP/MC/COP.1/21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728C" w14:textId="68BDE61E" w:rsidR="00282183" w:rsidRPr="0065130E" w:rsidRDefault="00282183" w:rsidP="00795849">
    <w:pPr>
      <w:pStyle w:val="Header"/>
      <w:tabs>
        <w:tab w:val="clear" w:pos="1247"/>
        <w:tab w:val="clear" w:pos="4536"/>
        <w:tab w:val="clear" w:pos="9072"/>
      </w:tabs>
      <w:jc w:val="right"/>
    </w:pPr>
    <w:r w:rsidRPr="0065130E">
      <w:rPr>
        <w:lang w:val="en-US"/>
      </w:rPr>
      <w:t>UNEP/MC/COP.1/21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231C" w14:textId="095BB8EA" w:rsidR="00282183" w:rsidRDefault="00282183" w:rsidP="00AE43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EB7"/>
    <w:multiLevelType w:val="singleLevel"/>
    <w:tmpl w:val="6A30529A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7C5756C"/>
    <w:multiLevelType w:val="hybridMultilevel"/>
    <w:tmpl w:val="8716BDF2"/>
    <w:lvl w:ilvl="0" w:tplc="DD28C7D8">
      <w:start w:val="34"/>
      <w:numFmt w:val="decimal"/>
      <w:pStyle w:val="Level1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54243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E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4C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A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0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8005F"/>
    <w:multiLevelType w:val="hybridMultilevel"/>
    <w:tmpl w:val="90FEFC3A"/>
    <w:lvl w:ilvl="0" w:tplc="C8D66788">
      <w:start w:val="1"/>
      <w:numFmt w:val="decimal"/>
      <w:pStyle w:val="Normalnumber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FF982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CE28C5"/>
    <w:multiLevelType w:val="hybridMultilevel"/>
    <w:tmpl w:val="8028F1D6"/>
    <w:lvl w:ilvl="0" w:tplc="FF98245C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i w:val="0"/>
      </w:rPr>
    </w:lvl>
    <w:lvl w:ilvl="1" w:tplc="FF982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532D1D36"/>
    <w:multiLevelType w:val="hybridMultilevel"/>
    <w:tmpl w:val="CF4E582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9824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  <w:lvlOverride w:ilvl="0">
      <w:lvl w:ilvl="0" w:tplc="294A7B7C">
        <w:start w:val="1"/>
        <w:numFmt w:val="decimal"/>
        <w:lvlText w:val="%1."/>
        <w:lvlJc w:val="left"/>
        <w:pPr>
          <w:ind w:left="1636" w:hanging="360"/>
        </w:pPr>
        <w:rPr>
          <w:rFonts w:hint="default"/>
          <w:b w:val="0"/>
          <w:i w:val="0"/>
        </w:rPr>
      </w:lvl>
    </w:lvlOverride>
  </w:num>
  <w:num w:numId="7">
    <w:abstractNumId w:val="3"/>
    <w:lvlOverride w:ilvl="0">
      <w:lvl w:ilvl="0" w:tplc="C8D66788">
        <w:start w:val="1"/>
        <w:numFmt w:val="decimal"/>
        <w:pStyle w:val="Normalnumber"/>
        <w:lvlText w:val="%1."/>
        <w:lvlJc w:val="left"/>
        <w:pPr>
          <w:ind w:left="1530" w:hanging="360"/>
        </w:pPr>
        <w:rPr>
          <w:rFonts w:hint="default"/>
          <w:b w:val="0"/>
          <w:i w:val="0"/>
        </w:rPr>
      </w:lvl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 w:numId="51">
    <w:abstractNumId w:val="3"/>
  </w:num>
  <w:num w:numId="52">
    <w:abstractNumId w:val="3"/>
  </w:num>
  <w:num w:numId="53">
    <w:abstractNumId w:val="3"/>
  </w:num>
  <w:num w:numId="54">
    <w:abstractNumId w:val="3"/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  <w:num w:numId="59">
    <w:abstractNumId w:val="3"/>
  </w:num>
  <w:num w:numId="60">
    <w:abstractNumId w:val="3"/>
  </w:num>
  <w:num w:numId="61">
    <w:abstractNumId w:val="3"/>
  </w:num>
  <w:num w:numId="62">
    <w:abstractNumId w:val="3"/>
  </w:num>
  <w:num w:numId="63">
    <w:abstractNumId w:val="3"/>
  </w:num>
  <w:num w:numId="64">
    <w:abstractNumId w:val="3"/>
  </w:num>
  <w:num w:numId="65">
    <w:abstractNumId w:val="3"/>
  </w:num>
  <w:num w:numId="66">
    <w:abstractNumId w:val="3"/>
  </w:num>
  <w:num w:numId="67">
    <w:abstractNumId w:val="7"/>
  </w:num>
  <w:num w:numId="68">
    <w:abstractNumId w:val="3"/>
  </w:num>
  <w:num w:numId="69">
    <w:abstractNumId w:val="3"/>
  </w:num>
  <w:num w:numId="70">
    <w:abstractNumId w:val="3"/>
  </w:num>
  <w:num w:numId="71">
    <w:abstractNumId w:val="3"/>
  </w:num>
  <w:num w:numId="72">
    <w:abstractNumId w:val="3"/>
  </w:num>
  <w:num w:numId="73">
    <w:abstractNumId w:val="3"/>
  </w:num>
  <w:num w:numId="74">
    <w:abstractNumId w:val="3"/>
  </w:num>
  <w:num w:numId="75">
    <w:abstractNumId w:val="3"/>
  </w:num>
  <w:num w:numId="76">
    <w:abstractNumId w:val="3"/>
  </w:num>
  <w:num w:numId="77">
    <w:abstractNumId w:val="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8"/>
    <w:rsid w:val="00002490"/>
    <w:rsid w:val="00004393"/>
    <w:rsid w:val="00004744"/>
    <w:rsid w:val="00005808"/>
    <w:rsid w:val="00006B07"/>
    <w:rsid w:val="00007DE9"/>
    <w:rsid w:val="0001018F"/>
    <w:rsid w:val="00010465"/>
    <w:rsid w:val="000113F1"/>
    <w:rsid w:val="0001274D"/>
    <w:rsid w:val="00013A3A"/>
    <w:rsid w:val="0001425E"/>
    <w:rsid w:val="000149E6"/>
    <w:rsid w:val="00016078"/>
    <w:rsid w:val="0001790A"/>
    <w:rsid w:val="00020A06"/>
    <w:rsid w:val="00022D32"/>
    <w:rsid w:val="00023440"/>
    <w:rsid w:val="000244D0"/>
    <w:rsid w:val="000247B0"/>
    <w:rsid w:val="00024938"/>
    <w:rsid w:val="00024BCC"/>
    <w:rsid w:val="0002540B"/>
    <w:rsid w:val="000268EC"/>
    <w:rsid w:val="00026997"/>
    <w:rsid w:val="00026A9B"/>
    <w:rsid w:val="00027A20"/>
    <w:rsid w:val="00027A65"/>
    <w:rsid w:val="00030C1A"/>
    <w:rsid w:val="00031A11"/>
    <w:rsid w:val="00031A96"/>
    <w:rsid w:val="00032A06"/>
    <w:rsid w:val="000335F1"/>
    <w:rsid w:val="00033A66"/>
    <w:rsid w:val="00033E0B"/>
    <w:rsid w:val="000347EA"/>
    <w:rsid w:val="00035EDE"/>
    <w:rsid w:val="00037F2D"/>
    <w:rsid w:val="0004005F"/>
    <w:rsid w:val="00040F66"/>
    <w:rsid w:val="00041C0C"/>
    <w:rsid w:val="0004308E"/>
    <w:rsid w:val="00045A1D"/>
    <w:rsid w:val="00046030"/>
    <w:rsid w:val="0004653A"/>
    <w:rsid w:val="00046ED2"/>
    <w:rsid w:val="000472C9"/>
    <w:rsid w:val="00050462"/>
    <w:rsid w:val="0005054B"/>
    <w:rsid w:val="000509B4"/>
    <w:rsid w:val="00050CEB"/>
    <w:rsid w:val="000550A3"/>
    <w:rsid w:val="00057E6E"/>
    <w:rsid w:val="0006035B"/>
    <w:rsid w:val="00060625"/>
    <w:rsid w:val="00061B9C"/>
    <w:rsid w:val="00062993"/>
    <w:rsid w:val="000642E9"/>
    <w:rsid w:val="00064641"/>
    <w:rsid w:val="0006470F"/>
    <w:rsid w:val="00065928"/>
    <w:rsid w:val="00065E8D"/>
    <w:rsid w:val="0006674D"/>
    <w:rsid w:val="0006722E"/>
    <w:rsid w:val="00070486"/>
    <w:rsid w:val="00071705"/>
    <w:rsid w:val="00071886"/>
    <w:rsid w:val="00072269"/>
    <w:rsid w:val="00072BF1"/>
    <w:rsid w:val="00072D5C"/>
    <w:rsid w:val="000742BC"/>
    <w:rsid w:val="00074569"/>
    <w:rsid w:val="00074772"/>
    <w:rsid w:val="0007771A"/>
    <w:rsid w:val="00080027"/>
    <w:rsid w:val="000810AE"/>
    <w:rsid w:val="00081A19"/>
    <w:rsid w:val="00081CA8"/>
    <w:rsid w:val="000822E1"/>
    <w:rsid w:val="00082A0C"/>
    <w:rsid w:val="00083504"/>
    <w:rsid w:val="00083D93"/>
    <w:rsid w:val="000866B9"/>
    <w:rsid w:val="000867B1"/>
    <w:rsid w:val="00086F84"/>
    <w:rsid w:val="0008780C"/>
    <w:rsid w:val="000904A7"/>
    <w:rsid w:val="00092DFD"/>
    <w:rsid w:val="000943B9"/>
    <w:rsid w:val="00094EB6"/>
    <w:rsid w:val="0009539A"/>
    <w:rsid w:val="000962BA"/>
    <w:rsid w:val="000962D9"/>
    <w:rsid w:val="0009640C"/>
    <w:rsid w:val="00096574"/>
    <w:rsid w:val="00096BBD"/>
    <w:rsid w:val="000A18EA"/>
    <w:rsid w:val="000A4D3B"/>
    <w:rsid w:val="000A6BE1"/>
    <w:rsid w:val="000A7CE7"/>
    <w:rsid w:val="000B08F0"/>
    <w:rsid w:val="000B0BC0"/>
    <w:rsid w:val="000B0DAC"/>
    <w:rsid w:val="000B22A2"/>
    <w:rsid w:val="000B354F"/>
    <w:rsid w:val="000B36CD"/>
    <w:rsid w:val="000B475F"/>
    <w:rsid w:val="000B4B86"/>
    <w:rsid w:val="000B5CC0"/>
    <w:rsid w:val="000B6CE1"/>
    <w:rsid w:val="000C1DAC"/>
    <w:rsid w:val="000C28C3"/>
    <w:rsid w:val="000C2A52"/>
    <w:rsid w:val="000C2F85"/>
    <w:rsid w:val="000C3FC9"/>
    <w:rsid w:val="000C5A20"/>
    <w:rsid w:val="000C790F"/>
    <w:rsid w:val="000C7B0C"/>
    <w:rsid w:val="000D1381"/>
    <w:rsid w:val="000D21AB"/>
    <w:rsid w:val="000D2FC2"/>
    <w:rsid w:val="000D33C0"/>
    <w:rsid w:val="000D355B"/>
    <w:rsid w:val="000D4F3B"/>
    <w:rsid w:val="000D5438"/>
    <w:rsid w:val="000D5A08"/>
    <w:rsid w:val="000D6941"/>
    <w:rsid w:val="000D7B5D"/>
    <w:rsid w:val="000D7BEE"/>
    <w:rsid w:val="000D7C58"/>
    <w:rsid w:val="000E05D3"/>
    <w:rsid w:val="000E301B"/>
    <w:rsid w:val="000E3AB0"/>
    <w:rsid w:val="000E45DE"/>
    <w:rsid w:val="000E5516"/>
    <w:rsid w:val="000E55D9"/>
    <w:rsid w:val="000E62F0"/>
    <w:rsid w:val="000F1744"/>
    <w:rsid w:val="000F3C6F"/>
    <w:rsid w:val="000F4888"/>
    <w:rsid w:val="000F68CE"/>
    <w:rsid w:val="00101791"/>
    <w:rsid w:val="001017D8"/>
    <w:rsid w:val="00101884"/>
    <w:rsid w:val="001021E3"/>
    <w:rsid w:val="00102297"/>
    <w:rsid w:val="00103700"/>
    <w:rsid w:val="00103FA6"/>
    <w:rsid w:val="00104B1C"/>
    <w:rsid w:val="00106A80"/>
    <w:rsid w:val="00107835"/>
    <w:rsid w:val="001106D7"/>
    <w:rsid w:val="001117B9"/>
    <w:rsid w:val="00112029"/>
    <w:rsid w:val="00112C5D"/>
    <w:rsid w:val="0011334F"/>
    <w:rsid w:val="001134DA"/>
    <w:rsid w:val="00115B14"/>
    <w:rsid w:val="0011610A"/>
    <w:rsid w:val="0011674B"/>
    <w:rsid w:val="001170F8"/>
    <w:rsid w:val="00117DAC"/>
    <w:rsid w:val="001202E3"/>
    <w:rsid w:val="00120B38"/>
    <w:rsid w:val="00120EAE"/>
    <w:rsid w:val="001226EB"/>
    <w:rsid w:val="00123699"/>
    <w:rsid w:val="00123CBB"/>
    <w:rsid w:val="001245B6"/>
    <w:rsid w:val="00124F81"/>
    <w:rsid w:val="001258EC"/>
    <w:rsid w:val="00127A99"/>
    <w:rsid w:val="0013059D"/>
    <w:rsid w:val="001332A0"/>
    <w:rsid w:val="001341D4"/>
    <w:rsid w:val="001346F4"/>
    <w:rsid w:val="00134E8E"/>
    <w:rsid w:val="00135676"/>
    <w:rsid w:val="0013622A"/>
    <w:rsid w:val="00136795"/>
    <w:rsid w:val="00141A55"/>
    <w:rsid w:val="00143F7A"/>
    <w:rsid w:val="001446A3"/>
    <w:rsid w:val="00144B2F"/>
    <w:rsid w:val="00147B66"/>
    <w:rsid w:val="00150A3D"/>
    <w:rsid w:val="00151EC9"/>
    <w:rsid w:val="00154EB2"/>
    <w:rsid w:val="00155395"/>
    <w:rsid w:val="00155B13"/>
    <w:rsid w:val="00156829"/>
    <w:rsid w:val="00157143"/>
    <w:rsid w:val="00160D74"/>
    <w:rsid w:val="00162EAC"/>
    <w:rsid w:val="00167D02"/>
    <w:rsid w:val="001701C1"/>
    <w:rsid w:val="00171073"/>
    <w:rsid w:val="00171E78"/>
    <w:rsid w:val="00181EC8"/>
    <w:rsid w:val="00182E89"/>
    <w:rsid w:val="00184349"/>
    <w:rsid w:val="0018564F"/>
    <w:rsid w:val="00190B61"/>
    <w:rsid w:val="0019304F"/>
    <w:rsid w:val="0019380A"/>
    <w:rsid w:val="00195F33"/>
    <w:rsid w:val="001A0AE1"/>
    <w:rsid w:val="001A1F8B"/>
    <w:rsid w:val="001A4664"/>
    <w:rsid w:val="001A7224"/>
    <w:rsid w:val="001A7557"/>
    <w:rsid w:val="001A7E34"/>
    <w:rsid w:val="001B126A"/>
    <w:rsid w:val="001B1617"/>
    <w:rsid w:val="001B17C4"/>
    <w:rsid w:val="001B2250"/>
    <w:rsid w:val="001B37D9"/>
    <w:rsid w:val="001B504B"/>
    <w:rsid w:val="001B7854"/>
    <w:rsid w:val="001C0754"/>
    <w:rsid w:val="001C3FB0"/>
    <w:rsid w:val="001C7D10"/>
    <w:rsid w:val="001D1FA7"/>
    <w:rsid w:val="001D3874"/>
    <w:rsid w:val="001D5478"/>
    <w:rsid w:val="001D57CD"/>
    <w:rsid w:val="001D7910"/>
    <w:rsid w:val="001D7A26"/>
    <w:rsid w:val="001D7DBE"/>
    <w:rsid w:val="001D7E75"/>
    <w:rsid w:val="001E3CD6"/>
    <w:rsid w:val="001E3D63"/>
    <w:rsid w:val="001E4049"/>
    <w:rsid w:val="001E56D2"/>
    <w:rsid w:val="001E6142"/>
    <w:rsid w:val="001E65EF"/>
    <w:rsid w:val="001E6B23"/>
    <w:rsid w:val="001E7D56"/>
    <w:rsid w:val="001F0388"/>
    <w:rsid w:val="001F0B79"/>
    <w:rsid w:val="001F183F"/>
    <w:rsid w:val="001F1F06"/>
    <w:rsid w:val="001F68CE"/>
    <w:rsid w:val="001F75DE"/>
    <w:rsid w:val="00200D58"/>
    <w:rsid w:val="0020121D"/>
    <w:rsid w:val="002013BE"/>
    <w:rsid w:val="002018A3"/>
    <w:rsid w:val="002047F9"/>
    <w:rsid w:val="002057AD"/>
    <w:rsid w:val="002063A4"/>
    <w:rsid w:val="00206D50"/>
    <w:rsid w:val="0021145B"/>
    <w:rsid w:val="00211B18"/>
    <w:rsid w:val="002142CD"/>
    <w:rsid w:val="00216594"/>
    <w:rsid w:val="00217B53"/>
    <w:rsid w:val="002205DD"/>
    <w:rsid w:val="00221FE2"/>
    <w:rsid w:val="002225C7"/>
    <w:rsid w:val="0022422C"/>
    <w:rsid w:val="002247FB"/>
    <w:rsid w:val="002252BD"/>
    <w:rsid w:val="00225FA4"/>
    <w:rsid w:val="0023016B"/>
    <w:rsid w:val="00230219"/>
    <w:rsid w:val="00230C67"/>
    <w:rsid w:val="00230E02"/>
    <w:rsid w:val="00231286"/>
    <w:rsid w:val="0023189C"/>
    <w:rsid w:val="00231D29"/>
    <w:rsid w:val="00231FA8"/>
    <w:rsid w:val="00234F53"/>
    <w:rsid w:val="002359AA"/>
    <w:rsid w:val="002363D5"/>
    <w:rsid w:val="002400F0"/>
    <w:rsid w:val="00241098"/>
    <w:rsid w:val="00242A25"/>
    <w:rsid w:val="00243A99"/>
    <w:rsid w:val="00243D36"/>
    <w:rsid w:val="00243D37"/>
    <w:rsid w:val="002440B7"/>
    <w:rsid w:val="0024504C"/>
    <w:rsid w:val="00246A3C"/>
    <w:rsid w:val="00247707"/>
    <w:rsid w:val="002506FD"/>
    <w:rsid w:val="00250E16"/>
    <w:rsid w:val="00252C3F"/>
    <w:rsid w:val="00253274"/>
    <w:rsid w:val="002536D6"/>
    <w:rsid w:val="00253B7B"/>
    <w:rsid w:val="00253DCE"/>
    <w:rsid w:val="00255982"/>
    <w:rsid w:val="00256A24"/>
    <w:rsid w:val="00257D31"/>
    <w:rsid w:val="0026018E"/>
    <w:rsid w:val="00263326"/>
    <w:rsid w:val="00266C58"/>
    <w:rsid w:val="00267C93"/>
    <w:rsid w:val="00270340"/>
    <w:rsid w:val="002704A4"/>
    <w:rsid w:val="00270A29"/>
    <w:rsid w:val="00271EC8"/>
    <w:rsid w:val="00272950"/>
    <w:rsid w:val="0027324C"/>
    <w:rsid w:val="002738BA"/>
    <w:rsid w:val="00275B02"/>
    <w:rsid w:val="00276BC0"/>
    <w:rsid w:val="0027794C"/>
    <w:rsid w:val="002779E8"/>
    <w:rsid w:val="00282183"/>
    <w:rsid w:val="00282710"/>
    <w:rsid w:val="00282EDB"/>
    <w:rsid w:val="0028454A"/>
    <w:rsid w:val="00285A5C"/>
    <w:rsid w:val="00286740"/>
    <w:rsid w:val="0028685F"/>
    <w:rsid w:val="00287376"/>
    <w:rsid w:val="00287AC3"/>
    <w:rsid w:val="00287ACC"/>
    <w:rsid w:val="0029120A"/>
    <w:rsid w:val="002929D8"/>
    <w:rsid w:val="00294386"/>
    <w:rsid w:val="002948E8"/>
    <w:rsid w:val="002A0FDF"/>
    <w:rsid w:val="002A237D"/>
    <w:rsid w:val="002A4379"/>
    <w:rsid w:val="002A4C53"/>
    <w:rsid w:val="002A5AE9"/>
    <w:rsid w:val="002A6E73"/>
    <w:rsid w:val="002A7A44"/>
    <w:rsid w:val="002B0210"/>
    <w:rsid w:val="002B0672"/>
    <w:rsid w:val="002B0B75"/>
    <w:rsid w:val="002B2430"/>
    <w:rsid w:val="002B247F"/>
    <w:rsid w:val="002B2D24"/>
    <w:rsid w:val="002B30D2"/>
    <w:rsid w:val="002B362B"/>
    <w:rsid w:val="002B4DE8"/>
    <w:rsid w:val="002B5D13"/>
    <w:rsid w:val="002B687B"/>
    <w:rsid w:val="002B6EBF"/>
    <w:rsid w:val="002C01DD"/>
    <w:rsid w:val="002C145D"/>
    <w:rsid w:val="002C2C3E"/>
    <w:rsid w:val="002C2CAE"/>
    <w:rsid w:val="002C2D79"/>
    <w:rsid w:val="002C3E31"/>
    <w:rsid w:val="002C461F"/>
    <w:rsid w:val="002C49EF"/>
    <w:rsid w:val="002C533E"/>
    <w:rsid w:val="002C6C92"/>
    <w:rsid w:val="002C7741"/>
    <w:rsid w:val="002D027F"/>
    <w:rsid w:val="002D126D"/>
    <w:rsid w:val="002D3037"/>
    <w:rsid w:val="002D3A9E"/>
    <w:rsid w:val="002D4F0B"/>
    <w:rsid w:val="002D5106"/>
    <w:rsid w:val="002D67F6"/>
    <w:rsid w:val="002D7A85"/>
    <w:rsid w:val="002D7B60"/>
    <w:rsid w:val="002D7D94"/>
    <w:rsid w:val="002E0BC4"/>
    <w:rsid w:val="002E20A2"/>
    <w:rsid w:val="002E553C"/>
    <w:rsid w:val="002E6887"/>
    <w:rsid w:val="002E725C"/>
    <w:rsid w:val="002E73EF"/>
    <w:rsid w:val="002E79DB"/>
    <w:rsid w:val="002F03E8"/>
    <w:rsid w:val="002F278F"/>
    <w:rsid w:val="002F3ED0"/>
    <w:rsid w:val="002F4761"/>
    <w:rsid w:val="002F5A96"/>
    <w:rsid w:val="002F5C79"/>
    <w:rsid w:val="002F6416"/>
    <w:rsid w:val="002F76F2"/>
    <w:rsid w:val="003017C8"/>
    <w:rsid w:val="003019E2"/>
    <w:rsid w:val="0030234B"/>
    <w:rsid w:val="003026D4"/>
    <w:rsid w:val="00302C63"/>
    <w:rsid w:val="003033BA"/>
    <w:rsid w:val="00305B81"/>
    <w:rsid w:val="00306438"/>
    <w:rsid w:val="003065AE"/>
    <w:rsid w:val="00312F1B"/>
    <w:rsid w:val="00313772"/>
    <w:rsid w:val="0031413F"/>
    <w:rsid w:val="003148BB"/>
    <w:rsid w:val="00314DA5"/>
    <w:rsid w:val="00316C6B"/>
    <w:rsid w:val="00317976"/>
    <w:rsid w:val="003227CE"/>
    <w:rsid w:val="00322B1D"/>
    <w:rsid w:val="00323347"/>
    <w:rsid w:val="00324D6C"/>
    <w:rsid w:val="00324E45"/>
    <w:rsid w:val="00327196"/>
    <w:rsid w:val="00330E8E"/>
    <w:rsid w:val="0033309E"/>
    <w:rsid w:val="003360C6"/>
    <w:rsid w:val="00336272"/>
    <w:rsid w:val="00336EAA"/>
    <w:rsid w:val="003448C7"/>
    <w:rsid w:val="003449EE"/>
    <w:rsid w:val="00346013"/>
    <w:rsid w:val="0034621D"/>
    <w:rsid w:val="003466ED"/>
    <w:rsid w:val="0034674C"/>
    <w:rsid w:val="00346ACA"/>
    <w:rsid w:val="003531D7"/>
    <w:rsid w:val="003537F1"/>
    <w:rsid w:val="00353B31"/>
    <w:rsid w:val="00355EA9"/>
    <w:rsid w:val="003572FD"/>
    <w:rsid w:val="003578DE"/>
    <w:rsid w:val="00361520"/>
    <w:rsid w:val="0036264F"/>
    <w:rsid w:val="00362BC9"/>
    <w:rsid w:val="00363316"/>
    <w:rsid w:val="003648B0"/>
    <w:rsid w:val="0036498C"/>
    <w:rsid w:val="0036504F"/>
    <w:rsid w:val="00365888"/>
    <w:rsid w:val="00365AD8"/>
    <w:rsid w:val="003660BF"/>
    <w:rsid w:val="00366AFF"/>
    <w:rsid w:val="00367446"/>
    <w:rsid w:val="00367F75"/>
    <w:rsid w:val="003708B6"/>
    <w:rsid w:val="00370F9B"/>
    <w:rsid w:val="00372C8F"/>
    <w:rsid w:val="00373C6D"/>
    <w:rsid w:val="0037412C"/>
    <w:rsid w:val="00375FB2"/>
    <w:rsid w:val="0037643A"/>
    <w:rsid w:val="00380C51"/>
    <w:rsid w:val="00380F93"/>
    <w:rsid w:val="00381D88"/>
    <w:rsid w:val="00382B83"/>
    <w:rsid w:val="0038432C"/>
    <w:rsid w:val="0038456F"/>
    <w:rsid w:val="003851A7"/>
    <w:rsid w:val="003877DF"/>
    <w:rsid w:val="00390E72"/>
    <w:rsid w:val="00391CC8"/>
    <w:rsid w:val="00391F03"/>
    <w:rsid w:val="00392075"/>
    <w:rsid w:val="00392577"/>
    <w:rsid w:val="00393368"/>
    <w:rsid w:val="0039431F"/>
    <w:rsid w:val="00395233"/>
    <w:rsid w:val="00396257"/>
    <w:rsid w:val="00397EB8"/>
    <w:rsid w:val="003A40DE"/>
    <w:rsid w:val="003A4FD0"/>
    <w:rsid w:val="003A69D1"/>
    <w:rsid w:val="003A7705"/>
    <w:rsid w:val="003A77F1"/>
    <w:rsid w:val="003A7D53"/>
    <w:rsid w:val="003B03DB"/>
    <w:rsid w:val="003B1545"/>
    <w:rsid w:val="003B167B"/>
    <w:rsid w:val="003B403A"/>
    <w:rsid w:val="003B496E"/>
    <w:rsid w:val="003C409D"/>
    <w:rsid w:val="003C5BA6"/>
    <w:rsid w:val="003C6001"/>
    <w:rsid w:val="003C76BA"/>
    <w:rsid w:val="003D00F8"/>
    <w:rsid w:val="003D17F4"/>
    <w:rsid w:val="003D18D9"/>
    <w:rsid w:val="003D246F"/>
    <w:rsid w:val="003D25C4"/>
    <w:rsid w:val="003D2A32"/>
    <w:rsid w:val="003D4714"/>
    <w:rsid w:val="003D48C6"/>
    <w:rsid w:val="003D59AE"/>
    <w:rsid w:val="003D5CAA"/>
    <w:rsid w:val="003D5D79"/>
    <w:rsid w:val="003E0C5B"/>
    <w:rsid w:val="003E0CD5"/>
    <w:rsid w:val="003E0FF4"/>
    <w:rsid w:val="003E142A"/>
    <w:rsid w:val="003E1E66"/>
    <w:rsid w:val="003E2D1B"/>
    <w:rsid w:val="003E2DB0"/>
    <w:rsid w:val="003E49D2"/>
    <w:rsid w:val="003E62DF"/>
    <w:rsid w:val="003E70E8"/>
    <w:rsid w:val="003E7376"/>
    <w:rsid w:val="003E7CB4"/>
    <w:rsid w:val="003E7E49"/>
    <w:rsid w:val="003F0E85"/>
    <w:rsid w:val="003F313C"/>
    <w:rsid w:val="003F3871"/>
    <w:rsid w:val="003F6881"/>
    <w:rsid w:val="003F715E"/>
    <w:rsid w:val="0040074C"/>
    <w:rsid w:val="004021EA"/>
    <w:rsid w:val="00404061"/>
    <w:rsid w:val="00404617"/>
    <w:rsid w:val="00404D50"/>
    <w:rsid w:val="00405483"/>
    <w:rsid w:val="00405734"/>
    <w:rsid w:val="00407FCB"/>
    <w:rsid w:val="00410721"/>
    <w:rsid w:val="00410A75"/>
    <w:rsid w:val="00410C55"/>
    <w:rsid w:val="00411565"/>
    <w:rsid w:val="00411CF8"/>
    <w:rsid w:val="00411E16"/>
    <w:rsid w:val="00411E8F"/>
    <w:rsid w:val="00412AE9"/>
    <w:rsid w:val="00414C8E"/>
    <w:rsid w:val="00416854"/>
    <w:rsid w:val="00416AC9"/>
    <w:rsid w:val="00417725"/>
    <w:rsid w:val="004178E0"/>
    <w:rsid w:val="00417BE2"/>
    <w:rsid w:val="00417E4A"/>
    <w:rsid w:val="004209E8"/>
    <w:rsid w:val="00422755"/>
    <w:rsid w:val="00424370"/>
    <w:rsid w:val="00424F45"/>
    <w:rsid w:val="00425318"/>
    <w:rsid w:val="00425A73"/>
    <w:rsid w:val="00426ADC"/>
    <w:rsid w:val="00426FD8"/>
    <w:rsid w:val="004272BD"/>
    <w:rsid w:val="004304D9"/>
    <w:rsid w:val="00430605"/>
    <w:rsid w:val="004309EE"/>
    <w:rsid w:val="00431574"/>
    <w:rsid w:val="00431A61"/>
    <w:rsid w:val="0043208D"/>
    <w:rsid w:val="00434191"/>
    <w:rsid w:val="004348D3"/>
    <w:rsid w:val="004358F5"/>
    <w:rsid w:val="004370E4"/>
    <w:rsid w:val="00437F26"/>
    <w:rsid w:val="00440054"/>
    <w:rsid w:val="0044130A"/>
    <w:rsid w:val="00444097"/>
    <w:rsid w:val="00444E16"/>
    <w:rsid w:val="004450DA"/>
    <w:rsid w:val="00445487"/>
    <w:rsid w:val="0044598F"/>
    <w:rsid w:val="00445EFC"/>
    <w:rsid w:val="00446662"/>
    <w:rsid w:val="00450DAF"/>
    <w:rsid w:val="004510AE"/>
    <w:rsid w:val="0045139F"/>
    <w:rsid w:val="004520C1"/>
    <w:rsid w:val="004534E4"/>
    <w:rsid w:val="00454769"/>
    <w:rsid w:val="004634F9"/>
    <w:rsid w:val="00463C95"/>
    <w:rsid w:val="00464079"/>
    <w:rsid w:val="0046565A"/>
    <w:rsid w:val="004661C0"/>
    <w:rsid w:val="00466991"/>
    <w:rsid w:val="00466C95"/>
    <w:rsid w:val="004677C9"/>
    <w:rsid w:val="0047064C"/>
    <w:rsid w:val="00470904"/>
    <w:rsid w:val="00470D75"/>
    <w:rsid w:val="00471EEC"/>
    <w:rsid w:val="00472994"/>
    <w:rsid w:val="00472ADB"/>
    <w:rsid w:val="00475DD3"/>
    <w:rsid w:val="00476B1D"/>
    <w:rsid w:val="00477480"/>
    <w:rsid w:val="00477647"/>
    <w:rsid w:val="00480E9B"/>
    <w:rsid w:val="004838E1"/>
    <w:rsid w:val="00484D82"/>
    <w:rsid w:val="00485FB4"/>
    <w:rsid w:val="004865B6"/>
    <w:rsid w:val="004908C1"/>
    <w:rsid w:val="00490D72"/>
    <w:rsid w:val="00493409"/>
    <w:rsid w:val="00495F8E"/>
    <w:rsid w:val="004A0271"/>
    <w:rsid w:val="004A02FC"/>
    <w:rsid w:val="004A05D2"/>
    <w:rsid w:val="004A0FE9"/>
    <w:rsid w:val="004A412C"/>
    <w:rsid w:val="004A42E1"/>
    <w:rsid w:val="004A5554"/>
    <w:rsid w:val="004A58A9"/>
    <w:rsid w:val="004A5A6A"/>
    <w:rsid w:val="004A5D3A"/>
    <w:rsid w:val="004A5E24"/>
    <w:rsid w:val="004B0371"/>
    <w:rsid w:val="004B1029"/>
    <w:rsid w:val="004B162C"/>
    <w:rsid w:val="004B34AB"/>
    <w:rsid w:val="004B3C19"/>
    <w:rsid w:val="004B43F6"/>
    <w:rsid w:val="004B5038"/>
    <w:rsid w:val="004B576C"/>
    <w:rsid w:val="004B6AAB"/>
    <w:rsid w:val="004C1A82"/>
    <w:rsid w:val="004C3380"/>
    <w:rsid w:val="004C3DBE"/>
    <w:rsid w:val="004C5C96"/>
    <w:rsid w:val="004C769D"/>
    <w:rsid w:val="004D06A4"/>
    <w:rsid w:val="004D18A1"/>
    <w:rsid w:val="004D514B"/>
    <w:rsid w:val="004D63F3"/>
    <w:rsid w:val="004E1124"/>
    <w:rsid w:val="004E1EB1"/>
    <w:rsid w:val="004E20B3"/>
    <w:rsid w:val="004E37B9"/>
    <w:rsid w:val="004E380E"/>
    <w:rsid w:val="004E3A49"/>
    <w:rsid w:val="004E5D9E"/>
    <w:rsid w:val="004E6106"/>
    <w:rsid w:val="004F0855"/>
    <w:rsid w:val="004F0C62"/>
    <w:rsid w:val="004F1A81"/>
    <w:rsid w:val="004F2CD2"/>
    <w:rsid w:val="004F4229"/>
    <w:rsid w:val="004F45E1"/>
    <w:rsid w:val="004F4A0C"/>
    <w:rsid w:val="004F582B"/>
    <w:rsid w:val="004F68BA"/>
    <w:rsid w:val="00500D68"/>
    <w:rsid w:val="00502BEB"/>
    <w:rsid w:val="00502D55"/>
    <w:rsid w:val="0050499B"/>
    <w:rsid w:val="00504DEC"/>
    <w:rsid w:val="0050591F"/>
    <w:rsid w:val="005059FE"/>
    <w:rsid w:val="00505F26"/>
    <w:rsid w:val="005076C0"/>
    <w:rsid w:val="005077FB"/>
    <w:rsid w:val="00510281"/>
    <w:rsid w:val="0051131A"/>
    <w:rsid w:val="005114A3"/>
    <w:rsid w:val="005114AD"/>
    <w:rsid w:val="00511D5A"/>
    <w:rsid w:val="00514630"/>
    <w:rsid w:val="0051482F"/>
    <w:rsid w:val="00515134"/>
    <w:rsid w:val="0051662C"/>
    <w:rsid w:val="00516B72"/>
    <w:rsid w:val="005218D9"/>
    <w:rsid w:val="00522474"/>
    <w:rsid w:val="005260AD"/>
    <w:rsid w:val="00526660"/>
    <w:rsid w:val="00526DFC"/>
    <w:rsid w:val="00527E00"/>
    <w:rsid w:val="005301BA"/>
    <w:rsid w:val="005308F9"/>
    <w:rsid w:val="00532129"/>
    <w:rsid w:val="005324E7"/>
    <w:rsid w:val="005360D6"/>
    <w:rsid w:val="00536186"/>
    <w:rsid w:val="0053667B"/>
    <w:rsid w:val="0053686B"/>
    <w:rsid w:val="00537ED5"/>
    <w:rsid w:val="00541DB4"/>
    <w:rsid w:val="00541F17"/>
    <w:rsid w:val="00542FF9"/>
    <w:rsid w:val="005430EF"/>
    <w:rsid w:val="0054350E"/>
    <w:rsid w:val="005448E2"/>
    <w:rsid w:val="00544CBB"/>
    <w:rsid w:val="0054731D"/>
    <w:rsid w:val="00550714"/>
    <w:rsid w:val="00551859"/>
    <w:rsid w:val="00551A8D"/>
    <w:rsid w:val="00553C6B"/>
    <w:rsid w:val="00553D11"/>
    <w:rsid w:val="00554BBD"/>
    <w:rsid w:val="005563D9"/>
    <w:rsid w:val="00556553"/>
    <w:rsid w:val="00556F3A"/>
    <w:rsid w:val="005576F4"/>
    <w:rsid w:val="00557CF5"/>
    <w:rsid w:val="00560E6C"/>
    <w:rsid w:val="00561FB6"/>
    <w:rsid w:val="00562C77"/>
    <w:rsid w:val="00563AF5"/>
    <w:rsid w:val="005642B6"/>
    <w:rsid w:val="005677BD"/>
    <w:rsid w:val="0057050C"/>
    <w:rsid w:val="0057111C"/>
    <w:rsid w:val="0057315F"/>
    <w:rsid w:val="00573740"/>
    <w:rsid w:val="00573ED7"/>
    <w:rsid w:val="00574CE3"/>
    <w:rsid w:val="00576104"/>
    <w:rsid w:val="0057633F"/>
    <w:rsid w:val="005764BB"/>
    <w:rsid w:val="00577868"/>
    <w:rsid w:val="005804C9"/>
    <w:rsid w:val="0058124D"/>
    <w:rsid w:val="00581441"/>
    <w:rsid w:val="005856C2"/>
    <w:rsid w:val="00586C3C"/>
    <w:rsid w:val="00587778"/>
    <w:rsid w:val="005900AA"/>
    <w:rsid w:val="005900C5"/>
    <w:rsid w:val="00593548"/>
    <w:rsid w:val="00593EAB"/>
    <w:rsid w:val="00596D41"/>
    <w:rsid w:val="005A0730"/>
    <w:rsid w:val="005A1036"/>
    <w:rsid w:val="005A13B8"/>
    <w:rsid w:val="005A1BDC"/>
    <w:rsid w:val="005A6FEC"/>
    <w:rsid w:val="005A7D27"/>
    <w:rsid w:val="005B069E"/>
    <w:rsid w:val="005B195C"/>
    <w:rsid w:val="005B3171"/>
    <w:rsid w:val="005B32B0"/>
    <w:rsid w:val="005B3E1D"/>
    <w:rsid w:val="005B469D"/>
    <w:rsid w:val="005B74B0"/>
    <w:rsid w:val="005C002D"/>
    <w:rsid w:val="005C04B7"/>
    <w:rsid w:val="005C0BA1"/>
    <w:rsid w:val="005C3B60"/>
    <w:rsid w:val="005C4233"/>
    <w:rsid w:val="005C429F"/>
    <w:rsid w:val="005C46B8"/>
    <w:rsid w:val="005C626F"/>
    <w:rsid w:val="005C67C8"/>
    <w:rsid w:val="005C77D5"/>
    <w:rsid w:val="005C7828"/>
    <w:rsid w:val="005C7E66"/>
    <w:rsid w:val="005D0249"/>
    <w:rsid w:val="005D05EA"/>
    <w:rsid w:val="005D118A"/>
    <w:rsid w:val="005D1D24"/>
    <w:rsid w:val="005D1DDD"/>
    <w:rsid w:val="005D1F60"/>
    <w:rsid w:val="005D4727"/>
    <w:rsid w:val="005D5AE3"/>
    <w:rsid w:val="005D6E8C"/>
    <w:rsid w:val="005D7E3D"/>
    <w:rsid w:val="005E0B6F"/>
    <w:rsid w:val="005E10BE"/>
    <w:rsid w:val="005E1218"/>
    <w:rsid w:val="005E14C6"/>
    <w:rsid w:val="005E219F"/>
    <w:rsid w:val="005E2357"/>
    <w:rsid w:val="005E5241"/>
    <w:rsid w:val="005E577F"/>
    <w:rsid w:val="005E5E5A"/>
    <w:rsid w:val="005E7B01"/>
    <w:rsid w:val="005F100C"/>
    <w:rsid w:val="005F22CA"/>
    <w:rsid w:val="005F68DA"/>
    <w:rsid w:val="005F7607"/>
    <w:rsid w:val="006018AF"/>
    <w:rsid w:val="0060389E"/>
    <w:rsid w:val="00604019"/>
    <w:rsid w:val="00604105"/>
    <w:rsid w:val="0060473F"/>
    <w:rsid w:val="00604876"/>
    <w:rsid w:val="00604936"/>
    <w:rsid w:val="006062DB"/>
    <w:rsid w:val="006072D1"/>
    <w:rsid w:val="0060773B"/>
    <w:rsid w:val="00607DD6"/>
    <w:rsid w:val="00613407"/>
    <w:rsid w:val="00613429"/>
    <w:rsid w:val="00614871"/>
    <w:rsid w:val="006157B5"/>
    <w:rsid w:val="006158E2"/>
    <w:rsid w:val="00615A68"/>
    <w:rsid w:val="00616086"/>
    <w:rsid w:val="00616984"/>
    <w:rsid w:val="00616D6B"/>
    <w:rsid w:val="00620ECD"/>
    <w:rsid w:val="00622498"/>
    <w:rsid w:val="0062620A"/>
    <w:rsid w:val="00626F81"/>
    <w:rsid w:val="00626FC6"/>
    <w:rsid w:val="006303B4"/>
    <w:rsid w:val="0063088A"/>
    <w:rsid w:val="00630E4A"/>
    <w:rsid w:val="0063159A"/>
    <w:rsid w:val="00631C77"/>
    <w:rsid w:val="006329A9"/>
    <w:rsid w:val="00633D3D"/>
    <w:rsid w:val="006366AE"/>
    <w:rsid w:val="006367B9"/>
    <w:rsid w:val="00636DD8"/>
    <w:rsid w:val="00636DFD"/>
    <w:rsid w:val="00641703"/>
    <w:rsid w:val="00641887"/>
    <w:rsid w:val="00641E42"/>
    <w:rsid w:val="00642DE9"/>
    <w:rsid w:val="006431A6"/>
    <w:rsid w:val="006437EF"/>
    <w:rsid w:val="00643EB1"/>
    <w:rsid w:val="006446F0"/>
    <w:rsid w:val="006457F1"/>
    <w:rsid w:val="006459F6"/>
    <w:rsid w:val="006501AD"/>
    <w:rsid w:val="00650C7A"/>
    <w:rsid w:val="0065130E"/>
    <w:rsid w:val="00651BFA"/>
    <w:rsid w:val="006526B0"/>
    <w:rsid w:val="00652F27"/>
    <w:rsid w:val="0065329E"/>
    <w:rsid w:val="00653FDF"/>
    <w:rsid w:val="00654475"/>
    <w:rsid w:val="00656626"/>
    <w:rsid w:val="00656717"/>
    <w:rsid w:val="00657F10"/>
    <w:rsid w:val="00660092"/>
    <w:rsid w:val="00661A40"/>
    <w:rsid w:val="006621C8"/>
    <w:rsid w:val="00662A24"/>
    <w:rsid w:val="006636F6"/>
    <w:rsid w:val="00665A4B"/>
    <w:rsid w:val="0067034F"/>
    <w:rsid w:val="00670CDC"/>
    <w:rsid w:val="00670F41"/>
    <w:rsid w:val="00671A97"/>
    <w:rsid w:val="00672648"/>
    <w:rsid w:val="0067546B"/>
    <w:rsid w:val="0067668A"/>
    <w:rsid w:val="006801E3"/>
    <w:rsid w:val="006807D3"/>
    <w:rsid w:val="00684E32"/>
    <w:rsid w:val="006853F2"/>
    <w:rsid w:val="006854C1"/>
    <w:rsid w:val="00687A50"/>
    <w:rsid w:val="0069086D"/>
    <w:rsid w:val="006927CF"/>
    <w:rsid w:val="0069292D"/>
    <w:rsid w:val="00692E2A"/>
    <w:rsid w:val="00693F33"/>
    <w:rsid w:val="0069670F"/>
    <w:rsid w:val="006A4FB9"/>
    <w:rsid w:val="006A54F7"/>
    <w:rsid w:val="006A550B"/>
    <w:rsid w:val="006A5CB4"/>
    <w:rsid w:val="006A5F54"/>
    <w:rsid w:val="006A76F2"/>
    <w:rsid w:val="006B2718"/>
    <w:rsid w:val="006B2C53"/>
    <w:rsid w:val="006B354F"/>
    <w:rsid w:val="006B3928"/>
    <w:rsid w:val="006B43C4"/>
    <w:rsid w:val="006B4446"/>
    <w:rsid w:val="006B5B30"/>
    <w:rsid w:val="006B6572"/>
    <w:rsid w:val="006C00C9"/>
    <w:rsid w:val="006C1CFF"/>
    <w:rsid w:val="006C21B1"/>
    <w:rsid w:val="006C4C94"/>
    <w:rsid w:val="006C5828"/>
    <w:rsid w:val="006C5AA3"/>
    <w:rsid w:val="006C6E8E"/>
    <w:rsid w:val="006C74E7"/>
    <w:rsid w:val="006C7B98"/>
    <w:rsid w:val="006D17E4"/>
    <w:rsid w:val="006D253D"/>
    <w:rsid w:val="006D2810"/>
    <w:rsid w:val="006D335C"/>
    <w:rsid w:val="006D5625"/>
    <w:rsid w:val="006D5F3A"/>
    <w:rsid w:val="006D631C"/>
    <w:rsid w:val="006D674A"/>
    <w:rsid w:val="006D7EFB"/>
    <w:rsid w:val="006E02C6"/>
    <w:rsid w:val="006E0667"/>
    <w:rsid w:val="006E1A6B"/>
    <w:rsid w:val="006E1C62"/>
    <w:rsid w:val="006E1FB6"/>
    <w:rsid w:val="006E27F1"/>
    <w:rsid w:val="006E2A6E"/>
    <w:rsid w:val="006E6672"/>
    <w:rsid w:val="006E6722"/>
    <w:rsid w:val="006E730D"/>
    <w:rsid w:val="006F06DB"/>
    <w:rsid w:val="006F08B2"/>
    <w:rsid w:val="006F17FD"/>
    <w:rsid w:val="006F5763"/>
    <w:rsid w:val="006F6715"/>
    <w:rsid w:val="00701380"/>
    <w:rsid w:val="00701906"/>
    <w:rsid w:val="00701ABE"/>
    <w:rsid w:val="007027B9"/>
    <w:rsid w:val="00702B85"/>
    <w:rsid w:val="00711A0A"/>
    <w:rsid w:val="00712785"/>
    <w:rsid w:val="007129A5"/>
    <w:rsid w:val="007132ED"/>
    <w:rsid w:val="00713F61"/>
    <w:rsid w:val="00714DD0"/>
    <w:rsid w:val="0071536F"/>
    <w:rsid w:val="00715E88"/>
    <w:rsid w:val="007168B5"/>
    <w:rsid w:val="00717143"/>
    <w:rsid w:val="00717BEA"/>
    <w:rsid w:val="007220E0"/>
    <w:rsid w:val="007273F0"/>
    <w:rsid w:val="00732960"/>
    <w:rsid w:val="00732C77"/>
    <w:rsid w:val="00733979"/>
    <w:rsid w:val="00733A8D"/>
    <w:rsid w:val="00734CAA"/>
    <w:rsid w:val="00736685"/>
    <w:rsid w:val="00737FA1"/>
    <w:rsid w:val="00740323"/>
    <w:rsid w:val="00741146"/>
    <w:rsid w:val="007414B0"/>
    <w:rsid w:val="007423DF"/>
    <w:rsid w:val="00743B08"/>
    <w:rsid w:val="00743EA7"/>
    <w:rsid w:val="00745C0C"/>
    <w:rsid w:val="00745DC5"/>
    <w:rsid w:val="0075259E"/>
    <w:rsid w:val="007527C4"/>
    <w:rsid w:val="007540C0"/>
    <w:rsid w:val="007544ED"/>
    <w:rsid w:val="007546FF"/>
    <w:rsid w:val="0075533C"/>
    <w:rsid w:val="007569E2"/>
    <w:rsid w:val="00756CE3"/>
    <w:rsid w:val="00756ECC"/>
    <w:rsid w:val="00757581"/>
    <w:rsid w:val="007611A0"/>
    <w:rsid w:val="007614C4"/>
    <w:rsid w:val="00761688"/>
    <w:rsid w:val="007617DE"/>
    <w:rsid w:val="00762424"/>
    <w:rsid w:val="00762832"/>
    <w:rsid w:val="007628C9"/>
    <w:rsid w:val="00762C5D"/>
    <w:rsid w:val="00762CCE"/>
    <w:rsid w:val="00763CD9"/>
    <w:rsid w:val="00764338"/>
    <w:rsid w:val="00765A7A"/>
    <w:rsid w:val="0076669A"/>
    <w:rsid w:val="007668EB"/>
    <w:rsid w:val="007702CC"/>
    <w:rsid w:val="00770742"/>
    <w:rsid w:val="007715E4"/>
    <w:rsid w:val="00772DD4"/>
    <w:rsid w:val="00772EA3"/>
    <w:rsid w:val="00772F3C"/>
    <w:rsid w:val="00773204"/>
    <w:rsid w:val="007737F5"/>
    <w:rsid w:val="00773A01"/>
    <w:rsid w:val="00773C7A"/>
    <w:rsid w:val="00774834"/>
    <w:rsid w:val="00774BF3"/>
    <w:rsid w:val="00776540"/>
    <w:rsid w:val="007775CC"/>
    <w:rsid w:val="007776CE"/>
    <w:rsid w:val="00781C46"/>
    <w:rsid w:val="0078236F"/>
    <w:rsid w:val="007823BD"/>
    <w:rsid w:val="007867A6"/>
    <w:rsid w:val="00787F57"/>
    <w:rsid w:val="0079127C"/>
    <w:rsid w:val="007912E7"/>
    <w:rsid w:val="007914F1"/>
    <w:rsid w:val="00795849"/>
    <w:rsid w:val="00796405"/>
    <w:rsid w:val="00796D3F"/>
    <w:rsid w:val="00797D62"/>
    <w:rsid w:val="007A0C71"/>
    <w:rsid w:val="007A1683"/>
    <w:rsid w:val="007A3861"/>
    <w:rsid w:val="007A4087"/>
    <w:rsid w:val="007A5711"/>
    <w:rsid w:val="007A5C12"/>
    <w:rsid w:val="007A649B"/>
    <w:rsid w:val="007A7CB0"/>
    <w:rsid w:val="007B104B"/>
    <w:rsid w:val="007B4AF8"/>
    <w:rsid w:val="007B5751"/>
    <w:rsid w:val="007B68A3"/>
    <w:rsid w:val="007B6BE2"/>
    <w:rsid w:val="007C0306"/>
    <w:rsid w:val="007C1AA3"/>
    <w:rsid w:val="007C2541"/>
    <w:rsid w:val="007C349C"/>
    <w:rsid w:val="007C5570"/>
    <w:rsid w:val="007C5644"/>
    <w:rsid w:val="007C64BE"/>
    <w:rsid w:val="007C6D3B"/>
    <w:rsid w:val="007D08BC"/>
    <w:rsid w:val="007D222F"/>
    <w:rsid w:val="007D4D6F"/>
    <w:rsid w:val="007D66A8"/>
    <w:rsid w:val="007D7649"/>
    <w:rsid w:val="007D7718"/>
    <w:rsid w:val="007D7747"/>
    <w:rsid w:val="007D7EF5"/>
    <w:rsid w:val="007E003F"/>
    <w:rsid w:val="007E007A"/>
    <w:rsid w:val="007E16E7"/>
    <w:rsid w:val="007E226E"/>
    <w:rsid w:val="007E2719"/>
    <w:rsid w:val="007E412C"/>
    <w:rsid w:val="007E67A8"/>
    <w:rsid w:val="007E6C2F"/>
    <w:rsid w:val="007E6D54"/>
    <w:rsid w:val="007E75E1"/>
    <w:rsid w:val="007F2A4C"/>
    <w:rsid w:val="007F3EBB"/>
    <w:rsid w:val="007F5C9D"/>
    <w:rsid w:val="00800B13"/>
    <w:rsid w:val="00800C0C"/>
    <w:rsid w:val="008027C0"/>
    <w:rsid w:val="00802B14"/>
    <w:rsid w:val="00803324"/>
    <w:rsid w:val="00803C50"/>
    <w:rsid w:val="008063C8"/>
    <w:rsid w:val="008100CA"/>
    <w:rsid w:val="00810469"/>
    <w:rsid w:val="008105D1"/>
    <w:rsid w:val="00811B7E"/>
    <w:rsid w:val="00811F80"/>
    <w:rsid w:val="0081347B"/>
    <w:rsid w:val="0081540A"/>
    <w:rsid w:val="008162A1"/>
    <w:rsid w:val="008164F2"/>
    <w:rsid w:val="0081658C"/>
    <w:rsid w:val="0082011E"/>
    <w:rsid w:val="0082078A"/>
    <w:rsid w:val="00821395"/>
    <w:rsid w:val="008214DE"/>
    <w:rsid w:val="00822388"/>
    <w:rsid w:val="008226EA"/>
    <w:rsid w:val="0082424A"/>
    <w:rsid w:val="00825087"/>
    <w:rsid w:val="00827089"/>
    <w:rsid w:val="008270D9"/>
    <w:rsid w:val="00827321"/>
    <w:rsid w:val="008309A1"/>
    <w:rsid w:val="00830C3D"/>
    <w:rsid w:val="00830D67"/>
    <w:rsid w:val="00830E26"/>
    <w:rsid w:val="00832730"/>
    <w:rsid w:val="00832AA1"/>
    <w:rsid w:val="00835746"/>
    <w:rsid w:val="00836249"/>
    <w:rsid w:val="0083671A"/>
    <w:rsid w:val="00843576"/>
    <w:rsid w:val="008439BC"/>
    <w:rsid w:val="00843B64"/>
    <w:rsid w:val="00844429"/>
    <w:rsid w:val="00844B64"/>
    <w:rsid w:val="008470FB"/>
    <w:rsid w:val="008478FC"/>
    <w:rsid w:val="00850D5F"/>
    <w:rsid w:val="00850FBB"/>
    <w:rsid w:val="00852705"/>
    <w:rsid w:val="008534A8"/>
    <w:rsid w:val="008537A1"/>
    <w:rsid w:val="008542F5"/>
    <w:rsid w:val="00862218"/>
    <w:rsid w:val="008626B7"/>
    <w:rsid w:val="00862DCB"/>
    <w:rsid w:val="00863240"/>
    <w:rsid w:val="0086328B"/>
    <w:rsid w:val="008639D3"/>
    <w:rsid w:val="00863EC7"/>
    <w:rsid w:val="0086700E"/>
    <w:rsid w:val="00867724"/>
    <w:rsid w:val="00867BFF"/>
    <w:rsid w:val="0087023F"/>
    <w:rsid w:val="008711FC"/>
    <w:rsid w:val="00873E53"/>
    <w:rsid w:val="008752F8"/>
    <w:rsid w:val="0087618A"/>
    <w:rsid w:val="008762E1"/>
    <w:rsid w:val="00876329"/>
    <w:rsid w:val="00877034"/>
    <w:rsid w:val="0088090F"/>
    <w:rsid w:val="00880F7E"/>
    <w:rsid w:val="00881856"/>
    <w:rsid w:val="00882125"/>
    <w:rsid w:val="0088480A"/>
    <w:rsid w:val="00884DBA"/>
    <w:rsid w:val="00885E91"/>
    <w:rsid w:val="00886920"/>
    <w:rsid w:val="00887431"/>
    <w:rsid w:val="0088757A"/>
    <w:rsid w:val="00890D5A"/>
    <w:rsid w:val="00890E28"/>
    <w:rsid w:val="00892470"/>
    <w:rsid w:val="00892DFA"/>
    <w:rsid w:val="008957CC"/>
    <w:rsid w:val="008957DD"/>
    <w:rsid w:val="008958BD"/>
    <w:rsid w:val="00897D98"/>
    <w:rsid w:val="008A02B2"/>
    <w:rsid w:val="008A25E5"/>
    <w:rsid w:val="008A30C6"/>
    <w:rsid w:val="008A3F9F"/>
    <w:rsid w:val="008A4193"/>
    <w:rsid w:val="008A54FB"/>
    <w:rsid w:val="008A5BF1"/>
    <w:rsid w:val="008A6DF2"/>
    <w:rsid w:val="008A7679"/>
    <w:rsid w:val="008A7807"/>
    <w:rsid w:val="008B42AD"/>
    <w:rsid w:val="008B47EA"/>
    <w:rsid w:val="008B4CC9"/>
    <w:rsid w:val="008B6EFE"/>
    <w:rsid w:val="008B7E89"/>
    <w:rsid w:val="008C104F"/>
    <w:rsid w:val="008C1EE9"/>
    <w:rsid w:val="008C34E6"/>
    <w:rsid w:val="008C6CF6"/>
    <w:rsid w:val="008D137D"/>
    <w:rsid w:val="008D1B8B"/>
    <w:rsid w:val="008D2E58"/>
    <w:rsid w:val="008D5C5C"/>
    <w:rsid w:val="008D65D8"/>
    <w:rsid w:val="008D78ED"/>
    <w:rsid w:val="008D7C99"/>
    <w:rsid w:val="008E02E7"/>
    <w:rsid w:val="008E0FCB"/>
    <w:rsid w:val="008E1214"/>
    <w:rsid w:val="008E2C6F"/>
    <w:rsid w:val="008E3B0C"/>
    <w:rsid w:val="008E5504"/>
    <w:rsid w:val="008E5D73"/>
    <w:rsid w:val="008E6C16"/>
    <w:rsid w:val="008E6D76"/>
    <w:rsid w:val="008F10B0"/>
    <w:rsid w:val="008F19AE"/>
    <w:rsid w:val="008F4EF8"/>
    <w:rsid w:val="008F54CE"/>
    <w:rsid w:val="008F6161"/>
    <w:rsid w:val="009004BB"/>
    <w:rsid w:val="009006E0"/>
    <w:rsid w:val="00901193"/>
    <w:rsid w:val="0090208D"/>
    <w:rsid w:val="0090218F"/>
    <w:rsid w:val="00902592"/>
    <w:rsid w:val="0090273F"/>
    <w:rsid w:val="00905460"/>
    <w:rsid w:val="009077A1"/>
    <w:rsid w:val="00907D44"/>
    <w:rsid w:val="00910B83"/>
    <w:rsid w:val="00911E2A"/>
    <w:rsid w:val="00912573"/>
    <w:rsid w:val="00912CAA"/>
    <w:rsid w:val="00913653"/>
    <w:rsid w:val="00914BF9"/>
    <w:rsid w:val="009170EC"/>
    <w:rsid w:val="009176E7"/>
    <w:rsid w:val="009176FB"/>
    <w:rsid w:val="009206FF"/>
    <w:rsid w:val="009214FC"/>
    <w:rsid w:val="0092178C"/>
    <w:rsid w:val="009238C5"/>
    <w:rsid w:val="00924EA9"/>
    <w:rsid w:val="00924EF2"/>
    <w:rsid w:val="00925C70"/>
    <w:rsid w:val="009262E4"/>
    <w:rsid w:val="00926EAB"/>
    <w:rsid w:val="009272BA"/>
    <w:rsid w:val="00930B88"/>
    <w:rsid w:val="00930C9F"/>
    <w:rsid w:val="00930CCF"/>
    <w:rsid w:val="00934AC2"/>
    <w:rsid w:val="00935417"/>
    <w:rsid w:val="009354C3"/>
    <w:rsid w:val="00937303"/>
    <w:rsid w:val="00940DCC"/>
    <w:rsid w:val="00941425"/>
    <w:rsid w:val="0094179A"/>
    <w:rsid w:val="00942581"/>
    <w:rsid w:val="00942B44"/>
    <w:rsid w:val="00943177"/>
    <w:rsid w:val="00943EEE"/>
    <w:rsid w:val="0094459E"/>
    <w:rsid w:val="00944DBC"/>
    <w:rsid w:val="00944EA7"/>
    <w:rsid w:val="00946068"/>
    <w:rsid w:val="00946C58"/>
    <w:rsid w:val="0094756A"/>
    <w:rsid w:val="00947BD3"/>
    <w:rsid w:val="0095011E"/>
    <w:rsid w:val="00950977"/>
    <w:rsid w:val="00951A7B"/>
    <w:rsid w:val="0095385F"/>
    <w:rsid w:val="009564A6"/>
    <w:rsid w:val="00960DCA"/>
    <w:rsid w:val="00962E18"/>
    <w:rsid w:val="0096318B"/>
    <w:rsid w:val="00963595"/>
    <w:rsid w:val="00963CE2"/>
    <w:rsid w:val="00964766"/>
    <w:rsid w:val="00964DC4"/>
    <w:rsid w:val="00964EB3"/>
    <w:rsid w:val="00965B73"/>
    <w:rsid w:val="00967621"/>
    <w:rsid w:val="00967E6A"/>
    <w:rsid w:val="0097264B"/>
    <w:rsid w:val="00972D3B"/>
    <w:rsid w:val="009732E5"/>
    <w:rsid w:val="0097354D"/>
    <w:rsid w:val="00973AA4"/>
    <w:rsid w:val="00975575"/>
    <w:rsid w:val="00975BCD"/>
    <w:rsid w:val="0097647A"/>
    <w:rsid w:val="009774EC"/>
    <w:rsid w:val="00977E94"/>
    <w:rsid w:val="00977F5D"/>
    <w:rsid w:val="0098081F"/>
    <w:rsid w:val="00981DA6"/>
    <w:rsid w:val="00983377"/>
    <w:rsid w:val="009844F2"/>
    <w:rsid w:val="009845B9"/>
    <w:rsid w:val="009858B9"/>
    <w:rsid w:val="00985B2C"/>
    <w:rsid w:val="009875D1"/>
    <w:rsid w:val="00990141"/>
    <w:rsid w:val="0099015E"/>
    <w:rsid w:val="00990438"/>
    <w:rsid w:val="00990B4C"/>
    <w:rsid w:val="009922F1"/>
    <w:rsid w:val="009925C2"/>
    <w:rsid w:val="00992976"/>
    <w:rsid w:val="00993869"/>
    <w:rsid w:val="00996F19"/>
    <w:rsid w:val="00997BF9"/>
    <w:rsid w:val="009A2836"/>
    <w:rsid w:val="009A30BF"/>
    <w:rsid w:val="009A7ECB"/>
    <w:rsid w:val="009B1FE1"/>
    <w:rsid w:val="009B21C1"/>
    <w:rsid w:val="009B25C6"/>
    <w:rsid w:val="009B3595"/>
    <w:rsid w:val="009B393A"/>
    <w:rsid w:val="009B3EFC"/>
    <w:rsid w:val="009B4A0F"/>
    <w:rsid w:val="009B685C"/>
    <w:rsid w:val="009B7C64"/>
    <w:rsid w:val="009C04EE"/>
    <w:rsid w:val="009C11D2"/>
    <w:rsid w:val="009C38CE"/>
    <w:rsid w:val="009C3938"/>
    <w:rsid w:val="009C3F60"/>
    <w:rsid w:val="009C4A6A"/>
    <w:rsid w:val="009C5D0B"/>
    <w:rsid w:val="009C642B"/>
    <w:rsid w:val="009C6C70"/>
    <w:rsid w:val="009C7BA7"/>
    <w:rsid w:val="009D0106"/>
    <w:rsid w:val="009D0292"/>
    <w:rsid w:val="009D0B63"/>
    <w:rsid w:val="009D2448"/>
    <w:rsid w:val="009D46E8"/>
    <w:rsid w:val="009D5387"/>
    <w:rsid w:val="009D6D96"/>
    <w:rsid w:val="009D7B7B"/>
    <w:rsid w:val="009D7DA0"/>
    <w:rsid w:val="009D7DEC"/>
    <w:rsid w:val="009E043A"/>
    <w:rsid w:val="009E062E"/>
    <w:rsid w:val="009E0B4F"/>
    <w:rsid w:val="009E0E65"/>
    <w:rsid w:val="009E1CE0"/>
    <w:rsid w:val="009E307E"/>
    <w:rsid w:val="009E55D4"/>
    <w:rsid w:val="009E573C"/>
    <w:rsid w:val="009E6C89"/>
    <w:rsid w:val="009E7D45"/>
    <w:rsid w:val="009F0370"/>
    <w:rsid w:val="009F222C"/>
    <w:rsid w:val="009F28AB"/>
    <w:rsid w:val="009F3B59"/>
    <w:rsid w:val="009F3CFA"/>
    <w:rsid w:val="009F51CE"/>
    <w:rsid w:val="009F6337"/>
    <w:rsid w:val="009F7F3F"/>
    <w:rsid w:val="00A005FB"/>
    <w:rsid w:val="00A03726"/>
    <w:rsid w:val="00A04FAA"/>
    <w:rsid w:val="00A05457"/>
    <w:rsid w:val="00A05589"/>
    <w:rsid w:val="00A05BF6"/>
    <w:rsid w:val="00A06CE5"/>
    <w:rsid w:val="00A07870"/>
    <w:rsid w:val="00A078DA"/>
    <w:rsid w:val="00A07F19"/>
    <w:rsid w:val="00A10BCA"/>
    <w:rsid w:val="00A1348D"/>
    <w:rsid w:val="00A14813"/>
    <w:rsid w:val="00A16EB9"/>
    <w:rsid w:val="00A21B3A"/>
    <w:rsid w:val="00A21E1B"/>
    <w:rsid w:val="00A22A16"/>
    <w:rsid w:val="00A232EE"/>
    <w:rsid w:val="00A2412A"/>
    <w:rsid w:val="00A24B78"/>
    <w:rsid w:val="00A2547F"/>
    <w:rsid w:val="00A25C11"/>
    <w:rsid w:val="00A2616C"/>
    <w:rsid w:val="00A271B3"/>
    <w:rsid w:val="00A30FFE"/>
    <w:rsid w:val="00A31CC8"/>
    <w:rsid w:val="00A3293F"/>
    <w:rsid w:val="00A32D93"/>
    <w:rsid w:val="00A33A89"/>
    <w:rsid w:val="00A33A9A"/>
    <w:rsid w:val="00A340CB"/>
    <w:rsid w:val="00A349AC"/>
    <w:rsid w:val="00A35B41"/>
    <w:rsid w:val="00A35B54"/>
    <w:rsid w:val="00A37547"/>
    <w:rsid w:val="00A378FB"/>
    <w:rsid w:val="00A4095F"/>
    <w:rsid w:val="00A4133C"/>
    <w:rsid w:val="00A413C1"/>
    <w:rsid w:val="00A4175F"/>
    <w:rsid w:val="00A42315"/>
    <w:rsid w:val="00A43E08"/>
    <w:rsid w:val="00A44139"/>
    <w:rsid w:val="00A44411"/>
    <w:rsid w:val="00A45786"/>
    <w:rsid w:val="00A4592F"/>
    <w:rsid w:val="00A469FA"/>
    <w:rsid w:val="00A46ED1"/>
    <w:rsid w:val="00A47BF4"/>
    <w:rsid w:val="00A47D21"/>
    <w:rsid w:val="00A47D40"/>
    <w:rsid w:val="00A5054E"/>
    <w:rsid w:val="00A50ED9"/>
    <w:rsid w:val="00A519CD"/>
    <w:rsid w:val="00A51D44"/>
    <w:rsid w:val="00A53CF0"/>
    <w:rsid w:val="00A55148"/>
    <w:rsid w:val="00A55B01"/>
    <w:rsid w:val="00A56B5B"/>
    <w:rsid w:val="00A57BD4"/>
    <w:rsid w:val="00A6000B"/>
    <w:rsid w:val="00A603FF"/>
    <w:rsid w:val="00A604C8"/>
    <w:rsid w:val="00A61F1F"/>
    <w:rsid w:val="00A621DE"/>
    <w:rsid w:val="00A65513"/>
    <w:rsid w:val="00A65524"/>
    <w:rsid w:val="00A657DD"/>
    <w:rsid w:val="00A666A6"/>
    <w:rsid w:val="00A675FD"/>
    <w:rsid w:val="00A67AF2"/>
    <w:rsid w:val="00A7170E"/>
    <w:rsid w:val="00A72437"/>
    <w:rsid w:val="00A736FB"/>
    <w:rsid w:val="00A73A07"/>
    <w:rsid w:val="00A74DDB"/>
    <w:rsid w:val="00A75416"/>
    <w:rsid w:val="00A76C51"/>
    <w:rsid w:val="00A77A7F"/>
    <w:rsid w:val="00A80611"/>
    <w:rsid w:val="00A8133B"/>
    <w:rsid w:val="00A816C6"/>
    <w:rsid w:val="00A84056"/>
    <w:rsid w:val="00A93DC5"/>
    <w:rsid w:val="00A949BE"/>
    <w:rsid w:val="00A95A96"/>
    <w:rsid w:val="00A96520"/>
    <w:rsid w:val="00A97490"/>
    <w:rsid w:val="00AA20E7"/>
    <w:rsid w:val="00AA2527"/>
    <w:rsid w:val="00AA468A"/>
    <w:rsid w:val="00AA7678"/>
    <w:rsid w:val="00AA7F53"/>
    <w:rsid w:val="00AB1F1F"/>
    <w:rsid w:val="00AB3A65"/>
    <w:rsid w:val="00AB3B23"/>
    <w:rsid w:val="00AB4E59"/>
    <w:rsid w:val="00AB5340"/>
    <w:rsid w:val="00AB54C2"/>
    <w:rsid w:val="00AC0A89"/>
    <w:rsid w:val="00AC36D0"/>
    <w:rsid w:val="00AC4343"/>
    <w:rsid w:val="00AC4397"/>
    <w:rsid w:val="00AC7A5A"/>
    <w:rsid w:val="00AC7C96"/>
    <w:rsid w:val="00AD5666"/>
    <w:rsid w:val="00AD5697"/>
    <w:rsid w:val="00AD5802"/>
    <w:rsid w:val="00AD61C0"/>
    <w:rsid w:val="00AE1592"/>
    <w:rsid w:val="00AE20B7"/>
    <w:rsid w:val="00AE237D"/>
    <w:rsid w:val="00AE293B"/>
    <w:rsid w:val="00AE2980"/>
    <w:rsid w:val="00AE3FCF"/>
    <w:rsid w:val="00AE431B"/>
    <w:rsid w:val="00AE4A07"/>
    <w:rsid w:val="00AE502A"/>
    <w:rsid w:val="00AE526F"/>
    <w:rsid w:val="00AE60CF"/>
    <w:rsid w:val="00AE78DB"/>
    <w:rsid w:val="00AE7F96"/>
    <w:rsid w:val="00AF0353"/>
    <w:rsid w:val="00AF7C07"/>
    <w:rsid w:val="00B00CA5"/>
    <w:rsid w:val="00B015BB"/>
    <w:rsid w:val="00B019DD"/>
    <w:rsid w:val="00B01D71"/>
    <w:rsid w:val="00B03339"/>
    <w:rsid w:val="00B04288"/>
    <w:rsid w:val="00B0555A"/>
    <w:rsid w:val="00B05584"/>
    <w:rsid w:val="00B07158"/>
    <w:rsid w:val="00B15C48"/>
    <w:rsid w:val="00B17475"/>
    <w:rsid w:val="00B21202"/>
    <w:rsid w:val="00B22150"/>
    <w:rsid w:val="00B22C93"/>
    <w:rsid w:val="00B23579"/>
    <w:rsid w:val="00B2458D"/>
    <w:rsid w:val="00B246B0"/>
    <w:rsid w:val="00B24B42"/>
    <w:rsid w:val="00B25F30"/>
    <w:rsid w:val="00B265B2"/>
    <w:rsid w:val="00B27589"/>
    <w:rsid w:val="00B27BFD"/>
    <w:rsid w:val="00B27CC9"/>
    <w:rsid w:val="00B27FB2"/>
    <w:rsid w:val="00B30627"/>
    <w:rsid w:val="00B3329A"/>
    <w:rsid w:val="00B3507C"/>
    <w:rsid w:val="00B35B7E"/>
    <w:rsid w:val="00B37818"/>
    <w:rsid w:val="00B405B7"/>
    <w:rsid w:val="00B45027"/>
    <w:rsid w:val="00B471F8"/>
    <w:rsid w:val="00B500F1"/>
    <w:rsid w:val="00B5080A"/>
    <w:rsid w:val="00B509FF"/>
    <w:rsid w:val="00B52222"/>
    <w:rsid w:val="00B54238"/>
    <w:rsid w:val="00B54FE7"/>
    <w:rsid w:val="00B56144"/>
    <w:rsid w:val="00B57DC4"/>
    <w:rsid w:val="00B66901"/>
    <w:rsid w:val="00B66DD4"/>
    <w:rsid w:val="00B67ECC"/>
    <w:rsid w:val="00B709FD"/>
    <w:rsid w:val="00B713C3"/>
    <w:rsid w:val="00B7169B"/>
    <w:rsid w:val="00B719C1"/>
    <w:rsid w:val="00B71E6D"/>
    <w:rsid w:val="00B72070"/>
    <w:rsid w:val="00B7261A"/>
    <w:rsid w:val="00B728FA"/>
    <w:rsid w:val="00B731EB"/>
    <w:rsid w:val="00B74BCC"/>
    <w:rsid w:val="00B754E6"/>
    <w:rsid w:val="00B75589"/>
    <w:rsid w:val="00B76361"/>
    <w:rsid w:val="00B770A2"/>
    <w:rsid w:val="00B779E1"/>
    <w:rsid w:val="00B801E1"/>
    <w:rsid w:val="00B8237C"/>
    <w:rsid w:val="00B87225"/>
    <w:rsid w:val="00B90C69"/>
    <w:rsid w:val="00B91528"/>
    <w:rsid w:val="00B91EE1"/>
    <w:rsid w:val="00B93E9C"/>
    <w:rsid w:val="00B94A05"/>
    <w:rsid w:val="00BA0090"/>
    <w:rsid w:val="00BA040D"/>
    <w:rsid w:val="00BA1A67"/>
    <w:rsid w:val="00BA2A88"/>
    <w:rsid w:val="00BA39AB"/>
    <w:rsid w:val="00BA4CDB"/>
    <w:rsid w:val="00BA4D03"/>
    <w:rsid w:val="00BB1444"/>
    <w:rsid w:val="00BB26C9"/>
    <w:rsid w:val="00BB55DF"/>
    <w:rsid w:val="00BB57F1"/>
    <w:rsid w:val="00BB5A3A"/>
    <w:rsid w:val="00BB600A"/>
    <w:rsid w:val="00BB638C"/>
    <w:rsid w:val="00BC09DB"/>
    <w:rsid w:val="00BC1F4B"/>
    <w:rsid w:val="00BC7049"/>
    <w:rsid w:val="00BC7643"/>
    <w:rsid w:val="00BD094C"/>
    <w:rsid w:val="00BD5B94"/>
    <w:rsid w:val="00BD5EBC"/>
    <w:rsid w:val="00BD601D"/>
    <w:rsid w:val="00BD7EB4"/>
    <w:rsid w:val="00BE2262"/>
    <w:rsid w:val="00BE23BC"/>
    <w:rsid w:val="00BE48C6"/>
    <w:rsid w:val="00BE5B5F"/>
    <w:rsid w:val="00BE691D"/>
    <w:rsid w:val="00BF0346"/>
    <w:rsid w:val="00BF5581"/>
    <w:rsid w:val="00BF6266"/>
    <w:rsid w:val="00BF70D1"/>
    <w:rsid w:val="00C0015A"/>
    <w:rsid w:val="00C003E0"/>
    <w:rsid w:val="00C02176"/>
    <w:rsid w:val="00C027AC"/>
    <w:rsid w:val="00C03273"/>
    <w:rsid w:val="00C0549B"/>
    <w:rsid w:val="00C06E2F"/>
    <w:rsid w:val="00C07931"/>
    <w:rsid w:val="00C07C6E"/>
    <w:rsid w:val="00C07F78"/>
    <w:rsid w:val="00C10042"/>
    <w:rsid w:val="00C10A16"/>
    <w:rsid w:val="00C117E0"/>
    <w:rsid w:val="00C1273F"/>
    <w:rsid w:val="00C16A22"/>
    <w:rsid w:val="00C16EB7"/>
    <w:rsid w:val="00C17806"/>
    <w:rsid w:val="00C208D1"/>
    <w:rsid w:val="00C2184F"/>
    <w:rsid w:val="00C2392A"/>
    <w:rsid w:val="00C26F55"/>
    <w:rsid w:val="00C27384"/>
    <w:rsid w:val="00C30C63"/>
    <w:rsid w:val="00C31A31"/>
    <w:rsid w:val="00C36B8B"/>
    <w:rsid w:val="00C415C1"/>
    <w:rsid w:val="00C436A5"/>
    <w:rsid w:val="00C44078"/>
    <w:rsid w:val="00C44AD3"/>
    <w:rsid w:val="00C45D6D"/>
    <w:rsid w:val="00C47C3B"/>
    <w:rsid w:val="00C47DBF"/>
    <w:rsid w:val="00C51094"/>
    <w:rsid w:val="00C5160B"/>
    <w:rsid w:val="00C530CD"/>
    <w:rsid w:val="00C537F1"/>
    <w:rsid w:val="00C552FF"/>
    <w:rsid w:val="00C558DA"/>
    <w:rsid w:val="00C55AF3"/>
    <w:rsid w:val="00C56CE8"/>
    <w:rsid w:val="00C6128D"/>
    <w:rsid w:val="00C63695"/>
    <w:rsid w:val="00C64C4A"/>
    <w:rsid w:val="00C65F3A"/>
    <w:rsid w:val="00C670FC"/>
    <w:rsid w:val="00C70452"/>
    <w:rsid w:val="00C70E05"/>
    <w:rsid w:val="00C71B82"/>
    <w:rsid w:val="00C74B78"/>
    <w:rsid w:val="00C75BA8"/>
    <w:rsid w:val="00C75FD7"/>
    <w:rsid w:val="00C76FD0"/>
    <w:rsid w:val="00C83738"/>
    <w:rsid w:val="00C84759"/>
    <w:rsid w:val="00C87CCB"/>
    <w:rsid w:val="00C914C7"/>
    <w:rsid w:val="00C933DB"/>
    <w:rsid w:val="00C9415C"/>
    <w:rsid w:val="00C96A08"/>
    <w:rsid w:val="00C97358"/>
    <w:rsid w:val="00C97DB3"/>
    <w:rsid w:val="00CA0783"/>
    <w:rsid w:val="00CA0C96"/>
    <w:rsid w:val="00CA2EF9"/>
    <w:rsid w:val="00CA3247"/>
    <w:rsid w:val="00CA4593"/>
    <w:rsid w:val="00CA6C7F"/>
    <w:rsid w:val="00CB0537"/>
    <w:rsid w:val="00CB3145"/>
    <w:rsid w:val="00CB4349"/>
    <w:rsid w:val="00CB5966"/>
    <w:rsid w:val="00CB6384"/>
    <w:rsid w:val="00CB64A8"/>
    <w:rsid w:val="00CB6EB1"/>
    <w:rsid w:val="00CC0A32"/>
    <w:rsid w:val="00CC10A6"/>
    <w:rsid w:val="00CC4FD8"/>
    <w:rsid w:val="00CC5B26"/>
    <w:rsid w:val="00CC5BF0"/>
    <w:rsid w:val="00CC6A29"/>
    <w:rsid w:val="00CC7F59"/>
    <w:rsid w:val="00CD0142"/>
    <w:rsid w:val="00CD3C18"/>
    <w:rsid w:val="00CD3C5B"/>
    <w:rsid w:val="00CD5EB8"/>
    <w:rsid w:val="00CD6CFE"/>
    <w:rsid w:val="00CD7044"/>
    <w:rsid w:val="00CE0165"/>
    <w:rsid w:val="00CE08B9"/>
    <w:rsid w:val="00CE09CB"/>
    <w:rsid w:val="00CE1F5F"/>
    <w:rsid w:val="00CE20C9"/>
    <w:rsid w:val="00CE4195"/>
    <w:rsid w:val="00CE422E"/>
    <w:rsid w:val="00CE48AD"/>
    <w:rsid w:val="00CE518B"/>
    <w:rsid w:val="00CE524C"/>
    <w:rsid w:val="00CE740C"/>
    <w:rsid w:val="00CE7657"/>
    <w:rsid w:val="00CE7D97"/>
    <w:rsid w:val="00CF141F"/>
    <w:rsid w:val="00CF1BD2"/>
    <w:rsid w:val="00CF30C4"/>
    <w:rsid w:val="00CF41FC"/>
    <w:rsid w:val="00CF4644"/>
    <w:rsid w:val="00CF4777"/>
    <w:rsid w:val="00CF5CC9"/>
    <w:rsid w:val="00CF6B22"/>
    <w:rsid w:val="00CF7C44"/>
    <w:rsid w:val="00CF7DA6"/>
    <w:rsid w:val="00CF7F27"/>
    <w:rsid w:val="00D00224"/>
    <w:rsid w:val="00D01854"/>
    <w:rsid w:val="00D01CCB"/>
    <w:rsid w:val="00D0206F"/>
    <w:rsid w:val="00D0261D"/>
    <w:rsid w:val="00D0279C"/>
    <w:rsid w:val="00D04B29"/>
    <w:rsid w:val="00D067BB"/>
    <w:rsid w:val="00D12AEB"/>
    <w:rsid w:val="00D134D2"/>
    <w:rsid w:val="00D1352A"/>
    <w:rsid w:val="00D15618"/>
    <w:rsid w:val="00D160E8"/>
    <w:rsid w:val="00D169AF"/>
    <w:rsid w:val="00D2022F"/>
    <w:rsid w:val="00D21750"/>
    <w:rsid w:val="00D241A1"/>
    <w:rsid w:val="00D25249"/>
    <w:rsid w:val="00D26106"/>
    <w:rsid w:val="00D2725D"/>
    <w:rsid w:val="00D30166"/>
    <w:rsid w:val="00D33500"/>
    <w:rsid w:val="00D4089D"/>
    <w:rsid w:val="00D44172"/>
    <w:rsid w:val="00D4460C"/>
    <w:rsid w:val="00D463B0"/>
    <w:rsid w:val="00D469C5"/>
    <w:rsid w:val="00D51F84"/>
    <w:rsid w:val="00D52409"/>
    <w:rsid w:val="00D52989"/>
    <w:rsid w:val="00D530EC"/>
    <w:rsid w:val="00D53189"/>
    <w:rsid w:val="00D5440D"/>
    <w:rsid w:val="00D54F1F"/>
    <w:rsid w:val="00D55030"/>
    <w:rsid w:val="00D558E1"/>
    <w:rsid w:val="00D56EC9"/>
    <w:rsid w:val="00D60C7C"/>
    <w:rsid w:val="00D6162B"/>
    <w:rsid w:val="00D63972"/>
    <w:rsid w:val="00D63B8C"/>
    <w:rsid w:val="00D65D69"/>
    <w:rsid w:val="00D6617F"/>
    <w:rsid w:val="00D66AB0"/>
    <w:rsid w:val="00D67049"/>
    <w:rsid w:val="00D739CC"/>
    <w:rsid w:val="00D74102"/>
    <w:rsid w:val="00D75D4B"/>
    <w:rsid w:val="00D76435"/>
    <w:rsid w:val="00D76CFF"/>
    <w:rsid w:val="00D77819"/>
    <w:rsid w:val="00D77B12"/>
    <w:rsid w:val="00D8093D"/>
    <w:rsid w:val="00D8108C"/>
    <w:rsid w:val="00D8124D"/>
    <w:rsid w:val="00D815A6"/>
    <w:rsid w:val="00D83048"/>
    <w:rsid w:val="00D842AE"/>
    <w:rsid w:val="00D85155"/>
    <w:rsid w:val="00D90E4B"/>
    <w:rsid w:val="00D91EAA"/>
    <w:rsid w:val="00D9211C"/>
    <w:rsid w:val="00D92359"/>
    <w:rsid w:val="00D92DE0"/>
    <w:rsid w:val="00D92FEF"/>
    <w:rsid w:val="00D932AF"/>
    <w:rsid w:val="00D93A0F"/>
    <w:rsid w:val="00D93CDE"/>
    <w:rsid w:val="00D945DC"/>
    <w:rsid w:val="00D95B07"/>
    <w:rsid w:val="00D95B8C"/>
    <w:rsid w:val="00DA03D0"/>
    <w:rsid w:val="00DA1BCA"/>
    <w:rsid w:val="00DA2428"/>
    <w:rsid w:val="00DA269A"/>
    <w:rsid w:val="00DA43E3"/>
    <w:rsid w:val="00DA71C9"/>
    <w:rsid w:val="00DB1041"/>
    <w:rsid w:val="00DB1886"/>
    <w:rsid w:val="00DB1D35"/>
    <w:rsid w:val="00DB35C4"/>
    <w:rsid w:val="00DB3A2C"/>
    <w:rsid w:val="00DB3E2D"/>
    <w:rsid w:val="00DB495F"/>
    <w:rsid w:val="00DB49F7"/>
    <w:rsid w:val="00DB4F59"/>
    <w:rsid w:val="00DB5243"/>
    <w:rsid w:val="00DC0056"/>
    <w:rsid w:val="00DC03B5"/>
    <w:rsid w:val="00DC115F"/>
    <w:rsid w:val="00DC1244"/>
    <w:rsid w:val="00DC2043"/>
    <w:rsid w:val="00DC26F3"/>
    <w:rsid w:val="00DC3838"/>
    <w:rsid w:val="00DC426F"/>
    <w:rsid w:val="00DC4692"/>
    <w:rsid w:val="00DC46A2"/>
    <w:rsid w:val="00DC46FF"/>
    <w:rsid w:val="00DC4E69"/>
    <w:rsid w:val="00DC5254"/>
    <w:rsid w:val="00DC7414"/>
    <w:rsid w:val="00DD0812"/>
    <w:rsid w:val="00DD0BDA"/>
    <w:rsid w:val="00DD1A4F"/>
    <w:rsid w:val="00DD250B"/>
    <w:rsid w:val="00DD3107"/>
    <w:rsid w:val="00DD3E2E"/>
    <w:rsid w:val="00DD5A83"/>
    <w:rsid w:val="00DD663A"/>
    <w:rsid w:val="00DD7C2C"/>
    <w:rsid w:val="00DE01E8"/>
    <w:rsid w:val="00DE25C4"/>
    <w:rsid w:val="00DE318D"/>
    <w:rsid w:val="00DE472B"/>
    <w:rsid w:val="00DF2B78"/>
    <w:rsid w:val="00DF3CE0"/>
    <w:rsid w:val="00DF463A"/>
    <w:rsid w:val="00DF476B"/>
    <w:rsid w:val="00DF507B"/>
    <w:rsid w:val="00DF649D"/>
    <w:rsid w:val="00DF6C86"/>
    <w:rsid w:val="00DF7F91"/>
    <w:rsid w:val="00E00BAA"/>
    <w:rsid w:val="00E010AD"/>
    <w:rsid w:val="00E01541"/>
    <w:rsid w:val="00E01BA4"/>
    <w:rsid w:val="00E02022"/>
    <w:rsid w:val="00E02508"/>
    <w:rsid w:val="00E02D1B"/>
    <w:rsid w:val="00E02FC7"/>
    <w:rsid w:val="00E03255"/>
    <w:rsid w:val="00E03EBF"/>
    <w:rsid w:val="00E046FE"/>
    <w:rsid w:val="00E05821"/>
    <w:rsid w:val="00E06797"/>
    <w:rsid w:val="00E0684E"/>
    <w:rsid w:val="00E0754D"/>
    <w:rsid w:val="00E10BB1"/>
    <w:rsid w:val="00E1103D"/>
    <w:rsid w:val="00E1265B"/>
    <w:rsid w:val="00E1281C"/>
    <w:rsid w:val="00E12C01"/>
    <w:rsid w:val="00E13B48"/>
    <w:rsid w:val="00E1404F"/>
    <w:rsid w:val="00E140F1"/>
    <w:rsid w:val="00E142AC"/>
    <w:rsid w:val="00E14C85"/>
    <w:rsid w:val="00E16DBD"/>
    <w:rsid w:val="00E2036B"/>
    <w:rsid w:val="00E206C2"/>
    <w:rsid w:val="00E217E8"/>
    <w:rsid w:val="00E21824"/>
    <w:rsid w:val="00E21C83"/>
    <w:rsid w:val="00E2254B"/>
    <w:rsid w:val="00E2313D"/>
    <w:rsid w:val="00E24ADA"/>
    <w:rsid w:val="00E2704C"/>
    <w:rsid w:val="00E271E3"/>
    <w:rsid w:val="00E278EE"/>
    <w:rsid w:val="00E3058F"/>
    <w:rsid w:val="00E31DE5"/>
    <w:rsid w:val="00E32B47"/>
    <w:rsid w:val="00E32F59"/>
    <w:rsid w:val="00E331EB"/>
    <w:rsid w:val="00E33B70"/>
    <w:rsid w:val="00E33FE2"/>
    <w:rsid w:val="00E3558D"/>
    <w:rsid w:val="00E369BD"/>
    <w:rsid w:val="00E37EE5"/>
    <w:rsid w:val="00E4072B"/>
    <w:rsid w:val="00E40A4B"/>
    <w:rsid w:val="00E43401"/>
    <w:rsid w:val="00E46283"/>
    <w:rsid w:val="00E46AE7"/>
    <w:rsid w:val="00E46D9A"/>
    <w:rsid w:val="00E477A4"/>
    <w:rsid w:val="00E518DC"/>
    <w:rsid w:val="00E565FF"/>
    <w:rsid w:val="00E57D29"/>
    <w:rsid w:val="00E61E4E"/>
    <w:rsid w:val="00E6285D"/>
    <w:rsid w:val="00E63E6A"/>
    <w:rsid w:val="00E64438"/>
    <w:rsid w:val="00E64DCB"/>
    <w:rsid w:val="00E65388"/>
    <w:rsid w:val="00E65B0B"/>
    <w:rsid w:val="00E6603E"/>
    <w:rsid w:val="00E7157C"/>
    <w:rsid w:val="00E71949"/>
    <w:rsid w:val="00E725A0"/>
    <w:rsid w:val="00E729A3"/>
    <w:rsid w:val="00E73343"/>
    <w:rsid w:val="00E74072"/>
    <w:rsid w:val="00E74586"/>
    <w:rsid w:val="00E77385"/>
    <w:rsid w:val="00E815DE"/>
    <w:rsid w:val="00E820AA"/>
    <w:rsid w:val="00E8243F"/>
    <w:rsid w:val="00E82FC3"/>
    <w:rsid w:val="00E837EE"/>
    <w:rsid w:val="00E83FD6"/>
    <w:rsid w:val="00E85189"/>
    <w:rsid w:val="00E85B7D"/>
    <w:rsid w:val="00E906A7"/>
    <w:rsid w:val="00E9121B"/>
    <w:rsid w:val="00E9204A"/>
    <w:rsid w:val="00E9402B"/>
    <w:rsid w:val="00E942DF"/>
    <w:rsid w:val="00E9699A"/>
    <w:rsid w:val="00E979A5"/>
    <w:rsid w:val="00EA0AE2"/>
    <w:rsid w:val="00EA0E0A"/>
    <w:rsid w:val="00EA2928"/>
    <w:rsid w:val="00EA2CD4"/>
    <w:rsid w:val="00EA39E5"/>
    <w:rsid w:val="00EA4C03"/>
    <w:rsid w:val="00EB0D86"/>
    <w:rsid w:val="00EB1834"/>
    <w:rsid w:val="00EB58D7"/>
    <w:rsid w:val="00EB65DF"/>
    <w:rsid w:val="00EB6E1A"/>
    <w:rsid w:val="00EC04A3"/>
    <w:rsid w:val="00EC0B75"/>
    <w:rsid w:val="00EC126C"/>
    <w:rsid w:val="00EC371B"/>
    <w:rsid w:val="00EC4EA4"/>
    <w:rsid w:val="00EC4F0D"/>
    <w:rsid w:val="00EC5384"/>
    <w:rsid w:val="00EC5491"/>
    <w:rsid w:val="00EC54A1"/>
    <w:rsid w:val="00EC5915"/>
    <w:rsid w:val="00EC5A46"/>
    <w:rsid w:val="00EC5CF4"/>
    <w:rsid w:val="00EC63E2"/>
    <w:rsid w:val="00EC7805"/>
    <w:rsid w:val="00ED060D"/>
    <w:rsid w:val="00ED0B4E"/>
    <w:rsid w:val="00ED10A3"/>
    <w:rsid w:val="00ED35AC"/>
    <w:rsid w:val="00ED3B8A"/>
    <w:rsid w:val="00ED556C"/>
    <w:rsid w:val="00ED5DC4"/>
    <w:rsid w:val="00ED66C6"/>
    <w:rsid w:val="00EE45DF"/>
    <w:rsid w:val="00EE4CFD"/>
    <w:rsid w:val="00EE641F"/>
    <w:rsid w:val="00EE68A2"/>
    <w:rsid w:val="00EE7AA1"/>
    <w:rsid w:val="00EF0860"/>
    <w:rsid w:val="00EF16A3"/>
    <w:rsid w:val="00EF22B3"/>
    <w:rsid w:val="00EF39D3"/>
    <w:rsid w:val="00EF5CEC"/>
    <w:rsid w:val="00F01D8E"/>
    <w:rsid w:val="00F03B69"/>
    <w:rsid w:val="00F04D99"/>
    <w:rsid w:val="00F074C0"/>
    <w:rsid w:val="00F07A50"/>
    <w:rsid w:val="00F113DA"/>
    <w:rsid w:val="00F114FF"/>
    <w:rsid w:val="00F11556"/>
    <w:rsid w:val="00F12A6E"/>
    <w:rsid w:val="00F14E0B"/>
    <w:rsid w:val="00F17919"/>
    <w:rsid w:val="00F21952"/>
    <w:rsid w:val="00F233B4"/>
    <w:rsid w:val="00F256FF"/>
    <w:rsid w:val="00F2593B"/>
    <w:rsid w:val="00F264D3"/>
    <w:rsid w:val="00F2657D"/>
    <w:rsid w:val="00F304EB"/>
    <w:rsid w:val="00F305AF"/>
    <w:rsid w:val="00F30C69"/>
    <w:rsid w:val="00F321FE"/>
    <w:rsid w:val="00F32C30"/>
    <w:rsid w:val="00F35159"/>
    <w:rsid w:val="00F351D7"/>
    <w:rsid w:val="00F358B9"/>
    <w:rsid w:val="00F36979"/>
    <w:rsid w:val="00F37796"/>
    <w:rsid w:val="00F37B03"/>
    <w:rsid w:val="00F37CEE"/>
    <w:rsid w:val="00F37DC8"/>
    <w:rsid w:val="00F41731"/>
    <w:rsid w:val="00F4232E"/>
    <w:rsid w:val="00F4239C"/>
    <w:rsid w:val="00F439B3"/>
    <w:rsid w:val="00F44FF7"/>
    <w:rsid w:val="00F45546"/>
    <w:rsid w:val="00F46BE3"/>
    <w:rsid w:val="00F47F83"/>
    <w:rsid w:val="00F52998"/>
    <w:rsid w:val="00F55DC8"/>
    <w:rsid w:val="00F565DF"/>
    <w:rsid w:val="00F6003F"/>
    <w:rsid w:val="00F60C9B"/>
    <w:rsid w:val="00F61838"/>
    <w:rsid w:val="00F6297C"/>
    <w:rsid w:val="00F62ED2"/>
    <w:rsid w:val="00F64199"/>
    <w:rsid w:val="00F64F43"/>
    <w:rsid w:val="00F650C3"/>
    <w:rsid w:val="00F65D85"/>
    <w:rsid w:val="00F6667A"/>
    <w:rsid w:val="00F724D7"/>
    <w:rsid w:val="00F728AC"/>
    <w:rsid w:val="00F753AF"/>
    <w:rsid w:val="00F75480"/>
    <w:rsid w:val="00F76827"/>
    <w:rsid w:val="00F77136"/>
    <w:rsid w:val="00F80793"/>
    <w:rsid w:val="00F8091E"/>
    <w:rsid w:val="00F82561"/>
    <w:rsid w:val="00F82AAE"/>
    <w:rsid w:val="00F84371"/>
    <w:rsid w:val="00F8504F"/>
    <w:rsid w:val="00F8615C"/>
    <w:rsid w:val="00F863B0"/>
    <w:rsid w:val="00F878B1"/>
    <w:rsid w:val="00F9183E"/>
    <w:rsid w:val="00F9191D"/>
    <w:rsid w:val="00F9220D"/>
    <w:rsid w:val="00F92F1B"/>
    <w:rsid w:val="00F93325"/>
    <w:rsid w:val="00F948C0"/>
    <w:rsid w:val="00F94B72"/>
    <w:rsid w:val="00F94C9D"/>
    <w:rsid w:val="00F951A7"/>
    <w:rsid w:val="00F95A53"/>
    <w:rsid w:val="00F96601"/>
    <w:rsid w:val="00F969E5"/>
    <w:rsid w:val="00F9731F"/>
    <w:rsid w:val="00F97A89"/>
    <w:rsid w:val="00FA063D"/>
    <w:rsid w:val="00FA1093"/>
    <w:rsid w:val="00FA175C"/>
    <w:rsid w:val="00FA2215"/>
    <w:rsid w:val="00FA2F16"/>
    <w:rsid w:val="00FA36D1"/>
    <w:rsid w:val="00FA4651"/>
    <w:rsid w:val="00FA4966"/>
    <w:rsid w:val="00FA556D"/>
    <w:rsid w:val="00FA57EE"/>
    <w:rsid w:val="00FA6BB0"/>
    <w:rsid w:val="00FB1995"/>
    <w:rsid w:val="00FB2167"/>
    <w:rsid w:val="00FB2489"/>
    <w:rsid w:val="00FB25F5"/>
    <w:rsid w:val="00FB2882"/>
    <w:rsid w:val="00FB3140"/>
    <w:rsid w:val="00FB5059"/>
    <w:rsid w:val="00FB67E0"/>
    <w:rsid w:val="00FB70B8"/>
    <w:rsid w:val="00FC4067"/>
    <w:rsid w:val="00FC436B"/>
    <w:rsid w:val="00FC5D81"/>
    <w:rsid w:val="00FC6ECE"/>
    <w:rsid w:val="00FD14E3"/>
    <w:rsid w:val="00FD173A"/>
    <w:rsid w:val="00FD1D01"/>
    <w:rsid w:val="00FD1F97"/>
    <w:rsid w:val="00FD2E05"/>
    <w:rsid w:val="00FD5860"/>
    <w:rsid w:val="00FD5EDA"/>
    <w:rsid w:val="00FD63C9"/>
    <w:rsid w:val="00FE033B"/>
    <w:rsid w:val="00FE352D"/>
    <w:rsid w:val="00FE40EB"/>
    <w:rsid w:val="00FE4D02"/>
    <w:rsid w:val="00FE7493"/>
    <w:rsid w:val="00FE7D62"/>
    <w:rsid w:val="00FF0593"/>
    <w:rsid w:val="00FF0B18"/>
    <w:rsid w:val="00FF1C4E"/>
    <w:rsid w:val="00FF22E3"/>
    <w:rsid w:val="00FF25E0"/>
    <w:rsid w:val="00FF29AD"/>
    <w:rsid w:val="00FF3819"/>
    <w:rsid w:val="00FF43BF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27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uiPriority w:val="99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numPr>
        <w:numId w:val="7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  <w:style w:type="character" w:customStyle="1" w:styleId="preferred">
    <w:name w:val="preferred"/>
    <w:basedOn w:val="DefaultParagraphFont"/>
    <w:rsid w:val="003877DF"/>
  </w:style>
  <w:style w:type="table" w:customStyle="1" w:styleId="PlainTable41">
    <w:name w:val="Plain Table 41"/>
    <w:basedOn w:val="TableNormal"/>
    <w:uiPriority w:val="44"/>
    <w:rsid w:val="00D202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uiPriority w:val="99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numPr>
        <w:numId w:val="7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  <w:style w:type="character" w:customStyle="1" w:styleId="preferred">
    <w:name w:val="preferred"/>
    <w:basedOn w:val="DefaultParagraphFont"/>
    <w:rsid w:val="003877DF"/>
  </w:style>
  <w:style w:type="table" w:customStyle="1" w:styleId="PlainTable41">
    <w:name w:val="Plain Table 41"/>
    <w:basedOn w:val="TableNormal"/>
    <w:uiPriority w:val="44"/>
    <w:rsid w:val="00D202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6881-93B4-4C21-B620-11568D21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6707</Words>
  <Characters>48394</Characters>
  <Application>Microsoft Office Word</Application>
  <DocSecurity>0</DocSecurity>
  <Lines>403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54992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ten Have</dc:creator>
  <cp:lastModifiedBy>Natalia Cherutich</cp:lastModifiedBy>
  <cp:revision>89</cp:revision>
  <cp:lastPrinted>2017-06-26T06:48:00Z</cp:lastPrinted>
  <dcterms:created xsi:type="dcterms:W3CDTF">2017-08-10T10:32:00Z</dcterms:created>
  <dcterms:modified xsi:type="dcterms:W3CDTF">2017-09-11T05:34:00Z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8/8/2017 8:01:08 AM</vt:lpwstr>
  </property>
  <property fmtid="{D5CDD505-2E9C-101B-9397-08002B2CF9AE}" pid="5" name="OriginalDocID">
    <vt:lpwstr>3f3cb5f4-71ed-417d-b46e-c57f9c248d76</vt:lpwstr>
  </property>
</Properties>
</file>