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3180"/>
        <w:gridCol w:w="3252"/>
      </w:tblGrid>
      <w:tr w:rsidR="004675A1" w:rsidRPr="00A9444E" w:rsidTr="00B859E3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:rsidR="004675A1" w:rsidRPr="00106EEC" w:rsidRDefault="004675A1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106EEC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4675A1" w:rsidRPr="00106EEC" w:rsidRDefault="004675A1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4675A1" w:rsidRDefault="004675A1">
            <w:pPr>
              <w:rPr>
                <w:b/>
                <w:sz w:val="28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:rsidR="004675A1" w:rsidRDefault="004675A1"/>
        </w:tc>
        <w:tc>
          <w:tcPr>
            <w:tcW w:w="32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675A1" w:rsidRPr="00A62AD7" w:rsidRDefault="00450456" w:rsidP="00CB6896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:rsidR="004675A1" w:rsidRPr="00A9444E" w:rsidRDefault="004675A1" w:rsidP="007940F5">
            <w:r>
              <w:rPr>
                <w:b/>
                <w:sz w:val="28"/>
                <w:lang w:val="en-US"/>
              </w:rPr>
              <w:t>UNEP</w:t>
            </w:r>
            <w:r w:rsidR="007940F5" w:rsidRPr="007940F5">
              <w:rPr>
                <w:lang w:val="en-US"/>
              </w:rPr>
              <w:t>/MC/COP.1</w:t>
            </w:r>
            <w:r w:rsidR="006C450F" w:rsidRPr="007940F5">
              <w:t>/</w:t>
            </w:r>
            <w:r w:rsidR="000465C0" w:rsidRPr="007940F5">
              <w:t>1</w:t>
            </w:r>
          </w:p>
        </w:tc>
      </w:tr>
      <w:tr w:rsidR="004675A1" w:rsidRPr="00FE03D1" w:rsidTr="00B859E3">
        <w:trPr>
          <w:cantSplit/>
          <w:trHeight w:val="20"/>
          <w:jc w:val="right"/>
        </w:trPr>
        <w:tc>
          <w:tcPr>
            <w:tcW w:w="1242" w:type="dxa"/>
          </w:tcPr>
          <w:p w:rsidR="004675A1" w:rsidRPr="00A9444E" w:rsidRDefault="004675A1">
            <w:pPr>
              <w:rPr>
                <w:sz w:val="16"/>
              </w:rPr>
            </w:pPr>
          </w:p>
        </w:tc>
        <w:tc>
          <w:tcPr>
            <w:tcW w:w="5154" w:type="dxa"/>
            <w:gridSpan w:val="2"/>
          </w:tcPr>
          <w:p w:rsidR="004675A1" w:rsidRPr="00A9444E" w:rsidRDefault="004675A1">
            <w:pPr>
              <w:rPr>
                <w:sz w:val="16"/>
              </w:rPr>
            </w:pPr>
          </w:p>
        </w:tc>
        <w:tc>
          <w:tcPr>
            <w:tcW w:w="3252" w:type="dxa"/>
            <w:vMerge w:val="restart"/>
            <w:tcMar>
              <w:left w:w="57" w:type="dxa"/>
              <w:right w:w="57" w:type="dxa"/>
            </w:tcMar>
          </w:tcPr>
          <w:p w:rsidR="004675A1" w:rsidRPr="007940F5" w:rsidRDefault="004675A1" w:rsidP="00A62AD7">
            <w:pPr>
              <w:rPr>
                <w:lang w:val="en-US"/>
              </w:rPr>
            </w:pP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="00686F99" w:rsidRPr="007940F5">
              <w:rPr>
                <w:lang w:val="en-US"/>
              </w:rPr>
              <w:t xml:space="preserve">.: </w:t>
            </w:r>
            <w:r>
              <w:rPr>
                <w:lang w:val="en-US"/>
              </w:rPr>
              <w:t>General</w:t>
            </w:r>
          </w:p>
          <w:p w:rsidR="004675A1" w:rsidRPr="007940F5" w:rsidRDefault="007940F5" w:rsidP="00A62AD7">
            <w:pPr>
              <w:rPr>
                <w:lang w:val="en-US"/>
              </w:rPr>
            </w:pPr>
            <w:r w:rsidRPr="007940F5">
              <w:rPr>
                <w:lang w:val="en-US"/>
              </w:rPr>
              <w:t>27 February 2017</w:t>
            </w:r>
          </w:p>
          <w:p w:rsidR="004675A1" w:rsidRPr="007940F5" w:rsidRDefault="004675A1" w:rsidP="00A62AD7">
            <w:pPr>
              <w:rPr>
                <w:lang w:val="en-US"/>
              </w:rPr>
            </w:pP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2D3C83" w:rsidRPr="007940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English</w:t>
            </w:r>
          </w:p>
        </w:tc>
      </w:tr>
      <w:tr w:rsidR="004675A1" w:rsidTr="00B51000">
        <w:trPr>
          <w:cantSplit/>
          <w:jc w:val="right"/>
        </w:trPr>
        <w:tc>
          <w:tcPr>
            <w:tcW w:w="1242" w:type="dxa"/>
          </w:tcPr>
          <w:p w:rsidR="004675A1" w:rsidRPr="00AD7BDF" w:rsidRDefault="003A6DBC">
            <w:pPr>
              <w:rPr>
                <w:sz w:val="1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650875" cy="563245"/>
                  <wp:effectExtent l="0" t="0" r="0" b="825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</w:tcPr>
          <w:p w:rsidR="00AF1DAE" w:rsidRPr="00A62AD7" w:rsidRDefault="00AF1DAE" w:rsidP="00A62AD7">
            <w:pPr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AF1DAE" w:rsidRPr="00A9444E" w:rsidRDefault="00AF1DA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A62AD7" w:rsidRPr="00A9444E" w:rsidRDefault="00A62AD7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4675A1" w:rsidRPr="00962D0B" w:rsidRDefault="004675A1" w:rsidP="00580F82">
            <w:pPr>
              <w:rPr>
                <w:b/>
              </w:rPr>
            </w:pPr>
            <w:r w:rsidRPr="00A62AD7">
              <w:rPr>
                <w:rFonts w:ascii="Arial" w:hAnsi="Arial" w:cs="Arial"/>
                <w:b/>
                <w:sz w:val="27"/>
                <w:szCs w:val="27"/>
              </w:rPr>
              <w:t>Программа Организации</w:t>
            </w:r>
            <w:r w:rsidR="00580F82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A62AD7">
              <w:rPr>
                <w:rFonts w:ascii="Arial" w:hAnsi="Arial" w:cs="Arial"/>
                <w:b/>
                <w:sz w:val="27"/>
                <w:szCs w:val="27"/>
              </w:rPr>
              <w:t>Объединенных Наций по</w:t>
            </w:r>
            <w:r w:rsidR="00580F82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A62AD7">
              <w:rPr>
                <w:rFonts w:ascii="Arial" w:hAnsi="Arial" w:cs="Arial"/>
                <w:b/>
                <w:sz w:val="27"/>
                <w:szCs w:val="27"/>
              </w:rPr>
              <w:t>окружающей среде</w:t>
            </w:r>
          </w:p>
        </w:tc>
        <w:tc>
          <w:tcPr>
            <w:tcW w:w="3252" w:type="dxa"/>
            <w:vMerge/>
          </w:tcPr>
          <w:p w:rsidR="004675A1" w:rsidRPr="00962D0B" w:rsidRDefault="004675A1"/>
        </w:tc>
      </w:tr>
      <w:tr w:rsidR="004675A1" w:rsidTr="00B51000">
        <w:trPr>
          <w:cantSplit/>
          <w:trHeight w:val="20"/>
          <w:jc w:val="right"/>
        </w:trPr>
        <w:tc>
          <w:tcPr>
            <w:tcW w:w="1242" w:type="dxa"/>
          </w:tcPr>
          <w:p w:rsidR="004675A1" w:rsidRDefault="004675A1">
            <w:pPr>
              <w:rPr>
                <w:sz w:val="16"/>
              </w:rPr>
            </w:pPr>
          </w:p>
        </w:tc>
        <w:tc>
          <w:tcPr>
            <w:tcW w:w="5154" w:type="dxa"/>
            <w:gridSpan w:val="2"/>
            <w:vMerge/>
          </w:tcPr>
          <w:p w:rsidR="004675A1" w:rsidRDefault="004675A1">
            <w:pPr>
              <w:rPr>
                <w:b/>
                <w:sz w:val="28"/>
              </w:rPr>
            </w:pPr>
          </w:p>
        </w:tc>
        <w:tc>
          <w:tcPr>
            <w:tcW w:w="3252" w:type="dxa"/>
            <w:vMerge/>
          </w:tcPr>
          <w:p w:rsidR="004675A1" w:rsidRDefault="004675A1"/>
        </w:tc>
      </w:tr>
      <w:tr w:rsidR="004675A1" w:rsidTr="00B51000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:rsidR="004675A1" w:rsidRPr="00CB1E5C" w:rsidRDefault="004675A1">
            <w:r>
              <w:object w:dxaOrig="1020" w:dyaOrig="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6pt" o:ole="" fillcolor="window">
                  <v:imagedata r:id="rId8" o:title="" cropbottom="13140f"/>
                </v:shape>
                <o:OLEObject Type="Embed" ProgID="Word.Picture.8" ShapeID="_x0000_i1025" DrawAspect="Content" ObjectID="_1557058049" r:id="rId9"/>
              </w:object>
            </w:r>
          </w:p>
        </w:tc>
        <w:tc>
          <w:tcPr>
            <w:tcW w:w="5154" w:type="dxa"/>
            <w:gridSpan w:val="2"/>
            <w:vMerge/>
            <w:tcBorders>
              <w:bottom w:val="single" w:sz="24" w:space="0" w:color="auto"/>
            </w:tcBorders>
          </w:tcPr>
          <w:p w:rsidR="004675A1" w:rsidRDefault="004675A1"/>
        </w:tc>
        <w:tc>
          <w:tcPr>
            <w:tcW w:w="3252" w:type="dxa"/>
            <w:vMerge/>
            <w:tcBorders>
              <w:bottom w:val="single" w:sz="24" w:space="0" w:color="auto"/>
            </w:tcBorders>
          </w:tcPr>
          <w:p w:rsidR="004675A1" w:rsidRDefault="004675A1"/>
        </w:tc>
      </w:tr>
    </w:tbl>
    <w:p w:rsidR="004675A1" w:rsidRDefault="004675A1">
      <w:pPr>
        <w:sectPr w:rsidR="004675A1" w:rsidSect="00A02E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 w:code="9"/>
          <w:pgMar w:top="907" w:right="992" w:bottom="1418" w:left="1418" w:header="539" w:footer="975" w:gutter="0"/>
          <w:cols w:space="720"/>
          <w:titlePg/>
        </w:sectPr>
      </w:pPr>
    </w:p>
    <w:p w:rsidR="009C4883" w:rsidRPr="009C4883" w:rsidRDefault="009C4883" w:rsidP="009C4883">
      <w:pPr>
        <w:rPr>
          <w:b/>
        </w:rPr>
      </w:pPr>
      <w:r w:rsidRPr="009C4883">
        <w:rPr>
          <w:b/>
        </w:rPr>
        <w:t>Конференция Сторон</w:t>
      </w:r>
    </w:p>
    <w:p w:rsidR="007E6B6D" w:rsidRPr="009C4883" w:rsidRDefault="007E6B6D" w:rsidP="007E6B6D">
      <w:pPr>
        <w:rPr>
          <w:b/>
        </w:rPr>
      </w:pPr>
      <w:r w:rsidRPr="009C4883">
        <w:rPr>
          <w:b/>
        </w:rPr>
        <w:t>Минаматск</w:t>
      </w:r>
      <w:r>
        <w:rPr>
          <w:b/>
        </w:rPr>
        <w:t>ой</w:t>
      </w:r>
      <w:r w:rsidRPr="009C4883">
        <w:rPr>
          <w:b/>
        </w:rPr>
        <w:t xml:space="preserve"> конвенци</w:t>
      </w:r>
      <w:r>
        <w:rPr>
          <w:b/>
        </w:rPr>
        <w:t>и</w:t>
      </w:r>
      <w:r w:rsidRPr="009C4883">
        <w:rPr>
          <w:b/>
        </w:rPr>
        <w:t xml:space="preserve"> о ртути</w:t>
      </w:r>
    </w:p>
    <w:p w:rsidR="009C4883" w:rsidRPr="009C4883" w:rsidRDefault="009C4883" w:rsidP="009C4883">
      <w:pPr>
        <w:rPr>
          <w:b/>
        </w:rPr>
      </w:pPr>
      <w:r w:rsidRPr="009C4883">
        <w:rPr>
          <w:b/>
        </w:rPr>
        <w:t>Первое совещание</w:t>
      </w:r>
    </w:p>
    <w:p w:rsidR="009C4883" w:rsidRPr="00692111" w:rsidRDefault="009C4883" w:rsidP="009C4883">
      <w:pPr>
        <w:spacing w:after="120"/>
      </w:pPr>
      <w:r w:rsidRPr="00692111">
        <w:t>Женева, 24–29 сентября 2017 года</w:t>
      </w:r>
    </w:p>
    <w:p w:rsidR="006370CE" w:rsidRPr="006370CE" w:rsidRDefault="006370CE" w:rsidP="00FB18C2">
      <w:pPr>
        <w:spacing w:before="320" w:after="240"/>
        <w:ind w:left="1247"/>
        <w:rPr>
          <w:b/>
          <w:sz w:val="28"/>
          <w:szCs w:val="28"/>
        </w:rPr>
      </w:pPr>
      <w:r w:rsidRPr="006370CE">
        <w:rPr>
          <w:b/>
          <w:sz w:val="28"/>
          <w:szCs w:val="28"/>
        </w:rPr>
        <w:t>Предварительная повестка дня</w:t>
      </w:r>
    </w:p>
    <w:p w:rsidR="00FB18C2" w:rsidRPr="00692111" w:rsidRDefault="009C3BA0" w:rsidP="009C3BA0">
      <w:pPr>
        <w:spacing w:after="120"/>
        <w:ind w:left="1871" w:hanging="624"/>
      </w:pPr>
      <w:r w:rsidRPr="009C3BA0">
        <w:t>1.</w:t>
      </w:r>
      <w:r w:rsidRPr="009C3BA0">
        <w:tab/>
      </w:r>
      <w:r w:rsidR="00FB18C2" w:rsidRPr="00692111">
        <w:t>Открытие совещания.</w:t>
      </w:r>
    </w:p>
    <w:p w:rsidR="00FB18C2" w:rsidRPr="00692111" w:rsidRDefault="009C3BA0" w:rsidP="009C3BA0">
      <w:pPr>
        <w:spacing w:after="120"/>
        <w:ind w:left="1871" w:hanging="624"/>
      </w:pPr>
      <w:r w:rsidRPr="009C3BA0">
        <w:t>2.</w:t>
      </w:r>
      <w:r w:rsidRPr="009C3BA0">
        <w:tab/>
      </w:r>
      <w:r w:rsidR="00FB18C2" w:rsidRPr="00692111">
        <w:t>Организационные вопросы:</w:t>
      </w:r>
    </w:p>
    <w:p w:rsidR="00FB18C2" w:rsidRPr="00692111" w:rsidRDefault="009C3BA0" w:rsidP="009C3BA0">
      <w:pPr>
        <w:spacing w:after="120"/>
        <w:ind w:left="2495" w:hanging="624"/>
      </w:pPr>
      <w:r>
        <w:rPr>
          <w:lang w:val="en-US"/>
        </w:rPr>
        <w:t>a</w:t>
      </w:r>
      <w:r w:rsidRPr="009C3BA0">
        <w:t>)</w:t>
      </w:r>
      <w:r w:rsidRPr="009C3BA0">
        <w:tab/>
      </w:r>
      <w:proofErr w:type="gramStart"/>
      <w:r w:rsidR="00FB18C2" w:rsidRPr="00692111">
        <w:t>утверждение</w:t>
      </w:r>
      <w:proofErr w:type="gramEnd"/>
      <w:r w:rsidR="00FB18C2" w:rsidRPr="00692111">
        <w:t xml:space="preserve"> правил процедуры;</w:t>
      </w:r>
    </w:p>
    <w:p w:rsidR="00FB18C2" w:rsidRPr="00692111" w:rsidRDefault="009C3BA0" w:rsidP="009C3BA0">
      <w:pPr>
        <w:spacing w:after="120"/>
        <w:ind w:left="2495" w:hanging="624"/>
      </w:pPr>
      <w:r>
        <w:rPr>
          <w:lang w:val="en-US"/>
        </w:rPr>
        <w:t>b</w:t>
      </w:r>
      <w:r w:rsidRPr="009C3BA0">
        <w:t>)</w:t>
      </w:r>
      <w:r w:rsidRPr="009C3BA0">
        <w:tab/>
      </w:r>
      <w:proofErr w:type="gramStart"/>
      <w:r w:rsidR="00FB18C2" w:rsidRPr="00692111">
        <w:t>выборы</w:t>
      </w:r>
      <w:proofErr w:type="gramEnd"/>
      <w:r w:rsidR="00FB18C2" w:rsidRPr="00692111">
        <w:t xml:space="preserve"> должностных лиц;</w:t>
      </w:r>
    </w:p>
    <w:p w:rsidR="00FB18C2" w:rsidRPr="00692111" w:rsidRDefault="009C3BA0" w:rsidP="009C3BA0">
      <w:pPr>
        <w:spacing w:after="120"/>
        <w:ind w:left="2495" w:hanging="624"/>
      </w:pPr>
      <w:r>
        <w:rPr>
          <w:lang w:val="en-US"/>
        </w:rPr>
        <w:t>c</w:t>
      </w:r>
      <w:r w:rsidRPr="009C3BA0">
        <w:t>)</w:t>
      </w:r>
      <w:r w:rsidRPr="009C3BA0">
        <w:tab/>
      </w:r>
      <w:proofErr w:type="gramStart"/>
      <w:r w:rsidR="00FB18C2" w:rsidRPr="00692111">
        <w:t>утверждение</w:t>
      </w:r>
      <w:proofErr w:type="gramEnd"/>
      <w:r w:rsidR="00FB18C2" w:rsidRPr="00692111">
        <w:t xml:space="preserve"> повестки дня;</w:t>
      </w:r>
    </w:p>
    <w:p w:rsidR="00FB18C2" w:rsidRPr="00692111" w:rsidRDefault="009C3BA0" w:rsidP="009C3BA0">
      <w:pPr>
        <w:spacing w:after="120"/>
        <w:ind w:left="2495" w:hanging="624"/>
      </w:pPr>
      <w:r>
        <w:rPr>
          <w:lang w:val="en-US"/>
        </w:rPr>
        <w:t>d</w:t>
      </w:r>
      <w:r w:rsidRPr="009C3BA0">
        <w:t>)</w:t>
      </w:r>
      <w:r w:rsidRPr="009C3BA0">
        <w:tab/>
      </w:r>
      <w:proofErr w:type="gramStart"/>
      <w:r w:rsidR="00FB18C2" w:rsidRPr="00692111">
        <w:t>назначение</w:t>
      </w:r>
      <w:proofErr w:type="gramEnd"/>
      <w:r w:rsidR="00FB18C2" w:rsidRPr="00692111">
        <w:t xml:space="preserve"> Комитета по проверке полномочий;</w:t>
      </w:r>
    </w:p>
    <w:p w:rsidR="00FB18C2" w:rsidRPr="00692111" w:rsidRDefault="009C3BA0" w:rsidP="009C3BA0">
      <w:pPr>
        <w:spacing w:after="120"/>
        <w:ind w:left="2495" w:hanging="624"/>
      </w:pPr>
      <w:r>
        <w:rPr>
          <w:lang w:val="en-US"/>
        </w:rPr>
        <w:t>e</w:t>
      </w:r>
      <w:r w:rsidRPr="009C3BA0">
        <w:t>)</w:t>
      </w:r>
      <w:r w:rsidRPr="009C3BA0">
        <w:tab/>
      </w:r>
      <w:proofErr w:type="gramStart"/>
      <w:r w:rsidR="00FB18C2" w:rsidRPr="00692111">
        <w:t>организация</w:t>
      </w:r>
      <w:proofErr w:type="gramEnd"/>
      <w:r w:rsidR="00FB18C2" w:rsidRPr="00692111">
        <w:t xml:space="preserve"> работы.</w:t>
      </w:r>
    </w:p>
    <w:p w:rsidR="00FB18C2" w:rsidRPr="00692111" w:rsidRDefault="009C3BA0" w:rsidP="009C3BA0">
      <w:pPr>
        <w:spacing w:after="120"/>
        <w:ind w:left="1871" w:hanging="624"/>
      </w:pPr>
      <w:r w:rsidRPr="009C3BA0">
        <w:t>3.</w:t>
      </w:r>
      <w:r w:rsidRPr="009C3BA0">
        <w:tab/>
      </w:r>
      <w:r w:rsidR="00FB18C2" w:rsidRPr="00692111">
        <w:t>Доклад Комитета по проверке полномочий.</w:t>
      </w:r>
    </w:p>
    <w:p w:rsidR="00FB18C2" w:rsidRPr="00692111" w:rsidRDefault="009C3BA0" w:rsidP="009C3BA0">
      <w:pPr>
        <w:spacing w:after="120"/>
        <w:ind w:left="1871" w:hanging="624"/>
      </w:pPr>
      <w:r w:rsidRPr="009C3BA0">
        <w:t>4.</w:t>
      </w:r>
      <w:r w:rsidRPr="009C3BA0">
        <w:tab/>
      </w:r>
      <w:r w:rsidR="00FB18C2" w:rsidRPr="00692111">
        <w:t>Доклад о результатах деятельности Межправительственного комитета для ведения переговоров по подготовке имеющего обязательную юридическую силу глобального документа по ртути.</w:t>
      </w:r>
    </w:p>
    <w:p w:rsidR="00FB18C2" w:rsidRPr="00C15902" w:rsidRDefault="009C3BA0" w:rsidP="009C3BA0">
      <w:pPr>
        <w:spacing w:after="120"/>
        <w:ind w:left="1871" w:hanging="624"/>
      </w:pPr>
      <w:r w:rsidRPr="009C3BA0">
        <w:t>5.</w:t>
      </w:r>
      <w:r w:rsidRPr="009C3BA0">
        <w:tab/>
      </w:r>
      <w:r w:rsidR="00FB18C2" w:rsidRPr="00692111">
        <w:t xml:space="preserve">Вопросы для принятия мер Конференцией Сторон </w:t>
      </w:r>
      <w:r w:rsidR="00C15902">
        <w:t>на ее первом совещании</w:t>
      </w:r>
      <w:r w:rsidR="00C15902" w:rsidRPr="00C15902">
        <w:t>:</w:t>
      </w:r>
    </w:p>
    <w:p w:rsidR="00FB18C2" w:rsidRPr="00692111" w:rsidRDefault="00C15902" w:rsidP="00C15902">
      <w:pPr>
        <w:spacing w:after="120"/>
        <w:ind w:left="2495" w:hanging="624"/>
      </w:pPr>
      <w:r>
        <w:rPr>
          <w:lang w:val="en-US"/>
        </w:rPr>
        <w:t>a</w:t>
      </w:r>
      <w:r w:rsidRPr="00C15902">
        <w:t>)</w:t>
      </w:r>
      <w:r w:rsidRPr="00C15902">
        <w:tab/>
      </w:r>
      <w:proofErr w:type="gramStart"/>
      <w:r w:rsidRPr="00692111">
        <w:t>вопросы</w:t>
      </w:r>
      <w:proofErr w:type="gramEnd"/>
      <w:r w:rsidR="00FB18C2" w:rsidRPr="00692111">
        <w:t xml:space="preserve">, </w:t>
      </w:r>
      <w:r w:rsidR="00C156D4">
        <w:t xml:space="preserve">оговоренные в </w:t>
      </w:r>
      <w:r w:rsidR="00FB18C2" w:rsidRPr="00692111">
        <w:t>Конвенци</w:t>
      </w:r>
      <w:r w:rsidR="00C156D4">
        <w:t>и</w:t>
      </w:r>
      <w:r w:rsidR="00FB18C2" w:rsidRPr="00692111">
        <w:t>:</w:t>
      </w:r>
    </w:p>
    <w:p w:rsidR="00FB18C2" w:rsidRPr="00692111" w:rsidRDefault="006D7E69" w:rsidP="006D7E69">
      <w:pPr>
        <w:spacing w:after="120"/>
        <w:ind w:left="3119" w:hanging="624"/>
      </w:pPr>
      <w:r>
        <w:rPr>
          <w:lang w:val="en-US"/>
        </w:rPr>
        <w:t>i</w:t>
      </w:r>
      <w:r w:rsidRPr="006D7E69">
        <w:t>)</w:t>
      </w:r>
      <w:r w:rsidRPr="006D7E69">
        <w:tab/>
      </w:r>
      <w:proofErr w:type="gramStart"/>
      <w:r w:rsidR="00FB18C2" w:rsidRPr="00692111">
        <w:t>указания</w:t>
      </w:r>
      <w:proofErr w:type="gramEnd"/>
      <w:r w:rsidR="00FB18C2" w:rsidRPr="00692111">
        <w:t xml:space="preserve"> в связи со статьей 3, в частности, в отношении пунктов 5 a), 6 и 8 статьи 3;</w:t>
      </w:r>
    </w:p>
    <w:p w:rsidR="00FB18C2" w:rsidRPr="00692111" w:rsidRDefault="006D7E69" w:rsidP="006D7E69">
      <w:pPr>
        <w:spacing w:after="120"/>
        <w:ind w:left="3119" w:hanging="624"/>
      </w:pPr>
      <w:r>
        <w:rPr>
          <w:lang w:val="en-US"/>
        </w:rPr>
        <w:t>ii</w:t>
      </w:r>
      <w:r w:rsidRPr="006D7E69">
        <w:t>)</w:t>
      </w:r>
      <w:r w:rsidRPr="006D7E69">
        <w:tab/>
      </w:r>
      <w:proofErr w:type="gramStart"/>
      <w:r w:rsidR="00FB18C2" w:rsidRPr="00692111">
        <w:t>требуемое</w:t>
      </w:r>
      <w:proofErr w:type="gramEnd"/>
      <w:r w:rsidR="00FB18C2" w:rsidRPr="00692111">
        <w:t xml:space="preserve"> содержание </w:t>
      </w:r>
      <w:r w:rsidR="00C156D4">
        <w:t>подтверждения</w:t>
      </w:r>
      <w:r w:rsidR="00FB18C2" w:rsidRPr="00692111">
        <w:t xml:space="preserve">, </w:t>
      </w:r>
      <w:r>
        <w:t>как это предусмотрено в пунктах</w:t>
      </w:r>
      <w:r>
        <w:rPr>
          <w:lang w:val="en-US"/>
        </w:rPr>
        <w:t> </w:t>
      </w:r>
      <w:r w:rsidR="00FB18C2" w:rsidRPr="00692111">
        <w:t>6</w:t>
      </w:r>
      <w:r>
        <w:rPr>
          <w:lang w:val="en-US"/>
        </w:rPr>
        <w:t> </w:t>
      </w:r>
      <w:r w:rsidR="00FB18C2" w:rsidRPr="00692111">
        <w:t>b) и 8 статьи 3;</w:t>
      </w:r>
    </w:p>
    <w:p w:rsidR="00FB18C2" w:rsidRPr="00692111" w:rsidRDefault="006D7E69" w:rsidP="006D7E69">
      <w:pPr>
        <w:spacing w:after="120"/>
        <w:ind w:left="3119" w:hanging="624"/>
      </w:pPr>
      <w:r>
        <w:rPr>
          <w:lang w:val="en-US"/>
        </w:rPr>
        <w:t>iii</w:t>
      </w:r>
      <w:r w:rsidRPr="006D7E69">
        <w:t>)</w:t>
      </w:r>
      <w:r w:rsidRPr="006D7E69">
        <w:tab/>
      </w:r>
      <w:proofErr w:type="gramStart"/>
      <w:r w:rsidR="00FB18C2" w:rsidRPr="00692111">
        <w:t>руководящие</w:t>
      </w:r>
      <w:proofErr w:type="gramEnd"/>
      <w:r w:rsidR="00FB18C2" w:rsidRPr="00692111">
        <w:t xml:space="preserve"> принципы, </w:t>
      </w:r>
      <w:r w:rsidR="00A00BC8">
        <w:t>упомянутые</w:t>
      </w:r>
      <w:r w:rsidR="00FB18C2" w:rsidRPr="00692111">
        <w:t xml:space="preserve"> в пунктах 8 а) и 8 b) статьи 8;</w:t>
      </w:r>
    </w:p>
    <w:p w:rsidR="00FB18C2" w:rsidRPr="00692111" w:rsidRDefault="006D7E69" w:rsidP="006D7E69">
      <w:pPr>
        <w:spacing w:after="120"/>
        <w:ind w:left="3119" w:hanging="624"/>
      </w:pPr>
      <w:r>
        <w:rPr>
          <w:lang w:val="en-US"/>
        </w:rPr>
        <w:t>iv</w:t>
      </w:r>
      <w:r w:rsidRPr="006D7E69">
        <w:t>)</w:t>
      </w:r>
      <w:r w:rsidRPr="006D7E69">
        <w:tab/>
      </w:r>
      <w:proofErr w:type="gramStart"/>
      <w:r w:rsidR="00FB18C2" w:rsidRPr="00692111">
        <w:t>меры</w:t>
      </w:r>
      <w:proofErr w:type="gramEnd"/>
      <w:r w:rsidR="00FB18C2" w:rsidRPr="00692111">
        <w:t xml:space="preserve"> для введения в действие процедур для механизма финансирования, как это предусмотрено в статье 13;</w:t>
      </w:r>
    </w:p>
    <w:p w:rsidR="00FB18C2" w:rsidRPr="00692111" w:rsidRDefault="006D7E69" w:rsidP="006D7E69">
      <w:pPr>
        <w:spacing w:after="120"/>
        <w:ind w:left="3119" w:hanging="624"/>
      </w:pPr>
      <w:r>
        <w:rPr>
          <w:lang w:val="en-US"/>
        </w:rPr>
        <w:t>v</w:t>
      </w:r>
      <w:r w:rsidRPr="006D7E69">
        <w:t>)</w:t>
      </w:r>
      <w:r w:rsidRPr="006D7E69">
        <w:tab/>
      </w:r>
      <w:proofErr w:type="gramStart"/>
      <w:r w:rsidR="00FB18C2" w:rsidRPr="00692111">
        <w:t>членский</w:t>
      </w:r>
      <w:proofErr w:type="gramEnd"/>
      <w:r w:rsidR="00FB18C2" w:rsidRPr="00692111">
        <w:t xml:space="preserve"> состав Комитета по осуществлению и соблюдению, как </w:t>
      </w:r>
      <w:r w:rsidR="00A00BC8">
        <w:t>указано</w:t>
      </w:r>
      <w:r w:rsidR="00FB18C2" w:rsidRPr="00692111">
        <w:t xml:space="preserve"> в пункте 3 статьи 15;</w:t>
      </w:r>
    </w:p>
    <w:p w:rsidR="00FB18C2" w:rsidRPr="00692111" w:rsidRDefault="006D2235" w:rsidP="006D2235">
      <w:pPr>
        <w:spacing w:after="120"/>
        <w:ind w:left="3119" w:hanging="624"/>
      </w:pPr>
      <w:r>
        <w:rPr>
          <w:lang w:val="en-US"/>
        </w:rPr>
        <w:t>vi</w:t>
      </w:r>
      <w:r w:rsidRPr="006D2235">
        <w:t>)</w:t>
      </w:r>
      <w:r w:rsidRPr="006D2235">
        <w:tab/>
      </w:r>
      <w:proofErr w:type="gramStart"/>
      <w:r w:rsidR="00FB18C2" w:rsidRPr="00692111">
        <w:t>периодичность</w:t>
      </w:r>
      <w:proofErr w:type="gramEnd"/>
      <w:r w:rsidR="00FB18C2" w:rsidRPr="00692111">
        <w:t xml:space="preserve"> и форма представления Сторонами отчетности, как это предусмотрено в пункте 3 статьи 21;</w:t>
      </w:r>
    </w:p>
    <w:p w:rsidR="00FB18C2" w:rsidRPr="00692111" w:rsidRDefault="006D2235" w:rsidP="006D7E69">
      <w:pPr>
        <w:spacing w:after="120"/>
        <w:ind w:left="3119" w:hanging="624"/>
      </w:pPr>
      <w:r>
        <w:rPr>
          <w:lang w:val="en-US"/>
        </w:rPr>
        <w:t>vii</w:t>
      </w:r>
      <w:r w:rsidRPr="006D2235">
        <w:t>)</w:t>
      </w:r>
      <w:r w:rsidRPr="006D2235">
        <w:tab/>
      </w:r>
      <w:proofErr w:type="gramStart"/>
      <w:r w:rsidR="00FB18C2" w:rsidRPr="00692111">
        <w:t>формирование</w:t>
      </w:r>
      <w:proofErr w:type="gramEnd"/>
      <w:r w:rsidR="00FB18C2" w:rsidRPr="00692111">
        <w:t xml:space="preserve"> механизмов в отношении оценки эффективности, как это предусмотрено в пункте 2 статьи 22;</w:t>
      </w:r>
    </w:p>
    <w:p w:rsidR="00FB18C2" w:rsidRPr="00692111" w:rsidRDefault="006D2235" w:rsidP="006D7E69">
      <w:pPr>
        <w:spacing w:after="120"/>
        <w:ind w:left="3119" w:hanging="624"/>
      </w:pPr>
      <w:r>
        <w:rPr>
          <w:lang w:val="en-US"/>
        </w:rPr>
        <w:t>viii</w:t>
      </w:r>
      <w:r w:rsidRPr="006D2235">
        <w:t>)</w:t>
      </w:r>
      <w:r w:rsidRPr="006D2235">
        <w:tab/>
      </w:r>
      <w:proofErr w:type="gramStart"/>
      <w:r w:rsidR="00FB18C2" w:rsidRPr="00692111">
        <w:t>финансовые</w:t>
      </w:r>
      <w:proofErr w:type="gramEnd"/>
      <w:r w:rsidR="00FB18C2" w:rsidRPr="00692111">
        <w:t xml:space="preserve"> правила для Конференции Сторон и любых ее вспомогательных органов, а также финансовые положения, регулирующие функционирование секретариата, как это предусмотрено в пункте 4 статьи 23;</w:t>
      </w:r>
    </w:p>
    <w:p w:rsidR="00FB18C2" w:rsidRPr="00692111" w:rsidRDefault="00D03CC0" w:rsidP="00D03CC0">
      <w:pPr>
        <w:spacing w:after="120"/>
        <w:ind w:left="2495" w:hanging="624"/>
      </w:pPr>
      <w:r>
        <w:rPr>
          <w:lang w:val="en-US"/>
        </w:rPr>
        <w:lastRenderedPageBreak/>
        <w:t>b</w:t>
      </w:r>
      <w:r w:rsidRPr="00D03CC0">
        <w:t>)</w:t>
      </w:r>
      <w:r w:rsidRPr="00D03CC0">
        <w:tab/>
      </w:r>
      <w:proofErr w:type="gramStart"/>
      <w:r w:rsidRPr="00692111">
        <w:t>вопросы</w:t>
      </w:r>
      <w:proofErr w:type="gramEnd"/>
      <w:r w:rsidR="00FB18C2" w:rsidRPr="00692111">
        <w:t xml:space="preserve">, предусмотренные Конференцией </w:t>
      </w:r>
      <w:r w:rsidR="005579C4">
        <w:t>п</w:t>
      </w:r>
      <w:r w:rsidR="00FB18C2" w:rsidRPr="00692111">
        <w:t xml:space="preserve">олномочных представителей: </w:t>
      </w:r>
    </w:p>
    <w:p w:rsidR="00FB18C2" w:rsidRPr="00692111" w:rsidRDefault="00D03CC0" w:rsidP="00D03CC0">
      <w:pPr>
        <w:spacing w:after="120"/>
        <w:ind w:left="3119" w:hanging="624"/>
      </w:pPr>
      <w:r>
        <w:rPr>
          <w:lang w:val="en-US"/>
        </w:rPr>
        <w:t>i</w:t>
      </w:r>
      <w:r w:rsidRPr="00D03CC0">
        <w:t>)</w:t>
      </w:r>
      <w:r w:rsidRPr="00D03CC0">
        <w:tab/>
      </w:r>
      <w:proofErr w:type="gramStart"/>
      <w:r w:rsidR="00FB18C2" w:rsidRPr="00692111">
        <w:t>положения</w:t>
      </w:r>
      <w:proofErr w:type="gramEnd"/>
      <w:r w:rsidR="00FB18C2" w:rsidRPr="00692111">
        <w:t>, касающиеся функций постоянного секретариата Минаматской конвенции;</w:t>
      </w:r>
    </w:p>
    <w:p w:rsidR="00FB18C2" w:rsidRPr="00692111" w:rsidRDefault="00D03CC0" w:rsidP="00D03CC0">
      <w:pPr>
        <w:spacing w:after="120"/>
        <w:ind w:left="3119" w:hanging="624"/>
      </w:pPr>
      <w:r>
        <w:rPr>
          <w:lang w:val="en-US"/>
        </w:rPr>
        <w:t>ii</w:t>
      </w:r>
      <w:r w:rsidRPr="00D03CC0">
        <w:t>)</w:t>
      </w:r>
      <w:r w:rsidRPr="00D03CC0">
        <w:tab/>
      </w:r>
      <w:proofErr w:type="gramStart"/>
      <w:r w:rsidR="00FB18C2" w:rsidRPr="00692111">
        <w:t>проект</w:t>
      </w:r>
      <w:proofErr w:type="gramEnd"/>
      <w:r w:rsidR="00FB18C2" w:rsidRPr="00692111">
        <w:t xml:space="preserve"> меморандума о взаимопонимании между Конференцией Сторон Минаматской конвенции</w:t>
      </w:r>
      <w:r w:rsidR="007E6B6D" w:rsidRPr="007E6B6D">
        <w:t xml:space="preserve"> </w:t>
      </w:r>
      <w:r w:rsidR="007E6B6D">
        <w:t xml:space="preserve">и </w:t>
      </w:r>
      <w:r w:rsidR="007E6B6D" w:rsidRPr="00692111">
        <w:t>Советом Глобального экологического фонда</w:t>
      </w:r>
      <w:r w:rsidR="00FB18C2" w:rsidRPr="00692111">
        <w:t>;</w:t>
      </w:r>
    </w:p>
    <w:p w:rsidR="00FB18C2" w:rsidRPr="00692111" w:rsidRDefault="00367574" w:rsidP="00367574">
      <w:pPr>
        <w:spacing w:after="120"/>
        <w:ind w:left="2495" w:hanging="624"/>
      </w:pPr>
      <w:r>
        <w:rPr>
          <w:lang w:val="en-US"/>
        </w:rPr>
        <w:t>c</w:t>
      </w:r>
      <w:r w:rsidRPr="00367574">
        <w:t>)</w:t>
      </w:r>
      <w:r w:rsidRPr="00367574">
        <w:tab/>
      </w:r>
      <w:proofErr w:type="gramStart"/>
      <w:r w:rsidRPr="00692111">
        <w:t>вопросы</w:t>
      </w:r>
      <w:proofErr w:type="gramEnd"/>
      <w:r w:rsidR="00FB18C2" w:rsidRPr="00692111">
        <w:t xml:space="preserve">, рекомендованные Межправительственным комитетом для ведения переговоров: </w:t>
      </w:r>
    </w:p>
    <w:p w:rsidR="00FB18C2" w:rsidRPr="00692111" w:rsidRDefault="00367574" w:rsidP="00367574">
      <w:pPr>
        <w:spacing w:after="120"/>
        <w:ind w:left="3119" w:hanging="624"/>
      </w:pPr>
      <w:r>
        <w:rPr>
          <w:lang w:val="en-US"/>
        </w:rPr>
        <w:t>i</w:t>
      </w:r>
      <w:r w:rsidRPr="00367574">
        <w:t>)</w:t>
      </w:r>
      <w:r w:rsidRPr="00367574">
        <w:tab/>
      </w:r>
      <w:proofErr w:type="gramStart"/>
      <w:r w:rsidR="00FB18C2" w:rsidRPr="00692111">
        <w:t>утверждение</w:t>
      </w:r>
      <w:proofErr w:type="gramEnd"/>
      <w:r w:rsidR="00FB18C2" w:rsidRPr="00692111">
        <w:t xml:space="preserve"> форм</w:t>
      </w:r>
      <w:r w:rsidR="00CB4ED7">
        <w:t xml:space="preserve"> для </w:t>
      </w:r>
      <w:r w:rsidR="00FB18C2" w:rsidRPr="00692111">
        <w:t>использова</w:t>
      </w:r>
      <w:r w:rsidR="00CB4ED7">
        <w:t>ния</w:t>
      </w:r>
      <w:r w:rsidR="00FB18C2" w:rsidRPr="00692111">
        <w:t xml:space="preserve"> при подаче заявок на предоставление исключений в отношении сроков поэтапного вывода из обращения, указанных в приложении А и приложении В;</w:t>
      </w:r>
    </w:p>
    <w:p w:rsidR="00FB18C2" w:rsidRPr="00692111" w:rsidRDefault="00367574" w:rsidP="00367574">
      <w:pPr>
        <w:spacing w:after="120"/>
        <w:ind w:left="3119" w:hanging="624"/>
      </w:pPr>
      <w:r>
        <w:rPr>
          <w:lang w:val="en-US"/>
        </w:rPr>
        <w:t>ii</w:t>
      </w:r>
      <w:r w:rsidRPr="00367574">
        <w:t>)</w:t>
      </w:r>
      <w:r w:rsidRPr="00367574">
        <w:tab/>
      </w:r>
      <w:proofErr w:type="gramStart"/>
      <w:r w:rsidR="00FB18C2" w:rsidRPr="00692111">
        <w:t>руководящий</w:t>
      </w:r>
      <w:proofErr w:type="gramEnd"/>
      <w:r w:rsidR="00FB18C2" w:rsidRPr="00692111">
        <w:t xml:space="preserve"> документ по вопросам подготовки национальных планов действий в отношении кустарной и мелкомасштабной золотодобычи;</w:t>
      </w:r>
    </w:p>
    <w:p w:rsidR="00FB18C2" w:rsidRPr="00692111" w:rsidRDefault="004D67C6" w:rsidP="00367574">
      <w:pPr>
        <w:spacing w:after="120"/>
        <w:ind w:left="3119" w:hanging="624"/>
      </w:pPr>
      <w:r>
        <w:rPr>
          <w:lang w:val="en-US"/>
        </w:rPr>
        <w:t>iii</w:t>
      </w:r>
      <w:r w:rsidRPr="004D67C6">
        <w:t>)</w:t>
      </w:r>
      <w:r w:rsidRPr="004D67C6">
        <w:tab/>
      </w:r>
      <w:proofErr w:type="gramStart"/>
      <w:r w:rsidR="00FB18C2" w:rsidRPr="00692111">
        <w:t>местонахождение</w:t>
      </w:r>
      <w:proofErr w:type="gramEnd"/>
      <w:r w:rsidR="00FB18C2" w:rsidRPr="00692111">
        <w:t xml:space="preserve"> постоянного секретариата;</w:t>
      </w:r>
    </w:p>
    <w:p w:rsidR="00FB18C2" w:rsidRPr="00692111" w:rsidRDefault="004D67C6" w:rsidP="00367574">
      <w:pPr>
        <w:spacing w:after="120"/>
        <w:ind w:left="3119" w:hanging="624"/>
      </w:pPr>
      <w:r>
        <w:rPr>
          <w:lang w:val="en-US"/>
        </w:rPr>
        <w:t>iv</w:t>
      </w:r>
      <w:r w:rsidRPr="004D67C6">
        <w:t>)</w:t>
      </w:r>
      <w:r w:rsidRPr="004D67C6">
        <w:tab/>
      </w:r>
      <w:proofErr w:type="gramStart"/>
      <w:r w:rsidR="00FB18C2" w:rsidRPr="00692111">
        <w:t>рассмотрение</w:t>
      </w:r>
      <w:proofErr w:type="gramEnd"/>
      <w:r w:rsidR="00FB18C2" w:rsidRPr="00692111">
        <w:t xml:space="preserve"> доклада по вопросу об открытом сжигании;</w:t>
      </w:r>
    </w:p>
    <w:p w:rsidR="00FB18C2" w:rsidRPr="00692111" w:rsidRDefault="004D67C6" w:rsidP="004D67C6">
      <w:pPr>
        <w:spacing w:after="120"/>
        <w:ind w:left="2495" w:hanging="624"/>
      </w:pPr>
      <w:r>
        <w:rPr>
          <w:lang w:val="en-US"/>
        </w:rPr>
        <w:t>d</w:t>
      </w:r>
      <w:r w:rsidRPr="004D67C6">
        <w:t>)</w:t>
      </w:r>
      <w:r w:rsidRPr="004D67C6">
        <w:tab/>
      </w:r>
      <w:proofErr w:type="gramStart"/>
      <w:r w:rsidR="00FB18C2" w:rsidRPr="00692111">
        <w:t>программа</w:t>
      </w:r>
      <w:proofErr w:type="gramEnd"/>
      <w:r w:rsidR="00FB18C2" w:rsidRPr="00692111">
        <w:t xml:space="preserve"> работы секретариата и бюджет на период 2018–2019 годов.</w:t>
      </w:r>
    </w:p>
    <w:p w:rsidR="00FB18C2" w:rsidRPr="00692111" w:rsidRDefault="004D67C6" w:rsidP="009C3BA0">
      <w:pPr>
        <w:spacing w:after="120"/>
        <w:ind w:left="1871" w:hanging="624"/>
      </w:pPr>
      <w:r w:rsidRPr="004D67C6">
        <w:t>6.</w:t>
      </w:r>
      <w:r w:rsidRPr="004D67C6">
        <w:tab/>
      </w:r>
      <w:r w:rsidR="00FB18C2" w:rsidRPr="00692111">
        <w:t>Вопросы, предусмотренные Конвенцией для принятия мер Конференцией Сторон:</w:t>
      </w:r>
    </w:p>
    <w:p w:rsidR="00FB18C2" w:rsidRPr="00356CD9" w:rsidRDefault="004D67C6" w:rsidP="004D67C6">
      <w:pPr>
        <w:spacing w:after="120"/>
        <w:ind w:left="2495" w:hanging="624"/>
      </w:pPr>
      <w:r>
        <w:rPr>
          <w:lang w:val="en-US"/>
        </w:rPr>
        <w:t>a</w:t>
      </w:r>
      <w:r w:rsidRPr="004D67C6">
        <w:t>)</w:t>
      </w:r>
      <w:r w:rsidRPr="004D67C6">
        <w:tab/>
      </w:r>
      <w:r w:rsidR="00FB18C2" w:rsidRPr="00692111">
        <w:t xml:space="preserve">рассмотрение вопросов о том, является ли торговля конкретными ртутными соединениями предметом Конвенции и следует ли распространять действие пунктов 6 и 8 статьи 3 на конкретные ртутные соединения в результате их включения </w:t>
      </w:r>
      <w:r w:rsidR="003B1331">
        <w:t xml:space="preserve">в </w:t>
      </w:r>
      <w:r w:rsidR="00FB18C2" w:rsidRPr="00692111">
        <w:t>дополнительно</w:t>
      </w:r>
      <w:r w:rsidR="00CB4ED7">
        <w:t>е</w:t>
      </w:r>
      <w:r w:rsidR="00FB18C2" w:rsidRPr="00692111">
        <w:t xml:space="preserve"> приложени</w:t>
      </w:r>
      <w:r w:rsidR="00CB4ED7">
        <w:t>е</w:t>
      </w:r>
      <w:r w:rsidR="00FB18C2" w:rsidRPr="00692111">
        <w:t>, принимаемо</w:t>
      </w:r>
      <w:r w:rsidR="00CB4ED7">
        <w:t>е</w:t>
      </w:r>
      <w:r w:rsidR="00356CD9">
        <w:t xml:space="preserve"> в соответствии со статьей</w:t>
      </w:r>
      <w:r w:rsidR="003B1331">
        <w:rPr>
          <w:lang w:val="en-US"/>
        </w:rPr>
        <w:t> </w:t>
      </w:r>
      <w:r w:rsidR="00356CD9">
        <w:t>27;</w:t>
      </w:r>
    </w:p>
    <w:p w:rsidR="00FB18C2" w:rsidRPr="00692111" w:rsidRDefault="004D67C6" w:rsidP="004D67C6">
      <w:pPr>
        <w:spacing w:after="120"/>
        <w:ind w:left="2495" w:hanging="624"/>
      </w:pPr>
      <w:r>
        <w:rPr>
          <w:lang w:val="en-US"/>
        </w:rPr>
        <w:t>b</w:t>
      </w:r>
      <w:r w:rsidRPr="004D67C6">
        <w:t>)</w:t>
      </w:r>
      <w:r w:rsidRPr="004D67C6">
        <w:tab/>
      </w:r>
      <w:proofErr w:type="gramStart"/>
      <w:r w:rsidR="00CB4ED7">
        <w:t>информация</w:t>
      </w:r>
      <w:proofErr w:type="gramEnd"/>
      <w:r w:rsidR="00FB18C2" w:rsidRPr="00692111">
        <w:t>, представляем</w:t>
      </w:r>
      <w:r w:rsidR="00CB4ED7">
        <w:t>ая</w:t>
      </w:r>
      <w:r w:rsidR="00FB18C2" w:rsidRPr="00692111">
        <w:t xml:space="preserve"> Сторонами, действующими в рамках пункта 2 статьи</w:t>
      </w:r>
      <w:r>
        <w:rPr>
          <w:lang w:val="en-US"/>
        </w:rPr>
        <w:t> </w:t>
      </w:r>
      <w:r w:rsidR="00FB18C2" w:rsidRPr="00692111">
        <w:t>4, и обзор эффективности мер;</w:t>
      </w:r>
    </w:p>
    <w:p w:rsidR="00FB18C2" w:rsidRPr="00692111" w:rsidRDefault="004D67C6" w:rsidP="004D67C6">
      <w:pPr>
        <w:spacing w:after="120"/>
        <w:ind w:left="2495" w:hanging="624"/>
      </w:pPr>
      <w:r>
        <w:rPr>
          <w:lang w:val="en-US"/>
        </w:rPr>
        <w:t>c</w:t>
      </w:r>
      <w:r w:rsidR="0066598D" w:rsidRPr="0066598D">
        <w:t>)</w:t>
      </w:r>
      <w:r w:rsidRPr="004D67C6">
        <w:tab/>
      </w:r>
      <w:proofErr w:type="gramStart"/>
      <w:r w:rsidR="00FB18C2" w:rsidRPr="00692111">
        <w:t>обзор</w:t>
      </w:r>
      <w:proofErr w:type="gramEnd"/>
      <w:r w:rsidR="00FB18C2" w:rsidRPr="00692111">
        <w:t xml:space="preserve"> </w:t>
      </w:r>
      <w:r w:rsidR="007E6B6D">
        <w:t xml:space="preserve">приложения </w:t>
      </w:r>
      <w:r w:rsidR="007E6B6D">
        <w:rPr>
          <w:lang w:val="en-US"/>
        </w:rPr>
        <w:t>A</w:t>
      </w:r>
      <w:r w:rsidR="00FB18C2" w:rsidRPr="00692111">
        <w:t>, как это предусмотрено в пункте 8 статьи</w:t>
      </w:r>
      <w:r w:rsidR="007E6B6D">
        <w:t xml:space="preserve"> 4</w:t>
      </w:r>
      <w:r w:rsidR="00FB18C2" w:rsidRPr="00692111">
        <w:t>;</w:t>
      </w:r>
    </w:p>
    <w:p w:rsidR="00FB18C2" w:rsidRPr="00692111" w:rsidRDefault="0066598D" w:rsidP="004D67C6">
      <w:pPr>
        <w:spacing w:after="120"/>
        <w:ind w:left="2495" w:hanging="624"/>
      </w:pPr>
      <w:r>
        <w:rPr>
          <w:lang w:val="en-US"/>
        </w:rPr>
        <w:t>d</w:t>
      </w:r>
      <w:r w:rsidRPr="0066598D">
        <w:t>)</w:t>
      </w:r>
      <w:r w:rsidRPr="0066598D">
        <w:tab/>
      </w:r>
      <w:proofErr w:type="gramStart"/>
      <w:r w:rsidR="00FB18C2" w:rsidRPr="00692111">
        <w:t>обзор</w:t>
      </w:r>
      <w:proofErr w:type="gramEnd"/>
      <w:r w:rsidR="00FB18C2" w:rsidRPr="00692111">
        <w:t xml:space="preserve"> </w:t>
      </w:r>
      <w:r w:rsidR="007E6B6D">
        <w:t xml:space="preserve">приложения </w:t>
      </w:r>
      <w:r w:rsidR="007E6B6D">
        <w:rPr>
          <w:lang w:val="en-US"/>
        </w:rPr>
        <w:t>B</w:t>
      </w:r>
      <w:r w:rsidR="00FB18C2" w:rsidRPr="00692111">
        <w:t>, как это предусмотрено в пункте 10 статьи</w:t>
      </w:r>
      <w:r w:rsidR="007E6B6D">
        <w:t xml:space="preserve"> 5</w:t>
      </w:r>
      <w:r w:rsidR="00FB18C2" w:rsidRPr="00692111">
        <w:t>;</w:t>
      </w:r>
    </w:p>
    <w:p w:rsidR="00FB18C2" w:rsidRPr="00692111" w:rsidRDefault="0066598D" w:rsidP="004D67C6">
      <w:pPr>
        <w:spacing w:after="120"/>
        <w:ind w:left="2495" w:hanging="624"/>
      </w:pPr>
      <w:r>
        <w:rPr>
          <w:lang w:val="en-US"/>
        </w:rPr>
        <w:t>e</w:t>
      </w:r>
      <w:r w:rsidRPr="0066598D">
        <w:t>)</w:t>
      </w:r>
      <w:r w:rsidRPr="0066598D">
        <w:tab/>
      </w:r>
      <w:proofErr w:type="gramStart"/>
      <w:r w:rsidR="00FB18C2" w:rsidRPr="00692111">
        <w:t>руководящие</w:t>
      </w:r>
      <w:proofErr w:type="gramEnd"/>
      <w:r w:rsidR="00FB18C2" w:rsidRPr="00692111">
        <w:t xml:space="preserve"> принципы, как это предусмотрено в пунктах 9 а) и 9 b) статьи 8;</w:t>
      </w:r>
    </w:p>
    <w:p w:rsidR="00FB18C2" w:rsidRPr="00692111" w:rsidRDefault="0066598D" w:rsidP="004D67C6">
      <w:pPr>
        <w:spacing w:after="120"/>
        <w:ind w:left="2495" w:hanging="624"/>
      </w:pPr>
      <w:r>
        <w:rPr>
          <w:lang w:val="en-US"/>
        </w:rPr>
        <w:t>f</w:t>
      </w:r>
      <w:r w:rsidRPr="0066598D">
        <w:t>)</w:t>
      </w:r>
      <w:r w:rsidRPr="0066598D">
        <w:tab/>
      </w:r>
      <w:proofErr w:type="gramStart"/>
      <w:r w:rsidR="00FB18C2" w:rsidRPr="00692111">
        <w:t>руководящие</w:t>
      </w:r>
      <w:proofErr w:type="gramEnd"/>
      <w:r w:rsidR="00FB18C2" w:rsidRPr="00692111">
        <w:t xml:space="preserve"> принципы, как это предусмотрено в пунктах 7 а) и 7 b) статьи 9;</w:t>
      </w:r>
    </w:p>
    <w:p w:rsidR="00FB18C2" w:rsidRPr="00692111" w:rsidRDefault="0066598D" w:rsidP="004D67C6">
      <w:pPr>
        <w:spacing w:after="120"/>
        <w:ind w:left="2495" w:hanging="624"/>
      </w:pPr>
      <w:r>
        <w:rPr>
          <w:lang w:val="en-US"/>
        </w:rPr>
        <w:t>g</w:t>
      </w:r>
      <w:r w:rsidRPr="0066598D">
        <w:t>)</w:t>
      </w:r>
      <w:r w:rsidRPr="0066598D">
        <w:tab/>
      </w:r>
      <w:proofErr w:type="gramStart"/>
      <w:r w:rsidR="00FB18C2" w:rsidRPr="00692111">
        <w:t>руководящие</w:t>
      </w:r>
      <w:proofErr w:type="gramEnd"/>
      <w:r w:rsidR="00FB18C2" w:rsidRPr="00692111">
        <w:t xml:space="preserve"> принципы временного хранения ртути и ртутных соединений, как это предусмотрено в пункте 3 статьи 10;</w:t>
      </w:r>
    </w:p>
    <w:p w:rsidR="00FB18C2" w:rsidRPr="00692111" w:rsidRDefault="0066598D" w:rsidP="004D67C6">
      <w:pPr>
        <w:spacing w:after="120"/>
        <w:ind w:left="2495" w:hanging="624"/>
      </w:pPr>
      <w:r>
        <w:rPr>
          <w:lang w:val="en-US"/>
        </w:rPr>
        <w:t>h</w:t>
      </w:r>
      <w:r w:rsidRPr="0066598D">
        <w:t>)</w:t>
      </w:r>
      <w:r w:rsidRPr="0066598D">
        <w:tab/>
      </w:r>
      <w:proofErr w:type="gramStart"/>
      <w:r w:rsidR="00FB18C2" w:rsidRPr="00692111">
        <w:t>определение</w:t>
      </w:r>
      <w:proofErr w:type="gramEnd"/>
      <w:r w:rsidR="00FB18C2" w:rsidRPr="00692111">
        <w:t xml:space="preserve"> пороговых значений для ртутных отходов, как это предусмотрено в пункте 2 статьи 11;</w:t>
      </w:r>
    </w:p>
    <w:p w:rsidR="00FB18C2" w:rsidRPr="00692111" w:rsidRDefault="0066598D" w:rsidP="004D67C6">
      <w:pPr>
        <w:spacing w:after="120"/>
        <w:ind w:left="2495" w:hanging="624"/>
      </w:pPr>
      <w:r>
        <w:rPr>
          <w:lang w:val="en-US"/>
        </w:rPr>
        <w:t>i</w:t>
      </w:r>
      <w:r w:rsidRPr="0066598D">
        <w:t>)</w:t>
      </w:r>
      <w:r w:rsidRPr="0066598D">
        <w:tab/>
      </w:r>
      <w:proofErr w:type="gramStart"/>
      <w:r w:rsidR="00FB18C2" w:rsidRPr="00692111">
        <w:t>руководство</w:t>
      </w:r>
      <w:proofErr w:type="gramEnd"/>
      <w:r w:rsidR="00FB18C2" w:rsidRPr="00692111">
        <w:t xml:space="preserve"> по принципам регулирования загрязненных участков, как это предусмотрено в пункте 3 статьи 12;</w:t>
      </w:r>
    </w:p>
    <w:p w:rsidR="00FB18C2" w:rsidRPr="00692111" w:rsidRDefault="00683235" w:rsidP="004D67C6">
      <w:pPr>
        <w:spacing w:after="120"/>
        <w:ind w:left="2495" w:hanging="624"/>
      </w:pPr>
      <w:r>
        <w:rPr>
          <w:lang w:val="en-US"/>
        </w:rPr>
        <w:t>j</w:t>
      </w:r>
      <w:r w:rsidRPr="00683235">
        <w:t>)</w:t>
      </w:r>
      <w:r w:rsidRPr="00683235">
        <w:tab/>
      </w:r>
      <w:r w:rsidR="00FB18C2" w:rsidRPr="00692111">
        <w:t>рассмотрение вопросов создания потенциала, технического содействия и передачи технологии, как это предусмотрено в пункте 4 и пункте 5 статьи 14, включая любые рекомендации о способах дальнейшего укрепления этой работы в соответствии со статьей 14;</w:t>
      </w:r>
    </w:p>
    <w:p w:rsidR="00FB18C2" w:rsidRPr="00692111" w:rsidRDefault="00683235" w:rsidP="004D67C6">
      <w:pPr>
        <w:spacing w:after="120"/>
        <w:ind w:left="2495" w:hanging="624"/>
      </w:pPr>
      <w:r>
        <w:rPr>
          <w:lang w:val="en-US"/>
        </w:rPr>
        <w:t>k</w:t>
      </w:r>
      <w:r w:rsidRPr="00683235">
        <w:t>)</w:t>
      </w:r>
      <w:r w:rsidRPr="00683235">
        <w:tab/>
      </w:r>
      <w:r w:rsidR="00FB18C2" w:rsidRPr="00692111">
        <w:t>консультации и сотрудничество с Всемирной организацией здравоохранения, Международной организацией труда и другими соответствующими межправительственными организациями, а также содействие сотрудничеству и обмен</w:t>
      </w:r>
      <w:r w:rsidR="00356CD9">
        <w:t>у</w:t>
      </w:r>
      <w:r w:rsidR="00FB18C2" w:rsidRPr="00692111">
        <w:t xml:space="preserve"> информацией, по мере необходимости, в отношении связанных со здоровьем вопросов или мероприятий, как это предусмотрено в пункте 2 статьи</w:t>
      </w:r>
      <w:r>
        <w:rPr>
          <w:lang w:val="en-US"/>
        </w:rPr>
        <w:t> </w:t>
      </w:r>
      <w:r w:rsidR="00FB18C2" w:rsidRPr="00692111">
        <w:t>16.</w:t>
      </w:r>
    </w:p>
    <w:p w:rsidR="00FB18C2" w:rsidRPr="00692111" w:rsidRDefault="00683235" w:rsidP="009C3BA0">
      <w:pPr>
        <w:spacing w:after="120"/>
        <w:ind w:left="1871" w:hanging="624"/>
      </w:pPr>
      <w:r w:rsidRPr="00683235">
        <w:t>7.</w:t>
      </w:r>
      <w:r w:rsidRPr="00683235">
        <w:tab/>
      </w:r>
      <w:r w:rsidR="00FB18C2" w:rsidRPr="00692111">
        <w:t>Место и сроки проведения второго совещания Конференции Сторон.</w:t>
      </w:r>
    </w:p>
    <w:p w:rsidR="00FB18C2" w:rsidRPr="00692111" w:rsidRDefault="00683235" w:rsidP="009C3BA0">
      <w:pPr>
        <w:spacing w:after="120"/>
        <w:ind w:left="1871" w:hanging="624"/>
      </w:pPr>
      <w:r w:rsidRPr="00683235">
        <w:t>8.</w:t>
      </w:r>
      <w:r w:rsidRPr="00683235">
        <w:tab/>
      </w:r>
      <w:r w:rsidR="00FB18C2" w:rsidRPr="00692111">
        <w:t>Прочие вопросы.</w:t>
      </w:r>
    </w:p>
    <w:p w:rsidR="00FB18C2" w:rsidRPr="00692111" w:rsidRDefault="00683235" w:rsidP="00794996">
      <w:pPr>
        <w:keepNext/>
        <w:keepLines/>
        <w:spacing w:after="120"/>
        <w:ind w:left="1871" w:hanging="624"/>
      </w:pPr>
      <w:r w:rsidRPr="00683235">
        <w:t>9.</w:t>
      </w:r>
      <w:r w:rsidRPr="00683235">
        <w:tab/>
      </w:r>
      <w:r w:rsidR="00FB18C2" w:rsidRPr="00692111">
        <w:t>Принятие доклада.</w:t>
      </w:r>
    </w:p>
    <w:p w:rsidR="00FB18C2" w:rsidRPr="00692111" w:rsidRDefault="00683235" w:rsidP="00794996">
      <w:pPr>
        <w:keepNext/>
        <w:keepLines/>
        <w:spacing w:after="120"/>
        <w:ind w:left="1871" w:hanging="624"/>
      </w:pPr>
      <w:r w:rsidRPr="00C156D4">
        <w:t>10.</w:t>
      </w:r>
      <w:r w:rsidRPr="00C156D4">
        <w:tab/>
      </w:r>
      <w:r w:rsidR="00FB18C2" w:rsidRPr="00692111">
        <w:t>Закрытие совещания.</w:t>
      </w:r>
    </w:p>
    <w:p w:rsidR="004675A1" w:rsidRPr="006370CE" w:rsidRDefault="006370CE" w:rsidP="00794996">
      <w:pPr>
        <w:keepNext/>
        <w:keepLines/>
        <w:spacing w:after="120"/>
        <w:ind w:left="1247"/>
        <w:jc w:val="center"/>
      </w:pPr>
      <w:r w:rsidRPr="00683235">
        <w:t>_____________________</w:t>
      </w:r>
    </w:p>
    <w:sectPr w:rsidR="004675A1" w:rsidRPr="006370CE" w:rsidSect="00FB18C2">
      <w:footnotePr>
        <w:numFmt w:val="chicago"/>
      </w:footnotePr>
      <w:type w:val="continuous"/>
      <w:pgSz w:w="11906" w:h="16838" w:code="9"/>
      <w:pgMar w:top="907" w:right="992" w:bottom="1418" w:left="1418" w:header="561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EB" w:rsidRDefault="00D84AEB">
      <w:r>
        <w:separator/>
      </w:r>
    </w:p>
  </w:endnote>
  <w:endnote w:type="continuationSeparator" w:id="0">
    <w:p w:rsidR="00D84AEB" w:rsidRDefault="00D8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1" w:rsidRPr="009022FE" w:rsidRDefault="003B1331" w:rsidP="00FB18C2">
    <w:pPr>
      <w:pStyle w:val="Pieddepage"/>
      <w:tabs>
        <w:tab w:val="clear" w:pos="4153"/>
        <w:tab w:val="clear" w:pos="8306"/>
      </w:tabs>
      <w:spacing w:before="60" w:after="120"/>
      <w:rPr>
        <w:b/>
        <w:sz w:val="18"/>
        <w:szCs w:val="18"/>
        <w:lang w:val="en-US"/>
      </w:rPr>
    </w:pPr>
    <w:r w:rsidRPr="009022FE">
      <w:rPr>
        <w:rStyle w:val="Numrodepage"/>
        <w:b/>
        <w:sz w:val="18"/>
        <w:szCs w:val="18"/>
      </w:rPr>
      <w:fldChar w:fldCharType="begin"/>
    </w:r>
    <w:r w:rsidRPr="009022FE">
      <w:rPr>
        <w:rStyle w:val="Numrodepage"/>
        <w:b/>
        <w:sz w:val="18"/>
        <w:szCs w:val="18"/>
      </w:rPr>
      <w:instrText xml:space="preserve">PAGE  </w:instrText>
    </w:r>
    <w:r w:rsidRPr="009022FE">
      <w:rPr>
        <w:rStyle w:val="Numrodepage"/>
        <w:b/>
        <w:sz w:val="18"/>
        <w:szCs w:val="18"/>
      </w:rPr>
      <w:fldChar w:fldCharType="separate"/>
    </w:r>
    <w:r w:rsidR="00FE03D1">
      <w:rPr>
        <w:rStyle w:val="Numrodepage"/>
        <w:b/>
        <w:noProof/>
        <w:sz w:val="18"/>
        <w:szCs w:val="18"/>
      </w:rPr>
      <w:t>2</w:t>
    </w:r>
    <w:r w:rsidRPr="009022FE">
      <w:rPr>
        <w:rStyle w:val="Numrodepage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1" w:rsidRPr="009022FE" w:rsidRDefault="003B1331" w:rsidP="002D6B61">
    <w:pPr>
      <w:pStyle w:val="Pieddepage"/>
      <w:tabs>
        <w:tab w:val="clear" w:pos="4153"/>
        <w:tab w:val="clear" w:pos="8306"/>
      </w:tabs>
      <w:spacing w:before="60" w:after="120"/>
      <w:jc w:val="right"/>
      <w:rPr>
        <w:b/>
        <w:sz w:val="18"/>
        <w:szCs w:val="18"/>
        <w:lang w:val="en-US"/>
      </w:rPr>
    </w:pPr>
    <w:r w:rsidRPr="009022FE">
      <w:rPr>
        <w:rStyle w:val="Numrodepage"/>
        <w:b/>
        <w:sz w:val="18"/>
        <w:szCs w:val="18"/>
      </w:rPr>
      <w:fldChar w:fldCharType="begin"/>
    </w:r>
    <w:r w:rsidRPr="009022FE">
      <w:rPr>
        <w:rStyle w:val="Numrodepage"/>
        <w:b/>
        <w:sz w:val="18"/>
        <w:szCs w:val="18"/>
      </w:rPr>
      <w:instrText xml:space="preserve">PAGE  </w:instrText>
    </w:r>
    <w:r w:rsidRPr="009022FE">
      <w:rPr>
        <w:rStyle w:val="Numrodepage"/>
        <w:b/>
        <w:sz w:val="18"/>
        <w:szCs w:val="18"/>
      </w:rPr>
      <w:fldChar w:fldCharType="separate"/>
    </w:r>
    <w:r>
      <w:rPr>
        <w:rStyle w:val="Numrodepage"/>
        <w:b/>
        <w:noProof/>
        <w:sz w:val="18"/>
        <w:szCs w:val="18"/>
      </w:rPr>
      <w:t>3</w:t>
    </w:r>
    <w:r w:rsidRPr="009022FE">
      <w:rPr>
        <w:rStyle w:val="Numrodepage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1" w:rsidRPr="008259F0" w:rsidRDefault="003B1331" w:rsidP="002D6B61">
    <w:pPr>
      <w:pStyle w:val="Pieddepage"/>
      <w:tabs>
        <w:tab w:val="clear" w:pos="4153"/>
        <w:tab w:val="clear" w:pos="8306"/>
      </w:tabs>
      <w:spacing w:after="120"/>
      <w:rPr>
        <w:lang w:val="en-US"/>
      </w:rPr>
    </w:pPr>
    <w:r>
      <w:rPr>
        <w:lang w:val="en-US"/>
      </w:rPr>
      <w:t>K</w:t>
    </w:r>
    <w:r w:rsidRPr="001609FB">
      <w:rPr>
        <w:lang w:val="en-US"/>
      </w:rPr>
      <w:t>1</w:t>
    </w:r>
    <w:r>
      <w:rPr>
        <w:lang w:val="en-US"/>
      </w:rPr>
      <w:t xml:space="preserve">701484      </w:t>
    </w:r>
    <w:r w:rsidR="007B36B0">
      <w:rPr>
        <w:lang w:val="en-US"/>
      </w:rPr>
      <w:t>22</w:t>
    </w:r>
    <w:r>
      <w:rPr>
        <w:lang w:val="en-US"/>
      </w:rPr>
      <w:t>0517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EB" w:rsidRDefault="00D84AEB">
      <w:r>
        <w:separator/>
      </w:r>
    </w:p>
  </w:footnote>
  <w:footnote w:type="continuationSeparator" w:id="0">
    <w:p w:rsidR="00D84AEB" w:rsidRDefault="00D8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1" w:rsidRPr="009022FE" w:rsidRDefault="003B1331" w:rsidP="00FB18C2">
    <w:pPr>
      <w:pBdr>
        <w:bottom w:val="single" w:sz="4" w:space="1" w:color="auto"/>
      </w:pBdr>
      <w:spacing w:after="120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>
      <w:rPr>
        <w:b/>
        <w:sz w:val="18"/>
        <w:szCs w:val="18"/>
        <w:lang w:val="en-US"/>
      </w:rPr>
      <w:t>NEP/MC/COP.1/1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1" w:rsidRPr="009022FE" w:rsidRDefault="003B1331" w:rsidP="00804FB0">
    <w:pPr>
      <w:pBdr>
        <w:bottom w:val="single" w:sz="4" w:space="1" w:color="auto"/>
      </w:pBdr>
      <w:spacing w:after="120"/>
      <w:jc w:val="right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>
      <w:rPr>
        <w:b/>
        <w:sz w:val="18"/>
        <w:szCs w:val="18"/>
        <w:lang w:val="en-US"/>
      </w:rPr>
      <w:t>NEP/MC/COP.1/1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31" w:rsidRDefault="003B1331">
    <w:pPr>
      <w:pStyle w:val="En-t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FC7"/>
    <w:multiLevelType w:val="hybridMultilevel"/>
    <w:tmpl w:val="E9CA684C"/>
    <w:lvl w:ilvl="0" w:tplc="2CDC63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6152E"/>
    <w:multiLevelType w:val="hybridMultilevel"/>
    <w:tmpl w:val="744E59C8"/>
    <w:lvl w:ilvl="0" w:tplc="2CDC63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91C85"/>
    <w:multiLevelType w:val="hybridMultilevel"/>
    <w:tmpl w:val="00623054"/>
    <w:lvl w:ilvl="0" w:tplc="F22C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2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B"/>
    <w:rsid w:val="00005584"/>
    <w:rsid w:val="000243C6"/>
    <w:rsid w:val="000404EF"/>
    <w:rsid w:val="000465C0"/>
    <w:rsid w:val="0005664C"/>
    <w:rsid w:val="00076FCB"/>
    <w:rsid w:val="000A59DD"/>
    <w:rsid w:val="000B76ED"/>
    <w:rsid w:val="000E1AF7"/>
    <w:rsid w:val="000E7895"/>
    <w:rsid w:val="000F0D89"/>
    <w:rsid w:val="00106EEC"/>
    <w:rsid w:val="00111EA8"/>
    <w:rsid w:val="001609FB"/>
    <w:rsid w:val="001701A2"/>
    <w:rsid w:val="001864EC"/>
    <w:rsid w:val="001A3925"/>
    <w:rsid w:val="001C4E10"/>
    <w:rsid w:val="001D5E57"/>
    <w:rsid w:val="001D7B19"/>
    <w:rsid w:val="001E2513"/>
    <w:rsid w:val="001F7BEB"/>
    <w:rsid w:val="00261069"/>
    <w:rsid w:val="00262F8D"/>
    <w:rsid w:val="0026434B"/>
    <w:rsid w:val="00276A03"/>
    <w:rsid w:val="002C657D"/>
    <w:rsid w:val="002D35D0"/>
    <w:rsid w:val="002D3C83"/>
    <w:rsid w:val="002D6B61"/>
    <w:rsid w:val="002F3FB3"/>
    <w:rsid w:val="00320B84"/>
    <w:rsid w:val="0033760B"/>
    <w:rsid w:val="003417BD"/>
    <w:rsid w:val="00356CD9"/>
    <w:rsid w:val="00367574"/>
    <w:rsid w:val="00370C39"/>
    <w:rsid w:val="00393B51"/>
    <w:rsid w:val="003A27DA"/>
    <w:rsid w:val="003A6DBC"/>
    <w:rsid w:val="003B1331"/>
    <w:rsid w:val="003D5C29"/>
    <w:rsid w:val="003D6317"/>
    <w:rsid w:val="003E111A"/>
    <w:rsid w:val="003E53B6"/>
    <w:rsid w:val="004266DB"/>
    <w:rsid w:val="00430FCF"/>
    <w:rsid w:val="0044004C"/>
    <w:rsid w:val="00450456"/>
    <w:rsid w:val="004675A1"/>
    <w:rsid w:val="004A1BCB"/>
    <w:rsid w:val="004C7D01"/>
    <w:rsid w:val="004D67C6"/>
    <w:rsid w:val="004D7FCD"/>
    <w:rsid w:val="004E14CC"/>
    <w:rsid w:val="004E6E02"/>
    <w:rsid w:val="004F32AB"/>
    <w:rsid w:val="005066E2"/>
    <w:rsid w:val="00515F8A"/>
    <w:rsid w:val="005209D8"/>
    <w:rsid w:val="00535C4A"/>
    <w:rsid w:val="005579C4"/>
    <w:rsid w:val="00572498"/>
    <w:rsid w:val="00580F82"/>
    <w:rsid w:val="00581424"/>
    <w:rsid w:val="005A3313"/>
    <w:rsid w:val="005D0048"/>
    <w:rsid w:val="005F1352"/>
    <w:rsid w:val="00604C4A"/>
    <w:rsid w:val="0061459F"/>
    <w:rsid w:val="006370CE"/>
    <w:rsid w:val="006614AE"/>
    <w:rsid w:val="0066598D"/>
    <w:rsid w:val="00677164"/>
    <w:rsid w:val="00683235"/>
    <w:rsid w:val="0068494F"/>
    <w:rsid w:val="00686F99"/>
    <w:rsid w:val="006B3A16"/>
    <w:rsid w:val="006C32E6"/>
    <w:rsid w:val="006C450F"/>
    <w:rsid w:val="006D2235"/>
    <w:rsid w:val="006D7E69"/>
    <w:rsid w:val="006E113E"/>
    <w:rsid w:val="006E488A"/>
    <w:rsid w:val="00707698"/>
    <w:rsid w:val="00714379"/>
    <w:rsid w:val="00715E69"/>
    <w:rsid w:val="00742BF8"/>
    <w:rsid w:val="00762C7E"/>
    <w:rsid w:val="0077133F"/>
    <w:rsid w:val="00780C71"/>
    <w:rsid w:val="00791072"/>
    <w:rsid w:val="007940F5"/>
    <w:rsid w:val="00794996"/>
    <w:rsid w:val="007B36B0"/>
    <w:rsid w:val="007B5CF9"/>
    <w:rsid w:val="007E6B6D"/>
    <w:rsid w:val="00804FB0"/>
    <w:rsid w:val="00824D90"/>
    <w:rsid w:val="008259F0"/>
    <w:rsid w:val="00835664"/>
    <w:rsid w:val="008B3BC1"/>
    <w:rsid w:val="008B7294"/>
    <w:rsid w:val="008C352C"/>
    <w:rsid w:val="008D4C4B"/>
    <w:rsid w:val="008D585C"/>
    <w:rsid w:val="008F03FE"/>
    <w:rsid w:val="008F57D8"/>
    <w:rsid w:val="0090124E"/>
    <w:rsid w:val="009022FE"/>
    <w:rsid w:val="00917D45"/>
    <w:rsid w:val="00920BCE"/>
    <w:rsid w:val="009251B7"/>
    <w:rsid w:val="00934815"/>
    <w:rsid w:val="00937A6C"/>
    <w:rsid w:val="00943144"/>
    <w:rsid w:val="00962D0B"/>
    <w:rsid w:val="00963915"/>
    <w:rsid w:val="009670AC"/>
    <w:rsid w:val="009907C1"/>
    <w:rsid w:val="009C3BA0"/>
    <w:rsid w:val="009C4883"/>
    <w:rsid w:val="009C619F"/>
    <w:rsid w:val="009F6008"/>
    <w:rsid w:val="00A00BC8"/>
    <w:rsid w:val="00A01550"/>
    <w:rsid w:val="00A02E32"/>
    <w:rsid w:val="00A11613"/>
    <w:rsid w:val="00A16FFD"/>
    <w:rsid w:val="00A224C4"/>
    <w:rsid w:val="00A2396E"/>
    <w:rsid w:val="00A3568D"/>
    <w:rsid w:val="00A51FF6"/>
    <w:rsid w:val="00A5222A"/>
    <w:rsid w:val="00A600A7"/>
    <w:rsid w:val="00A62AD7"/>
    <w:rsid w:val="00A930B0"/>
    <w:rsid w:val="00A9444E"/>
    <w:rsid w:val="00A95E77"/>
    <w:rsid w:val="00A972E0"/>
    <w:rsid w:val="00AC72AF"/>
    <w:rsid w:val="00AD439A"/>
    <w:rsid w:val="00AD7BDF"/>
    <w:rsid w:val="00AE17D0"/>
    <w:rsid w:val="00AE2AE1"/>
    <w:rsid w:val="00AF0C82"/>
    <w:rsid w:val="00AF1DAE"/>
    <w:rsid w:val="00AF7059"/>
    <w:rsid w:val="00B13DD5"/>
    <w:rsid w:val="00B2553C"/>
    <w:rsid w:val="00B27ED9"/>
    <w:rsid w:val="00B42B16"/>
    <w:rsid w:val="00B51000"/>
    <w:rsid w:val="00B8035F"/>
    <w:rsid w:val="00B85843"/>
    <w:rsid w:val="00B859E3"/>
    <w:rsid w:val="00B92D17"/>
    <w:rsid w:val="00B952B5"/>
    <w:rsid w:val="00B95F76"/>
    <w:rsid w:val="00BB51FC"/>
    <w:rsid w:val="00BD4BFC"/>
    <w:rsid w:val="00C073E3"/>
    <w:rsid w:val="00C139BB"/>
    <w:rsid w:val="00C156D4"/>
    <w:rsid w:val="00C15902"/>
    <w:rsid w:val="00C41202"/>
    <w:rsid w:val="00C56EDC"/>
    <w:rsid w:val="00C67D43"/>
    <w:rsid w:val="00C80249"/>
    <w:rsid w:val="00C87706"/>
    <w:rsid w:val="00CB1E5C"/>
    <w:rsid w:val="00CB4ED7"/>
    <w:rsid w:val="00CB6896"/>
    <w:rsid w:val="00CC07AA"/>
    <w:rsid w:val="00CC6C51"/>
    <w:rsid w:val="00CD27E9"/>
    <w:rsid w:val="00CE5AA4"/>
    <w:rsid w:val="00D00698"/>
    <w:rsid w:val="00D03CC0"/>
    <w:rsid w:val="00D1120C"/>
    <w:rsid w:val="00D15D44"/>
    <w:rsid w:val="00D32A4F"/>
    <w:rsid w:val="00D33C40"/>
    <w:rsid w:val="00D74F8F"/>
    <w:rsid w:val="00D77699"/>
    <w:rsid w:val="00D84AEB"/>
    <w:rsid w:val="00D9537F"/>
    <w:rsid w:val="00DB4B99"/>
    <w:rsid w:val="00DC2BBE"/>
    <w:rsid w:val="00DC38C1"/>
    <w:rsid w:val="00DC5286"/>
    <w:rsid w:val="00DE5B4C"/>
    <w:rsid w:val="00E47B46"/>
    <w:rsid w:val="00E65D9D"/>
    <w:rsid w:val="00E80E13"/>
    <w:rsid w:val="00E821F3"/>
    <w:rsid w:val="00E87ADA"/>
    <w:rsid w:val="00E90F6D"/>
    <w:rsid w:val="00EA65C4"/>
    <w:rsid w:val="00EB0D63"/>
    <w:rsid w:val="00EB70A4"/>
    <w:rsid w:val="00EC7D12"/>
    <w:rsid w:val="00ED4178"/>
    <w:rsid w:val="00EE4228"/>
    <w:rsid w:val="00F71EB2"/>
    <w:rsid w:val="00F734E5"/>
    <w:rsid w:val="00FA288E"/>
    <w:rsid w:val="00FB18C2"/>
    <w:rsid w:val="00FB1AF0"/>
    <w:rsid w:val="00FB2E83"/>
    <w:rsid w:val="00FD1ED3"/>
    <w:rsid w:val="00FE03D1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FD93AC-2B6A-4222-ABAB-9A89540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rFonts w:ascii="Times New Roman" w:hAnsi="Times New Roman"/>
      <w:noProof w:val="0"/>
      <w:sz w:val="20"/>
      <w:vertAlign w:val="superscript"/>
      <w:lang w:val="ru-RU"/>
    </w:rPr>
  </w:style>
  <w:style w:type="paragraph" w:styleId="Notedebasdepage">
    <w:name w:val="footnote text"/>
    <w:basedOn w:val="Normal"/>
    <w:semiHidden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794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40F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UNEP/(DTIE)/Hg/INC.5/</vt:lpstr>
      <vt:lpstr>UNEP/(DTIE)/Hg/INC.5/</vt:lpstr>
    </vt:vector>
  </TitlesOfParts>
  <Manager>RLU</Manager>
  <Company>UNON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UNEP/(DTIE)/Hg/INC.5/</dc:title>
  <dc:creator>UNON</dc:creator>
  <cp:lastModifiedBy>LARUELLE</cp:lastModifiedBy>
  <cp:revision>2</cp:revision>
  <cp:lastPrinted>2017-05-08T07:09:00Z</cp:lastPrinted>
  <dcterms:created xsi:type="dcterms:W3CDTF">2017-05-23T13:21:00Z</dcterms:created>
  <dcterms:modified xsi:type="dcterms:W3CDTF">2017-05-23T13:21:00Z</dcterms:modified>
</cp:coreProperties>
</file>