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jc w:val="right"/>
        <w:tblLayout w:type="fixed"/>
        <w:tblLook w:val="0000" w:firstRow="0" w:lastRow="0" w:firstColumn="0" w:lastColumn="0" w:noHBand="0" w:noVBand="0"/>
      </w:tblPr>
      <w:tblGrid>
        <w:gridCol w:w="1548"/>
        <w:gridCol w:w="1130"/>
        <w:gridCol w:w="3564"/>
        <w:gridCol w:w="57"/>
        <w:gridCol w:w="3354"/>
        <w:gridCol w:w="57"/>
      </w:tblGrid>
      <w:tr w:rsidR="00032E4E" w:rsidRPr="00D25175" w14:paraId="4B9F0F9B" w14:textId="77777777" w:rsidTr="00BD2E5F">
        <w:trPr>
          <w:gridAfter w:val="1"/>
          <w:wAfter w:w="57" w:type="dxa"/>
          <w:cantSplit/>
          <w:trHeight w:val="850"/>
          <w:jc w:val="right"/>
        </w:trPr>
        <w:tc>
          <w:tcPr>
            <w:tcW w:w="2679" w:type="dxa"/>
            <w:gridSpan w:val="2"/>
          </w:tcPr>
          <w:p w14:paraId="2A9B9F9D" w14:textId="6258A6AD" w:rsidR="00032E4E" w:rsidRPr="008E33C7" w:rsidRDefault="00BD2E5F" w:rsidP="00023DA9">
            <w:pPr>
              <w:rPr>
                <w:rFonts w:ascii="Arial" w:hAnsi="Arial" w:cs="Arial"/>
                <w:b/>
                <w:noProof/>
                <w:sz w:val="27"/>
                <w:szCs w:val="27"/>
              </w:rPr>
            </w:pPr>
            <w:r w:rsidRPr="008E33C7">
              <w:rPr>
                <w:rFonts w:ascii="Arial" w:hAnsi="Arial" w:cs="Arial"/>
                <w:b/>
                <w:sz w:val="27"/>
                <w:szCs w:val="27"/>
                <w:lang w:val="ru-RU"/>
              </w:rPr>
              <w:t>ОРГАНИЗАЦИЯ ОБЪЕДИНЕННЫХ НАЦИЙ</w:t>
            </w:r>
          </w:p>
        </w:tc>
        <w:tc>
          <w:tcPr>
            <w:tcW w:w="3564" w:type="dxa"/>
          </w:tcPr>
          <w:p w14:paraId="2F47229A" w14:textId="4DFEF57C" w:rsidR="00032E4E" w:rsidRPr="00D25175" w:rsidRDefault="00032E4E" w:rsidP="00A807D4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  <w:gridSpan w:val="2"/>
          </w:tcPr>
          <w:p w14:paraId="57073C3F" w14:textId="77777777" w:rsidR="00032E4E" w:rsidRPr="008E33C7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8E33C7">
              <w:rPr>
                <w:rFonts w:ascii="Arial" w:hAnsi="Arial" w:cs="Arial"/>
                <w:b/>
                <w:sz w:val="64"/>
                <w:szCs w:val="64"/>
                <w:lang w:val="ru-RU"/>
              </w:rPr>
              <w:t>MC</w:t>
            </w:r>
          </w:p>
        </w:tc>
      </w:tr>
      <w:tr w:rsidR="00032E4E" w:rsidRPr="00D25175" w14:paraId="0DEAC680" w14:textId="77777777" w:rsidTr="00BD2E5F">
        <w:trPr>
          <w:cantSplit/>
          <w:trHeight w:val="281"/>
          <w:jc w:val="right"/>
        </w:trPr>
        <w:tc>
          <w:tcPr>
            <w:tcW w:w="1549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gridSpan w:val="3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</w:tcPr>
          <w:p w14:paraId="540639F8" w14:textId="284F17F3" w:rsidR="00032E4E" w:rsidRPr="00D25175" w:rsidRDefault="00032E4E" w:rsidP="00787688">
            <w:pPr>
              <w:rPr>
                <w:noProof/>
                <w:sz w:val="18"/>
                <w:szCs w:val="18"/>
              </w:rPr>
            </w:pPr>
            <w:r w:rsidRPr="008E33C7">
              <w:rPr>
                <w:b/>
                <w:sz w:val="28"/>
                <w:lang w:val="ru-RU"/>
              </w:rPr>
              <w:t>UNEP/</w:t>
            </w:r>
            <w:r>
              <w:rPr>
                <w:lang w:val="ru-RU"/>
              </w:rPr>
              <w:t>MC/COP.1/19</w:t>
            </w:r>
            <w:bookmarkStart w:id="0" w:name="OLE_LINK1"/>
            <w:bookmarkStart w:id="1" w:name="OLE_LINK2"/>
            <w:bookmarkEnd w:id="0"/>
            <w:bookmarkEnd w:id="1"/>
          </w:p>
        </w:tc>
      </w:tr>
      <w:bookmarkStart w:id="2" w:name="_MON_1021710510"/>
      <w:bookmarkEnd w:id="2"/>
      <w:bookmarkStart w:id="3" w:name="_MON_1021710482"/>
      <w:bookmarkEnd w:id="3"/>
      <w:tr w:rsidR="00032E4E" w:rsidRPr="00D25175" w14:paraId="34AA74B4" w14:textId="77777777" w:rsidTr="00BD2E5F">
        <w:trPr>
          <w:cantSplit/>
          <w:trHeight w:val="2549"/>
          <w:jc w:val="right"/>
        </w:trPr>
        <w:tc>
          <w:tcPr>
            <w:tcW w:w="1549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032E4E" w:rsidP="00023DA9">
            <w:pPr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65pt;height:60.7pt" o:ole="" fillcolor="window">
                  <v:imagedata r:id="rId9" o:title=""/>
                </v:shape>
                <o:OLEObject Type="Embed" ProgID="Word.Picture.8" ShapeID="_x0000_i1025" DrawAspect="Content" ObjectID="_1560238958" r:id="rId10"/>
              </w:object>
            </w:r>
            <w:r w:rsidR="00011A16" w:rsidRPr="00D25175">
              <w:rPr>
                <w:noProof/>
                <w:lang w:val="en-US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2AC211BD" w14:textId="77777777" w:rsidR="00032E4E" w:rsidRPr="008E33C7" w:rsidRDefault="00032E4E" w:rsidP="00023DA9">
            <w:pPr>
              <w:spacing w:before="1200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E33C7">
              <w:rPr>
                <w:rFonts w:ascii="Arial" w:hAnsi="Arial" w:cs="Arial"/>
                <w:b/>
                <w:sz w:val="32"/>
                <w:szCs w:val="32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722F44F8" w14:textId="7C09B743" w:rsidR="00032E4E" w:rsidRPr="00D25175" w:rsidRDefault="00032E4E" w:rsidP="00787688">
            <w:pPr>
              <w:spacing w:before="120"/>
            </w:pPr>
            <w:r w:rsidRPr="00D25175">
              <w:t>Distr.: General</w:t>
            </w:r>
            <w:r w:rsidRPr="00D25175">
              <w:br w:type="textWrapping" w:clear="all"/>
            </w:r>
            <w:r w:rsidR="008A26DF">
              <w:t>15 May</w:t>
            </w:r>
            <w:r w:rsidR="00957EF8" w:rsidRPr="00D25175">
              <w:t xml:space="preserve"> </w:t>
            </w:r>
            <w:r w:rsidR="0042266F" w:rsidRPr="00D25175">
              <w:t>2017</w:t>
            </w:r>
          </w:p>
          <w:p w14:paraId="210E7D69" w14:textId="43EDEFA0" w:rsidR="002305FE" w:rsidRDefault="002305FE" w:rsidP="00023DA9">
            <w:pPr>
              <w:spacing w:before="240"/>
            </w:pPr>
            <w:r>
              <w:t>Russian</w:t>
            </w:r>
          </w:p>
          <w:p w14:paraId="1A75CF9D" w14:textId="77777777" w:rsidR="00032E4E" w:rsidRPr="00D25175" w:rsidRDefault="00032E4E" w:rsidP="002305FE">
            <w:r w:rsidRPr="00D25175">
              <w:t>Original: English</w:t>
            </w:r>
          </w:p>
        </w:tc>
      </w:tr>
    </w:tbl>
    <w:p w14:paraId="26A6CAA0" w14:textId="3A879E42" w:rsidR="00E976AB" w:rsidRPr="008E33C7" w:rsidRDefault="00CB007D" w:rsidP="00FC4BB0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1474"/>
        <w:rPr>
          <w:lang w:val="ru-RU"/>
        </w:rPr>
      </w:pPr>
      <w:r>
        <w:rPr>
          <w:lang w:val="ru-RU"/>
        </w:rPr>
        <w:t xml:space="preserve">Конференция Сторон Минаматской конвенции о ртути </w:t>
      </w:r>
      <w:r w:rsidR="00BD2E5F">
        <w:rPr>
          <w:lang w:val="ru-RU"/>
        </w:rPr>
        <w:br/>
      </w:r>
      <w:r>
        <w:rPr>
          <w:lang w:val="ru-RU"/>
        </w:rPr>
        <w:t>Первое совещание</w:t>
      </w:r>
    </w:p>
    <w:p w14:paraId="67B82F12" w14:textId="36780F78" w:rsidR="00787688" w:rsidRPr="006E137C" w:rsidRDefault="00787688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6E137C">
        <w:rPr>
          <w:lang w:val="ru-RU"/>
        </w:rPr>
        <w:t>Женева, 24–29 сентября 2017 года</w:t>
      </w:r>
    </w:p>
    <w:p w14:paraId="481CF77D" w14:textId="7EB74531" w:rsidR="008A26DF" w:rsidRPr="006E137C" w:rsidRDefault="008A26DF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rPr>
          <w:lang w:val="ru-RU"/>
        </w:rPr>
      </w:pPr>
      <w:r w:rsidRPr="006E137C">
        <w:rPr>
          <w:lang w:val="ru-RU"/>
        </w:rPr>
        <w:t xml:space="preserve">Пункт 5 </w:t>
      </w:r>
      <w:r w:rsidRPr="006E137C">
        <w:t>c</w:t>
      </w:r>
      <w:r w:rsidRPr="006E137C">
        <w:rPr>
          <w:lang w:val="ru-RU"/>
        </w:rPr>
        <w:t xml:space="preserve">) </w:t>
      </w:r>
      <w:r w:rsidRPr="006E137C">
        <w:t>iv</w:t>
      </w:r>
      <w:r w:rsidRPr="006E137C">
        <w:rPr>
          <w:lang w:val="ru-RU"/>
        </w:rPr>
        <w:t>) предварительной повестки дня</w:t>
      </w:r>
      <w:r w:rsidRPr="006E137C">
        <w:rPr>
          <w:lang w:val="ru-RU"/>
        </w:rPr>
        <w:footnoteReference w:customMarkFollows="1" w:id="1"/>
        <w:t>*</w:t>
      </w:r>
    </w:p>
    <w:p w14:paraId="1A4F5965" w14:textId="700750C7" w:rsidR="008A26DF" w:rsidRPr="006E137C" w:rsidRDefault="008A26DF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1701"/>
        <w:rPr>
          <w:b/>
          <w:lang w:val="ru-RU"/>
        </w:rPr>
      </w:pPr>
      <w:r w:rsidRPr="006E137C">
        <w:rPr>
          <w:b/>
          <w:lang w:val="ru-RU"/>
        </w:rPr>
        <w:t>Вопросы для принятия мер Конференцией Сторон на ее первом совещании: вопросы, рекомендованные Межправительственным комитетом для ведения переговоров: рассмотрение доклада по вопросу об открытом сжигании</w:t>
      </w:r>
    </w:p>
    <w:p w14:paraId="71252924" w14:textId="77777777" w:rsidR="008A26DF" w:rsidRPr="006E137C" w:rsidRDefault="008A26DF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sz w:val="28"/>
          <w:lang w:val="ru-RU"/>
        </w:rPr>
      </w:pPr>
      <w:r w:rsidRPr="006E137C">
        <w:rPr>
          <w:b/>
          <w:sz w:val="28"/>
          <w:lang w:val="ru-RU"/>
        </w:rPr>
        <w:t>Рассмотрение доклада о выбросах ртути, связанных с открытым сжиганием отходов</w:t>
      </w:r>
    </w:p>
    <w:p w14:paraId="39A845C9" w14:textId="57240726" w:rsidR="008A26DF" w:rsidRPr="00EF4047" w:rsidRDefault="00EF4047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>
        <w:rPr>
          <w:lang w:val="ru-RU"/>
        </w:rPr>
        <w:tab/>
      </w:r>
      <w:r w:rsidR="008A26DF" w:rsidRPr="00EF4047">
        <w:rPr>
          <w:b/>
          <w:sz w:val="24"/>
          <w:lang w:val="ru-RU"/>
        </w:rPr>
        <w:t>Записка секретариата</w:t>
      </w:r>
    </w:p>
    <w:p w14:paraId="078A05AB" w14:textId="1C331BF7" w:rsidR="008A26DF" w:rsidRPr="006E137C" w:rsidRDefault="00EF4047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EF4047">
        <w:rPr>
          <w:lang w:val="ru-RU"/>
        </w:rPr>
        <w:t>1.</w:t>
      </w:r>
      <w:r w:rsidRPr="00EF4047">
        <w:rPr>
          <w:lang w:val="ru-RU"/>
        </w:rPr>
        <w:tab/>
      </w:r>
      <w:r w:rsidR="008A26DF" w:rsidRPr="006E137C">
        <w:rPr>
          <w:lang w:val="ru-RU"/>
        </w:rPr>
        <w:t>На своей пятой сессии Межправительственный комитет для ведения переговоров по подготовке имеющего обязательную юридическую силу глобального документа по ртути отметил, что открытое сжигание отходов является потенциальным источником выбросов в ряде стран. Некоторые страны не поддержали включение открытого сжигания в перечень источников выбросов, охватываемых Минаматской конвенцией о ртути, ввиду отсутствия достаточной научной информации. Секретариату было поручено собрать достаточный объем информации для обоснования процесса принятия решений по данному вопросу и доложить о предпринятых им в этой связи мерах Конференции Сторон Минаматской конвенции на ее первом совещании или как только это станет возможным.</w:t>
      </w:r>
    </w:p>
    <w:p w14:paraId="550815D6" w14:textId="5A3B850E" w:rsidR="008A26DF" w:rsidRPr="006E137C" w:rsidRDefault="00EF4047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EF4047">
        <w:rPr>
          <w:lang w:val="ru-RU"/>
        </w:rPr>
        <w:t>2.</w:t>
      </w:r>
      <w:r w:rsidRPr="00EF4047">
        <w:rPr>
          <w:lang w:val="ru-RU"/>
        </w:rPr>
        <w:tab/>
      </w:r>
      <w:r w:rsidR="008A26DF" w:rsidRPr="006E137C">
        <w:rPr>
          <w:lang w:val="ru-RU"/>
        </w:rPr>
        <w:t xml:space="preserve">После седьмой сессии Комитета секретариат обратился к правительствам и другим субъектам с просьбой представить материалы для доклада по вопросу об открытом сжигании. За период, прошедший после седьмой сессии, были получены материалы от 11 правительств и нескольких неправительственных источников. Секретариат также собрал информацию из ряда других источников, включая публикации Программы Организации Объединенных Наций по окружающей среде и Всемирного банка, а также от нескольких организаций гражданского общества. Оценка представленных материалов и собранной информации приводится в приложении к настоящей записке. </w:t>
      </w:r>
    </w:p>
    <w:p w14:paraId="323A8CBB" w14:textId="386C44AD" w:rsidR="008A26DF" w:rsidRPr="006E137C" w:rsidRDefault="00EF4047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EF4047">
        <w:rPr>
          <w:lang w:val="ru-RU"/>
        </w:rPr>
        <w:t>3.</w:t>
      </w:r>
      <w:r w:rsidRPr="00EF4047">
        <w:rPr>
          <w:lang w:val="ru-RU"/>
        </w:rPr>
        <w:tab/>
      </w:r>
      <w:r w:rsidR="008A26DF" w:rsidRPr="006E137C">
        <w:rPr>
          <w:lang w:val="ru-RU"/>
        </w:rPr>
        <w:t xml:space="preserve">На нынешнем этапе </w:t>
      </w:r>
      <w:r w:rsidR="00A2521B" w:rsidRPr="006E137C">
        <w:rPr>
          <w:lang w:val="ru-RU"/>
        </w:rPr>
        <w:t>имеется</w:t>
      </w:r>
      <w:r w:rsidR="008A26DF" w:rsidRPr="006E137C">
        <w:rPr>
          <w:lang w:val="ru-RU"/>
        </w:rPr>
        <w:t xml:space="preserve"> ограниченный объем количественных данных. В некоторых источниках рекомендуется принимать меры по сокращению или полной ликвидации открытого сжигания в рамках деятельности в целях устойчивого развития и отмечается вклад таких мер в достижение Повестки дня в области устойчивого развития на период до 2030 года и целей в области устойчивого развития. Следует заметить, что дополнительная информация об объемах выбросов ртути в результате открытого сжигания, вероятно, будет собра</w:t>
      </w:r>
      <w:r w:rsidR="00A91ED6" w:rsidRPr="006E137C">
        <w:rPr>
          <w:lang w:val="ru-RU"/>
        </w:rPr>
        <w:t xml:space="preserve">на </w:t>
      </w:r>
      <w:r w:rsidR="008A26DF" w:rsidRPr="006E137C">
        <w:rPr>
          <w:lang w:val="ru-RU"/>
        </w:rPr>
        <w:t xml:space="preserve">странами в ходе подготовки кадастров ртути в рамках их первоначальных оценок и подготовки к ратификации и осуществлению Минаматской конвенции. </w:t>
      </w:r>
    </w:p>
    <w:p w14:paraId="0B35C18C" w14:textId="72072813" w:rsidR="008A26DF" w:rsidRPr="00AB2DC4" w:rsidRDefault="008A26DF" w:rsidP="00AB2DC4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567"/>
        <w:rPr>
          <w:b/>
          <w:lang w:val="ru-RU"/>
        </w:rPr>
      </w:pPr>
      <w:r w:rsidRPr="006E137C">
        <w:rPr>
          <w:lang w:val="ru-RU"/>
        </w:rPr>
        <w:lastRenderedPageBreak/>
        <w:tab/>
      </w:r>
      <w:r w:rsidRPr="006E137C">
        <w:rPr>
          <w:lang w:val="ru-RU"/>
        </w:rPr>
        <w:tab/>
      </w:r>
      <w:r w:rsidRPr="00AB2DC4">
        <w:rPr>
          <w:b/>
          <w:sz w:val="24"/>
          <w:lang w:val="ru-RU"/>
        </w:rPr>
        <w:t>Предлагаемые меры для принятия Конференцией Сторон</w:t>
      </w:r>
    </w:p>
    <w:p w14:paraId="284EC2A5" w14:textId="66D5184C" w:rsidR="008A26DF" w:rsidRPr="006E137C" w:rsidRDefault="00AB2DC4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2DC4">
        <w:rPr>
          <w:lang w:val="ru-RU"/>
        </w:rPr>
        <w:t>4.</w:t>
      </w:r>
      <w:r w:rsidRPr="00AB2DC4">
        <w:rPr>
          <w:lang w:val="ru-RU"/>
        </w:rPr>
        <w:tab/>
      </w:r>
      <w:r w:rsidR="008A26DF" w:rsidRPr="006E137C">
        <w:rPr>
          <w:lang w:val="ru-RU"/>
        </w:rPr>
        <w:t>Конференция Сторон, возможно, пожелает рассмотреть доклад о выбросах ртути, связанных с открытым сжиганием отходов (см. приложение)</w:t>
      </w:r>
      <w:r w:rsidR="00A91ED6" w:rsidRPr="006E137C">
        <w:rPr>
          <w:lang w:val="ru-RU"/>
        </w:rPr>
        <w:t>,</w:t>
      </w:r>
      <w:r w:rsidR="008A26DF" w:rsidRPr="006E137C">
        <w:rPr>
          <w:lang w:val="ru-RU"/>
        </w:rPr>
        <w:t xml:space="preserve"> и, возможно, также пожелает рассмотреть вопрос об обращении к секретариату с просьбой продолжать собирать информацию о выбросах в результате открытого сжигания в </w:t>
      </w:r>
      <w:r w:rsidR="00B1494A" w:rsidRPr="006E137C">
        <w:rPr>
          <w:lang w:val="ru-RU"/>
        </w:rPr>
        <w:t>ходе всестороннего</w:t>
      </w:r>
      <w:r w:rsidR="008A26DF" w:rsidRPr="006E137C">
        <w:rPr>
          <w:lang w:val="ru-RU"/>
        </w:rPr>
        <w:t xml:space="preserve"> рассмотрения кадастров, представляемых странами. Конференция</w:t>
      </w:r>
      <w:r w:rsidR="00860F24" w:rsidRPr="00860F24">
        <w:rPr>
          <w:lang w:val="ru-RU"/>
        </w:rPr>
        <w:t xml:space="preserve"> </w:t>
      </w:r>
      <w:r w:rsidR="00860F24">
        <w:rPr>
          <w:lang w:val="ru-RU"/>
        </w:rPr>
        <w:t>Сторон</w:t>
      </w:r>
      <w:r w:rsidR="008A26DF" w:rsidRPr="006E137C">
        <w:rPr>
          <w:lang w:val="ru-RU"/>
        </w:rPr>
        <w:t xml:space="preserve">, возможно, </w:t>
      </w:r>
      <w:r w:rsidR="00860F24">
        <w:rPr>
          <w:lang w:val="ru-RU"/>
        </w:rPr>
        <w:t>также</w:t>
      </w:r>
      <w:r w:rsidR="008A26DF" w:rsidRPr="006E137C">
        <w:rPr>
          <w:lang w:val="ru-RU"/>
        </w:rPr>
        <w:t xml:space="preserve"> пожелает рассмотреть вопрос об обращении к секретариату с просьбой предст</w:t>
      </w:r>
      <w:r w:rsidR="00B1494A" w:rsidRPr="006E137C">
        <w:rPr>
          <w:lang w:val="ru-RU"/>
        </w:rPr>
        <w:t>авить эти</w:t>
      </w:r>
      <w:r w:rsidR="008A26DF" w:rsidRPr="006E137C">
        <w:rPr>
          <w:lang w:val="ru-RU"/>
        </w:rPr>
        <w:t xml:space="preserve"> </w:t>
      </w:r>
      <w:r w:rsidR="00B1494A" w:rsidRPr="006E137C">
        <w:rPr>
          <w:lang w:val="ru-RU"/>
        </w:rPr>
        <w:t xml:space="preserve">данные </w:t>
      </w:r>
      <w:r w:rsidR="008A26DF" w:rsidRPr="006E137C">
        <w:rPr>
          <w:lang w:val="ru-RU"/>
        </w:rPr>
        <w:t xml:space="preserve">в качестве справочной информации на будущих совещаниях Конференции. </w:t>
      </w:r>
    </w:p>
    <w:p w14:paraId="06C26112" w14:textId="2844F063" w:rsidR="00A91ED6" w:rsidRPr="006E137C" w:rsidRDefault="00A91ED6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6E137C">
        <w:rPr>
          <w:lang w:val="ru-RU"/>
        </w:rPr>
        <w:br w:type="page"/>
      </w:r>
    </w:p>
    <w:p w14:paraId="708E02EA" w14:textId="624856B2" w:rsidR="008A26DF" w:rsidRPr="00AB2DC4" w:rsidRDefault="008A26DF" w:rsidP="00AB2DC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lang w:val="ru-RU"/>
        </w:rPr>
      </w:pPr>
      <w:r w:rsidRPr="00AB2DC4">
        <w:rPr>
          <w:b/>
          <w:sz w:val="28"/>
          <w:lang w:val="ru-RU"/>
        </w:rPr>
        <w:lastRenderedPageBreak/>
        <w:t>Приложение</w:t>
      </w:r>
    </w:p>
    <w:p w14:paraId="1312B615" w14:textId="77777777" w:rsidR="008A26DF" w:rsidRPr="00AB2DC4" w:rsidRDefault="008A26DF" w:rsidP="00AB2DC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lang w:val="ru-RU"/>
        </w:rPr>
      </w:pPr>
      <w:r w:rsidRPr="00AB2DC4">
        <w:rPr>
          <w:b/>
          <w:sz w:val="28"/>
          <w:lang w:val="ru-RU"/>
        </w:rPr>
        <w:t>Доклад о выбросах ртути, связанных с открытым сжиганием отходов</w:t>
      </w:r>
    </w:p>
    <w:p w14:paraId="4FE00CD5" w14:textId="1CD2E719" w:rsidR="008A26DF" w:rsidRPr="00676F4B" w:rsidRDefault="00AB2DC4" w:rsidP="00676F4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>
        <w:rPr>
          <w:lang w:val="ru-RU"/>
        </w:rPr>
        <w:tab/>
      </w:r>
      <w:r w:rsidR="00676F4B" w:rsidRPr="00676F4B">
        <w:rPr>
          <w:b/>
          <w:lang w:val="en-US"/>
        </w:rPr>
        <w:t>A.</w:t>
      </w:r>
      <w:r w:rsidR="00676F4B" w:rsidRPr="00676F4B">
        <w:rPr>
          <w:b/>
          <w:lang w:val="en-US"/>
        </w:rPr>
        <w:tab/>
      </w:r>
      <w:r w:rsidR="008A26DF" w:rsidRPr="00676F4B">
        <w:rPr>
          <w:b/>
          <w:lang w:val="ru-RU"/>
        </w:rPr>
        <w:t>Введение</w:t>
      </w:r>
    </w:p>
    <w:p w14:paraId="615932F9" w14:textId="2560D98A" w:rsidR="008A26DF" w:rsidRPr="006E137C" w:rsidRDefault="00AB2DC4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2DC4">
        <w:rPr>
          <w:lang w:val="ru-RU"/>
        </w:rPr>
        <w:t>1.</w:t>
      </w:r>
      <w:r w:rsidRPr="00AB2DC4">
        <w:rPr>
          <w:lang w:val="ru-RU"/>
        </w:rPr>
        <w:tab/>
      </w:r>
      <w:r w:rsidR="008A26DF" w:rsidRPr="006E137C">
        <w:rPr>
          <w:lang w:val="ru-RU"/>
        </w:rPr>
        <w:t xml:space="preserve">Регулирование отходов является одним из ключевых и непростых вопросов для всех стран, но особенно для развивающихся стран и стран с переходной экономикой, которые обладают ограниченными ресурсами </w:t>
      </w:r>
      <w:r w:rsidR="005C77F4" w:rsidRPr="006E137C">
        <w:rPr>
          <w:lang w:val="ru-RU"/>
        </w:rPr>
        <w:t>в этой области</w:t>
      </w:r>
      <w:r w:rsidR="008A26DF" w:rsidRPr="006E137C">
        <w:rPr>
          <w:lang w:val="ru-RU"/>
        </w:rPr>
        <w:t>. Выбросы и высвобождения, образующиеся в результате деятельности по регулированию отходов, создают угрозу для здоровья населения и окружающей среды в этих странах, а ряд загрязнителей представляют собой глобальную угрозу всл</w:t>
      </w:r>
      <w:r w:rsidR="005C77F4" w:rsidRPr="006E137C">
        <w:rPr>
          <w:lang w:val="ru-RU"/>
        </w:rPr>
        <w:t>едствие их трансграничного переноса</w:t>
      </w:r>
      <w:r w:rsidR="008A26DF" w:rsidRPr="006E137C">
        <w:rPr>
          <w:lang w:val="ru-RU"/>
        </w:rPr>
        <w:t xml:space="preserve">. </w:t>
      </w:r>
    </w:p>
    <w:p w14:paraId="3605745E" w14:textId="0F864AC4" w:rsidR="008A26DF" w:rsidRPr="006E137C" w:rsidRDefault="00AB2DC4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2DC4">
        <w:rPr>
          <w:lang w:val="ru-RU"/>
        </w:rPr>
        <w:t>2.</w:t>
      </w:r>
      <w:r w:rsidRPr="00AB2DC4">
        <w:rPr>
          <w:lang w:val="ru-RU"/>
        </w:rPr>
        <w:tab/>
      </w:r>
      <w:r w:rsidR="008A26DF" w:rsidRPr="006E137C">
        <w:rPr>
          <w:lang w:val="ru-RU"/>
        </w:rPr>
        <w:t xml:space="preserve">Ртуть может обнаруживаться в самых различных потоках отходов, а не только в тех потоках, которые были отнесены к опасным </w:t>
      </w:r>
      <w:r w:rsidR="00D84A0C" w:rsidRPr="006E137C">
        <w:rPr>
          <w:lang w:val="ru-RU"/>
        </w:rPr>
        <w:t xml:space="preserve">путем </w:t>
      </w:r>
      <w:r w:rsidR="008A26DF" w:rsidRPr="006E137C">
        <w:rPr>
          <w:lang w:val="ru-RU"/>
        </w:rPr>
        <w:t>подтвержден</w:t>
      </w:r>
      <w:r w:rsidR="00D84A0C" w:rsidRPr="006E137C">
        <w:rPr>
          <w:lang w:val="ru-RU"/>
        </w:rPr>
        <w:t>ия</w:t>
      </w:r>
      <w:r w:rsidR="008A26DF" w:rsidRPr="006E137C">
        <w:rPr>
          <w:lang w:val="ru-RU"/>
        </w:rPr>
        <w:t xml:space="preserve"> </w:t>
      </w:r>
      <w:r w:rsidR="00D84A0C" w:rsidRPr="006E137C">
        <w:rPr>
          <w:lang w:val="ru-RU"/>
        </w:rPr>
        <w:t>присутствия</w:t>
      </w:r>
      <w:r w:rsidR="008A26DF" w:rsidRPr="006E137C">
        <w:rPr>
          <w:lang w:val="ru-RU"/>
        </w:rPr>
        <w:t xml:space="preserve"> </w:t>
      </w:r>
      <w:r w:rsidR="00D84A0C" w:rsidRPr="006E137C">
        <w:rPr>
          <w:lang w:val="ru-RU"/>
        </w:rPr>
        <w:t>в них ртути (таких</w:t>
      </w:r>
      <w:r w:rsidR="008A26DF" w:rsidRPr="006E137C">
        <w:rPr>
          <w:lang w:val="ru-RU"/>
        </w:rPr>
        <w:t xml:space="preserve"> как отходы продуктов с добавлением ртути или отходы</w:t>
      </w:r>
      <w:r w:rsidR="00D84A0C" w:rsidRPr="006E137C">
        <w:rPr>
          <w:lang w:val="ru-RU"/>
        </w:rPr>
        <w:t>, загрязненные ртутью). Статьей</w:t>
      </w:r>
      <w:r w:rsidR="00D84A0C" w:rsidRPr="006E137C">
        <w:t> </w:t>
      </w:r>
      <w:r w:rsidR="008A26DF" w:rsidRPr="006E137C">
        <w:rPr>
          <w:lang w:val="ru-RU"/>
        </w:rPr>
        <w:t xml:space="preserve">11 Минаматской конвенции предусмотрено, что ртутные отходы регулируются экологически безопасным образом с учетом технических руководящих принципов, разработанных в соответствии с Базельской конвенцией о контроле за трансграничной перевозкой опасных отходов и их удалением. </w:t>
      </w:r>
    </w:p>
    <w:p w14:paraId="0A4E01EF" w14:textId="2DEF0D8E" w:rsidR="008A26DF" w:rsidRPr="006E137C" w:rsidRDefault="00AB2DC4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2DC4">
        <w:rPr>
          <w:lang w:val="ru-RU"/>
        </w:rPr>
        <w:t>3.</w:t>
      </w:r>
      <w:r w:rsidRPr="00AB2DC4">
        <w:rPr>
          <w:lang w:val="ru-RU"/>
        </w:rPr>
        <w:tab/>
      </w:r>
      <w:r w:rsidR="00D84A0C" w:rsidRPr="006E137C">
        <w:rPr>
          <w:lang w:val="ru-RU"/>
        </w:rPr>
        <w:t>Обнаружение</w:t>
      </w:r>
      <w:r w:rsidR="00E52C98" w:rsidRPr="006E137C">
        <w:rPr>
          <w:lang w:val="ru-RU"/>
        </w:rPr>
        <w:t xml:space="preserve"> ртути в обычных отходах </w:t>
      </w:r>
      <w:r w:rsidR="00D84A0C" w:rsidRPr="006E137C">
        <w:rPr>
          <w:lang w:val="ru-RU"/>
        </w:rPr>
        <w:t xml:space="preserve">послужило причиной того, что </w:t>
      </w:r>
      <w:r w:rsidR="00E52C98" w:rsidRPr="006E137C">
        <w:rPr>
          <w:lang w:val="ru-RU"/>
        </w:rPr>
        <w:t xml:space="preserve">установки для сжигания отходов были включены в перечень источников выбросов (см. приложение </w:t>
      </w:r>
      <w:r w:rsidR="00E52C98" w:rsidRPr="006E137C">
        <w:t>D</w:t>
      </w:r>
      <w:r w:rsidR="00E52C98" w:rsidRPr="006E137C">
        <w:rPr>
          <w:lang w:val="ru-RU"/>
        </w:rPr>
        <w:t xml:space="preserve"> к Минаматской конвенции), контролируемых в соответствии со статьей 8 </w:t>
      </w:r>
      <w:r w:rsidR="00D84A0C" w:rsidRPr="006E137C">
        <w:rPr>
          <w:lang w:val="ru-RU"/>
        </w:rPr>
        <w:t>«Выбросы» Минаматской конвенции</w:t>
      </w:r>
      <w:r w:rsidR="00E52C98" w:rsidRPr="006E137C">
        <w:rPr>
          <w:lang w:val="ru-RU"/>
        </w:rPr>
        <w:t xml:space="preserve">. </w:t>
      </w:r>
      <w:r w:rsidR="00D84A0C" w:rsidRPr="006E137C">
        <w:rPr>
          <w:lang w:val="ru-RU"/>
        </w:rPr>
        <w:t>На своей седьмой сессии Межправительственный комитет для ведения переговоров по подготовке имеющего обязательную юридическую силу глобального документа по ртути принял на временной основе р</w:t>
      </w:r>
      <w:r w:rsidR="00E52C98" w:rsidRPr="006E137C">
        <w:rPr>
          <w:lang w:val="ru-RU"/>
        </w:rPr>
        <w:t xml:space="preserve">уководящие указания по </w:t>
      </w:r>
      <w:r w:rsidR="00292468" w:rsidRPr="006E137C">
        <w:rPr>
          <w:lang w:val="ru-RU"/>
        </w:rPr>
        <w:t>контролю</w:t>
      </w:r>
      <w:r w:rsidR="00E52C98" w:rsidRPr="006E137C">
        <w:rPr>
          <w:lang w:val="ru-RU"/>
        </w:rPr>
        <w:t xml:space="preserve"> и сокращению выбросов ртути </w:t>
      </w:r>
      <w:r w:rsidR="00B5741F" w:rsidRPr="006E137C">
        <w:rPr>
          <w:lang w:val="ru-RU"/>
        </w:rPr>
        <w:t>на установках по сжиганию</w:t>
      </w:r>
      <w:r w:rsidR="00E52C98" w:rsidRPr="006E137C">
        <w:rPr>
          <w:lang w:val="ru-RU"/>
        </w:rPr>
        <w:t xml:space="preserve"> отходов </w:t>
      </w:r>
      <w:r w:rsidR="00B5741F" w:rsidRPr="006E137C">
        <w:rPr>
          <w:lang w:val="ru-RU"/>
        </w:rPr>
        <w:t>в составе</w:t>
      </w:r>
      <w:r w:rsidR="00E52C98" w:rsidRPr="006E137C">
        <w:rPr>
          <w:lang w:val="ru-RU"/>
        </w:rPr>
        <w:t xml:space="preserve"> общего руководства по наилучшим имеющимся методам и наилучшим видам природоохранной деятельности. </w:t>
      </w:r>
    </w:p>
    <w:p w14:paraId="6DACE1BF" w14:textId="19479117" w:rsidR="008A26DF" w:rsidRPr="006E137C" w:rsidRDefault="00AB2DC4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2DC4">
        <w:rPr>
          <w:lang w:val="ru-RU"/>
        </w:rPr>
        <w:t>4.</w:t>
      </w:r>
      <w:r w:rsidRPr="00AB2DC4">
        <w:rPr>
          <w:lang w:val="ru-RU"/>
        </w:rPr>
        <w:tab/>
      </w:r>
      <w:r w:rsidR="008A26DF" w:rsidRPr="006E137C">
        <w:rPr>
          <w:lang w:val="ru-RU"/>
        </w:rPr>
        <w:t xml:space="preserve">Вместе с тем, признается, что во многих странах лишь часть отходов, удаляемых путем сжигания, </w:t>
      </w:r>
      <w:r w:rsidR="00B5741F" w:rsidRPr="006E137C">
        <w:rPr>
          <w:lang w:val="ru-RU"/>
        </w:rPr>
        <w:t>уничтожается</w:t>
      </w:r>
      <w:r w:rsidR="008A26DF" w:rsidRPr="006E137C">
        <w:rPr>
          <w:lang w:val="ru-RU"/>
        </w:rPr>
        <w:t xml:space="preserve"> на постоянных объектах утилизации отходов, в то время как их значительная часть сжигается неофициально с помощью методов, условно обозначаемых как </w:t>
      </w:r>
      <w:r w:rsidR="00FC4BB0">
        <w:rPr>
          <w:lang w:val="ru-RU"/>
        </w:rPr>
        <w:t>«</w:t>
      </w:r>
      <w:r w:rsidR="008A26DF" w:rsidRPr="006E137C">
        <w:rPr>
          <w:lang w:val="ru-RU"/>
        </w:rPr>
        <w:t>открытое сжигание</w:t>
      </w:r>
      <w:r w:rsidR="00FC4BB0">
        <w:rPr>
          <w:lang w:val="ru-RU"/>
        </w:rPr>
        <w:t>»</w:t>
      </w:r>
      <w:r w:rsidR="008A26DF" w:rsidRPr="006E137C">
        <w:rPr>
          <w:lang w:val="ru-RU"/>
        </w:rPr>
        <w:t xml:space="preserve">. Практика открытого сжигания приводит к неконтролируемым выбросам в окружающую среду целого ряда загрязнителей. </w:t>
      </w:r>
      <w:r w:rsidR="00B5741F" w:rsidRPr="006E137C">
        <w:rPr>
          <w:lang w:val="ru-RU"/>
        </w:rPr>
        <w:t>В</w:t>
      </w:r>
      <w:r w:rsidR="008A26DF" w:rsidRPr="006E137C">
        <w:rPr>
          <w:lang w:val="ru-RU"/>
        </w:rPr>
        <w:t xml:space="preserve">ыбросы в результате открытого сжигания </w:t>
      </w:r>
      <w:r w:rsidR="00B5741F" w:rsidRPr="006E137C">
        <w:rPr>
          <w:lang w:val="ru-RU"/>
        </w:rPr>
        <w:t>связаны</w:t>
      </w:r>
      <w:r w:rsidR="008A26DF" w:rsidRPr="006E137C">
        <w:rPr>
          <w:lang w:val="ru-RU"/>
        </w:rPr>
        <w:t xml:space="preserve"> с высоким риском </w:t>
      </w:r>
      <w:r w:rsidR="00B5741F" w:rsidRPr="006E137C">
        <w:rPr>
          <w:lang w:val="ru-RU"/>
        </w:rPr>
        <w:t xml:space="preserve">для общественного здравоохранения </w:t>
      </w:r>
      <w:r w:rsidR="008A26DF" w:rsidRPr="006E137C">
        <w:rPr>
          <w:lang w:val="ru-RU"/>
        </w:rPr>
        <w:t xml:space="preserve">по </w:t>
      </w:r>
      <w:r w:rsidR="00B5741F" w:rsidRPr="006E137C">
        <w:rPr>
          <w:lang w:val="ru-RU"/>
        </w:rPr>
        <w:t>нескольким</w:t>
      </w:r>
      <w:r w:rsidR="008A26DF" w:rsidRPr="006E137C">
        <w:rPr>
          <w:lang w:val="ru-RU"/>
        </w:rPr>
        <w:t xml:space="preserve"> причин</w:t>
      </w:r>
      <w:r w:rsidR="00B5741F" w:rsidRPr="006E137C">
        <w:rPr>
          <w:lang w:val="ru-RU"/>
        </w:rPr>
        <w:t>ам</w:t>
      </w:r>
      <w:r w:rsidR="008A26DF" w:rsidRPr="006E137C">
        <w:rPr>
          <w:lang w:val="ru-RU"/>
        </w:rPr>
        <w:t xml:space="preserve">. Как правило, эти выбросы производятся в виде высвобождений на уровне поверхности земли, что </w:t>
      </w:r>
      <w:r w:rsidR="00B5741F" w:rsidRPr="006E137C">
        <w:rPr>
          <w:lang w:val="ru-RU"/>
        </w:rPr>
        <w:t>повышает</w:t>
      </w:r>
      <w:r w:rsidR="008A26DF" w:rsidRPr="006E137C">
        <w:rPr>
          <w:lang w:val="ru-RU"/>
        </w:rPr>
        <w:t xml:space="preserve"> ме</w:t>
      </w:r>
      <w:r w:rsidR="00B5741F" w:rsidRPr="006E137C">
        <w:rPr>
          <w:lang w:val="ru-RU"/>
        </w:rPr>
        <w:t>стное</w:t>
      </w:r>
      <w:r w:rsidR="008A26DF" w:rsidRPr="006E137C">
        <w:rPr>
          <w:lang w:val="ru-RU"/>
        </w:rPr>
        <w:t xml:space="preserve"> воздействи</w:t>
      </w:r>
      <w:r w:rsidR="00B5741F" w:rsidRPr="006E137C">
        <w:rPr>
          <w:lang w:val="ru-RU"/>
        </w:rPr>
        <w:t>е</w:t>
      </w:r>
      <w:r w:rsidR="008A26DF" w:rsidRPr="006E137C">
        <w:rPr>
          <w:lang w:val="ru-RU"/>
        </w:rPr>
        <w:t>, а ввиду не</w:t>
      </w:r>
      <w:r w:rsidR="00B5741F" w:rsidRPr="006E137C">
        <w:rPr>
          <w:lang w:val="ru-RU"/>
        </w:rPr>
        <w:t>однородности отходов высвобождаю</w:t>
      </w:r>
      <w:r w:rsidR="008A26DF" w:rsidRPr="006E137C">
        <w:rPr>
          <w:lang w:val="ru-RU"/>
        </w:rPr>
        <w:t xml:space="preserve">тся </w:t>
      </w:r>
      <w:r w:rsidR="00561F2F" w:rsidRPr="006E137C">
        <w:rPr>
          <w:lang w:val="ru-RU"/>
        </w:rPr>
        <w:t>раз</w:t>
      </w:r>
      <w:r w:rsidR="00B5741F" w:rsidRPr="006E137C">
        <w:rPr>
          <w:lang w:val="ru-RU"/>
        </w:rPr>
        <w:t>ные загрязнители, оказывающие</w:t>
      </w:r>
      <w:r w:rsidR="008A26DF" w:rsidRPr="006E137C">
        <w:rPr>
          <w:lang w:val="ru-RU"/>
        </w:rPr>
        <w:t xml:space="preserve"> различное влияние на здоровье человека. Крайне сложно обеспечить применение мер регулирования открытого сжигания, поскольку места сжигания нередко рассредоточены, а горение может быть не постоянным. Было установлено, что воздействие дыма, выделяющегося при открытом сжигании, влечет за собой различные последствия для здоровья, включая сердечно-сосудистые и респираторные заболевания</w:t>
      </w:r>
      <w:r w:rsidR="00860F24">
        <w:rPr>
          <w:lang w:val="ru-RU"/>
        </w:rPr>
        <w:t xml:space="preserve"> </w:t>
      </w:r>
      <w:r w:rsidR="00860F24" w:rsidRPr="00860F24">
        <w:rPr>
          <w:lang w:val="ru-RU"/>
        </w:rPr>
        <w:t>(Mavropoulos, 2015)</w:t>
      </w:r>
      <w:r w:rsidR="008A26DF" w:rsidRPr="006E137C">
        <w:rPr>
          <w:lang w:val="ru-RU"/>
        </w:rPr>
        <w:t xml:space="preserve">. </w:t>
      </w:r>
    </w:p>
    <w:p w14:paraId="1C5D57DF" w14:textId="483A7331" w:rsidR="008A26DF" w:rsidRPr="006E137C" w:rsidRDefault="00AB2DC4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2DC4">
        <w:rPr>
          <w:lang w:val="ru-RU"/>
        </w:rPr>
        <w:t>5.</w:t>
      </w:r>
      <w:r w:rsidRPr="00AB2DC4">
        <w:rPr>
          <w:lang w:val="ru-RU"/>
        </w:rPr>
        <w:tab/>
      </w:r>
      <w:r w:rsidR="008A26DF" w:rsidRPr="006E137C">
        <w:rPr>
          <w:lang w:val="ru-RU"/>
        </w:rPr>
        <w:t>Ликвидация открытого сжигания связана с целями в области устойчивого развития. Цели глобального регулирования отходов, отраженные в Повестке дня в области устойчивого развития на период до 2030 года, включают ликвидацию открытого сжигания к 2020 году, что способствует достижению ряда целей в области устойчивого развития.</w:t>
      </w:r>
    </w:p>
    <w:p w14:paraId="4400C6AD" w14:textId="2E73FF9F" w:rsidR="008A26DF" w:rsidRPr="00AB2DC4" w:rsidRDefault="00AB2DC4" w:rsidP="000B706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>
        <w:rPr>
          <w:lang w:val="ru-RU"/>
        </w:rPr>
        <w:tab/>
      </w:r>
      <w:r w:rsidR="000B706F" w:rsidRPr="000B706F">
        <w:rPr>
          <w:b/>
          <w:lang w:val="en-US"/>
        </w:rPr>
        <w:t>B</w:t>
      </w:r>
      <w:r w:rsidR="000B706F" w:rsidRPr="000B706F">
        <w:rPr>
          <w:b/>
          <w:lang w:val="ru-RU"/>
        </w:rPr>
        <w:t>.</w:t>
      </w:r>
      <w:r w:rsidR="000B706F" w:rsidRPr="000B706F">
        <w:rPr>
          <w:b/>
          <w:lang w:val="ru-RU"/>
        </w:rPr>
        <w:tab/>
      </w:r>
      <w:r w:rsidR="008A26DF" w:rsidRPr="00AB2DC4">
        <w:rPr>
          <w:b/>
          <w:lang w:val="ru-RU"/>
        </w:rPr>
        <w:t>Оценки объема открытого сжигания</w:t>
      </w:r>
    </w:p>
    <w:p w14:paraId="6CD2AB51" w14:textId="33EF6F10" w:rsidR="008A26DF" w:rsidRPr="006E137C" w:rsidRDefault="00AB2DC4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2DC4">
        <w:rPr>
          <w:lang w:val="ru-RU"/>
        </w:rPr>
        <w:t>6.</w:t>
      </w:r>
      <w:r w:rsidRPr="00AB2DC4">
        <w:rPr>
          <w:lang w:val="ru-RU"/>
        </w:rPr>
        <w:tab/>
      </w:r>
      <w:r w:rsidR="008A26DF" w:rsidRPr="006E137C">
        <w:rPr>
          <w:lang w:val="ru-RU"/>
        </w:rPr>
        <w:t xml:space="preserve">Согласно «Глобальной перспективе в области регулирования отходов», опубликованной Программой Организации Объединенных Наций по окружающей среде (ЮНЕП) в 2015 году, неконтролируемое удаление отходов затрагивает, по оценкам, более 50 процентов населения в странах с низким уровнем доходов, и этот показатель достигает почти 100 процентов в сельских районах в этих странах. По сделанной в докладе оценке, минимум 3 миллиарда человек во всем мире по-прежнему не имеют доступа к предприятиям по контролируемому удалению отходов </w:t>
      </w:r>
      <w:proofErr w:type="gramStart"/>
      <w:r w:rsidR="008A26DF" w:rsidRPr="006E137C">
        <w:rPr>
          <w:lang w:val="ru-RU"/>
        </w:rPr>
        <w:t>и б</w:t>
      </w:r>
      <w:proofErr w:type="gramEnd"/>
      <w:r w:rsidR="00FE16E0">
        <w:rPr>
          <w:lang w:val="ru-RU"/>
        </w:rPr>
        <w:t>ó</w:t>
      </w:r>
      <w:r w:rsidR="008A26DF" w:rsidRPr="006E137C">
        <w:rPr>
          <w:lang w:val="ru-RU"/>
        </w:rPr>
        <w:t>льшая часть отходов удаляется на неконтролируемых свалках путем открытого сжигания.</w:t>
      </w:r>
    </w:p>
    <w:p w14:paraId="690345C6" w14:textId="2625DB1F" w:rsidR="008A26DF" w:rsidRPr="00AB2DC4" w:rsidRDefault="000B706F" w:rsidP="000B706F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>
        <w:rPr>
          <w:lang w:val="en-US"/>
        </w:rPr>
        <w:tab/>
      </w:r>
      <w:r w:rsidRPr="000B706F">
        <w:rPr>
          <w:b/>
          <w:lang w:val="en-US"/>
        </w:rPr>
        <w:t>C</w:t>
      </w:r>
      <w:r w:rsidRPr="000B706F">
        <w:rPr>
          <w:b/>
          <w:lang w:val="ru-RU"/>
        </w:rPr>
        <w:t>.</w:t>
      </w:r>
      <w:r w:rsidRPr="000B706F">
        <w:rPr>
          <w:b/>
          <w:lang w:val="ru-RU"/>
        </w:rPr>
        <w:tab/>
      </w:r>
      <w:r w:rsidR="008A26DF" w:rsidRPr="00AB2DC4">
        <w:rPr>
          <w:b/>
          <w:lang w:val="ru-RU"/>
        </w:rPr>
        <w:t>Оценки выбросов ртути в результате открытого сжигания отходов</w:t>
      </w:r>
    </w:p>
    <w:p w14:paraId="3D98A6CE" w14:textId="417C6576" w:rsidR="008A26DF" w:rsidRPr="006E137C" w:rsidRDefault="00C979AC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C979AC">
        <w:rPr>
          <w:lang w:val="ru-RU"/>
        </w:rPr>
        <w:t>7.</w:t>
      </w:r>
      <w:r w:rsidRPr="00C979AC">
        <w:rPr>
          <w:lang w:val="ru-RU"/>
        </w:rPr>
        <w:tab/>
      </w:r>
      <w:r w:rsidR="008A26DF" w:rsidRPr="006E137C">
        <w:rPr>
          <w:lang w:val="ru-RU"/>
        </w:rPr>
        <w:t xml:space="preserve">В </w:t>
      </w:r>
      <w:r w:rsidR="00561F2F" w:rsidRPr="006E137C">
        <w:rPr>
          <w:lang w:val="ru-RU"/>
        </w:rPr>
        <w:t xml:space="preserve">документе </w:t>
      </w:r>
      <w:r w:rsidR="00FC4BB0">
        <w:rPr>
          <w:lang w:val="ru-RU"/>
        </w:rPr>
        <w:t>«</w:t>
      </w:r>
      <w:r w:rsidR="00561F2F" w:rsidRPr="006E137C">
        <w:rPr>
          <w:lang w:val="ru-RU"/>
        </w:rPr>
        <w:t>Глобальная оценка</w:t>
      </w:r>
      <w:r w:rsidR="008A26DF" w:rsidRPr="006E137C">
        <w:rPr>
          <w:lang w:val="ru-RU"/>
        </w:rPr>
        <w:t xml:space="preserve"> ртути</w:t>
      </w:r>
      <w:r w:rsidR="00FC4BB0">
        <w:rPr>
          <w:lang w:val="ru-RU"/>
        </w:rPr>
        <w:t>»</w:t>
      </w:r>
      <w:r w:rsidR="008A26DF" w:rsidRPr="006E137C">
        <w:rPr>
          <w:lang w:val="ru-RU"/>
        </w:rPr>
        <w:t xml:space="preserve"> ЮНЕП за 2013 год отмеч</w:t>
      </w:r>
      <w:r w:rsidR="00860F24">
        <w:rPr>
          <w:lang w:val="ru-RU"/>
        </w:rPr>
        <w:t>ается</w:t>
      </w:r>
      <w:r w:rsidR="008A26DF" w:rsidRPr="006E137C">
        <w:rPr>
          <w:lang w:val="ru-RU"/>
        </w:rPr>
        <w:t xml:space="preserve">, что доля ртути в продуктах, попадающих в поток отходов, распределяется между деятельностью по </w:t>
      </w:r>
      <w:r w:rsidR="008A26DF" w:rsidRPr="006E137C">
        <w:rPr>
          <w:lang w:val="ru-RU"/>
        </w:rPr>
        <w:lastRenderedPageBreak/>
        <w:t xml:space="preserve">рециркуляции, сжиганию и захоронению на </w:t>
      </w:r>
      <w:r w:rsidR="00860F24">
        <w:rPr>
          <w:lang w:val="ru-RU"/>
        </w:rPr>
        <w:t>полигонах</w:t>
      </w:r>
      <w:r w:rsidR="008A26DF" w:rsidRPr="006E137C">
        <w:rPr>
          <w:lang w:val="ru-RU"/>
        </w:rPr>
        <w:t xml:space="preserve"> (причем последнее может приводить к </w:t>
      </w:r>
      <w:r w:rsidR="00561F2F" w:rsidRPr="006E137C">
        <w:rPr>
          <w:lang w:val="ru-RU"/>
        </w:rPr>
        <w:t>дальнейшим</w:t>
      </w:r>
      <w:r w:rsidR="008A26DF" w:rsidRPr="006E137C">
        <w:rPr>
          <w:lang w:val="ru-RU"/>
        </w:rPr>
        <w:t xml:space="preserve"> высвобождениям ртути, в зависимости от действующих механизмов контроля на соответствующей свалке). Отходы могут быть также поделены на контролируемые и неконтролируемые, как в случае сжигания, так и захоронения на свалке. В ходе оценки была составлена модель для оценки выбросов ртути в результате различных методов регулирования отходов в разных странах на основе оценочных показателей уровня развития. Методология оценки </w:t>
      </w:r>
      <w:r w:rsidR="003C41DD" w:rsidRPr="006E137C">
        <w:rPr>
          <w:lang w:val="ru-RU"/>
        </w:rPr>
        <w:t>включа</w:t>
      </w:r>
      <w:r w:rsidR="00860F24">
        <w:rPr>
          <w:lang w:val="ru-RU"/>
        </w:rPr>
        <w:t>ет</w:t>
      </w:r>
      <w:r w:rsidR="008A26DF" w:rsidRPr="006E137C">
        <w:rPr>
          <w:lang w:val="ru-RU"/>
        </w:rPr>
        <w:t xml:space="preserve"> ряд предположений относительно методов регулирования отходов</w:t>
      </w:r>
      <w:r w:rsidR="003C41DD" w:rsidRPr="006E137C">
        <w:rPr>
          <w:lang w:val="ru-RU"/>
        </w:rPr>
        <w:t>,</w:t>
      </w:r>
      <w:r w:rsidR="008A26DF" w:rsidRPr="006E137C">
        <w:rPr>
          <w:lang w:val="ru-RU"/>
        </w:rPr>
        <w:t xml:space="preserve"> и ожидается, что точность оценок возрастет по мере </w:t>
      </w:r>
      <w:r w:rsidR="003C41DD" w:rsidRPr="006E137C">
        <w:rPr>
          <w:lang w:val="ru-RU"/>
        </w:rPr>
        <w:t>накопления</w:t>
      </w:r>
      <w:r w:rsidR="008A26DF" w:rsidRPr="006E137C">
        <w:rPr>
          <w:lang w:val="ru-RU"/>
        </w:rPr>
        <w:t xml:space="preserve"> дополнительных данных.</w:t>
      </w:r>
    </w:p>
    <w:p w14:paraId="2443F991" w14:textId="35824726" w:rsidR="008A26DF" w:rsidRPr="006E137C" w:rsidRDefault="00C979AC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C979AC">
        <w:rPr>
          <w:lang w:val="ru-RU"/>
        </w:rPr>
        <w:t>8.</w:t>
      </w:r>
      <w:r w:rsidRPr="00C979AC">
        <w:rPr>
          <w:lang w:val="ru-RU"/>
        </w:rPr>
        <w:tab/>
      </w:r>
      <w:r w:rsidR="001F5ADF" w:rsidRPr="006E137C">
        <w:rPr>
          <w:lang w:val="ru-RU"/>
        </w:rPr>
        <w:t xml:space="preserve">Для оценки количества ртути, выделяющегося при сжигании отходов, можно использовать аналогичную методику, изложенную в </w:t>
      </w:r>
      <w:r w:rsidR="00FC4BB0">
        <w:rPr>
          <w:lang w:val="ru-RU"/>
        </w:rPr>
        <w:t>«</w:t>
      </w:r>
      <w:r w:rsidR="001F5ADF" w:rsidRPr="006E137C">
        <w:rPr>
          <w:lang w:val="ru-RU"/>
        </w:rPr>
        <w:t>Наборе инструментальных средств ЮНЕП для выявления и измерения выбросов ртути</w:t>
      </w:r>
      <w:r w:rsidR="00FC4BB0">
        <w:rPr>
          <w:lang w:val="ru-RU"/>
        </w:rPr>
        <w:t>»</w:t>
      </w:r>
      <w:r w:rsidR="001F5ADF" w:rsidRPr="006E137C">
        <w:rPr>
          <w:lang w:val="ru-RU"/>
        </w:rPr>
        <w:t xml:space="preserve">, с использованием </w:t>
      </w:r>
      <w:r w:rsidR="003C41DD" w:rsidRPr="006E137C">
        <w:rPr>
          <w:lang w:val="ru-RU"/>
        </w:rPr>
        <w:t>коэффициентов</w:t>
      </w:r>
      <w:r w:rsidR="001F5ADF" w:rsidRPr="006E137C">
        <w:rPr>
          <w:lang w:val="ru-RU"/>
        </w:rPr>
        <w:t xml:space="preserve"> для оценки объема контролируемого и неконтролируемого сжигания на национальном уровне. Полученные оценки </w:t>
      </w:r>
      <w:r w:rsidR="003C41DD" w:rsidRPr="006E137C">
        <w:rPr>
          <w:lang w:val="ru-RU"/>
        </w:rPr>
        <w:t xml:space="preserve">впоследствии </w:t>
      </w:r>
      <w:r w:rsidR="001F5ADF" w:rsidRPr="006E137C">
        <w:rPr>
          <w:lang w:val="ru-RU"/>
        </w:rPr>
        <w:t xml:space="preserve">могут быть уточнены с учетом дополнительных национальных данных. По мере разработки странами кадастров выбросов и высвобождений ртути в рамках осуществления ими Минаматской конвенции, можно будет собирать больше информации и составить более точное представление о масштабах выбросов ртути. </w:t>
      </w:r>
    </w:p>
    <w:p w14:paraId="5EC9E326" w14:textId="6EFA075B" w:rsidR="008A26DF" w:rsidRPr="00C979AC" w:rsidRDefault="00C979AC" w:rsidP="0046725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>
        <w:rPr>
          <w:lang w:val="ru-RU"/>
        </w:rPr>
        <w:tab/>
      </w:r>
      <w:r w:rsidR="0046725B" w:rsidRPr="0046725B">
        <w:rPr>
          <w:b/>
          <w:lang w:val="en-US"/>
        </w:rPr>
        <w:t>D</w:t>
      </w:r>
      <w:r w:rsidR="0046725B" w:rsidRPr="0046725B">
        <w:rPr>
          <w:b/>
          <w:lang w:val="ru-RU"/>
        </w:rPr>
        <w:t>.</w:t>
      </w:r>
      <w:r w:rsidR="0046725B" w:rsidRPr="0046725B">
        <w:rPr>
          <w:b/>
          <w:lang w:val="ru-RU"/>
        </w:rPr>
        <w:tab/>
      </w:r>
      <w:r w:rsidR="008A26DF" w:rsidRPr="00C979AC">
        <w:rPr>
          <w:b/>
          <w:lang w:val="ru-RU"/>
        </w:rPr>
        <w:t>Информация, полученная из представлений стран по открытому сжиганию отходов</w:t>
      </w:r>
    </w:p>
    <w:p w14:paraId="47B739A8" w14:textId="10239CA6" w:rsidR="008110CF" w:rsidRPr="006E137C" w:rsidRDefault="00C979AC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C979AC">
        <w:rPr>
          <w:lang w:val="ru-RU"/>
        </w:rPr>
        <w:t>9.</w:t>
      </w:r>
      <w:r w:rsidRPr="00C979AC">
        <w:rPr>
          <w:lang w:val="ru-RU"/>
        </w:rPr>
        <w:tab/>
      </w:r>
      <w:r w:rsidR="008A26DF" w:rsidRPr="006E137C">
        <w:rPr>
          <w:lang w:val="ru-RU"/>
        </w:rPr>
        <w:t xml:space="preserve">Ряд стран указали, что открытое сжигание отходов не разрешается на национальном уровне. К другим методам </w:t>
      </w:r>
      <w:r w:rsidR="003C41DD" w:rsidRPr="006E137C">
        <w:rPr>
          <w:lang w:val="ru-RU"/>
        </w:rPr>
        <w:t>обработки отходов</w:t>
      </w:r>
      <w:r w:rsidR="008A26DF" w:rsidRPr="006E137C">
        <w:rPr>
          <w:lang w:val="ru-RU"/>
        </w:rPr>
        <w:t xml:space="preserve"> относится рециркуляция, термическая обработка на предприятиях, имеющих официальное разрешение, или контролируемое захоронение на полигонах. В некоторых странах </w:t>
      </w:r>
      <w:r w:rsidR="003C41DD" w:rsidRPr="006E137C">
        <w:rPr>
          <w:lang w:val="ru-RU"/>
        </w:rPr>
        <w:t>применяются</w:t>
      </w:r>
      <w:r w:rsidR="008A26DF" w:rsidRPr="006E137C">
        <w:rPr>
          <w:lang w:val="ru-RU"/>
        </w:rPr>
        <w:t xml:space="preserve"> методы использования тепла, образующегося в результате сжигания отходов, для производства электроэнергии или отапливания зданий. Одна страна указала, что в ходе религиозных и культурных мероприятий, проводимых на ее территор</w:t>
      </w:r>
      <w:r w:rsidR="003C41DD" w:rsidRPr="006E137C">
        <w:rPr>
          <w:lang w:val="ru-RU"/>
        </w:rPr>
        <w:t>ии, сжигается</w:t>
      </w:r>
      <w:r w:rsidR="008A26DF" w:rsidRPr="006E137C">
        <w:rPr>
          <w:lang w:val="ru-RU"/>
        </w:rPr>
        <w:t xml:space="preserve"> определенное количество отходов, но их объем считается незначительным и, как ожидается, уровни ртути будут низкими (т.е. сопоставимыми с природными объектами окружающей среды, такими как деревья). </w:t>
      </w:r>
    </w:p>
    <w:p w14:paraId="76BA235C" w14:textId="010DF041" w:rsidR="008A26DF" w:rsidRPr="006E137C" w:rsidRDefault="00C979AC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C979AC">
        <w:rPr>
          <w:lang w:val="ru-RU"/>
        </w:rPr>
        <w:t>10.</w:t>
      </w:r>
      <w:r w:rsidRPr="00C979AC">
        <w:rPr>
          <w:lang w:val="ru-RU"/>
        </w:rPr>
        <w:tab/>
      </w:r>
      <w:r w:rsidR="008A26DF" w:rsidRPr="006E137C">
        <w:rPr>
          <w:lang w:val="ru-RU"/>
        </w:rPr>
        <w:t>Ряд стран представили подробную информацию в отношении своих методов регулирования отходов. Коста-Рика представила информацию об отходах за 2014 год. В этом году было выработано около 1,5 млн. тонн отходов. Большинство отходов были удалены на свалки. По оценкам, около 68 процентов отходов, не попавших на свалки, были сожжены. В 2014 год</w:t>
      </w:r>
      <w:r w:rsidR="003C41DD" w:rsidRPr="006E137C">
        <w:rPr>
          <w:lang w:val="ru-RU"/>
        </w:rPr>
        <w:t>у объем выбросов ртути оценивал</w:t>
      </w:r>
      <w:r w:rsidR="008A26DF" w:rsidRPr="006E137C">
        <w:rPr>
          <w:lang w:val="ru-RU"/>
        </w:rPr>
        <w:t xml:space="preserve">ся на уровне 475 кг на основе коэффициентов выбросов, приведенных в </w:t>
      </w:r>
      <w:r w:rsidR="00FC4BB0">
        <w:rPr>
          <w:lang w:val="ru-RU"/>
        </w:rPr>
        <w:t>«</w:t>
      </w:r>
      <w:r w:rsidR="008A26DF" w:rsidRPr="006E137C">
        <w:rPr>
          <w:lang w:val="ru-RU"/>
        </w:rPr>
        <w:t>Наборе инструментальных средств ЮНЕП для выявления и количественного измерения выбросов ртути</w:t>
      </w:r>
      <w:r w:rsidR="00FC4BB0">
        <w:rPr>
          <w:lang w:val="ru-RU"/>
        </w:rPr>
        <w:t>»</w:t>
      </w:r>
      <w:r w:rsidR="008A26DF" w:rsidRPr="006E137C">
        <w:rPr>
          <w:lang w:val="ru-RU"/>
        </w:rPr>
        <w:t>.</w:t>
      </w:r>
    </w:p>
    <w:p w14:paraId="5DEB8988" w14:textId="64186099" w:rsidR="008A26DF" w:rsidRPr="006E137C" w:rsidRDefault="00C979AC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C979AC">
        <w:rPr>
          <w:lang w:val="ru-RU"/>
        </w:rPr>
        <w:t>11.</w:t>
      </w:r>
      <w:r w:rsidRPr="00C979AC">
        <w:rPr>
          <w:lang w:val="ru-RU"/>
        </w:rPr>
        <w:tab/>
      </w:r>
      <w:r w:rsidR="008A26DF" w:rsidRPr="006E137C">
        <w:rPr>
          <w:lang w:val="ru-RU"/>
        </w:rPr>
        <w:t xml:space="preserve">По оценкам Гватемалы, в 2013 году эта страна выработала 240 000 тонн обычных отходов. Вместе с тем, она не располагает </w:t>
      </w:r>
      <w:r w:rsidR="003C41DD" w:rsidRPr="006E137C">
        <w:rPr>
          <w:lang w:val="ru-RU"/>
        </w:rPr>
        <w:t xml:space="preserve">ни </w:t>
      </w:r>
      <w:r w:rsidR="008A26DF" w:rsidRPr="006E137C">
        <w:rPr>
          <w:lang w:val="ru-RU"/>
        </w:rPr>
        <w:t xml:space="preserve">какой-либо информацией о среднем содержании ртути в отходах или </w:t>
      </w:r>
      <w:r w:rsidR="003C41DD" w:rsidRPr="006E137C">
        <w:rPr>
          <w:lang w:val="ru-RU"/>
        </w:rPr>
        <w:t xml:space="preserve">о </w:t>
      </w:r>
      <w:r w:rsidR="008A26DF" w:rsidRPr="006E137C">
        <w:rPr>
          <w:lang w:val="ru-RU"/>
        </w:rPr>
        <w:t>доле отходов, удаляе</w:t>
      </w:r>
      <w:r w:rsidR="003C41DD" w:rsidRPr="006E137C">
        <w:rPr>
          <w:lang w:val="ru-RU"/>
        </w:rPr>
        <w:t>мых путем открытого сжигания, н</w:t>
      </w:r>
      <w:r w:rsidR="008A26DF" w:rsidRPr="006E137C">
        <w:rPr>
          <w:lang w:val="ru-RU"/>
        </w:rPr>
        <w:t xml:space="preserve">и оценками этих показателей. </w:t>
      </w:r>
    </w:p>
    <w:p w14:paraId="3008008C" w14:textId="163EA733" w:rsidR="008A26DF" w:rsidRPr="006E137C" w:rsidRDefault="00C979AC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C979AC">
        <w:rPr>
          <w:lang w:val="ru-RU"/>
        </w:rPr>
        <w:t>12.</w:t>
      </w:r>
      <w:r w:rsidRPr="00C979AC">
        <w:rPr>
          <w:lang w:val="ru-RU"/>
        </w:rPr>
        <w:tab/>
      </w:r>
      <w:r w:rsidR="008A26DF" w:rsidRPr="006E137C">
        <w:rPr>
          <w:lang w:val="ru-RU"/>
        </w:rPr>
        <w:t xml:space="preserve">Черногория представила подробную информацию об отходах, образующихся на ее территории. Она смогла представить оценки объема отходов </w:t>
      </w:r>
      <w:r w:rsidR="003C41DD" w:rsidRPr="006E137C">
        <w:rPr>
          <w:lang w:val="ru-RU"/>
        </w:rPr>
        <w:t>по ряду</w:t>
      </w:r>
      <w:r w:rsidR="008A26DF" w:rsidRPr="006E137C">
        <w:rPr>
          <w:lang w:val="ru-RU"/>
        </w:rPr>
        <w:t xml:space="preserve"> категорий, включая бытовые отходы, промышленные отходы, строительные отходы, осадок сточных вод, медицинские отходы, отслужившие транспортные средства, отработанные батареи и аккумуляторы, отходы упаковки, отработанные шины, отработанные электротехнические и электронные изделия и отработанные масла. </w:t>
      </w:r>
      <w:r w:rsidR="003C41DD" w:rsidRPr="006E137C">
        <w:rPr>
          <w:lang w:val="ru-RU"/>
        </w:rPr>
        <w:t>Вместе с тем</w:t>
      </w:r>
      <w:r w:rsidR="008A26DF" w:rsidRPr="006E137C">
        <w:rPr>
          <w:lang w:val="ru-RU"/>
        </w:rPr>
        <w:t xml:space="preserve">, она не располагала какой-либо информацией о доле отходов, удаляемых путем открытого сжигания, или среднем содержании ртути в ее отходах. </w:t>
      </w:r>
    </w:p>
    <w:p w14:paraId="3E09C20B" w14:textId="0C3DAD69" w:rsidR="008A26DF" w:rsidRPr="006E137C" w:rsidRDefault="00C979AC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C979AC">
        <w:rPr>
          <w:lang w:val="ru-RU"/>
        </w:rPr>
        <w:t>13.</w:t>
      </w:r>
      <w:r w:rsidRPr="00C979AC">
        <w:rPr>
          <w:lang w:val="ru-RU"/>
        </w:rPr>
        <w:tab/>
      </w:r>
      <w:r w:rsidR="008A26DF" w:rsidRPr="006E137C">
        <w:rPr>
          <w:lang w:val="ru-RU"/>
        </w:rPr>
        <w:t>Саудовская Аравия указала, что на момент представления доклада она не имела какой</w:t>
      </w:r>
      <w:r w:rsidR="00FE16E0">
        <w:rPr>
          <w:lang w:val="ru-RU"/>
        </w:rPr>
        <w:noBreakHyphen/>
      </w:r>
      <w:r w:rsidR="008A26DF" w:rsidRPr="006E137C">
        <w:rPr>
          <w:lang w:val="ru-RU"/>
        </w:rPr>
        <w:t xml:space="preserve">либо достоверной информации о национальных уровнях выбросов и высвобождений ртути и ртутных соединений. В настоящее время она проводит обследования и другие исследования, непосредственно направленные на изучение вопросов загрязнения воздуха, </w:t>
      </w:r>
      <w:r w:rsidR="00A14D02" w:rsidRPr="006E137C">
        <w:rPr>
          <w:lang w:val="ru-RU"/>
        </w:rPr>
        <w:t>в том числе</w:t>
      </w:r>
      <w:r w:rsidR="008A26DF" w:rsidRPr="006E137C">
        <w:rPr>
          <w:lang w:val="ru-RU"/>
        </w:rPr>
        <w:t xml:space="preserve"> ртуть</w:t>
      </w:r>
      <w:r w:rsidR="00A14D02" w:rsidRPr="006E137C">
        <w:rPr>
          <w:lang w:val="ru-RU"/>
        </w:rPr>
        <w:t>ю</w:t>
      </w:r>
      <w:r w:rsidR="008A26DF" w:rsidRPr="006E137C">
        <w:rPr>
          <w:lang w:val="ru-RU"/>
        </w:rPr>
        <w:t xml:space="preserve"> и ртутны</w:t>
      </w:r>
      <w:r w:rsidR="00A14D02" w:rsidRPr="006E137C">
        <w:rPr>
          <w:lang w:val="ru-RU"/>
        </w:rPr>
        <w:t>ми</w:t>
      </w:r>
      <w:r w:rsidR="008A26DF" w:rsidRPr="006E137C">
        <w:rPr>
          <w:lang w:val="ru-RU"/>
        </w:rPr>
        <w:t xml:space="preserve"> соединения</w:t>
      </w:r>
      <w:r w:rsidR="00A14D02" w:rsidRPr="006E137C">
        <w:rPr>
          <w:lang w:val="ru-RU"/>
        </w:rPr>
        <w:t>ми</w:t>
      </w:r>
      <w:r w:rsidR="008A26DF" w:rsidRPr="006E137C">
        <w:rPr>
          <w:lang w:val="ru-RU"/>
        </w:rPr>
        <w:t xml:space="preserve">, </w:t>
      </w:r>
      <w:r w:rsidR="00A14D02" w:rsidRPr="006E137C">
        <w:rPr>
          <w:lang w:val="ru-RU"/>
        </w:rPr>
        <w:t xml:space="preserve">с целью получить </w:t>
      </w:r>
      <w:r w:rsidR="008A26DF" w:rsidRPr="006E137C">
        <w:rPr>
          <w:lang w:val="ru-RU"/>
        </w:rPr>
        <w:t>оцен</w:t>
      </w:r>
      <w:r w:rsidR="00A14D02" w:rsidRPr="006E137C">
        <w:rPr>
          <w:lang w:val="ru-RU"/>
        </w:rPr>
        <w:t>ку таких выбросов</w:t>
      </w:r>
      <w:r w:rsidR="008A26DF" w:rsidRPr="006E137C">
        <w:rPr>
          <w:lang w:val="ru-RU"/>
        </w:rPr>
        <w:t>. В своем представлении Саудовская Аравия указала, что она уже приняла меры</w:t>
      </w:r>
      <w:r w:rsidR="00A14D02" w:rsidRPr="006E137C">
        <w:rPr>
          <w:lang w:val="ru-RU"/>
        </w:rPr>
        <w:t xml:space="preserve"> для достижения</w:t>
      </w:r>
      <w:r w:rsidR="008A26DF" w:rsidRPr="006E137C">
        <w:rPr>
          <w:lang w:val="ru-RU"/>
        </w:rPr>
        <w:t xml:space="preserve"> следующих результатов:</w:t>
      </w:r>
    </w:p>
    <w:p w14:paraId="1765E8E7" w14:textId="3D288FD8" w:rsidR="008A26DF" w:rsidRPr="006E137C" w:rsidRDefault="00AB544E" w:rsidP="00C979AC">
      <w:pPr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  <w:rPr>
          <w:lang w:val="ru-RU"/>
        </w:rPr>
      </w:pPr>
      <w:r w:rsidRPr="006E137C">
        <w:rPr>
          <w:lang w:val="ru-RU"/>
        </w:rPr>
        <w:t>Сведение к минимуму производства опасных и других отходов (включая ртуть и ртутные соединения) с учетом социальных, технических и экономических аспектов.</w:t>
      </w:r>
    </w:p>
    <w:p w14:paraId="3BA4B5A4" w14:textId="4B05AABC" w:rsidR="008A26DF" w:rsidRPr="006E137C" w:rsidRDefault="00AB544E" w:rsidP="00C979AC">
      <w:pPr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  <w:rPr>
          <w:lang w:val="ru-RU"/>
        </w:rPr>
      </w:pPr>
      <w:r w:rsidRPr="006E137C">
        <w:rPr>
          <w:lang w:val="ru-RU"/>
        </w:rPr>
        <w:t>Применение национальных экологических стандартов в отношении загрязнителей воздуха (включая ртуть и ртутные соединения), образующихся в результате любой хозяйственной деятельности</w:t>
      </w:r>
      <w:r w:rsidR="00917D24" w:rsidRPr="006E137C">
        <w:rPr>
          <w:lang w:val="ru-RU"/>
        </w:rPr>
        <w:t>, и обеспечение их соблюдения</w:t>
      </w:r>
      <w:r w:rsidRPr="006E137C">
        <w:rPr>
          <w:lang w:val="ru-RU"/>
        </w:rPr>
        <w:t>.</w:t>
      </w:r>
    </w:p>
    <w:p w14:paraId="38D9389C" w14:textId="2514F511" w:rsidR="008A26DF" w:rsidRPr="006E137C" w:rsidRDefault="0092054B" w:rsidP="00C979AC">
      <w:pPr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  <w:rPr>
          <w:lang w:val="ru-RU"/>
        </w:rPr>
      </w:pPr>
      <w:r w:rsidRPr="006E137C">
        <w:rPr>
          <w:lang w:val="ru-RU"/>
        </w:rPr>
        <w:lastRenderedPageBreak/>
        <w:t>Запрет на открытое сжигание бытовых и других отходов.</w:t>
      </w:r>
    </w:p>
    <w:p w14:paraId="005D7EF5" w14:textId="3F437CC0" w:rsidR="008A26DF" w:rsidRPr="006E137C" w:rsidRDefault="002D1133" w:rsidP="00C979AC">
      <w:pPr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  <w:rPr>
          <w:lang w:val="ru-RU"/>
        </w:rPr>
      </w:pPr>
      <w:r w:rsidRPr="006E137C">
        <w:rPr>
          <w:lang w:val="ru-RU"/>
        </w:rPr>
        <w:t xml:space="preserve">Обеспечение наличия соответствующих объектов по удалению для экологически обоснованного </w:t>
      </w:r>
      <w:r w:rsidR="00917D24" w:rsidRPr="006E137C">
        <w:rPr>
          <w:lang w:val="ru-RU"/>
        </w:rPr>
        <w:t>регулирования</w:t>
      </w:r>
      <w:r w:rsidRPr="006E137C">
        <w:rPr>
          <w:lang w:val="ru-RU"/>
        </w:rPr>
        <w:t xml:space="preserve"> опасных отходов, содержащих ртуть и другие ртутные соединения, причем такие объекты, по возможности, должны быть расположены в месте удаления отходов.</w:t>
      </w:r>
    </w:p>
    <w:p w14:paraId="1DDC3F05" w14:textId="5B3F9FCF" w:rsidR="008A26DF" w:rsidRPr="006E137C" w:rsidRDefault="00720D61" w:rsidP="00C979AC">
      <w:pPr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  <w:rPr>
          <w:lang w:val="ru-RU"/>
        </w:rPr>
      </w:pPr>
      <w:r w:rsidRPr="006E137C">
        <w:rPr>
          <w:lang w:val="ru-RU"/>
        </w:rPr>
        <w:t xml:space="preserve">Обеспечение того, чтобы лица, участвующие в </w:t>
      </w:r>
      <w:r w:rsidR="00917D24" w:rsidRPr="006E137C">
        <w:rPr>
          <w:lang w:val="ru-RU"/>
        </w:rPr>
        <w:t>регулировании</w:t>
      </w:r>
      <w:r w:rsidRPr="006E137C">
        <w:rPr>
          <w:lang w:val="ru-RU"/>
        </w:rPr>
        <w:t xml:space="preserve"> опасных и других отходов, принимали необходимые меры для предотвращения загрязнения и, если такое загрязнение все же происходит, для сведения к минимуму его последствий для здоровья человека и окружающей среды.</w:t>
      </w:r>
    </w:p>
    <w:p w14:paraId="256A5745" w14:textId="745B99BC" w:rsidR="008A26DF" w:rsidRPr="006E137C" w:rsidRDefault="005213E1" w:rsidP="00C979AC">
      <w:pPr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  <w:rPr>
          <w:lang w:val="ru-RU"/>
        </w:rPr>
      </w:pPr>
      <w:r w:rsidRPr="006E137C">
        <w:rPr>
          <w:lang w:val="ru-RU"/>
        </w:rPr>
        <w:t xml:space="preserve">Осуществление и обеспечение соблюдения положений Базельской конвенции, в том числе для обеспечения сведения к минимуму трансграничной перевозки опасных и других отходов в соответствии с экологически обоснованным и эффективным </w:t>
      </w:r>
      <w:r w:rsidR="00917D24" w:rsidRPr="006E137C">
        <w:rPr>
          <w:lang w:val="ru-RU"/>
        </w:rPr>
        <w:t>регулированием</w:t>
      </w:r>
      <w:r w:rsidRPr="006E137C">
        <w:rPr>
          <w:lang w:val="ru-RU"/>
        </w:rPr>
        <w:t xml:space="preserve"> таких отходов и, таким образом, защиты здоровья человека и окружающей среды от негативных последствий, которые могут повлечь за собой такие перевозки, и для обеспечения соответствия такого экспорта положениям Базельской конвенции.</w:t>
      </w:r>
    </w:p>
    <w:p w14:paraId="7BA2B99F" w14:textId="58E147BF" w:rsidR="008A26DF" w:rsidRPr="006E137C" w:rsidRDefault="0054472E" w:rsidP="00C979AC">
      <w:pPr>
        <w:numPr>
          <w:ilvl w:val="0"/>
          <w:numId w:val="2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5" w:hanging="624"/>
        <w:rPr>
          <w:lang w:val="ru-RU"/>
        </w:rPr>
      </w:pPr>
      <w:r w:rsidRPr="006E137C">
        <w:rPr>
          <w:lang w:val="ru-RU"/>
        </w:rPr>
        <w:t xml:space="preserve">Недопущение импорта опасных и других отходов на свою территорию. </w:t>
      </w:r>
    </w:p>
    <w:p w14:paraId="2CB7F483" w14:textId="63B73D57" w:rsidR="008A26DF" w:rsidRPr="006E137C" w:rsidRDefault="002957C3" w:rsidP="002957C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lang w:val="ru-RU"/>
        </w:rPr>
      </w:pPr>
      <w:r w:rsidRPr="002957C3">
        <w:rPr>
          <w:lang w:val="ru-RU"/>
        </w:rPr>
        <w:t>14.</w:t>
      </w:r>
      <w:r w:rsidRPr="002957C3">
        <w:rPr>
          <w:lang w:val="ru-RU"/>
        </w:rPr>
        <w:tab/>
      </w:r>
      <w:r w:rsidR="008A26DF" w:rsidRPr="006E137C">
        <w:rPr>
          <w:lang w:val="ru-RU"/>
        </w:rPr>
        <w:t xml:space="preserve">Сенегал представил оценку выбросов и высвобождений ртути в результате открытого сжигания на его территории. </w:t>
      </w:r>
      <w:r w:rsidR="00917D24" w:rsidRPr="006E137C">
        <w:rPr>
          <w:lang w:val="ru-RU"/>
        </w:rPr>
        <w:t>Согласно этой</w:t>
      </w:r>
      <w:r w:rsidR="008A26DF" w:rsidRPr="006E137C">
        <w:rPr>
          <w:lang w:val="ru-RU"/>
        </w:rPr>
        <w:t xml:space="preserve"> оценк</w:t>
      </w:r>
      <w:r w:rsidR="00917D24" w:rsidRPr="006E137C">
        <w:rPr>
          <w:lang w:val="ru-RU"/>
        </w:rPr>
        <w:t>е</w:t>
      </w:r>
      <w:r w:rsidR="008A26DF" w:rsidRPr="006E137C">
        <w:rPr>
          <w:lang w:val="ru-RU"/>
        </w:rPr>
        <w:t>, выбросы ртути в во</w:t>
      </w:r>
      <w:r w:rsidR="00FE16E0">
        <w:rPr>
          <w:lang w:val="ru-RU"/>
        </w:rPr>
        <w:t>здух составили приблизительно 2</w:t>
      </w:r>
      <w:r w:rsidR="008A26DF" w:rsidRPr="006E137C">
        <w:rPr>
          <w:lang w:val="ru-RU"/>
        </w:rPr>
        <w:t xml:space="preserve">557 кг и около 285 кг ртути присутствует в отходах, остающихся после сжигания. </w:t>
      </w:r>
    </w:p>
    <w:p w14:paraId="282C00DC" w14:textId="7C38B431" w:rsidR="008A26DF" w:rsidRPr="006E137C" w:rsidRDefault="002957C3" w:rsidP="002957C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lang w:val="ru-RU"/>
        </w:rPr>
      </w:pPr>
      <w:r w:rsidRPr="002957C3">
        <w:rPr>
          <w:lang w:val="ru-RU"/>
        </w:rPr>
        <w:t>15.</w:t>
      </w:r>
      <w:r w:rsidRPr="002957C3">
        <w:rPr>
          <w:lang w:val="ru-RU"/>
        </w:rPr>
        <w:tab/>
      </w:r>
      <w:r w:rsidR="008A26DF" w:rsidRPr="006E137C">
        <w:rPr>
          <w:lang w:val="ru-RU"/>
        </w:rPr>
        <w:t>Южная Африка указала, что в настоящее время она не располагает информацией об открытом сжигании отходов на своей территории, а Уганда сообщила, что на ее территории, как правило, не произво</w:t>
      </w:r>
      <w:r w:rsidR="00917D24" w:rsidRPr="006E137C">
        <w:rPr>
          <w:lang w:val="ru-RU"/>
        </w:rPr>
        <w:t>дится сжигание твердых отходов, а</w:t>
      </w:r>
      <w:r w:rsidR="008A26DF" w:rsidRPr="006E137C">
        <w:rPr>
          <w:lang w:val="ru-RU"/>
        </w:rPr>
        <w:t xml:space="preserve"> наиболее распространенным методом удаления отходов является непосредственное захоронение на </w:t>
      </w:r>
      <w:r w:rsidR="00860F24">
        <w:rPr>
          <w:lang w:val="ru-RU"/>
        </w:rPr>
        <w:t>полигонах</w:t>
      </w:r>
      <w:r w:rsidR="008A26DF" w:rsidRPr="006E137C">
        <w:rPr>
          <w:lang w:val="ru-RU"/>
        </w:rPr>
        <w:t>.</w:t>
      </w:r>
    </w:p>
    <w:p w14:paraId="3B29C566" w14:textId="7946D523" w:rsidR="008A26DF" w:rsidRPr="002957C3" w:rsidRDefault="0046725B" w:rsidP="0046725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lang w:val="ru-RU"/>
        </w:rPr>
      </w:pPr>
      <w:r>
        <w:rPr>
          <w:b/>
          <w:lang w:val="en-US"/>
        </w:rPr>
        <w:tab/>
      </w:r>
      <w:r w:rsidRPr="0046725B">
        <w:rPr>
          <w:b/>
          <w:lang w:val="en-US"/>
        </w:rPr>
        <w:t>E.</w:t>
      </w:r>
      <w:r w:rsidRPr="0046725B">
        <w:rPr>
          <w:b/>
          <w:lang w:val="en-US"/>
        </w:rPr>
        <w:tab/>
      </w:r>
      <w:r w:rsidR="008A26DF" w:rsidRPr="002957C3">
        <w:rPr>
          <w:b/>
          <w:lang w:val="ru-RU"/>
        </w:rPr>
        <w:t>Выводы</w:t>
      </w:r>
    </w:p>
    <w:p w14:paraId="4C86ACDA" w14:textId="09FA6625" w:rsidR="008A26DF" w:rsidRPr="006E137C" w:rsidRDefault="002957C3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2957C3">
        <w:rPr>
          <w:lang w:val="ru-RU"/>
        </w:rPr>
        <w:t>16.</w:t>
      </w:r>
      <w:r w:rsidRPr="002957C3">
        <w:rPr>
          <w:lang w:val="ru-RU"/>
        </w:rPr>
        <w:tab/>
      </w:r>
      <w:r w:rsidR="00B70143" w:rsidRPr="006E137C">
        <w:rPr>
          <w:lang w:val="ru-RU"/>
        </w:rPr>
        <w:t xml:space="preserve">По данным документа ЮНЕП </w:t>
      </w:r>
      <w:r w:rsidR="00FC4BB0">
        <w:rPr>
          <w:lang w:val="ru-RU"/>
        </w:rPr>
        <w:t>«</w:t>
      </w:r>
      <w:r w:rsidR="00B70143" w:rsidRPr="006E137C">
        <w:rPr>
          <w:lang w:val="ru-RU"/>
        </w:rPr>
        <w:t>Глобальная оценка ртути</w:t>
      </w:r>
      <w:r w:rsidR="00FC4BB0">
        <w:rPr>
          <w:lang w:val="ru-RU"/>
        </w:rPr>
        <w:t>»</w:t>
      </w:r>
      <w:r w:rsidR="00B70143" w:rsidRPr="006E137C">
        <w:rPr>
          <w:lang w:val="ru-RU"/>
        </w:rPr>
        <w:t xml:space="preserve"> за 2013 год, на регулирование отходов (включая свалки и открытое сжигание) приходится менее 5 процентов общих выбросов ртути по всему миру. Оценки доли выбросов в результате открытого сжигания варьируются от нуля в некоторых странах до почти 100 процентов отходов в других странах. Оценки объема выбросов и высвобождений ртути будут уточняться по мере сбора новых данных, и этот процесс уже ведется во многих странах в рамках первоначальных оценок согласно Минаматской конвенции и в ходе подготовительных мероприятий к осуществлению Конвенции. </w:t>
      </w:r>
    </w:p>
    <w:p w14:paraId="10BE7FA0" w14:textId="3E3C4B56" w:rsidR="00212E52" w:rsidRPr="006E137C" w:rsidRDefault="002957C3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2957C3">
        <w:rPr>
          <w:lang w:val="ru-RU"/>
        </w:rPr>
        <w:t>17.</w:t>
      </w:r>
      <w:r w:rsidRPr="002957C3">
        <w:rPr>
          <w:lang w:val="ru-RU"/>
        </w:rPr>
        <w:tab/>
      </w:r>
      <w:r w:rsidR="008A26DF" w:rsidRPr="006E137C">
        <w:rPr>
          <w:lang w:val="ru-RU"/>
        </w:rPr>
        <w:t xml:space="preserve">Вместе с тем, трудности, связанные с открытым сжиганием отходов, выходят далеко за рамки проблемы выбросов ртути. </w:t>
      </w:r>
      <w:r w:rsidR="00917D24" w:rsidRPr="006E137C">
        <w:rPr>
          <w:lang w:val="ru-RU"/>
        </w:rPr>
        <w:t>Как часть</w:t>
      </w:r>
      <w:r w:rsidR="008A26DF" w:rsidRPr="006E137C">
        <w:rPr>
          <w:lang w:val="ru-RU"/>
        </w:rPr>
        <w:t xml:space="preserve"> общей повестки дня в области развития, ликвидация открытого сжигания была отнесена к одной из приоритетных задач в области устойчивого развития, способствующих сокращению различных загрязнителей воздуха и обеспечивающих социальные и экономические выгоды.</w:t>
      </w:r>
    </w:p>
    <w:p w14:paraId="7702ECE0" w14:textId="77777777" w:rsidR="00212E52" w:rsidRPr="006E137C" w:rsidRDefault="00212E52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6E137C">
        <w:rPr>
          <w:lang w:val="ru-RU"/>
        </w:rPr>
        <w:br w:type="page"/>
      </w:r>
    </w:p>
    <w:p w14:paraId="1167FAF5" w14:textId="197896F6" w:rsidR="008A26DF" w:rsidRPr="002957C3" w:rsidRDefault="002957C3" w:rsidP="00E83BB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>
        <w:rPr>
          <w:lang w:val="ru-RU"/>
        </w:rPr>
        <w:lastRenderedPageBreak/>
        <w:tab/>
      </w:r>
      <w:proofErr w:type="spellStart"/>
      <w:r w:rsidR="008A26DF" w:rsidRPr="002957C3">
        <w:rPr>
          <w:b/>
          <w:sz w:val="24"/>
        </w:rPr>
        <w:t>Литература</w:t>
      </w:r>
      <w:bookmarkStart w:id="4" w:name="_GoBack"/>
      <w:bookmarkEnd w:id="4"/>
      <w:proofErr w:type="spellEnd"/>
    </w:p>
    <w:p w14:paraId="474EA9C0" w14:textId="749BC8ED" w:rsidR="00860F24" w:rsidRPr="00860F24" w:rsidRDefault="00860F24" w:rsidP="00E83BB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en-US"/>
        </w:rPr>
      </w:pPr>
      <w:proofErr w:type="spellStart"/>
      <w:r>
        <w:t>Antonis</w:t>
      </w:r>
      <w:proofErr w:type="spellEnd"/>
      <w:r>
        <w:t xml:space="preserve"> </w:t>
      </w:r>
      <w:proofErr w:type="spellStart"/>
      <w:r w:rsidRPr="00A7426B">
        <w:t>Mavropoulos</w:t>
      </w:r>
      <w:proofErr w:type="spellEnd"/>
      <w:r>
        <w:t>,</w:t>
      </w:r>
      <w:r w:rsidRPr="00466643" w:rsidDel="00893D3A">
        <w:t xml:space="preserve"> </w:t>
      </w:r>
      <w:r>
        <w:t>“</w:t>
      </w:r>
      <w:r w:rsidRPr="00946F15">
        <w:t xml:space="preserve">Wasted </w:t>
      </w:r>
      <w:r>
        <w:t>h</w:t>
      </w:r>
      <w:r w:rsidRPr="00946F15">
        <w:t xml:space="preserve">ealth: </w:t>
      </w:r>
      <w:r>
        <w:t>t</w:t>
      </w:r>
      <w:r w:rsidRPr="00160554">
        <w:t xml:space="preserve">he </w:t>
      </w:r>
      <w:r>
        <w:t>t</w:t>
      </w:r>
      <w:r w:rsidRPr="00160554">
        <w:t xml:space="preserve">ragic </w:t>
      </w:r>
      <w:r>
        <w:t>c</w:t>
      </w:r>
      <w:r w:rsidRPr="00160554">
        <w:t xml:space="preserve">ase of </w:t>
      </w:r>
      <w:r>
        <w:t>d</w:t>
      </w:r>
      <w:r w:rsidRPr="00160554">
        <w:t>umpsites</w:t>
      </w:r>
      <w:r>
        <w:t>”</w:t>
      </w:r>
      <w:r w:rsidRPr="00160554">
        <w:t xml:space="preserve"> </w:t>
      </w:r>
      <w:r>
        <w:t xml:space="preserve">(Vienna, </w:t>
      </w:r>
      <w:r w:rsidRPr="00160554">
        <w:t>International Solid Waste Association, June 2015</w:t>
      </w:r>
      <w:r>
        <w:t xml:space="preserve">), </w:t>
      </w:r>
      <w:r w:rsidR="00DC3284">
        <w:rPr>
          <w:lang w:val="ru-RU"/>
        </w:rPr>
        <w:t>имеется</w:t>
      </w:r>
      <w:r w:rsidR="00DC3284" w:rsidRPr="00DC3284">
        <w:rPr>
          <w:lang w:val="en-US"/>
        </w:rPr>
        <w:t xml:space="preserve"> </w:t>
      </w:r>
      <w:r w:rsidR="00DC3284">
        <w:rPr>
          <w:lang w:val="ru-RU"/>
        </w:rPr>
        <w:t>по</w:t>
      </w:r>
      <w:r w:rsidR="00DC3284" w:rsidRPr="00DC3284">
        <w:rPr>
          <w:lang w:val="en-US"/>
        </w:rPr>
        <w:t xml:space="preserve"> </w:t>
      </w:r>
      <w:r w:rsidR="00DC3284">
        <w:rPr>
          <w:lang w:val="ru-RU"/>
        </w:rPr>
        <w:t>адресу</w:t>
      </w:r>
      <w:r w:rsidR="00C62858" w:rsidRPr="00C62858">
        <w:rPr>
          <w:lang w:val="en-US"/>
        </w:rPr>
        <w:t>:</w:t>
      </w:r>
      <w:r>
        <w:t xml:space="preserve"> </w:t>
      </w:r>
      <w:hyperlink r:id="rId12" w:history="1">
        <w:r w:rsidRPr="00160554">
          <w:rPr>
            <w:rStyle w:val="Hyperlink"/>
            <w:lang w:val="en-GB"/>
          </w:rPr>
          <w:t>www.iswa.org/fileadmin/galleries/Task_Forces/THE_TRAGIC_CASE_OF_DUMPSITES.pdf</w:t>
        </w:r>
      </w:hyperlink>
      <w:r>
        <w:t>.</w:t>
      </w:r>
    </w:p>
    <w:p w14:paraId="0AA8F846" w14:textId="17781440" w:rsidR="00DC3284" w:rsidRPr="00DC3284" w:rsidRDefault="00F40DDB" w:rsidP="00E83BB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/>
        <w:rPr>
          <w:lang w:val="ru-RU"/>
        </w:rPr>
      </w:pPr>
      <w:proofErr w:type="gramStart"/>
      <w:r w:rsidRPr="006E137C">
        <w:t>United Nations Environment Programme</w:t>
      </w:r>
      <w:r w:rsidR="00DC3284" w:rsidRPr="00DC3284">
        <w:rPr>
          <w:lang w:val="en-US"/>
        </w:rPr>
        <w:t xml:space="preserve"> (2013).</w:t>
      </w:r>
      <w:proofErr w:type="gramEnd"/>
      <w:r w:rsidRPr="006E137C">
        <w:t xml:space="preserve"> </w:t>
      </w:r>
      <w:r w:rsidR="008A26DF" w:rsidRPr="006E137C">
        <w:t xml:space="preserve">Global Mercury Assessment 2013: Sources, Emissions, Releases and Environmental Transport </w:t>
      </w:r>
      <w:r w:rsidRPr="006E137C">
        <w:t xml:space="preserve">(Geneva, </w:t>
      </w:r>
      <w:r w:rsidR="008A26DF" w:rsidRPr="006E137C">
        <w:t>2013</w:t>
      </w:r>
      <w:r w:rsidRPr="006E137C">
        <w:t>)</w:t>
      </w:r>
      <w:r w:rsidR="0058023F" w:rsidRPr="006E137C">
        <w:t>.</w:t>
      </w:r>
      <w:r w:rsidR="00DC3284" w:rsidRPr="00DC3284">
        <w:rPr>
          <w:lang w:val="en-US"/>
        </w:rPr>
        <w:t xml:space="preserve"> </w:t>
      </w:r>
      <w:r w:rsidR="00DC3284">
        <w:rPr>
          <w:lang w:val="ru-RU"/>
        </w:rPr>
        <w:t>Имеется по адресу</w:t>
      </w:r>
      <w:r w:rsidR="00C62858">
        <w:rPr>
          <w:lang w:val="ru-RU"/>
        </w:rPr>
        <w:t>:</w:t>
      </w:r>
      <w:r w:rsidR="00DC3284" w:rsidRPr="00DC3284">
        <w:rPr>
          <w:lang w:val="ru-RU"/>
        </w:rPr>
        <w:t xml:space="preserve"> </w:t>
      </w:r>
      <w:r w:rsidR="00DC3284" w:rsidRPr="002D38F5">
        <w:t>http</w:t>
      </w:r>
      <w:r w:rsidR="00DC3284" w:rsidRPr="00DC3284">
        <w:rPr>
          <w:lang w:val="ru-RU"/>
        </w:rPr>
        <w:t>://</w:t>
      </w:r>
      <w:r w:rsidR="00DC3284" w:rsidRPr="002D38F5">
        <w:t>www</w:t>
      </w:r>
      <w:r w:rsidR="00DC3284" w:rsidRPr="00DC3284">
        <w:rPr>
          <w:lang w:val="ru-RU"/>
        </w:rPr>
        <w:t>.</w:t>
      </w:r>
      <w:proofErr w:type="spellStart"/>
      <w:r w:rsidR="00DC3284" w:rsidRPr="002D38F5">
        <w:t>unep</w:t>
      </w:r>
      <w:proofErr w:type="spellEnd"/>
      <w:r w:rsidR="00DC3284" w:rsidRPr="00DC3284">
        <w:rPr>
          <w:lang w:val="ru-RU"/>
        </w:rPr>
        <w:t>.</w:t>
      </w:r>
      <w:r w:rsidR="00DC3284" w:rsidRPr="002D38F5">
        <w:t>org</w:t>
      </w:r>
      <w:r w:rsidR="00DC3284" w:rsidRPr="00DC3284">
        <w:rPr>
          <w:lang w:val="ru-RU"/>
        </w:rPr>
        <w:t>/</w:t>
      </w:r>
      <w:proofErr w:type="spellStart"/>
      <w:r w:rsidR="00DC3284" w:rsidRPr="002D38F5">
        <w:t>chemicalsandwaste</w:t>
      </w:r>
      <w:proofErr w:type="spellEnd"/>
      <w:r w:rsidR="00DC3284" w:rsidRPr="00DC3284">
        <w:rPr>
          <w:lang w:val="ru-RU"/>
        </w:rPr>
        <w:t>/</w:t>
      </w:r>
      <w:r w:rsidR="00DC3284" w:rsidRPr="002D38F5">
        <w:t>what</w:t>
      </w:r>
      <w:r w:rsidR="00DC3284" w:rsidRPr="00DC3284">
        <w:rPr>
          <w:lang w:val="ru-RU"/>
        </w:rPr>
        <w:t>-</w:t>
      </w:r>
      <w:r w:rsidR="00DC3284" w:rsidRPr="002D38F5">
        <w:t>we</w:t>
      </w:r>
      <w:r w:rsidR="00DC3284" w:rsidRPr="00DC3284">
        <w:rPr>
          <w:lang w:val="ru-RU"/>
        </w:rPr>
        <w:t>-</w:t>
      </w:r>
      <w:r w:rsidR="00DC3284" w:rsidRPr="002D38F5">
        <w:t>do</w:t>
      </w:r>
      <w:r w:rsidR="00DC3284" w:rsidRPr="00DC3284">
        <w:rPr>
          <w:lang w:val="ru-RU"/>
        </w:rPr>
        <w:t>/</w:t>
      </w:r>
      <w:r w:rsidR="00DC3284" w:rsidRPr="002D38F5">
        <w:t>technology</w:t>
      </w:r>
      <w:r w:rsidR="00DC3284" w:rsidRPr="00DC3284">
        <w:rPr>
          <w:lang w:val="ru-RU"/>
        </w:rPr>
        <w:t>-</w:t>
      </w:r>
      <w:r w:rsidR="00DC3284" w:rsidRPr="002D38F5">
        <w:t>and</w:t>
      </w:r>
      <w:r w:rsidR="00DC3284" w:rsidRPr="00DC3284">
        <w:rPr>
          <w:lang w:val="ru-RU"/>
        </w:rPr>
        <w:t>-</w:t>
      </w:r>
      <w:r w:rsidR="00DC3284" w:rsidRPr="002D38F5">
        <w:t>metals</w:t>
      </w:r>
      <w:r w:rsidR="00DC3284" w:rsidRPr="00DC3284">
        <w:rPr>
          <w:lang w:val="ru-RU"/>
        </w:rPr>
        <w:t>/</w:t>
      </w:r>
      <w:r w:rsidR="00DC3284" w:rsidRPr="002D38F5">
        <w:t>mercury</w:t>
      </w:r>
      <w:r w:rsidR="00DC3284" w:rsidRPr="00DC3284">
        <w:rPr>
          <w:lang w:val="ru-RU"/>
        </w:rPr>
        <w:t>/</w:t>
      </w:r>
      <w:r w:rsidR="00DC3284" w:rsidRPr="002D38F5">
        <w:t>global</w:t>
      </w:r>
      <w:r w:rsidR="00DC3284" w:rsidRPr="00DC3284">
        <w:rPr>
          <w:lang w:val="ru-RU"/>
        </w:rPr>
        <w:t>-</w:t>
      </w:r>
      <w:r w:rsidR="00DC3284" w:rsidRPr="002D38F5">
        <w:t>mercury</w:t>
      </w:r>
      <w:r w:rsidR="00DC3284" w:rsidRPr="00DC3284">
        <w:rPr>
          <w:lang w:val="ru-RU"/>
        </w:rPr>
        <w:t>-</w:t>
      </w:r>
      <w:r w:rsidR="00DC3284" w:rsidRPr="002D38F5">
        <w:t>assessment</w:t>
      </w:r>
      <w:r w:rsidR="00DC3284" w:rsidRPr="00DC3284">
        <w:rPr>
          <w:lang w:val="ru-RU"/>
        </w:rPr>
        <w:t>.</w:t>
      </w:r>
    </w:p>
    <w:p w14:paraId="44BF3AF8" w14:textId="63727BD6" w:rsidR="008A26DF" w:rsidRPr="006E137C" w:rsidRDefault="006D10BB" w:rsidP="00E83BB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_____________</w:t>
      </w:r>
      <w:proofErr w:type="gramStart"/>
      <w:r>
        <w:t>_</w:t>
      </w:r>
      <w:r w:rsidR="00DC3284" w:rsidRPr="00DC3284">
        <w:rPr>
          <w:lang w:val="en-US"/>
        </w:rPr>
        <w:t>(</w:t>
      </w:r>
      <w:proofErr w:type="gramEnd"/>
      <w:r w:rsidR="00DC3284" w:rsidRPr="00DC3284">
        <w:rPr>
          <w:lang w:val="en-US"/>
        </w:rPr>
        <w:t>2015).</w:t>
      </w:r>
      <w:r w:rsidR="00351732" w:rsidRPr="006E137C" w:rsidDel="00351732">
        <w:t xml:space="preserve"> </w:t>
      </w:r>
      <w:r w:rsidR="008A26DF" w:rsidRPr="006E137C">
        <w:t xml:space="preserve">Global Waste Management Outlook </w:t>
      </w:r>
      <w:r w:rsidR="00351732" w:rsidRPr="006E137C">
        <w:t xml:space="preserve">(2015), </w:t>
      </w:r>
      <w:proofErr w:type="spellStart"/>
      <w:r w:rsidR="00554F54" w:rsidRPr="006E137C">
        <w:t>имеется</w:t>
      </w:r>
      <w:proofErr w:type="spellEnd"/>
      <w:r w:rsidR="00554F54" w:rsidRPr="006E137C">
        <w:t xml:space="preserve"> </w:t>
      </w:r>
      <w:proofErr w:type="spellStart"/>
      <w:r w:rsidR="00D75D58" w:rsidRPr="006E137C">
        <w:t>по</w:t>
      </w:r>
      <w:proofErr w:type="spellEnd"/>
      <w:r w:rsidR="00D75D58" w:rsidRPr="006E137C">
        <w:t xml:space="preserve"> </w:t>
      </w:r>
      <w:proofErr w:type="spellStart"/>
      <w:r w:rsidR="00554F54" w:rsidRPr="006E137C">
        <w:t>адресу</w:t>
      </w:r>
      <w:proofErr w:type="spellEnd"/>
      <w:r w:rsidR="00554F54" w:rsidRPr="006E137C">
        <w:t>:</w:t>
      </w:r>
      <w:r w:rsidR="00351732" w:rsidRPr="006E137C">
        <w:t xml:space="preserve"> </w:t>
      </w:r>
      <w:r w:rsidR="008A26DF" w:rsidRPr="006E137C">
        <w:t>www.unep.org/ietc/Portals/136/Publications/Waste%20Management/GWMO%20report/</w:t>
      </w:r>
      <w:r w:rsidR="004A2A50" w:rsidRPr="004A2A50">
        <w:rPr>
          <w:lang w:val="en-US"/>
        </w:rPr>
        <w:br/>
      </w:r>
      <w:r w:rsidR="008A26DF" w:rsidRPr="006E137C">
        <w:t>GWMO%20full%20report.pdf</w:t>
      </w:r>
      <w:r w:rsidR="0058023F" w:rsidRPr="006E137C">
        <w:t>.</w:t>
      </w:r>
    </w:p>
    <w:p w14:paraId="4C73255D" w14:textId="13AD261C" w:rsidR="00DC3284" w:rsidRPr="00DC3284" w:rsidRDefault="006D10BB" w:rsidP="00E83BB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en-US"/>
        </w:rPr>
      </w:pPr>
      <w:r>
        <w:t>_____________</w:t>
      </w:r>
      <w:proofErr w:type="gramStart"/>
      <w:r>
        <w:t>_</w:t>
      </w:r>
      <w:r w:rsidR="00DC3284">
        <w:rPr>
          <w:bCs/>
        </w:rPr>
        <w:t>(</w:t>
      </w:r>
      <w:proofErr w:type="gramEnd"/>
      <w:r w:rsidR="00DC3284">
        <w:rPr>
          <w:bCs/>
        </w:rPr>
        <w:t>2017). “</w:t>
      </w:r>
      <w:r w:rsidR="00DC3284" w:rsidRPr="00A03375">
        <w:rPr>
          <w:bCs/>
        </w:rPr>
        <w:t>Toolkit for Identification and Quantification of Mercury Releases</w:t>
      </w:r>
      <w:r w:rsidR="00DC3284">
        <w:rPr>
          <w:bCs/>
        </w:rPr>
        <w:t xml:space="preserve">”, </w:t>
      </w:r>
      <w:r w:rsidR="00C62858">
        <w:rPr>
          <w:bCs/>
          <w:lang w:val="ru-RU"/>
        </w:rPr>
        <w:t>имеется</w:t>
      </w:r>
      <w:r w:rsidR="00C62858" w:rsidRPr="00C62858">
        <w:rPr>
          <w:bCs/>
          <w:lang w:val="en-US"/>
        </w:rPr>
        <w:t xml:space="preserve"> </w:t>
      </w:r>
      <w:r w:rsidR="00C62858">
        <w:rPr>
          <w:bCs/>
          <w:lang w:val="ru-RU"/>
        </w:rPr>
        <w:t>по</w:t>
      </w:r>
      <w:r w:rsidR="00C62858" w:rsidRPr="00C62858">
        <w:rPr>
          <w:bCs/>
          <w:lang w:val="en-US"/>
        </w:rPr>
        <w:t xml:space="preserve"> </w:t>
      </w:r>
      <w:r w:rsidR="00C62858">
        <w:rPr>
          <w:bCs/>
          <w:lang w:val="ru-RU"/>
        </w:rPr>
        <w:t>адресу</w:t>
      </w:r>
      <w:r w:rsidR="00C62858" w:rsidRPr="00C62858">
        <w:rPr>
          <w:bCs/>
          <w:lang w:val="en-US"/>
        </w:rPr>
        <w:t>:</w:t>
      </w:r>
      <w:r w:rsidR="00DC3284">
        <w:rPr>
          <w:bCs/>
        </w:rPr>
        <w:t xml:space="preserve"> </w:t>
      </w:r>
      <w:r w:rsidR="00DC3284" w:rsidRPr="002D38F5">
        <w:rPr>
          <w:bCs/>
        </w:rPr>
        <w:t>http://www.unep.org/chemicalsandwaste/what-we-do/technology-and-metals/mercury/toolkit-identification-and-quantification-mercury-releases</w:t>
      </w:r>
      <w:r w:rsidR="00DC3284">
        <w:rPr>
          <w:bCs/>
        </w:rPr>
        <w:t>.</w:t>
      </w:r>
    </w:p>
    <w:p w14:paraId="52E6451F" w14:textId="77777777" w:rsidR="008A26DF" w:rsidRPr="006E137C" w:rsidRDefault="008A26DF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6E137C" w14:paraId="6DB0CABC" w14:textId="77777777" w:rsidTr="002957C3">
        <w:tc>
          <w:tcPr>
            <w:tcW w:w="1942" w:type="dxa"/>
            <w:shd w:val="clear" w:color="auto" w:fill="auto"/>
          </w:tcPr>
          <w:p w14:paraId="6D3F7C2C" w14:textId="77777777" w:rsidR="00E976AB" w:rsidRPr="006E137C" w:rsidRDefault="00E976AB" w:rsidP="006E137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6E137C" w:rsidRDefault="00E976AB" w:rsidP="006E137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6E137C" w:rsidRDefault="00E976AB" w:rsidP="006E137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6E137C" w:rsidRDefault="00E976AB" w:rsidP="006E137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6E137C" w:rsidRDefault="00E976AB" w:rsidP="006E137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</w:tr>
    </w:tbl>
    <w:p w14:paraId="325E8270" w14:textId="77777777" w:rsidR="00032E4E" w:rsidRPr="006E137C" w:rsidRDefault="00032E4E" w:rsidP="006E137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sectPr w:rsidR="00032E4E" w:rsidRPr="006E137C" w:rsidSect="00C771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23A76" w14:textId="77777777" w:rsidR="00A22AB2" w:rsidRDefault="00A22AB2">
      <w:r>
        <w:separator/>
      </w:r>
    </w:p>
  </w:endnote>
  <w:endnote w:type="continuationSeparator" w:id="0">
    <w:p w14:paraId="14454F24" w14:textId="77777777" w:rsidR="00A22AB2" w:rsidRDefault="00A2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A827" w14:textId="45ED0978" w:rsidR="00225E44" w:rsidRDefault="00225E4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BB4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48B7" w14:textId="4CDE88AA" w:rsidR="00225E44" w:rsidRDefault="00225E44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BB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9573" w14:textId="6D856A61" w:rsidR="00225E44" w:rsidRPr="00EF4047" w:rsidRDefault="00225E44" w:rsidP="00EF4047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2"/>
      </w:rPr>
    </w:pPr>
    <w:r w:rsidRPr="00EF4047">
      <w:rPr>
        <w:sz w:val="20"/>
        <w:lang w:val="ru-RU"/>
      </w:rPr>
      <w:t>K17060</w:t>
    </w:r>
    <w:r w:rsidR="00FC4BB0">
      <w:rPr>
        <w:sz w:val="20"/>
        <w:lang w:val="en-US"/>
      </w:rPr>
      <w:t>21</w:t>
    </w:r>
    <w:r w:rsidRPr="00EF4047">
      <w:rPr>
        <w:sz w:val="20"/>
        <w:lang w:val="ru-RU"/>
      </w:rPr>
      <w:tab/>
    </w:r>
    <w:r w:rsidR="00676F4B">
      <w:rPr>
        <w:sz w:val="20"/>
        <w:lang w:val="en-US"/>
      </w:rPr>
      <w:t>29</w:t>
    </w:r>
    <w:r w:rsidRPr="00EF4047">
      <w:rPr>
        <w:sz w:val="20"/>
        <w:lang w:val="ru-RU"/>
      </w:rPr>
      <w:t>0617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DD3E7" w14:textId="77777777" w:rsidR="00A22AB2" w:rsidRDefault="00A22AB2" w:rsidP="00D92DE0">
      <w:pPr>
        <w:ind w:left="624"/>
      </w:pPr>
      <w:r>
        <w:separator/>
      </w:r>
    </w:p>
  </w:footnote>
  <w:footnote w:type="continuationSeparator" w:id="0">
    <w:p w14:paraId="205BA6EB" w14:textId="77777777" w:rsidR="00A22AB2" w:rsidRDefault="00A22AB2">
      <w:r>
        <w:continuationSeparator/>
      </w:r>
    </w:p>
  </w:footnote>
  <w:footnote w:id="1">
    <w:p w14:paraId="577F1B17" w14:textId="2C936B7A" w:rsidR="008A26DF" w:rsidRPr="00067B00" w:rsidRDefault="008A26DF" w:rsidP="00EF404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proofErr w:type="gramStart"/>
      <w:r w:rsidRPr="00EF4047">
        <w:rPr>
          <w:sz w:val="18"/>
          <w:lang w:val="en-US"/>
        </w:rPr>
        <w:t xml:space="preserve">* </w:t>
      </w:r>
      <w:r w:rsidR="00EF4047" w:rsidRPr="00EF4047">
        <w:rPr>
          <w:sz w:val="18"/>
          <w:lang w:val="en-US"/>
        </w:rPr>
        <w:tab/>
      </w:r>
      <w:r w:rsidRPr="00EF4047">
        <w:rPr>
          <w:sz w:val="18"/>
          <w:lang w:val="en-US"/>
        </w:rPr>
        <w:t>UNEP/MC/COP.1/1.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4E3A" w14:textId="4DA22547" w:rsidR="00225E44" w:rsidRPr="00CA5CA9" w:rsidRDefault="00225E44" w:rsidP="001646EA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  <w:r w:rsidR="008A26DF">
      <w:rPr>
        <w:szCs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1C51" w14:textId="607CE1E4" w:rsidR="00225E44" w:rsidRPr="00CA5CA9" w:rsidRDefault="00225E44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  <w:r w:rsidR="008A26DF">
      <w:rPr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8784" w14:textId="0772793F" w:rsidR="00225E44" w:rsidRDefault="00225E44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C757BA"/>
    <w:multiLevelType w:val="hybridMultilevel"/>
    <w:tmpl w:val="7B9A27E6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">
    <w:nsid w:val="49603C51"/>
    <w:multiLevelType w:val="hybridMultilevel"/>
    <w:tmpl w:val="5CE8AD08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>
    <w:nsid w:val="49B028CC"/>
    <w:multiLevelType w:val="hybridMultilevel"/>
    <w:tmpl w:val="9B5A6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792C62EB"/>
    <w:multiLevelType w:val="hybridMultilevel"/>
    <w:tmpl w:val="52668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305"/>
          </w:tabs>
          <w:ind w:left="1418" w:firstLine="0"/>
        </w:pPr>
        <w:rPr>
          <w:rFonts w:hint="default"/>
          <w:b w:val="0"/>
          <w:bCs w:val="0"/>
        </w:rPr>
      </w:lvl>
    </w:lvlOverride>
  </w:num>
  <w:num w:numId="23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4">
    <w:abstractNumId w:val="5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5">
    <w:abstractNumId w:val="7"/>
    <w:lvlOverride w:ilvl="0">
      <w:lvl w:ilvl="0" w:tplc="0809000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6">
    <w:abstractNumId w:val="6"/>
  </w:num>
  <w:num w:numId="27">
    <w:abstractNumId w:val="6"/>
  </w:num>
  <w:num w:numId="28">
    <w:abstractNumId w:val="3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24A3"/>
    <w:rsid w:val="0000330B"/>
    <w:rsid w:val="000077AD"/>
    <w:rsid w:val="00011A16"/>
    <w:rsid w:val="000144C2"/>
    <w:rsid w:val="000149E6"/>
    <w:rsid w:val="00014F1D"/>
    <w:rsid w:val="00021CD6"/>
    <w:rsid w:val="00023DA9"/>
    <w:rsid w:val="000247B0"/>
    <w:rsid w:val="00026997"/>
    <w:rsid w:val="00026A08"/>
    <w:rsid w:val="00032E4E"/>
    <w:rsid w:val="00033E0B"/>
    <w:rsid w:val="00035EDE"/>
    <w:rsid w:val="00041A09"/>
    <w:rsid w:val="00043A14"/>
    <w:rsid w:val="000509B4"/>
    <w:rsid w:val="00053F8F"/>
    <w:rsid w:val="0006035B"/>
    <w:rsid w:val="0006096F"/>
    <w:rsid w:val="000649C5"/>
    <w:rsid w:val="00071886"/>
    <w:rsid w:val="00072D7C"/>
    <w:rsid w:val="000741D7"/>
    <w:rsid w:val="000742BC"/>
    <w:rsid w:val="00076CC6"/>
    <w:rsid w:val="00082A0C"/>
    <w:rsid w:val="00083504"/>
    <w:rsid w:val="00091A3E"/>
    <w:rsid w:val="000937A4"/>
    <w:rsid w:val="0009640C"/>
    <w:rsid w:val="000A02EC"/>
    <w:rsid w:val="000A11E0"/>
    <w:rsid w:val="000A27AC"/>
    <w:rsid w:val="000B22A2"/>
    <w:rsid w:val="000B706F"/>
    <w:rsid w:val="000B73F9"/>
    <w:rsid w:val="000C2A52"/>
    <w:rsid w:val="000C2A88"/>
    <w:rsid w:val="000D28B0"/>
    <w:rsid w:val="000D33C0"/>
    <w:rsid w:val="000D4CF6"/>
    <w:rsid w:val="000D6941"/>
    <w:rsid w:val="000D6F0B"/>
    <w:rsid w:val="000E40C1"/>
    <w:rsid w:val="000F4829"/>
    <w:rsid w:val="001024C9"/>
    <w:rsid w:val="00114AA1"/>
    <w:rsid w:val="00115B23"/>
    <w:rsid w:val="001202E3"/>
    <w:rsid w:val="00123699"/>
    <w:rsid w:val="001241FB"/>
    <w:rsid w:val="0013059D"/>
    <w:rsid w:val="00134DB6"/>
    <w:rsid w:val="00136187"/>
    <w:rsid w:val="0014059B"/>
    <w:rsid w:val="00141A55"/>
    <w:rsid w:val="0014293F"/>
    <w:rsid w:val="0014397D"/>
    <w:rsid w:val="001446A3"/>
    <w:rsid w:val="00152B6B"/>
    <w:rsid w:val="00155395"/>
    <w:rsid w:val="00155A2F"/>
    <w:rsid w:val="00156B6B"/>
    <w:rsid w:val="00160554"/>
    <w:rsid w:val="00160D74"/>
    <w:rsid w:val="001646EA"/>
    <w:rsid w:val="001654AE"/>
    <w:rsid w:val="00167C79"/>
    <w:rsid w:val="00167D02"/>
    <w:rsid w:val="001710A8"/>
    <w:rsid w:val="001759D8"/>
    <w:rsid w:val="00177D7F"/>
    <w:rsid w:val="00180C3F"/>
    <w:rsid w:val="00181829"/>
    <w:rsid w:val="00181EC8"/>
    <w:rsid w:val="00184349"/>
    <w:rsid w:val="00190E62"/>
    <w:rsid w:val="00195F33"/>
    <w:rsid w:val="001B1617"/>
    <w:rsid w:val="001B504B"/>
    <w:rsid w:val="001B6F98"/>
    <w:rsid w:val="001C191A"/>
    <w:rsid w:val="001D3874"/>
    <w:rsid w:val="001D4E00"/>
    <w:rsid w:val="001D5447"/>
    <w:rsid w:val="001D7E75"/>
    <w:rsid w:val="001E0D73"/>
    <w:rsid w:val="001E4347"/>
    <w:rsid w:val="001E45BD"/>
    <w:rsid w:val="001E56D2"/>
    <w:rsid w:val="001E7D56"/>
    <w:rsid w:val="001E7DFC"/>
    <w:rsid w:val="001F5ADF"/>
    <w:rsid w:val="001F75DE"/>
    <w:rsid w:val="00200D58"/>
    <w:rsid w:val="002011C1"/>
    <w:rsid w:val="002013BE"/>
    <w:rsid w:val="00201EDC"/>
    <w:rsid w:val="002063A4"/>
    <w:rsid w:val="0021145B"/>
    <w:rsid w:val="00212E52"/>
    <w:rsid w:val="00214196"/>
    <w:rsid w:val="00220C23"/>
    <w:rsid w:val="002247F6"/>
    <w:rsid w:val="00225E21"/>
    <w:rsid w:val="00225E44"/>
    <w:rsid w:val="00230569"/>
    <w:rsid w:val="002305FE"/>
    <w:rsid w:val="00234E78"/>
    <w:rsid w:val="00235A32"/>
    <w:rsid w:val="00243D36"/>
    <w:rsid w:val="00246151"/>
    <w:rsid w:val="00247707"/>
    <w:rsid w:val="00252456"/>
    <w:rsid w:val="0026018E"/>
    <w:rsid w:val="0026226B"/>
    <w:rsid w:val="0026310C"/>
    <w:rsid w:val="00276C34"/>
    <w:rsid w:val="00286740"/>
    <w:rsid w:val="00290CFA"/>
    <w:rsid w:val="00291EAE"/>
    <w:rsid w:val="00292468"/>
    <w:rsid w:val="002929D8"/>
    <w:rsid w:val="00292CE8"/>
    <w:rsid w:val="002957C3"/>
    <w:rsid w:val="002A237D"/>
    <w:rsid w:val="002A4C53"/>
    <w:rsid w:val="002B0672"/>
    <w:rsid w:val="002B247F"/>
    <w:rsid w:val="002B27A9"/>
    <w:rsid w:val="002B50D4"/>
    <w:rsid w:val="002B58BF"/>
    <w:rsid w:val="002C145D"/>
    <w:rsid w:val="002C18BB"/>
    <w:rsid w:val="002C2C3E"/>
    <w:rsid w:val="002C533E"/>
    <w:rsid w:val="002D027F"/>
    <w:rsid w:val="002D1133"/>
    <w:rsid w:val="002D3E15"/>
    <w:rsid w:val="002D3E52"/>
    <w:rsid w:val="002D7A85"/>
    <w:rsid w:val="002D7B60"/>
    <w:rsid w:val="002E4AB4"/>
    <w:rsid w:val="002F4761"/>
    <w:rsid w:val="002F5C79"/>
    <w:rsid w:val="002F68EE"/>
    <w:rsid w:val="002F7A33"/>
    <w:rsid w:val="003019E2"/>
    <w:rsid w:val="00304338"/>
    <w:rsid w:val="00305743"/>
    <w:rsid w:val="00310BEB"/>
    <w:rsid w:val="0031413F"/>
    <w:rsid w:val="00314854"/>
    <w:rsid w:val="003148BB"/>
    <w:rsid w:val="00317976"/>
    <w:rsid w:val="00320F2F"/>
    <w:rsid w:val="003228BE"/>
    <w:rsid w:val="0032457E"/>
    <w:rsid w:val="00325D38"/>
    <w:rsid w:val="00333D11"/>
    <w:rsid w:val="00337157"/>
    <w:rsid w:val="00351732"/>
    <w:rsid w:val="0035277E"/>
    <w:rsid w:val="003528F9"/>
    <w:rsid w:val="00355EA9"/>
    <w:rsid w:val="003578DE"/>
    <w:rsid w:val="00357A72"/>
    <w:rsid w:val="00361688"/>
    <w:rsid w:val="00363258"/>
    <w:rsid w:val="00363EC2"/>
    <w:rsid w:val="00367432"/>
    <w:rsid w:val="003834D8"/>
    <w:rsid w:val="003877D5"/>
    <w:rsid w:val="003929B8"/>
    <w:rsid w:val="00393432"/>
    <w:rsid w:val="00393483"/>
    <w:rsid w:val="00396257"/>
    <w:rsid w:val="00397EB8"/>
    <w:rsid w:val="003A4FD0"/>
    <w:rsid w:val="003A69D1"/>
    <w:rsid w:val="003A6E04"/>
    <w:rsid w:val="003A7705"/>
    <w:rsid w:val="003A77F1"/>
    <w:rsid w:val="003B1545"/>
    <w:rsid w:val="003B1CFE"/>
    <w:rsid w:val="003B4C9E"/>
    <w:rsid w:val="003B5C96"/>
    <w:rsid w:val="003C00D1"/>
    <w:rsid w:val="003C3219"/>
    <w:rsid w:val="003C409D"/>
    <w:rsid w:val="003C41DD"/>
    <w:rsid w:val="003C4544"/>
    <w:rsid w:val="003C5583"/>
    <w:rsid w:val="003C5BA6"/>
    <w:rsid w:val="003C7322"/>
    <w:rsid w:val="003C74CF"/>
    <w:rsid w:val="003D2646"/>
    <w:rsid w:val="003D2C1C"/>
    <w:rsid w:val="003D3752"/>
    <w:rsid w:val="003E35DA"/>
    <w:rsid w:val="003E455D"/>
    <w:rsid w:val="003F0E85"/>
    <w:rsid w:val="00410C55"/>
    <w:rsid w:val="00416854"/>
    <w:rsid w:val="00416DCF"/>
    <w:rsid w:val="00417310"/>
    <w:rsid w:val="00417725"/>
    <w:rsid w:val="0042266F"/>
    <w:rsid w:val="004302AF"/>
    <w:rsid w:val="00431D71"/>
    <w:rsid w:val="00437F26"/>
    <w:rsid w:val="00440ABB"/>
    <w:rsid w:val="00444097"/>
    <w:rsid w:val="00445487"/>
    <w:rsid w:val="00447076"/>
    <w:rsid w:val="00447E0D"/>
    <w:rsid w:val="00453EA8"/>
    <w:rsid w:val="00454769"/>
    <w:rsid w:val="004547AA"/>
    <w:rsid w:val="00466643"/>
    <w:rsid w:val="00466991"/>
    <w:rsid w:val="0046725B"/>
    <w:rsid w:val="0047064C"/>
    <w:rsid w:val="00471555"/>
    <w:rsid w:val="004822B7"/>
    <w:rsid w:val="0049469E"/>
    <w:rsid w:val="004A2217"/>
    <w:rsid w:val="004A24F9"/>
    <w:rsid w:val="004A2A50"/>
    <w:rsid w:val="004A42E1"/>
    <w:rsid w:val="004B162C"/>
    <w:rsid w:val="004B163F"/>
    <w:rsid w:val="004B2ABE"/>
    <w:rsid w:val="004C3DBE"/>
    <w:rsid w:val="004C5C96"/>
    <w:rsid w:val="004D06A4"/>
    <w:rsid w:val="004E5A2B"/>
    <w:rsid w:val="004F1A81"/>
    <w:rsid w:val="004F36B0"/>
    <w:rsid w:val="00501354"/>
    <w:rsid w:val="00501866"/>
    <w:rsid w:val="0050186A"/>
    <w:rsid w:val="005046DA"/>
    <w:rsid w:val="005050D2"/>
    <w:rsid w:val="005213E1"/>
    <w:rsid w:val="005218D9"/>
    <w:rsid w:val="00536186"/>
    <w:rsid w:val="0054472E"/>
    <w:rsid w:val="00544CBB"/>
    <w:rsid w:val="00551B65"/>
    <w:rsid w:val="00554EB0"/>
    <w:rsid w:val="00554F54"/>
    <w:rsid w:val="00556704"/>
    <w:rsid w:val="00561F2F"/>
    <w:rsid w:val="005656D7"/>
    <w:rsid w:val="00565BF4"/>
    <w:rsid w:val="0057315F"/>
    <w:rsid w:val="00576104"/>
    <w:rsid w:val="0058023F"/>
    <w:rsid w:val="00583FF4"/>
    <w:rsid w:val="00586418"/>
    <w:rsid w:val="00592B21"/>
    <w:rsid w:val="005944DF"/>
    <w:rsid w:val="005B1496"/>
    <w:rsid w:val="005B44BF"/>
    <w:rsid w:val="005B7F60"/>
    <w:rsid w:val="005C67C8"/>
    <w:rsid w:val="005C77F4"/>
    <w:rsid w:val="005D0249"/>
    <w:rsid w:val="005D18FA"/>
    <w:rsid w:val="005D4FD4"/>
    <w:rsid w:val="005D6717"/>
    <w:rsid w:val="005D6E8C"/>
    <w:rsid w:val="005E0057"/>
    <w:rsid w:val="005E3004"/>
    <w:rsid w:val="005F100C"/>
    <w:rsid w:val="005F68DA"/>
    <w:rsid w:val="005F7419"/>
    <w:rsid w:val="00601BC9"/>
    <w:rsid w:val="0060773B"/>
    <w:rsid w:val="00613FD6"/>
    <w:rsid w:val="006157B5"/>
    <w:rsid w:val="00617224"/>
    <w:rsid w:val="00625A42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277B"/>
    <w:rsid w:val="00654475"/>
    <w:rsid w:val="00656DF0"/>
    <w:rsid w:val="00665A4B"/>
    <w:rsid w:val="00667C5D"/>
    <w:rsid w:val="00676F4B"/>
    <w:rsid w:val="00690E7B"/>
    <w:rsid w:val="00692E2A"/>
    <w:rsid w:val="00692ECD"/>
    <w:rsid w:val="0069496A"/>
    <w:rsid w:val="006A41C1"/>
    <w:rsid w:val="006A5C27"/>
    <w:rsid w:val="006A76F2"/>
    <w:rsid w:val="006B09A2"/>
    <w:rsid w:val="006B33F3"/>
    <w:rsid w:val="006B7D29"/>
    <w:rsid w:val="006C3DB7"/>
    <w:rsid w:val="006D10BB"/>
    <w:rsid w:val="006D19D4"/>
    <w:rsid w:val="006D2D62"/>
    <w:rsid w:val="006D2E9B"/>
    <w:rsid w:val="006D5644"/>
    <w:rsid w:val="006D7EFB"/>
    <w:rsid w:val="006E137C"/>
    <w:rsid w:val="006E4765"/>
    <w:rsid w:val="006E6672"/>
    <w:rsid w:val="006E6722"/>
    <w:rsid w:val="006F7AFF"/>
    <w:rsid w:val="007027B9"/>
    <w:rsid w:val="007066B5"/>
    <w:rsid w:val="007145DA"/>
    <w:rsid w:val="0071548E"/>
    <w:rsid w:val="00715E88"/>
    <w:rsid w:val="00720462"/>
    <w:rsid w:val="00720D61"/>
    <w:rsid w:val="00734CAA"/>
    <w:rsid w:val="00735F78"/>
    <w:rsid w:val="00740EE2"/>
    <w:rsid w:val="00742680"/>
    <w:rsid w:val="007451E1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6984"/>
    <w:rsid w:val="00796D3F"/>
    <w:rsid w:val="007A1683"/>
    <w:rsid w:val="007A2028"/>
    <w:rsid w:val="007A5C12"/>
    <w:rsid w:val="007A7CB0"/>
    <w:rsid w:val="007B0B6D"/>
    <w:rsid w:val="007B3761"/>
    <w:rsid w:val="007B68A3"/>
    <w:rsid w:val="007C1232"/>
    <w:rsid w:val="007C2541"/>
    <w:rsid w:val="007D04A5"/>
    <w:rsid w:val="007D223C"/>
    <w:rsid w:val="007D66A8"/>
    <w:rsid w:val="007E003F"/>
    <w:rsid w:val="007F0CF8"/>
    <w:rsid w:val="007F3555"/>
    <w:rsid w:val="007F62CB"/>
    <w:rsid w:val="00803A10"/>
    <w:rsid w:val="00806118"/>
    <w:rsid w:val="00806C29"/>
    <w:rsid w:val="008110CF"/>
    <w:rsid w:val="00813853"/>
    <w:rsid w:val="008142EC"/>
    <w:rsid w:val="00814D57"/>
    <w:rsid w:val="00815DE2"/>
    <w:rsid w:val="008164F2"/>
    <w:rsid w:val="00821395"/>
    <w:rsid w:val="008279F4"/>
    <w:rsid w:val="00830E26"/>
    <w:rsid w:val="00834368"/>
    <w:rsid w:val="0083441A"/>
    <w:rsid w:val="00843576"/>
    <w:rsid w:val="00843B64"/>
    <w:rsid w:val="00846D4B"/>
    <w:rsid w:val="008478FC"/>
    <w:rsid w:val="00851C51"/>
    <w:rsid w:val="0085524F"/>
    <w:rsid w:val="00860F24"/>
    <w:rsid w:val="00866F81"/>
    <w:rsid w:val="00867BFF"/>
    <w:rsid w:val="00871542"/>
    <w:rsid w:val="00872BF6"/>
    <w:rsid w:val="00875D5E"/>
    <w:rsid w:val="0088480A"/>
    <w:rsid w:val="0088757A"/>
    <w:rsid w:val="00893D3A"/>
    <w:rsid w:val="0089431B"/>
    <w:rsid w:val="00895668"/>
    <w:rsid w:val="008957DD"/>
    <w:rsid w:val="00897D98"/>
    <w:rsid w:val="008A26DF"/>
    <w:rsid w:val="008A2768"/>
    <w:rsid w:val="008A6DF2"/>
    <w:rsid w:val="008A7807"/>
    <w:rsid w:val="008B4CC9"/>
    <w:rsid w:val="008B6368"/>
    <w:rsid w:val="008C0B15"/>
    <w:rsid w:val="008D75E4"/>
    <w:rsid w:val="008D7C99"/>
    <w:rsid w:val="008E0FCB"/>
    <w:rsid w:val="008E33C7"/>
    <w:rsid w:val="008E6C73"/>
    <w:rsid w:val="008F6DFE"/>
    <w:rsid w:val="00900007"/>
    <w:rsid w:val="0090529F"/>
    <w:rsid w:val="00910084"/>
    <w:rsid w:val="00910767"/>
    <w:rsid w:val="0091236F"/>
    <w:rsid w:val="00917825"/>
    <w:rsid w:val="00917D24"/>
    <w:rsid w:val="0092054B"/>
    <w:rsid w:val="0092178C"/>
    <w:rsid w:val="00927471"/>
    <w:rsid w:val="00930B88"/>
    <w:rsid w:val="00935376"/>
    <w:rsid w:val="00940DCC"/>
    <w:rsid w:val="0094179A"/>
    <w:rsid w:val="0094459E"/>
    <w:rsid w:val="00944DBC"/>
    <w:rsid w:val="00946F15"/>
    <w:rsid w:val="00950977"/>
    <w:rsid w:val="00951A7B"/>
    <w:rsid w:val="00955512"/>
    <w:rsid w:val="009564A6"/>
    <w:rsid w:val="00956AAF"/>
    <w:rsid w:val="00957EF8"/>
    <w:rsid w:val="00961263"/>
    <w:rsid w:val="00966A53"/>
    <w:rsid w:val="00967621"/>
    <w:rsid w:val="00967E6A"/>
    <w:rsid w:val="00982117"/>
    <w:rsid w:val="009902C7"/>
    <w:rsid w:val="009907B9"/>
    <w:rsid w:val="00990918"/>
    <w:rsid w:val="009A3A83"/>
    <w:rsid w:val="009B0D84"/>
    <w:rsid w:val="009B4A0F"/>
    <w:rsid w:val="009C11D2"/>
    <w:rsid w:val="009C1F65"/>
    <w:rsid w:val="009C5C08"/>
    <w:rsid w:val="009C5FFC"/>
    <w:rsid w:val="009C6C70"/>
    <w:rsid w:val="009C7B0A"/>
    <w:rsid w:val="009D0B63"/>
    <w:rsid w:val="009D5CB8"/>
    <w:rsid w:val="009E17CD"/>
    <w:rsid w:val="009E307E"/>
    <w:rsid w:val="00A072C4"/>
    <w:rsid w:val="00A07870"/>
    <w:rsid w:val="00A07C54"/>
    <w:rsid w:val="00A07F19"/>
    <w:rsid w:val="00A1348D"/>
    <w:rsid w:val="00A13C99"/>
    <w:rsid w:val="00A14D02"/>
    <w:rsid w:val="00A22AB2"/>
    <w:rsid w:val="00A232EE"/>
    <w:rsid w:val="00A2521B"/>
    <w:rsid w:val="00A252F3"/>
    <w:rsid w:val="00A3536D"/>
    <w:rsid w:val="00A35D6C"/>
    <w:rsid w:val="00A40357"/>
    <w:rsid w:val="00A4175F"/>
    <w:rsid w:val="00A42E0B"/>
    <w:rsid w:val="00A44411"/>
    <w:rsid w:val="00A469FA"/>
    <w:rsid w:val="00A47445"/>
    <w:rsid w:val="00A53662"/>
    <w:rsid w:val="00A55A0A"/>
    <w:rsid w:val="00A55B01"/>
    <w:rsid w:val="00A56B5B"/>
    <w:rsid w:val="00A603FF"/>
    <w:rsid w:val="00A61013"/>
    <w:rsid w:val="00A61199"/>
    <w:rsid w:val="00A619B6"/>
    <w:rsid w:val="00A63491"/>
    <w:rsid w:val="00A648CA"/>
    <w:rsid w:val="00A657DD"/>
    <w:rsid w:val="00A666A6"/>
    <w:rsid w:val="00A675FD"/>
    <w:rsid w:val="00A67854"/>
    <w:rsid w:val="00A72437"/>
    <w:rsid w:val="00A8048B"/>
    <w:rsid w:val="00A80611"/>
    <w:rsid w:val="00A807D4"/>
    <w:rsid w:val="00A82795"/>
    <w:rsid w:val="00A91ED6"/>
    <w:rsid w:val="00A93E8D"/>
    <w:rsid w:val="00A97FFE"/>
    <w:rsid w:val="00AA0384"/>
    <w:rsid w:val="00AA52D4"/>
    <w:rsid w:val="00AA5BF4"/>
    <w:rsid w:val="00AB2DC4"/>
    <w:rsid w:val="00AB5340"/>
    <w:rsid w:val="00AB544E"/>
    <w:rsid w:val="00AC0A89"/>
    <w:rsid w:val="00AC1E6B"/>
    <w:rsid w:val="00AC2885"/>
    <w:rsid w:val="00AC7C96"/>
    <w:rsid w:val="00AD5D6B"/>
    <w:rsid w:val="00AD5EDF"/>
    <w:rsid w:val="00AD6DEE"/>
    <w:rsid w:val="00AE0812"/>
    <w:rsid w:val="00AE0C84"/>
    <w:rsid w:val="00AE237D"/>
    <w:rsid w:val="00AE502A"/>
    <w:rsid w:val="00AF0010"/>
    <w:rsid w:val="00AF2C1F"/>
    <w:rsid w:val="00AF7C07"/>
    <w:rsid w:val="00B06C64"/>
    <w:rsid w:val="00B11CAC"/>
    <w:rsid w:val="00B1494A"/>
    <w:rsid w:val="00B15A29"/>
    <w:rsid w:val="00B21142"/>
    <w:rsid w:val="00B22C93"/>
    <w:rsid w:val="00B27589"/>
    <w:rsid w:val="00B405B7"/>
    <w:rsid w:val="00B468C0"/>
    <w:rsid w:val="00B52222"/>
    <w:rsid w:val="00B531DA"/>
    <w:rsid w:val="00B54895"/>
    <w:rsid w:val="00B54FE7"/>
    <w:rsid w:val="00B5741F"/>
    <w:rsid w:val="00B647C6"/>
    <w:rsid w:val="00B655F9"/>
    <w:rsid w:val="00B66901"/>
    <w:rsid w:val="00B66F60"/>
    <w:rsid w:val="00B70143"/>
    <w:rsid w:val="00B71E6D"/>
    <w:rsid w:val="00B72070"/>
    <w:rsid w:val="00B779E1"/>
    <w:rsid w:val="00B81E3A"/>
    <w:rsid w:val="00B85CFB"/>
    <w:rsid w:val="00B914E9"/>
    <w:rsid w:val="00B91EE1"/>
    <w:rsid w:val="00B93972"/>
    <w:rsid w:val="00B93FBB"/>
    <w:rsid w:val="00B94602"/>
    <w:rsid w:val="00BA0090"/>
    <w:rsid w:val="00BA1A67"/>
    <w:rsid w:val="00BA4933"/>
    <w:rsid w:val="00BA6A80"/>
    <w:rsid w:val="00BB3439"/>
    <w:rsid w:val="00BB4ABB"/>
    <w:rsid w:val="00BC419C"/>
    <w:rsid w:val="00BC62BA"/>
    <w:rsid w:val="00BD2A8F"/>
    <w:rsid w:val="00BD2E5F"/>
    <w:rsid w:val="00BD552C"/>
    <w:rsid w:val="00BE5B5F"/>
    <w:rsid w:val="00BE7993"/>
    <w:rsid w:val="00BF04B3"/>
    <w:rsid w:val="00BF1A37"/>
    <w:rsid w:val="00BF6D63"/>
    <w:rsid w:val="00C078A8"/>
    <w:rsid w:val="00C17641"/>
    <w:rsid w:val="00C20818"/>
    <w:rsid w:val="00C26F55"/>
    <w:rsid w:val="00C27483"/>
    <w:rsid w:val="00C30C63"/>
    <w:rsid w:val="00C30FF3"/>
    <w:rsid w:val="00C314F9"/>
    <w:rsid w:val="00C33F02"/>
    <w:rsid w:val="00C34D5C"/>
    <w:rsid w:val="00C36B8B"/>
    <w:rsid w:val="00C415C1"/>
    <w:rsid w:val="00C47DBF"/>
    <w:rsid w:val="00C552FF"/>
    <w:rsid w:val="00C558DA"/>
    <w:rsid w:val="00C55AF3"/>
    <w:rsid w:val="00C56B14"/>
    <w:rsid w:val="00C62858"/>
    <w:rsid w:val="00C74AAB"/>
    <w:rsid w:val="00C771A9"/>
    <w:rsid w:val="00C80ADD"/>
    <w:rsid w:val="00C84759"/>
    <w:rsid w:val="00C908CE"/>
    <w:rsid w:val="00C93096"/>
    <w:rsid w:val="00C9545A"/>
    <w:rsid w:val="00C979AC"/>
    <w:rsid w:val="00CA5CA9"/>
    <w:rsid w:val="00CA6C7F"/>
    <w:rsid w:val="00CA7E2C"/>
    <w:rsid w:val="00CB007D"/>
    <w:rsid w:val="00CB60CA"/>
    <w:rsid w:val="00CC0FC7"/>
    <w:rsid w:val="00CC10A6"/>
    <w:rsid w:val="00CC2F78"/>
    <w:rsid w:val="00CD5EB8"/>
    <w:rsid w:val="00CD7044"/>
    <w:rsid w:val="00CE08B9"/>
    <w:rsid w:val="00CE3515"/>
    <w:rsid w:val="00CE524C"/>
    <w:rsid w:val="00CE66F8"/>
    <w:rsid w:val="00CF141F"/>
    <w:rsid w:val="00CF15AE"/>
    <w:rsid w:val="00CF4777"/>
    <w:rsid w:val="00CF52C2"/>
    <w:rsid w:val="00CF65C8"/>
    <w:rsid w:val="00CF695F"/>
    <w:rsid w:val="00D013F5"/>
    <w:rsid w:val="00D052EE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31988"/>
    <w:rsid w:val="00D32AEC"/>
    <w:rsid w:val="00D3373A"/>
    <w:rsid w:val="00D44172"/>
    <w:rsid w:val="00D47BE3"/>
    <w:rsid w:val="00D63B8C"/>
    <w:rsid w:val="00D739CC"/>
    <w:rsid w:val="00D75D58"/>
    <w:rsid w:val="00D806F9"/>
    <w:rsid w:val="00D8093D"/>
    <w:rsid w:val="00D8108C"/>
    <w:rsid w:val="00D842AE"/>
    <w:rsid w:val="00D84A0C"/>
    <w:rsid w:val="00D87B6A"/>
    <w:rsid w:val="00D91A66"/>
    <w:rsid w:val="00D9211C"/>
    <w:rsid w:val="00D92363"/>
    <w:rsid w:val="00D92DE0"/>
    <w:rsid w:val="00D92FEF"/>
    <w:rsid w:val="00D931F9"/>
    <w:rsid w:val="00D93A0F"/>
    <w:rsid w:val="00DA1BCA"/>
    <w:rsid w:val="00DA3663"/>
    <w:rsid w:val="00DB5BB0"/>
    <w:rsid w:val="00DC3284"/>
    <w:rsid w:val="00DC46FF"/>
    <w:rsid w:val="00DC5254"/>
    <w:rsid w:val="00DC569D"/>
    <w:rsid w:val="00DD12E6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04A7"/>
    <w:rsid w:val="00E32F59"/>
    <w:rsid w:val="00E33F2F"/>
    <w:rsid w:val="00E41908"/>
    <w:rsid w:val="00E41A91"/>
    <w:rsid w:val="00E434BA"/>
    <w:rsid w:val="00E43CE0"/>
    <w:rsid w:val="00E46D9A"/>
    <w:rsid w:val="00E52C98"/>
    <w:rsid w:val="00E565FF"/>
    <w:rsid w:val="00E628E4"/>
    <w:rsid w:val="00E65388"/>
    <w:rsid w:val="00E67F20"/>
    <w:rsid w:val="00E73C23"/>
    <w:rsid w:val="00E7741D"/>
    <w:rsid w:val="00E808CD"/>
    <w:rsid w:val="00E80AA2"/>
    <w:rsid w:val="00E8348F"/>
    <w:rsid w:val="00E83BB4"/>
    <w:rsid w:val="00E85B7D"/>
    <w:rsid w:val="00E9121B"/>
    <w:rsid w:val="00E9302E"/>
    <w:rsid w:val="00E976AB"/>
    <w:rsid w:val="00EA0AE2"/>
    <w:rsid w:val="00EA39E5"/>
    <w:rsid w:val="00EA57A3"/>
    <w:rsid w:val="00EA71B4"/>
    <w:rsid w:val="00EB41F2"/>
    <w:rsid w:val="00EC2813"/>
    <w:rsid w:val="00EC5A46"/>
    <w:rsid w:val="00EC63E2"/>
    <w:rsid w:val="00ED0225"/>
    <w:rsid w:val="00ED366A"/>
    <w:rsid w:val="00ED6BB7"/>
    <w:rsid w:val="00EE0943"/>
    <w:rsid w:val="00EF22B3"/>
    <w:rsid w:val="00EF4047"/>
    <w:rsid w:val="00F03B69"/>
    <w:rsid w:val="00F07A50"/>
    <w:rsid w:val="00F113DA"/>
    <w:rsid w:val="00F1265D"/>
    <w:rsid w:val="00F266FC"/>
    <w:rsid w:val="00F3037A"/>
    <w:rsid w:val="00F3314C"/>
    <w:rsid w:val="00F3465A"/>
    <w:rsid w:val="00F37DC8"/>
    <w:rsid w:val="00F40DDB"/>
    <w:rsid w:val="00F439B3"/>
    <w:rsid w:val="00F64E3B"/>
    <w:rsid w:val="00F650C3"/>
    <w:rsid w:val="00F65D85"/>
    <w:rsid w:val="00F6700B"/>
    <w:rsid w:val="00F7137B"/>
    <w:rsid w:val="00F8091E"/>
    <w:rsid w:val="00F80C3C"/>
    <w:rsid w:val="00F8615C"/>
    <w:rsid w:val="00F94207"/>
    <w:rsid w:val="00F9562F"/>
    <w:rsid w:val="00F969E5"/>
    <w:rsid w:val="00F97E99"/>
    <w:rsid w:val="00FA2F2A"/>
    <w:rsid w:val="00FA4972"/>
    <w:rsid w:val="00FA6BB0"/>
    <w:rsid w:val="00FB2DBD"/>
    <w:rsid w:val="00FB783E"/>
    <w:rsid w:val="00FC1941"/>
    <w:rsid w:val="00FC4BB0"/>
    <w:rsid w:val="00FD48DF"/>
    <w:rsid w:val="00FD5860"/>
    <w:rsid w:val="00FE16E0"/>
    <w:rsid w:val="00FE352D"/>
    <w:rsid w:val="00FE40EB"/>
    <w:rsid w:val="00FE4D02"/>
    <w:rsid w:val="00FE7D62"/>
    <w:rsid w:val="00FF045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406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BBTitleChar">
    <w:name w:val="BB_Title Char"/>
    <w:link w:val="BBTitle"/>
    <w:rsid w:val="008A26DF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8A26DF"/>
    <w:rPr>
      <w:b/>
      <w:sz w:val="24"/>
      <w:szCs w:val="24"/>
      <w:lang w:eastAsia="en-US"/>
    </w:rPr>
  </w:style>
  <w:style w:type="character" w:customStyle="1" w:styleId="ZZAnxtitleChar">
    <w:name w:val="ZZ_Anx_title Char"/>
    <w:link w:val="ZZAnxtitle"/>
    <w:rsid w:val="008A26DF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8A26DF"/>
    <w:rPr>
      <w:b/>
      <w:bCs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BBTitleChar">
    <w:name w:val="BB_Title Char"/>
    <w:link w:val="BBTitle"/>
    <w:rsid w:val="008A26DF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8A26DF"/>
    <w:rPr>
      <w:b/>
      <w:sz w:val="24"/>
      <w:szCs w:val="24"/>
      <w:lang w:eastAsia="en-US"/>
    </w:rPr>
  </w:style>
  <w:style w:type="character" w:customStyle="1" w:styleId="ZZAnxtitleChar">
    <w:name w:val="ZZ_Anx_title Char"/>
    <w:link w:val="ZZAnxtitle"/>
    <w:rsid w:val="008A26DF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8A26DF"/>
    <w:rPr>
      <w:b/>
      <w:b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LotusNotesDocs\notesA4517B\www.iswa.org\fileadmin\galleries\Task_Forces\THE_TRAGIC_CASE_OF_DUMPSITE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13D7-29E7-456E-82E9-0522CDCA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1932</Words>
  <Characters>13627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Natalia Cherutich</cp:lastModifiedBy>
  <cp:revision>3</cp:revision>
  <cp:lastPrinted>2016-07-18T09:51:00Z</cp:lastPrinted>
  <dcterms:created xsi:type="dcterms:W3CDTF">2017-06-29T07:56:00Z</dcterms:created>
  <dcterms:modified xsi:type="dcterms:W3CDTF">2017-06-29T07:56:00Z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margarita.solotskaya</vt:lpwstr>
  </property>
  <property fmtid="{D5CDD505-2E9C-101B-9397-08002B2CF9AE}" pid="4" name="GeneratedDate">
    <vt:lpwstr>6/17/2017 8:07:37 PM</vt:lpwstr>
  </property>
  <property fmtid="{D5CDD505-2E9C-101B-9397-08002B2CF9AE}" pid="5" name="OriginalDocID">
    <vt:lpwstr>dbb68588-8b92-437c-a9d9-c46302f0fd2a</vt:lpwstr>
  </property>
</Properties>
</file>