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Layout w:type="fixed"/>
        <w:tblLook w:val="0000" w:firstRow="0" w:lastRow="0" w:firstColumn="0" w:lastColumn="0" w:noHBand="0" w:noVBand="0"/>
      </w:tblPr>
      <w:tblGrid>
        <w:gridCol w:w="1242"/>
        <w:gridCol w:w="1974"/>
        <w:gridCol w:w="3180"/>
        <w:gridCol w:w="3252"/>
      </w:tblGrid>
      <w:tr w:rsidR="00914402" w:rsidRPr="00A9444E" w14:paraId="3839AAEA" w14:textId="77777777" w:rsidTr="00A16828">
        <w:trPr>
          <w:cantSplit/>
          <w:jc w:val="right"/>
        </w:trPr>
        <w:tc>
          <w:tcPr>
            <w:tcW w:w="3216" w:type="dxa"/>
            <w:gridSpan w:val="2"/>
            <w:tcBorders>
              <w:bottom w:val="single" w:sz="8" w:space="0" w:color="auto"/>
            </w:tcBorders>
          </w:tcPr>
          <w:p w14:paraId="15DADC29" w14:textId="77777777" w:rsidR="00914402" w:rsidRPr="00106EEC" w:rsidRDefault="00914402" w:rsidP="003B0180">
            <w:pPr>
              <w:tabs>
                <w:tab w:val="clear" w:pos="1247"/>
                <w:tab w:val="clear" w:pos="1814"/>
                <w:tab w:val="clear" w:pos="2381"/>
                <w:tab w:val="clear" w:pos="2948"/>
                <w:tab w:val="clear" w:pos="3515"/>
              </w:tabs>
              <w:rPr>
                <w:rFonts w:ascii="Arial" w:hAnsi="Arial" w:cs="Arial"/>
                <w:b/>
                <w:sz w:val="27"/>
                <w:szCs w:val="27"/>
              </w:rPr>
            </w:pPr>
            <w:r w:rsidRPr="00106EEC">
              <w:rPr>
                <w:rFonts w:ascii="Arial" w:hAnsi="Arial" w:cs="Arial"/>
                <w:b/>
                <w:sz w:val="27"/>
                <w:szCs w:val="27"/>
              </w:rPr>
              <w:t>ОРГАНИЗАЦИЯ</w:t>
            </w:r>
          </w:p>
          <w:p w14:paraId="083CC067" w14:textId="77777777" w:rsidR="00914402" w:rsidRPr="00106EEC" w:rsidRDefault="00914402" w:rsidP="003B0180">
            <w:pPr>
              <w:tabs>
                <w:tab w:val="clear" w:pos="1247"/>
                <w:tab w:val="clear" w:pos="1814"/>
                <w:tab w:val="clear" w:pos="2381"/>
                <w:tab w:val="clear" w:pos="2948"/>
                <w:tab w:val="clear" w:pos="3515"/>
              </w:tabs>
              <w:rPr>
                <w:rFonts w:ascii="Arial" w:hAnsi="Arial" w:cs="Arial"/>
                <w:b/>
                <w:sz w:val="27"/>
                <w:szCs w:val="27"/>
              </w:rPr>
            </w:pPr>
            <w:r w:rsidRPr="00106EEC">
              <w:rPr>
                <w:rFonts w:ascii="Arial" w:hAnsi="Arial" w:cs="Arial"/>
                <w:b/>
                <w:sz w:val="27"/>
                <w:szCs w:val="27"/>
              </w:rPr>
              <w:t>ОБЪЕДИНЕННЫХ</w:t>
            </w:r>
          </w:p>
          <w:p w14:paraId="1DADE90A" w14:textId="77777777" w:rsidR="00914402" w:rsidRDefault="00914402" w:rsidP="003B0180">
            <w:pPr>
              <w:tabs>
                <w:tab w:val="clear" w:pos="1247"/>
                <w:tab w:val="clear" w:pos="1814"/>
                <w:tab w:val="clear" w:pos="2381"/>
                <w:tab w:val="clear" w:pos="2948"/>
                <w:tab w:val="clear" w:pos="3515"/>
              </w:tabs>
              <w:rPr>
                <w:b/>
                <w:sz w:val="28"/>
              </w:rPr>
            </w:pPr>
            <w:r w:rsidRPr="00106EEC">
              <w:rPr>
                <w:rFonts w:ascii="Arial" w:hAnsi="Arial" w:cs="Arial"/>
                <w:b/>
                <w:sz w:val="27"/>
                <w:szCs w:val="27"/>
              </w:rPr>
              <w:t>НАЦИЙ</w:t>
            </w:r>
          </w:p>
        </w:tc>
        <w:tc>
          <w:tcPr>
            <w:tcW w:w="3180" w:type="dxa"/>
            <w:tcBorders>
              <w:bottom w:val="single" w:sz="8" w:space="0" w:color="auto"/>
            </w:tcBorders>
          </w:tcPr>
          <w:p w14:paraId="33D1F242" w14:textId="77777777" w:rsidR="00914402" w:rsidRDefault="00914402" w:rsidP="003B0180">
            <w:pPr>
              <w:tabs>
                <w:tab w:val="clear" w:pos="1247"/>
                <w:tab w:val="clear" w:pos="1814"/>
                <w:tab w:val="clear" w:pos="2381"/>
                <w:tab w:val="clear" w:pos="2948"/>
                <w:tab w:val="clear" w:pos="3515"/>
              </w:tabs>
            </w:pPr>
          </w:p>
        </w:tc>
        <w:tc>
          <w:tcPr>
            <w:tcW w:w="3252" w:type="dxa"/>
            <w:tcBorders>
              <w:bottom w:val="single" w:sz="8" w:space="0" w:color="auto"/>
            </w:tcBorders>
            <w:tcMar>
              <w:left w:w="57" w:type="dxa"/>
              <w:right w:w="57" w:type="dxa"/>
            </w:tcMar>
          </w:tcPr>
          <w:p w14:paraId="1847AEB6" w14:textId="77777777" w:rsidR="00914402" w:rsidRPr="00A62AD7" w:rsidRDefault="00914402" w:rsidP="003B0180">
            <w:pPr>
              <w:tabs>
                <w:tab w:val="clear" w:pos="1247"/>
                <w:tab w:val="clear" w:pos="1814"/>
                <w:tab w:val="clear" w:pos="2381"/>
                <w:tab w:val="clear" w:pos="2948"/>
                <w:tab w:val="clear" w:pos="3515"/>
              </w:tabs>
              <w:spacing w:after="120"/>
              <w:jc w:val="right"/>
              <w:rPr>
                <w:rFonts w:ascii="Arial" w:hAnsi="Arial" w:cs="Arial"/>
                <w:b/>
                <w:sz w:val="64"/>
                <w:szCs w:val="64"/>
              </w:rPr>
            </w:pPr>
            <w:r>
              <w:rPr>
                <w:rFonts w:ascii="Arial" w:hAnsi="Arial" w:cs="Arial"/>
                <w:b/>
                <w:sz w:val="64"/>
                <w:szCs w:val="64"/>
                <w:lang w:val="en-US"/>
              </w:rPr>
              <w:t>MC</w:t>
            </w:r>
          </w:p>
          <w:p w14:paraId="110642B4" w14:textId="1DE43223" w:rsidR="00914402" w:rsidRPr="00A9444E" w:rsidRDefault="00914402" w:rsidP="003B0180">
            <w:pPr>
              <w:tabs>
                <w:tab w:val="clear" w:pos="1247"/>
                <w:tab w:val="clear" w:pos="1814"/>
                <w:tab w:val="clear" w:pos="2381"/>
                <w:tab w:val="clear" w:pos="2948"/>
                <w:tab w:val="clear" w:pos="3515"/>
              </w:tabs>
            </w:pPr>
            <w:r>
              <w:rPr>
                <w:b/>
                <w:sz w:val="28"/>
                <w:lang w:val="en-US"/>
              </w:rPr>
              <w:t>UNEP</w:t>
            </w:r>
            <w:r w:rsidRPr="007940F5">
              <w:rPr>
                <w:lang w:val="en-US"/>
              </w:rPr>
              <w:t>/MC/COP.1</w:t>
            </w:r>
            <w:r w:rsidRPr="007940F5">
              <w:t>/1</w:t>
            </w:r>
            <w:r>
              <w:t>2</w:t>
            </w:r>
          </w:p>
        </w:tc>
      </w:tr>
      <w:tr w:rsidR="00914402" w:rsidRPr="007E6B6D" w14:paraId="2DBFC0BF" w14:textId="77777777" w:rsidTr="00A16828">
        <w:trPr>
          <w:cantSplit/>
          <w:trHeight w:val="20"/>
          <w:jc w:val="right"/>
        </w:trPr>
        <w:tc>
          <w:tcPr>
            <w:tcW w:w="1242" w:type="dxa"/>
          </w:tcPr>
          <w:p w14:paraId="175E9D57" w14:textId="77777777" w:rsidR="00914402" w:rsidRPr="00A9444E" w:rsidRDefault="00914402" w:rsidP="003B0180">
            <w:pPr>
              <w:tabs>
                <w:tab w:val="clear" w:pos="1247"/>
                <w:tab w:val="clear" w:pos="1814"/>
                <w:tab w:val="clear" w:pos="2381"/>
                <w:tab w:val="clear" w:pos="2948"/>
                <w:tab w:val="clear" w:pos="3515"/>
              </w:tabs>
              <w:rPr>
                <w:sz w:val="16"/>
              </w:rPr>
            </w:pPr>
          </w:p>
        </w:tc>
        <w:tc>
          <w:tcPr>
            <w:tcW w:w="5154" w:type="dxa"/>
            <w:gridSpan w:val="2"/>
          </w:tcPr>
          <w:p w14:paraId="23C6CD47" w14:textId="77777777" w:rsidR="00914402" w:rsidRPr="00A9444E" w:rsidRDefault="00914402" w:rsidP="003B0180">
            <w:pPr>
              <w:tabs>
                <w:tab w:val="clear" w:pos="1247"/>
                <w:tab w:val="clear" w:pos="1814"/>
                <w:tab w:val="clear" w:pos="2381"/>
                <w:tab w:val="clear" w:pos="2948"/>
                <w:tab w:val="clear" w:pos="3515"/>
              </w:tabs>
              <w:rPr>
                <w:sz w:val="16"/>
              </w:rPr>
            </w:pPr>
          </w:p>
        </w:tc>
        <w:tc>
          <w:tcPr>
            <w:tcW w:w="3252" w:type="dxa"/>
            <w:vMerge w:val="restart"/>
            <w:tcMar>
              <w:left w:w="57" w:type="dxa"/>
              <w:right w:w="57" w:type="dxa"/>
            </w:tcMar>
          </w:tcPr>
          <w:p w14:paraId="1CBDD8E3" w14:textId="77777777" w:rsidR="00914402" w:rsidRPr="007940F5" w:rsidRDefault="00914402" w:rsidP="003B0180">
            <w:pPr>
              <w:tabs>
                <w:tab w:val="clear" w:pos="1247"/>
                <w:tab w:val="clear" w:pos="1814"/>
                <w:tab w:val="clear" w:pos="2381"/>
                <w:tab w:val="clear" w:pos="2948"/>
                <w:tab w:val="clear" w:pos="3515"/>
              </w:tabs>
              <w:rPr>
                <w:lang w:val="en-US"/>
              </w:rPr>
            </w:pPr>
          </w:p>
          <w:p w14:paraId="3A3649DE" w14:textId="77777777" w:rsidR="00914402" w:rsidRPr="007940F5" w:rsidRDefault="00914402" w:rsidP="003B0180">
            <w:pPr>
              <w:tabs>
                <w:tab w:val="clear" w:pos="1247"/>
                <w:tab w:val="clear" w:pos="1814"/>
                <w:tab w:val="clear" w:pos="2381"/>
                <w:tab w:val="clear" w:pos="2948"/>
                <w:tab w:val="clear" w:pos="3515"/>
              </w:tabs>
              <w:rPr>
                <w:lang w:val="en-US"/>
              </w:rPr>
            </w:pPr>
            <w:r>
              <w:rPr>
                <w:lang w:val="en-US"/>
              </w:rPr>
              <w:t>Distr</w:t>
            </w:r>
            <w:r w:rsidRPr="007940F5">
              <w:rPr>
                <w:lang w:val="en-US"/>
              </w:rPr>
              <w:t xml:space="preserve">.: </w:t>
            </w:r>
            <w:r>
              <w:rPr>
                <w:lang w:val="en-US"/>
              </w:rPr>
              <w:t>General</w:t>
            </w:r>
          </w:p>
          <w:p w14:paraId="4FBC957A" w14:textId="31E4B8AA" w:rsidR="00914402" w:rsidRPr="007940F5" w:rsidRDefault="00914402" w:rsidP="003B0180">
            <w:pPr>
              <w:tabs>
                <w:tab w:val="clear" w:pos="1247"/>
                <w:tab w:val="clear" w:pos="1814"/>
                <w:tab w:val="clear" w:pos="2381"/>
                <w:tab w:val="clear" w:pos="2948"/>
                <w:tab w:val="clear" w:pos="3515"/>
              </w:tabs>
              <w:rPr>
                <w:lang w:val="en-US"/>
              </w:rPr>
            </w:pPr>
            <w:r>
              <w:rPr>
                <w:lang w:val="en-US"/>
              </w:rPr>
              <w:t>15</w:t>
            </w:r>
            <w:r w:rsidRPr="007940F5">
              <w:rPr>
                <w:lang w:val="en-US"/>
              </w:rPr>
              <w:t xml:space="preserve"> </w:t>
            </w:r>
            <w:r>
              <w:rPr>
                <w:lang w:val="en-US"/>
              </w:rPr>
              <w:t>May</w:t>
            </w:r>
            <w:r w:rsidRPr="007940F5">
              <w:rPr>
                <w:lang w:val="en-US"/>
              </w:rPr>
              <w:t xml:space="preserve"> 2017</w:t>
            </w:r>
          </w:p>
          <w:p w14:paraId="10BF3C45" w14:textId="77777777" w:rsidR="00914402" w:rsidRPr="007940F5" w:rsidRDefault="00914402" w:rsidP="003B0180">
            <w:pPr>
              <w:tabs>
                <w:tab w:val="clear" w:pos="1247"/>
                <w:tab w:val="clear" w:pos="1814"/>
                <w:tab w:val="clear" w:pos="2381"/>
                <w:tab w:val="clear" w:pos="2948"/>
                <w:tab w:val="clear" w:pos="3515"/>
              </w:tabs>
              <w:rPr>
                <w:lang w:val="en-US"/>
              </w:rPr>
            </w:pPr>
          </w:p>
          <w:p w14:paraId="1377D978" w14:textId="77777777" w:rsidR="00914402" w:rsidRPr="007940F5" w:rsidRDefault="00914402" w:rsidP="003B0180">
            <w:pPr>
              <w:tabs>
                <w:tab w:val="clear" w:pos="1247"/>
                <w:tab w:val="clear" w:pos="1814"/>
                <w:tab w:val="clear" w:pos="2381"/>
                <w:tab w:val="clear" w:pos="2948"/>
                <w:tab w:val="clear" w:pos="3515"/>
              </w:tabs>
              <w:rPr>
                <w:lang w:val="en-US"/>
              </w:rPr>
            </w:pPr>
            <w:r>
              <w:rPr>
                <w:lang w:val="en-US"/>
              </w:rPr>
              <w:t>Russian</w:t>
            </w:r>
          </w:p>
          <w:p w14:paraId="77DE7F1F" w14:textId="77777777" w:rsidR="00914402" w:rsidRPr="007940F5" w:rsidRDefault="00914402" w:rsidP="003B0180">
            <w:pPr>
              <w:tabs>
                <w:tab w:val="clear" w:pos="1247"/>
                <w:tab w:val="clear" w:pos="1814"/>
                <w:tab w:val="clear" w:pos="2381"/>
                <w:tab w:val="clear" w:pos="2948"/>
                <w:tab w:val="clear" w:pos="3515"/>
              </w:tabs>
              <w:rPr>
                <w:lang w:val="en-US"/>
              </w:rPr>
            </w:pPr>
            <w:r>
              <w:rPr>
                <w:lang w:val="en-US"/>
              </w:rPr>
              <w:t>Original</w:t>
            </w:r>
            <w:r w:rsidRPr="007940F5">
              <w:rPr>
                <w:lang w:val="en-US"/>
              </w:rPr>
              <w:t xml:space="preserve">: </w:t>
            </w:r>
            <w:r>
              <w:rPr>
                <w:lang w:val="en-US"/>
              </w:rPr>
              <w:t>English</w:t>
            </w:r>
          </w:p>
        </w:tc>
      </w:tr>
      <w:tr w:rsidR="00914402" w:rsidRPr="007C730B" w14:paraId="60BCA4F5" w14:textId="77777777" w:rsidTr="00A16828">
        <w:trPr>
          <w:cantSplit/>
          <w:jc w:val="right"/>
        </w:trPr>
        <w:tc>
          <w:tcPr>
            <w:tcW w:w="1242" w:type="dxa"/>
          </w:tcPr>
          <w:p w14:paraId="30523C39" w14:textId="77777777" w:rsidR="00914402" w:rsidRPr="00AD7BDF" w:rsidRDefault="00914402" w:rsidP="003B0180">
            <w:pPr>
              <w:tabs>
                <w:tab w:val="clear" w:pos="1247"/>
                <w:tab w:val="clear" w:pos="1814"/>
                <w:tab w:val="clear" w:pos="2381"/>
                <w:tab w:val="clear" w:pos="2948"/>
                <w:tab w:val="clear" w:pos="3515"/>
              </w:tabs>
              <w:rPr>
                <w:sz w:val="16"/>
              </w:rPr>
            </w:pPr>
            <w:r>
              <w:rPr>
                <w:noProof/>
                <w:lang w:val="en-US"/>
              </w:rPr>
              <w:drawing>
                <wp:inline distT="0" distB="0" distL="0" distR="0" wp14:anchorId="0308E408" wp14:editId="0720A747">
                  <wp:extent cx="650875" cy="563245"/>
                  <wp:effectExtent l="0" t="0" r="0" b="8255"/>
                  <wp:docPr id="1" name="Picture 1" descr="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0875" cy="563245"/>
                          </a:xfrm>
                          <a:prstGeom prst="rect">
                            <a:avLst/>
                          </a:prstGeom>
                          <a:noFill/>
                          <a:ln>
                            <a:noFill/>
                          </a:ln>
                        </pic:spPr>
                      </pic:pic>
                    </a:graphicData>
                  </a:graphic>
                </wp:inline>
              </w:drawing>
            </w:r>
          </w:p>
        </w:tc>
        <w:tc>
          <w:tcPr>
            <w:tcW w:w="5154" w:type="dxa"/>
            <w:gridSpan w:val="2"/>
            <w:vMerge w:val="restart"/>
          </w:tcPr>
          <w:p w14:paraId="5DDD3291" w14:textId="77777777" w:rsidR="00914402" w:rsidRPr="00A62AD7" w:rsidRDefault="00914402" w:rsidP="003B0180">
            <w:pPr>
              <w:tabs>
                <w:tab w:val="clear" w:pos="1247"/>
                <w:tab w:val="clear" w:pos="1814"/>
                <w:tab w:val="clear" w:pos="2381"/>
                <w:tab w:val="clear" w:pos="2948"/>
                <w:tab w:val="clear" w:pos="3515"/>
              </w:tabs>
              <w:spacing w:after="120"/>
              <w:rPr>
                <w:rFonts w:ascii="Arial" w:hAnsi="Arial" w:cs="Arial"/>
                <w:b/>
                <w:sz w:val="27"/>
                <w:szCs w:val="27"/>
              </w:rPr>
            </w:pPr>
          </w:p>
          <w:p w14:paraId="09E9D90B" w14:textId="77777777" w:rsidR="00914402" w:rsidRPr="00A9444E" w:rsidRDefault="00914402" w:rsidP="003B0180">
            <w:pPr>
              <w:tabs>
                <w:tab w:val="clear" w:pos="1247"/>
                <w:tab w:val="clear" w:pos="1814"/>
                <w:tab w:val="clear" w:pos="2381"/>
                <w:tab w:val="clear" w:pos="2948"/>
                <w:tab w:val="clear" w:pos="3515"/>
              </w:tabs>
              <w:rPr>
                <w:rFonts w:ascii="Arial" w:hAnsi="Arial" w:cs="Arial"/>
                <w:b/>
                <w:sz w:val="27"/>
                <w:szCs w:val="27"/>
              </w:rPr>
            </w:pPr>
          </w:p>
          <w:p w14:paraId="6B3831D7" w14:textId="77777777" w:rsidR="00914402" w:rsidRPr="00A9444E" w:rsidRDefault="00914402" w:rsidP="003B0180">
            <w:pPr>
              <w:tabs>
                <w:tab w:val="clear" w:pos="1247"/>
                <w:tab w:val="clear" w:pos="1814"/>
                <w:tab w:val="clear" w:pos="2381"/>
                <w:tab w:val="clear" w:pos="2948"/>
                <w:tab w:val="clear" w:pos="3515"/>
              </w:tabs>
              <w:rPr>
                <w:rFonts w:ascii="Arial" w:hAnsi="Arial" w:cs="Arial"/>
                <w:b/>
                <w:sz w:val="27"/>
                <w:szCs w:val="27"/>
              </w:rPr>
            </w:pPr>
          </w:p>
          <w:p w14:paraId="65DD03CF" w14:textId="77777777" w:rsidR="00914402" w:rsidRPr="00914402" w:rsidRDefault="00914402" w:rsidP="003B0180">
            <w:pPr>
              <w:tabs>
                <w:tab w:val="clear" w:pos="1247"/>
                <w:tab w:val="clear" w:pos="1814"/>
                <w:tab w:val="clear" w:pos="2381"/>
                <w:tab w:val="clear" w:pos="2948"/>
                <w:tab w:val="clear" w:pos="3515"/>
              </w:tabs>
              <w:rPr>
                <w:b/>
                <w:lang w:val="ru-RU"/>
              </w:rPr>
            </w:pPr>
            <w:r w:rsidRPr="00914402">
              <w:rPr>
                <w:rFonts w:ascii="Arial" w:hAnsi="Arial" w:cs="Arial"/>
                <w:b/>
                <w:sz w:val="27"/>
                <w:szCs w:val="27"/>
                <w:lang w:val="ru-RU"/>
              </w:rPr>
              <w:t>Программа Организации</w:t>
            </w:r>
            <w:r w:rsidRPr="00914402">
              <w:rPr>
                <w:rFonts w:ascii="Arial" w:hAnsi="Arial" w:cs="Arial"/>
                <w:b/>
                <w:sz w:val="27"/>
                <w:szCs w:val="27"/>
                <w:lang w:val="ru-RU"/>
              </w:rPr>
              <w:br/>
              <w:t>Объединенных Наций по</w:t>
            </w:r>
            <w:r w:rsidRPr="00914402">
              <w:rPr>
                <w:rFonts w:ascii="Arial" w:hAnsi="Arial" w:cs="Arial"/>
                <w:b/>
                <w:sz w:val="27"/>
                <w:szCs w:val="27"/>
                <w:lang w:val="ru-RU"/>
              </w:rPr>
              <w:br/>
              <w:t>окружающей среде</w:t>
            </w:r>
          </w:p>
        </w:tc>
        <w:tc>
          <w:tcPr>
            <w:tcW w:w="3252" w:type="dxa"/>
            <w:vMerge/>
          </w:tcPr>
          <w:p w14:paraId="6AE7FC08" w14:textId="77777777" w:rsidR="00914402" w:rsidRPr="00914402" w:rsidRDefault="00914402" w:rsidP="003B0180">
            <w:pPr>
              <w:tabs>
                <w:tab w:val="clear" w:pos="1247"/>
                <w:tab w:val="clear" w:pos="1814"/>
                <w:tab w:val="clear" w:pos="2381"/>
                <w:tab w:val="clear" w:pos="2948"/>
                <w:tab w:val="clear" w:pos="3515"/>
              </w:tabs>
              <w:rPr>
                <w:lang w:val="ru-RU"/>
              </w:rPr>
            </w:pPr>
          </w:p>
        </w:tc>
      </w:tr>
      <w:tr w:rsidR="00914402" w:rsidRPr="007C730B" w14:paraId="138AFCDB" w14:textId="77777777" w:rsidTr="00A16828">
        <w:trPr>
          <w:cantSplit/>
          <w:trHeight w:val="20"/>
          <w:jc w:val="right"/>
        </w:trPr>
        <w:tc>
          <w:tcPr>
            <w:tcW w:w="1242" w:type="dxa"/>
          </w:tcPr>
          <w:p w14:paraId="401133FB" w14:textId="77777777" w:rsidR="00914402" w:rsidRPr="00914402" w:rsidRDefault="00914402" w:rsidP="003B0180">
            <w:pPr>
              <w:tabs>
                <w:tab w:val="clear" w:pos="1247"/>
                <w:tab w:val="clear" w:pos="1814"/>
                <w:tab w:val="clear" w:pos="2381"/>
                <w:tab w:val="clear" w:pos="2948"/>
                <w:tab w:val="clear" w:pos="3515"/>
              </w:tabs>
              <w:rPr>
                <w:sz w:val="16"/>
                <w:lang w:val="ru-RU"/>
              </w:rPr>
            </w:pPr>
          </w:p>
        </w:tc>
        <w:tc>
          <w:tcPr>
            <w:tcW w:w="5154" w:type="dxa"/>
            <w:gridSpan w:val="2"/>
            <w:vMerge/>
          </w:tcPr>
          <w:p w14:paraId="6F03EA04" w14:textId="77777777" w:rsidR="00914402" w:rsidRPr="00914402" w:rsidRDefault="00914402" w:rsidP="003B0180">
            <w:pPr>
              <w:tabs>
                <w:tab w:val="clear" w:pos="1247"/>
                <w:tab w:val="clear" w:pos="1814"/>
                <w:tab w:val="clear" w:pos="2381"/>
                <w:tab w:val="clear" w:pos="2948"/>
                <w:tab w:val="clear" w:pos="3515"/>
              </w:tabs>
              <w:rPr>
                <w:b/>
                <w:sz w:val="28"/>
                <w:lang w:val="ru-RU"/>
              </w:rPr>
            </w:pPr>
          </w:p>
        </w:tc>
        <w:tc>
          <w:tcPr>
            <w:tcW w:w="3252" w:type="dxa"/>
            <w:vMerge/>
          </w:tcPr>
          <w:p w14:paraId="04358063" w14:textId="77777777" w:rsidR="00914402" w:rsidRPr="00914402" w:rsidRDefault="00914402" w:rsidP="003B0180">
            <w:pPr>
              <w:tabs>
                <w:tab w:val="clear" w:pos="1247"/>
                <w:tab w:val="clear" w:pos="1814"/>
                <w:tab w:val="clear" w:pos="2381"/>
                <w:tab w:val="clear" w:pos="2948"/>
                <w:tab w:val="clear" w:pos="3515"/>
              </w:tabs>
              <w:rPr>
                <w:lang w:val="ru-RU"/>
              </w:rPr>
            </w:pPr>
          </w:p>
        </w:tc>
      </w:tr>
      <w:tr w:rsidR="00914402" w14:paraId="2AB624F6" w14:textId="77777777" w:rsidTr="00A16828">
        <w:trPr>
          <w:cantSplit/>
          <w:trHeight w:val="962"/>
          <w:jc w:val="right"/>
        </w:trPr>
        <w:tc>
          <w:tcPr>
            <w:tcW w:w="1242" w:type="dxa"/>
            <w:tcBorders>
              <w:bottom w:val="single" w:sz="24" w:space="0" w:color="auto"/>
            </w:tcBorders>
          </w:tcPr>
          <w:p w14:paraId="56131B73" w14:textId="77777777" w:rsidR="00914402" w:rsidRPr="00CB1E5C" w:rsidRDefault="00914402" w:rsidP="00A16828">
            <w:r>
              <w:object w:dxaOrig="1020" w:dyaOrig="1131" w14:anchorId="5C85D8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5pt;height:46pt" o:ole="" fillcolor="window">
                  <v:imagedata r:id="rId10" o:title="" cropbottom="13140f"/>
                </v:shape>
                <o:OLEObject Type="Embed" ProgID="Word.Picture.8" ShapeID="_x0000_i1025" DrawAspect="Content" ObjectID="_1559475029" r:id="rId11"/>
              </w:object>
            </w:r>
          </w:p>
        </w:tc>
        <w:tc>
          <w:tcPr>
            <w:tcW w:w="5154" w:type="dxa"/>
            <w:gridSpan w:val="2"/>
            <w:vMerge/>
            <w:tcBorders>
              <w:bottom w:val="single" w:sz="24" w:space="0" w:color="auto"/>
            </w:tcBorders>
          </w:tcPr>
          <w:p w14:paraId="3610E5F7" w14:textId="77777777" w:rsidR="00914402" w:rsidRDefault="00914402" w:rsidP="00A16828"/>
        </w:tc>
        <w:tc>
          <w:tcPr>
            <w:tcW w:w="3252" w:type="dxa"/>
            <w:vMerge/>
            <w:tcBorders>
              <w:bottom w:val="single" w:sz="24" w:space="0" w:color="auto"/>
            </w:tcBorders>
          </w:tcPr>
          <w:p w14:paraId="415310BE" w14:textId="77777777" w:rsidR="00914402" w:rsidRDefault="00914402" w:rsidP="00A16828"/>
        </w:tc>
      </w:tr>
    </w:tbl>
    <w:p w14:paraId="28B4C656" w14:textId="77777777" w:rsidR="00914402" w:rsidRDefault="00914402" w:rsidP="00914402">
      <w:pPr>
        <w:sectPr w:rsidR="00914402" w:rsidSect="00914402">
          <w:headerReference w:type="even" r:id="rId12"/>
          <w:headerReference w:type="default" r:id="rId13"/>
          <w:footerReference w:type="even" r:id="rId14"/>
          <w:footerReference w:type="default" r:id="rId15"/>
          <w:headerReference w:type="first" r:id="rId16"/>
          <w:footerReference w:type="first" r:id="rId17"/>
          <w:footnotePr>
            <w:numFmt w:val="chicago"/>
          </w:footnotePr>
          <w:type w:val="continuous"/>
          <w:pgSz w:w="11906" w:h="16838" w:code="9"/>
          <w:pgMar w:top="907" w:right="992" w:bottom="1418" w:left="1418" w:header="539" w:footer="975" w:gutter="0"/>
          <w:cols w:space="720"/>
          <w:titlePg/>
        </w:sectPr>
      </w:pPr>
    </w:p>
    <w:p w14:paraId="6B785797" w14:textId="78E1F1F7" w:rsidR="00914402" w:rsidRPr="00914402" w:rsidRDefault="00914402" w:rsidP="003B0180">
      <w:pPr>
        <w:tabs>
          <w:tab w:val="clear" w:pos="1247"/>
          <w:tab w:val="clear" w:pos="1814"/>
          <w:tab w:val="clear" w:pos="2381"/>
          <w:tab w:val="clear" w:pos="2948"/>
          <w:tab w:val="clear" w:pos="3515"/>
        </w:tabs>
        <w:rPr>
          <w:b/>
          <w:lang w:val="ru-RU"/>
        </w:rPr>
      </w:pPr>
      <w:r w:rsidRPr="00914402">
        <w:rPr>
          <w:b/>
          <w:lang w:val="ru-RU"/>
        </w:rPr>
        <w:lastRenderedPageBreak/>
        <w:t>Конференция Сторон</w:t>
      </w:r>
      <w:r w:rsidR="003B0180" w:rsidRPr="003B0180">
        <w:rPr>
          <w:b/>
          <w:lang w:val="ru-RU"/>
        </w:rPr>
        <w:t xml:space="preserve"> </w:t>
      </w:r>
      <w:proofErr w:type="spellStart"/>
      <w:r w:rsidRPr="00914402">
        <w:rPr>
          <w:b/>
          <w:lang w:val="ru-RU"/>
        </w:rPr>
        <w:t>Минаматской</w:t>
      </w:r>
      <w:proofErr w:type="spellEnd"/>
      <w:r w:rsidRPr="00914402">
        <w:rPr>
          <w:b/>
          <w:lang w:val="ru-RU"/>
        </w:rPr>
        <w:t xml:space="preserve"> конвенции о ртути</w:t>
      </w:r>
    </w:p>
    <w:p w14:paraId="02C53E76" w14:textId="77777777" w:rsidR="00914402" w:rsidRPr="00914402" w:rsidRDefault="00914402" w:rsidP="003B0180">
      <w:pPr>
        <w:tabs>
          <w:tab w:val="clear" w:pos="1247"/>
          <w:tab w:val="clear" w:pos="1814"/>
          <w:tab w:val="clear" w:pos="2381"/>
          <w:tab w:val="clear" w:pos="2948"/>
          <w:tab w:val="clear" w:pos="3515"/>
        </w:tabs>
        <w:rPr>
          <w:b/>
          <w:lang w:val="ru-RU"/>
        </w:rPr>
      </w:pPr>
      <w:r w:rsidRPr="00914402">
        <w:rPr>
          <w:b/>
          <w:lang w:val="ru-RU"/>
        </w:rPr>
        <w:t>Первое совещание</w:t>
      </w:r>
      <w:bookmarkStart w:id="0" w:name="_GoBack"/>
      <w:bookmarkEnd w:id="0"/>
    </w:p>
    <w:p w14:paraId="63F9D90E" w14:textId="14A7A086" w:rsidR="00914402" w:rsidRPr="00914402" w:rsidRDefault="007C730B" w:rsidP="003B0180">
      <w:pPr>
        <w:tabs>
          <w:tab w:val="clear" w:pos="1247"/>
          <w:tab w:val="clear" w:pos="1814"/>
          <w:tab w:val="clear" w:pos="2381"/>
          <w:tab w:val="clear" w:pos="2948"/>
          <w:tab w:val="clear" w:pos="3515"/>
        </w:tabs>
        <w:rPr>
          <w:lang w:val="ru-RU"/>
        </w:rPr>
      </w:pPr>
      <w:r>
        <w:rPr>
          <w:lang w:val="ru-RU"/>
        </w:rPr>
        <w:t>Женева, 24</w:t>
      </w:r>
      <w:r>
        <w:rPr>
          <w:lang w:val="en-US"/>
        </w:rPr>
        <w:t>-</w:t>
      </w:r>
      <w:r w:rsidR="00914402" w:rsidRPr="00914402">
        <w:rPr>
          <w:lang w:val="ru-RU"/>
        </w:rPr>
        <w:t>29 сентября 2017 года</w:t>
      </w:r>
    </w:p>
    <w:p w14:paraId="4798A7DE" w14:textId="2A188D80" w:rsidR="00312543" w:rsidRPr="00914402" w:rsidRDefault="00312543" w:rsidP="002F17ED">
      <w:pPr>
        <w:tabs>
          <w:tab w:val="clear" w:pos="1247"/>
          <w:tab w:val="clear" w:pos="1814"/>
          <w:tab w:val="clear" w:pos="2381"/>
          <w:tab w:val="clear" w:pos="2948"/>
          <w:tab w:val="clear" w:pos="3515"/>
        </w:tabs>
        <w:spacing w:after="60"/>
        <w:rPr>
          <w:b/>
          <w:lang w:val="ru-RU"/>
        </w:rPr>
      </w:pPr>
      <w:r>
        <w:rPr>
          <w:lang w:val="ru-RU"/>
        </w:rPr>
        <w:t xml:space="preserve">Пункт 5 a) </w:t>
      </w:r>
      <w:proofErr w:type="spellStart"/>
      <w:r>
        <w:rPr>
          <w:lang w:val="ru-RU"/>
        </w:rPr>
        <w:t>vii</w:t>
      </w:r>
      <w:proofErr w:type="spellEnd"/>
      <w:r>
        <w:rPr>
          <w:lang w:val="ru-RU"/>
        </w:rPr>
        <w:t>) предварительной повестки дня</w:t>
      </w:r>
      <w:r w:rsidRPr="00977130">
        <w:rPr>
          <w:lang w:val="ru-RU"/>
        </w:rPr>
        <w:footnoteReference w:customMarkFollows="1" w:id="2"/>
        <w:t>*</w:t>
      </w:r>
    </w:p>
    <w:p w14:paraId="466CC298" w14:textId="218EA761" w:rsidR="00787688" w:rsidRPr="00914402" w:rsidRDefault="00ED4F25" w:rsidP="002F17ED">
      <w:pPr>
        <w:pStyle w:val="AATitle2"/>
        <w:keepNext w:val="0"/>
        <w:keepLines w:val="0"/>
        <w:tabs>
          <w:tab w:val="clear" w:pos="1247"/>
          <w:tab w:val="clear" w:pos="1814"/>
          <w:tab w:val="clear" w:pos="2381"/>
          <w:tab w:val="clear" w:pos="2948"/>
          <w:tab w:val="clear" w:pos="3515"/>
        </w:tabs>
        <w:spacing w:before="0"/>
        <w:ind w:right="1701"/>
        <w:rPr>
          <w:lang w:val="ru-RU"/>
        </w:rPr>
      </w:pPr>
      <w:r>
        <w:rPr>
          <w:lang w:val="ru-RU"/>
        </w:rPr>
        <w:t>Вопросы для принятия мер Конференцией Сторон на ее первом совещании: вопросы, оговоренные в Конвенции: формирование механизмов в отношении оценки эффективности, как это предусмотрено в пункте 2 статьи 22</w:t>
      </w:r>
    </w:p>
    <w:p w14:paraId="17ACC74B" w14:textId="1AF8B977" w:rsidR="00312543" w:rsidRPr="007C730B" w:rsidRDefault="00ED4F25" w:rsidP="0069606C">
      <w:pPr>
        <w:tabs>
          <w:tab w:val="clear" w:pos="1247"/>
          <w:tab w:val="clear" w:pos="1814"/>
          <w:tab w:val="clear" w:pos="2381"/>
          <w:tab w:val="clear" w:pos="2948"/>
          <w:tab w:val="clear" w:pos="3515"/>
        </w:tabs>
        <w:spacing w:before="320" w:after="240"/>
        <w:ind w:left="1247" w:right="567"/>
        <w:rPr>
          <w:b/>
          <w:sz w:val="28"/>
          <w:szCs w:val="28"/>
          <w:lang w:val="ru-RU"/>
        </w:rPr>
      </w:pPr>
      <w:r w:rsidRPr="007C730B">
        <w:rPr>
          <w:b/>
          <w:sz w:val="28"/>
          <w:szCs w:val="28"/>
          <w:lang w:val="ru-RU"/>
        </w:rPr>
        <w:t>Формирование механизмов в отношении оценки эффективности, как это предусмотрено в пункте 2 статьи 22</w:t>
      </w:r>
    </w:p>
    <w:p w14:paraId="5A6649A8" w14:textId="11F0365B" w:rsidR="00312543" w:rsidRPr="0069606C" w:rsidRDefault="00312543" w:rsidP="002F17ED">
      <w:pPr>
        <w:tabs>
          <w:tab w:val="clear" w:pos="1247"/>
          <w:tab w:val="clear" w:pos="1814"/>
          <w:tab w:val="clear" w:pos="2381"/>
          <w:tab w:val="clear" w:pos="2948"/>
          <w:tab w:val="clear" w:pos="3515"/>
        </w:tabs>
        <w:spacing w:after="120"/>
        <w:ind w:left="1247"/>
        <w:rPr>
          <w:b/>
          <w:sz w:val="24"/>
          <w:szCs w:val="24"/>
          <w:lang w:val="ru-RU"/>
        </w:rPr>
      </w:pPr>
      <w:r w:rsidRPr="007C730B">
        <w:rPr>
          <w:b/>
          <w:sz w:val="24"/>
          <w:szCs w:val="24"/>
          <w:lang w:val="ru-RU"/>
        </w:rPr>
        <w:tab/>
      </w:r>
      <w:r w:rsidRPr="0069606C">
        <w:rPr>
          <w:b/>
          <w:sz w:val="24"/>
          <w:szCs w:val="24"/>
          <w:lang w:val="ru-RU"/>
        </w:rPr>
        <w:t>Записка секретариата</w:t>
      </w:r>
    </w:p>
    <w:p w14:paraId="2124A1D4" w14:textId="0EA02C16" w:rsidR="00312543" w:rsidRPr="007C730B" w:rsidRDefault="0069606C" w:rsidP="002F17ED">
      <w:pPr>
        <w:tabs>
          <w:tab w:val="clear" w:pos="1247"/>
          <w:tab w:val="clear" w:pos="1814"/>
          <w:tab w:val="clear" w:pos="2381"/>
          <w:tab w:val="clear" w:pos="2948"/>
          <w:tab w:val="clear" w:pos="3515"/>
        </w:tabs>
        <w:spacing w:after="120"/>
        <w:ind w:left="1247"/>
        <w:rPr>
          <w:lang w:val="ru-RU"/>
        </w:rPr>
      </w:pPr>
      <w:r w:rsidRPr="0069606C">
        <w:rPr>
          <w:lang w:val="ru-RU"/>
        </w:rPr>
        <w:t>1.</w:t>
      </w:r>
      <w:r w:rsidRPr="0069606C">
        <w:rPr>
          <w:lang w:val="ru-RU"/>
        </w:rPr>
        <w:tab/>
      </w:r>
      <w:r w:rsidR="0099193B" w:rsidRPr="0069606C">
        <w:rPr>
          <w:lang w:val="ru-RU"/>
        </w:rPr>
        <w:t>В пункте</w:t>
      </w:r>
      <w:r w:rsidR="00914402" w:rsidRPr="002F17ED">
        <w:t> </w:t>
      </w:r>
      <w:r w:rsidR="00914402" w:rsidRPr="0069606C">
        <w:rPr>
          <w:lang w:val="ru-RU"/>
        </w:rPr>
        <w:t>1 статьи</w:t>
      </w:r>
      <w:r w:rsidR="00914402" w:rsidRPr="002F17ED">
        <w:t> </w:t>
      </w:r>
      <w:r w:rsidR="0099193B" w:rsidRPr="0069606C">
        <w:rPr>
          <w:lang w:val="ru-RU"/>
        </w:rPr>
        <w:t xml:space="preserve">22 </w:t>
      </w:r>
      <w:proofErr w:type="spellStart"/>
      <w:r w:rsidR="0099193B" w:rsidRPr="0069606C">
        <w:rPr>
          <w:lang w:val="ru-RU"/>
        </w:rPr>
        <w:t>Минаматской</w:t>
      </w:r>
      <w:proofErr w:type="spellEnd"/>
      <w:r w:rsidR="0099193B" w:rsidRPr="0069606C">
        <w:rPr>
          <w:lang w:val="ru-RU"/>
        </w:rPr>
        <w:t xml:space="preserve"> конвенции по ртути предусматривается, что Конференция Сторон проводит оценку эффективности Конвенции, начиная не позднее чем через шесть лет после даты вступления Конвенции в силу, а затем с периодично</w:t>
      </w:r>
      <w:r w:rsidR="00914402" w:rsidRPr="0069606C">
        <w:rPr>
          <w:lang w:val="ru-RU"/>
        </w:rPr>
        <w:t xml:space="preserve">стью, определяемой ею. </w:t>
      </w:r>
      <w:proofErr w:type="gramStart"/>
      <w:r w:rsidR="00914402" w:rsidRPr="0069606C">
        <w:rPr>
          <w:lang w:val="ru-RU"/>
        </w:rPr>
        <w:t>В пункте</w:t>
      </w:r>
      <w:r w:rsidR="00914402" w:rsidRPr="002F17ED">
        <w:t> </w:t>
      </w:r>
      <w:r w:rsidR="0099193B" w:rsidRPr="0069606C">
        <w:rPr>
          <w:lang w:val="ru-RU"/>
        </w:rPr>
        <w:t>2 этой же статьи предусматривается, что Конференция Сторон на своем первом совещании инициирует формирование механиз</w:t>
      </w:r>
      <w:r w:rsidR="0099193B" w:rsidRPr="007C730B">
        <w:rPr>
          <w:lang w:val="ru-RU"/>
        </w:rPr>
        <w:t xml:space="preserve">мов для обеспечения себя сравнимыми данными мониторинга о наличии и перемещении ртути и ртутных соединений в окружающей среде, а также об изменении уровней ртути и ртутных соединений, наблюдаемых в </w:t>
      </w:r>
      <w:proofErr w:type="spellStart"/>
      <w:r w:rsidR="0099193B" w:rsidRPr="007C730B">
        <w:rPr>
          <w:lang w:val="ru-RU"/>
        </w:rPr>
        <w:t>биоте</w:t>
      </w:r>
      <w:proofErr w:type="spellEnd"/>
      <w:r w:rsidR="0099193B" w:rsidRPr="007C730B">
        <w:rPr>
          <w:lang w:val="ru-RU"/>
        </w:rPr>
        <w:t xml:space="preserve"> </w:t>
      </w:r>
      <w:r w:rsidR="00914402" w:rsidRPr="007C730B">
        <w:rPr>
          <w:lang w:val="ru-RU"/>
        </w:rPr>
        <w:t>и в уязвимых группах населения.</w:t>
      </w:r>
      <w:proofErr w:type="gramEnd"/>
    </w:p>
    <w:p w14:paraId="43C233EE" w14:textId="078C6594" w:rsidR="00445DAD" w:rsidRPr="0069606C" w:rsidRDefault="0069606C" w:rsidP="002F17ED">
      <w:pPr>
        <w:tabs>
          <w:tab w:val="clear" w:pos="1247"/>
          <w:tab w:val="clear" w:pos="1814"/>
          <w:tab w:val="clear" w:pos="2381"/>
          <w:tab w:val="clear" w:pos="2948"/>
          <w:tab w:val="clear" w:pos="3515"/>
        </w:tabs>
        <w:spacing w:after="120"/>
        <w:ind w:left="1247"/>
        <w:rPr>
          <w:lang w:val="ru-RU"/>
        </w:rPr>
      </w:pPr>
      <w:r w:rsidRPr="0069606C">
        <w:rPr>
          <w:lang w:val="ru-RU"/>
        </w:rPr>
        <w:t>2.</w:t>
      </w:r>
      <w:r w:rsidRPr="0069606C">
        <w:rPr>
          <w:lang w:val="ru-RU"/>
        </w:rPr>
        <w:tab/>
      </w:r>
      <w:proofErr w:type="gramStart"/>
      <w:r w:rsidR="00914402" w:rsidRPr="0069606C">
        <w:rPr>
          <w:lang w:val="ru-RU"/>
        </w:rPr>
        <w:t>В пункте</w:t>
      </w:r>
      <w:r w:rsidR="00914402" w:rsidRPr="002F17ED">
        <w:t> </w:t>
      </w:r>
      <w:r w:rsidR="00914402" w:rsidRPr="0069606C">
        <w:rPr>
          <w:lang w:val="ru-RU"/>
        </w:rPr>
        <w:t>3 статьи</w:t>
      </w:r>
      <w:r w:rsidR="00914402" w:rsidRPr="002F17ED">
        <w:t> </w:t>
      </w:r>
      <w:r w:rsidR="00831836" w:rsidRPr="0069606C">
        <w:rPr>
          <w:lang w:val="ru-RU"/>
        </w:rPr>
        <w:t>22 также предусматривается, что оценка должна проводиться на основе имеющейся научной, экологической, технической, финансовой и экономической информации, включая отчетность и другую информацию для мониторинга, представляемую в соответствии с механизмами получения сравнимой инфо</w:t>
      </w:r>
      <w:r w:rsidR="00914402" w:rsidRPr="0069606C">
        <w:rPr>
          <w:lang w:val="ru-RU"/>
        </w:rPr>
        <w:t>рмации о мониторинге, отчетность</w:t>
      </w:r>
      <w:r w:rsidR="00831836" w:rsidRPr="0069606C">
        <w:rPr>
          <w:lang w:val="ru-RU"/>
        </w:rPr>
        <w:t>, представленную Сторонами в соответствии с требованиями к о</w:t>
      </w:r>
      <w:r w:rsidR="00914402" w:rsidRPr="0069606C">
        <w:rPr>
          <w:lang w:val="ru-RU"/>
        </w:rPr>
        <w:t>тчетности, изложенными в статье</w:t>
      </w:r>
      <w:r w:rsidR="00914402" w:rsidRPr="002F17ED">
        <w:t> </w:t>
      </w:r>
      <w:r w:rsidR="00831836" w:rsidRPr="0069606C">
        <w:rPr>
          <w:lang w:val="ru-RU"/>
        </w:rPr>
        <w:t>21, информацию и рекомендации, представл</w:t>
      </w:r>
      <w:r w:rsidR="00914402" w:rsidRPr="0069606C">
        <w:rPr>
          <w:lang w:val="ru-RU"/>
        </w:rPr>
        <w:t>яемые в соответствии со статьей</w:t>
      </w:r>
      <w:r w:rsidR="00914402" w:rsidRPr="002F17ED">
        <w:t> </w:t>
      </w:r>
      <w:r w:rsidR="00831836" w:rsidRPr="0069606C">
        <w:rPr>
          <w:lang w:val="ru-RU"/>
        </w:rPr>
        <w:t>15</w:t>
      </w:r>
      <w:proofErr w:type="gramEnd"/>
      <w:r w:rsidR="00831836" w:rsidRPr="0069606C">
        <w:rPr>
          <w:lang w:val="ru-RU"/>
        </w:rPr>
        <w:t xml:space="preserve"> (</w:t>
      </w:r>
      <w:proofErr w:type="gramStart"/>
      <w:r w:rsidR="00831836" w:rsidRPr="0069606C">
        <w:rPr>
          <w:lang w:val="ru-RU"/>
        </w:rPr>
        <w:t>относящиеся к комитету по осуществлению и соблюдению), а также отчетность и другую соответствующую информацию о работе механизмов финансовой помощи, передачи технологи</w:t>
      </w:r>
      <w:r w:rsidR="00FA0466">
        <w:rPr>
          <w:lang w:val="ru-RU"/>
        </w:rPr>
        <w:t>и</w:t>
      </w:r>
      <w:r w:rsidR="00831836" w:rsidRPr="0069606C">
        <w:rPr>
          <w:lang w:val="ru-RU"/>
        </w:rPr>
        <w:t xml:space="preserve"> и создания потенциала, созданн</w:t>
      </w:r>
      <w:r w:rsidR="00914402" w:rsidRPr="0069606C">
        <w:rPr>
          <w:lang w:val="ru-RU"/>
        </w:rPr>
        <w:t>ых в соответствии с Конвенцией.</w:t>
      </w:r>
      <w:proofErr w:type="gramEnd"/>
    </w:p>
    <w:p w14:paraId="4CE7B7DF" w14:textId="632BD80D" w:rsidR="00312543" w:rsidRPr="007C730B" w:rsidRDefault="0069606C" w:rsidP="002F17ED">
      <w:pPr>
        <w:tabs>
          <w:tab w:val="clear" w:pos="1247"/>
          <w:tab w:val="clear" w:pos="1814"/>
          <w:tab w:val="clear" w:pos="2381"/>
          <w:tab w:val="clear" w:pos="2948"/>
          <w:tab w:val="clear" w:pos="3515"/>
        </w:tabs>
        <w:spacing w:after="120"/>
        <w:ind w:left="1247"/>
        <w:rPr>
          <w:lang w:val="ru-RU"/>
        </w:rPr>
      </w:pPr>
      <w:r w:rsidRPr="0069606C">
        <w:rPr>
          <w:lang w:val="ru-RU"/>
        </w:rPr>
        <w:t>3.</w:t>
      </w:r>
      <w:r w:rsidRPr="0069606C">
        <w:rPr>
          <w:lang w:val="ru-RU"/>
        </w:rPr>
        <w:tab/>
      </w:r>
      <w:r w:rsidR="00312543" w:rsidRPr="0069606C">
        <w:rPr>
          <w:lang w:val="ru-RU"/>
        </w:rPr>
        <w:t xml:space="preserve">На своей шестой сессии Межправительственный комитет для ведения </w:t>
      </w:r>
      <w:proofErr w:type="gramStart"/>
      <w:r w:rsidR="00312543" w:rsidRPr="0069606C">
        <w:rPr>
          <w:lang w:val="ru-RU"/>
        </w:rPr>
        <w:t>переговоров</w:t>
      </w:r>
      <w:proofErr w:type="gramEnd"/>
      <w:r w:rsidR="00312543" w:rsidRPr="0069606C">
        <w:rPr>
          <w:lang w:val="ru-RU"/>
        </w:rPr>
        <w:t xml:space="preserve"> по подготовке имеющего обязательную юридическую силу глобального документа по ртути рассмотрел подготовленный секретариатом документ с информацией об имеющихся на тот момент данных мониторинга. </w:t>
      </w:r>
      <w:r w:rsidR="00312543" w:rsidRPr="007C730B">
        <w:rPr>
          <w:lang w:val="ru-RU"/>
        </w:rPr>
        <w:t>Комитет постановил, что секретариат должен запросить дальнейшую информацию о наличии данных мониторинга у всех правительств и соответствующих организаций и подготовить подборку и анализ средств получения данных мониторинга для рассмотрения Комитетом на его седьмой сессии. Особое внимание было уделено потребностям развивающихся стран и стран с переходной экономикой в наращивании потенциала, роли, которую играют региональные мероприятия, и значимости партнерств.</w:t>
      </w:r>
    </w:p>
    <w:p w14:paraId="0E7756F7" w14:textId="19653BF1" w:rsidR="001B0205" w:rsidRPr="0069606C" w:rsidRDefault="0069606C" w:rsidP="002F17ED">
      <w:pPr>
        <w:tabs>
          <w:tab w:val="clear" w:pos="1247"/>
          <w:tab w:val="clear" w:pos="1814"/>
          <w:tab w:val="clear" w:pos="2381"/>
          <w:tab w:val="clear" w:pos="2948"/>
          <w:tab w:val="clear" w:pos="3515"/>
        </w:tabs>
        <w:spacing w:after="120"/>
        <w:ind w:left="1247"/>
        <w:rPr>
          <w:lang w:val="ru-RU"/>
        </w:rPr>
      </w:pPr>
      <w:r w:rsidRPr="0069606C">
        <w:rPr>
          <w:lang w:val="ru-RU"/>
        </w:rPr>
        <w:t>4.</w:t>
      </w:r>
      <w:r w:rsidRPr="0069606C">
        <w:rPr>
          <w:lang w:val="ru-RU"/>
        </w:rPr>
        <w:tab/>
      </w:r>
      <w:r w:rsidR="006F16F3" w:rsidRPr="0069606C">
        <w:rPr>
          <w:lang w:val="ru-RU"/>
        </w:rPr>
        <w:t xml:space="preserve">На своей седьмой сессии Межправительственный комитет для ведения переговоров рассмотрел подборку и анализ представленной секретариатом информации и одобрил план </w:t>
      </w:r>
      <w:r w:rsidR="006F16F3" w:rsidRPr="0069606C">
        <w:rPr>
          <w:lang w:val="ru-RU"/>
        </w:rPr>
        <w:lastRenderedPageBreak/>
        <w:t xml:space="preserve">оказания Конференции Сторон на ее первом совещании содействия в создании механизма представления </w:t>
      </w:r>
      <w:r w:rsidR="008F0CC2" w:rsidRPr="0069606C">
        <w:rPr>
          <w:lang w:val="ru-RU"/>
        </w:rPr>
        <w:t>сравнимых</w:t>
      </w:r>
      <w:r w:rsidR="006F16F3" w:rsidRPr="0069606C">
        <w:rPr>
          <w:lang w:val="ru-RU"/>
        </w:rPr>
        <w:t xml:space="preserve"> данных мониторинга для облегчения оценки эффективности (</w:t>
      </w:r>
      <w:r w:rsidR="006F16F3" w:rsidRPr="002F17ED">
        <w:t>UNE</w:t>
      </w:r>
      <w:r w:rsidR="00914402" w:rsidRPr="002F17ED">
        <w:t>P</w:t>
      </w:r>
      <w:r w:rsidR="00914402" w:rsidRPr="0069606C">
        <w:rPr>
          <w:lang w:val="ru-RU"/>
        </w:rPr>
        <w:t>(</w:t>
      </w:r>
      <w:r w:rsidR="00914402" w:rsidRPr="002F17ED">
        <w:t>DTIE</w:t>
      </w:r>
      <w:r w:rsidR="00914402" w:rsidRPr="0069606C">
        <w:rPr>
          <w:lang w:val="ru-RU"/>
        </w:rPr>
        <w:t>)/</w:t>
      </w:r>
      <w:r w:rsidR="00914402" w:rsidRPr="002F17ED">
        <w:t>Hg</w:t>
      </w:r>
      <w:r w:rsidR="00914402" w:rsidRPr="0069606C">
        <w:rPr>
          <w:lang w:val="ru-RU"/>
        </w:rPr>
        <w:t>/</w:t>
      </w:r>
      <w:r w:rsidR="00914402" w:rsidRPr="002F17ED">
        <w:t>INC</w:t>
      </w:r>
      <w:r w:rsidR="00914402" w:rsidRPr="0069606C">
        <w:rPr>
          <w:lang w:val="ru-RU"/>
        </w:rPr>
        <w:t>.7/22</w:t>
      </w:r>
      <w:r w:rsidR="00CD2F8E" w:rsidRPr="00CD2F8E">
        <w:rPr>
          <w:lang w:val="ru-RU"/>
        </w:rPr>
        <w:t>/</w:t>
      </w:r>
      <w:r w:rsidR="00CD2F8E">
        <w:rPr>
          <w:lang w:val="en-US"/>
        </w:rPr>
        <w:t>Rev</w:t>
      </w:r>
      <w:r w:rsidR="00CD2F8E" w:rsidRPr="00CD2F8E">
        <w:rPr>
          <w:lang w:val="ru-RU"/>
        </w:rPr>
        <w:t>.1</w:t>
      </w:r>
      <w:r w:rsidR="00914402" w:rsidRPr="0069606C">
        <w:rPr>
          <w:lang w:val="ru-RU"/>
        </w:rPr>
        <w:t>, приложение</w:t>
      </w:r>
      <w:r w:rsidR="00914402" w:rsidRPr="002F17ED">
        <w:t> </w:t>
      </w:r>
      <w:r w:rsidR="006F16F3" w:rsidRPr="002F17ED">
        <w:t>VIII</w:t>
      </w:r>
      <w:r w:rsidR="006F16F3" w:rsidRPr="0069606C">
        <w:rPr>
          <w:lang w:val="ru-RU"/>
        </w:rPr>
        <w:t>). В соответствии с этим планом, временн</w:t>
      </w:r>
      <w:r w:rsidR="00914402" w:rsidRPr="0069606C">
        <w:rPr>
          <w:lang w:val="ru-RU"/>
        </w:rPr>
        <w:t>ый секретариат:</w:t>
      </w:r>
    </w:p>
    <w:p w14:paraId="02437E43" w14:textId="6AD86072" w:rsidR="001B0205" w:rsidRPr="00A66C72" w:rsidRDefault="00A66C72" w:rsidP="00A66C72">
      <w:pPr>
        <w:tabs>
          <w:tab w:val="clear" w:pos="1247"/>
          <w:tab w:val="clear" w:pos="1814"/>
          <w:tab w:val="clear" w:pos="2381"/>
          <w:tab w:val="clear" w:pos="2948"/>
          <w:tab w:val="clear" w:pos="3515"/>
        </w:tabs>
        <w:spacing w:after="120"/>
        <w:ind w:left="1247" w:firstLine="624"/>
        <w:rPr>
          <w:lang w:val="ru-RU"/>
        </w:rPr>
      </w:pPr>
      <w:r>
        <w:rPr>
          <w:lang w:val="en-US"/>
        </w:rPr>
        <w:t>a</w:t>
      </w:r>
      <w:r w:rsidRPr="00A66C72">
        <w:rPr>
          <w:lang w:val="ru-RU"/>
        </w:rPr>
        <w:t>)</w:t>
      </w:r>
      <w:r w:rsidRPr="00A66C72">
        <w:rPr>
          <w:lang w:val="ru-RU"/>
        </w:rPr>
        <w:tab/>
      </w:r>
      <w:proofErr w:type="gramStart"/>
      <w:r w:rsidR="00914402" w:rsidRPr="0069606C">
        <w:rPr>
          <w:lang w:val="ru-RU"/>
        </w:rPr>
        <w:t>п</w:t>
      </w:r>
      <w:r w:rsidR="001B0205" w:rsidRPr="0069606C">
        <w:rPr>
          <w:lang w:val="ru-RU"/>
        </w:rPr>
        <w:t>одготовит</w:t>
      </w:r>
      <w:proofErr w:type="gramEnd"/>
      <w:r w:rsidR="001B0205" w:rsidRPr="0069606C">
        <w:rPr>
          <w:lang w:val="ru-RU"/>
        </w:rPr>
        <w:t xml:space="preserve"> подборку информации о существующих программах мониторинга и о том, каким образом они могли бы внести вклад в подхо</w:t>
      </w:r>
      <w:r w:rsidR="001B0205" w:rsidRPr="00A66C72">
        <w:rPr>
          <w:lang w:val="ru-RU"/>
        </w:rPr>
        <w:t>д к мониторингу в целом, включая наличи</w:t>
      </w:r>
      <w:r w:rsidR="00914402" w:rsidRPr="00A66C72">
        <w:rPr>
          <w:lang w:val="ru-RU"/>
        </w:rPr>
        <w:t>е информации о базовых уровнях;</w:t>
      </w:r>
    </w:p>
    <w:p w14:paraId="61A3FCC3" w14:textId="23B7698A" w:rsidR="001B0205" w:rsidRPr="00A66C72" w:rsidRDefault="00A66C72" w:rsidP="00A66C72">
      <w:pPr>
        <w:tabs>
          <w:tab w:val="clear" w:pos="1247"/>
          <w:tab w:val="clear" w:pos="1814"/>
          <w:tab w:val="clear" w:pos="2381"/>
          <w:tab w:val="clear" w:pos="2948"/>
          <w:tab w:val="clear" w:pos="3515"/>
        </w:tabs>
        <w:spacing w:after="120"/>
        <w:ind w:left="1247" w:firstLine="624"/>
        <w:rPr>
          <w:lang w:val="ru-RU"/>
        </w:rPr>
      </w:pPr>
      <w:r>
        <w:t>b</w:t>
      </w:r>
      <w:r w:rsidRPr="00A66C72">
        <w:rPr>
          <w:lang w:val="ru-RU"/>
        </w:rPr>
        <w:t>)</w:t>
      </w:r>
      <w:r w:rsidRPr="00A66C72">
        <w:rPr>
          <w:lang w:val="ru-RU"/>
        </w:rPr>
        <w:tab/>
      </w:r>
      <w:r w:rsidR="00914402" w:rsidRPr="00A66C72">
        <w:rPr>
          <w:lang w:val="ru-RU"/>
        </w:rPr>
        <w:t>р</w:t>
      </w:r>
      <w:r w:rsidR="001B0205" w:rsidRPr="00A66C72">
        <w:rPr>
          <w:lang w:val="ru-RU"/>
        </w:rPr>
        <w:t xml:space="preserve">азработает проект плана работы, включая разработку общего описания типов данных, создание проекта </w:t>
      </w:r>
      <w:r w:rsidR="00444FE6" w:rsidRPr="00A66C72">
        <w:rPr>
          <w:lang w:val="ru-RU"/>
        </w:rPr>
        <w:t>рамок</w:t>
      </w:r>
      <w:r w:rsidR="001B0205" w:rsidRPr="00A66C72">
        <w:rPr>
          <w:lang w:val="ru-RU"/>
        </w:rPr>
        <w:t xml:space="preserve"> для глобального подхода к мониторингу в целях интеграции сравнимых результатов мониторинга, который может осуществляться в будущем, и разработает проект стратегии для сведения отчетности и другой информации о мониторинге, которая могла бы быть рассмотрена на предмет </w:t>
      </w:r>
      <w:r w:rsidR="00914402" w:rsidRPr="00A66C72">
        <w:rPr>
          <w:lang w:val="ru-RU"/>
        </w:rPr>
        <w:t>оценки эффективности Конвенции;</w:t>
      </w:r>
    </w:p>
    <w:p w14:paraId="57A4CE47" w14:textId="4E58AA6C" w:rsidR="00445DAD" w:rsidRPr="00A66C72" w:rsidRDefault="00A66C72" w:rsidP="00A66C72">
      <w:pPr>
        <w:tabs>
          <w:tab w:val="clear" w:pos="1247"/>
          <w:tab w:val="clear" w:pos="1814"/>
          <w:tab w:val="clear" w:pos="2381"/>
          <w:tab w:val="clear" w:pos="2948"/>
          <w:tab w:val="clear" w:pos="3515"/>
        </w:tabs>
        <w:spacing w:after="120"/>
        <w:ind w:left="1247" w:firstLine="624"/>
        <w:rPr>
          <w:lang w:val="ru-RU"/>
        </w:rPr>
      </w:pPr>
      <w:r>
        <w:rPr>
          <w:lang w:val="en-US"/>
        </w:rPr>
        <w:t>c</w:t>
      </w:r>
      <w:r w:rsidRPr="00A66C72">
        <w:rPr>
          <w:lang w:val="ru-RU"/>
        </w:rPr>
        <w:t>)</w:t>
      </w:r>
      <w:r w:rsidRPr="00A66C72">
        <w:rPr>
          <w:lang w:val="ru-RU"/>
        </w:rPr>
        <w:tab/>
      </w:r>
      <w:r w:rsidR="00914402" w:rsidRPr="00A66C72">
        <w:rPr>
          <w:lang w:val="ru-RU"/>
        </w:rPr>
        <w:t>п</w:t>
      </w:r>
      <w:r w:rsidR="001B0205" w:rsidRPr="00A66C72">
        <w:rPr>
          <w:lang w:val="ru-RU"/>
        </w:rPr>
        <w:t xml:space="preserve">одготовит проект доклада с рекомендациями о создании механизмов, обеспечивающих сравнимые данные мониторинга о наличии и перемещении ртути и соединений ртути в окружающей среде, а также об изменении уровней ртути и соединений ртути, наблюдаемых в </w:t>
      </w:r>
      <w:proofErr w:type="spellStart"/>
      <w:r w:rsidR="001B0205" w:rsidRPr="00A66C72">
        <w:rPr>
          <w:lang w:val="ru-RU"/>
        </w:rPr>
        <w:t>биоте</w:t>
      </w:r>
      <w:proofErr w:type="spellEnd"/>
      <w:r w:rsidR="001B0205" w:rsidRPr="00A66C72">
        <w:rPr>
          <w:lang w:val="ru-RU"/>
        </w:rPr>
        <w:t xml:space="preserve"> и среди уязвимых групп населения,</w:t>
      </w:r>
      <w:r w:rsidR="008F0CC2" w:rsidRPr="00A66C72">
        <w:rPr>
          <w:lang w:val="ru-RU"/>
        </w:rPr>
        <w:t xml:space="preserve"> как это предусмотрено в пункте</w:t>
      </w:r>
      <w:r w:rsidR="008F0CC2" w:rsidRPr="002F17ED">
        <w:t> </w:t>
      </w:r>
      <w:r w:rsidR="008F0CC2" w:rsidRPr="00A66C72">
        <w:rPr>
          <w:lang w:val="ru-RU"/>
        </w:rPr>
        <w:t>2 статьи</w:t>
      </w:r>
      <w:r w:rsidR="008F0CC2" w:rsidRPr="002F17ED">
        <w:t> </w:t>
      </w:r>
      <w:r w:rsidR="001B0205" w:rsidRPr="00A66C72">
        <w:rPr>
          <w:lang w:val="ru-RU"/>
        </w:rPr>
        <w:t>22, включая справочную информа</w:t>
      </w:r>
      <w:r w:rsidR="00914402" w:rsidRPr="00A66C72">
        <w:rPr>
          <w:lang w:val="ru-RU"/>
        </w:rPr>
        <w:t>цию для оценки базовых уровней.</w:t>
      </w:r>
    </w:p>
    <w:p w14:paraId="1FEAA62E" w14:textId="3A8EE287" w:rsidR="00445DAD" w:rsidRPr="007C730B" w:rsidRDefault="00A66C72" w:rsidP="002F17ED">
      <w:pPr>
        <w:tabs>
          <w:tab w:val="clear" w:pos="1247"/>
          <w:tab w:val="clear" w:pos="1814"/>
          <w:tab w:val="clear" w:pos="2381"/>
          <w:tab w:val="clear" w:pos="2948"/>
          <w:tab w:val="clear" w:pos="3515"/>
        </w:tabs>
        <w:spacing w:after="120"/>
        <w:ind w:left="1247"/>
        <w:rPr>
          <w:lang w:val="ru-RU"/>
        </w:rPr>
      </w:pPr>
      <w:r w:rsidRPr="00A66C72">
        <w:rPr>
          <w:lang w:val="ru-RU"/>
        </w:rPr>
        <w:t>5.</w:t>
      </w:r>
      <w:r w:rsidRPr="00A66C72">
        <w:rPr>
          <w:lang w:val="ru-RU"/>
        </w:rPr>
        <w:tab/>
      </w:r>
      <w:r w:rsidR="00643B83" w:rsidRPr="00A66C72">
        <w:rPr>
          <w:lang w:val="ru-RU"/>
        </w:rPr>
        <w:t xml:space="preserve">Секретариат призвал представлять дополнительную информацию о данных мониторинга. </w:t>
      </w:r>
      <w:r w:rsidR="00643B83" w:rsidRPr="007C730B">
        <w:rPr>
          <w:lang w:val="ru-RU"/>
        </w:rPr>
        <w:t xml:space="preserve">Материалы были представлены восемью странами, одной региональной организацией экономической интеграции, Программой Организации Объединенных Наций по окружающей среде (ЮНЕП) и четырьмя неправительственными организациями. Материалы были скомпилированы и размещены в Интернете (см. </w:t>
      </w:r>
      <w:r w:rsidR="00643B83" w:rsidRPr="002F17ED">
        <w:t>www</w:t>
      </w:r>
      <w:r w:rsidR="00643B83" w:rsidRPr="007C730B">
        <w:rPr>
          <w:lang w:val="ru-RU"/>
        </w:rPr>
        <w:t>.</w:t>
      </w:r>
      <w:proofErr w:type="spellStart"/>
      <w:r w:rsidR="00643B83" w:rsidRPr="002F17ED">
        <w:t>mercuryconvention</w:t>
      </w:r>
      <w:proofErr w:type="spellEnd"/>
      <w:r w:rsidR="00643B83" w:rsidRPr="007C730B">
        <w:rPr>
          <w:lang w:val="ru-RU"/>
        </w:rPr>
        <w:t>.</w:t>
      </w:r>
      <w:r w:rsidR="00643B83" w:rsidRPr="002F17ED">
        <w:t>org</w:t>
      </w:r>
      <w:r w:rsidR="00643B83" w:rsidRPr="007C730B">
        <w:rPr>
          <w:lang w:val="ru-RU"/>
        </w:rPr>
        <w:t>/</w:t>
      </w:r>
      <w:r w:rsidR="00643B83" w:rsidRPr="002F17ED">
        <w:t>Negotiations</w:t>
      </w:r>
      <w:r w:rsidR="00444FE6" w:rsidRPr="007C730B">
        <w:rPr>
          <w:lang w:val="ru-RU"/>
        </w:rPr>
        <w:t>/</w:t>
      </w:r>
      <w:proofErr w:type="spellStart"/>
      <w:r w:rsidR="00444FE6" w:rsidRPr="002F17ED">
        <w:t>submissionsforCOP</w:t>
      </w:r>
      <w:proofErr w:type="spellEnd"/>
      <w:r w:rsidR="00444FE6" w:rsidRPr="007C730B">
        <w:rPr>
          <w:lang w:val="ru-RU"/>
        </w:rPr>
        <w:t>1/</w:t>
      </w:r>
      <w:proofErr w:type="spellStart"/>
      <w:r w:rsidR="00444FE6" w:rsidRPr="002F17ED">
        <w:t>tabid</w:t>
      </w:r>
      <w:proofErr w:type="spellEnd"/>
      <w:r w:rsidR="00444FE6" w:rsidRPr="007C730B">
        <w:rPr>
          <w:lang w:val="ru-RU"/>
        </w:rPr>
        <w:t>/5535).</w:t>
      </w:r>
    </w:p>
    <w:p w14:paraId="7F2AD581" w14:textId="19AB67BF" w:rsidR="00643B83" w:rsidRPr="007C730B" w:rsidRDefault="00A66C72" w:rsidP="002F17ED">
      <w:pPr>
        <w:tabs>
          <w:tab w:val="clear" w:pos="1247"/>
          <w:tab w:val="clear" w:pos="1814"/>
          <w:tab w:val="clear" w:pos="2381"/>
          <w:tab w:val="clear" w:pos="2948"/>
          <w:tab w:val="clear" w:pos="3515"/>
        </w:tabs>
        <w:spacing w:after="120"/>
        <w:ind w:left="1247"/>
        <w:rPr>
          <w:lang w:val="ru-RU"/>
        </w:rPr>
      </w:pPr>
      <w:r w:rsidRPr="00A66C72">
        <w:rPr>
          <w:lang w:val="ru-RU"/>
        </w:rPr>
        <w:t>6.</w:t>
      </w:r>
      <w:r w:rsidRPr="00A66C72">
        <w:rPr>
          <w:lang w:val="ru-RU"/>
        </w:rPr>
        <w:tab/>
      </w:r>
      <w:r w:rsidR="00643B83" w:rsidRPr="00A66C72">
        <w:rPr>
          <w:lang w:val="ru-RU"/>
        </w:rPr>
        <w:t>Секретариат подготовил проект плана работы в соответствии с просьбой, выраженной Комите</w:t>
      </w:r>
      <w:r w:rsidR="00444FE6" w:rsidRPr="00A66C72">
        <w:rPr>
          <w:lang w:val="ru-RU"/>
        </w:rPr>
        <w:t xml:space="preserve">том на его седьмой сессии (см. </w:t>
      </w:r>
      <w:r w:rsidR="00FA0466" w:rsidRPr="00FA0466">
        <w:rPr>
          <w:lang w:val="ru-RU"/>
        </w:rPr>
        <w:t>приложение</w:t>
      </w:r>
      <w:r w:rsidR="00FA0466" w:rsidRPr="002F17ED">
        <w:t> </w:t>
      </w:r>
      <w:r w:rsidR="00643B83" w:rsidRPr="002F17ED">
        <w:t>I</w:t>
      </w:r>
      <w:r w:rsidR="00643B83" w:rsidRPr="00FA0466">
        <w:rPr>
          <w:lang w:val="ru-RU"/>
        </w:rPr>
        <w:t xml:space="preserve">). </w:t>
      </w:r>
      <w:r w:rsidR="00643B83" w:rsidRPr="00030D09">
        <w:rPr>
          <w:lang w:val="ru-RU"/>
        </w:rPr>
        <w:t xml:space="preserve">Секретариат также подготовил доклад </w:t>
      </w:r>
      <w:proofErr w:type="gramStart"/>
      <w:r w:rsidR="00643B83" w:rsidRPr="00030D09">
        <w:rPr>
          <w:lang w:val="ru-RU"/>
        </w:rPr>
        <w:t>о формировании механизмов для Конференции Сторон по обеспечению ее сравнимыми данными мониторинга со ссылками д</w:t>
      </w:r>
      <w:r w:rsidR="008F0CC2" w:rsidRPr="00030D09">
        <w:rPr>
          <w:lang w:val="ru-RU"/>
        </w:rPr>
        <w:t>ля оценки</w:t>
      </w:r>
      <w:proofErr w:type="gramEnd"/>
      <w:r w:rsidR="008F0CC2" w:rsidRPr="00030D09">
        <w:rPr>
          <w:lang w:val="ru-RU"/>
        </w:rPr>
        <w:t xml:space="preserve"> базовых уровней (см. </w:t>
      </w:r>
      <w:r w:rsidR="00030D09" w:rsidRPr="00030D09">
        <w:rPr>
          <w:lang w:val="ru-RU"/>
        </w:rPr>
        <w:t>приложение</w:t>
      </w:r>
      <w:r w:rsidR="00030D09" w:rsidRPr="002F17ED">
        <w:t> </w:t>
      </w:r>
      <w:r w:rsidR="00643B83" w:rsidRPr="002F17ED">
        <w:t>II</w:t>
      </w:r>
      <w:r w:rsidR="00643B83" w:rsidRPr="00030D09">
        <w:rPr>
          <w:lang w:val="ru-RU"/>
        </w:rPr>
        <w:t xml:space="preserve">). </w:t>
      </w:r>
      <w:r w:rsidR="00643B83" w:rsidRPr="007C730B">
        <w:rPr>
          <w:lang w:val="ru-RU"/>
        </w:rPr>
        <w:t>Оба документа были размещены на веб-сайте с середины января, и правительствам и другим субъектам было предложено представить свои замеча</w:t>
      </w:r>
      <w:r w:rsidR="00444FE6" w:rsidRPr="007C730B">
        <w:rPr>
          <w:lang w:val="ru-RU"/>
        </w:rPr>
        <w:t>ния по первоначальным проектам.</w:t>
      </w:r>
    </w:p>
    <w:p w14:paraId="465ED684" w14:textId="26F2F959" w:rsidR="003B2CA0" w:rsidRPr="007C730B" w:rsidRDefault="00A66C72" w:rsidP="002F17ED">
      <w:pPr>
        <w:tabs>
          <w:tab w:val="clear" w:pos="1247"/>
          <w:tab w:val="clear" w:pos="1814"/>
          <w:tab w:val="clear" w:pos="2381"/>
          <w:tab w:val="clear" w:pos="2948"/>
          <w:tab w:val="clear" w:pos="3515"/>
        </w:tabs>
        <w:spacing w:after="120"/>
        <w:ind w:left="1247"/>
        <w:rPr>
          <w:lang w:val="ru-RU"/>
        </w:rPr>
      </w:pPr>
      <w:r w:rsidRPr="00A66C72">
        <w:rPr>
          <w:lang w:val="ru-RU"/>
        </w:rPr>
        <w:t>7.</w:t>
      </w:r>
      <w:r w:rsidRPr="00A66C72">
        <w:rPr>
          <w:lang w:val="ru-RU"/>
        </w:rPr>
        <w:tab/>
      </w:r>
      <w:r w:rsidR="001F09EB" w:rsidRPr="00A66C72">
        <w:rPr>
          <w:lang w:val="ru-RU"/>
        </w:rPr>
        <w:t>Оценка эффективности, которая должна быть проведена Конференцией Сторон, будет основана на всех элементах, о кото</w:t>
      </w:r>
      <w:r w:rsidR="008F0CC2" w:rsidRPr="00A66C72">
        <w:rPr>
          <w:lang w:val="ru-RU"/>
        </w:rPr>
        <w:t>рых говорится в пункте</w:t>
      </w:r>
      <w:r w:rsidR="008F0CC2" w:rsidRPr="002F17ED">
        <w:t> </w:t>
      </w:r>
      <w:r w:rsidR="008F0CC2" w:rsidRPr="00A66C72">
        <w:rPr>
          <w:lang w:val="ru-RU"/>
        </w:rPr>
        <w:t>3 статьи</w:t>
      </w:r>
      <w:r w:rsidR="008F0CC2" w:rsidRPr="002F17ED">
        <w:t> </w:t>
      </w:r>
      <w:r w:rsidR="001F09EB" w:rsidRPr="00A66C72">
        <w:rPr>
          <w:lang w:val="ru-RU"/>
        </w:rPr>
        <w:t xml:space="preserve">22. </w:t>
      </w:r>
      <w:r w:rsidR="001F09EB" w:rsidRPr="007C730B">
        <w:rPr>
          <w:lang w:val="ru-RU"/>
        </w:rPr>
        <w:t>Вместе с тем следует отметить, что в соответствии с решением, принятым Комитетом на его седьмой сессии, в проекте плана работы основное внимание уделяется формированию механизмов для предоставления сравнимых данных мониторинга. Он охватывает период между первым и вторым совещаниями Конференции Сторон и, в то время как в нем</w:t>
      </w:r>
      <w:r w:rsidR="00444FE6" w:rsidRPr="007C730B">
        <w:rPr>
          <w:lang w:val="ru-RU"/>
        </w:rPr>
        <w:t xml:space="preserve"> предлагается в скорейшие сроки</w:t>
      </w:r>
      <w:r w:rsidR="001F09EB" w:rsidRPr="007C730B">
        <w:rPr>
          <w:lang w:val="ru-RU"/>
        </w:rPr>
        <w:t xml:space="preserve"> рассмотреть процесс сбора другой информации, чтобы обеспечить взаимодополняющий характер процессов, в нем не рассматривается последующая методологи</w:t>
      </w:r>
      <w:r w:rsidR="00FA0466">
        <w:rPr>
          <w:lang w:val="ru-RU"/>
        </w:rPr>
        <w:t>я</w:t>
      </w:r>
      <w:r w:rsidR="001F09EB" w:rsidRPr="007C730B">
        <w:rPr>
          <w:lang w:val="ru-RU"/>
        </w:rPr>
        <w:t xml:space="preserve"> проведения фактической оценки эффективности. Это вопрос для дальнейшего рассмотрения Конферен</w:t>
      </w:r>
      <w:r w:rsidR="00444FE6" w:rsidRPr="007C730B">
        <w:rPr>
          <w:lang w:val="ru-RU"/>
        </w:rPr>
        <w:t>цией Сторон, как и создание, по</w:t>
      </w:r>
      <w:r w:rsidR="001F09EB" w:rsidRPr="007C730B">
        <w:rPr>
          <w:lang w:val="ru-RU"/>
        </w:rPr>
        <w:t xml:space="preserve"> необходимости, групп экспертов и разработка планов работы для любых таких групп. Элементы процедуры, используемой для оценки эффективности, проводимой в рамках Стокгольмской конвенции о стойких органических загрязнителях, могут быть полезными при формировании меха</w:t>
      </w:r>
      <w:r w:rsidR="00444FE6" w:rsidRPr="007C730B">
        <w:rPr>
          <w:lang w:val="ru-RU"/>
        </w:rPr>
        <w:t>низма для оценки эффективности.</w:t>
      </w:r>
    </w:p>
    <w:p w14:paraId="39B0BF54" w14:textId="36893490" w:rsidR="00312543" w:rsidRPr="00030D09" w:rsidRDefault="008908B6" w:rsidP="002F17ED">
      <w:pPr>
        <w:tabs>
          <w:tab w:val="clear" w:pos="1247"/>
          <w:tab w:val="clear" w:pos="1814"/>
          <w:tab w:val="clear" w:pos="2381"/>
          <w:tab w:val="clear" w:pos="2948"/>
          <w:tab w:val="clear" w:pos="3515"/>
        </w:tabs>
        <w:spacing w:after="120"/>
        <w:ind w:left="1247"/>
        <w:rPr>
          <w:b/>
          <w:lang w:val="ru-RU"/>
        </w:rPr>
      </w:pPr>
      <w:r w:rsidRPr="007C730B">
        <w:rPr>
          <w:b/>
          <w:lang w:val="ru-RU"/>
        </w:rPr>
        <w:tab/>
      </w:r>
      <w:r w:rsidRPr="00030D09">
        <w:rPr>
          <w:b/>
          <w:lang w:val="ru-RU"/>
        </w:rPr>
        <w:t>Предлагаемые меры для принятия Конференцией Сторон</w:t>
      </w:r>
    </w:p>
    <w:p w14:paraId="39EB6D61" w14:textId="7E40FE7E" w:rsidR="001F03FA" w:rsidRPr="00030D09" w:rsidRDefault="00030D09" w:rsidP="002F17ED">
      <w:pPr>
        <w:tabs>
          <w:tab w:val="clear" w:pos="1247"/>
          <w:tab w:val="clear" w:pos="1814"/>
          <w:tab w:val="clear" w:pos="2381"/>
          <w:tab w:val="clear" w:pos="2948"/>
          <w:tab w:val="clear" w:pos="3515"/>
        </w:tabs>
        <w:spacing w:after="120"/>
        <w:ind w:left="1247"/>
        <w:rPr>
          <w:lang w:val="ru-RU"/>
        </w:rPr>
      </w:pPr>
      <w:r w:rsidRPr="00030D09">
        <w:rPr>
          <w:lang w:val="ru-RU"/>
        </w:rPr>
        <w:t>8.</w:t>
      </w:r>
      <w:r w:rsidRPr="00030D09">
        <w:rPr>
          <w:lang w:val="ru-RU"/>
        </w:rPr>
        <w:tab/>
      </w:r>
      <w:r w:rsidR="00312543" w:rsidRPr="00030D09">
        <w:rPr>
          <w:lang w:val="ru-RU"/>
        </w:rPr>
        <w:t xml:space="preserve">Конференция Сторон, возможно, пожелает рассмотреть проект плана работы и постановить использовать его в процедуре разработки сравнимых данных мониторинга для содействия оценке эффективности </w:t>
      </w:r>
      <w:proofErr w:type="spellStart"/>
      <w:r w:rsidR="00312543" w:rsidRPr="00030D09">
        <w:rPr>
          <w:lang w:val="ru-RU"/>
        </w:rPr>
        <w:t>Минаматской</w:t>
      </w:r>
      <w:proofErr w:type="spellEnd"/>
      <w:r w:rsidR="00312543" w:rsidRPr="00030D09">
        <w:rPr>
          <w:lang w:val="ru-RU"/>
        </w:rPr>
        <w:t xml:space="preserve"> конвенции о ртути. При разработке этой процедуры Конференция Сторон, возможно, пожелает испо</w:t>
      </w:r>
      <w:r w:rsidR="00444FE6" w:rsidRPr="00030D09">
        <w:rPr>
          <w:lang w:val="ru-RU"/>
        </w:rPr>
        <w:t xml:space="preserve">льзовать доклад, приведенный в </w:t>
      </w:r>
      <w:r w:rsidRPr="00030D09">
        <w:rPr>
          <w:lang w:val="ru-RU"/>
        </w:rPr>
        <w:t xml:space="preserve">приложении </w:t>
      </w:r>
      <w:r w:rsidR="00444FE6" w:rsidRPr="002F17ED">
        <w:t>II</w:t>
      </w:r>
      <w:r w:rsidR="00444FE6" w:rsidRPr="00030D09">
        <w:rPr>
          <w:lang w:val="ru-RU"/>
        </w:rPr>
        <w:t xml:space="preserve"> к настоящей записке.</w:t>
      </w:r>
    </w:p>
    <w:p w14:paraId="4CA8C664" w14:textId="79B64E7A" w:rsidR="00914402" w:rsidRPr="00030D09" w:rsidRDefault="00030D09" w:rsidP="002F17ED">
      <w:pPr>
        <w:tabs>
          <w:tab w:val="clear" w:pos="1247"/>
          <w:tab w:val="clear" w:pos="1814"/>
          <w:tab w:val="clear" w:pos="2381"/>
          <w:tab w:val="clear" w:pos="2948"/>
          <w:tab w:val="clear" w:pos="3515"/>
        </w:tabs>
        <w:spacing w:after="120"/>
        <w:ind w:left="1247"/>
        <w:rPr>
          <w:lang w:val="ru-RU"/>
        </w:rPr>
      </w:pPr>
      <w:r w:rsidRPr="00030D09">
        <w:rPr>
          <w:lang w:val="ru-RU"/>
        </w:rPr>
        <w:t>9.</w:t>
      </w:r>
      <w:r w:rsidRPr="00030D09">
        <w:rPr>
          <w:lang w:val="ru-RU"/>
        </w:rPr>
        <w:tab/>
      </w:r>
      <w:r w:rsidR="00420202" w:rsidRPr="00030D09">
        <w:rPr>
          <w:lang w:val="ru-RU"/>
        </w:rPr>
        <w:t>Конференция Сторон, возможно, также пожелает рассмотреть процедуру для сбор</w:t>
      </w:r>
      <w:r w:rsidR="00444FE6" w:rsidRPr="00030D09">
        <w:rPr>
          <w:lang w:val="ru-RU"/>
        </w:rPr>
        <w:t>а другой информации, указанной</w:t>
      </w:r>
      <w:r w:rsidR="008F0CC2" w:rsidRPr="00030D09">
        <w:rPr>
          <w:lang w:val="ru-RU"/>
        </w:rPr>
        <w:t xml:space="preserve"> в пункте</w:t>
      </w:r>
      <w:r w:rsidR="008F0CC2" w:rsidRPr="002F17ED">
        <w:t> </w:t>
      </w:r>
      <w:r w:rsidR="008F0CC2" w:rsidRPr="00030D09">
        <w:rPr>
          <w:lang w:val="ru-RU"/>
        </w:rPr>
        <w:t>3 статьи</w:t>
      </w:r>
      <w:r w:rsidR="008F0CC2" w:rsidRPr="002F17ED">
        <w:t> </w:t>
      </w:r>
      <w:r w:rsidR="00420202" w:rsidRPr="00030D09">
        <w:rPr>
          <w:lang w:val="ru-RU"/>
        </w:rPr>
        <w:t>22, и для оценки реальной эффективности для обеспечения взаимод</w:t>
      </w:r>
      <w:r w:rsidR="00444FE6" w:rsidRPr="00030D09">
        <w:rPr>
          <w:lang w:val="ru-RU"/>
        </w:rPr>
        <w:t>ополняющего характера процедур.</w:t>
      </w:r>
    </w:p>
    <w:p w14:paraId="24A0F1B4" w14:textId="2EC75B21" w:rsidR="00312543" w:rsidRPr="00030D09" w:rsidRDefault="00914402" w:rsidP="002F17ED">
      <w:pPr>
        <w:tabs>
          <w:tab w:val="clear" w:pos="1247"/>
          <w:tab w:val="clear" w:pos="1814"/>
          <w:tab w:val="clear" w:pos="2381"/>
          <w:tab w:val="clear" w:pos="2948"/>
          <w:tab w:val="clear" w:pos="3515"/>
        </w:tabs>
        <w:spacing w:after="120"/>
        <w:ind w:left="1247"/>
        <w:rPr>
          <w:lang w:val="ru-RU"/>
        </w:rPr>
      </w:pPr>
      <w:r w:rsidRPr="00030D09">
        <w:rPr>
          <w:lang w:val="ru-RU"/>
        </w:rPr>
        <w:br w:type="page"/>
      </w:r>
    </w:p>
    <w:p w14:paraId="0C72DAF7" w14:textId="71059F7C" w:rsidR="008908B6" w:rsidRPr="007C730B" w:rsidRDefault="00030D09" w:rsidP="00030D09">
      <w:pPr>
        <w:tabs>
          <w:tab w:val="clear" w:pos="1247"/>
          <w:tab w:val="clear" w:pos="1814"/>
          <w:tab w:val="clear" w:pos="2381"/>
          <w:tab w:val="clear" w:pos="2948"/>
          <w:tab w:val="clear" w:pos="3515"/>
        </w:tabs>
        <w:spacing w:after="240"/>
        <w:rPr>
          <w:b/>
          <w:sz w:val="28"/>
          <w:szCs w:val="28"/>
          <w:lang w:val="ru-RU"/>
        </w:rPr>
      </w:pPr>
      <w:r w:rsidRPr="007C730B">
        <w:rPr>
          <w:b/>
          <w:sz w:val="28"/>
          <w:szCs w:val="28"/>
          <w:lang w:val="ru-RU"/>
        </w:rPr>
        <w:lastRenderedPageBreak/>
        <w:t xml:space="preserve">Приложение </w:t>
      </w:r>
      <w:r>
        <w:rPr>
          <w:b/>
          <w:sz w:val="28"/>
          <w:szCs w:val="28"/>
        </w:rPr>
        <w:t>I</w:t>
      </w:r>
    </w:p>
    <w:p w14:paraId="01CFD21C" w14:textId="34738D08" w:rsidR="00312543" w:rsidRPr="007C730B" w:rsidRDefault="00D7265E" w:rsidP="002F17ED">
      <w:pPr>
        <w:tabs>
          <w:tab w:val="clear" w:pos="1247"/>
          <w:tab w:val="clear" w:pos="1814"/>
          <w:tab w:val="clear" w:pos="2381"/>
          <w:tab w:val="clear" w:pos="2948"/>
          <w:tab w:val="clear" w:pos="3515"/>
        </w:tabs>
        <w:spacing w:after="120"/>
        <w:ind w:left="1247"/>
        <w:rPr>
          <w:b/>
          <w:sz w:val="28"/>
          <w:szCs w:val="28"/>
          <w:lang w:val="ru-RU"/>
        </w:rPr>
      </w:pPr>
      <w:r w:rsidRPr="007C730B">
        <w:rPr>
          <w:b/>
          <w:sz w:val="28"/>
          <w:szCs w:val="28"/>
          <w:lang w:val="ru-RU"/>
        </w:rPr>
        <w:t>Проект плана работы</w:t>
      </w:r>
      <w:r w:rsidR="008F0CC2" w:rsidRPr="007C730B">
        <w:rPr>
          <w:b/>
          <w:sz w:val="28"/>
          <w:szCs w:val="28"/>
          <w:lang w:val="ru-RU"/>
        </w:rPr>
        <w:t xml:space="preserve"> в отношении пункта</w:t>
      </w:r>
      <w:r w:rsidR="008F0CC2" w:rsidRPr="00030D09">
        <w:rPr>
          <w:b/>
          <w:sz w:val="28"/>
          <w:szCs w:val="28"/>
        </w:rPr>
        <w:t> </w:t>
      </w:r>
      <w:r w:rsidR="008F0CC2" w:rsidRPr="007C730B">
        <w:rPr>
          <w:b/>
          <w:sz w:val="28"/>
          <w:szCs w:val="28"/>
          <w:lang w:val="ru-RU"/>
        </w:rPr>
        <w:t>2 статьи</w:t>
      </w:r>
      <w:r w:rsidR="008F0CC2" w:rsidRPr="00030D09">
        <w:rPr>
          <w:b/>
          <w:sz w:val="28"/>
          <w:szCs w:val="28"/>
        </w:rPr>
        <w:t> </w:t>
      </w:r>
      <w:r w:rsidRPr="007C730B">
        <w:rPr>
          <w:b/>
          <w:sz w:val="28"/>
          <w:szCs w:val="28"/>
          <w:lang w:val="ru-RU"/>
        </w:rPr>
        <w:t>22</w:t>
      </w:r>
    </w:p>
    <w:p w14:paraId="1CBC1F3E" w14:textId="50201B39" w:rsidR="00D7265E" w:rsidRPr="00030D09" w:rsidRDefault="00030D09" w:rsidP="002F17ED">
      <w:pPr>
        <w:tabs>
          <w:tab w:val="clear" w:pos="1247"/>
          <w:tab w:val="clear" w:pos="1814"/>
          <w:tab w:val="clear" w:pos="2381"/>
          <w:tab w:val="clear" w:pos="2948"/>
          <w:tab w:val="clear" w:pos="3515"/>
        </w:tabs>
        <w:spacing w:after="120"/>
        <w:ind w:left="1247"/>
        <w:rPr>
          <w:lang w:val="ru-RU"/>
        </w:rPr>
      </w:pPr>
      <w:r w:rsidRPr="00030D09">
        <w:rPr>
          <w:lang w:val="ru-RU"/>
        </w:rPr>
        <w:t>1.</w:t>
      </w:r>
      <w:r w:rsidRPr="00030D09">
        <w:rPr>
          <w:lang w:val="ru-RU"/>
        </w:rPr>
        <w:tab/>
      </w:r>
      <w:r w:rsidR="00D7265E" w:rsidRPr="00030D09">
        <w:rPr>
          <w:lang w:val="ru-RU"/>
        </w:rPr>
        <w:t xml:space="preserve">Временный секретариат </w:t>
      </w:r>
      <w:proofErr w:type="spellStart"/>
      <w:r w:rsidR="00D7265E" w:rsidRPr="00030D09">
        <w:rPr>
          <w:lang w:val="ru-RU"/>
        </w:rPr>
        <w:t>Минаматской</w:t>
      </w:r>
      <w:proofErr w:type="spellEnd"/>
      <w:r w:rsidR="00D7265E" w:rsidRPr="00030D09">
        <w:rPr>
          <w:lang w:val="ru-RU"/>
        </w:rPr>
        <w:t xml:space="preserve"> конвенции о ртути, в консультации с национальными правительствами, региональными и субрегиональными программами и партнерствами в области мониторинга, Всемирной организацией здравоохранения, региональными представителями, региональными и национальными учреждениями, научным сообществом, промышленными кругами, гражданским обществом и другими субъектами, разработал проект плана работы в соответствии с просьбой, выраженной на седьмой сессии </w:t>
      </w:r>
      <w:r w:rsidR="008367EF" w:rsidRPr="0069606C">
        <w:rPr>
          <w:lang w:val="ru-RU"/>
        </w:rPr>
        <w:t>Межправительственн</w:t>
      </w:r>
      <w:r w:rsidR="008367EF">
        <w:rPr>
          <w:lang w:val="ru-RU"/>
        </w:rPr>
        <w:t>ого</w:t>
      </w:r>
      <w:r w:rsidR="008367EF" w:rsidRPr="0069606C">
        <w:rPr>
          <w:lang w:val="ru-RU"/>
        </w:rPr>
        <w:t xml:space="preserve"> комитет</w:t>
      </w:r>
      <w:r w:rsidR="008367EF">
        <w:rPr>
          <w:lang w:val="ru-RU"/>
        </w:rPr>
        <w:t>а</w:t>
      </w:r>
      <w:r w:rsidR="008367EF" w:rsidRPr="0069606C">
        <w:rPr>
          <w:lang w:val="ru-RU"/>
        </w:rPr>
        <w:t xml:space="preserve"> для ведения </w:t>
      </w:r>
      <w:proofErr w:type="gramStart"/>
      <w:r w:rsidR="008367EF" w:rsidRPr="0069606C">
        <w:rPr>
          <w:lang w:val="ru-RU"/>
        </w:rPr>
        <w:t>переговоров</w:t>
      </w:r>
      <w:proofErr w:type="gramEnd"/>
      <w:r w:rsidR="008367EF" w:rsidRPr="0069606C">
        <w:rPr>
          <w:lang w:val="ru-RU"/>
        </w:rPr>
        <w:t xml:space="preserve"> по подготовке имеющего обязательную юридическую силу глобального документа по ртути</w:t>
      </w:r>
      <w:r w:rsidR="00D7265E" w:rsidRPr="00030D09">
        <w:rPr>
          <w:lang w:val="ru-RU"/>
        </w:rPr>
        <w:t>. Проект плана работы включает в себя:</w:t>
      </w:r>
    </w:p>
    <w:p w14:paraId="7807414C" w14:textId="68DE599C" w:rsidR="00D7265E" w:rsidRPr="00914402" w:rsidRDefault="00444FE6" w:rsidP="00030D09">
      <w:pPr>
        <w:pStyle w:val="Normalnumber"/>
        <w:numPr>
          <w:ilvl w:val="0"/>
          <w:numId w:val="114"/>
        </w:numPr>
        <w:tabs>
          <w:tab w:val="clear" w:pos="624"/>
          <w:tab w:val="clear" w:pos="1134"/>
        </w:tabs>
        <w:ind w:left="2495" w:hanging="624"/>
        <w:rPr>
          <w:lang w:val="ru-RU"/>
        </w:rPr>
      </w:pPr>
      <w:r>
        <w:rPr>
          <w:lang w:val="ru-RU"/>
        </w:rPr>
        <w:t>п</w:t>
      </w:r>
      <w:r w:rsidR="00FC4B57">
        <w:rPr>
          <w:lang w:val="ru-RU"/>
        </w:rPr>
        <w:t>роцедуру для определения типов данных, которые могут сравниваться на региональной основе, а также их наличия</w:t>
      </w:r>
      <w:r w:rsidR="00583A83" w:rsidRPr="00583A83">
        <w:rPr>
          <w:lang w:val="ru-RU"/>
        </w:rPr>
        <w:t>;</w:t>
      </w:r>
    </w:p>
    <w:p w14:paraId="49610528" w14:textId="3520AD1C" w:rsidR="00D7265E" w:rsidRPr="00914402" w:rsidRDefault="00444FE6" w:rsidP="00030D09">
      <w:pPr>
        <w:pStyle w:val="Normalnumber"/>
        <w:numPr>
          <w:ilvl w:val="0"/>
          <w:numId w:val="114"/>
        </w:numPr>
        <w:tabs>
          <w:tab w:val="clear" w:pos="624"/>
          <w:tab w:val="clear" w:pos="1134"/>
        </w:tabs>
        <w:ind w:left="2495" w:hanging="624"/>
        <w:rPr>
          <w:lang w:val="ru-RU"/>
        </w:rPr>
      </w:pPr>
      <w:r>
        <w:rPr>
          <w:lang w:val="ru-RU"/>
        </w:rPr>
        <w:t>с</w:t>
      </w:r>
      <w:r w:rsidR="00FC4B57">
        <w:rPr>
          <w:lang w:val="ru-RU"/>
        </w:rPr>
        <w:t>оздание рамок для глобального подхода к мониторингу для интеграции сравнимых результатов мониторинга в будущем, который страны и заинтересованные стороны могут пожелать проводить</w:t>
      </w:r>
      <w:r w:rsidR="00583A83" w:rsidRPr="00583A83">
        <w:rPr>
          <w:lang w:val="ru-RU"/>
        </w:rPr>
        <w:t>;</w:t>
      </w:r>
    </w:p>
    <w:p w14:paraId="2A0FB5CF" w14:textId="419DD32E" w:rsidR="00D7265E" w:rsidRPr="00914402" w:rsidRDefault="00444FE6" w:rsidP="00030D09">
      <w:pPr>
        <w:pStyle w:val="Normalnumber"/>
        <w:numPr>
          <w:ilvl w:val="0"/>
          <w:numId w:val="114"/>
        </w:numPr>
        <w:tabs>
          <w:tab w:val="clear" w:pos="624"/>
          <w:tab w:val="clear" w:pos="1134"/>
        </w:tabs>
        <w:ind w:left="2495" w:hanging="624"/>
        <w:rPr>
          <w:lang w:val="ru-RU"/>
        </w:rPr>
      </w:pPr>
      <w:r>
        <w:rPr>
          <w:lang w:val="ru-RU"/>
        </w:rPr>
        <w:t>р</w:t>
      </w:r>
      <w:r w:rsidR="00FC4B57">
        <w:rPr>
          <w:lang w:val="ru-RU"/>
        </w:rPr>
        <w:t>азработку проекта стратегии для сведения отчетности и других сведений мониторинга, которые могут использоваться при оценке эффективности Конвенции</w:t>
      </w:r>
      <w:r w:rsidR="00583A83" w:rsidRPr="00583A83">
        <w:rPr>
          <w:lang w:val="ru-RU"/>
        </w:rPr>
        <w:t>.</w:t>
      </w:r>
    </w:p>
    <w:p w14:paraId="37BE9DB7" w14:textId="5EBB548A" w:rsidR="00D7265E" w:rsidRPr="00583A83" w:rsidRDefault="00583A83" w:rsidP="002F17ED">
      <w:pPr>
        <w:tabs>
          <w:tab w:val="clear" w:pos="1247"/>
          <w:tab w:val="clear" w:pos="1814"/>
          <w:tab w:val="clear" w:pos="2381"/>
          <w:tab w:val="clear" w:pos="2948"/>
          <w:tab w:val="clear" w:pos="3515"/>
        </w:tabs>
        <w:spacing w:after="120"/>
        <w:ind w:left="1247"/>
        <w:rPr>
          <w:lang w:val="ru-RU"/>
        </w:rPr>
      </w:pPr>
      <w:r w:rsidRPr="00583A83">
        <w:rPr>
          <w:lang w:val="ru-RU"/>
        </w:rPr>
        <w:t>2.</w:t>
      </w:r>
      <w:r w:rsidRPr="00583A83">
        <w:rPr>
          <w:lang w:val="ru-RU"/>
        </w:rPr>
        <w:tab/>
      </w:r>
      <w:r w:rsidR="00516F04" w:rsidRPr="00583A83">
        <w:rPr>
          <w:lang w:val="ru-RU"/>
        </w:rPr>
        <w:t>В проекте плана работы излагаются мероприятия, которые могут быть проведены после первого совещания Конференции Сторон, при условии согласия на эти мероприятия и наличия финансовых и других ресурсов.</w:t>
      </w:r>
    </w:p>
    <w:p w14:paraId="26B55551" w14:textId="53A72140" w:rsidR="00D7265E" w:rsidRPr="00583A83" w:rsidRDefault="00583A83" w:rsidP="002F17ED">
      <w:pPr>
        <w:tabs>
          <w:tab w:val="clear" w:pos="1247"/>
          <w:tab w:val="clear" w:pos="1814"/>
          <w:tab w:val="clear" w:pos="2381"/>
          <w:tab w:val="clear" w:pos="2948"/>
          <w:tab w:val="clear" w:pos="3515"/>
        </w:tabs>
        <w:spacing w:after="120"/>
        <w:ind w:left="1247"/>
        <w:rPr>
          <w:lang w:val="ru-RU"/>
        </w:rPr>
      </w:pPr>
      <w:r w:rsidRPr="00583A83">
        <w:rPr>
          <w:lang w:val="ru-RU"/>
        </w:rPr>
        <w:t>3.</w:t>
      </w:r>
      <w:r w:rsidRPr="00583A83">
        <w:rPr>
          <w:lang w:val="ru-RU"/>
        </w:rPr>
        <w:tab/>
      </w:r>
      <w:r w:rsidR="00D7265E" w:rsidRPr="00583A83">
        <w:rPr>
          <w:lang w:val="ru-RU"/>
        </w:rPr>
        <w:t xml:space="preserve">С учетом масштаба предстоящей работы и при признании необходимости вклада экспертов в некоторых областях, предлагается следующий план работы. </w:t>
      </w:r>
    </w:p>
    <w:tbl>
      <w:tblPr>
        <w:tblW w:w="4297" w:type="pct"/>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
      <w:tblGrid>
        <w:gridCol w:w="6519"/>
        <w:gridCol w:w="1779"/>
      </w:tblGrid>
      <w:tr w:rsidR="00D7265E" w:rsidRPr="00D7265E" w14:paraId="7E1EE86B" w14:textId="77777777" w:rsidTr="003A29CA">
        <w:trPr>
          <w:trHeight w:val="20"/>
          <w:tblHeader/>
          <w:jc w:val="right"/>
        </w:trPr>
        <w:tc>
          <w:tcPr>
            <w:tcW w:w="6519" w:type="dxa"/>
            <w:tcBorders>
              <w:top w:val="single" w:sz="4" w:space="0" w:color="000000"/>
              <w:left w:val="nil"/>
              <w:bottom w:val="single" w:sz="12" w:space="0" w:color="000000"/>
              <w:right w:val="nil"/>
            </w:tcBorders>
            <w:tcMar>
              <w:top w:w="80" w:type="dxa"/>
              <w:left w:w="80" w:type="dxa"/>
              <w:bottom w:w="80" w:type="dxa"/>
              <w:right w:w="80" w:type="dxa"/>
            </w:tcMar>
          </w:tcPr>
          <w:p w14:paraId="1596C41E" w14:textId="77777777" w:rsidR="00D7265E" w:rsidRPr="00B453EF" w:rsidRDefault="00D7265E" w:rsidP="00E40C32">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rPr>
                <w:sz w:val="18"/>
              </w:rPr>
            </w:pPr>
            <w:proofErr w:type="spellStart"/>
            <w:r w:rsidRPr="00914402">
              <w:rPr>
                <w:rStyle w:val="Hyperlink0"/>
                <w:i/>
                <w:sz w:val="18"/>
              </w:rPr>
              <w:t>Мероприятие</w:t>
            </w:r>
            <w:proofErr w:type="spellEnd"/>
          </w:p>
        </w:tc>
        <w:tc>
          <w:tcPr>
            <w:tcW w:w="1779" w:type="dxa"/>
            <w:tcBorders>
              <w:top w:val="single" w:sz="4" w:space="0" w:color="000000"/>
              <w:left w:val="nil"/>
              <w:bottom w:val="single" w:sz="12" w:space="0" w:color="000000"/>
              <w:right w:val="nil"/>
            </w:tcBorders>
            <w:tcMar>
              <w:top w:w="80" w:type="dxa"/>
              <w:left w:w="80" w:type="dxa"/>
              <w:bottom w:w="80" w:type="dxa"/>
              <w:right w:w="80" w:type="dxa"/>
            </w:tcMar>
          </w:tcPr>
          <w:p w14:paraId="53EE7582" w14:textId="6848A164" w:rsidR="00D7265E" w:rsidRPr="00B453EF" w:rsidRDefault="00D7265E" w:rsidP="00E40C32">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rPr>
                <w:sz w:val="18"/>
              </w:rPr>
            </w:pPr>
            <w:proofErr w:type="spellStart"/>
            <w:r w:rsidRPr="00914402">
              <w:rPr>
                <w:rStyle w:val="Hyperlink0"/>
                <w:i/>
                <w:sz w:val="18"/>
              </w:rPr>
              <w:t>Сроки</w:t>
            </w:r>
            <w:proofErr w:type="spellEnd"/>
          </w:p>
        </w:tc>
      </w:tr>
      <w:tr w:rsidR="00D7265E" w:rsidRPr="00D7265E" w14:paraId="4813537C" w14:textId="77777777" w:rsidTr="003A29CA">
        <w:trPr>
          <w:trHeight w:val="20"/>
          <w:jc w:val="right"/>
        </w:trPr>
        <w:tc>
          <w:tcPr>
            <w:tcW w:w="6519" w:type="dxa"/>
            <w:tcBorders>
              <w:top w:val="single" w:sz="12" w:space="0" w:color="000000"/>
              <w:left w:val="nil"/>
              <w:bottom w:val="nil"/>
              <w:right w:val="nil"/>
            </w:tcBorders>
            <w:tcMar>
              <w:top w:w="80" w:type="dxa"/>
              <w:left w:w="80" w:type="dxa"/>
              <w:bottom w:w="80" w:type="dxa"/>
              <w:right w:w="80" w:type="dxa"/>
            </w:tcMar>
          </w:tcPr>
          <w:p w14:paraId="02C75C2B" w14:textId="2D5A36C3" w:rsidR="00D7265E" w:rsidRPr="006C6984" w:rsidRDefault="006C6984" w:rsidP="006C6984">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rPr>
                <w:rStyle w:val="Hyperlink0"/>
                <w:lang w:val="ru-RU"/>
              </w:rPr>
            </w:pPr>
            <w:r>
              <w:rPr>
                <w:rStyle w:val="Hyperlink0"/>
                <w:sz w:val="18"/>
                <w:lang w:val="ru-RU"/>
              </w:rPr>
              <w:t>Конференция</w:t>
            </w:r>
            <w:r w:rsidR="00D7265E" w:rsidRPr="003B0180">
              <w:rPr>
                <w:rStyle w:val="Hyperlink0"/>
                <w:sz w:val="18"/>
                <w:lang w:val="ru-RU"/>
              </w:rPr>
              <w:t xml:space="preserve"> Сторон</w:t>
            </w:r>
            <w:r>
              <w:rPr>
                <w:rStyle w:val="Hyperlink0"/>
                <w:sz w:val="18"/>
                <w:lang w:val="ru-RU"/>
              </w:rPr>
              <w:t xml:space="preserve"> на своем</w:t>
            </w:r>
            <w:r w:rsidR="00D7265E" w:rsidRPr="003B0180">
              <w:rPr>
                <w:rStyle w:val="Hyperlink0"/>
                <w:sz w:val="18"/>
                <w:lang w:val="ru-RU"/>
              </w:rPr>
              <w:t xml:space="preserve"> </w:t>
            </w:r>
            <w:r>
              <w:rPr>
                <w:rStyle w:val="Hyperlink0"/>
                <w:sz w:val="18"/>
                <w:lang w:val="ru-RU"/>
              </w:rPr>
              <w:t>первом совещании</w:t>
            </w:r>
            <w:r w:rsidRPr="003B0180">
              <w:rPr>
                <w:rStyle w:val="Hyperlink0"/>
                <w:sz w:val="18"/>
                <w:lang w:val="ru-RU"/>
              </w:rPr>
              <w:t xml:space="preserve"> </w:t>
            </w:r>
            <w:r w:rsidR="00D7265E" w:rsidRPr="003B0180">
              <w:rPr>
                <w:rStyle w:val="Hyperlink0"/>
                <w:sz w:val="18"/>
                <w:lang w:val="ru-RU"/>
              </w:rPr>
              <w:t xml:space="preserve">устанавливает процедуру для начала формирования механизмов, которые обеспечат предоставление сравнимых данных мониторинга ртути Конференции для своевременной оценки эффективности Конвенции, начиная не позднее чем через шесть лет после даты вступления в силу Конвенции. </w:t>
            </w:r>
            <w:r w:rsidR="00D7265E" w:rsidRPr="006C6984">
              <w:rPr>
                <w:rStyle w:val="Hyperlink0"/>
                <w:sz w:val="18"/>
                <w:lang w:val="ru-RU"/>
              </w:rPr>
              <w:t xml:space="preserve">Элементы этой процедуры изложены в плане работы. </w:t>
            </w:r>
          </w:p>
        </w:tc>
        <w:tc>
          <w:tcPr>
            <w:tcW w:w="1779" w:type="dxa"/>
            <w:tcBorders>
              <w:top w:val="single" w:sz="12" w:space="0" w:color="000000"/>
              <w:left w:val="nil"/>
              <w:bottom w:val="nil"/>
              <w:right w:val="nil"/>
            </w:tcBorders>
            <w:tcMar>
              <w:top w:w="80" w:type="dxa"/>
              <w:left w:w="80" w:type="dxa"/>
              <w:bottom w:w="80" w:type="dxa"/>
              <w:right w:w="80" w:type="dxa"/>
            </w:tcMar>
          </w:tcPr>
          <w:p w14:paraId="35278483" w14:textId="77777777" w:rsidR="00D7265E" w:rsidRPr="00914402" w:rsidRDefault="00D7265E" w:rsidP="00E40C32">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rPr>
                <w:rStyle w:val="Hyperlink0"/>
              </w:rPr>
            </w:pPr>
            <w:proofErr w:type="spellStart"/>
            <w:r w:rsidRPr="00914402">
              <w:rPr>
                <w:rStyle w:val="Hyperlink0"/>
                <w:sz w:val="18"/>
              </w:rPr>
              <w:t>Сентябрь</w:t>
            </w:r>
            <w:proofErr w:type="spellEnd"/>
            <w:r w:rsidRPr="00914402">
              <w:rPr>
                <w:rStyle w:val="Hyperlink0"/>
                <w:sz w:val="18"/>
              </w:rPr>
              <w:t xml:space="preserve"> 2017 </w:t>
            </w:r>
            <w:proofErr w:type="spellStart"/>
            <w:r w:rsidRPr="00914402">
              <w:rPr>
                <w:rStyle w:val="Hyperlink0"/>
                <w:sz w:val="18"/>
              </w:rPr>
              <w:t>года</w:t>
            </w:r>
            <w:proofErr w:type="spellEnd"/>
          </w:p>
        </w:tc>
      </w:tr>
      <w:tr w:rsidR="00D7265E" w:rsidRPr="00D7265E" w14:paraId="5D86798C" w14:textId="77777777" w:rsidTr="003A29CA">
        <w:trPr>
          <w:trHeight w:val="20"/>
          <w:jc w:val="right"/>
        </w:trPr>
        <w:tc>
          <w:tcPr>
            <w:tcW w:w="6519" w:type="dxa"/>
            <w:tcBorders>
              <w:top w:val="nil"/>
              <w:left w:val="nil"/>
              <w:bottom w:val="nil"/>
              <w:right w:val="nil"/>
            </w:tcBorders>
            <w:tcMar>
              <w:top w:w="80" w:type="dxa"/>
              <w:left w:w="80" w:type="dxa"/>
              <w:bottom w:w="80" w:type="dxa"/>
              <w:right w:w="80" w:type="dxa"/>
            </w:tcMar>
          </w:tcPr>
          <w:p w14:paraId="287687E0" w14:textId="66B85B51" w:rsidR="00D7265E" w:rsidRPr="00914402" w:rsidRDefault="00D7265E" w:rsidP="00000B3E">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rPr>
                <w:rStyle w:val="Hyperlink0"/>
                <w:lang w:val="ru-RU"/>
              </w:rPr>
            </w:pPr>
            <w:r w:rsidRPr="00444FE6">
              <w:rPr>
                <w:rStyle w:val="Hyperlink0"/>
                <w:sz w:val="18"/>
                <w:lang w:val="ru-RU"/>
              </w:rPr>
              <w:t xml:space="preserve">Конференция </w:t>
            </w:r>
            <w:r w:rsidR="006C6984">
              <w:rPr>
                <w:rStyle w:val="Hyperlink0"/>
                <w:sz w:val="18"/>
                <w:lang w:val="ru-RU"/>
              </w:rPr>
              <w:t xml:space="preserve">Сторон </w:t>
            </w:r>
            <w:r w:rsidRPr="00444FE6">
              <w:rPr>
                <w:rStyle w:val="Hyperlink0"/>
                <w:sz w:val="18"/>
                <w:lang w:val="ru-RU"/>
              </w:rPr>
              <w:t xml:space="preserve">признает сложность научных и технических требований к разработке проекта </w:t>
            </w:r>
            <w:r w:rsidR="00444FE6">
              <w:rPr>
                <w:rStyle w:val="Hyperlink0"/>
                <w:sz w:val="18"/>
                <w:lang w:val="ru-RU"/>
              </w:rPr>
              <w:t>рамок</w:t>
            </w:r>
            <w:r w:rsidRPr="00444FE6">
              <w:rPr>
                <w:rStyle w:val="Hyperlink0"/>
                <w:sz w:val="18"/>
                <w:lang w:val="ru-RU"/>
              </w:rPr>
              <w:t xml:space="preserve"> для выбора соответствующих сред и интеграции сравнимых результатов мониторинга в настоящее время и в будущем. </w:t>
            </w:r>
            <w:r w:rsidRPr="003B0180">
              <w:rPr>
                <w:rStyle w:val="Hyperlink0"/>
                <w:sz w:val="18"/>
                <w:lang w:val="ru-RU"/>
              </w:rPr>
              <w:t xml:space="preserve">В этой связи Конференция учреждает специальную группу экспертов для разработки программы мониторинга для использования при оценке эффективности Конвенции. Конференция </w:t>
            </w:r>
            <w:r w:rsidR="00000B3E">
              <w:rPr>
                <w:rStyle w:val="Hyperlink0"/>
                <w:sz w:val="18"/>
                <w:lang w:val="ru-RU"/>
              </w:rPr>
              <w:t xml:space="preserve">согласовывает </w:t>
            </w:r>
            <w:r w:rsidRPr="003B0180">
              <w:rPr>
                <w:rStyle w:val="Hyperlink0"/>
                <w:sz w:val="18"/>
                <w:lang w:val="ru-RU"/>
              </w:rPr>
              <w:t>размер и структур</w:t>
            </w:r>
            <w:r w:rsidR="00000B3E">
              <w:rPr>
                <w:rStyle w:val="Hyperlink0"/>
                <w:sz w:val="18"/>
                <w:lang w:val="ru-RU"/>
              </w:rPr>
              <w:t>у</w:t>
            </w:r>
            <w:r w:rsidRPr="003B0180">
              <w:rPr>
                <w:rStyle w:val="Hyperlink0"/>
                <w:sz w:val="18"/>
                <w:lang w:val="ru-RU"/>
              </w:rPr>
              <w:t xml:space="preserve"> специальной группы экспертов, принимая во внимание потребность в надлежащих знаниях и географической представленности. </w:t>
            </w:r>
          </w:p>
        </w:tc>
        <w:tc>
          <w:tcPr>
            <w:tcW w:w="1779" w:type="dxa"/>
            <w:tcBorders>
              <w:top w:val="nil"/>
              <w:left w:val="nil"/>
              <w:bottom w:val="nil"/>
              <w:right w:val="nil"/>
            </w:tcBorders>
            <w:tcMar>
              <w:top w:w="80" w:type="dxa"/>
              <w:left w:w="80" w:type="dxa"/>
              <w:bottom w:w="80" w:type="dxa"/>
              <w:right w:w="80" w:type="dxa"/>
            </w:tcMar>
          </w:tcPr>
          <w:p w14:paraId="66476F52" w14:textId="77777777" w:rsidR="00D7265E" w:rsidRPr="00914402" w:rsidRDefault="00D7265E" w:rsidP="00E40C32">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rPr>
                <w:rStyle w:val="Hyperlink0"/>
              </w:rPr>
            </w:pPr>
            <w:proofErr w:type="spellStart"/>
            <w:r w:rsidRPr="00914402">
              <w:rPr>
                <w:rStyle w:val="Hyperlink0"/>
                <w:sz w:val="18"/>
              </w:rPr>
              <w:t>Сентябрь</w:t>
            </w:r>
            <w:proofErr w:type="spellEnd"/>
            <w:r w:rsidRPr="00914402">
              <w:rPr>
                <w:rStyle w:val="Hyperlink0"/>
                <w:sz w:val="18"/>
              </w:rPr>
              <w:t xml:space="preserve"> 2017 </w:t>
            </w:r>
            <w:proofErr w:type="spellStart"/>
            <w:r w:rsidRPr="00914402">
              <w:rPr>
                <w:rStyle w:val="Hyperlink0"/>
                <w:sz w:val="18"/>
              </w:rPr>
              <w:t>года</w:t>
            </w:r>
            <w:proofErr w:type="spellEnd"/>
          </w:p>
        </w:tc>
      </w:tr>
      <w:tr w:rsidR="00D7265E" w:rsidRPr="00D7265E" w14:paraId="09CE8CA8" w14:textId="77777777" w:rsidTr="003A29CA">
        <w:trPr>
          <w:trHeight w:val="20"/>
          <w:jc w:val="right"/>
        </w:trPr>
        <w:tc>
          <w:tcPr>
            <w:tcW w:w="6519" w:type="dxa"/>
            <w:tcBorders>
              <w:top w:val="nil"/>
              <w:left w:val="nil"/>
              <w:bottom w:val="nil"/>
              <w:right w:val="nil"/>
            </w:tcBorders>
            <w:tcMar>
              <w:top w:w="80" w:type="dxa"/>
              <w:left w:w="80" w:type="dxa"/>
              <w:bottom w:w="80" w:type="dxa"/>
              <w:right w:w="80" w:type="dxa"/>
            </w:tcMar>
          </w:tcPr>
          <w:p w14:paraId="0AF1EB1F" w14:textId="49942AFC" w:rsidR="00D7265E" w:rsidRPr="00914402" w:rsidRDefault="00444FE6" w:rsidP="00E40C32">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rPr>
                <w:rStyle w:val="Hyperlink0"/>
                <w:lang w:val="ru-RU"/>
              </w:rPr>
            </w:pPr>
            <w:r w:rsidRPr="00444FE6">
              <w:rPr>
                <w:rStyle w:val="Hyperlink0"/>
                <w:sz w:val="18"/>
                <w:lang w:val="ru-RU"/>
              </w:rPr>
              <w:t>Секретариату представл</w:t>
            </w:r>
            <w:r>
              <w:rPr>
                <w:rStyle w:val="Hyperlink0"/>
                <w:sz w:val="18"/>
                <w:lang w:val="ru-RU"/>
              </w:rPr>
              <w:t>яются</w:t>
            </w:r>
            <w:r w:rsidR="00D7265E" w:rsidRPr="00444FE6">
              <w:rPr>
                <w:rStyle w:val="Hyperlink0"/>
                <w:sz w:val="18"/>
                <w:lang w:val="ru-RU"/>
              </w:rPr>
              <w:t xml:space="preserve"> кандидатуры для специальной группы экспертов через членов Бюро Конференции</w:t>
            </w:r>
            <w:r w:rsidR="00000B3E">
              <w:rPr>
                <w:rStyle w:val="Hyperlink0"/>
                <w:sz w:val="18"/>
                <w:lang w:val="ru-RU"/>
              </w:rPr>
              <w:t xml:space="preserve"> Сторон</w:t>
            </w:r>
            <w:r w:rsidR="00D7265E" w:rsidRPr="00444FE6">
              <w:rPr>
                <w:rStyle w:val="Hyperlink0"/>
                <w:sz w:val="18"/>
                <w:lang w:val="ru-RU"/>
              </w:rPr>
              <w:t xml:space="preserve">. </w:t>
            </w:r>
          </w:p>
        </w:tc>
        <w:tc>
          <w:tcPr>
            <w:tcW w:w="1779" w:type="dxa"/>
            <w:tcBorders>
              <w:top w:val="nil"/>
              <w:left w:val="nil"/>
              <w:bottom w:val="nil"/>
              <w:right w:val="nil"/>
            </w:tcBorders>
            <w:tcMar>
              <w:top w:w="80" w:type="dxa"/>
              <w:left w:w="80" w:type="dxa"/>
              <w:bottom w:w="80" w:type="dxa"/>
              <w:right w:w="80" w:type="dxa"/>
            </w:tcMar>
          </w:tcPr>
          <w:p w14:paraId="7DD5B004" w14:textId="1D6171E7" w:rsidR="00D7265E" w:rsidRPr="00914402" w:rsidRDefault="00D7265E" w:rsidP="00E40C32">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rPr>
                <w:rStyle w:val="Hyperlink0"/>
              </w:rPr>
            </w:pPr>
            <w:proofErr w:type="spellStart"/>
            <w:r w:rsidRPr="00914402">
              <w:rPr>
                <w:rStyle w:val="Hyperlink0"/>
                <w:sz w:val="18"/>
              </w:rPr>
              <w:t>Ноябрь</w:t>
            </w:r>
            <w:proofErr w:type="spellEnd"/>
            <w:r w:rsidRPr="00914402">
              <w:rPr>
                <w:rStyle w:val="Hyperlink0"/>
                <w:sz w:val="18"/>
              </w:rPr>
              <w:t xml:space="preserve"> 2017 </w:t>
            </w:r>
            <w:proofErr w:type="spellStart"/>
            <w:r w:rsidRPr="00914402">
              <w:rPr>
                <w:rStyle w:val="Hyperlink0"/>
                <w:sz w:val="18"/>
              </w:rPr>
              <w:t>года</w:t>
            </w:r>
            <w:proofErr w:type="spellEnd"/>
          </w:p>
        </w:tc>
      </w:tr>
      <w:tr w:rsidR="00D7265E" w:rsidRPr="00D7265E" w14:paraId="2A6C1DE2" w14:textId="77777777" w:rsidTr="003A29CA">
        <w:trPr>
          <w:trHeight w:val="20"/>
          <w:jc w:val="right"/>
        </w:trPr>
        <w:tc>
          <w:tcPr>
            <w:tcW w:w="6519" w:type="dxa"/>
            <w:tcBorders>
              <w:top w:val="nil"/>
              <w:left w:val="nil"/>
              <w:bottom w:val="nil"/>
              <w:right w:val="nil"/>
            </w:tcBorders>
            <w:tcMar>
              <w:top w:w="80" w:type="dxa"/>
              <w:left w:w="80" w:type="dxa"/>
              <w:bottom w:w="80" w:type="dxa"/>
              <w:right w:w="80" w:type="dxa"/>
            </w:tcMar>
          </w:tcPr>
          <w:p w14:paraId="53F6BE9B" w14:textId="5441E95A" w:rsidR="00D7265E" w:rsidRPr="00914402" w:rsidRDefault="00D7265E" w:rsidP="00E40C32">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rPr>
                <w:rStyle w:val="Hyperlink0"/>
                <w:lang w:val="ru-RU"/>
              </w:rPr>
            </w:pPr>
            <w:proofErr w:type="gramStart"/>
            <w:r w:rsidRPr="00444FE6">
              <w:rPr>
                <w:rStyle w:val="Hyperlink0"/>
                <w:sz w:val="18"/>
                <w:lang w:val="ru-RU"/>
              </w:rPr>
              <w:t>Секретариат, опираясь на ранее представленную информации и работу, осуществляемую в рамках других форумов, в частности Стокгольмской конвенции</w:t>
            </w:r>
            <w:r w:rsidR="00000B3E">
              <w:rPr>
                <w:rStyle w:val="Hyperlink0"/>
                <w:sz w:val="18"/>
                <w:lang w:val="ru-RU"/>
              </w:rPr>
              <w:t xml:space="preserve"> о стойких органических загрязнителях</w:t>
            </w:r>
            <w:r w:rsidRPr="00444FE6">
              <w:rPr>
                <w:rStyle w:val="Hyperlink0"/>
                <w:sz w:val="18"/>
                <w:lang w:val="ru-RU"/>
              </w:rPr>
              <w:t xml:space="preserve">, разрабатывает первоначальный проект предложений в отношении тех видов данных, которые могут быть сочтены сравнимыми, а также первоначальное предложение по проекту </w:t>
            </w:r>
            <w:r w:rsidR="00444FE6">
              <w:rPr>
                <w:rStyle w:val="Hyperlink0"/>
                <w:sz w:val="18"/>
                <w:lang w:val="ru-RU"/>
              </w:rPr>
              <w:t>рамок</w:t>
            </w:r>
            <w:r w:rsidRPr="00444FE6">
              <w:rPr>
                <w:rStyle w:val="Hyperlink0"/>
                <w:sz w:val="18"/>
                <w:lang w:val="ru-RU"/>
              </w:rPr>
              <w:t xml:space="preserve"> для мониторинга и предоставляет первоначальный проект предложений специальной группе экспертов </w:t>
            </w:r>
            <w:r w:rsidR="00444FE6">
              <w:rPr>
                <w:rStyle w:val="Hyperlink0"/>
                <w:sz w:val="18"/>
                <w:lang w:val="ru-RU"/>
              </w:rPr>
              <w:t>в электронной форме</w:t>
            </w:r>
            <w:r w:rsidRPr="00444FE6">
              <w:rPr>
                <w:rStyle w:val="Hyperlink0"/>
                <w:sz w:val="18"/>
                <w:lang w:val="ru-RU"/>
              </w:rPr>
              <w:t xml:space="preserve">. </w:t>
            </w:r>
            <w:proofErr w:type="gramEnd"/>
          </w:p>
        </w:tc>
        <w:tc>
          <w:tcPr>
            <w:tcW w:w="1779" w:type="dxa"/>
            <w:tcBorders>
              <w:top w:val="nil"/>
              <w:left w:val="nil"/>
              <w:bottom w:val="nil"/>
              <w:right w:val="nil"/>
            </w:tcBorders>
            <w:tcMar>
              <w:top w:w="80" w:type="dxa"/>
              <w:left w:w="80" w:type="dxa"/>
              <w:bottom w:w="80" w:type="dxa"/>
              <w:right w:w="80" w:type="dxa"/>
            </w:tcMar>
          </w:tcPr>
          <w:p w14:paraId="3BFB1547" w14:textId="77777777" w:rsidR="00D7265E" w:rsidRPr="00914402" w:rsidRDefault="00D7265E" w:rsidP="00E40C32">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rPr>
                <w:rStyle w:val="Hyperlink0"/>
              </w:rPr>
            </w:pPr>
            <w:proofErr w:type="spellStart"/>
            <w:r w:rsidRPr="00914402">
              <w:rPr>
                <w:rStyle w:val="Hyperlink0"/>
                <w:sz w:val="18"/>
              </w:rPr>
              <w:t>Январь</w:t>
            </w:r>
            <w:proofErr w:type="spellEnd"/>
            <w:r w:rsidRPr="00914402">
              <w:rPr>
                <w:rStyle w:val="Hyperlink0"/>
                <w:sz w:val="18"/>
              </w:rPr>
              <w:t xml:space="preserve"> 2018 </w:t>
            </w:r>
            <w:proofErr w:type="spellStart"/>
            <w:r w:rsidRPr="00914402">
              <w:rPr>
                <w:rStyle w:val="Hyperlink0"/>
                <w:sz w:val="18"/>
              </w:rPr>
              <w:t>года</w:t>
            </w:r>
            <w:proofErr w:type="spellEnd"/>
          </w:p>
        </w:tc>
      </w:tr>
      <w:tr w:rsidR="00D13433" w:rsidRPr="00D7265E" w14:paraId="58C342BC" w14:textId="77777777" w:rsidTr="003A29CA">
        <w:trPr>
          <w:trHeight w:val="20"/>
          <w:jc w:val="right"/>
        </w:trPr>
        <w:tc>
          <w:tcPr>
            <w:tcW w:w="6519" w:type="dxa"/>
            <w:tcBorders>
              <w:top w:val="nil"/>
              <w:left w:val="nil"/>
              <w:bottom w:val="nil"/>
              <w:right w:val="nil"/>
            </w:tcBorders>
            <w:tcMar>
              <w:top w:w="80" w:type="dxa"/>
              <w:left w:w="80" w:type="dxa"/>
              <w:bottom w:w="80" w:type="dxa"/>
              <w:right w:w="80" w:type="dxa"/>
            </w:tcMar>
          </w:tcPr>
          <w:p w14:paraId="10C33FD2" w14:textId="701BC1A6" w:rsidR="00D13433" w:rsidRPr="00444FE6" w:rsidRDefault="00D13433" w:rsidP="007C1876">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rPr>
                <w:rStyle w:val="Hyperlink0"/>
                <w:lang w:val="ru-RU"/>
              </w:rPr>
            </w:pPr>
            <w:r w:rsidRPr="00444FE6">
              <w:rPr>
                <w:rStyle w:val="Hyperlink0"/>
                <w:sz w:val="18"/>
                <w:lang w:val="ru-RU"/>
              </w:rPr>
              <w:t>Секретариат, опираясь на ранее представленную информаци</w:t>
            </w:r>
            <w:r w:rsidR="007C1876">
              <w:rPr>
                <w:rStyle w:val="Hyperlink0"/>
                <w:sz w:val="18"/>
                <w:lang w:val="ru-RU"/>
              </w:rPr>
              <w:t>ю</w:t>
            </w:r>
            <w:r w:rsidRPr="00444FE6">
              <w:rPr>
                <w:rStyle w:val="Hyperlink0"/>
                <w:sz w:val="18"/>
                <w:lang w:val="ru-RU"/>
              </w:rPr>
              <w:t xml:space="preserve"> и работу, осуществляемую в рамках других форумов, в частности Стокгольмской конвенции, разрабатывает</w:t>
            </w:r>
            <w:r w:rsidR="00074DB5">
              <w:rPr>
                <w:rStyle w:val="Hyperlink0"/>
                <w:sz w:val="18"/>
                <w:lang w:val="ru-RU"/>
              </w:rPr>
              <w:t xml:space="preserve"> прое</w:t>
            </w:r>
            <w:proofErr w:type="gramStart"/>
            <w:r w:rsidR="00074DB5">
              <w:rPr>
                <w:rStyle w:val="Hyperlink0"/>
                <w:sz w:val="18"/>
                <w:lang w:val="ru-RU"/>
              </w:rPr>
              <w:t>кт стр</w:t>
            </w:r>
            <w:proofErr w:type="gramEnd"/>
            <w:r w:rsidR="00074DB5">
              <w:rPr>
                <w:rStyle w:val="Hyperlink0"/>
                <w:sz w:val="18"/>
                <w:lang w:val="ru-RU"/>
              </w:rPr>
              <w:t xml:space="preserve">атегии для сведения отчетности </w:t>
            </w:r>
            <w:r w:rsidRPr="00444FE6">
              <w:rPr>
                <w:rStyle w:val="Hyperlink0"/>
                <w:sz w:val="18"/>
                <w:lang w:val="ru-RU"/>
              </w:rPr>
              <w:t>и другой информации, касающейся мониторинга, и предоставляет ее специальной группе</w:t>
            </w:r>
            <w:r w:rsidR="00444FE6" w:rsidRPr="00444FE6">
              <w:rPr>
                <w:rStyle w:val="Hyperlink0"/>
                <w:sz w:val="18"/>
                <w:lang w:val="ru-RU"/>
              </w:rPr>
              <w:t xml:space="preserve"> экспертов для замечаний и пред</w:t>
            </w:r>
            <w:r w:rsidRPr="00444FE6">
              <w:rPr>
                <w:rStyle w:val="Hyperlink0"/>
                <w:sz w:val="18"/>
                <w:lang w:val="ru-RU"/>
              </w:rPr>
              <w:t>ставления любых посл</w:t>
            </w:r>
            <w:r w:rsidR="00074DB5">
              <w:rPr>
                <w:rStyle w:val="Hyperlink0"/>
                <w:sz w:val="18"/>
                <w:lang w:val="ru-RU"/>
              </w:rPr>
              <w:t>едующих материалов, касающихся с</w:t>
            </w:r>
            <w:r w:rsidRPr="00444FE6">
              <w:rPr>
                <w:rStyle w:val="Hyperlink0"/>
                <w:sz w:val="18"/>
                <w:lang w:val="ru-RU"/>
              </w:rPr>
              <w:t>тратегии.</w:t>
            </w:r>
          </w:p>
        </w:tc>
        <w:tc>
          <w:tcPr>
            <w:tcW w:w="1779" w:type="dxa"/>
            <w:tcBorders>
              <w:top w:val="nil"/>
              <w:left w:val="nil"/>
              <w:bottom w:val="nil"/>
              <w:right w:val="nil"/>
            </w:tcBorders>
            <w:tcMar>
              <w:top w:w="80" w:type="dxa"/>
              <w:left w:w="80" w:type="dxa"/>
              <w:bottom w:w="80" w:type="dxa"/>
              <w:right w:w="80" w:type="dxa"/>
            </w:tcMar>
          </w:tcPr>
          <w:p w14:paraId="2D74112A" w14:textId="77777777" w:rsidR="00D13433" w:rsidRPr="00B453EF" w:rsidRDefault="00E96FEE" w:rsidP="00E40C32">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rPr>
                <w:rStyle w:val="Hyperlink0"/>
                <w:sz w:val="18"/>
              </w:rPr>
            </w:pPr>
            <w:proofErr w:type="spellStart"/>
            <w:r w:rsidRPr="00914402">
              <w:rPr>
                <w:rStyle w:val="Hyperlink0"/>
                <w:sz w:val="18"/>
              </w:rPr>
              <w:t>Февраль</w:t>
            </w:r>
            <w:proofErr w:type="spellEnd"/>
            <w:r w:rsidRPr="00914402">
              <w:rPr>
                <w:rStyle w:val="Hyperlink0"/>
                <w:sz w:val="18"/>
              </w:rPr>
              <w:t xml:space="preserve"> 2018 </w:t>
            </w:r>
            <w:proofErr w:type="spellStart"/>
            <w:r w:rsidRPr="00914402">
              <w:rPr>
                <w:rStyle w:val="Hyperlink0"/>
                <w:sz w:val="18"/>
              </w:rPr>
              <w:t>года</w:t>
            </w:r>
            <w:proofErr w:type="spellEnd"/>
          </w:p>
        </w:tc>
      </w:tr>
      <w:tr w:rsidR="00D7265E" w:rsidRPr="00D7265E" w14:paraId="5CA02485" w14:textId="77777777" w:rsidTr="003A29CA">
        <w:trPr>
          <w:trHeight w:val="20"/>
          <w:jc w:val="right"/>
        </w:trPr>
        <w:tc>
          <w:tcPr>
            <w:tcW w:w="6519" w:type="dxa"/>
            <w:tcBorders>
              <w:top w:val="nil"/>
              <w:left w:val="nil"/>
              <w:bottom w:val="nil"/>
              <w:right w:val="nil"/>
            </w:tcBorders>
            <w:tcMar>
              <w:top w:w="80" w:type="dxa"/>
              <w:left w:w="80" w:type="dxa"/>
              <w:bottom w:w="80" w:type="dxa"/>
              <w:right w:w="80" w:type="dxa"/>
            </w:tcMar>
          </w:tcPr>
          <w:p w14:paraId="55E41544" w14:textId="5A2FB5C5" w:rsidR="00D7265E" w:rsidRPr="00914402" w:rsidRDefault="00D7265E" w:rsidP="003A29CA">
            <w:pPr>
              <w:pStyle w:val="Brdtext"/>
              <w:keepNext/>
              <w:keepLines/>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rPr>
                <w:rStyle w:val="Hyperlink0"/>
                <w:lang w:val="ru-RU"/>
              </w:rPr>
            </w:pPr>
            <w:r w:rsidRPr="00444FE6">
              <w:rPr>
                <w:rStyle w:val="Hyperlink0"/>
                <w:sz w:val="18"/>
                <w:lang w:val="ru-RU"/>
              </w:rPr>
              <w:t xml:space="preserve">Специальная группа экспертов анализирует первоначальные проекты предложений по видам данных, проект </w:t>
            </w:r>
            <w:r w:rsidR="00444FE6">
              <w:rPr>
                <w:rStyle w:val="Hyperlink0"/>
                <w:sz w:val="18"/>
                <w:lang w:val="ru-RU"/>
              </w:rPr>
              <w:t>рамок</w:t>
            </w:r>
            <w:r w:rsidRPr="00444FE6">
              <w:rPr>
                <w:rStyle w:val="Hyperlink0"/>
                <w:sz w:val="18"/>
                <w:lang w:val="ru-RU"/>
              </w:rPr>
              <w:t xml:space="preserve"> для мониторинга и проект стратегии, распространенный секретариатом; обсуждает информацию, возможно, на очном совещании; и представляет свои замечания </w:t>
            </w:r>
            <w:r w:rsidR="00074DB5">
              <w:rPr>
                <w:rStyle w:val="Hyperlink0"/>
                <w:sz w:val="18"/>
                <w:lang w:val="ru-RU"/>
              </w:rPr>
              <w:t>в секретариат либо в электронной форме</w:t>
            </w:r>
            <w:r w:rsidRPr="00444FE6">
              <w:rPr>
                <w:rStyle w:val="Hyperlink0"/>
                <w:sz w:val="18"/>
                <w:lang w:val="ru-RU"/>
              </w:rPr>
              <w:t xml:space="preserve">, либо непосредственно на очном совещании. </w:t>
            </w:r>
            <w:r w:rsidR="00444FE6" w:rsidRPr="00444FE6">
              <w:rPr>
                <w:rStyle w:val="Hyperlink0"/>
                <w:sz w:val="18"/>
                <w:lang w:val="ru-RU"/>
              </w:rPr>
              <w:t xml:space="preserve">По </w:t>
            </w:r>
            <w:r w:rsidRPr="00444FE6">
              <w:rPr>
                <w:rStyle w:val="Hyperlink0"/>
                <w:sz w:val="18"/>
                <w:lang w:val="ru-RU"/>
              </w:rPr>
              <w:t xml:space="preserve">необходимости для обсуждения документов могут использоваться телеконференции или </w:t>
            </w:r>
            <w:proofErr w:type="spellStart"/>
            <w:r w:rsidRPr="00444FE6">
              <w:rPr>
                <w:rStyle w:val="Hyperlink0"/>
                <w:sz w:val="18"/>
                <w:lang w:val="ru-RU"/>
              </w:rPr>
              <w:t>вебинары</w:t>
            </w:r>
            <w:proofErr w:type="spellEnd"/>
            <w:r w:rsidRPr="00444FE6">
              <w:rPr>
                <w:rStyle w:val="Hyperlink0"/>
                <w:sz w:val="18"/>
                <w:lang w:val="ru-RU"/>
              </w:rPr>
              <w:t>.</w:t>
            </w:r>
          </w:p>
        </w:tc>
        <w:tc>
          <w:tcPr>
            <w:tcW w:w="1779" w:type="dxa"/>
            <w:tcBorders>
              <w:top w:val="nil"/>
              <w:left w:val="nil"/>
              <w:bottom w:val="nil"/>
              <w:right w:val="nil"/>
            </w:tcBorders>
            <w:tcMar>
              <w:top w:w="80" w:type="dxa"/>
              <w:left w:w="80" w:type="dxa"/>
              <w:bottom w:w="80" w:type="dxa"/>
              <w:right w:w="80" w:type="dxa"/>
            </w:tcMar>
          </w:tcPr>
          <w:p w14:paraId="2A10ABEB" w14:textId="77777777" w:rsidR="00D7265E" w:rsidRPr="00914402" w:rsidRDefault="00D7265E" w:rsidP="00E40C32">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rPr>
                <w:rStyle w:val="Hyperlink0"/>
              </w:rPr>
            </w:pPr>
            <w:proofErr w:type="spellStart"/>
            <w:r w:rsidRPr="00914402">
              <w:rPr>
                <w:rStyle w:val="Hyperlink0"/>
                <w:sz w:val="18"/>
              </w:rPr>
              <w:t>Март</w:t>
            </w:r>
            <w:proofErr w:type="spellEnd"/>
            <w:r w:rsidRPr="00914402">
              <w:rPr>
                <w:rStyle w:val="Hyperlink0"/>
                <w:sz w:val="18"/>
              </w:rPr>
              <w:t xml:space="preserve"> 2018 </w:t>
            </w:r>
            <w:proofErr w:type="spellStart"/>
            <w:r w:rsidRPr="00914402">
              <w:rPr>
                <w:rStyle w:val="Hyperlink0"/>
                <w:sz w:val="18"/>
              </w:rPr>
              <w:t>года</w:t>
            </w:r>
            <w:proofErr w:type="spellEnd"/>
          </w:p>
        </w:tc>
      </w:tr>
      <w:tr w:rsidR="00D7265E" w:rsidRPr="00D7265E" w14:paraId="0CF97D07" w14:textId="77777777" w:rsidTr="003A29CA">
        <w:trPr>
          <w:trHeight w:val="20"/>
          <w:jc w:val="right"/>
        </w:trPr>
        <w:tc>
          <w:tcPr>
            <w:tcW w:w="6519" w:type="dxa"/>
            <w:tcBorders>
              <w:top w:val="nil"/>
              <w:left w:val="nil"/>
              <w:bottom w:val="nil"/>
              <w:right w:val="nil"/>
            </w:tcBorders>
            <w:tcMar>
              <w:top w:w="80" w:type="dxa"/>
              <w:left w:w="80" w:type="dxa"/>
              <w:bottom w:w="80" w:type="dxa"/>
              <w:right w:w="80" w:type="dxa"/>
            </w:tcMar>
          </w:tcPr>
          <w:p w14:paraId="06A5ED78" w14:textId="037CF41D" w:rsidR="00D7265E" w:rsidRPr="00914402" w:rsidRDefault="000835E1" w:rsidP="00E40C32">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rPr>
                <w:rStyle w:val="Hyperlink0"/>
                <w:lang w:val="ru-RU"/>
              </w:rPr>
            </w:pPr>
            <w:r w:rsidRPr="003B0180">
              <w:rPr>
                <w:rStyle w:val="Hyperlink0"/>
                <w:sz w:val="18"/>
                <w:lang w:val="ru-RU"/>
              </w:rPr>
              <w:t>Секретариат подготавливает пересмотренные варианты документов и распространяет их среди членов специальной группы экспертов для рассмотрения.</w:t>
            </w:r>
          </w:p>
        </w:tc>
        <w:tc>
          <w:tcPr>
            <w:tcW w:w="1779" w:type="dxa"/>
            <w:tcBorders>
              <w:top w:val="nil"/>
              <w:left w:val="nil"/>
              <w:bottom w:val="nil"/>
              <w:right w:val="nil"/>
            </w:tcBorders>
            <w:tcMar>
              <w:top w:w="80" w:type="dxa"/>
              <w:left w:w="80" w:type="dxa"/>
              <w:bottom w:w="80" w:type="dxa"/>
              <w:right w:w="80" w:type="dxa"/>
            </w:tcMar>
          </w:tcPr>
          <w:p w14:paraId="2693BE55" w14:textId="77777777" w:rsidR="00D7265E" w:rsidRPr="00914402" w:rsidRDefault="00D7265E" w:rsidP="00E40C32">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rPr>
                <w:rStyle w:val="Hyperlink0"/>
              </w:rPr>
            </w:pPr>
            <w:proofErr w:type="spellStart"/>
            <w:r w:rsidRPr="00914402">
              <w:rPr>
                <w:rStyle w:val="Hyperlink0"/>
                <w:sz w:val="18"/>
              </w:rPr>
              <w:t>Май</w:t>
            </w:r>
            <w:proofErr w:type="spellEnd"/>
            <w:r w:rsidRPr="00914402">
              <w:rPr>
                <w:rStyle w:val="Hyperlink0"/>
                <w:sz w:val="18"/>
              </w:rPr>
              <w:t xml:space="preserve"> 2018 </w:t>
            </w:r>
            <w:proofErr w:type="spellStart"/>
            <w:r w:rsidRPr="00914402">
              <w:rPr>
                <w:rStyle w:val="Hyperlink0"/>
                <w:sz w:val="18"/>
              </w:rPr>
              <w:t>года</w:t>
            </w:r>
            <w:proofErr w:type="spellEnd"/>
          </w:p>
        </w:tc>
      </w:tr>
      <w:tr w:rsidR="00D7265E" w:rsidRPr="00D7265E" w14:paraId="720C856C" w14:textId="77777777" w:rsidTr="003A29CA">
        <w:trPr>
          <w:trHeight w:val="20"/>
          <w:jc w:val="right"/>
        </w:trPr>
        <w:tc>
          <w:tcPr>
            <w:tcW w:w="6519" w:type="dxa"/>
            <w:tcBorders>
              <w:top w:val="nil"/>
              <w:left w:val="nil"/>
              <w:bottom w:val="nil"/>
              <w:right w:val="nil"/>
            </w:tcBorders>
            <w:tcMar>
              <w:top w:w="80" w:type="dxa"/>
              <w:left w:w="80" w:type="dxa"/>
              <w:bottom w:w="80" w:type="dxa"/>
              <w:right w:w="80" w:type="dxa"/>
            </w:tcMar>
          </w:tcPr>
          <w:p w14:paraId="5A3E2738" w14:textId="4E131227" w:rsidR="00D7265E" w:rsidRPr="00914402" w:rsidRDefault="000835E1" w:rsidP="00E40C32">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rPr>
                <w:rStyle w:val="Hyperlink0"/>
                <w:lang w:val="ru-RU"/>
              </w:rPr>
            </w:pPr>
            <w:r w:rsidRPr="003B0180">
              <w:rPr>
                <w:rStyle w:val="Hyperlink0"/>
                <w:sz w:val="18"/>
                <w:lang w:val="ru-RU"/>
              </w:rPr>
              <w:t>Специальная группа экспертов собирается для обсуждения пересмотренных предложений и подготовки рекомендаций для второго совещания Конференции Сторон, включая любые рекомендации в отношении новой или дополнительной работы.</w:t>
            </w:r>
          </w:p>
        </w:tc>
        <w:tc>
          <w:tcPr>
            <w:tcW w:w="1779" w:type="dxa"/>
            <w:tcBorders>
              <w:top w:val="nil"/>
              <w:left w:val="nil"/>
              <w:bottom w:val="nil"/>
              <w:right w:val="nil"/>
            </w:tcBorders>
            <w:tcMar>
              <w:top w:w="80" w:type="dxa"/>
              <w:left w:w="80" w:type="dxa"/>
              <w:bottom w:w="80" w:type="dxa"/>
              <w:right w:w="80" w:type="dxa"/>
            </w:tcMar>
          </w:tcPr>
          <w:p w14:paraId="1D737998" w14:textId="77777777" w:rsidR="00D7265E" w:rsidRPr="00914402" w:rsidRDefault="00D7265E" w:rsidP="00E40C32">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rPr>
                <w:rStyle w:val="Hyperlink0"/>
              </w:rPr>
            </w:pPr>
            <w:proofErr w:type="spellStart"/>
            <w:r w:rsidRPr="00914402">
              <w:rPr>
                <w:rStyle w:val="Hyperlink0"/>
                <w:sz w:val="18"/>
              </w:rPr>
              <w:t>Июнь</w:t>
            </w:r>
            <w:proofErr w:type="spellEnd"/>
            <w:r w:rsidRPr="00914402">
              <w:rPr>
                <w:rStyle w:val="Hyperlink0"/>
                <w:sz w:val="18"/>
              </w:rPr>
              <w:t xml:space="preserve"> 2018 </w:t>
            </w:r>
            <w:proofErr w:type="spellStart"/>
            <w:r w:rsidRPr="00914402">
              <w:rPr>
                <w:rStyle w:val="Hyperlink0"/>
                <w:sz w:val="18"/>
              </w:rPr>
              <w:t>года</w:t>
            </w:r>
            <w:proofErr w:type="spellEnd"/>
          </w:p>
        </w:tc>
      </w:tr>
      <w:tr w:rsidR="00D13433" w:rsidRPr="00D7265E" w14:paraId="6BD754E0" w14:textId="77777777" w:rsidTr="003A29CA">
        <w:trPr>
          <w:trHeight w:val="20"/>
          <w:jc w:val="right"/>
        </w:trPr>
        <w:tc>
          <w:tcPr>
            <w:tcW w:w="6519" w:type="dxa"/>
            <w:tcBorders>
              <w:top w:val="nil"/>
              <w:left w:val="nil"/>
              <w:bottom w:val="nil"/>
              <w:right w:val="nil"/>
            </w:tcBorders>
            <w:tcMar>
              <w:top w:w="80" w:type="dxa"/>
              <w:left w:w="80" w:type="dxa"/>
              <w:bottom w:w="80" w:type="dxa"/>
              <w:right w:w="80" w:type="dxa"/>
            </w:tcMar>
          </w:tcPr>
          <w:p w14:paraId="65676BD4" w14:textId="4CAC363D" w:rsidR="00D13433" w:rsidRPr="003B0180" w:rsidRDefault="000835E1" w:rsidP="00E40C32">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rPr>
                <w:rStyle w:val="Hyperlink0"/>
                <w:sz w:val="18"/>
                <w:lang w:val="ru-RU"/>
              </w:rPr>
            </w:pPr>
            <w:r w:rsidRPr="003B0180">
              <w:rPr>
                <w:rStyle w:val="Hyperlink0"/>
                <w:sz w:val="18"/>
                <w:lang w:val="ru-RU"/>
              </w:rPr>
              <w:t>Секретариат пересматривает прое</w:t>
            </w:r>
            <w:proofErr w:type="gramStart"/>
            <w:r w:rsidRPr="003B0180">
              <w:rPr>
                <w:rStyle w:val="Hyperlink0"/>
                <w:sz w:val="18"/>
                <w:lang w:val="ru-RU"/>
              </w:rPr>
              <w:t>кт стр</w:t>
            </w:r>
            <w:proofErr w:type="gramEnd"/>
            <w:r w:rsidRPr="003B0180">
              <w:rPr>
                <w:rStyle w:val="Hyperlink0"/>
                <w:sz w:val="18"/>
                <w:lang w:val="ru-RU"/>
              </w:rPr>
              <w:t>атегии для сведения отчетности и другой информации о мониторинге в свете замечаний и представленных материалов.</w:t>
            </w:r>
          </w:p>
        </w:tc>
        <w:tc>
          <w:tcPr>
            <w:tcW w:w="1779" w:type="dxa"/>
            <w:tcBorders>
              <w:top w:val="nil"/>
              <w:left w:val="nil"/>
              <w:bottom w:val="nil"/>
              <w:right w:val="nil"/>
            </w:tcBorders>
            <w:tcMar>
              <w:top w:w="80" w:type="dxa"/>
              <w:left w:w="80" w:type="dxa"/>
              <w:bottom w:w="80" w:type="dxa"/>
              <w:right w:w="80" w:type="dxa"/>
            </w:tcMar>
          </w:tcPr>
          <w:p w14:paraId="4BA09DEC" w14:textId="77777777" w:rsidR="00D13433" w:rsidRPr="00B453EF" w:rsidRDefault="00E96FEE" w:rsidP="00E40C32">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rPr>
                <w:rStyle w:val="Hyperlink0"/>
                <w:sz w:val="18"/>
              </w:rPr>
            </w:pPr>
            <w:proofErr w:type="spellStart"/>
            <w:r w:rsidRPr="00914402">
              <w:rPr>
                <w:rStyle w:val="Hyperlink0"/>
                <w:sz w:val="18"/>
              </w:rPr>
              <w:t>Июнь</w:t>
            </w:r>
            <w:proofErr w:type="spellEnd"/>
            <w:r w:rsidRPr="00914402">
              <w:rPr>
                <w:rStyle w:val="Hyperlink0"/>
                <w:sz w:val="18"/>
              </w:rPr>
              <w:t xml:space="preserve"> 2018 </w:t>
            </w:r>
            <w:proofErr w:type="spellStart"/>
            <w:r w:rsidRPr="00914402">
              <w:rPr>
                <w:rStyle w:val="Hyperlink0"/>
                <w:sz w:val="18"/>
              </w:rPr>
              <w:t>года</w:t>
            </w:r>
            <w:proofErr w:type="spellEnd"/>
          </w:p>
        </w:tc>
      </w:tr>
      <w:tr w:rsidR="00D7265E" w:rsidRPr="007C730B" w14:paraId="36C91D4B" w14:textId="77777777" w:rsidTr="003A29CA">
        <w:trPr>
          <w:trHeight w:val="20"/>
          <w:jc w:val="right"/>
        </w:trPr>
        <w:tc>
          <w:tcPr>
            <w:tcW w:w="6519" w:type="dxa"/>
            <w:tcBorders>
              <w:top w:val="nil"/>
              <w:left w:val="nil"/>
              <w:bottom w:val="single" w:sz="12" w:space="0" w:color="auto"/>
              <w:right w:val="nil"/>
            </w:tcBorders>
            <w:tcMar>
              <w:top w:w="80" w:type="dxa"/>
              <w:left w:w="80" w:type="dxa"/>
              <w:bottom w:w="80" w:type="dxa"/>
              <w:right w:w="80" w:type="dxa"/>
            </w:tcMar>
          </w:tcPr>
          <w:p w14:paraId="3EE01607" w14:textId="05A9945C" w:rsidR="00D7265E" w:rsidRPr="00914402" w:rsidRDefault="00D7265E" w:rsidP="00E40C32">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rPr>
                <w:rStyle w:val="Hyperlink0"/>
                <w:sz w:val="18"/>
              </w:rPr>
            </w:pPr>
            <w:r w:rsidRPr="003B0180">
              <w:rPr>
                <w:rStyle w:val="Hyperlink0"/>
                <w:sz w:val="18"/>
                <w:lang w:val="ru-RU"/>
              </w:rPr>
              <w:t>Секретариат представляет выводы группы экспертов, прое</w:t>
            </w:r>
            <w:proofErr w:type="gramStart"/>
            <w:r w:rsidRPr="003B0180">
              <w:rPr>
                <w:rStyle w:val="Hyperlink0"/>
                <w:sz w:val="18"/>
                <w:lang w:val="ru-RU"/>
              </w:rPr>
              <w:t>кт стр</w:t>
            </w:r>
            <w:proofErr w:type="gramEnd"/>
            <w:r w:rsidRPr="003B0180">
              <w:rPr>
                <w:rStyle w:val="Hyperlink0"/>
                <w:sz w:val="18"/>
                <w:lang w:val="ru-RU"/>
              </w:rPr>
              <w:t xml:space="preserve">атегии для сведения отчетности и другую имеющуюся информацию о мониторинге второму совещанию </w:t>
            </w:r>
            <w:proofErr w:type="spellStart"/>
            <w:r w:rsidRPr="00914402">
              <w:rPr>
                <w:rStyle w:val="Hyperlink0"/>
                <w:sz w:val="18"/>
              </w:rPr>
              <w:t>Конференции</w:t>
            </w:r>
            <w:proofErr w:type="spellEnd"/>
            <w:r w:rsidRPr="00914402">
              <w:rPr>
                <w:rStyle w:val="Hyperlink0"/>
                <w:sz w:val="18"/>
              </w:rPr>
              <w:t xml:space="preserve"> </w:t>
            </w:r>
            <w:proofErr w:type="spellStart"/>
            <w:r w:rsidRPr="00914402">
              <w:rPr>
                <w:rStyle w:val="Hyperlink0"/>
                <w:sz w:val="18"/>
              </w:rPr>
              <w:t>Сторон</w:t>
            </w:r>
            <w:proofErr w:type="spellEnd"/>
            <w:r w:rsidRPr="00914402">
              <w:rPr>
                <w:rStyle w:val="Hyperlink0"/>
                <w:sz w:val="18"/>
              </w:rPr>
              <w:t xml:space="preserve"> </w:t>
            </w:r>
            <w:proofErr w:type="spellStart"/>
            <w:r w:rsidRPr="00914402">
              <w:rPr>
                <w:rStyle w:val="Hyperlink0"/>
                <w:sz w:val="18"/>
              </w:rPr>
              <w:t>для</w:t>
            </w:r>
            <w:proofErr w:type="spellEnd"/>
            <w:r w:rsidRPr="00914402">
              <w:rPr>
                <w:rStyle w:val="Hyperlink0"/>
                <w:sz w:val="18"/>
              </w:rPr>
              <w:t xml:space="preserve"> </w:t>
            </w:r>
            <w:proofErr w:type="spellStart"/>
            <w:r w:rsidRPr="00914402">
              <w:rPr>
                <w:rStyle w:val="Hyperlink0"/>
                <w:sz w:val="18"/>
              </w:rPr>
              <w:t>рассмотрения</w:t>
            </w:r>
            <w:proofErr w:type="spellEnd"/>
            <w:r w:rsidRPr="00914402">
              <w:rPr>
                <w:rStyle w:val="Hyperlink0"/>
                <w:sz w:val="18"/>
              </w:rPr>
              <w:t xml:space="preserve"> и </w:t>
            </w:r>
            <w:proofErr w:type="spellStart"/>
            <w:r w:rsidRPr="00914402">
              <w:rPr>
                <w:rStyle w:val="Hyperlink0"/>
                <w:sz w:val="18"/>
              </w:rPr>
              <w:t>дальнейших</w:t>
            </w:r>
            <w:proofErr w:type="spellEnd"/>
            <w:r w:rsidRPr="00914402">
              <w:rPr>
                <w:rStyle w:val="Hyperlink0"/>
                <w:sz w:val="18"/>
              </w:rPr>
              <w:t xml:space="preserve"> </w:t>
            </w:r>
            <w:proofErr w:type="spellStart"/>
            <w:r w:rsidRPr="00914402">
              <w:rPr>
                <w:rStyle w:val="Hyperlink0"/>
                <w:sz w:val="18"/>
              </w:rPr>
              <w:t>рекомендаций</w:t>
            </w:r>
            <w:proofErr w:type="spellEnd"/>
            <w:r w:rsidRPr="00914402">
              <w:rPr>
                <w:rStyle w:val="Hyperlink0"/>
                <w:sz w:val="18"/>
              </w:rPr>
              <w:t>.</w:t>
            </w:r>
          </w:p>
        </w:tc>
        <w:tc>
          <w:tcPr>
            <w:tcW w:w="1779" w:type="dxa"/>
            <w:tcBorders>
              <w:top w:val="nil"/>
              <w:left w:val="nil"/>
              <w:bottom w:val="single" w:sz="12" w:space="0" w:color="auto"/>
              <w:right w:val="nil"/>
            </w:tcBorders>
            <w:tcMar>
              <w:top w:w="80" w:type="dxa"/>
              <w:left w:w="80" w:type="dxa"/>
              <w:bottom w:w="80" w:type="dxa"/>
              <w:right w:w="80" w:type="dxa"/>
            </w:tcMar>
          </w:tcPr>
          <w:p w14:paraId="35B9DFBD" w14:textId="55AD4ADD" w:rsidR="00D7265E" w:rsidRPr="003B0180" w:rsidRDefault="00D7265E" w:rsidP="00E40C32">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rPr>
                <w:rStyle w:val="Hyperlink0"/>
                <w:sz w:val="18"/>
                <w:lang w:val="ru-RU"/>
              </w:rPr>
            </w:pPr>
            <w:r w:rsidRPr="003B0180">
              <w:rPr>
                <w:rStyle w:val="Hyperlink0"/>
                <w:sz w:val="18"/>
                <w:lang w:val="ru-RU"/>
              </w:rPr>
              <w:t>Ноябрь 2018 года (предварительные сроки проведения второго совещания Конференции Сторон)</w:t>
            </w:r>
          </w:p>
        </w:tc>
      </w:tr>
    </w:tbl>
    <w:p w14:paraId="3BDC7EA3" w14:textId="4CD00F20" w:rsidR="00D7265E" w:rsidRPr="003B0180" w:rsidRDefault="00914402" w:rsidP="00914402">
      <w:pPr>
        <w:tabs>
          <w:tab w:val="clear" w:pos="1247"/>
          <w:tab w:val="clear" w:pos="1814"/>
          <w:tab w:val="clear" w:pos="2381"/>
          <w:tab w:val="clear" w:pos="2948"/>
          <w:tab w:val="clear" w:pos="3515"/>
        </w:tabs>
        <w:rPr>
          <w:lang w:val="ru-RU"/>
        </w:rPr>
      </w:pPr>
      <w:r>
        <w:rPr>
          <w:lang w:val="ru-RU"/>
        </w:rPr>
        <w:br w:type="page"/>
      </w:r>
    </w:p>
    <w:p w14:paraId="2585D4F2" w14:textId="49883A4E" w:rsidR="00D7265E" w:rsidRPr="002543C5" w:rsidRDefault="00D7265E" w:rsidP="00F92EBD">
      <w:pPr>
        <w:tabs>
          <w:tab w:val="clear" w:pos="1247"/>
          <w:tab w:val="clear" w:pos="1814"/>
          <w:tab w:val="clear" w:pos="2381"/>
          <w:tab w:val="clear" w:pos="2948"/>
          <w:tab w:val="clear" w:pos="3515"/>
        </w:tabs>
        <w:spacing w:after="240"/>
        <w:rPr>
          <w:b/>
          <w:sz w:val="28"/>
          <w:szCs w:val="28"/>
          <w:lang w:val="ru-RU"/>
        </w:rPr>
      </w:pPr>
      <w:r w:rsidRPr="002543C5">
        <w:rPr>
          <w:b/>
          <w:sz w:val="28"/>
          <w:szCs w:val="28"/>
          <w:lang w:val="ru-RU"/>
        </w:rPr>
        <w:t xml:space="preserve">Приложение </w:t>
      </w:r>
      <w:r w:rsidRPr="00F92EBD">
        <w:rPr>
          <w:b/>
          <w:sz w:val="28"/>
          <w:szCs w:val="28"/>
        </w:rPr>
        <w:t>II</w:t>
      </w:r>
      <w:r w:rsidRPr="002543C5">
        <w:rPr>
          <w:b/>
          <w:sz w:val="28"/>
          <w:szCs w:val="28"/>
          <w:lang w:val="ru-RU"/>
        </w:rPr>
        <w:t xml:space="preserve"> </w:t>
      </w:r>
    </w:p>
    <w:p w14:paraId="1A4707D5" w14:textId="5366FF3F" w:rsidR="00D7265E" w:rsidRPr="007C730B" w:rsidRDefault="00D7265E" w:rsidP="00F92EBD">
      <w:pPr>
        <w:tabs>
          <w:tab w:val="clear" w:pos="1247"/>
          <w:tab w:val="clear" w:pos="1814"/>
          <w:tab w:val="clear" w:pos="2381"/>
          <w:tab w:val="clear" w:pos="2948"/>
          <w:tab w:val="clear" w:pos="3515"/>
        </w:tabs>
        <w:spacing w:after="120"/>
        <w:ind w:left="1247" w:right="567"/>
        <w:rPr>
          <w:b/>
          <w:sz w:val="28"/>
          <w:szCs w:val="28"/>
          <w:lang w:val="ru-RU"/>
        </w:rPr>
      </w:pPr>
      <w:r w:rsidRPr="007C730B">
        <w:rPr>
          <w:b/>
          <w:sz w:val="28"/>
          <w:szCs w:val="28"/>
          <w:lang w:val="ru-RU"/>
        </w:rPr>
        <w:t xml:space="preserve">Доклад о формировании механизмов для обеспечения сравнимых данных мониторинга о наличии и перемещении ртути и ртутных соединений в окружающей среде, а также об изменении уровней ртути и ртутных соединений, наблюдаемых в </w:t>
      </w:r>
      <w:proofErr w:type="spellStart"/>
      <w:r w:rsidRPr="007C730B">
        <w:rPr>
          <w:b/>
          <w:sz w:val="28"/>
          <w:szCs w:val="28"/>
          <w:lang w:val="ru-RU"/>
        </w:rPr>
        <w:t>биоте</w:t>
      </w:r>
      <w:proofErr w:type="spellEnd"/>
      <w:r w:rsidRPr="007C730B">
        <w:rPr>
          <w:b/>
          <w:sz w:val="28"/>
          <w:szCs w:val="28"/>
          <w:lang w:val="ru-RU"/>
        </w:rPr>
        <w:t xml:space="preserve"> и среди уязвимы</w:t>
      </w:r>
      <w:r w:rsidR="002543C5">
        <w:rPr>
          <w:b/>
          <w:sz w:val="28"/>
          <w:szCs w:val="28"/>
          <w:lang w:val="ru-RU"/>
        </w:rPr>
        <w:t>х групп населения</w:t>
      </w:r>
    </w:p>
    <w:p w14:paraId="54DE4636" w14:textId="374CE462" w:rsidR="00945EA0" w:rsidRPr="00F92EBD" w:rsidRDefault="00F92EBD" w:rsidP="00E40C32">
      <w:pPr>
        <w:tabs>
          <w:tab w:val="clear" w:pos="1247"/>
          <w:tab w:val="clear" w:pos="1814"/>
          <w:tab w:val="clear" w:pos="2381"/>
          <w:tab w:val="clear" w:pos="2948"/>
          <w:tab w:val="clear" w:pos="3515"/>
        </w:tabs>
        <w:spacing w:after="120"/>
        <w:ind w:left="1247"/>
        <w:rPr>
          <w:lang w:val="ru-RU"/>
        </w:rPr>
      </w:pPr>
      <w:r w:rsidRPr="00F92EBD">
        <w:rPr>
          <w:lang w:val="ru-RU"/>
        </w:rPr>
        <w:t>1.</w:t>
      </w:r>
      <w:r w:rsidRPr="00F92EBD">
        <w:rPr>
          <w:lang w:val="ru-RU"/>
        </w:rPr>
        <w:tab/>
      </w:r>
      <w:r w:rsidR="00945EA0" w:rsidRPr="00F92EBD">
        <w:rPr>
          <w:lang w:val="ru-RU"/>
        </w:rPr>
        <w:t xml:space="preserve">На своей седьмой сессии Межправительственный комитет для ведения </w:t>
      </w:r>
      <w:proofErr w:type="gramStart"/>
      <w:r w:rsidR="00945EA0" w:rsidRPr="00F92EBD">
        <w:rPr>
          <w:lang w:val="ru-RU"/>
        </w:rPr>
        <w:t>переговоров</w:t>
      </w:r>
      <w:proofErr w:type="gramEnd"/>
      <w:r w:rsidR="00945EA0" w:rsidRPr="00F92EBD">
        <w:rPr>
          <w:lang w:val="ru-RU"/>
        </w:rPr>
        <w:t xml:space="preserve"> по подготовке имеющего обязательную юридическую силу глобального документа по ртути просил временный секретариат подготовить проект доклада с рекомендациями относительно формирования механизмов для обеспечения сравнимых данных мониторинга о наличии и перемещении ртути и соединений ртути в окружающей среде, а также об изменении уровней ртути и ртутных соединений, наблюдаемых в </w:t>
      </w:r>
      <w:proofErr w:type="spellStart"/>
      <w:r w:rsidR="00945EA0" w:rsidRPr="00F92EBD">
        <w:rPr>
          <w:lang w:val="ru-RU"/>
        </w:rPr>
        <w:t>биоте</w:t>
      </w:r>
      <w:proofErr w:type="spellEnd"/>
      <w:r w:rsidR="00945EA0" w:rsidRPr="00F92EBD">
        <w:rPr>
          <w:lang w:val="ru-RU"/>
        </w:rPr>
        <w:t xml:space="preserve"> и среди уязвимых групп населения, как это предусмотрено в пункте</w:t>
      </w:r>
      <w:r w:rsidR="008F0CC2" w:rsidRPr="00E40C32">
        <w:t> </w:t>
      </w:r>
      <w:r w:rsidR="008F0CC2" w:rsidRPr="00F92EBD">
        <w:rPr>
          <w:lang w:val="ru-RU"/>
        </w:rPr>
        <w:t>2 статьи</w:t>
      </w:r>
      <w:r w:rsidR="008F0CC2" w:rsidRPr="00E40C32">
        <w:t> </w:t>
      </w:r>
      <w:r w:rsidR="00945EA0" w:rsidRPr="00F92EBD">
        <w:rPr>
          <w:lang w:val="ru-RU"/>
        </w:rPr>
        <w:t>22</w:t>
      </w:r>
      <w:r w:rsidR="00F9737C">
        <w:rPr>
          <w:lang w:val="ru-RU"/>
        </w:rPr>
        <w:t xml:space="preserve"> </w:t>
      </w:r>
      <w:proofErr w:type="spellStart"/>
      <w:r w:rsidR="00F9737C">
        <w:rPr>
          <w:lang w:val="ru-RU"/>
        </w:rPr>
        <w:t>Минаматской</w:t>
      </w:r>
      <w:proofErr w:type="spellEnd"/>
      <w:r w:rsidR="00F9737C">
        <w:rPr>
          <w:lang w:val="ru-RU"/>
        </w:rPr>
        <w:t xml:space="preserve"> конвенции о ртути</w:t>
      </w:r>
      <w:r w:rsidR="00945EA0" w:rsidRPr="00F92EBD">
        <w:rPr>
          <w:lang w:val="ru-RU"/>
        </w:rPr>
        <w:t>, включая справочную информацию для оценки базовых показателей.</w:t>
      </w:r>
    </w:p>
    <w:p w14:paraId="6E386E97" w14:textId="5CA6652E" w:rsidR="00945EA0" w:rsidRPr="007C730B" w:rsidRDefault="00F92EBD" w:rsidP="00E40C32">
      <w:pPr>
        <w:tabs>
          <w:tab w:val="clear" w:pos="1247"/>
          <w:tab w:val="clear" w:pos="1814"/>
          <w:tab w:val="clear" w:pos="2381"/>
          <w:tab w:val="clear" w:pos="2948"/>
          <w:tab w:val="clear" w:pos="3515"/>
        </w:tabs>
        <w:spacing w:after="120"/>
        <w:ind w:left="1247"/>
        <w:rPr>
          <w:lang w:val="ru-RU"/>
        </w:rPr>
      </w:pPr>
      <w:r w:rsidRPr="00F92EBD">
        <w:rPr>
          <w:lang w:val="ru-RU"/>
        </w:rPr>
        <w:t>2.</w:t>
      </w:r>
      <w:r w:rsidRPr="00F92EBD">
        <w:rPr>
          <w:lang w:val="ru-RU"/>
        </w:rPr>
        <w:tab/>
      </w:r>
      <w:r w:rsidR="00945EA0" w:rsidRPr="00F92EBD">
        <w:rPr>
          <w:lang w:val="ru-RU"/>
        </w:rPr>
        <w:t>При подготовке настоящего доклада секретариат</w:t>
      </w:r>
      <w:r w:rsidR="004A6FD4">
        <w:rPr>
          <w:lang w:val="ru-RU"/>
        </w:rPr>
        <w:t xml:space="preserve"> запрашивал</w:t>
      </w:r>
      <w:r w:rsidR="00945EA0" w:rsidRPr="00F92EBD">
        <w:rPr>
          <w:lang w:val="ru-RU"/>
        </w:rPr>
        <w:t xml:space="preserve"> </w:t>
      </w:r>
      <w:r w:rsidR="004A6FD4" w:rsidRPr="00F92EBD">
        <w:rPr>
          <w:lang w:val="ru-RU"/>
        </w:rPr>
        <w:t>материалы и информацию о данных</w:t>
      </w:r>
      <w:r w:rsidR="00964D09">
        <w:rPr>
          <w:lang w:val="ru-RU"/>
        </w:rPr>
        <w:t xml:space="preserve"> у</w:t>
      </w:r>
      <w:r w:rsidR="004A6FD4" w:rsidRPr="00F92EBD">
        <w:rPr>
          <w:lang w:val="ru-RU"/>
        </w:rPr>
        <w:t xml:space="preserve"> </w:t>
      </w:r>
      <w:r w:rsidR="00945EA0" w:rsidRPr="00F92EBD">
        <w:rPr>
          <w:lang w:val="ru-RU"/>
        </w:rPr>
        <w:t>правительств, региональны</w:t>
      </w:r>
      <w:r w:rsidR="00964D09">
        <w:rPr>
          <w:lang w:val="ru-RU"/>
        </w:rPr>
        <w:t>х</w:t>
      </w:r>
      <w:r w:rsidR="00945EA0" w:rsidRPr="00F92EBD">
        <w:rPr>
          <w:lang w:val="ru-RU"/>
        </w:rPr>
        <w:t xml:space="preserve"> и субрегиональны</w:t>
      </w:r>
      <w:r w:rsidR="00964D09">
        <w:rPr>
          <w:lang w:val="ru-RU"/>
        </w:rPr>
        <w:t>х</w:t>
      </w:r>
      <w:r w:rsidR="00945EA0" w:rsidRPr="00F92EBD">
        <w:rPr>
          <w:lang w:val="ru-RU"/>
        </w:rPr>
        <w:t xml:space="preserve"> программ и други</w:t>
      </w:r>
      <w:r w:rsidR="00964D09">
        <w:rPr>
          <w:lang w:val="ru-RU"/>
        </w:rPr>
        <w:t>х</w:t>
      </w:r>
      <w:r w:rsidR="00945EA0" w:rsidRPr="00F92EBD">
        <w:rPr>
          <w:lang w:val="ru-RU"/>
        </w:rPr>
        <w:t xml:space="preserve"> источник</w:t>
      </w:r>
      <w:r w:rsidR="00964D09">
        <w:rPr>
          <w:lang w:val="ru-RU"/>
        </w:rPr>
        <w:t>ов</w:t>
      </w:r>
      <w:r w:rsidR="00945EA0" w:rsidRPr="00F92EBD">
        <w:rPr>
          <w:lang w:val="ru-RU"/>
        </w:rPr>
        <w:t>, а также</w:t>
      </w:r>
      <w:r w:rsidR="00964D09">
        <w:rPr>
          <w:lang w:val="ru-RU"/>
        </w:rPr>
        <w:t xml:space="preserve"> принял во внимание </w:t>
      </w:r>
      <w:r w:rsidR="00945EA0" w:rsidRPr="00F92EBD">
        <w:rPr>
          <w:lang w:val="ru-RU"/>
        </w:rPr>
        <w:t>информацию</w:t>
      </w:r>
      <w:r w:rsidR="00964D09">
        <w:rPr>
          <w:lang w:val="ru-RU"/>
        </w:rPr>
        <w:t xml:space="preserve">, </w:t>
      </w:r>
      <w:r w:rsidR="00445296">
        <w:rPr>
          <w:lang w:val="ru-RU"/>
        </w:rPr>
        <w:t>получ</w:t>
      </w:r>
      <w:r w:rsidR="00964D09">
        <w:rPr>
          <w:lang w:val="ru-RU"/>
        </w:rPr>
        <w:t>енную</w:t>
      </w:r>
      <w:r w:rsidR="00945EA0" w:rsidRPr="00F92EBD">
        <w:rPr>
          <w:lang w:val="ru-RU"/>
        </w:rPr>
        <w:t xml:space="preserve"> </w:t>
      </w:r>
      <w:r w:rsidR="00445296">
        <w:rPr>
          <w:lang w:val="ru-RU"/>
        </w:rPr>
        <w:t xml:space="preserve">от </w:t>
      </w:r>
      <w:r w:rsidR="00945EA0" w:rsidRPr="00F92EBD">
        <w:rPr>
          <w:lang w:val="ru-RU"/>
        </w:rPr>
        <w:t>заинтересованны</w:t>
      </w:r>
      <w:r w:rsidR="00445296">
        <w:rPr>
          <w:lang w:val="ru-RU"/>
        </w:rPr>
        <w:t>х</w:t>
      </w:r>
      <w:r w:rsidR="00945EA0" w:rsidRPr="00F92EBD">
        <w:rPr>
          <w:lang w:val="ru-RU"/>
        </w:rPr>
        <w:t xml:space="preserve"> сторон в ответ на пр</w:t>
      </w:r>
      <w:r w:rsidR="00D26199">
        <w:rPr>
          <w:lang w:val="ru-RU"/>
        </w:rPr>
        <w:t>едложения</w:t>
      </w:r>
      <w:r w:rsidR="00945EA0" w:rsidRPr="00F92EBD">
        <w:rPr>
          <w:lang w:val="ru-RU"/>
        </w:rPr>
        <w:t xml:space="preserve"> представл</w:t>
      </w:r>
      <w:r w:rsidR="00D26199">
        <w:rPr>
          <w:lang w:val="ru-RU"/>
        </w:rPr>
        <w:t>ять</w:t>
      </w:r>
      <w:r w:rsidR="00945EA0" w:rsidRPr="00F92EBD">
        <w:rPr>
          <w:lang w:val="ru-RU"/>
        </w:rPr>
        <w:t xml:space="preserve"> </w:t>
      </w:r>
      <w:r w:rsidR="00D26199">
        <w:rPr>
          <w:lang w:val="ru-RU"/>
        </w:rPr>
        <w:t>сведения</w:t>
      </w:r>
      <w:r w:rsidR="00945EA0" w:rsidRPr="00F92EBD">
        <w:rPr>
          <w:lang w:val="ru-RU"/>
        </w:rPr>
        <w:t xml:space="preserve"> как после шестой, так и после седьмой сесси</w:t>
      </w:r>
      <w:r w:rsidR="00D26199">
        <w:rPr>
          <w:lang w:val="ru-RU"/>
        </w:rPr>
        <w:t>й</w:t>
      </w:r>
      <w:r w:rsidR="00945EA0" w:rsidRPr="00F92EBD">
        <w:rPr>
          <w:lang w:val="ru-RU"/>
        </w:rPr>
        <w:t xml:space="preserve"> Межправительственного комитета </w:t>
      </w:r>
      <w:r w:rsidR="002543C5">
        <w:rPr>
          <w:lang w:val="ru-RU"/>
        </w:rPr>
        <w:t xml:space="preserve">для ведения </w:t>
      </w:r>
      <w:r w:rsidR="00945EA0" w:rsidRPr="00F92EBD">
        <w:rPr>
          <w:lang w:val="ru-RU"/>
        </w:rPr>
        <w:t>переговор</w:t>
      </w:r>
      <w:r w:rsidR="002543C5">
        <w:rPr>
          <w:lang w:val="ru-RU"/>
        </w:rPr>
        <w:t>ов</w:t>
      </w:r>
      <w:r w:rsidR="00945EA0" w:rsidRPr="00F92EBD">
        <w:rPr>
          <w:lang w:val="ru-RU"/>
        </w:rPr>
        <w:t xml:space="preserve">. </w:t>
      </w:r>
      <w:r w:rsidR="00945EA0" w:rsidRPr="007C730B">
        <w:rPr>
          <w:lang w:val="ru-RU"/>
        </w:rPr>
        <w:t>В докладе затрагивается ряд ключевых вопросов, которые возникли при рассмотрении вопроса о формировании механизмов для предоставления таких данных и информации об изменениях. Таким образом, в нем предоставляются первоначальные рекомендации для ра</w:t>
      </w:r>
      <w:r w:rsidR="00074DB5" w:rsidRPr="007C730B">
        <w:rPr>
          <w:lang w:val="ru-RU"/>
        </w:rPr>
        <w:t>ссмотрения Конференцией Сторон.</w:t>
      </w:r>
    </w:p>
    <w:p w14:paraId="05F7830E" w14:textId="04D6DEB2" w:rsidR="00945EA0" w:rsidRPr="00F92EBD" w:rsidRDefault="00F92EBD" w:rsidP="00E40C32">
      <w:pPr>
        <w:tabs>
          <w:tab w:val="clear" w:pos="1247"/>
          <w:tab w:val="clear" w:pos="1814"/>
          <w:tab w:val="clear" w:pos="2381"/>
          <w:tab w:val="clear" w:pos="2948"/>
          <w:tab w:val="clear" w:pos="3515"/>
        </w:tabs>
        <w:spacing w:after="120"/>
        <w:ind w:left="1247"/>
        <w:rPr>
          <w:lang w:val="ru-RU"/>
        </w:rPr>
      </w:pPr>
      <w:r w:rsidRPr="00F92EBD">
        <w:rPr>
          <w:lang w:val="ru-RU"/>
        </w:rPr>
        <w:t>3.</w:t>
      </w:r>
      <w:r w:rsidRPr="00F92EBD">
        <w:rPr>
          <w:lang w:val="ru-RU"/>
        </w:rPr>
        <w:tab/>
      </w:r>
      <w:r w:rsidR="008F0CC2" w:rsidRPr="00F92EBD">
        <w:rPr>
          <w:lang w:val="ru-RU"/>
        </w:rPr>
        <w:t>При анализе пункта</w:t>
      </w:r>
      <w:r w:rsidR="008F0CC2" w:rsidRPr="00E40C32">
        <w:t> </w:t>
      </w:r>
      <w:r w:rsidR="00945EA0" w:rsidRPr="00F92EBD">
        <w:rPr>
          <w:lang w:val="ru-RU"/>
        </w:rPr>
        <w:t>2 статьи</w:t>
      </w:r>
      <w:r w:rsidR="008F0CC2" w:rsidRPr="00E40C32">
        <w:t> </w:t>
      </w:r>
      <w:r w:rsidR="00945EA0" w:rsidRPr="00F92EBD">
        <w:rPr>
          <w:lang w:val="ru-RU"/>
        </w:rPr>
        <w:t>22 возникает ряд вопросов для рассмотрения Конференцией С</w:t>
      </w:r>
      <w:r w:rsidR="00074DB5" w:rsidRPr="00F92EBD">
        <w:rPr>
          <w:lang w:val="ru-RU"/>
        </w:rPr>
        <w:t>торон, которые излагаются ниже.</w:t>
      </w:r>
    </w:p>
    <w:p w14:paraId="036B6EA8" w14:textId="72F51463" w:rsidR="00945EA0" w:rsidRPr="007C730B" w:rsidRDefault="00914402" w:rsidP="00F92EBD">
      <w:pPr>
        <w:tabs>
          <w:tab w:val="clear" w:pos="1247"/>
          <w:tab w:val="clear" w:pos="1814"/>
          <w:tab w:val="clear" w:pos="2381"/>
          <w:tab w:val="clear" w:pos="2948"/>
          <w:tab w:val="clear" w:pos="3515"/>
          <w:tab w:val="right" w:pos="851"/>
        </w:tabs>
        <w:spacing w:after="120"/>
        <w:ind w:left="1247" w:right="284" w:hanging="1247"/>
        <w:rPr>
          <w:b/>
          <w:sz w:val="24"/>
          <w:szCs w:val="24"/>
          <w:lang w:val="ru-RU"/>
        </w:rPr>
      </w:pPr>
      <w:r w:rsidRPr="00F92EBD">
        <w:rPr>
          <w:b/>
          <w:sz w:val="24"/>
          <w:szCs w:val="24"/>
          <w:lang w:val="ru-RU"/>
        </w:rPr>
        <w:tab/>
      </w:r>
      <w:r w:rsidRPr="00F92EBD">
        <w:rPr>
          <w:b/>
          <w:sz w:val="24"/>
          <w:szCs w:val="24"/>
        </w:rPr>
        <w:t>A</w:t>
      </w:r>
      <w:r w:rsidRPr="007C730B">
        <w:rPr>
          <w:b/>
          <w:sz w:val="24"/>
          <w:szCs w:val="24"/>
          <w:lang w:val="ru-RU"/>
        </w:rPr>
        <w:t>.</w:t>
      </w:r>
      <w:r w:rsidRPr="007C730B">
        <w:rPr>
          <w:b/>
          <w:sz w:val="24"/>
          <w:szCs w:val="24"/>
          <w:lang w:val="ru-RU"/>
        </w:rPr>
        <w:tab/>
      </w:r>
      <w:r w:rsidR="008908B6" w:rsidRPr="007C730B">
        <w:rPr>
          <w:b/>
          <w:sz w:val="24"/>
          <w:szCs w:val="24"/>
          <w:lang w:val="ru-RU"/>
        </w:rPr>
        <w:t>Формирование механизмов для предоставления сравнимых данных мониторинга</w:t>
      </w:r>
    </w:p>
    <w:p w14:paraId="4B80C9D8" w14:textId="48F5A9B2" w:rsidR="00945EA0" w:rsidRPr="00F121FC" w:rsidRDefault="00914402" w:rsidP="00F92EBD">
      <w:pPr>
        <w:tabs>
          <w:tab w:val="clear" w:pos="1247"/>
          <w:tab w:val="clear" w:pos="1814"/>
          <w:tab w:val="clear" w:pos="2381"/>
          <w:tab w:val="clear" w:pos="2948"/>
          <w:tab w:val="clear" w:pos="3515"/>
          <w:tab w:val="right" w:pos="851"/>
        </w:tabs>
        <w:spacing w:after="120"/>
        <w:ind w:left="1247" w:right="284" w:hanging="1247"/>
        <w:rPr>
          <w:b/>
          <w:lang w:val="ru-RU"/>
        </w:rPr>
      </w:pPr>
      <w:r w:rsidRPr="007C730B">
        <w:rPr>
          <w:b/>
          <w:lang w:val="ru-RU"/>
        </w:rPr>
        <w:tab/>
      </w:r>
      <w:r w:rsidR="008908B6" w:rsidRPr="00F121FC">
        <w:rPr>
          <w:b/>
          <w:lang w:val="ru-RU"/>
        </w:rPr>
        <w:t>1.</w:t>
      </w:r>
      <w:r w:rsidR="008908B6" w:rsidRPr="00F121FC">
        <w:rPr>
          <w:b/>
          <w:lang w:val="ru-RU"/>
        </w:rPr>
        <w:tab/>
        <w:t>Сравнимость</w:t>
      </w:r>
    </w:p>
    <w:p w14:paraId="26CC40C2" w14:textId="76D6EB4F" w:rsidR="00945EA0" w:rsidRPr="00F121FC" w:rsidRDefault="00F121FC" w:rsidP="00E40C32">
      <w:pPr>
        <w:tabs>
          <w:tab w:val="clear" w:pos="1247"/>
          <w:tab w:val="clear" w:pos="1814"/>
          <w:tab w:val="clear" w:pos="2381"/>
          <w:tab w:val="clear" w:pos="2948"/>
          <w:tab w:val="clear" w:pos="3515"/>
        </w:tabs>
        <w:spacing w:after="120"/>
        <w:ind w:left="1247"/>
        <w:rPr>
          <w:lang w:val="ru-RU"/>
        </w:rPr>
      </w:pPr>
      <w:r w:rsidRPr="00F121FC">
        <w:rPr>
          <w:lang w:val="ru-RU"/>
        </w:rPr>
        <w:t>4.</w:t>
      </w:r>
      <w:r w:rsidRPr="00F121FC">
        <w:rPr>
          <w:lang w:val="ru-RU"/>
        </w:rPr>
        <w:tab/>
      </w:r>
      <w:r w:rsidR="00945EA0" w:rsidRPr="00F121FC">
        <w:rPr>
          <w:lang w:val="ru-RU"/>
        </w:rPr>
        <w:t xml:space="preserve">При консультациях, в частности с региональными организациями, имеющими опыт в анализе данных из различных источников, создается впечатление, что есть возможность для определения сравнимости данных, полученных из того же источника с использованием различных методологий выборки или аналитических методологий, при условии, что </w:t>
      </w:r>
      <w:r w:rsidR="00074DB5" w:rsidRPr="00F121FC">
        <w:rPr>
          <w:lang w:val="ru-RU"/>
        </w:rPr>
        <w:t>учтены соответствующие факторы.</w:t>
      </w:r>
    </w:p>
    <w:p w14:paraId="04DD0B6D" w14:textId="2E0E293D" w:rsidR="00945EA0" w:rsidRPr="007C730B" w:rsidRDefault="00F121FC" w:rsidP="00E40C32">
      <w:pPr>
        <w:tabs>
          <w:tab w:val="clear" w:pos="1247"/>
          <w:tab w:val="clear" w:pos="1814"/>
          <w:tab w:val="clear" w:pos="2381"/>
          <w:tab w:val="clear" w:pos="2948"/>
          <w:tab w:val="clear" w:pos="3515"/>
        </w:tabs>
        <w:spacing w:after="120"/>
        <w:ind w:left="1247"/>
        <w:rPr>
          <w:lang w:val="ru-RU"/>
        </w:rPr>
      </w:pPr>
      <w:r w:rsidRPr="00F121FC">
        <w:rPr>
          <w:lang w:val="ru-RU"/>
        </w:rPr>
        <w:t>5.</w:t>
      </w:r>
      <w:r w:rsidRPr="00F121FC">
        <w:rPr>
          <w:lang w:val="ru-RU"/>
        </w:rPr>
        <w:tab/>
      </w:r>
      <w:r w:rsidR="00945EA0" w:rsidRPr="00F121FC">
        <w:rPr>
          <w:lang w:val="ru-RU"/>
        </w:rPr>
        <w:t xml:space="preserve">Существует целый ряд технических </w:t>
      </w:r>
      <w:r w:rsidR="00074DB5" w:rsidRPr="00F121FC">
        <w:rPr>
          <w:lang w:val="ru-RU"/>
        </w:rPr>
        <w:t>аспектов</w:t>
      </w:r>
      <w:r w:rsidR="00945EA0" w:rsidRPr="00F121FC">
        <w:rPr>
          <w:lang w:val="ru-RU"/>
        </w:rPr>
        <w:t xml:space="preserve"> к рассмотрению. Важными среди этих </w:t>
      </w:r>
      <w:r w:rsidR="00074DB5" w:rsidRPr="00F121FC">
        <w:rPr>
          <w:lang w:val="ru-RU"/>
        </w:rPr>
        <w:t>аспектов</w:t>
      </w:r>
      <w:r w:rsidR="00945EA0" w:rsidRPr="00F121FC">
        <w:rPr>
          <w:lang w:val="ru-RU"/>
        </w:rPr>
        <w:t xml:space="preserve"> являются следующие: методология выборк</w:t>
      </w:r>
      <w:r w:rsidR="00945EA0" w:rsidRPr="007C730B">
        <w:rPr>
          <w:lang w:val="ru-RU"/>
        </w:rPr>
        <w:t>и, аналитическая методология и обработка данных. Были разработаны стандартные методологии для оценки уровней ртути во многих различных средах, с обеспечением последовательности и сравнимости результатов при использовании той же методологии. В некоторых случаях сравнимыми могут быть результаты, полученные с применением различных методологий, при использовании информации о методологиях и их оценке относительно стандартизированных процедур исследования. Кроме того, по мере разработки новых и усовершенствованных методов оценки необходимо разработать и опубликовать информацию о том, как такие результаты можно сравни</w:t>
      </w:r>
      <w:r w:rsidR="00074DB5" w:rsidRPr="007C730B">
        <w:rPr>
          <w:lang w:val="ru-RU"/>
        </w:rPr>
        <w:t>ва</w:t>
      </w:r>
      <w:r w:rsidR="00945EA0" w:rsidRPr="007C730B">
        <w:rPr>
          <w:lang w:val="ru-RU"/>
        </w:rPr>
        <w:t xml:space="preserve">ть с результатами, полученными с использованием других методологий. Этот момент следует учитывать, пока такие методы находятся в стадии разработки. Важно признать, что некоторые современные технологии не будут сразу доступны во всех регионах. Кроме того, важно включать данные из всех регионов в общую оценку эффективности </w:t>
      </w:r>
      <w:proofErr w:type="spellStart"/>
      <w:r w:rsidR="00945EA0" w:rsidRPr="007C730B">
        <w:rPr>
          <w:lang w:val="ru-RU"/>
        </w:rPr>
        <w:t>Минаматской</w:t>
      </w:r>
      <w:proofErr w:type="spellEnd"/>
      <w:r w:rsidR="00945EA0" w:rsidRPr="007C730B">
        <w:rPr>
          <w:lang w:val="ru-RU"/>
        </w:rPr>
        <w:t xml:space="preserve"> конвенции о ртути. Необходимы количественные и репрезентативные данные при обеспечении качества и про</w:t>
      </w:r>
      <w:r w:rsidR="00074DB5" w:rsidRPr="007C730B">
        <w:rPr>
          <w:lang w:val="ru-RU"/>
        </w:rPr>
        <w:t>цедурах контроля качества.</w:t>
      </w:r>
    </w:p>
    <w:p w14:paraId="2F0C09DF" w14:textId="7050E671" w:rsidR="00945EA0" w:rsidRPr="007C730B" w:rsidRDefault="00F121FC" w:rsidP="00E40C32">
      <w:pPr>
        <w:tabs>
          <w:tab w:val="clear" w:pos="1247"/>
          <w:tab w:val="clear" w:pos="1814"/>
          <w:tab w:val="clear" w:pos="2381"/>
          <w:tab w:val="clear" w:pos="2948"/>
          <w:tab w:val="clear" w:pos="3515"/>
        </w:tabs>
        <w:spacing w:after="120"/>
        <w:ind w:left="1247"/>
        <w:rPr>
          <w:lang w:val="ru-RU"/>
        </w:rPr>
      </w:pPr>
      <w:r w:rsidRPr="00F121FC">
        <w:rPr>
          <w:lang w:val="ru-RU"/>
        </w:rPr>
        <w:t>6.</w:t>
      </w:r>
      <w:r w:rsidRPr="00F121FC">
        <w:rPr>
          <w:lang w:val="ru-RU"/>
        </w:rPr>
        <w:tab/>
      </w:r>
      <w:r w:rsidR="00945EA0" w:rsidRPr="00F121FC">
        <w:rPr>
          <w:lang w:val="ru-RU"/>
        </w:rPr>
        <w:t xml:space="preserve">На сравнимость данных из различных сред может также влиять обоснование для отбора проб. </w:t>
      </w:r>
      <w:r w:rsidR="00945EA0" w:rsidRPr="007C730B">
        <w:rPr>
          <w:lang w:val="ru-RU"/>
        </w:rPr>
        <w:t>Цель отбора и анализа проб может обуславливать выбор участков отбора проб или методологии. Например, при выборе участков и сред для мониторинга, национ</w:t>
      </w:r>
      <w:r w:rsidR="00074DB5" w:rsidRPr="007C730B">
        <w:rPr>
          <w:lang w:val="ru-RU"/>
        </w:rPr>
        <w:t>альные директивные органы могут фокусироваться</w:t>
      </w:r>
      <w:r w:rsidR="00945EA0" w:rsidRPr="007C730B">
        <w:rPr>
          <w:lang w:val="ru-RU"/>
        </w:rPr>
        <w:t xml:space="preserve"> на выявлении проблемных мест, таких как </w:t>
      </w:r>
      <w:proofErr w:type="gramStart"/>
      <w:r w:rsidR="00945EA0" w:rsidRPr="007C730B">
        <w:rPr>
          <w:lang w:val="ru-RU"/>
        </w:rPr>
        <w:t>участки</w:t>
      </w:r>
      <w:proofErr w:type="gramEnd"/>
      <w:r w:rsidR="00945EA0" w:rsidRPr="007C730B">
        <w:rPr>
          <w:lang w:val="ru-RU"/>
        </w:rPr>
        <w:t xml:space="preserve"> с наличием местных источ</w:t>
      </w:r>
      <w:r w:rsidR="00074DB5" w:rsidRPr="007C730B">
        <w:rPr>
          <w:lang w:val="ru-RU"/>
        </w:rPr>
        <w:t>ников загрязнения или на фоновых уровнях</w:t>
      </w:r>
      <w:r w:rsidR="00945EA0" w:rsidRPr="007C730B">
        <w:rPr>
          <w:lang w:val="ru-RU"/>
        </w:rPr>
        <w:t xml:space="preserve"> ртути, которые могут воздействовать на население. В то время как программы мониторинга могут послужить источником полезной информации для оказания помощи национальным директивным органам в принятии обоснованных решений, цель сбора данных может повлиять на данные, что необходимо учитывать в случаях, когда такие данные отбираются для целей оценки. В рамках этой процедуры в некоторых регионах могут потребоваться дополнительные данные мониторинга, которые отражают цели эффективности процедуры оценки, и</w:t>
      </w:r>
      <w:r w:rsidR="00074DB5" w:rsidRPr="007C730B">
        <w:rPr>
          <w:lang w:val="ru-RU"/>
        </w:rPr>
        <w:t xml:space="preserve"> может возникнуть необходимость в рассмотрении дополнительных участков</w:t>
      </w:r>
      <w:r w:rsidR="00945EA0" w:rsidRPr="007C730B">
        <w:rPr>
          <w:lang w:val="ru-RU"/>
        </w:rPr>
        <w:t xml:space="preserve"> мониторинга и/или изменения в местоположениях существующих участков мониторинга.</w:t>
      </w:r>
    </w:p>
    <w:p w14:paraId="7BE38F78" w14:textId="6AA582B8" w:rsidR="00945EA0" w:rsidRPr="00F121FC" w:rsidRDefault="00F121FC" w:rsidP="00E40C32">
      <w:pPr>
        <w:tabs>
          <w:tab w:val="clear" w:pos="1247"/>
          <w:tab w:val="clear" w:pos="1814"/>
          <w:tab w:val="clear" w:pos="2381"/>
          <w:tab w:val="clear" w:pos="2948"/>
          <w:tab w:val="clear" w:pos="3515"/>
        </w:tabs>
        <w:spacing w:after="120"/>
        <w:ind w:left="1247"/>
        <w:rPr>
          <w:lang w:val="ru-RU"/>
        </w:rPr>
      </w:pPr>
      <w:r w:rsidRPr="00F121FC">
        <w:rPr>
          <w:lang w:val="ru-RU"/>
        </w:rPr>
        <w:t>7.</w:t>
      </w:r>
      <w:r w:rsidRPr="00F121FC">
        <w:rPr>
          <w:lang w:val="ru-RU"/>
        </w:rPr>
        <w:tab/>
      </w:r>
      <w:r w:rsidR="00945EA0" w:rsidRPr="00F121FC">
        <w:rPr>
          <w:lang w:val="ru-RU"/>
        </w:rPr>
        <w:t xml:space="preserve">Также необходимо регистрировать и включать в предоставляемые данные другие факторы, оказывающие влияние на местные уровни ртути, к числу которых относятся погодные, климатические условия и сезонные колебания, с </w:t>
      </w:r>
      <w:proofErr w:type="gramStart"/>
      <w:r w:rsidR="00945EA0" w:rsidRPr="00F121FC">
        <w:rPr>
          <w:lang w:val="ru-RU"/>
        </w:rPr>
        <w:t>тем</w:t>
      </w:r>
      <w:proofErr w:type="gramEnd"/>
      <w:r w:rsidR="00945EA0" w:rsidRPr="00F121FC">
        <w:rPr>
          <w:lang w:val="ru-RU"/>
        </w:rPr>
        <w:t xml:space="preserve"> чтобы обеспечить учет этих факторов при интерпретации данных.</w:t>
      </w:r>
    </w:p>
    <w:p w14:paraId="6403D82A" w14:textId="6A94CED8" w:rsidR="00945EA0" w:rsidRPr="007C730B" w:rsidRDefault="00F121FC" w:rsidP="00E40C32">
      <w:pPr>
        <w:tabs>
          <w:tab w:val="clear" w:pos="1247"/>
          <w:tab w:val="clear" w:pos="1814"/>
          <w:tab w:val="clear" w:pos="2381"/>
          <w:tab w:val="clear" w:pos="2948"/>
          <w:tab w:val="clear" w:pos="3515"/>
        </w:tabs>
        <w:spacing w:after="120"/>
        <w:ind w:left="1247"/>
        <w:rPr>
          <w:lang w:val="ru-RU"/>
        </w:rPr>
      </w:pPr>
      <w:r w:rsidRPr="00F121FC">
        <w:rPr>
          <w:lang w:val="ru-RU"/>
        </w:rPr>
        <w:t>8.</w:t>
      </w:r>
      <w:r w:rsidRPr="00F121FC">
        <w:rPr>
          <w:lang w:val="ru-RU"/>
        </w:rPr>
        <w:tab/>
      </w:r>
      <w:r w:rsidR="00945EA0" w:rsidRPr="00F121FC">
        <w:rPr>
          <w:lang w:val="ru-RU"/>
        </w:rPr>
        <w:t xml:space="preserve">Вышеупомянутые факторы должны учитываться при изучении изменений уровней ртути и ртутных соединений в </w:t>
      </w:r>
      <w:proofErr w:type="spellStart"/>
      <w:r w:rsidR="00945EA0" w:rsidRPr="00F121FC">
        <w:rPr>
          <w:lang w:val="ru-RU"/>
        </w:rPr>
        <w:t>биоте</w:t>
      </w:r>
      <w:proofErr w:type="spellEnd"/>
      <w:r w:rsidR="00945EA0" w:rsidRPr="00F121FC">
        <w:rPr>
          <w:lang w:val="ru-RU"/>
        </w:rPr>
        <w:t xml:space="preserve"> и среди уязвимых групп населения. </w:t>
      </w:r>
      <w:r w:rsidR="00945EA0" w:rsidRPr="007C730B">
        <w:rPr>
          <w:lang w:val="ru-RU"/>
        </w:rPr>
        <w:t>Также должны быть приняты во внимание пространственные и временные аспекты. Более старые данные могут иметь целесообразность в том, что касается информации о временных тенденциях, если соблюдены критерии приемлемости и если имеется достаточный объем информации для определения сравнимости с более свежими данными. Сравнение временных данных может быть облегчено через использование одного и того же метода в долгосрочной перспективе. Следует уделять внимание методологиям мод</w:t>
      </w:r>
      <w:r w:rsidR="00074DB5" w:rsidRPr="007C730B">
        <w:rPr>
          <w:lang w:val="ru-RU"/>
        </w:rPr>
        <w:t>елирования. Моделирование имеет</w:t>
      </w:r>
      <w:r w:rsidR="00945EA0" w:rsidRPr="007C730B">
        <w:rPr>
          <w:lang w:val="ru-RU"/>
        </w:rPr>
        <w:t xml:space="preserve"> </w:t>
      </w:r>
      <w:r w:rsidR="00074DB5" w:rsidRPr="007C730B">
        <w:rPr>
          <w:lang w:val="ru-RU"/>
        </w:rPr>
        <w:t xml:space="preserve">большое </w:t>
      </w:r>
      <w:r w:rsidR="00945EA0" w:rsidRPr="007C730B">
        <w:rPr>
          <w:lang w:val="ru-RU"/>
        </w:rPr>
        <w:t>значение для заполнения пробелов в данных мониторинга, оно также играет важную роль в обеспечении связи между мультимедийными наборами данных. Для обеспечения возможности получить достаточные сравнимые данные и соответствующую информацию может потребоваться выявле</w:t>
      </w:r>
      <w:r w:rsidR="00074DB5" w:rsidRPr="007C730B">
        <w:rPr>
          <w:lang w:val="ru-RU"/>
        </w:rPr>
        <w:t>ние ключевых видов-индикаторов.</w:t>
      </w:r>
    </w:p>
    <w:p w14:paraId="0288C0EB" w14:textId="69D013ED" w:rsidR="00945EA0" w:rsidRPr="007C730B" w:rsidRDefault="00F121FC" w:rsidP="00E40C32">
      <w:pPr>
        <w:tabs>
          <w:tab w:val="clear" w:pos="1247"/>
          <w:tab w:val="clear" w:pos="1814"/>
          <w:tab w:val="clear" w:pos="2381"/>
          <w:tab w:val="clear" w:pos="2948"/>
          <w:tab w:val="clear" w:pos="3515"/>
        </w:tabs>
        <w:spacing w:after="120"/>
        <w:ind w:left="1247"/>
        <w:rPr>
          <w:lang w:val="ru-RU"/>
        </w:rPr>
      </w:pPr>
      <w:r w:rsidRPr="00F121FC">
        <w:rPr>
          <w:lang w:val="ru-RU"/>
        </w:rPr>
        <w:t>9.</w:t>
      </w:r>
      <w:r w:rsidRPr="00F121FC">
        <w:rPr>
          <w:lang w:val="ru-RU"/>
        </w:rPr>
        <w:tab/>
      </w:r>
      <w:r w:rsidR="00945EA0" w:rsidRPr="00F121FC">
        <w:rPr>
          <w:lang w:val="ru-RU"/>
        </w:rPr>
        <w:t xml:space="preserve">Важно обеспечить глобальную основу для общей оценки эффективности Конвенции. </w:t>
      </w:r>
      <w:r w:rsidR="00945EA0" w:rsidRPr="007C730B">
        <w:rPr>
          <w:lang w:val="ru-RU"/>
        </w:rPr>
        <w:t>Поэтому желательно обеспечить широкий круг данных из как можно большего числа регионов, при том понимании, что имеющиеся технологии будут варьиров</w:t>
      </w:r>
      <w:r w:rsidR="00074DB5" w:rsidRPr="007C730B">
        <w:rPr>
          <w:lang w:val="ru-RU"/>
        </w:rPr>
        <w:t>аться в зависимости от региона.</w:t>
      </w:r>
    </w:p>
    <w:p w14:paraId="535D9BEF" w14:textId="1B49F492" w:rsidR="00945EA0" w:rsidRPr="00F121FC" w:rsidRDefault="00914402" w:rsidP="00F92EBD">
      <w:pPr>
        <w:tabs>
          <w:tab w:val="clear" w:pos="1247"/>
          <w:tab w:val="clear" w:pos="1814"/>
          <w:tab w:val="clear" w:pos="2381"/>
          <w:tab w:val="clear" w:pos="2948"/>
          <w:tab w:val="clear" w:pos="3515"/>
          <w:tab w:val="right" w:pos="851"/>
        </w:tabs>
        <w:spacing w:after="120"/>
        <w:ind w:left="1247" w:right="284" w:hanging="1247"/>
        <w:rPr>
          <w:b/>
          <w:lang w:val="ru-RU"/>
        </w:rPr>
      </w:pPr>
      <w:r w:rsidRPr="007C730B">
        <w:rPr>
          <w:b/>
          <w:lang w:val="ru-RU"/>
        </w:rPr>
        <w:tab/>
      </w:r>
      <w:r w:rsidR="008908B6" w:rsidRPr="00F121FC">
        <w:rPr>
          <w:b/>
          <w:lang w:val="ru-RU"/>
        </w:rPr>
        <w:t>2.</w:t>
      </w:r>
      <w:r w:rsidR="008908B6" w:rsidRPr="00F121FC">
        <w:rPr>
          <w:b/>
          <w:lang w:val="ru-RU"/>
        </w:rPr>
        <w:tab/>
        <w:t>Формирование механизмов</w:t>
      </w:r>
    </w:p>
    <w:p w14:paraId="4934123E" w14:textId="6E9954AB" w:rsidR="00945EA0" w:rsidRPr="00F121FC" w:rsidRDefault="00F121FC" w:rsidP="00E40C32">
      <w:pPr>
        <w:tabs>
          <w:tab w:val="clear" w:pos="1247"/>
          <w:tab w:val="clear" w:pos="1814"/>
          <w:tab w:val="clear" w:pos="2381"/>
          <w:tab w:val="clear" w:pos="2948"/>
          <w:tab w:val="clear" w:pos="3515"/>
        </w:tabs>
        <w:spacing w:after="120"/>
        <w:ind w:left="1247"/>
        <w:rPr>
          <w:lang w:val="ru-RU"/>
        </w:rPr>
      </w:pPr>
      <w:r w:rsidRPr="00F121FC">
        <w:rPr>
          <w:lang w:val="ru-RU"/>
        </w:rPr>
        <w:t>10.</w:t>
      </w:r>
      <w:r w:rsidRPr="00F121FC">
        <w:rPr>
          <w:lang w:val="ru-RU"/>
        </w:rPr>
        <w:tab/>
      </w:r>
      <w:r w:rsidR="00945EA0" w:rsidRPr="00F121FC">
        <w:rPr>
          <w:lang w:val="ru-RU"/>
        </w:rPr>
        <w:t>При инициировании формирования механизмов для представлен</w:t>
      </w:r>
      <w:r w:rsidR="00074DB5" w:rsidRPr="00F121FC">
        <w:rPr>
          <w:lang w:val="ru-RU"/>
        </w:rPr>
        <w:t xml:space="preserve">ия сравнимых данных мониторинга </w:t>
      </w:r>
      <w:r w:rsidR="00945EA0" w:rsidRPr="00F121FC">
        <w:rPr>
          <w:lang w:val="ru-RU"/>
        </w:rPr>
        <w:t>важным начальным фактором должны являться имеющиеся в настоящее время данные, доступные через существующие национальные, субрегиональные, региональные или глобальные программ</w:t>
      </w:r>
      <w:r w:rsidR="00074DB5" w:rsidRPr="00F121FC">
        <w:rPr>
          <w:lang w:val="ru-RU"/>
        </w:rPr>
        <w:t>ы</w:t>
      </w:r>
      <w:r w:rsidR="00945EA0" w:rsidRPr="00F121FC">
        <w:rPr>
          <w:lang w:val="ru-RU"/>
        </w:rPr>
        <w:t xml:space="preserve"> мониторинга. Для определения качества и применимости для оценки эффективности Конвенц</w:t>
      </w:r>
      <w:r w:rsidR="00074DB5" w:rsidRPr="00F121FC">
        <w:rPr>
          <w:lang w:val="ru-RU"/>
        </w:rPr>
        <w:t>ии потребуется протокол оценки.</w:t>
      </w:r>
    </w:p>
    <w:p w14:paraId="6DACAD03" w14:textId="6BFD93B0" w:rsidR="00945EA0" w:rsidRPr="00F121FC" w:rsidRDefault="00F121FC" w:rsidP="00E40C32">
      <w:pPr>
        <w:tabs>
          <w:tab w:val="clear" w:pos="1247"/>
          <w:tab w:val="clear" w:pos="1814"/>
          <w:tab w:val="clear" w:pos="2381"/>
          <w:tab w:val="clear" w:pos="2948"/>
          <w:tab w:val="clear" w:pos="3515"/>
        </w:tabs>
        <w:spacing w:after="120"/>
        <w:ind w:left="1247"/>
        <w:rPr>
          <w:lang w:val="ru-RU"/>
        </w:rPr>
      </w:pPr>
      <w:r w:rsidRPr="00F121FC">
        <w:rPr>
          <w:lang w:val="ru-RU"/>
        </w:rPr>
        <w:t>11.</w:t>
      </w:r>
      <w:r w:rsidRPr="00F121FC">
        <w:rPr>
          <w:lang w:val="ru-RU"/>
        </w:rPr>
        <w:tab/>
      </w:r>
      <w:r w:rsidR="00945EA0" w:rsidRPr="00F121FC">
        <w:rPr>
          <w:lang w:val="ru-RU"/>
        </w:rPr>
        <w:t xml:space="preserve">В рамках последующей деятельности по </w:t>
      </w:r>
      <w:proofErr w:type="gramStart"/>
      <w:r w:rsidR="00945EA0" w:rsidRPr="00F121FC">
        <w:rPr>
          <w:lang w:val="ru-RU"/>
        </w:rPr>
        <w:t>итогам</w:t>
      </w:r>
      <w:proofErr w:type="gramEnd"/>
      <w:r w:rsidR="00945EA0" w:rsidRPr="00F121FC">
        <w:rPr>
          <w:lang w:val="ru-RU"/>
        </w:rPr>
        <w:t xml:space="preserve"> как шестой, так и седьмой сессий Межправительственного комитета </w:t>
      </w:r>
      <w:r w:rsidR="00795703">
        <w:rPr>
          <w:lang w:val="ru-RU"/>
        </w:rPr>
        <w:t>для</w:t>
      </w:r>
      <w:r w:rsidR="00945EA0" w:rsidRPr="00F121FC">
        <w:rPr>
          <w:lang w:val="ru-RU"/>
        </w:rPr>
        <w:t xml:space="preserve"> ведени</w:t>
      </w:r>
      <w:r w:rsidR="00795703">
        <w:rPr>
          <w:lang w:val="ru-RU"/>
        </w:rPr>
        <w:t>я</w:t>
      </w:r>
      <w:r w:rsidR="00945EA0" w:rsidRPr="00F121FC">
        <w:rPr>
          <w:lang w:val="ru-RU"/>
        </w:rPr>
        <w:t xml:space="preserve"> переговоров была запрошена информация об имеющихся данных, и ряд национальных правительств, субрегиональных и региональных организаций представили такую информацию. Также имеется некоторый объем и</w:t>
      </w:r>
      <w:r w:rsidR="00074DB5" w:rsidRPr="00F121FC">
        <w:rPr>
          <w:lang w:val="ru-RU"/>
        </w:rPr>
        <w:t>нформации на глобальном уровне.</w:t>
      </w:r>
    </w:p>
    <w:p w14:paraId="147639CA" w14:textId="68E3BA59" w:rsidR="00945EA0" w:rsidRPr="007C730B" w:rsidRDefault="00F121FC" w:rsidP="00E40C32">
      <w:pPr>
        <w:tabs>
          <w:tab w:val="clear" w:pos="1247"/>
          <w:tab w:val="clear" w:pos="1814"/>
          <w:tab w:val="clear" w:pos="2381"/>
          <w:tab w:val="clear" w:pos="2948"/>
          <w:tab w:val="clear" w:pos="3515"/>
        </w:tabs>
        <w:spacing w:after="120"/>
        <w:ind w:left="1247"/>
        <w:rPr>
          <w:lang w:val="ru-RU"/>
        </w:rPr>
      </w:pPr>
      <w:r w:rsidRPr="00F121FC">
        <w:rPr>
          <w:lang w:val="ru-RU"/>
        </w:rPr>
        <w:t>12.</w:t>
      </w:r>
      <w:r w:rsidRPr="00F121FC">
        <w:rPr>
          <w:lang w:val="ru-RU"/>
        </w:rPr>
        <w:tab/>
      </w:r>
      <w:r w:rsidR="00663F93" w:rsidRPr="00F121FC">
        <w:rPr>
          <w:lang w:val="ru-RU"/>
        </w:rPr>
        <w:t>В рамках подго</w:t>
      </w:r>
      <w:r w:rsidR="00074DB5" w:rsidRPr="00F121FC">
        <w:rPr>
          <w:lang w:val="ru-RU"/>
        </w:rPr>
        <w:t>товки к осуществлению Конвенции</w:t>
      </w:r>
      <w:r w:rsidR="00663F93" w:rsidRPr="00F121FC">
        <w:rPr>
          <w:lang w:val="ru-RU"/>
        </w:rPr>
        <w:t xml:space="preserve"> многие правительства провели отдельные оценки выбросов ртути в воздух и высвобождений в почву и в воду, а также разработали планы для рассмотрения точечных источников ртути на национальном уровне. Некоторые правительства провели общую оценку на кабинетном уровне, в то время как другие провели более подробную оценку. Так</w:t>
      </w:r>
      <w:r w:rsidR="00663F93" w:rsidRPr="007C730B">
        <w:rPr>
          <w:lang w:val="ru-RU"/>
        </w:rPr>
        <w:t xml:space="preserve">ие данные вносят вклад в совокупность информации об источниках ртути в окружающей среде, которая затем может использоваться вместе с соответствующими моделями для оценки уровней ртути на местном уровне и на удаленном расстоянии в </w:t>
      </w:r>
      <w:r w:rsidR="00074DB5" w:rsidRPr="007C730B">
        <w:rPr>
          <w:lang w:val="ru-RU"/>
        </w:rPr>
        <w:t>зависимости от путей осаждения.</w:t>
      </w:r>
    </w:p>
    <w:p w14:paraId="1693AADD" w14:textId="0370DEDF" w:rsidR="00945EA0" w:rsidRPr="007C730B" w:rsidRDefault="00F121FC" w:rsidP="00E40C32">
      <w:pPr>
        <w:tabs>
          <w:tab w:val="clear" w:pos="1247"/>
          <w:tab w:val="clear" w:pos="1814"/>
          <w:tab w:val="clear" w:pos="2381"/>
          <w:tab w:val="clear" w:pos="2948"/>
          <w:tab w:val="clear" w:pos="3515"/>
        </w:tabs>
        <w:spacing w:after="120"/>
        <w:ind w:left="1247"/>
        <w:rPr>
          <w:lang w:val="ru-RU"/>
        </w:rPr>
      </w:pPr>
      <w:r w:rsidRPr="00F121FC">
        <w:rPr>
          <w:lang w:val="ru-RU"/>
        </w:rPr>
        <w:t>13.</w:t>
      </w:r>
      <w:r w:rsidRPr="00F121FC">
        <w:rPr>
          <w:lang w:val="ru-RU"/>
        </w:rPr>
        <w:tab/>
      </w:r>
      <w:r w:rsidR="00945EA0" w:rsidRPr="00F121FC">
        <w:rPr>
          <w:lang w:val="ru-RU"/>
        </w:rPr>
        <w:t>Кроме того, Конвенция предусматривает обязательство для каждой Стороны по формированию кадастра выбросов из соответствующих источников, как это предус</w:t>
      </w:r>
      <w:r w:rsidR="00703CC7" w:rsidRPr="00F121FC">
        <w:rPr>
          <w:lang w:val="ru-RU"/>
        </w:rPr>
        <w:t>мотрено в статье</w:t>
      </w:r>
      <w:r w:rsidR="00703CC7" w:rsidRPr="00E40C32">
        <w:t> </w:t>
      </w:r>
      <w:r w:rsidR="00703CC7" w:rsidRPr="00F121FC">
        <w:rPr>
          <w:lang w:val="ru-RU"/>
        </w:rPr>
        <w:t>8 и приложении</w:t>
      </w:r>
      <w:r w:rsidR="00703CC7" w:rsidRPr="00E40C32">
        <w:t> </w:t>
      </w:r>
      <w:r w:rsidR="00945EA0" w:rsidRPr="00E40C32">
        <w:t>D</w:t>
      </w:r>
      <w:r w:rsidR="00945EA0" w:rsidRPr="00F121FC">
        <w:rPr>
          <w:lang w:val="ru-RU"/>
        </w:rPr>
        <w:t xml:space="preserve">, не позднее чем через пять лет после даты вступления в силу настоящей Конвенции для этой Стороны. </w:t>
      </w:r>
      <w:r w:rsidR="00945EA0" w:rsidRPr="007C730B">
        <w:rPr>
          <w:lang w:val="ru-RU"/>
        </w:rPr>
        <w:t xml:space="preserve">Такие кадастры могут стать источником полезных данных </w:t>
      </w:r>
      <w:r w:rsidR="00703CC7" w:rsidRPr="007C730B">
        <w:rPr>
          <w:lang w:val="ru-RU"/>
        </w:rPr>
        <w:t>в будущем. Как указано в статье</w:t>
      </w:r>
      <w:r w:rsidR="00703CC7" w:rsidRPr="00E40C32">
        <w:t> </w:t>
      </w:r>
      <w:r w:rsidR="00945EA0" w:rsidRPr="007C730B">
        <w:rPr>
          <w:lang w:val="ru-RU"/>
        </w:rPr>
        <w:t>9, каждая Сторона обязана также сформировать кадастр высвобождений ртути из соответствующих источников, что станет источником дополнительных данных, не позднее чем через пять лет после даты вступления в силу настоящей Конвенции для этой Стороны. Каждая Сторона будет и далее нести обязательство по представлению отчетности о ходе осуществления Конвенции. Хотя подготовка формы отчетности еще не завершена, через эту отчетность могут быть получены количественные данные о выбросах и высвобождениях ртути. Информация от каждой Стороны должна предоставляться через национальный координационный центр.</w:t>
      </w:r>
    </w:p>
    <w:p w14:paraId="3A0EA7C4" w14:textId="1C22D220" w:rsidR="00945EA0" w:rsidRPr="007C730B" w:rsidRDefault="00F121FC" w:rsidP="00E40C32">
      <w:pPr>
        <w:tabs>
          <w:tab w:val="clear" w:pos="1247"/>
          <w:tab w:val="clear" w:pos="1814"/>
          <w:tab w:val="clear" w:pos="2381"/>
          <w:tab w:val="clear" w:pos="2948"/>
          <w:tab w:val="clear" w:pos="3515"/>
        </w:tabs>
        <w:spacing w:after="120"/>
        <w:ind w:left="1247"/>
        <w:rPr>
          <w:lang w:val="ru-RU"/>
        </w:rPr>
      </w:pPr>
      <w:r w:rsidRPr="00F121FC">
        <w:rPr>
          <w:lang w:val="ru-RU"/>
        </w:rPr>
        <w:t>14.</w:t>
      </w:r>
      <w:r w:rsidRPr="00F121FC">
        <w:rPr>
          <w:lang w:val="ru-RU"/>
        </w:rPr>
        <w:tab/>
      </w:r>
      <w:r w:rsidR="00945EA0" w:rsidRPr="00F121FC">
        <w:rPr>
          <w:lang w:val="ru-RU"/>
        </w:rPr>
        <w:t xml:space="preserve">При оценке ртути в популяциях человека должна быть рассмотрена подверженность (например, детей и беременных женщин) и воздействие (например, через потребление зараженной рыбы и морских млекопитающих и кустарную и мелкомасштабную золотодобычу). </w:t>
      </w:r>
      <w:r w:rsidR="00945EA0" w:rsidRPr="007C730B">
        <w:rPr>
          <w:lang w:val="ru-RU"/>
        </w:rPr>
        <w:t>Может возникнуть потребность в оценк</w:t>
      </w:r>
      <w:r w:rsidR="00703CC7" w:rsidRPr="007C730B">
        <w:rPr>
          <w:lang w:val="ru-RU"/>
        </w:rPr>
        <w:t xml:space="preserve">е воздействия </w:t>
      </w:r>
      <w:proofErr w:type="spellStart"/>
      <w:r w:rsidR="00703CC7" w:rsidRPr="007C730B">
        <w:rPr>
          <w:lang w:val="ru-RU"/>
        </w:rPr>
        <w:t>метилртути</w:t>
      </w:r>
      <w:proofErr w:type="spellEnd"/>
      <w:r w:rsidR="00703CC7" w:rsidRPr="007C730B">
        <w:rPr>
          <w:lang w:val="ru-RU"/>
        </w:rPr>
        <w:t xml:space="preserve"> посредством </w:t>
      </w:r>
      <w:r w:rsidR="00945EA0" w:rsidRPr="007C730B">
        <w:rPr>
          <w:lang w:val="ru-RU"/>
        </w:rPr>
        <w:t>анализ</w:t>
      </w:r>
      <w:r w:rsidR="00703CC7" w:rsidRPr="007C730B">
        <w:rPr>
          <w:lang w:val="ru-RU"/>
        </w:rPr>
        <w:t>а</w:t>
      </w:r>
      <w:r w:rsidR="00945EA0" w:rsidRPr="007C730B">
        <w:rPr>
          <w:lang w:val="ru-RU"/>
        </w:rPr>
        <w:t xml:space="preserve"> волос матери, анализ</w:t>
      </w:r>
      <w:r w:rsidR="00703CC7" w:rsidRPr="007C730B">
        <w:rPr>
          <w:lang w:val="ru-RU"/>
        </w:rPr>
        <w:t>а</w:t>
      </w:r>
      <w:r w:rsidR="00945EA0" w:rsidRPr="007C730B">
        <w:rPr>
          <w:lang w:val="ru-RU"/>
        </w:rPr>
        <w:t xml:space="preserve"> пуповинной крови для плода/ребенка и/или мочи для измерения неорганического воздействия ртути. Мониторинг </w:t>
      </w:r>
      <w:proofErr w:type="spellStart"/>
      <w:r w:rsidR="00945EA0" w:rsidRPr="007C730B">
        <w:rPr>
          <w:lang w:val="ru-RU"/>
        </w:rPr>
        <w:t>биоты</w:t>
      </w:r>
      <w:proofErr w:type="spellEnd"/>
      <w:r w:rsidR="00945EA0" w:rsidRPr="007C730B">
        <w:rPr>
          <w:lang w:val="ru-RU"/>
        </w:rPr>
        <w:t xml:space="preserve"> должен быть увязан с биомониторингом природных сред и человека. Будет необходимо изыскать способ для оценки уровней ртути в региональных экосистемах и окружающей среде, а также для дальнейшей оценки ее уровней в продуктах питания (как морского, так и наземного происхождения). Оценка должна быть приведена в соответствие с существующими протоколами по сбору, анализу образцов и представлению отчетности.</w:t>
      </w:r>
    </w:p>
    <w:p w14:paraId="5F46EEFB" w14:textId="22C149D1" w:rsidR="00945EA0" w:rsidRPr="00F121FC" w:rsidRDefault="00F121FC" w:rsidP="00E40C32">
      <w:pPr>
        <w:tabs>
          <w:tab w:val="clear" w:pos="1247"/>
          <w:tab w:val="clear" w:pos="1814"/>
          <w:tab w:val="clear" w:pos="2381"/>
          <w:tab w:val="clear" w:pos="2948"/>
          <w:tab w:val="clear" w:pos="3515"/>
        </w:tabs>
        <w:spacing w:after="120"/>
        <w:ind w:left="1247"/>
        <w:rPr>
          <w:lang w:val="ru-RU"/>
        </w:rPr>
      </w:pPr>
      <w:r w:rsidRPr="00F121FC">
        <w:rPr>
          <w:lang w:val="ru-RU"/>
        </w:rPr>
        <w:t>15.</w:t>
      </w:r>
      <w:r w:rsidRPr="00F121FC">
        <w:rPr>
          <w:lang w:val="ru-RU"/>
        </w:rPr>
        <w:tab/>
      </w:r>
      <w:r w:rsidR="00945EA0" w:rsidRPr="00F121FC">
        <w:rPr>
          <w:lang w:val="ru-RU"/>
        </w:rPr>
        <w:t>Глобальные оценки уровней ртути в окружающей среде были проведены</w:t>
      </w:r>
      <w:r w:rsidR="00203B64">
        <w:rPr>
          <w:lang w:val="ru-RU"/>
        </w:rPr>
        <w:t xml:space="preserve"> Программой Организации Объединенных Наций по окружающей среде</w:t>
      </w:r>
      <w:r w:rsidR="00945EA0" w:rsidRPr="00F121FC">
        <w:rPr>
          <w:lang w:val="ru-RU"/>
        </w:rPr>
        <w:t xml:space="preserve"> </w:t>
      </w:r>
      <w:r w:rsidR="00203B64">
        <w:rPr>
          <w:lang w:val="ru-RU"/>
        </w:rPr>
        <w:t>(</w:t>
      </w:r>
      <w:r w:rsidR="00945EA0" w:rsidRPr="00F121FC">
        <w:rPr>
          <w:lang w:val="ru-RU"/>
        </w:rPr>
        <w:t>ЮНЕП</w:t>
      </w:r>
      <w:r w:rsidR="00203B64">
        <w:rPr>
          <w:lang w:val="ru-RU"/>
        </w:rPr>
        <w:t>)</w:t>
      </w:r>
      <w:r w:rsidR="00945EA0" w:rsidRPr="00F121FC">
        <w:rPr>
          <w:lang w:val="ru-RU"/>
        </w:rPr>
        <w:t xml:space="preserve"> с использованием сочетания фактических и моделируемых данных, а проведение новой технической оце</w:t>
      </w:r>
      <w:r w:rsidR="00703CC7" w:rsidRPr="00F121FC">
        <w:rPr>
          <w:lang w:val="ru-RU"/>
        </w:rPr>
        <w:t>нки ожидается в 2018</w:t>
      </w:r>
      <w:r w:rsidR="00703CC7" w:rsidRPr="00E40C32">
        <w:t> </w:t>
      </w:r>
      <w:r w:rsidR="00703CC7" w:rsidRPr="00F121FC">
        <w:rPr>
          <w:lang w:val="ru-RU"/>
        </w:rPr>
        <w:t>году.</w:t>
      </w:r>
    </w:p>
    <w:p w14:paraId="3F4AF8C9" w14:textId="7977A82A" w:rsidR="00945EA0" w:rsidRPr="007C730B" w:rsidRDefault="00F121FC" w:rsidP="00E40C32">
      <w:pPr>
        <w:tabs>
          <w:tab w:val="clear" w:pos="1247"/>
          <w:tab w:val="clear" w:pos="1814"/>
          <w:tab w:val="clear" w:pos="2381"/>
          <w:tab w:val="clear" w:pos="2948"/>
          <w:tab w:val="clear" w:pos="3515"/>
        </w:tabs>
        <w:spacing w:after="120"/>
        <w:ind w:left="1247"/>
        <w:rPr>
          <w:lang w:val="ru-RU"/>
        </w:rPr>
      </w:pPr>
      <w:r w:rsidRPr="00F121FC">
        <w:rPr>
          <w:lang w:val="ru-RU"/>
        </w:rPr>
        <w:t>16.</w:t>
      </w:r>
      <w:r w:rsidRPr="00F121FC">
        <w:rPr>
          <w:lang w:val="ru-RU"/>
        </w:rPr>
        <w:tab/>
      </w:r>
      <w:r w:rsidR="00945EA0" w:rsidRPr="00F121FC">
        <w:rPr>
          <w:lang w:val="ru-RU"/>
        </w:rPr>
        <w:t>База данных Глобальной системы мониторинга окружающей среды – Программы мониторинга и оценки загрязнения пищевых продуктов</w:t>
      </w:r>
      <w:r w:rsidR="00203B64">
        <w:rPr>
          <w:lang w:val="ru-RU"/>
        </w:rPr>
        <w:t xml:space="preserve"> </w:t>
      </w:r>
      <w:r w:rsidR="00203B64" w:rsidRPr="00F121FC">
        <w:rPr>
          <w:lang w:val="ru-RU"/>
        </w:rPr>
        <w:t>(ГСМОС</w:t>
      </w:r>
      <w:r w:rsidR="00C11D1C">
        <w:rPr>
          <w:lang w:val="ru-RU"/>
        </w:rPr>
        <w:t>/Продовольствие</w:t>
      </w:r>
      <w:r w:rsidR="00203B64" w:rsidRPr="00F121FC">
        <w:rPr>
          <w:lang w:val="ru-RU"/>
        </w:rPr>
        <w:t>)</w:t>
      </w:r>
      <w:r w:rsidR="00945EA0" w:rsidRPr="00F121FC">
        <w:rPr>
          <w:lang w:val="ru-RU"/>
        </w:rPr>
        <w:t xml:space="preserve">, глобальная база данных химических загрязнителей в продуктах питания, содержит обширные данные об уровнях ртути. </w:t>
      </w:r>
      <w:r w:rsidR="00945EA0" w:rsidRPr="0035618B">
        <w:rPr>
          <w:lang w:val="ru-RU"/>
        </w:rPr>
        <w:t>В настоящее время эта база данных содер</w:t>
      </w:r>
      <w:r w:rsidR="00703CC7" w:rsidRPr="0035618B">
        <w:rPr>
          <w:lang w:val="ru-RU"/>
        </w:rPr>
        <w:t>жит результаты анализа свыше 75</w:t>
      </w:r>
      <w:r w:rsidR="00703CC7" w:rsidRPr="00E40C32">
        <w:t> </w:t>
      </w:r>
      <w:r w:rsidR="00703CC7" w:rsidRPr="0035618B">
        <w:rPr>
          <w:lang w:val="ru-RU"/>
        </w:rPr>
        <w:t>00</w:t>
      </w:r>
      <w:r w:rsidR="006262A3">
        <w:rPr>
          <w:lang w:val="ru-RU"/>
        </w:rPr>
        <w:t>0</w:t>
      </w:r>
      <w:r w:rsidR="00703CC7" w:rsidRPr="00E40C32">
        <w:t> </w:t>
      </w:r>
      <w:r w:rsidR="00945EA0" w:rsidRPr="0035618B">
        <w:rPr>
          <w:lang w:val="ru-RU"/>
        </w:rPr>
        <w:t>пр</w:t>
      </w:r>
      <w:r w:rsidR="00703CC7" w:rsidRPr="0035618B">
        <w:rPr>
          <w:lang w:val="ru-RU"/>
        </w:rPr>
        <w:t>об элементарной ртути и свыше 1000</w:t>
      </w:r>
      <w:r w:rsidR="00703CC7" w:rsidRPr="00E40C32">
        <w:t> </w:t>
      </w:r>
      <w:r w:rsidR="00945EA0" w:rsidRPr="0035618B">
        <w:rPr>
          <w:lang w:val="ru-RU"/>
        </w:rPr>
        <w:t xml:space="preserve">проб </w:t>
      </w:r>
      <w:proofErr w:type="spellStart"/>
      <w:r w:rsidR="00945EA0" w:rsidRPr="0035618B">
        <w:rPr>
          <w:lang w:val="ru-RU"/>
        </w:rPr>
        <w:t>метилртути</w:t>
      </w:r>
      <w:proofErr w:type="spellEnd"/>
      <w:r w:rsidR="00945EA0" w:rsidRPr="0035618B">
        <w:rPr>
          <w:lang w:val="ru-RU"/>
        </w:rPr>
        <w:t xml:space="preserve">. </w:t>
      </w:r>
      <w:r w:rsidR="00945EA0" w:rsidRPr="007C730B">
        <w:rPr>
          <w:lang w:val="ru-RU"/>
        </w:rPr>
        <w:t xml:space="preserve">Пробы </w:t>
      </w:r>
      <w:proofErr w:type="spellStart"/>
      <w:r w:rsidR="00945EA0" w:rsidRPr="007C730B">
        <w:rPr>
          <w:lang w:val="ru-RU"/>
        </w:rPr>
        <w:t>метилртути</w:t>
      </w:r>
      <w:proofErr w:type="spellEnd"/>
      <w:r w:rsidR="00945EA0" w:rsidRPr="007C730B">
        <w:rPr>
          <w:lang w:val="ru-RU"/>
        </w:rPr>
        <w:t xml:space="preserve"> были получены из </w:t>
      </w:r>
      <w:proofErr w:type="spellStart"/>
      <w:r w:rsidR="00945EA0" w:rsidRPr="007C730B">
        <w:rPr>
          <w:lang w:val="ru-RU"/>
        </w:rPr>
        <w:t>биоты</w:t>
      </w:r>
      <w:proofErr w:type="spellEnd"/>
      <w:r w:rsidR="00945EA0" w:rsidRPr="007C730B">
        <w:rPr>
          <w:lang w:val="ru-RU"/>
        </w:rPr>
        <w:t>, главным образом различных видо</w:t>
      </w:r>
      <w:r w:rsidR="00703CC7" w:rsidRPr="007C730B">
        <w:rPr>
          <w:lang w:val="ru-RU"/>
        </w:rPr>
        <w:t>в рыб, а также из морепродуктов</w:t>
      </w:r>
      <w:r w:rsidR="00945EA0" w:rsidRPr="007C730B">
        <w:rPr>
          <w:lang w:val="ru-RU"/>
        </w:rPr>
        <w:t xml:space="preserve"> и некоторого количества проб из млекопитающих. Эти данные могут </w:t>
      </w:r>
      <w:r w:rsidR="00703CC7" w:rsidRPr="007C730B">
        <w:rPr>
          <w:lang w:val="ru-RU"/>
        </w:rPr>
        <w:t>быть источником полезной</w:t>
      </w:r>
      <w:r w:rsidR="00945EA0" w:rsidRPr="007C730B">
        <w:rPr>
          <w:lang w:val="ru-RU"/>
        </w:rPr>
        <w:t xml:space="preserve"> инфор</w:t>
      </w:r>
      <w:r w:rsidR="00703CC7" w:rsidRPr="007C730B">
        <w:rPr>
          <w:lang w:val="ru-RU"/>
        </w:rPr>
        <w:t xml:space="preserve">мации об уровнях ртути в </w:t>
      </w:r>
      <w:proofErr w:type="spellStart"/>
      <w:r w:rsidR="00703CC7" w:rsidRPr="007C730B">
        <w:rPr>
          <w:lang w:val="ru-RU"/>
        </w:rPr>
        <w:t>биоте</w:t>
      </w:r>
      <w:proofErr w:type="spellEnd"/>
      <w:r w:rsidR="00703CC7" w:rsidRPr="007C730B">
        <w:rPr>
          <w:lang w:val="ru-RU"/>
        </w:rPr>
        <w:t>.</w:t>
      </w:r>
    </w:p>
    <w:p w14:paraId="3A371C8C" w14:textId="33A4BF05" w:rsidR="00945EA0" w:rsidRPr="007C730B" w:rsidRDefault="00F121FC" w:rsidP="00E40C32">
      <w:pPr>
        <w:tabs>
          <w:tab w:val="clear" w:pos="1247"/>
          <w:tab w:val="clear" w:pos="1814"/>
          <w:tab w:val="clear" w:pos="2381"/>
          <w:tab w:val="clear" w:pos="2948"/>
          <w:tab w:val="clear" w:pos="3515"/>
        </w:tabs>
        <w:spacing w:after="120"/>
        <w:ind w:left="1247"/>
        <w:rPr>
          <w:lang w:val="ru-RU"/>
        </w:rPr>
      </w:pPr>
      <w:r w:rsidRPr="00F121FC">
        <w:rPr>
          <w:lang w:val="ru-RU"/>
        </w:rPr>
        <w:t>17.</w:t>
      </w:r>
      <w:r w:rsidRPr="00F121FC">
        <w:rPr>
          <w:lang w:val="ru-RU"/>
        </w:rPr>
        <w:tab/>
      </w:r>
      <w:r w:rsidR="00945EA0" w:rsidRPr="00F121FC">
        <w:rPr>
          <w:lang w:val="ru-RU"/>
        </w:rPr>
        <w:t xml:space="preserve">Что касается мониторинга атмосферы, имеются </w:t>
      </w:r>
      <w:r w:rsidR="00703CC7" w:rsidRPr="00F121FC">
        <w:rPr>
          <w:lang w:val="ru-RU"/>
        </w:rPr>
        <w:t>подходящие действующие</w:t>
      </w:r>
      <w:r w:rsidR="00945EA0" w:rsidRPr="00F121FC">
        <w:rPr>
          <w:lang w:val="ru-RU"/>
        </w:rPr>
        <w:t xml:space="preserve"> сети, которые могут быть использованы для получения данных о ртути. </w:t>
      </w:r>
      <w:r w:rsidR="00945EA0" w:rsidRPr="007C730B">
        <w:rPr>
          <w:lang w:val="ru-RU"/>
        </w:rPr>
        <w:t xml:space="preserve">Что касается мониторинга морской среды, подходящим механизмом может быть глобальная программа исследований, ввиду международного характера мирового океана. Что касается мониторинга </w:t>
      </w:r>
      <w:proofErr w:type="spellStart"/>
      <w:r w:rsidR="00945EA0" w:rsidRPr="007C730B">
        <w:rPr>
          <w:lang w:val="ru-RU"/>
        </w:rPr>
        <w:t>биоты</w:t>
      </w:r>
      <w:proofErr w:type="spellEnd"/>
      <w:r w:rsidR="00945EA0" w:rsidRPr="007C730B">
        <w:rPr>
          <w:lang w:val="ru-RU"/>
        </w:rPr>
        <w:t xml:space="preserve">, создание сетей будет значительно различаться в зависимости от конкретных видов, которые будут отобраны Конвенцией, например, морских, прибрежных и наземных видов. Что касается биомониторинга человека, отчетность, осуществляемая в рамках национальных планов действий, может </w:t>
      </w:r>
      <w:r w:rsidR="00703CC7" w:rsidRPr="007C730B">
        <w:rPr>
          <w:lang w:val="ru-RU"/>
        </w:rPr>
        <w:t>быть источником информации</w:t>
      </w:r>
      <w:r w:rsidR="00945EA0" w:rsidRPr="007C730B">
        <w:rPr>
          <w:lang w:val="ru-RU"/>
        </w:rPr>
        <w:t xml:space="preserve"> о воздействии в результате кустарной и мелкомасштабной золотодобычи, а в том, что касается воздействия в результате потребления рыбы, возможно, потребуются усилия национального уровня по выяв</w:t>
      </w:r>
      <w:r w:rsidR="00703CC7" w:rsidRPr="007C730B">
        <w:rPr>
          <w:lang w:val="ru-RU"/>
        </w:rPr>
        <w:t>лению уязвимых групп населения.</w:t>
      </w:r>
    </w:p>
    <w:p w14:paraId="6F4F056B" w14:textId="240AAF40" w:rsidR="00945EA0" w:rsidRPr="007C730B" w:rsidRDefault="00F121FC" w:rsidP="00E40C32">
      <w:pPr>
        <w:tabs>
          <w:tab w:val="clear" w:pos="1247"/>
          <w:tab w:val="clear" w:pos="1814"/>
          <w:tab w:val="clear" w:pos="2381"/>
          <w:tab w:val="clear" w:pos="2948"/>
          <w:tab w:val="clear" w:pos="3515"/>
        </w:tabs>
        <w:spacing w:after="120"/>
        <w:ind w:left="1247"/>
        <w:rPr>
          <w:lang w:val="ru-RU"/>
        </w:rPr>
      </w:pPr>
      <w:r w:rsidRPr="00F121FC">
        <w:rPr>
          <w:lang w:val="ru-RU"/>
        </w:rPr>
        <w:t>18.</w:t>
      </w:r>
      <w:r w:rsidRPr="00F121FC">
        <w:rPr>
          <w:lang w:val="ru-RU"/>
        </w:rPr>
        <w:tab/>
      </w:r>
      <w:r w:rsidR="00945EA0" w:rsidRPr="00F121FC">
        <w:rPr>
          <w:lang w:val="ru-RU"/>
        </w:rPr>
        <w:t xml:space="preserve">Принимая во внимание наличие и качество существующих данных, Конференция Сторон, возможно, пожелает рассмотреть, есть ли необходимость в дополнительном потенциале в области мониторинга или должны ли усилия быть направлены на обобщение и анализ существующих источников данных. </w:t>
      </w:r>
      <w:r w:rsidR="00945EA0" w:rsidRPr="007C730B">
        <w:rPr>
          <w:lang w:val="ru-RU"/>
        </w:rPr>
        <w:t>Рассмотрение этой сложной задачи и разработка планов дополнительного мо</w:t>
      </w:r>
      <w:r w:rsidR="00703CC7" w:rsidRPr="007C730B">
        <w:rPr>
          <w:lang w:val="ru-RU"/>
        </w:rPr>
        <w:t>ниторинга наилучшим образом могут быть осуществлены</w:t>
      </w:r>
      <w:r w:rsidR="00945EA0" w:rsidRPr="007C730B">
        <w:rPr>
          <w:lang w:val="ru-RU"/>
        </w:rPr>
        <w:t xml:space="preserve"> пут</w:t>
      </w:r>
      <w:r w:rsidR="00703CC7" w:rsidRPr="007C730B">
        <w:rPr>
          <w:lang w:val="ru-RU"/>
        </w:rPr>
        <w:t>ем передачи технической группе.</w:t>
      </w:r>
    </w:p>
    <w:p w14:paraId="458FBC8D" w14:textId="7608355D" w:rsidR="00945EA0" w:rsidRPr="00F121FC" w:rsidRDefault="00914402" w:rsidP="00F92EBD">
      <w:pPr>
        <w:tabs>
          <w:tab w:val="clear" w:pos="1247"/>
          <w:tab w:val="clear" w:pos="1814"/>
          <w:tab w:val="clear" w:pos="2381"/>
          <w:tab w:val="clear" w:pos="2948"/>
          <w:tab w:val="clear" w:pos="3515"/>
          <w:tab w:val="right" w:pos="851"/>
        </w:tabs>
        <w:spacing w:after="120"/>
        <w:ind w:left="1247" w:right="284" w:hanging="1247"/>
        <w:rPr>
          <w:b/>
          <w:lang w:val="ru-RU"/>
        </w:rPr>
      </w:pPr>
      <w:r w:rsidRPr="007C730B">
        <w:rPr>
          <w:b/>
          <w:lang w:val="ru-RU"/>
        </w:rPr>
        <w:tab/>
      </w:r>
      <w:r w:rsidR="008908B6" w:rsidRPr="00F121FC">
        <w:rPr>
          <w:b/>
          <w:lang w:val="ru-RU"/>
        </w:rPr>
        <w:t>3.</w:t>
      </w:r>
      <w:r w:rsidR="008908B6" w:rsidRPr="00F121FC">
        <w:rPr>
          <w:b/>
          <w:lang w:val="ru-RU"/>
        </w:rPr>
        <w:tab/>
        <w:t>Расходы</w:t>
      </w:r>
    </w:p>
    <w:p w14:paraId="36414F9B" w14:textId="22C7A398" w:rsidR="00945EA0" w:rsidRPr="00F121FC" w:rsidRDefault="00F121FC" w:rsidP="00E40C32">
      <w:pPr>
        <w:tabs>
          <w:tab w:val="clear" w:pos="1247"/>
          <w:tab w:val="clear" w:pos="1814"/>
          <w:tab w:val="clear" w:pos="2381"/>
          <w:tab w:val="clear" w:pos="2948"/>
          <w:tab w:val="clear" w:pos="3515"/>
        </w:tabs>
        <w:spacing w:after="120"/>
        <w:ind w:left="1247"/>
        <w:rPr>
          <w:lang w:val="ru-RU"/>
        </w:rPr>
      </w:pPr>
      <w:r w:rsidRPr="00F121FC">
        <w:rPr>
          <w:lang w:val="ru-RU"/>
        </w:rPr>
        <w:t>19.</w:t>
      </w:r>
      <w:r w:rsidRPr="00F121FC">
        <w:rPr>
          <w:lang w:val="ru-RU"/>
        </w:rPr>
        <w:tab/>
      </w:r>
      <w:r w:rsidR="00945EA0" w:rsidRPr="00F121FC">
        <w:rPr>
          <w:lang w:val="ru-RU"/>
        </w:rPr>
        <w:t>При формировании механизмов для представления сравнимых данных мониторинга необходимо будет рассмотреть проблему расходов.</w:t>
      </w:r>
    </w:p>
    <w:p w14:paraId="0297B3BF" w14:textId="1A511D87" w:rsidR="00945EA0" w:rsidRPr="007C730B" w:rsidRDefault="00157FC6" w:rsidP="00E40C32">
      <w:pPr>
        <w:tabs>
          <w:tab w:val="clear" w:pos="1247"/>
          <w:tab w:val="clear" w:pos="1814"/>
          <w:tab w:val="clear" w:pos="2381"/>
          <w:tab w:val="clear" w:pos="2948"/>
          <w:tab w:val="clear" w:pos="3515"/>
        </w:tabs>
        <w:spacing w:after="120"/>
        <w:ind w:left="1247"/>
        <w:rPr>
          <w:lang w:val="ru-RU"/>
        </w:rPr>
      </w:pPr>
      <w:r w:rsidRPr="00157FC6">
        <w:rPr>
          <w:lang w:val="ru-RU"/>
        </w:rPr>
        <w:t>20.</w:t>
      </w:r>
      <w:r w:rsidRPr="00157FC6">
        <w:rPr>
          <w:lang w:val="ru-RU"/>
        </w:rPr>
        <w:tab/>
      </w:r>
      <w:r w:rsidR="00945EA0" w:rsidRPr="00F121FC">
        <w:rPr>
          <w:lang w:val="ru-RU"/>
        </w:rPr>
        <w:t>Процесс компиляции имеющихся данных влечет прямые расходы на уровне секретариата, поскольку требуется время для сбора данны</w:t>
      </w:r>
      <w:r w:rsidR="00945EA0" w:rsidRPr="00157FC6">
        <w:rPr>
          <w:lang w:val="ru-RU"/>
        </w:rPr>
        <w:t xml:space="preserve">х и подготовки подборки. </w:t>
      </w:r>
      <w:r w:rsidR="00945EA0" w:rsidRPr="007C730B">
        <w:rPr>
          <w:lang w:val="ru-RU"/>
        </w:rPr>
        <w:t>Кроме того, расходы несут все правительства и учреждени</w:t>
      </w:r>
      <w:r w:rsidR="00703CC7" w:rsidRPr="007C730B">
        <w:rPr>
          <w:lang w:val="ru-RU"/>
        </w:rPr>
        <w:t>я, которые отвечают на призывы к представлению</w:t>
      </w:r>
      <w:r w:rsidR="00945EA0" w:rsidRPr="007C730B">
        <w:rPr>
          <w:lang w:val="ru-RU"/>
        </w:rPr>
        <w:t xml:space="preserve"> материалов и информации, так</w:t>
      </w:r>
      <w:r w:rsidR="00703CC7" w:rsidRPr="007C730B">
        <w:rPr>
          <w:lang w:val="ru-RU"/>
        </w:rPr>
        <w:t xml:space="preserve"> как процесс составления и пред</w:t>
      </w:r>
      <w:r w:rsidR="00945EA0" w:rsidRPr="007C730B">
        <w:rPr>
          <w:lang w:val="ru-RU"/>
        </w:rPr>
        <w:t>ставления треб</w:t>
      </w:r>
      <w:r w:rsidR="00703CC7" w:rsidRPr="007C730B">
        <w:rPr>
          <w:lang w:val="ru-RU"/>
        </w:rPr>
        <w:t>ует затрат времени сотрудников.</w:t>
      </w:r>
    </w:p>
    <w:p w14:paraId="10D74FFA" w14:textId="48F1E585" w:rsidR="00945EA0" w:rsidRPr="007C730B" w:rsidRDefault="00157FC6" w:rsidP="00E40C32">
      <w:pPr>
        <w:tabs>
          <w:tab w:val="clear" w:pos="1247"/>
          <w:tab w:val="clear" w:pos="1814"/>
          <w:tab w:val="clear" w:pos="2381"/>
          <w:tab w:val="clear" w:pos="2948"/>
          <w:tab w:val="clear" w:pos="3515"/>
        </w:tabs>
        <w:spacing w:after="120"/>
        <w:ind w:left="1247"/>
        <w:rPr>
          <w:lang w:val="ru-RU"/>
        </w:rPr>
      </w:pPr>
      <w:r w:rsidRPr="00157FC6">
        <w:rPr>
          <w:lang w:val="ru-RU"/>
        </w:rPr>
        <w:t>21.</w:t>
      </w:r>
      <w:r w:rsidRPr="00157FC6">
        <w:rPr>
          <w:lang w:val="ru-RU"/>
        </w:rPr>
        <w:tab/>
      </w:r>
      <w:r w:rsidR="00945EA0" w:rsidRPr="00157FC6">
        <w:rPr>
          <w:lang w:val="ru-RU"/>
        </w:rPr>
        <w:t xml:space="preserve">Могут потребоваться усилия для обеспечения сравнимости, в идеальном случае </w:t>
      </w:r>
      <w:r w:rsidR="00703CC7" w:rsidRPr="00157FC6">
        <w:rPr>
          <w:lang w:val="ru-RU"/>
        </w:rPr>
        <w:t>–</w:t>
      </w:r>
      <w:r w:rsidR="00945EA0" w:rsidRPr="00157FC6">
        <w:rPr>
          <w:lang w:val="ru-RU"/>
        </w:rPr>
        <w:t xml:space="preserve"> в ходе процесса сбора данных и до их представления. </w:t>
      </w:r>
      <w:r w:rsidR="00945EA0" w:rsidRPr="007C730B">
        <w:rPr>
          <w:lang w:val="ru-RU"/>
        </w:rPr>
        <w:t>Однако в ходе первоначального периода после вступления в силу, в частности, могут предоставляться различные данные, сравнимость которых необходимо будет определить. Это может потребовать оценки данных и соответствующей информации, что, в свою очередь, может потребовать участия экспертов. В рамках определенных механизмов (например, Конвенции о трансграничном загрязнении воздуха на большие расстояния) курируются программы обеспечения качества, которые повышают достоверность данных</w:t>
      </w:r>
      <w:r w:rsidR="00703CC7" w:rsidRPr="007C730B">
        <w:rPr>
          <w:lang w:val="ru-RU"/>
        </w:rPr>
        <w:t>, но это сопряжено с расходами.</w:t>
      </w:r>
    </w:p>
    <w:p w14:paraId="2F23D608" w14:textId="2785A82A" w:rsidR="00945EA0" w:rsidRPr="007C730B" w:rsidRDefault="00157FC6" w:rsidP="00E40C32">
      <w:pPr>
        <w:tabs>
          <w:tab w:val="clear" w:pos="1247"/>
          <w:tab w:val="clear" w:pos="1814"/>
          <w:tab w:val="clear" w:pos="2381"/>
          <w:tab w:val="clear" w:pos="2948"/>
          <w:tab w:val="clear" w:pos="3515"/>
        </w:tabs>
        <w:spacing w:after="120"/>
        <w:ind w:left="1247"/>
        <w:rPr>
          <w:lang w:val="ru-RU"/>
        </w:rPr>
      </w:pPr>
      <w:r w:rsidRPr="00157FC6">
        <w:rPr>
          <w:lang w:val="ru-RU"/>
        </w:rPr>
        <w:t>22.</w:t>
      </w:r>
      <w:r w:rsidRPr="00157FC6">
        <w:rPr>
          <w:lang w:val="ru-RU"/>
        </w:rPr>
        <w:tab/>
      </w:r>
      <w:r w:rsidR="00945EA0" w:rsidRPr="00157FC6">
        <w:rPr>
          <w:lang w:val="ru-RU"/>
        </w:rPr>
        <w:t xml:space="preserve">Совещания экспертов влекут за собой финансовые </w:t>
      </w:r>
      <w:r w:rsidR="00703CC7" w:rsidRPr="00157FC6">
        <w:rPr>
          <w:lang w:val="ru-RU"/>
        </w:rPr>
        <w:t>издержки</w:t>
      </w:r>
      <w:r w:rsidR="00945EA0" w:rsidRPr="00157FC6">
        <w:rPr>
          <w:lang w:val="ru-RU"/>
        </w:rPr>
        <w:t xml:space="preserve">, в том числе для покрытия путевых расходов участников и расходов, связанных с работой секретариата. </w:t>
      </w:r>
      <w:r w:rsidR="00945EA0" w:rsidRPr="007C730B">
        <w:rPr>
          <w:lang w:val="ru-RU"/>
        </w:rPr>
        <w:t xml:space="preserve">Кроме того, расходы включают время, затраченное экспертами, включая ведение подготовительной работы, </w:t>
      </w:r>
      <w:r w:rsidR="00703CC7" w:rsidRPr="007C730B">
        <w:rPr>
          <w:lang w:val="ru-RU"/>
        </w:rPr>
        <w:t>подготовку, анализ</w:t>
      </w:r>
      <w:r w:rsidR="00945EA0" w:rsidRPr="007C730B">
        <w:rPr>
          <w:lang w:val="ru-RU"/>
        </w:rPr>
        <w:t xml:space="preserve"> и редактирование </w:t>
      </w:r>
      <w:proofErr w:type="gramStart"/>
      <w:r w:rsidR="00945EA0" w:rsidRPr="007C730B">
        <w:rPr>
          <w:lang w:val="ru-RU"/>
        </w:rPr>
        <w:t>док</w:t>
      </w:r>
      <w:r w:rsidR="00703CC7" w:rsidRPr="007C730B">
        <w:rPr>
          <w:lang w:val="ru-RU"/>
        </w:rPr>
        <w:t>ументов</w:t>
      </w:r>
      <w:proofErr w:type="gramEnd"/>
      <w:r w:rsidR="00703CC7" w:rsidRPr="007C730B">
        <w:rPr>
          <w:lang w:val="ru-RU"/>
        </w:rPr>
        <w:t xml:space="preserve"> и участие в совещаниях.</w:t>
      </w:r>
    </w:p>
    <w:p w14:paraId="0CD6C1D5" w14:textId="3193EE0B" w:rsidR="00945EA0" w:rsidRPr="007C730B" w:rsidRDefault="00157FC6" w:rsidP="00E40C32">
      <w:pPr>
        <w:tabs>
          <w:tab w:val="clear" w:pos="1247"/>
          <w:tab w:val="clear" w:pos="1814"/>
          <w:tab w:val="clear" w:pos="2381"/>
          <w:tab w:val="clear" w:pos="2948"/>
          <w:tab w:val="clear" w:pos="3515"/>
        </w:tabs>
        <w:spacing w:after="120"/>
        <w:ind w:left="1247"/>
        <w:rPr>
          <w:lang w:val="ru-RU"/>
        </w:rPr>
      </w:pPr>
      <w:r w:rsidRPr="00157FC6">
        <w:rPr>
          <w:lang w:val="ru-RU"/>
        </w:rPr>
        <w:t>23.</w:t>
      </w:r>
      <w:r w:rsidRPr="00157FC6">
        <w:rPr>
          <w:lang w:val="ru-RU"/>
        </w:rPr>
        <w:tab/>
      </w:r>
      <w:r w:rsidR="00703CC7" w:rsidRPr="00157FC6">
        <w:rPr>
          <w:lang w:val="ru-RU"/>
        </w:rPr>
        <w:t>Как указано в пункте</w:t>
      </w:r>
      <w:r w:rsidR="00703CC7" w:rsidRPr="00E40C32">
        <w:t> </w:t>
      </w:r>
      <w:r w:rsidR="00703CC7" w:rsidRPr="00157FC6">
        <w:rPr>
          <w:lang w:val="ru-RU"/>
        </w:rPr>
        <w:t>3 статьи</w:t>
      </w:r>
      <w:r w:rsidR="00703CC7" w:rsidRPr="00E40C32">
        <w:t> </w:t>
      </w:r>
      <w:r w:rsidR="00945EA0" w:rsidRPr="00157FC6">
        <w:rPr>
          <w:lang w:val="ru-RU"/>
        </w:rPr>
        <w:t xml:space="preserve">22, оценка должна проводиться на основе имеющейся информации. </w:t>
      </w:r>
      <w:r w:rsidR="00945EA0" w:rsidRPr="007C730B">
        <w:rPr>
          <w:lang w:val="ru-RU"/>
        </w:rPr>
        <w:t>Таким образом, существующие системы мониторинга на национальном, региональном и глобальном уровнях послужат основой для формирования механизмов для обеспечения сравнимости данных мониторинга. Если Конференция Сторон сделает вывод, что дополнительные мероприятия по мониторингу будут содействовать оценке эффективности, необходимо принять во внимание расходы, которые влекут за собой такие мероприятия на единов</w:t>
      </w:r>
      <w:r w:rsidR="00703CC7" w:rsidRPr="007C730B">
        <w:rPr>
          <w:lang w:val="ru-RU"/>
        </w:rPr>
        <w:t>ременной или постоянной основе.</w:t>
      </w:r>
    </w:p>
    <w:p w14:paraId="3AEE86DA" w14:textId="64DEA3DD" w:rsidR="00945EA0" w:rsidRPr="007C730B" w:rsidRDefault="00157FC6" w:rsidP="00E40C32">
      <w:pPr>
        <w:tabs>
          <w:tab w:val="clear" w:pos="1247"/>
          <w:tab w:val="clear" w:pos="1814"/>
          <w:tab w:val="clear" w:pos="2381"/>
          <w:tab w:val="clear" w:pos="2948"/>
          <w:tab w:val="clear" w:pos="3515"/>
        </w:tabs>
        <w:spacing w:after="120"/>
        <w:ind w:left="1247"/>
        <w:rPr>
          <w:lang w:val="ru-RU"/>
        </w:rPr>
      </w:pPr>
      <w:r>
        <w:rPr>
          <w:lang w:val="ru-RU"/>
        </w:rPr>
        <w:t>2</w:t>
      </w:r>
      <w:r w:rsidRPr="00157FC6">
        <w:rPr>
          <w:lang w:val="ru-RU"/>
        </w:rPr>
        <w:t>4.</w:t>
      </w:r>
      <w:r w:rsidRPr="00157FC6">
        <w:rPr>
          <w:lang w:val="ru-RU"/>
        </w:rPr>
        <w:tab/>
      </w:r>
      <w:r w:rsidR="00945EA0" w:rsidRPr="00157FC6">
        <w:rPr>
          <w:lang w:val="ru-RU"/>
        </w:rPr>
        <w:t xml:space="preserve">Любые дополнительные мероприятия по мониторингу, организованные Конференцией Сторон, повлекут за собой расходы, </w:t>
      </w:r>
      <w:r w:rsidR="00BA0087">
        <w:rPr>
          <w:lang w:val="ru-RU"/>
        </w:rPr>
        <w:t xml:space="preserve">равно </w:t>
      </w:r>
      <w:r w:rsidR="00945EA0" w:rsidRPr="00157FC6">
        <w:rPr>
          <w:lang w:val="ru-RU"/>
        </w:rPr>
        <w:t xml:space="preserve">как и мероприятия, которые правительства сочтут необходимыми на национальном уровне для осуществления ими Конвенции. </w:t>
      </w:r>
      <w:r w:rsidR="00945EA0" w:rsidRPr="007C730B">
        <w:rPr>
          <w:lang w:val="ru-RU"/>
        </w:rPr>
        <w:t xml:space="preserve">Использование региональных подходов к мониторингу может привести к сокращению таких расходов на </w:t>
      </w:r>
      <w:proofErr w:type="spellStart"/>
      <w:r w:rsidR="00945EA0" w:rsidRPr="007C730B">
        <w:rPr>
          <w:lang w:val="ru-RU"/>
        </w:rPr>
        <w:t>пострановой</w:t>
      </w:r>
      <w:proofErr w:type="spellEnd"/>
      <w:r w:rsidR="00945EA0" w:rsidRPr="007C730B">
        <w:rPr>
          <w:lang w:val="ru-RU"/>
        </w:rPr>
        <w:t xml:space="preserve"> основе и к повышению эффективности. Устойчивость любой деятельности по мониторингу потребует определенного уровня обязательств, в частности для обеспечения надлежащего потенциала, профессиональной подготовки и пост</w:t>
      </w:r>
      <w:r w:rsidR="00703CC7" w:rsidRPr="007C730B">
        <w:rPr>
          <w:lang w:val="ru-RU"/>
        </w:rPr>
        <w:t>оянного сбора и анализа данных.</w:t>
      </w:r>
    </w:p>
    <w:p w14:paraId="11DE90B9" w14:textId="7E50A3DB" w:rsidR="00945EA0" w:rsidRPr="007C730B" w:rsidRDefault="00914402" w:rsidP="00F92EBD">
      <w:pPr>
        <w:tabs>
          <w:tab w:val="clear" w:pos="1247"/>
          <w:tab w:val="clear" w:pos="1814"/>
          <w:tab w:val="clear" w:pos="2381"/>
          <w:tab w:val="clear" w:pos="2948"/>
          <w:tab w:val="clear" w:pos="3515"/>
          <w:tab w:val="right" w:pos="851"/>
        </w:tabs>
        <w:spacing w:after="120"/>
        <w:ind w:left="1247" w:right="284" w:hanging="1247"/>
        <w:rPr>
          <w:b/>
          <w:lang w:val="ru-RU"/>
        </w:rPr>
      </w:pPr>
      <w:r w:rsidRPr="007C730B">
        <w:rPr>
          <w:b/>
          <w:lang w:val="ru-RU"/>
        </w:rPr>
        <w:tab/>
      </w:r>
      <w:r w:rsidR="00945EA0" w:rsidRPr="00F92EBD">
        <w:rPr>
          <w:b/>
        </w:rPr>
        <w:t>B</w:t>
      </w:r>
      <w:r w:rsidR="00945EA0" w:rsidRPr="007C730B">
        <w:rPr>
          <w:b/>
          <w:lang w:val="ru-RU"/>
        </w:rPr>
        <w:t>.</w:t>
      </w:r>
      <w:r w:rsidR="00945EA0" w:rsidRPr="007C730B">
        <w:rPr>
          <w:b/>
          <w:lang w:val="ru-RU"/>
        </w:rPr>
        <w:tab/>
        <w:t>Источники для оценки базовых уровней</w:t>
      </w:r>
    </w:p>
    <w:p w14:paraId="2262D1F7" w14:textId="7D7CFBFD" w:rsidR="00945EA0" w:rsidRPr="007C730B" w:rsidRDefault="00157FC6" w:rsidP="00E40C32">
      <w:pPr>
        <w:tabs>
          <w:tab w:val="clear" w:pos="1247"/>
          <w:tab w:val="clear" w:pos="1814"/>
          <w:tab w:val="clear" w:pos="2381"/>
          <w:tab w:val="clear" w:pos="2948"/>
          <w:tab w:val="clear" w:pos="3515"/>
        </w:tabs>
        <w:spacing w:after="120"/>
        <w:ind w:left="1247"/>
        <w:rPr>
          <w:lang w:val="ru-RU"/>
        </w:rPr>
      </w:pPr>
      <w:r w:rsidRPr="00157FC6">
        <w:rPr>
          <w:lang w:val="ru-RU"/>
        </w:rPr>
        <w:t>25.</w:t>
      </w:r>
      <w:r w:rsidRPr="00157FC6">
        <w:rPr>
          <w:lang w:val="ru-RU"/>
        </w:rPr>
        <w:tab/>
      </w:r>
      <w:r w:rsidR="00945EA0" w:rsidRPr="00157FC6">
        <w:rPr>
          <w:lang w:val="ru-RU"/>
        </w:rPr>
        <w:t xml:space="preserve">Чтобы определить наличие изменений в уровнях ртути и ртутных соединений в окружающей среде, </w:t>
      </w:r>
      <w:r w:rsidR="00703CC7" w:rsidRPr="00157FC6">
        <w:rPr>
          <w:lang w:val="ru-RU"/>
        </w:rPr>
        <w:t>необходимо будет принять решения о том, какие показатели или уровни буду</w:t>
      </w:r>
      <w:r w:rsidR="00945EA0" w:rsidRPr="00157FC6">
        <w:rPr>
          <w:lang w:val="ru-RU"/>
        </w:rPr>
        <w:t>т использо</w:t>
      </w:r>
      <w:r w:rsidR="00703CC7" w:rsidRPr="00157FC6">
        <w:rPr>
          <w:lang w:val="ru-RU"/>
        </w:rPr>
        <w:t>ваться в качестве сравнительных или базовых</w:t>
      </w:r>
      <w:r w:rsidR="00945EA0" w:rsidRPr="00157FC6">
        <w:rPr>
          <w:lang w:val="ru-RU"/>
        </w:rPr>
        <w:t xml:space="preserve">. </w:t>
      </w:r>
      <w:r w:rsidR="00945EA0" w:rsidRPr="007C730B">
        <w:rPr>
          <w:lang w:val="ru-RU"/>
        </w:rPr>
        <w:t>После того, как первая официальная оценка уровней ртути в рамках Конвенции будет завершена, она сможет</w:t>
      </w:r>
      <w:r w:rsidR="00703CC7" w:rsidRPr="007C730B">
        <w:rPr>
          <w:lang w:val="ru-RU"/>
        </w:rPr>
        <w:t xml:space="preserve"> быть использована</w:t>
      </w:r>
      <w:r w:rsidR="00945EA0" w:rsidRPr="007C730B">
        <w:rPr>
          <w:lang w:val="ru-RU"/>
        </w:rPr>
        <w:t xml:space="preserve"> для сравнения с последующими оценками. Однако для того, чтобы рассмотреть какие-либо изменения для первой оценки, Конференции Сторон, возможно, придется </w:t>
      </w:r>
      <w:r w:rsidR="00703CC7" w:rsidRPr="007C730B">
        <w:rPr>
          <w:lang w:val="ru-RU"/>
        </w:rPr>
        <w:t>выб</w:t>
      </w:r>
      <w:r w:rsidR="00945EA0" w:rsidRPr="007C730B">
        <w:rPr>
          <w:lang w:val="ru-RU"/>
        </w:rPr>
        <w:t xml:space="preserve">рать базовый уровень и </w:t>
      </w:r>
      <w:r w:rsidR="00703CC7" w:rsidRPr="007C730B">
        <w:rPr>
          <w:lang w:val="ru-RU"/>
        </w:rPr>
        <w:t xml:space="preserve">принять решение о </w:t>
      </w:r>
      <w:r w:rsidR="00945EA0" w:rsidRPr="007C730B">
        <w:rPr>
          <w:lang w:val="ru-RU"/>
        </w:rPr>
        <w:t>то</w:t>
      </w:r>
      <w:r w:rsidR="00703CC7" w:rsidRPr="007C730B">
        <w:rPr>
          <w:lang w:val="ru-RU"/>
        </w:rPr>
        <w:t>м</w:t>
      </w:r>
      <w:r w:rsidR="00945EA0" w:rsidRPr="007C730B">
        <w:rPr>
          <w:lang w:val="ru-RU"/>
        </w:rPr>
        <w:t xml:space="preserve">, должен ли он определяться на национальном или на глобальном уровне. </w:t>
      </w:r>
      <w:proofErr w:type="gramStart"/>
      <w:r w:rsidR="00945EA0" w:rsidRPr="007C730B">
        <w:rPr>
          <w:lang w:val="ru-RU"/>
        </w:rPr>
        <w:t>Кроме того, необходимо рассмотреть вопрос о том, устанавливаются ли базовые уровни на индивидуальной основе на каждом участке или на провинциальном, национальном, субрегиональном, региональном или глобальном уровн</w:t>
      </w:r>
      <w:r w:rsidR="00BA0087">
        <w:rPr>
          <w:lang w:val="ru-RU"/>
        </w:rPr>
        <w:t>ях</w:t>
      </w:r>
      <w:r w:rsidR="00945EA0" w:rsidRPr="007C730B">
        <w:rPr>
          <w:lang w:val="ru-RU"/>
        </w:rPr>
        <w:t>.</w:t>
      </w:r>
      <w:proofErr w:type="gramEnd"/>
      <w:r w:rsidR="00945EA0" w:rsidRPr="007C730B">
        <w:rPr>
          <w:lang w:val="ru-RU"/>
        </w:rPr>
        <w:t xml:space="preserve"> Базовые уровни могут также основываться на конкретном моменте времени, применимом в различных географических районах. Кроме того, будет необходимо проводить моделирование или сравнение уровней с течением времени для определения изменений уровней ртути и ртутных соединений, наблюдаемых в </w:t>
      </w:r>
      <w:proofErr w:type="spellStart"/>
      <w:r w:rsidR="00945EA0" w:rsidRPr="007C730B">
        <w:rPr>
          <w:lang w:val="ru-RU"/>
        </w:rPr>
        <w:t>биоте</w:t>
      </w:r>
      <w:proofErr w:type="spellEnd"/>
      <w:r w:rsidR="00945EA0" w:rsidRPr="007C730B">
        <w:rPr>
          <w:lang w:val="ru-RU"/>
        </w:rPr>
        <w:t xml:space="preserve"> и среди уязвимых групп населения.</w:t>
      </w:r>
    </w:p>
    <w:p w14:paraId="441DB285" w14:textId="4E33859B" w:rsidR="00945EA0" w:rsidRPr="00157FC6" w:rsidRDefault="00157FC6" w:rsidP="00E40C32">
      <w:pPr>
        <w:tabs>
          <w:tab w:val="clear" w:pos="1247"/>
          <w:tab w:val="clear" w:pos="1814"/>
          <w:tab w:val="clear" w:pos="2381"/>
          <w:tab w:val="clear" w:pos="2948"/>
          <w:tab w:val="clear" w:pos="3515"/>
        </w:tabs>
        <w:spacing w:after="120"/>
        <w:ind w:left="1247"/>
        <w:rPr>
          <w:lang w:val="ru-RU"/>
        </w:rPr>
      </w:pPr>
      <w:r w:rsidRPr="00157FC6">
        <w:rPr>
          <w:lang w:val="ru-RU"/>
        </w:rPr>
        <w:t>26.</w:t>
      </w:r>
      <w:r w:rsidRPr="00157FC6">
        <w:rPr>
          <w:lang w:val="ru-RU"/>
        </w:rPr>
        <w:tab/>
      </w:r>
      <w:r w:rsidR="00945EA0" w:rsidRPr="00157FC6">
        <w:rPr>
          <w:lang w:val="ru-RU"/>
        </w:rPr>
        <w:t>Конвенция не содержит каких-либо обязательств в отношении сокращения уровней ртути на какой-либо определенный момент, и вопрос базовых уровней не согласовывался. Существует целый ряд вариантов, к</w:t>
      </w:r>
      <w:r w:rsidR="00972245" w:rsidRPr="00157FC6">
        <w:rPr>
          <w:lang w:val="ru-RU"/>
        </w:rPr>
        <w:t>оторые должны быть рассмотрены.</w:t>
      </w:r>
    </w:p>
    <w:p w14:paraId="42565E3A" w14:textId="50393587" w:rsidR="00945EA0" w:rsidRPr="007C730B" w:rsidRDefault="00157FC6" w:rsidP="00E40C32">
      <w:pPr>
        <w:tabs>
          <w:tab w:val="clear" w:pos="1247"/>
          <w:tab w:val="clear" w:pos="1814"/>
          <w:tab w:val="clear" w:pos="2381"/>
          <w:tab w:val="clear" w:pos="2948"/>
          <w:tab w:val="clear" w:pos="3515"/>
        </w:tabs>
        <w:spacing w:after="120"/>
        <w:ind w:left="1247"/>
        <w:rPr>
          <w:lang w:val="ru-RU"/>
        </w:rPr>
      </w:pPr>
      <w:r w:rsidRPr="00157FC6">
        <w:rPr>
          <w:lang w:val="ru-RU"/>
        </w:rPr>
        <w:t>27.</w:t>
      </w:r>
      <w:r w:rsidRPr="00157FC6">
        <w:rPr>
          <w:lang w:val="ru-RU"/>
        </w:rPr>
        <w:tab/>
      </w:r>
      <w:r w:rsidR="00945EA0" w:rsidRPr="00157FC6">
        <w:rPr>
          <w:lang w:val="ru-RU"/>
        </w:rPr>
        <w:t xml:space="preserve">Конференция Сторон может принять решение не устанавливать базовые уровни на период до вступления Конвенции в силу, а использовать результаты первой оценки </w:t>
      </w:r>
      <w:r w:rsidR="00B31318">
        <w:rPr>
          <w:lang w:val="ru-RU"/>
        </w:rPr>
        <w:t xml:space="preserve">как основу </w:t>
      </w:r>
      <w:r w:rsidR="00945EA0" w:rsidRPr="00157FC6">
        <w:rPr>
          <w:lang w:val="ru-RU"/>
        </w:rPr>
        <w:t xml:space="preserve">для будущих сравнений. </w:t>
      </w:r>
      <w:r w:rsidR="00945EA0" w:rsidRPr="007C730B">
        <w:rPr>
          <w:lang w:val="ru-RU"/>
        </w:rPr>
        <w:t xml:space="preserve">Это станет ограничительным фактором для оценки эффективности Конвенции на ранних этапах, поскольку </w:t>
      </w:r>
      <w:r w:rsidR="001C2851">
        <w:rPr>
          <w:lang w:val="ru-RU"/>
        </w:rPr>
        <w:t>только</w:t>
      </w:r>
      <w:r w:rsidR="00945EA0" w:rsidRPr="007C730B">
        <w:rPr>
          <w:lang w:val="ru-RU"/>
        </w:rPr>
        <w:t xml:space="preserve"> после второй оценки станет </w:t>
      </w:r>
      <w:r w:rsidR="001C2851">
        <w:rPr>
          <w:lang w:val="ru-RU"/>
        </w:rPr>
        <w:t>возможным оценить</w:t>
      </w:r>
      <w:r w:rsidR="00945EA0" w:rsidRPr="007C730B">
        <w:rPr>
          <w:lang w:val="ru-RU"/>
        </w:rPr>
        <w:t xml:space="preserve">, </w:t>
      </w:r>
      <w:r w:rsidR="001C2851">
        <w:rPr>
          <w:lang w:val="ru-RU"/>
        </w:rPr>
        <w:t xml:space="preserve">произошли </w:t>
      </w:r>
      <w:r w:rsidR="00945EA0" w:rsidRPr="007C730B">
        <w:rPr>
          <w:lang w:val="ru-RU"/>
        </w:rPr>
        <w:t xml:space="preserve">ли изменения уровней ртути в окружающей среде и в </w:t>
      </w:r>
      <w:proofErr w:type="spellStart"/>
      <w:r w:rsidR="00945EA0" w:rsidRPr="007C730B">
        <w:rPr>
          <w:lang w:val="ru-RU"/>
        </w:rPr>
        <w:t>биоте</w:t>
      </w:r>
      <w:proofErr w:type="spellEnd"/>
      <w:r w:rsidR="00945EA0" w:rsidRPr="007C730B">
        <w:rPr>
          <w:lang w:val="ru-RU"/>
        </w:rPr>
        <w:t>. Хотя эта процедура применялась в других конвенциях, наличие информации об уровнях ртути в окружающей среде может означать, что возможны другие подходы.</w:t>
      </w:r>
    </w:p>
    <w:p w14:paraId="06699C9C" w14:textId="0CE11F74" w:rsidR="00945EA0" w:rsidRPr="00157FC6" w:rsidRDefault="00157FC6" w:rsidP="00E40C32">
      <w:pPr>
        <w:tabs>
          <w:tab w:val="clear" w:pos="1247"/>
          <w:tab w:val="clear" w:pos="1814"/>
          <w:tab w:val="clear" w:pos="2381"/>
          <w:tab w:val="clear" w:pos="2948"/>
          <w:tab w:val="clear" w:pos="3515"/>
        </w:tabs>
        <w:spacing w:after="120"/>
        <w:ind w:left="1247"/>
        <w:rPr>
          <w:lang w:val="ru-RU"/>
        </w:rPr>
      </w:pPr>
      <w:r w:rsidRPr="00157FC6">
        <w:rPr>
          <w:lang w:val="ru-RU"/>
        </w:rPr>
        <w:t>28.</w:t>
      </w:r>
      <w:r w:rsidRPr="00157FC6">
        <w:rPr>
          <w:lang w:val="ru-RU"/>
        </w:rPr>
        <w:tab/>
      </w:r>
      <w:r w:rsidR="00945EA0" w:rsidRPr="00157FC6">
        <w:rPr>
          <w:lang w:val="ru-RU"/>
        </w:rPr>
        <w:t>Конференция Сторон может принять р</w:t>
      </w:r>
      <w:r w:rsidR="00972245" w:rsidRPr="00157FC6">
        <w:rPr>
          <w:lang w:val="ru-RU"/>
        </w:rPr>
        <w:t xml:space="preserve">ешение о том, что, при наличии, </w:t>
      </w:r>
      <w:r w:rsidR="00945EA0" w:rsidRPr="00157FC6">
        <w:rPr>
          <w:lang w:val="ru-RU"/>
        </w:rPr>
        <w:t xml:space="preserve">предоставляемые в рамках других официальных процедур материалы могут быть использованы в качестве основы для установления базовых уровней. </w:t>
      </w:r>
      <w:r w:rsidR="00945EA0" w:rsidRPr="007C730B">
        <w:rPr>
          <w:lang w:val="ru-RU"/>
        </w:rPr>
        <w:t>Такие материалы могут включать информацию, рассматриваемую Конвенцией о трансграничном загрязнении воздуха на большие расстояния, и информацию, имеющуюся у Азиатско-Тихоокеанской сети мониторинга ртути или Программы мониторинга и оценки Арктики.</w:t>
      </w:r>
      <w:r w:rsidR="00972245" w:rsidRPr="007C730B">
        <w:rPr>
          <w:lang w:val="ru-RU"/>
        </w:rPr>
        <w:t xml:space="preserve"> В тех случаях, когда такая представляем</w:t>
      </w:r>
      <w:r w:rsidR="00945EA0" w:rsidRPr="007C730B">
        <w:rPr>
          <w:lang w:val="ru-RU"/>
        </w:rPr>
        <w:t xml:space="preserve">ая информация недоступна, возможно, целесообразно использовать имеющиеся национальные данные, отражающие глобальные тенденции. </w:t>
      </w:r>
      <w:r w:rsidR="00945EA0" w:rsidRPr="00157FC6">
        <w:rPr>
          <w:lang w:val="ru-RU"/>
        </w:rPr>
        <w:t>На пользу информации, необходимой для установки базовых уровней, могл</w:t>
      </w:r>
      <w:r w:rsidR="005722D2">
        <w:rPr>
          <w:lang w:val="ru-RU"/>
        </w:rPr>
        <w:t>и</w:t>
      </w:r>
      <w:r w:rsidR="00945EA0" w:rsidRPr="00157FC6">
        <w:rPr>
          <w:lang w:val="ru-RU"/>
        </w:rPr>
        <w:t xml:space="preserve"> бы пойти координация и сотрудничество </w:t>
      </w:r>
      <w:r w:rsidR="00283F5E">
        <w:rPr>
          <w:lang w:val="ru-RU"/>
        </w:rPr>
        <w:t>в рамках таких форумов</w:t>
      </w:r>
      <w:r w:rsidR="00945EA0" w:rsidRPr="00157FC6">
        <w:rPr>
          <w:lang w:val="ru-RU"/>
        </w:rPr>
        <w:t xml:space="preserve">, как </w:t>
      </w:r>
      <w:r w:rsidR="00D721F1">
        <w:rPr>
          <w:lang w:val="ru-RU"/>
        </w:rPr>
        <w:t>отдел</w:t>
      </w:r>
      <w:r w:rsidR="00F02BFE">
        <w:rPr>
          <w:lang w:val="ru-RU"/>
        </w:rPr>
        <w:t xml:space="preserve"> по вопросам переноса ртути по воздуху и ее преобразования в окружающей среде</w:t>
      </w:r>
      <w:r w:rsidR="00D721F1">
        <w:rPr>
          <w:lang w:val="ru-RU"/>
        </w:rPr>
        <w:t xml:space="preserve"> </w:t>
      </w:r>
      <w:r w:rsidR="00945EA0" w:rsidRPr="00157FC6">
        <w:rPr>
          <w:lang w:val="ru-RU"/>
        </w:rPr>
        <w:t>Глобаль</w:t>
      </w:r>
      <w:r w:rsidR="00972245" w:rsidRPr="00157FC6">
        <w:rPr>
          <w:lang w:val="ru-RU"/>
        </w:rPr>
        <w:t>ного партнерства по ртути ЮНЕП.</w:t>
      </w:r>
    </w:p>
    <w:p w14:paraId="1CA9AF5E" w14:textId="29A7BA00" w:rsidR="00945EA0" w:rsidRPr="007C730B" w:rsidRDefault="00157FC6" w:rsidP="00E40C32">
      <w:pPr>
        <w:tabs>
          <w:tab w:val="clear" w:pos="1247"/>
          <w:tab w:val="clear" w:pos="1814"/>
          <w:tab w:val="clear" w:pos="2381"/>
          <w:tab w:val="clear" w:pos="2948"/>
          <w:tab w:val="clear" w:pos="3515"/>
        </w:tabs>
        <w:spacing w:after="120"/>
        <w:ind w:left="1247"/>
        <w:rPr>
          <w:lang w:val="ru-RU"/>
        </w:rPr>
      </w:pPr>
      <w:r w:rsidRPr="00157FC6">
        <w:rPr>
          <w:lang w:val="ru-RU"/>
        </w:rPr>
        <w:t>29.</w:t>
      </w:r>
      <w:r w:rsidRPr="00157FC6">
        <w:rPr>
          <w:lang w:val="ru-RU"/>
        </w:rPr>
        <w:tab/>
      </w:r>
      <w:r w:rsidR="00945EA0" w:rsidRPr="00157FC6">
        <w:rPr>
          <w:lang w:val="ru-RU"/>
        </w:rPr>
        <w:t>Информация о глобальных выбросах и высвобождениях ртути в окружающую среду и об уровнях имеется в Глобальной оценке ртути, которая пу</w:t>
      </w:r>
      <w:r w:rsidR="00972245" w:rsidRPr="00157FC6">
        <w:rPr>
          <w:lang w:val="ru-RU"/>
        </w:rPr>
        <w:t>бликовалась в 200</w:t>
      </w:r>
      <w:r w:rsidR="005722D2">
        <w:rPr>
          <w:lang w:val="ru-RU"/>
        </w:rPr>
        <w:t>2, 2008</w:t>
      </w:r>
      <w:r w:rsidR="00972245" w:rsidRPr="00157FC6">
        <w:rPr>
          <w:lang w:val="ru-RU"/>
        </w:rPr>
        <w:t xml:space="preserve"> и 2013</w:t>
      </w:r>
      <w:r w:rsidR="00972245" w:rsidRPr="00E40C32">
        <w:t> </w:t>
      </w:r>
      <w:r w:rsidR="00945EA0" w:rsidRPr="00157FC6">
        <w:rPr>
          <w:lang w:val="ru-RU"/>
        </w:rPr>
        <w:t>годах, публикация нового выпуска запланирована на 2018</w:t>
      </w:r>
      <w:r w:rsidR="00972245" w:rsidRPr="00E40C32">
        <w:t> </w:t>
      </w:r>
      <w:r w:rsidR="00945EA0" w:rsidRPr="00157FC6">
        <w:rPr>
          <w:lang w:val="ru-RU"/>
        </w:rPr>
        <w:t xml:space="preserve">год. </w:t>
      </w:r>
      <w:r w:rsidR="00945EA0" w:rsidRPr="007C730B">
        <w:rPr>
          <w:lang w:val="ru-RU"/>
        </w:rPr>
        <w:t>Признается, что вследствие изменения в методологиях р</w:t>
      </w:r>
      <w:r w:rsidR="00972245" w:rsidRPr="007C730B">
        <w:rPr>
          <w:lang w:val="ru-RU"/>
        </w:rPr>
        <w:t>езультаты вариантов 2013 и 200</w:t>
      </w:r>
      <w:r w:rsidR="005722D2">
        <w:rPr>
          <w:lang w:val="ru-RU"/>
        </w:rPr>
        <w:t>8</w:t>
      </w:r>
      <w:r w:rsidR="00972245" w:rsidRPr="00E40C32">
        <w:t> </w:t>
      </w:r>
      <w:r w:rsidR="00945EA0" w:rsidRPr="007C730B">
        <w:rPr>
          <w:lang w:val="ru-RU"/>
        </w:rPr>
        <w:t>год</w:t>
      </w:r>
      <w:r w:rsidR="002A4486">
        <w:rPr>
          <w:lang w:val="ru-RU"/>
        </w:rPr>
        <w:t>ов</w:t>
      </w:r>
      <w:r w:rsidR="00945EA0" w:rsidRPr="007C730B">
        <w:rPr>
          <w:lang w:val="ru-RU"/>
        </w:rPr>
        <w:t xml:space="preserve"> не являются непосредственно сравнимыми; тем не менее, они содержат существенный объем справочной информации. В ходе подготовки предыдущих вариантов оценки были подняты вопросы в отношении данных (например, каким образом они были получены, и их точность) и методологии (в частности, методологии, использованной для построения моделей). Были предприняты попытки разрешить эти вопросы в ходе подготовки последнего варианта. В результате этих усилий Конференция Сторон, возможно, пожелает рассмотреть последний вариант документа по оценке в качестве средства установления базового уровня.</w:t>
      </w:r>
    </w:p>
    <w:p w14:paraId="34B96072" w14:textId="10AB6B1E" w:rsidR="00945EA0" w:rsidRPr="007C730B" w:rsidRDefault="00B53DC1" w:rsidP="00E40C32">
      <w:pPr>
        <w:tabs>
          <w:tab w:val="clear" w:pos="1247"/>
          <w:tab w:val="clear" w:pos="1814"/>
          <w:tab w:val="clear" w:pos="2381"/>
          <w:tab w:val="clear" w:pos="2948"/>
          <w:tab w:val="clear" w:pos="3515"/>
        </w:tabs>
        <w:spacing w:after="120"/>
        <w:ind w:left="1247"/>
        <w:rPr>
          <w:lang w:val="ru-RU"/>
        </w:rPr>
      </w:pPr>
      <w:r w:rsidRPr="00B53DC1">
        <w:rPr>
          <w:lang w:val="ru-RU"/>
        </w:rPr>
        <w:t>30.</w:t>
      </w:r>
      <w:r w:rsidRPr="00B53DC1">
        <w:rPr>
          <w:lang w:val="ru-RU"/>
        </w:rPr>
        <w:tab/>
      </w:r>
      <w:r w:rsidR="00945EA0" w:rsidRPr="00B53DC1">
        <w:rPr>
          <w:lang w:val="ru-RU"/>
        </w:rPr>
        <w:t>Поскольку поиск в базе данных ГСМОС</w:t>
      </w:r>
      <w:r w:rsidR="00204ECF">
        <w:rPr>
          <w:lang w:val="ru-RU"/>
        </w:rPr>
        <w:t>/Продовольствие</w:t>
      </w:r>
      <w:r w:rsidR="00945EA0" w:rsidRPr="00B53DC1">
        <w:rPr>
          <w:lang w:val="ru-RU"/>
        </w:rPr>
        <w:t xml:space="preserve"> может осуществляться по различным периодам времени, она может быть пригодной в качестве источника информации о динамике уровней ртути и ртутных соединений в </w:t>
      </w:r>
      <w:proofErr w:type="spellStart"/>
      <w:r w:rsidR="00945EA0" w:rsidRPr="00B53DC1">
        <w:rPr>
          <w:lang w:val="ru-RU"/>
        </w:rPr>
        <w:t>биоте</w:t>
      </w:r>
      <w:proofErr w:type="spellEnd"/>
      <w:r w:rsidR="00945EA0" w:rsidRPr="00B53DC1">
        <w:rPr>
          <w:lang w:val="ru-RU"/>
        </w:rPr>
        <w:t xml:space="preserve">. </w:t>
      </w:r>
      <w:r w:rsidR="00945EA0" w:rsidRPr="007C730B">
        <w:rPr>
          <w:lang w:val="ru-RU"/>
        </w:rPr>
        <w:t>Следует отметить, что в настоящее время в число ртутных соедине</w:t>
      </w:r>
      <w:r w:rsidR="00972245" w:rsidRPr="007C730B">
        <w:rPr>
          <w:lang w:val="ru-RU"/>
        </w:rPr>
        <w:t xml:space="preserve">ний </w:t>
      </w:r>
      <w:proofErr w:type="gramStart"/>
      <w:r w:rsidR="00972245" w:rsidRPr="007C730B">
        <w:rPr>
          <w:lang w:val="ru-RU"/>
        </w:rPr>
        <w:t>включена</w:t>
      </w:r>
      <w:proofErr w:type="gramEnd"/>
      <w:r w:rsidR="00972245" w:rsidRPr="007C730B">
        <w:rPr>
          <w:lang w:val="ru-RU"/>
        </w:rPr>
        <w:t xml:space="preserve"> только </w:t>
      </w:r>
      <w:proofErr w:type="spellStart"/>
      <w:r w:rsidR="00972245" w:rsidRPr="007C730B">
        <w:rPr>
          <w:lang w:val="ru-RU"/>
        </w:rPr>
        <w:t>метилртуть</w:t>
      </w:r>
      <w:proofErr w:type="spellEnd"/>
      <w:r w:rsidR="00972245" w:rsidRPr="007C730B">
        <w:rPr>
          <w:lang w:val="ru-RU"/>
        </w:rPr>
        <w:t>.</w:t>
      </w:r>
    </w:p>
    <w:p w14:paraId="46B5D133" w14:textId="692554AA" w:rsidR="00945EA0" w:rsidRPr="007C730B" w:rsidRDefault="00B53DC1" w:rsidP="00E40C32">
      <w:pPr>
        <w:tabs>
          <w:tab w:val="clear" w:pos="1247"/>
          <w:tab w:val="clear" w:pos="1814"/>
          <w:tab w:val="clear" w:pos="2381"/>
          <w:tab w:val="clear" w:pos="2948"/>
          <w:tab w:val="clear" w:pos="3515"/>
        </w:tabs>
        <w:spacing w:after="120"/>
        <w:ind w:left="1247"/>
        <w:rPr>
          <w:lang w:val="ru-RU"/>
        </w:rPr>
      </w:pPr>
      <w:r w:rsidRPr="00B53DC1">
        <w:rPr>
          <w:lang w:val="ru-RU"/>
        </w:rPr>
        <w:t>31.</w:t>
      </w:r>
      <w:r w:rsidRPr="00B53DC1">
        <w:rPr>
          <w:lang w:val="ru-RU"/>
        </w:rPr>
        <w:tab/>
      </w:r>
      <w:r w:rsidR="00945EA0" w:rsidRPr="00B53DC1">
        <w:rPr>
          <w:lang w:val="ru-RU"/>
        </w:rPr>
        <w:t xml:space="preserve">Дополнительные соображения включают вопрос о том, необходимо ли устанавливать базовые уровни на национальном или региональном уровне и, в случае положительного ответа, на какой момент времени такие базовые уровни должны быть установлены. </w:t>
      </w:r>
      <w:r w:rsidR="00945EA0" w:rsidRPr="007C730B">
        <w:rPr>
          <w:lang w:val="ru-RU"/>
        </w:rPr>
        <w:t>Другие многосторонние природоохранные соглашения устанавливают базовые уровни, а именно календарные годы, однако существует также возможность привязать базовый уровень к году вступления Конвенции в силу для каждой Стороны. Учитывая характер ртути как глобального загрязнителя, можно было бы рассмотреть возможность установления базовых уровней ртути в окружающей среде в ряде конкретных мест, которые отражают глобальное перемещение ртути. Изменения в информации о выбросах и высвобождениях тогда могли бы быть рассмотрены на национальном уровне, что могло бы оцениваться на основе национальной отчетности, представл</w:t>
      </w:r>
      <w:r w:rsidR="00972245" w:rsidRPr="007C730B">
        <w:rPr>
          <w:lang w:val="ru-RU"/>
        </w:rPr>
        <w:t>яемой в соответствии со статьей</w:t>
      </w:r>
      <w:r w:rsidR="00972245" w:rsidRPr="00E40C32">
        <w:t> </w:t>
      </w:r>
      <w:r w:rsidR="00972245" w:rsidRPr="007C730B">
        <w:rPr>
          <w:lang w:val="ru-RU"/>
        </w:rPr>
        <w:t>21 Конвенции.</w:t>
      </w:r>
    </w:p>
    <w:p w14:paraId="48277EEC" w14:textId="4F6F3DF4" w:rsidR="00945EA0" w:rsidRPr="00B53DC1" w:rsidRDefault="00914402" w:rsidP="00F92EBD">
      <w:pPr>
        <w:tabs>
          <w:tab w:val="clear" w:pos="1247"/>
          <w:tab w:val="clear" w:pos="1814"/>
          <w:tab w:val="clear" w:pos="2381"/>
          <w:tab w:val="clear" w:pos="2948"/>
          <w:tab w:val="clear" w:pos="3515"/>
          <w:tab w:val="right" w:pos="851"/>
        </w:tabs>
        <w:spacing w:after="120"/>
        <w:ind w:left="1247" w:right="284" w:hanging="1247"/>
        <w:rPr>
          <w:b/>
          <w:sz w:val="24"/>
          <w:szCs w:val="24"/>
          <w:lang w:val="ru-RU"/>
        </w:rPr>
      </w:pPr>
      <w:r w:rsidRPr="007C730B">
        <w:rPr>
          <w:b/>
          <w:sz w:val="24"/>
          <w:szCs w:val="24"/>
          <w:lang w:val="ru-RU"/>
        </w:rPr>
        <w:tab/>
      </w:r>
      <w:r w:rsidR="008908B6" w:rsidRPr="00B53DC1">
        <w:rPr>
          <w:b/>
          <w:sz w:val="24"/>
          <w:szCs w:val="24"/>
        </w:rPr>
        <w:t>C</w:t>
      </w:r>
      <w:r w:rsidR="008908B6" w:rsidRPr="00B53DC1">
        <w:rPr>
          <w:b/>
          <w:sz w:val="24"/>
          <w:szCs w:val="24"/>
          <w:lang w:val="ru-RU"/>
        </w:rPr>
        <w:t>.</w:t>
      </w:r>
      <w:r w:rsidR="008908B6" w:rsidRPr="00B53DC1">
        <w:rPr>
          <w:b/>
          <w:sz w:val="24"/>
          <w:szCs w:val="24"/>
          <w:lang w:val="ru-RU"/>
        </w:rPr>
        <w:tab/>
        <w:t>Рекомендации</w:t>
      </w:r>
    </w:p>
    <w:p w14:paraId="2E3D0511" w14:textId="4FEA79A5" w:rsidR="00945EA0" w:rsidRPr="00B53DC1" w:rsidRDefault="00B53DC1" w:rsidP="00E40C32">
      <w:pPr>
        <w:tabs>
          <w:tab w:val="clear" w:pos="1247"/>
          <w:tab w:val="clear" w:pos="1814"/>
          <w:tab w:val="clear" w:pos="2381"/>
          <w:tab w:val="clear" w:pos="2948"/>
          <w:tab w:val="clear" w:pos="3515"/>
        </w:tabs>
        <w:spacing w:after="120"/>
        <w:ind w:left="1247"/>
        <w:rPr>
          <w:lang w:val="ru-RU"/>
        </w:rPr>
      </w:pPr>
      <w:r w:rsidRPr="00B53DC1">
        <w:rPr>
          <w:lang w:val="ru-RU"/>
        </w:rPr>
        <w:t>32.</w:t>
      </w:r>
      <w:r w:rsidRPr="00B53DC1">
        <w:rPr>
          <w:lang w:val="ru-RU"/>
        </w:rPr>
        <w:tab/>
      </w:r>
      <w:r w:rsidR="00945EA0" w:rsidRPr="00B53DC1">
        <w:rPr>
          <w:lang w:val="ru-RU"/>
        </w:rPr>
        <w:t>Конференция Сторон, возможно, пожелает рассмотреть следующие рекомендации.</w:t>
      </w:r>
    </w:p>
    <w:p w14:paraId="75F83523" w14:textId="71498E53" w:rsidR="00945EA0" w:rsidRPr="007C730B" w:rsidRDefault="00B53DC1" w:rsidP="00E40C32">
      <w:pPr>
        <w:tabs>
          <w:tab w:val="clear" w:pos="1247"/>
          <w:tab w:val="clear" w:pos="1814"/>
          <w:tab w:val="clear" w:pos="2381"/>
          <w:tab w:val="clear" w:pos="2948"/>
          <w:tab w:val="clear" w:pos="3515"/>
        </w:tabs>
        <w:spacing w:after="120"/>
        <w:ind w:left="1247"/>
        <w:rPr>
          <w:lang w:val="ru-RU"/>
        </w:rPr>
      </w:pPr>
      <w:r w:rsidRPr="00B53DC1">
        <w:rPr>
          <w:lang w:val="ru-RU"/>
        </w:rPr>
        <w:t>33.</w:t>
      </w:r>
      <w:r w:rsidRPr="00B53DC1">
        <w:rPr>
          <w:lang w:val="ru-RU"/>
        </w:rPr>
        <w:tab/>
      </w:r>
      <w:r w:rsidR="00015071" w:rsidRPr="00B53DC1">
        <w:rPr>
          <w:lang w:val="ru-RU"/>
        </w:rPr>
        <w:t xml:space="preserve">Определение сравнимых репрезентативных данных для использования в будущем в оценке эффективности Конвенции является сложной задачей и требует рассмотрения экспертами. </w:t>
      </w:r>
      <w:r w:rsidR="00015071" w:rsidRPr="007C730B">
        <w:rPr>
          <w:lang w:val="ru-RU"/>
        </w:rPr>
        <w:t xml:space="preserve">Конференция Сторон, возможно, пожелает рассмотреть вопрос о создании небольшой группы технических экспертов, которые будут оценивать категории имеющейся информации, выносить рекомендации в отношении надлежащих сред для взятия проб и согласовать методы для рассмотрения данных, включая определение сравнимости данных, полученных с использованием разных методологий и методов анализа. В целях обеспечения эффективности затрат, группа должна работать главным образом с использованием электронных средств, в том числе </w:t>
      </w:r>
      <w:proofErr w:type="spellStart"/>
      <w:r w:rsidR="00015071" w:rsidRPr="007C730B">
        <w:rPr>
          <w:lang w:val="ru-RU"/>
        </w:rPr>
        <w:t>вебинаров</w:t>
      </w:r>
      <w:proofErr w:type="spellEnd"/>
      <w:r w:rsidR="00015071" w:rsidRPr="007C730B">
        <w:rPr>
          <w:lang w:val="ru-RU"/>
        </w:rPr>
        <w:t>.</w:t>
      </w:r>
    </w:p>
    <w:p w14:paraId="4E1B895C" w14:textId="2DE5E8C2" w:rsidR="00945EA0" w:rsidRPr="00B53DC1" w:rsidRDefault="00B53DC1" w:rsidP="00E40C32">
      <w:pPr>
        <w:tabs>
          <w:tab w:val="clear" w:pos="1247"/>
          <w:tab w:val="clear" w:pos="1814"/>
          <w:tab w:val="clear" w:pos="2381"/>
          <w:tab w:val="clear" w:pos="2948"/>
          <w:tab w:val="clear" w:pos="3515"/>
        </w:tabs>
        <w:spacing w:after="120"/>
        <w:ind w:left="1247"/>
        <w:rPr>
          <w:lang w:val="ru-RU"/>
        </w:rPr>
      </w:pPr>
      <w:r w:rsidRPr="00B53DC1">
        <w:rPr>
          <w:lang w:val="ru-RU"/>
        </w:rPr>
        <w:t>34.</w:t>
      </w:r>
      <w:r w:rsidRPr="00B53DC1">
        <w:rPr>
          <w:lang w:val="ru-RU"/>
        </w:rPr>
        <w:tab/>
      </w:r>
      <w:r w:rsidR="00945EA0" w:rsidRPr="00B53DC1">
        <w:rPr>
          <w:lang w:val="ru-RU"/>
        </w:rPr>
        <w:t>Конференция Сторон, возможно, пожелает поручить небольшой группе технических экспертов задачу определения:</w:t>
      </w:r>
    </w:p>
    <w:p w14:paraId="11715BD3" w14:textId="7F0B6F34" w:rsidR="00945EA0" w:rsidRPr="00B53DC1" w:rsidRDefault="00B53DC1" w:rsidP="00B53DC1">
      <w:pPr>
        <w:tabs>
          <w:tab w:val="clear" w:pos="1247"/>
          <w:tab w:val="clear" w:pos="1814"/>
          <w:tab w:val="clear" w:pos="2381"/>
          <w:tab w:val="clear" w:pos="2948"/>
          <w:tab w:val="clear" w:pos="3515"/>
        </w:tabs>
        <w:spacing w:after="120"/>
        <w:ind w:left="1247" w:firstLine="624"/>
        <w:rPr>
          <w:lang w:val="ru-RU"/>
        </w:rPr>
      </w:pPr>
      <w:r>
        <w:t>a</w:t>
      </w:r>
      <w:r w:rsidRPr="00B53DC1">
        <w:rPr>
          <w:lang w:val="ru-RU"/>
        </w:rPr>
        <w:t>)</w:t>
      </w:r>
      <w:r w:rsidRPr="00B53DC1">
        <w:rPr>
          <w:lang w:val="ru-RU"/>
        </w:rPr>
        <w:tab/>
      </w:r>
      <w:proofErr w:type="gramStart"/>
      <w:r w:rsidR="00972245" w:rsidRPr="00B53DC1">
        <w:rPr>
          <w:lang w:val="ru-RU"/>
        </w:rPr>
        <w:t>с</w:t>
      </w:r>
      <w:r w:rsidR="00945EA0" w:rsidRPr="00B53DC1">
        <w:rPr>
          <w:lang w:val="ru-RU"/>
        </w:rPr>
        <w:t>оответствующих</w:t>
      </w:r>
      <w:proofErr w:type="gramEnd"/>
      <w:r w:rsidR="00945EA0" w:rsidRPr="00B53DC1">
        <w:rPr>
          <w:lang w:val="ru-RU"/>
        </w:rPr>
        <w:t xml:space="preserve"> существующих данных, а также методологий для обеспечения сравнимости данных, стандартизации и формирования региональных сетей, что будет содействовать использованию данных мониторинга в рамках Конвенции;</w:t>
      </w:r>
    </w:p>
    <w:p w14:paraId="592D36A1" w14:textId="74B61A32" w:rsidR="00945EA0" w:rsidRPr="00B53DC1" w:rsidRDefault="00B53DC1" w:rsidP="00B53DC1">
      <w:pPr>
        <w:tabs>
          <w:tab w:val="clear" w:pos="1247"/>
          <w:tab w:val="clear" w:pos="1814"/>
          <w:tab w:val="clear" w:pos="2381"/>
          <w:tab w:val="clear" w:pos="2948"/>
          <w:tab w:val="clear" w:pos="3515"/>
        </w:tabs>
        <w:spacing w:after="120"/>
        <w:ind w:left="1247" w:firstLine="624"/>
        <w:rPr>
          <w:lang w:val="ru-RU"/>
        </w:rPr>
      </w:pPr>
      <w:r>
        <w:t>b</w:t>
      </w:r>
      <w:r w:rsidRPr="00B53DC1">
        <w:rPr>
          <w:lang w:val="ru-RU"/>
        </w:rPr>
        <w:t>)</w:t>
      </w:r>
      <w:r w:rsidRPr="00B53DC1">
        <w:rPr>
          <w:lang w:val="ru-RU"/>
        </w:rPr>
        <w:tab/>
      </w:r>
      <w:proofErr w:type="gramStart"/>
      <w:r w:rsidR="00972245" w:rsidRPr="00B53DC1">
        <w:rPr>
          <w:lang w:val="ru-RU"/>
        </w:rPr>
        <w:t>м</w:t>
      </w:r>
      <w:r w:rsidR="00945EA0" w:rsidRPr="00B53DC1">
        <w:rPr>
          <w:lang w:val="ru-RU"/>
        </w:rPr>
        <w:t>етодологий</w:t>
      </w:r>
      <w:proofErr w:type="gramEnd"/>
      <w:r w:rsidR="00945EA0" w:rsidRPr="00B53DC1">
        <w:rPr>
          <w:lang w:val="ru-RU"/>
        </w:rPr>
        <w:t xml:space="preserve"> моделирования, которые могут использоваться в сочетании с данными по конкретным странам для оценки изменений в воздействии на человека посредством увязки выбросов ртути с концентрациями в других средах (например, осаждения, воды, рыбы в различных участках океана), тем самым обеспечивая оценку изменений в этих средах в результате изменения выбросов;</w:t>
      </w:r>
    </w:p>
    <w:p w14:paraId="2471BB25" w14:textId="0917D732" w:rsidR="00945EA0" w:rsidRPr="007C730B" w:rsidRDefault="00B53DC1" w:rsidP="00B53DC1">
      <w:pPr>
        <w:tabs>
          <w:tab w:val="clear" w:pos="1247"/>
          <w:tab w:val="clear" w:pos="1814"/>
          <w:tab w:val="clear" w:pos="2381"/>
          <w:tab w:val="clear" w:pos="2948"/>
          <w:tab w:val="clear" w:pos="3515"/>
        </w:tabs>
        <w:spacing w:after="120"/>
        <w:ind w:left="1247" w:firstLine="624"/>
        <w:rPr>
          <w:lang w:val="ru-RU"/>
        </w:rPr>
      </w:pPr>
      <w:r>
        <w:t>c</w:t>
      </w:r>
      <w:r w:rsidRPr="00B53DC1">
        <w:rPr>
          <w:lang w:val="ru-RU"/>
        </w:rPr>
        <w:t>)</w:t>
      </w:r>
      <w:r w:rsidRPr="00B53DC1">
        <w:rPr>
          <w:lang w:val="ru-RU"/>
        </w:rPr>
        <w:tab/>
      </w:r>
      <w:proofErr w:type="gramStart"/>
      <w:r w:rsidR="00972245" w:rsidRPr="00B53DC1">
        <w:rPr>
          <w:lang w:val="ru-RU"/>
        </w:rPr>
        <w:t>вопросов</w:t>
      </w:r>
      <w:proofErr w:type="gramEnd"/>
      <w:r w:rsidR="00972245" w:rsidRPr="00B53DC1">
        <w:rPr>
          <w:lang w:val="ru-RU"/>
        </w:rPr>
        <w:t>, касающих</w:t>
      </w:r>
      <w:r w:rsidR="008E1FBB" w:rsidRPr="00B53DC1">
        <w:rPr>
          <w:lang w:val="ru-RU"/>
        </w:rPr>
        <w:t xml:space="preserve">ся политики, ответы на которые содержатся в имеющихся данных. </w:t>
      </w:r>
      <w:r w:rsidR="008E1FBB" w:rsidRPr="007C730B">
        <w:rPr>
          <w:lang w:val="ru-RU"/>
        </w:rPr>
        <w:t>Необходимо обозначить сроки и конкретную информацию по мониторингу и моделированию, используемую в настоящее время.</w:t>
      </w:r>
    </w:p>
    <w:p w14:paraId="43F70D26" w14:textId="6DBC8101" w:rsidR="00945EA0" w:rsidRPr="007C730B" w:rsidRDefault="00DE69B7" w:rsidP="00E40C32">
      <w:pPr>
        <w:tabs>
          <w:tab w:val="clear" w:pos="1247"/>
          <w:tab w:val="clear" w:pos="1814"/>
          <w:tab w:val="clear" w:pos="2381"/>
          <w:tab w:val="clear" w:pos="2948"/>
          <w:tab w:val="clear" w:pos="3515"/>
        </w:tabs>
        <w:spacing w:after="120"/>
        <w:ind w:left="1247"/>
        <w:rPr>
          <w:lang w:val="ru-RU"/>
        </w:rPr>
      </w:pPr>
      <w:r w:rsidRPr="00DE69B7">
        <w:rPr>
          <w:lang w:val="ru-RU"/>
        </w:rPr>
        <w:t>35.</w:t>
      </w:r>
      <w:r w:rsidRPr="00DE69B7">
        <w:rPr>
          <w:lang w:val="ru-RU"/>
        </w:rPr>
        <w:tab/>
      </w:r>
      <w:r w:rsidR="00D135F6" w:rsidRPr="00DE69B7">
        <w:rPr>
          <w:lang w:val="ru-RU"/>
        </w:rPr>
        <w:t xml:space="preserve">Конференция Сторон, возможно, сочтет имеющиеся в настоящее время данные для определения уровней ртути в окружающей среде, в том числе в </w:t>
      </w:r>
      <w:proofErr w:type="spellStart"/>
      <w:r w:rsidR="00D135F6" w:rsidRPr="00DE69B7">
        <w:rPr>
          <w:lang w:val="ru-RU"/>
        </w:rPr>
        <w:t>биоте</w:t>
      </w:r>
      <w:proofErr w:type="spellEnd"/>
      <w:r w:rsidR="00D135F6" w:rsidRPr="00DE69B7">
        <w:rPr>
          <w:lang w:val="ru-RU"/>
        </w:rPr>
        <w:t xml:space="preserve">, достаточными. </w:t>
      </w:r>
      <w:r w:rsidR="00D135F6" w:rsidRPr="007C730B">
        <w:rPr>
          <w:lang w:val="ru-RU"/>
        </w:rPr>
        <w:t>Вопрос дополнительной информации, которая может повысить эффективность будущих оценок, может быть передан Конференцией Сторон группе технических экспертов, наряду с вариантами для получения такой информации и относительных расходов на это.</w:t>
      </w:r>
    </w:p>
    <w:p w14:paraId="77C046AA" w14:textId="73ADEDE9" w:rsidR="00945EA0" w:rsidRPr="007C730B" w:rsidRDefault="00DE69B7" w:rsidP="00E40C32">
      <w:pPr>
        <w:tabs>
          <w:tab w:val="clear" w:pos="1247"/>
          <w:tab w:val="clear" w:pos="1814"/>
          <w:tab w:val="clear" w:pos="2381"/>
          <w:tab w:val="clear" w:pos="2948"/>
          <w:tab w:val="clear" w:pos="3515"/>
        </w:tabs>
        <w:spacing w:after="120"/>
        <w:ind w:left="1247"/>
        <w:rPr>
          <w:lang w:val="ru-RU"/>
        </w:rPr>
      </w:pPr>
      <w:r w:rsidRPr="00DE69B7">
        <w:rPr>
          <w:lang w:val="ru-RU"/>
        </w:rPr>
        <w:t>36.</w:t>
      </w:r>
      <w:r w:rsidRPr="00DE69B7">
        <w:rPr>
          <w:lang w:val="ru-RU"/>
        </w:rPr>
        <w:tab/>
      </w:r>
      <w:r w:rsidR="00945EA0" w:rsidRPr="00DE69B7">
        <w:rPr>
          <w:lang w:val="ru-RU"/>
        </w:rPr>
        <w:t xml:space="preserve">При рассмотрении вопроса об установлении базовых уровней, относительно которых может оцениваться прогресс в деле осуществления Конвенции, Конференция Сторон, возможно, пожелает рассмотреть вопрос об использовании имеющихся оценок, в том числе Глобальной оценки ртути и Глобальной системы мониторинга окружающей среды – Программы мониторинга и оценки загрязнения в продуктах питания. </w:t>
      </w:r>
      <w:r w:rsidR="00945EA0" w:rsidRPr="007C730B">
        <w:rPr>
          <w:lang w:val="ru-RU"/>
        </w:rPr>
        <w:t>Конференция, возможно, также пожелает использовать информацию, предоставленную странами на национальном или региональном уровне, в качестве основы для будущих сравнений.</w:t>
      </w:r>
    </w:p>
    <w:p w14:paraId="2663DC20" w14:textId="4D6F54C6" w:rsidR="00D7265E" w:rsidRPr="00E40C32" w:rsidRDefault="00E40C32" w:rsidP="00E40C32">
      <w:pPr>
        <w:pStyle w:val="Normal-pool"/>
        <w:tabs>
          <w:tab w:val="clear" w:pos="1247"/>
          <w:tab w:val="clear" w:pos="1814"/>
          <w:tab w:val="clear" w:pos="2381"/>
          <w:tab w:val="clear" w:pos="2948"/>
          <w:tab w:val="clear" w:pos="3515"/>
          <w:tab w:val="clear" w:pos="4082"/>
        </w:tabs>
        <w:spacing w:before="240"/>
        <w:ind w:left="1247"/>
        <w:jc w:val="center"/>
        <w:rPr>
          <w:lang w:val="en-US"/>
        </w:rPr>
      </w:pPr>
      <w:r>
        <w:rPr>
          <w:lang w:val="en-US"/>
        </w:rPr>
        <w:t>_____________________</w:t>
      </w:r>
    </w:p>
    <w:sectPr w:rsidR="00D7265E" w:rsidRPr="00E40C32" w:rsidSect="008908B6">
      <w:headerReference w:type="even" r:id="rId18"/>
      <w:headerReference w:type="default" r:id="rId19"/>
      <w:footerReference w:type="even" r:id="rId20"/>
      <w:footerReference w:type="default" r:id="rId21"/>
      <w:headerReference w:type="first" r:id="rId22"/>
      <w:footerReference w:type="first" r:id="rId23"/>
      <w:type w:val="continuous"/>
      <w:pgSz w:w="11906" w:h="16838" w:code="9"/>
      <w:pgMar w:top="907" w:right="992" w:bottom="1418" w:left="1418" w:header="539" w:footer="975" w:gutter="0"/>
      <w:cols w:space="539"/>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7391E6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9C1FDD" w14:textId="77777777" w:rsidR="0010644D" w:rsidRDefault="0010644D">
      <w:r>
        <w:separator/>
      </w:r>
    </w:p>
  </w:endnote>
  <w:endnote w:type="continuationSeparator" w:id="0">
    <w:p w14:paraId="6EB0106F" w14:textId="77777777" w:rsidR="0010644D" w:rsidRDefault="0010644D">
      <w:r>
        <w:continuationSeparator/>
      </w:r>
    </w:p>
  </w:endnote>
  <w:endnote w:type="continuationNotice" w:id="1">
    <w:p w14:paraId="2BB05CD0" w14:textId="77777777" w:rsidR="0010644D" w:rsidRDefault="001064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62D4CD" w14:textId="77777777" w:rsidR="00914402" w:rsidRPr="009022FE" w:rsidRDefault="00914402" w:rsidP="00FB18C2">
    <w:pPr>
      <w:pStyle w:val="Footer"/>
      <w:rPr>
        <w:b/>
        <w:szCs w:val="18"/>
        <w:lang w:val="en-US"/>
      </w:rPr>
    </w:pPr>
    <w:r w:rsidRPr="009022FE">
      <w:rPr>
        <w:rStyle w:val="PageNumber"/>
        <w:b w:val="0"/>
        <w:szCs w:val="18"/>
      </w:rPr>
      <w:fldChar w:fldCharType="begin"/>
    </w:r>
    <w:r w:rsidRPr="009022FE">
      <w:rPr>
        <w:rStyle w:val="PageNumber"/>
        <w:b w:val="0"/>
        <w:szCs w:val="18"/>
      </w:rPr>
      <w:instrText xml:space="preserve">PAGE  </w:instrText>
    </w:r>
    <w:r w:rsidRPr="009022FE">
      <w:rPr>
        <w:rStyle w:val="PageNumber"/>
        <w:b w:val="0"/>
        <w:szCs w:val="18"/>
      </w:rPr>
      <w:fldChar w:fldCharType="separate"/>
    </w:r>
    <w:r>
      <w:rPr>
        <w:rStyle w:val="PageNumber"/>
        <w:b w:val="0"/>
        <w:noProof/>
        <w:szCs w:val="18"/>
      </w:rPr>
      <w:t>2</w:t>
    </w:r>
    <w:r w:rsidRPr="009022FE">
      <w:rPr>
        <w:rStyle w:val="PageNumber"/>
        <w:b w:val="0"/>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8573FF" w14:textId="77777777" w:rsidR="00914402" w:rsidRPr="009022FE" w:rsidRDefault="00914402" w:rsidP="002D6B61">
    <w:pPr>
      <w:pStyle w:val="Footer"/>
      <w:jc w:val="right"/>
      <w:rPr>
        <w:b/>
        <w:szCs w:val="18"/>
        <w:lang w:val="en-US"/>
      </w:rPr>
    </w:pPr>
    <w:r w:rsidRPr="009022FE">
      <w:rPr>
        <w:rStyle w:val="PageNumber"/>
        <w:b w:val="0"/>
        <w:szCs w:val="18"/>
      </w:rPr>
      <w:fldChar w:fldCharType="begin"/>
    </w:r>
    <w:r w:rsidRPr="009022FE">
      <w:rPr>
        <w:rStyle w:val="PageNumber"/>
        <w:b w:val="0"/>
        <w:szCs w:val="18"/>
      </w:rPr>
      <w:instrText xml:space="preserve">PAGE  </w:instrText>
    </w:r>
    <w:r w:rsidRPr="009022FE">
      <w:rPr>
        <w:rStyle w:val="PageNumber"/>
        <w:b w:val="0"/>
        <w:szCs w:val="18"/>
      </w:rPr>
      <w:fldChar w:fldCharType="separate"/>
    </w:r>
    <w:r>
      <w:rPr>
        <w:rStyle w:val="PageNumber"/>
        <w:b w:val="0"/>
        <w:noProof/>
        <w:szCs w:val="18"/>
      </w:rPr>
      <w:t>3</w:t>
    </w:r>
    <w:r w:rsidRPr="009022FE">
      <w:rPr>
        <w:rStyle w:val="PageNumber"/>
        <w:b w:val="0"/>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51DB9F" w14:textId="1E2819F5" w:rsidR="00914402" w:rsidRPr="00E40C32" w:rsidRDefault="00914402" w:rsidP="00E40C32">
    <w:pPr>
      <w:pStyle w:val="Footer"/>
      <w:tabs>
        <w:tab w:val="clear" w:pos="1247"/>
        <w:tab w:val="clear" w:pos="1814"/>
        <w:tab w:val="clear" w:pos="2381"/>
        <w:tab w:val="clear" w:pos="2948"/>
        <w:tab w:val="clear" w:pos="3515"/>
        <w:tab w:val="clear" w:pos="4320"/>
        <w:tab w:val="clear" w:pos="8640"/>
      </w:tabs>
      <w:rPr>
        <w:sz w:val="20"/>
        <w:lang w:val="en-US"/>
      </w:rPr>
    </w:pPr>
    <w:r w:rsidRPr="00E40C32">
      <w:rPr>
        <w:sz w:val="20"/>
        <w:lang w:val="en-US"/>
      </w:rPr>
      <w:t>K17</w:t>
    </w:r>
    <w:r w:rsidR="0069606C">
      <w:rPr>
        <w:sz w:val="20"/>
        <w:lang w:val="en-US"/>
      </w:rPr>
      <w:t>06006</w:t>
    </w:r>
    <w:r w:rsidRPr="00E40C32">
      <w:rPr>
        <w:sz w:val="20"/>
        <w:lang w:val="en-US"/>
      </w:rPr>
      <w:t xml:space="preserve">      </w:t>
    </w:r>
    <w:r w:rsidR="00FA0466">
      <w:rPr>
        <w:sz w:val="20"/>
        <w:lang w:val="ru-RU"/>
      </w:rPr>
      <w:t>20</w:t>
    </w:r>
    <w:r w:rsidR="0069606C">
      <w:rPr>
        <w:sz w:val="20"/>
        <w:lang w:val="en-US"/>
      </w:rPr>
      <w:t>06</w:t>
    </w:r>
    <w:r w:rsidRPr="00E40C32">
      <w:rPr>
        <w:sz w:val="20"/>
        <w:lang w:val="en-US"/>
      </w:rPr>
      <w:t>17</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D10C11" w14:textId="77777777" w:rsidR="00DC41EB" w:rsidRDefault="00DC41EB" w:rsidP="0069606C">
    <w:pPr>
      <w:pStyle w:val="Footer"/>
      <w:tabs>
        <w:tab w:val="clear" w:pos="1247"/>
        <w:tab w:val="clear" w:pos="1814"/>
        <w:tab w:val="clear" w:pos="2381"/>
        <w:tab w:val="clear" w:pos="2948"/>
        <w:tab w:val="clear" w:pos="3515"/>
        <w:tab w:val="clear" w:pos="4320"/>
        <w:tab w:val="clear" w:pos="8640"/>
      </w:tabs>
    </w:pPr>
    <w:r>
      <w:rPr>
        <w:rStyle w:val="PageNumber"/>
      </w:rPr>
      <w:fldChar w:fldCharType="begin"/>
    </w:r>
    <w:r>
      <w:rPr>
        <w:rStyle w:val="PageNumber"/>
      </w:rPr>
      <w:instrText xml:space="preserve"> PAGE </w:instrText>
    </w:r>
    <w:r>
      <w:rPr>
        <w:rStyle w:val="PageNumber"/>
      </w:rPr>
      <w:fldChar w:fldCharType="separate"/>
    </w:r>
    <w:r w:rsidR="00913F99">
      <w:rPr>
        <w:rStyle w:val="PageNumber"/>
        <w:noProof/>
      </w:rPr>
      <w:t>2</w:t>
    </w:r>
    <w:r>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AF625E" w14:textId="77777777" w:rsidR="00DC41EB" w:rsidRDefault="00DC41EB" w:rsidP="0069606C">
    <w:pPr>
      <w:pStyle w:val="Footer"/>
      <w:tabs>
        <w:tab w:val="clear" w:pos="1247"/>
        <w:tab w:val="clear" w:pos="1814"/>
        <w:tab w:val="clear" w:pos="2381"/>
        <w:tab w:val="clear" w:pos="2948"/>
        <w:tab w:val="clear" w:pos="3515"/>
        <w:tab w:val="clear" w:pos="4320"/>
        <w:tab w:val="clear" w:pos="8640"/>
      </w:tabs>
      <w:jc w:val="right"/>
    </w:pPr>
    <w:r>
      <w:rPr>
        <w:rStyle w:val="PageNumber"/>
      </w:rPr>
      <w:fldChar w:fldCharType="begin"/>
    </w:r>
    <w:r>
      <w:rPr>
        <w:rStyle w:val="PageNumber"/>
      </w:rPr>
      <w:instrText xml:space="preserve"> PAGE </w:instrText>
    </w:r>
    <w:r>
      <w:rPr>
        <w:rStyle w:val="PageNumber"/>
      </w:rPr>
      <w:fldChar w:fldCharType="separate"/>
    </w:r>
    <w:r w:rsidR="00913F99">
      <w:rPr>
        <w:rStyle w:val="PageNumber"/>
        <w:noProof/>
      </w:rPr>
      <w:t>3</w:t>
    </w:r>
    <w:r>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74964C" w14:textId="7959E2AF" w:rsidR="00DC41EB" w:rsidRPr="001D7B83" w:rsidRDefault="00DC41EB" w:rsidP="008908B6">
    <w:pPr>
      <w:pStyle w:val="Footer"/>
      <w:tabs>
        <w:tab w:val="clear" w:pos="1247"/>
        <w:tab w:val="clear" w:pos="1814"/>
        <w:tab w:val="clear" w:pos="2381"/>
        <w:tab w:val="clear" w:pos="2948"/>
        <w:tab w:val="clear" w:pos="3515"/>
        <w:tab w:val="clear" w:pos="4320"/>
        <w:tab w:val="clear" w:pos="8640"/>
        <w:tab w:val="left" w:pos="624"/>
      </w:tabs>
      <w:rPr>
        <w:sz w:val="20"/>
      </w:rPr>
    </w:pPr>
    <w:r>
      <w:rPr>
        <w:lang w:val="ru-RU"/>
      </w:rPr>
      <w:t>K17060004</w:t>
    </w:r>
    <w:r>
      <w:rPr>
        <w:lang w:val="ru-RU"/>
      </w:rPr>
      <w:tab/>
      <w:t>020617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DAD753" w14:textId="77777777" w:rsidR="0010644D" w:rsidRDefault="0010644D" w:rsidP="00DF3637">
      <w:pPr>
        <w:tabs>
          <w:tab w:val="clear" w:pos="1247"/>
          <w:tab w:val="clear" w:pos="1814"/>
          <w:tab w:val="clear" w:pos="2381"/>
          <w:tab w:val="clear" w:pos="2948"/>
          <w:tab w:val="clear" w:pos="3515"/>
          <w:tab w:val="left" w:pos="624"/>
        </w:tabs>
        <w:spacing w:before="60"/>
        <w:ind w:left="624"/>
      </w:pPr>
      <w:r>
        <w:separator/>
      </w:r>
    </w:p>
  </w:footnote>
  <w:footnote w:type="continuationSeparator" w:id="0">
    <w:p w14:paraId="3FD54357" w14:textId="77777777" w:rsidR="0010644D" w:rsidRDefault="0010644D">
      <w:r>
        <w:continuationSeparator/>
      </w:r>
    </w:p>
  </w:footnote>
  <w:footnote w:type="continuationNotice" w:id="1">
    <w:p w14:paraId="575CAD64" w14:textId="77777777" w:rsidR="0010644D" w:rsidRDefault="0010644D"/>
  </w:footnote>
  <w:footnote w:id="2">
    <w:p w14:paraId="6FB40B45" w14:textId="5A2AB732" w:rsidR="00DC41EB" w:rsidRPr="00E40C32" w:rsidRDefault="00DE69B7" w:rsidP="00E40C32">
      <w:pPr>
        <w:tabs>
          <w:tab w:val="clear" w:pos="1247"/>
          <w:tab w:val="clear" w:pos="1814"/>
          <w:tab w:val="clear" w:pos="2381"/>
          <w:tab w:val="clear" w:pos="2948"/>
          <w:tab w:val="clear" w:pos="3515"/>
        </w:tabs>
        <w:spacing w:before="20" w:after="40"/>
        <w:ind w:left="1247"/>
        <w:rPr>
          <w:sz w:val="18"/>
          <w:szCs w:val="18"/>
        </w:rPr>
      </w:pPr>
      <w:r>
        <w:rPr>
          <w:sz w:val="18"/>
          <w:szCs w:val="18"/>
          <w:lang w:val="ru-RU"/>
        </w:rPr>
        <w:t>*</w:t>
      </w:r>
      <w:r w:rsidR="00E40C32" w:rsidRPr="00E40C32">
        <w:rPr>
          <w:sz w:val="18"/>
          <w:szCs w:val="18"/>
          <w:lang w:val="en-US"/>
        </w:rPr>
        <w:tab/>
      </w:r>
      <w:r w:rsidR="00DC41EB" w:rsidRPr="00E40C32">
        <w:rPr>
          <w:sz w:val="18"/>
          <w:szCs w:val="18"/>
          <w:lang w:val="ru-RU"/>
        </w:rPr>
        <w:t>UNEP/MC/COP.1/1.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BE1442" w14:textId="77777777" w:rsidR="00914402" w:rsidRPr="009022FE" w:rsidRDefault="00914402" w:rsidP="00FB18C2">
    <w:pPr>
      <w:pBdr>
        <w:bottom w:val="single" w:sz="4" w:space="1" w:color="auto"/>
      </w:pBdr>
      <w:spacing w:after="120"/>
      <w:rPr>
        <w:b/>
        <w:sz w:val="18"/>
        <w:szCs w:val="18"/>
        <w:lang w:val="en-US"/>
      </w:rPr>
    </w:pPr>
    <w:r w:rsidRPr="009022FE">
      <w:rPr>
        <w:b/>
        <w:sz w:val="18"/>
        <w:szCs w:val="18"/>
        <w:lang w:val="en-US"/>
      </w:rPr>
      <w:t>U</w:t>
    </w:r>
    <w:r>
      <w:rPr>
        <w:b/>
        <w:sz w:val="18"/>
        <w:szCs w:val="18"/>
        <w:lang w:val="en-US"/>
      </w:rPr>
      <w:t>NEP/MC/COP.1/1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A1A81E" w14:textId="77777777" w:rsidR="00914402" w:rsidRPr="009022FE" w:rsidRDefault="00914402" w:rsidP="00804FB0">
    <w:pPr>
      <w:pBdr>
        <w:bottom w:val="single" w:sz="4" w:space="1" w:color="auto"/>
      </w:pBdr>
      <w:spacing w:after="120"/>
      <w:jc w:val="right"/>
      <w:rPr>
        <w:b/>
        <w:sz w:val="18"/>
        <w:szCs w:val="18"/>
        <w:lang w:val="en-US"/>
      </w:rPr>
    </w:pPr>
    <w:r w:rsidRPr="009022FE">
      <w:rPr>
        <w:b/>
        <w:sz w:val="18"/>
        <w:szCs w:val="18"/>
        <w:lang w:val="en-US"/>
      </w:rPr>
      <w:t>U</w:t>
    </w:r>
    <w:r>
      <w:rPr>
        <w:b/>
        <w:sz w:val="18"/>
        <w:szCs w:val="18"/>
        <w:lang w:val="en-US"/>
      </w:rPr>
      <w:t>NEP/MC/COP.1/1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000B71" w14:textId="77777777" w:rsidR="00914402" w:rsidRDefault="00914402" w:rsidP="004E171A">
    <w:pPr>
      <w:pStyle w:val="Header"/>
      <w:pBdr>
        <w:bottom w:val="none" w:sz="0" w:space="0" w:color="auto"/>
      </w:pBdr>
      <w:tabs>
        <w:tab w:val="clear" w:pos="1247"/>
        <w:tab w:val="clear" w:pos="4536"/>
        <w:tab w:val="clear" w:pos="9072"/>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4C8B6A" w14:textId="413C7FB0" w:rsidR="00DC41EB" w:rsidRPr="00CA5CA9" w:rsidRDefault="00DC41EB" w:rsidP="0069606C">
    <w:pPr>
      <w:pStyle w:val="Header"/>
      <w:tabs>
        <w:tab w:val="clear" w:pos="1247"/>
        <w:tab w:val="clear" w:pos="4536"/>
        <w:tab w:val="clear" w:pos="9072"/>
      </w:tabs>
      <w:rPr>
        <w:szCs w:val="18"/>
      </w:rPr>
    </w:pPr>
    <w:r w:rsidRPr="00CA5CA9">
      <w:rPr>
        <w:bCs/>
        <w:szCs w:val="18"/>
      </w:rPr>
      <w:t>UNEP</w:t>
    </w:r>
    <w:r w:rsidRPr="00CA5CA9">
      <w:rPr>
        <w:szCs w:val="18"/>
      </w:rPr>
      <w:t>/</w:t>
    </w:r>
    <w:r>
      <w:rPr>
        <w:szCs w:val="18"/>
      </w:rPr>
      <w:t>MC</w:t>
    </w:r>
    <w:r w:rsidRPr="00CA5CA9">
      <w:rPr>
        <w:szCs w:val="18"/>
      </w:rPr>
      <w:t>/</w:t>
    </w:r>
    <w:r>
      <w:rPr>
        <w:szCs w:val="18"/>
      </w:rPr>
      <w:t>COP.1</w:t>
    </w:r>
    <w:r w:rsidRPr="00CA5CA9">
      <w:rPr>
        <w:szCs w:val="18"/>
      </w:rPr>
      <w:t>/</w:t>
    </w:r>
    <w:r>
      <w:rPr>
        <w:szCs w:val="18"/>
      </w:rPr>
      <w:t>12</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A0C8B9" w14:textId="48FB4998" w:rsidR="00DC41EB" w:rsidRPr="00CA5CA9" w:rsidRDefault="00DC41EB" w:rsidP="0069606C">
    <w:pPr>
      <w:pStyle w:val="Header"/>
      <w:tabs>
        <w:tab w:val="clear" w:pos="1247"/>
        <w:tab w:val="clear" w:pos="4536"/>
        <w:tab w:val="clear" w:pos="9072"/>
      </w:tabs>
      <w:jc w:val="right"/>
      <w:rPr>
        <w:szCs w:val="18"/>
      </w:rPr>
    </w:pPr>
    <w:r>
      <w:rPr>
        <w:bCs/>
        <w:szCs w:val="18"/>
      </w:rPr>
      <w:t>UNEP/MC/COP.1/12</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0A437D" w14:textId="783FC383" w:rsidR="00DC41EB" w:rsidRDefault="00DC41EB" w:rsidP="00032E4E">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113A7"/>
    <w:multiLevelType w:val="multilevel"/>
    <w:tmpl w:val="48241D10"/>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
    <w:nsid w:val="172F25E5"/>
    <w:multiLevelType w:val="hybridMultilevel"/>
    <w:tmpl w:val="12F23D9E"/>
    <w:lvl w:ilvl="0" w:tplc="08090015">
      <w:start w:val="1"/>
      <w:numFmt w:val="upperLetter"/>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A5013BD"/>
    <w:multiLevelType w:val="hybridMultilevel"/>
    <w:tmpl w:val="93824F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AD8176E"/>
    <w:multiLevelType w:val="hybridMultilevel"/>
    <w:tmpl w:val="346A5424"/>
    <w:lvl w:ilvl="0" w:tplc="E3F023A8">
      <w:start w:val="1"/>
      <w:numFmt w:val="decimal"/>
      <w:lvlText w:val="%1."/>
      <w:lvlJc w:val="left"/>
      <w:pPr>
        <w:ind w:left="720" w:hanging="360"/>
      </w:pPr>
    </w:lvl>
    <w:lvl w:ilvl="1" w:tplc="08090019">
      <w:start w:val="1"/>
      <w:numFmt w:val="lowerLetter"/>
      <w:lvlText w:val="%2."/>
      <w:lvlJc w:val="left"/>
      <w:pPr>
        <w:ind w:left="1440" w:hanging="360"/>
      </w:pPr>
    </w:lvl>
    <w:lvl w:ilvl="2" w:tplc="EAFE9C00">
      <w:start w:val="1"/>
      <w:numFmt w:val="lowerLetter"/>
      <w:lvlText w:val="%3)"/>
      <w:lvlJc w:val="lef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5">
    <w:nsid w:val="28C127C6"/>
    <w:multiLevelType w:val="multilevel"/>
    <w:tmpl w:val="4D36A53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854"/>
        </w:tabs>
        <w:ind w:left="1494" w:hanging="360"/>
      </w:pPr>
      <w:rPr>
        <w:rFonts w:ascii="Times New Roman" w:hAnsi="Times New Roman" w:hint="default"/>
        <w:b w:val="0"/>
        <w:i w:val="0"/>
        <w:sz w:val="20"/>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31D73585"/>
    <w:multiLevelType w:val="hybridMultilevel"/>
    <w:tmpl w:val="EB8C1B50"/>
    <w:lvl w:ilvl="0" w:tplc="E3F023A8">
      <w:start w:val="1"/>
      <w:numFmt w:val="decimal"/>
      <w:pStyle w:val="Normalnumb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8">
    <w:nsid w:val="414D6681"/>
    <w:multiLevelType w:val="hybridMultilevel"/>
    <w:tmpl w:val="7A02146E"/>
    <w:styleLink w:val="Importeradestilen16"/>
    <w:lvl w:ilvl="0" w:tplc="39B41576">
      <w:start w:val="1"/>
      <w:numFmt w:val="lowerLetter"/>
      <w:lvlText w:val="%1)"/>
      <w:lvlJc w:val="left"/>
      <w:pPr>
        <w:tabs>
          <w:tab w:val="left" w:pos="624"/>
          <w:tab w:val="num" w:pos="1909"/>
        </w:tabs>
        <w:ind w:left="660" w:firstLine="949"/>
      </w:pPr>
      <w:rPr>
        <w:rFonts w:hAnsi="Arial Unicode MS" w:cs="Times New Roman"/>
        <w:caps w:val="0"/>
        <w:smallCaps w:val="0"/>
        <w:strike w:val="0"/>
        <w:dstrike w:val="0"/>
        <w:color w:val="000000"/>
        <w:spacing w:val="0"/>
        <w:w w:val="100"/>
        <w:kern w:val="0"/>
        <w:position w:val="0"/>
        <w:vertAlign w:val="baseline"/>
      </w:rPr>
    </w:lvl>
    <w:lvl w:ilvl="1" w:tplc="C6B23022">
      <w:start w:val="1"/>
      <w:numFmt w:val="lowerLetter"/>
      <w:lvlText w:val="%2)"/>
      <w:lvlJc w:val="left"/>
      <w:pPr>
        <w:tabs>
          <w:tab w:val="left" w:pos="624"/>
          <w:tab w:val="num" w:pos="2644"/>
        </w:tabs>
        <w:ind w:left="1395" w:firstLine="1024"/>
      </w:pPr>
      <w:rPr>
        <w:rFonts w:hAnsi="Arial Unicode MS" w:cs="Times New Roman"/>
        <w:caps w:val="0"/>
        <w:smallCaps w:val="0"/>
        <w:strike w:val="0"/>
        <w:dstrike w:val="0"/>
        <w:color w:val="000000"/>
        <w:spacing w:val="0"/>
        <w:w w:val="100"/>
        <w:kern w:val="0"/>
        <w:position w:val="0"/>
        <w:vertAlign w:val="baseline"/>
      </w:rPr>
    </w:lvl>
    <w:lvl w:ilvl="2" w:tplc="D904FDF4">
      <w:start w:val="1"/>
      <w:numFmt w:val="lowerLetter"/>
      <w:lvlText w:val="%3)"/>
      <w:lvlJc w:val="left"/>
      <w:pPr>
        <w:tabs>
          <w:tab w:val="left" w:pos="624"/>
          <w:tab w:val="num" w:pos="2496"/>
        </w:tabs>
        <w:ind w:left="1247" w:firstLine="624"/>
      </w:pPr>
      <w:rPr>
        <w:rFonts w:hAnsi="Arial Unicode MS" w:cs="Times New Roman"/>
        <w:caps w:val="0"/>
        <w:smallCaps w:val="0"/>
        <w:strike w:val="0"/>
        <w:dstrike w:val="0"/>
        <w:color w:val="000000"/>
        <w:spacing w:val="0"/>
        <w:w w:val="100"/>
        <w:kern w:val="0"/>
        <w:position w:val="0"/>
        <w:vertAlign w:val="baseline"/>
      </w:rPr>
    </w:lvl>
    <w:lvl w:ilvl="3" w:tplc="33849518">
      <w:start w:val="1"/>
      <w:numFmt w:val="decimal"/>
      <w:lvlText w:val="%4."/>
      <w:lvlJc w:val="left"/>
      <w:pPr>
        <w:tabs>
          <w:tab w:val="left" w:pos="624"/>
          <w:tab w:val="num" w:pos="3216"/>
        </w:tabs>
        <w:ind w:left="1967" w:firstLine="540"/>
      </w:pPr>
      <w:rPr>
        <w:rFonts w:hAnsi="Arial Unicode MS" w:cs="Times New Roman"/>
        <w:caps w:val="0"/>
        <w:smallCaps w:val="0"/>
        <w:strike w:val="0"/>
        <w:dstrike w:val="0"/>
        <w:color w:val="000000"/>
        <w:spacing w:val="0"/>
        <w:w w:val="100"/>
        <w:kern w:val="0"/>
        <w:position w:val="0"/>
        <w:vertAlign w:val="baseline"/>
      </w:rPr>
    </w:lvl>
    <w:lvl w:ilvl="4" w:tplc="4738ACAA">
      <w:start w:val="1"/>
      <w:numFmt w:val="lowerLetter"/>
      <w:lvlText w:val="%5."/>
      <w:lvlJc w:val="left"/>
      <w:pPr>
        <w:tabs>
          <w:tab w:val="left" w:pos="624"/>
          <w:tab w:val="num" w:pos="3936"/>
        </w:tabs>
        <w:ind w:left="2687" w:firstLine="636"/>
      </w:pPr>
      <w:rPr>
        <w:rFonts w:hAnsi="Arial Unicode MS" w:cs="Times New Roman"/>
        <w:caps w:val="0"/>
        <w:smallCaps w:val="0"/>
        <w:strike w:val="0"/>
        <w:dstrike w:val="0"/>
        <w:color w:val="000000"/>
        <w:spacing w:val="0"/>
        <w:w w:val="100"/>
        <w:kern w:val="0"/>
        <w:position w:val="0"/>
        <w:vertAlign w:val="baseline"/>
      </w:rPr>
    </w:lvl>
    <w:lvl w:ilvl="5" w:tplc="5FBAD3F2">
      <w:start w:val="1"/>
      <w:numFmt w:val="lowerRoman"/>
      <w:lvlText w:val="%6."/>
      <w:lvlJc w:val="left"/>
      <w:pPr>
        <w:tabs>
          <w:tab w:val="left" w:pos="624"/>
          <w:tab w:val="num" w:pos="4656"/>
        </w:tabs>
        <w:ind w:left="3407" w:firstLine="825"/>
      </w:pPr>
      <w:rPr>
        <w:rFonts w:hAnsi="Arial Unicode MS" w:cs="Times New Roman"/>
        <w:caps w:val="0"/>
        <w:smallCaps w:val="0"/>
        <w:strike w:val="0"/>
        <w:dstrike w:val="0"/>
        <w:color w:val="000000"/>
        <w:spacing w:val="0"/>
        <w:w w:val="100"/>
        <w:kern w:val="0"/>
        <w:position w:val="0"/>
        <w:vertAlign w:val="baseline"/>
      </w:rPr>
    </w:lvl>
    <w:lvl w:ilvl="6" w:tplc="95BCD89A">
      <w:start w:val="1"/>
      <w:numFmt w:val="decimal"/>
      <w:lvlText w:val="%7."/>
      <w:lvlJc w:val="left"/>
      <w:pPr>
        <w:tabs>
          <w:tab w:val="left" w:pos="624"/>
          <w:tab w:val="num" w:pos="5376"/>
        </w:tabs>
        <w:ind w:left="4127" w:firstLine="828"/>
      </w:pPr>
      <w:rPr>
        <w:rFonts w:hAnsi="Arial Unicode MS" w:cs="Times New Roman"/>
        <w:caps w:val="0"/>
        <w:smallCaps w:val="0"/>
        <w:strike w:val="0"/>
        <w:dstrike w:val="0"/>
        <w:color w:val="000000"/>
        <w:spacing w:val="0"/>
        <w:w w:val="100"/>
        <w:kern w:val="0"/>
        <w:position w:val="0"/>
        <w:vertAlign w:val="baseline"/>
      </w:rPr>
    </w:lvl>
    <w:lvl w:ilvl="7" w:tplc="1E308D9A">
      <w:start w:val="1"/>
      <w:numFmt w:val="lowerLetter"/>
      <w:lvlText w:val="%8."/>
      <w:lvlJc w:val="left"/>
      <w:pPr>
        <w:tabs>
          <w:tab w:val="left" w:pos="624"/>
          <w:tab w:val="num" w:pos="6096"/>
        </w:tabs>
        <w:ind w:left="4847" w:firstLine="924"/>
      </w:pPr>
      <w:rPr>
        <w:rFonts w:hAnsi="Arial Unicode MS" w:cs="Times New Roman"/>
        <w:caps w:val="0"/>
        <w:smallCaps w:val="0"/>
        <w:strike w:val="0"/>
        <w:dstrike w:val="0"/>
        <w:color w:val="000000"/>
        <w:spacing w:val="0"/>
        <w:w w:val="100"/>
        <w:kern w:val="0"/>
        <w:position w:val="0"/>
        <w:vertAlign w:val="baseline"/>
      </w:rPr>
    </w:lvl>
    <w:lvl w:ilvl="8" w:tplc="EF0C5D60">
      <w:start w:val="1"/>
      <w:numFmt w:val="lowerRoman"/>
      <w:lvlText w:val="%9."/>
      <w:lvlJc w:val="left"/>
      <w:pPr>
        <w:tabs>
          <w:tab w:val="left" w:pos="624"/>
          <w:tab w:val="num" w:pos="6816"/>
        </w:tabs>
        <w:ind w:left="5567" w:firstLine="1113"/>
      </w:pPr>
      <w:rPr>
        <w:rFonts w:hAnsi="Arial Unicode MS" w:cs="Times New Roman"/>
        <w:caps w:val="0"/>
        <w:smallCaps w:val="0"/>
        <w:strike w:val="0"/>
        <w:dstrike w:val="0"/>
        <w:color w:val="000000"/>
        <w:spacing w:val="0"/>
        <w:w w:val="100"/>
        <w:kern w:val="0"/>
        <w:position w:val="0"/>
        <w:vertAlign w:val="baseline"/>
      </w:rPr>
    </w:lvl>
  </w:abstractNum>
  <w:abstractNum w:abstractNumId="9">
    <w:nsid w:val="481B0640"/>
    <w:multiLevelType w:val="hybridMultilevel"/>
    <w:tmpl w:val="89EEF7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E914458"/>
    <w:multiLevelType w:val="hybridMultilevel"/>
    <w:tmpl w:val="8F12154E"/>
    <w:numStyleLink w:val="Importeradestilen17"/>
  </w:abstractNum>
  <w:abstractNum w:abstractNumId="11">
    <w:nsid w:val="4F1A58D9"/>
    <w:multiLevelType w:val="hybridMultilevel"/>
    <w:tmpl w:val="8F12154E"/>
    <w:styleLink w:val="Importeradestilen17"/>
    <w:lvl w:ilvl="0" w:tplc="C2CA7860">
      <w:start w:val="1"/>
      <w:numFmt w:val="lowerLetter"/>
      <w:lvlText w:val="%1)"/>
      <w:lvlJc w:val="left"/>
      <w:pPr>
        <w:ind w:left="660" w:hanging="300"/>
      </w:pPr>
      <w:rPr>
        <w:rFonts w:hAnsi="Arial Unicode MS" w:cs="Times New Roman"/>
        <w:caps w:val="0"/>
        <w:smallCaps w:val="0"/>
        <w:strike w:val="0"/>
        <w:dstrike w:val="0"/>
        <w:color w:val="000000"/>
        <w:spacing w:val="0"/>
        <w:w w:val="100"/>
        <w:kern w:val="0"/>
        <w:position w:val="0"/>
        <w:vertAlign w:val="baseline"/>
      </w:rPr>
    </w:lvl>
    <w:lvl w:ilvl="1" w:tplc="768E7FE6">
      <w:start w:val="1"/>
      <w:numFmt w:val="lowerLetter"/>
      <w:lvlText w:val="%2)"/>
      <w:lvlJc w:val="left"/>
      <w:pPr>
        <w:tabs>
          <w:tab w:val="left" w:pos="624"/>
        </w:tabs>
        <w:ind w:left="1386" w:hanging="269"/>
      </w:pPr>
      <w:rPr>
        <w:rFonts w:hAnsi="Arial Unicode MS" w:cs="Times New Roman"/>
        <w:caps w:val="0"/>
        <w:smallCaps w:val="0"/>
        <w:strike w:val="0"/>
        <w:dstrike w:val="0"/>
        <w:color w:val="000000"/>
        <w:spacing w:val="0"/>
        <w:w w:val="100"/>
        <w:kern w:val="0"/>
        <w:position w:val="0"/>
        <w:vertAlign w:val="baseline"/>
      </w:rPr>
    </w:lvl>
    <w:lvl w:ilvl="2" w:tplc="4094D26A">
      <w:start w:val="1"/>
      <w:numFmt w:val="lowerRoman"/>
      <w:lvlText w:val="%3."/>
      <w:lvlJc w:val="left"/>
      <w:pPr>
        <w:tabs>
          <w:tab w:val="left" w:pos="624"/>
        </w:tabs>
        <w:ind w:left="2113" w:hanging="237"/>
      </w:pPr>
      <w:rPr>
        <w:rFonts w:hAnsi="Arial Unicode MS" w:cs="Times New Roman"/>
        <w:caps w:val="0"/>
        <w:smallCaps w:val="0"/>
        <w:strike w:val="0"/>
        <w:dstrike w:val="0"/>
        <w:color w:val="000000"/>
        <w:spacing w:val="0"/>
        <w:w w:val="100"/>
        <w:kern w:val="0"/>
        <w:position w:val="0"/>
        <w:vertAlign w:val="baseline"/>
      </w:rPr>
    </w:lvl>
    <w:lvl w:ilvl="3" w:tplc="B598329E">
      <w:start w:val="1"/>
      <w:numFmt w:val="lowerRoman"/>
      <w:lvlText w:val="%4)"/>
      <w:lvlJc w:val="left"/>
      <w:pPr>
        <w:tabs>
          <w:tab w:val="left" w:pos="624"/>
        </w:tabs>
        <w:ind w:left="3090" w:hanging="512"/>
      </w:pPr>
      <w:rPr>
        <w:rFonts w:hAnsi="Arial Unicode MS" w:cs="Times New Roman"/>
        <w:caps w:val="0"/>
        <w:smallCaps w:val="0"/>
        <w:strike w:val="0"/>
        <w:dstrike w:val="0"/>
        <w:color w:val="000000"/>
        <w:spacing w:val="0"/>
        <w:w w:val="100"/>
        <w:kern w:val="0"/>
        <w:position w:val="0"/>
        <w:vertAlign w:val="baseline"/>
      </w:rPr>
    </w:lvl>
    <w:lvl w:ilvl="4" w:tplc="284EAF26">
      <w:start w:val="1"/>
      <w:numFmt w:val="lowerLetter"/>
      <w:lvlText w:val="%5."/>
      <w:lvlJc w:val="left"/>
      <w:pPr>
        <w:tabs>
          <w:tab w:val="left" w:pos="624"/>
        </w:tabs>
        <w:ind w:left="3810" w:hanging="425"/>
      </w:pPr>
      <w:rPr>
        <w:rFonts w:hAnsi="Arial Unicode MS" w:cs="Times New Roman"/>
        <w:caps w:val="0"/>
        <w:smallCaps w:val="0"/>
        <w:strike w:val="0"/>
        <w:dstrike w:val="0"/>
        <w:color w:val="000000"/>
        <w:spacing w:val="0"/>
        <w:w w:val="100"/>
        <w:kern w:val="0"/>
        <w:position w:val="0"/>
        <w:vertAlign w:val="baseline"/>
      </w:rPr>
    </w:lvl>
    <w:lvl w:ilvl="5" w:tplc="BF5834C8">
      <w:start w:val="1"/>
      <w:numFmt w:val="lowerRoman"/>
      <w:lvlText w:val="%6."/>
      <w:lvlJc w:val="left"/>
      <w:pPr>
        <w:tabs>
          <w:tab w:val="left" w:pos="624"/>
        </w:tabs>
        <w:ind w:left="4530" w:hanging="332"/>
      </w:pPr>
      <w:rPr>
        <w:rFonts w:hAnsi="Arial Unicode MS" w:cs="Times New Roman"/>
        <w:caps w:val="0"/>
        <w:smallCaps w:val="0"/>
        <w:strike w:val="0"/>
        <w:dstrike w:val="0"/>
        <w:color w:val="000000"/>
        <w:spacing w:val="0"/>
        <w:w w:val="100"/>
        <w:kern w:val="0"/>
        <w:position w:val="0"/>
        <w:vertAlign w:val="baseline"/>
      </w:rPr>
    </w:lvl>
    <w:lvl w:ilvl="6" w:tplc="53A658B0">
      <w:start w:val="1"/>
      <w:numFmt w:val="decimal"/>
      <w:lvlText w:val="%7."/>
      <w:lvlJc w:val="left"/>
      <w:pPr>
        <w:tabs>
          <w:tab w:val="left" w:pos="624"/>
        </w:tabs>
        <w:ind w:left="5250" w:hanging="425"/>
      </w:pPr>
      <w:rPr>
        <w:rFonts w:hAnsi="Arial Unicode MS" w:cs="Times New Roman"/>
        <w:caps w:val="0"/>
        <w:smallCaps w:val="0"/>
        <w:strike w:val="0"/>
        <w:dstrike w:val="0"/>
        <w:color w:val="000000"/>
        <w:spacing w:val="0"/>
        <w:w w:val="100"/>
        <w:kern w:val="0"/>
        <w:position w:val="0"/>
        <w:vertAlign w:val="baseline"/>
      </w:rPr>
    </w:lvl>
    <w:lvl w:ilvl="7" w:tplc="DB4A24D2">
      <w:start w:val="1"/>
      <w:numFmt w:val="lowerLetter"/>
      <w:lvlText w:val="%8."/>
      <w:lvlJc w:val="left"/>
      <w:pPr>
        <w:tabs>
          <w:tab w:val="left" w:pos="624"/>
        </w:tabs>
        <w:ind w:left="5970" w:hanging="425"/>
      </w:pPr>
      <w:rPr>
        <w:rFonts w:hAnsi="Arial Unicode MS" w:cs="Times New Roman"/>
        <w:caps w:val="0"/>
        <w:smallCaps w:val="0"/>
        <w:strike w:val="0"/>
        <w:dstrike w:val="0"/>
        <w:color w:val="000000"/>
        <w:spacing w:val="0"/>
        <w:w w:val="100"/>
        <w:kern w:val="0"/>
        <w:position w:val="0"/>
        <w:vertAlign w:val="baseline"/>
      </w:rPr>
    </w:lvl>
    <w:lvl w:ilvl="8" w:tplc="D250074C">
      <w:start w:val="1"/>
      <w:numFmt w:val="lowerRoman"/>
      <w:lvlText w:val="%9."/>
      <w:lvlJc w:val="left"/>
      <w:pPr>
        <w:tabs>
          <w:tab w:val="left" w:pos="624"/>
        </w:tabs>
        <w:ind w:left="6690" w:hanging="332"/>
      </w:pPr>
      <w:rPr>
        <w:rFonts w:hAnsi="Arial Unicode MS" w:cs="Times New Roman"/>
        <w:caps w:val="0"/>
        <w:smallCaps w:val="0"/>
        <w:strike w:val="0"/>
        <w:dstrike w:val="0"/>
        <w:color w:val="000000"/>
        <w:spacing w:val="0"/>
        <w:w w:val="100"/>
        <w:kern w:val="0"/>
        <w:position w:val="0"/>
        <w:vertAlign w:val="baseline"/>
      </w:rPr>
    </w:lvl>
  </w:abstractNum>
  <w:abstractNum w:abstractNumId="12">
    <w:nsid w:val="52A66A9D"/>
    <w:multiLevelType w:val="multilevel"/>
    <w:tmpl w:val="151644CE"/>
    <w:styleLink w:val="Normallist"/>
    <w:lvl w:ilvl="0">
      <w:start w:val="1"/>
      <w:numFmt w:val="decimal"/>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3">
    <w:nsid w:val="53C87079"/>
    <w:multiLevelType w:val="hybridMultilevel"/>
    <w:tmpl w:val="F89C2E1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4">
    <w:nsid w:val="5D2D62F3"/>
    <w:multiLevelType w:val="hybridMultilevel"/>
    <w:tmpl w:val="B3DC907C"/>
    <w:lvl w:ilvl="0" w:tplc="D15AFE56">
      <w:start w:val="3"/>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5E066267"/>
    <w:multiLevelType w:val="hybridMultilevel"/>
    <w:tmpl w:val="9E9E911A"/>
    <w:lvl w:ilvl="0" w:tplc="080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2291BF8"/>
    <w:multiLevelType w:val="multilevel"/>
    <w:tmpl w:val="F4ACF36E"/>
    <w:lvl w:ilvl="0">
      <w:start w:val="1"/>
      <w:numFmt w:val="decimal"/>
      <w:pStyle w:val="Articleheading"/>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7">
    <w:nsid w:val="69A64C39"/>
    <w:multiLevelType w:val="multilevel"/>
    <w:tmpl w:val="DFD8F630"/>
    <w:lvl w:ilvl="0">
      <w:start w:val="1"/>
      <w:numFmt w:val="bullet"/>
      <w:lvlText w:val=""/>
      <w:lvlJc w:val="left"/>
      <w:pPr>
        <w:tabs>
          <w:tab w:val="num" w:pos="1134"/>
        </w:tabs>
        <w:ind w:left="1247" w:firstLine="0"/>
      </w:pPr>
      <w:rPr>
        <w:rFonts w:ascii="Symbol" w:hAnsi="Symbol"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8">
    <w:nsid w:val="69DA1D60"/>
    <w:multiLevelType w:val="multilevel"/>
    <w:tmpl w:val="2C204934"/>
    <w:lvl w:ilvl="0">
      <w:start w:val="1"/>
      <w:numFmt w:val="decimal"/>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9">
    <w:nsid w:val="72FF7563"/>
    <w:multiLevelType w:val="hybridMultilevel"/>
    <w:tmpl w:val="7A02146E"/>
    <w:numStyleLink w:val="Importeradestilen16"/>
  </w:abstractNum>
  <w:num w:numId="1">
    <w:abstractNumId w:val="12"/>
  </w:num>
  <w:num w:numId="2">
    <w:abstractNumId w:val="4"/>
  </w:num>
  <w:num w:numId="3">
    <w:abstractNumId w:val="7"/>
  </w:num>
  <w:num w:numId="4">
    <w:abstractNumId w:val="12"/>
  </w:num>
  <w:num w:numId="5">
    <w:abstractNumId w:val="12"/>
    <w:lvlOverride w:ilvl="0">
      <w:lvl w:ilvl="0">
        <w:start w:val="1"/>
        <w:numFmt w:val="lowerLetter"/>
        <w:lvlText w:val="%1)"/>
        <w:lvlJc w:val="left"/>
        <w:pPr>
          <w:ind w:left="2174" w:hanging="360"/>
        </w:pPr>
        <w:rPr>
          <w:rFonts w:hint="default"/>
        </w:rPr>
      </w:lvl>
    </w:lvlOverride>
    <w:lvlOverride w:ilvl="1">
      <w:lvl w:ilvl="1">
        <w:start w:val="1"/>
        <w:numFmt w:val="lowerLetter"/>
        <w:lvlText w:val="%2."/>
        <w:lvlJc w:val="left"/>
        <w:pPr>
          <w:ind w:left="2894" w:hanging="360"/>
        </w:pPr>
      </w:lvl>
    </w:lvlOverride>
    <w:lvlOverride w:ilvl="2">
      <w:lvl w:ilvl="2">
        <w:start w:val="1"/>
        <w:numFmt w:val="lowerRoman"/>
        <w:lvlText w:val="%3."/>
        <w:lvlJc w:val="right"/>
        <w:pPr>
          <w:ind w:left="3614" w:hanging="180"/>
        </w:pPr>
      </w:lvl>
    </w:lvlOverride>
    <w:lvlOverride w:ilvl="3">
      <w:lvl w:ilvl="3" w:tentative="1">
        <w:start w:val="1"/>
        <w:numFmt w:val="decimal"/>
        <w:lvlText w:val="%4."/>
        <w:lvlJc w:val="left"/>
        <w:pPr>
          <w:ind w:left="4334" w:hanging="360"/>
        </w:pPr>
      </w:lvl>
    </w:lvlOverride>
    <w:lvlOverride w:ilvl="4">
      <w:lvl w:ilvl="4" w:tentative="1">
        <w:start w:val="1"/>
        <w:numFmt w:val="lowerLetter"/>
        <w:lvlText w:val="%5."/>
        <w:lvlJc w:val="left"/>
        <w:pPr>
          <w:ind w:left="5054" w:hanging="360"/>
        </w:pPr>
      </w:lvl>
    </w:lvlOverride>
    <w:lvlOverride w:ilvl="5">
      <w:lvl w:ilvl="5" w:tentative="1">
        <w:start w:val="1"/>
        <w:numFmt w:val="lowerRoman"/>
        <w:lvlText w:val="%6."/>
        <w:lvlJc w:val="right"/>
        <w:pPr>
          <w:ind w:left="5774" w:hanging="180"/>
        </w:pPr>
      </w:lvl>
    </w:lvlOverride>
    <w:lvlOverride w:ilvl="6">
      <w:lvl w:ilvl="6" w:tentative="1">
        <w:start w:val="1"/>
        <w:numFmt w:val="decimal"/>
        <w:lvlText w:val="%7."/>
        <w:lvlJc w:val="left"/>
        <w:pPr>
          <w:ind w:left="6494" w:hanging="360"/>
        </w:pPr>
      </w:lvl>
    </w:lvlOverride>
    <w:lvlOverride w:ilvl="7">
      <w:lvl w:ilvl="7" w:tentative="1">
        <w:start w:val="1"/>
        <w:numFmt w:val="lowerLetter"/>
        <w:lvlText w:val="%8."/>
        <w:lvlJc w:val="left"/>
        <w:pPr>
          <w:ind w:left="7214" w:hanging="360"/>
        </w:pPr>
      </w:lvl>
    </w:lvlOverride>
    <w:lvlOverride w:ilvl="8">
      <w:lvl w:ilvl="8" w:tentative="1">
        <w:start w:val="1"/>
        <w:numFmt w:val="lowerRoman"/>
        <w:lvlText w:val="%9."/>
        <w:lvlJc w:val="right"/>
        <w:pPr>
          <w:ind w:left="7934" w:hanging="180"/>
        </w:pPr>
      </w:lvl>
    </w:lvlOverride>
  </w:num>
  <w:num w:numId="6">
    <w:abstractNumId w:val="5"/>
  </w:num>
  <w:num w:numId="7">
    <w:abstractNumId w:val="0"/>
  </w:num>
  <w:num w:numId="8">
    <w:abstractNumId w:val="16"/>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9"/>
  </w:num>
  <w:num w:numId="13">
    <w:abstractNumId w:val="11"/>
  </w:num>
  <w:num w:numId="14">
    <w:abstractNumId w:val="10"/>
  </w:num>
  <w:num w:numId="15">
    <w:abstractNumId w:val="15"/>
  </w:num>
  <w:num w:numId="16">
    <w:abstractNumId w:val="1"/>
  </w:num>
  <w:num w:numId="17">
    <w:abstractNumId w:val="9"/>
  </w:num>
  <w:num w:numId="18">
    <w:abstractNumId w:val="14"/>
  </w:num>
  <w:num w:numId="19">
    <w:abstractNumId w:val="2"/>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2"/>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12"/>
  </w:num>
  <w:num w:numId="32">
    <w:abstractNumId w:val="12"/>
  </w:num>
  <w:num w:numId="33">
    <w:abstractNumId w:val="12"/>
  </w:num>
  <w:num w:numId="34">
    <w:abstractNumId w:val="12"/>
  </w:num>
  <w:num w:numId="35">
    <w:abstractNumId w:val="12"/>
  </w:num>
  <w:num w:numId="36">
    <w:abstractNumId w:val="12"/>
  </w:num>
  <w:num w:numId="37">
    <w:abstractNumId w:val="12"/>
  </w:num>
  <w:num w:numId="38">
    <w:abstractNumId w:val="12"/>
  </w:num>
  <w:num w:numId="39">
    <w:abstractNumId w:val="12"/>
    <w:lvlOverride w:ilvl="1">
      <w:lvl w:ilvl="1">
        <w:start w:val="1"/>
        <w:numFmt w:val="lowerLetter"/>
        <w:lvlText w:val="%2)"/>
        <w:lvlJc w:val="left"/>
        <w:pPr>
          <w:tabs>
            <w:tab w:val="num" w:pos="1134"/>
          </w:tabs>
          <w:ind w:left="1247" w:firstLine="567"/>
        </w:pPr>
        <w:rPr>
          <w:rFonts w:hint="default"/>
        </w:rPr>
      </w:lvl>
    </w:lvlOverride>
  </w:num>
  <w:num w:numId="40">
    <w:abstractNumId w:val="12"/>
  </w:num>
  <w:num w:numId="41">
    <w:abstractNumId w:val="12"/>
  </w:num>
  <w:num w:numId="42">
    <w:abstractNumId w:val="12"/>
  </w:num>
  <w:num w:numId="43">
    <w:abstractNumId w:val="12"/>
  </w:num>
  <w:num w:numId="44">
    <w:abstractNumId w:val="12"/>
  </w:num>
  <w:num w:numId="45">
    <w:abstractNumId w:val="12"/>
  </w:num>
  <w:num w:numId="46">
    <w:abstractNumId w:val="12"/>
  </w:num>
  <w:num w:numId="47">
    <w:abstractNumId w:val="12"/>
  </w:num>
  <w:num w:numId="48">
    <w:abstractNumId w:val="12"/>
  </w:num>
  <w:num w:numId="49">
    <w:abstractNumId w:val="12"/>
  </w:num>
  <w:num w:numId="50">
    <w:abstractNumId w:val="12"/>
  </w:num>
  <w:num w:numId="51">
    <w:abstractNumId w:val="12"/>
  </w:num>
  <w:num w:numId="52">
    <w:abstractNumId w:val="12"/>
  </w:num>
  <w:num w:numId="53">
    <w:abstractNumId w:val="12"/>
  </w:num>
  <w:num w:numId="54">
    <w:abstractNumId w:val="12"/>
  </w:num>
  <w:num w:numId="55">
    <w:abstractNumId w:val="12"/>
  </w:num>
  <w:num w:numId="56">
    <w:abstractNumId w:val="12"/>
  </w:num>
  <w:num w:numId="57">
    <w:abstractNumId w:val="12"/>
  </w:num>
  <w:num w:numId="58">
    <w:abstractNumId w:val="12"/>
  </w:num>
  <w:num w:numId="59">
    <w:abstractNumId w:val="12"/>
  </w:num>
  <w:num w:numId="60">
    <w:abstractNumId w:val="12"/>
  </w:num>
  <w:num w:numId="61">
    <w:abstractNumId w:val="12"/>
  </w:num>
  <w:num w:numId="62">
    <w:abstractNumId w:val="12"/>
  </w:num>
  <w:num w:numId="63">
    <w:abstractNumId w:val="12"/>
  </w:num>
  <w:num w:numId="64">
    <w:abstractNumId w:val="12"/>
  </w:num>
  <w:num w:numId="65">
    <w:abstractNumId w:val="12"/>
  </w:num>
  <w:num w:numId="66">
    <w:abstractNumId w:val="12"/>
  </w:num>
  <w:num w:numId="67">
    <w:abstractNumId w:val="12"/>
  </w:num>
  <w:num w:numId="68">
    <w:abstractNumId w:val="12"/>
  </w:num>
  <w:num w:numId="69">
    <w:abstractNumId w:val="12"/>
  </w:num>
  <w:num w:numId="70">
    <w:abstractNumId w:val="12"/>
  </w:num>
  <w:num w:numId="71">
    <w:abstractNumId w:val="12"/>
  </w:num>
  <w:num w:numId="72">
    <w:abstractNumId w:val="12"/>
  </w:num>
  <w:num w:numId="73">
    <w:abstractNumId w:val="12"/>
  </w:num>
  <w:num w:numId="74">
    <w:abstractNumId w:val="12"/>
  </w:num>
  <w:num w:numId="75">
    <w:abstractNumId w:val="12"/>
  </w:num>
  <w:num w:numId="76">
    <w:abstractNumId w:val="12"/>
  </w:num>
  <w:num w:numId="77">
    <w:abstractNumId w:val="12"/>
  </w:num>
  <w:num w:numId="78">
    <w:abstractNumId w:val="12"/>
  </w:num>
  <w:num w:numId="79">
    <w:abstractNumId w:val="12"/>
  </w:num>
  <w:num w:numId="80">
    <w:abstractNumId w:val="12"/>
  </w:num>
  <w:num w:numId="81">
    <w:abstractNumId w:val="12"/>
  </w:num>
  <w:num w:numId="82">
    <w:abstractNumId w:val="12"/>
  </w:num>
  <w:num w:numId="83">
    <w:abstractNumId w:val="12"/>
  </w:num>
  <w:num w:numId="84">
    <w:abstractNumId w:val="12"/>
  </w:num>
  <w:num w:numId="85">
    <w:abstractNumId w:val="12"/>
  </w:num>
  <w:num w:numId="86">
    <w:abstractNumId w:val="12"/>
  </w:num>
  <w:num w:numId="87">
    <w:abstractNumId w:val="12"/>
  </w:num>
  <w:num w:numId="88">
    <w:abstractNumId w:val="12"/>
  </w:num>
  <w:num w:numId="89">
    <w:abstractNumId w:val="12"/>
  </w:num>
  <w:num w:numId="90">
    <w:abstractNumId w:val="12"/>
  </w:num>
  <w:num w:numId="91">
    <w:abstractNumId w:val="12"/>
  </w:num>
  <w:num w:numId="92">
    <w:abstractNumId w:val="12"/>
  </w:num>
  <w:num w:numId="93">
    <w:abstractNumId w:val="12"/>
  </w:num>
  <w:num w:numId="94">
    <w:abstractNumId w:val="12"/>
  </w:num>
  <w:num w:numId="95">
    <w:abstractNumId w:val="12"/>
  </w:num>
  <w:num w:numId="96">
    <w:abstractNumId w:val="12"/>
  </w:num>
  <w:num w:numId="97">
    <w:abstractNumId w:val="12"/>
  </w:num>
  <w:num w:numId="98">
    <w:abstractNumId w:val="12"/>
  </w:num>
  <w:num w:numId="99">
    <w:abstractNumId w:val="12"/>
  </w:num>
  <w:num w:numId="100">
    <w:abstractNumId w:val="12"/>
  </w:num>
  <w:num w:numId="101">
    <w:abstractNumId w:val="12"/>
  </w:num>
  <w:num w:numId="102">
    <w:abstractNumId w:val="12"/>
  </w:num>
  <w:num w:numId="103">
    <w:abstractNumId w:val="12"/>
  </w:num>
  <w:num w:numId="104">
    <w:abstractNumId w:val="12"/>
  </w:num>
  <w:num w:numId="105">
    <w:abstractNumId w:val="12"/>
  </w:num>
  <w:num w:numId="106">
    <w:abstractNumId w:val="12"/>
  </w:num>
  <w:num w:numId="107">
    <w:abstractNumId w:val="12"/>
  </w:num>
  <w:num w:numId="108">
    <w:abstractNumId w:val="12"/>
  </w:num>
  <w:num w:numId="109">
    <w:abstractNumId w:val="12"/>
  </w:num>
  <w:num w:numId="110">
    <w:abstractNumId w:val="12"/>
    <w:lvlOverride w:ilvl="0">
      <w:lvl w:ilvl="0">
        <w:start w:val="1"/>
        <w:numFmt w:val="decimal"/>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num>
  <w:num w:numId="111">
    <w:abstractNumId w:val="12"/>
    <w:lvlOverride w:ilvl="0">
      <w:lvl w:ilvl="0">
        <w:start w:val="1"/>
        <w:numFmt w:val="decimal"/>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num>
  <w:num w:numId="112">
    <w:abstractNumId w:val="18"/>
  </w:num>
  <w:num w:numId="113">
    <w:abstractNumId w:val="12"/>
    <w:lvlOverride w:ilvl="0">
      <w:lvl w:ilvl="0">
        <w:start w:val="1"/>
        <w:numFmt w:val="decimal"/>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num>
  <w:num w:numId="114">
    <w:abstractNumId w:val="17"/>
  </w:num>
  <w:num w:numId="115">
    <w:abstractNumId w:val="12"/>
    <w:lvlOverride w:ilvl="0">
      <w:lvl w:ilvl="0">
        <w:start w:val="1"/>
        <w:numFmt w:val="decimal"/>
        <w:lvlText w:val="%1."/>
        <w:lvlJc w:val="left"/>
        <w:pPr>
          <w:tabs>
            <w:tab w:val="num" w:pos="1134"/>
          </w:tabs>
          <w:ind w:left="1247" w:firstLine="0"/>
        </w:pPr>
        <w:rPr>
          <w:rFonts w:ascii="Times New Roman" w:hAnsi="Times New Roman"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lvlText w:val="%2)"/>
        <w:lvlJc w:val="left"/>
        <w:pPr>
          <w:tabs>
            <w:tab w:val="num" w:pos="1134"/>
          </w:tabs>
          <w:ind w:left="1247" w:firstLine="567"/>
        </w:pPr>
        <w:rPr>
          <w:rFonts w:hint="default"/>
        </w:rPr>
      </w:lvl>
    </w:lvlOverride>
  </w:num>
  <w:num w:numId="116">
    <w:abstractNumId w:val="12"/>
    <w:lvlOverride w:ilvl="0">
      <w:lvl w:ilvl="0">
        <w:start w:val="1"/>
        <w:numFmt w:val="decimal"/>
        <w:lvlText w:val="%1."/>
        <w:lvlJc w:val="left"/>
        <w:pPr>
          <w:tabs>
            <w:tab w:val="num" w:pos="1134"/>
          </w:tabs>
          <w:ind w:left="1247" w:firstLine="0"/>
        </w:pPr>
        <w:rPr>
          <w:rFonts w:ascii="Times New Roman" w:hAnsi="Times New Roman"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lvlText w:val="%2)"/>
        <w:lvlJc w:val="left"/>
        <w:pPr>
          <w:tabs>
            <w:tab w:val="num" w:pos="1134"/>
          </w:tabs>
          <w:ind w:left="1247" w:firstLine="567"/>
        </w:pPr>
        <w:rPr>
          <w:rFonts w:hint="default"/>
        </w:rPr>
      </w:lvl>
    </w:lvlOverride>
  </w:num>
  <w:num w:numId="117">
    <w:abstractNumId w:val="12"/>
    <w:lvlOverride w:ilvl="0">
      <w:lvl w:ilvl="0">
        <w:start w:val="1"/>
        <w:numFmt w:val="decimal"/>
        <w:lvlText w:val="%1."/>
        <w:lvlJc w:val="left"/>
        <w:pPr>
          <w:tabs>
            <w:tab w:val="num" w:pos="1134"/>
          </w:tabs>
          <w:ind w:left="1247" w:firstLine="0"/>
        </w:pPr>
        <w:rPr>
          <w:rFonts w:ascii="Times New Roman" w:hAnsi="Times New Roman"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lvlText w:val="%2)"/>
        <w:lvlJc w:val="left"/>
        <w:pPr>
          <w:tabs>
            <w:tab w:val="num" w:pos="1134"/>
          </w:tabs>
          <w:ind w:left="1247" w:firstLine="567"/>
        </w:pPr>
        <w:rPr>
          <w:rFonts w:hint="default"/>
        </w:rPr>
      </w:lvl>
    </w:lvlOverride>
  </w:num>
  <w:num w:numId="118">
    <w:abstractNumId w:val="12"/>
    <w:lvlOverride w:ilvl="0">
      <w:lvl w:ilvl="0">
        <w:start w:val="1"/>
        <w:numFmt w:val="decimal"/>
        <w:lvlText w:val="%1."/>
        <w:lvlJc w:val="left"/>
        <w:pPr>
          <w:tabs>
            <w:tab w:val="num" w:pos="1134"/>
          </w:tabs>
          <w:ind w:left="1247" w:firstLine="0"/>
        </w:pPr>
        <w:rPr>
          <w:rFonts w:ascii="Times New Roman" w:hAnsi="Times New Roman"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lvlText w:val="%2)"/>
        <w:lvlJc w:val="left"/>
        <w:pPr>
          <w:tabs>
            <w:tab w:val="num" w:pos="1134"/>
          </w:tabs>
          <w:ind w:left="1247" w:firstLine="567"/>
        </w:pPr>
        <w:rPr>
          <w:rFonts w:hint="default"/>
        </w:rPr>
      </w:lvl>
    </w:lvlOverride>
  </w:num>
  <w:num w:numId="119">
    <w:abstractNumId w:val="12"/>
    <w:lvlOverride w:ilvl="0">
      <w:lvl w:ilvl="0">
        <w:start w:val="1"/>
        <w:numFmt w:val="decimal"/>
        <w:lvlText w:val="%1."/>
        <w:lvlJc w:val="left"/>
        <w:pPr>
          <w:tabs>
            <w:tab w:val="num" w:pos="1134"/>
          </w:tabs>
          <w:ind w:left="1247" w:firstLine="0"/>
        </w:pPr>
        <w:rPr>
          <w:rFonts w:ascii="Times New Roman" w:hAnsi="Times New Roman"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lvlText w:val="%2)"/>
        <w:lvlJc w:val="left"/>
        <w:pPr>
          <w:tabs>
            <w:tab w:val="num" w:pos="1134"/>
          </w:tabs>
          <w:ind w:left="1247" w:firstLine="567"/>
        </w:pPr>
        <w:rPr>
          <w:rFonts w:hint="default"/>
        </w:rPr>
      </w:lvl>
    </w:lvlOverride>
  </w:num>
  <w:num w:numId="120">
    <w:abstractNumId w:val="12"/>
    <w:lvlOverride w:ilvl="0">
      <w:lvl w:ilvl="0">
        <w:start w:val="1"/>
        <w:numFmt w:val="decimal"/>
        <w:lvlText w:val="%1."/>
        <w:lvlJc w:val="left"/>
        <w:pPr>
          <w:tabs>
            <w:tab w:val="num" w:pos="1134"/>
          </w:tabs>
          <w:ind w:left="1247" w:firstLine="0"/>
        </w:pPr>
        <w:rPr>
          <w:rFonts w:ascii="Times New Roman" w:hAnsi="Times New Roman"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lvlText w:val="%2)"/>
        <w:lvlJc w:val="left"/>
        <w:pPr>
          <w:tabs>
            <w:tab w:val="num" w:pos="1134"/>
          </w:tabs>
          <w:ind w:left="1247" w:firstLine="567"/>
        </w:pPr>
        <w:rPr>
          <w:rFonts w:hint="default"/>
        </w:rPr>
      </w:lvl>
    </w:lvlOverride>
  </w:num>
  <w:num w:numId="121">
    <w:abstractNumId w:val="12"/>
    <w:lvlOverride w:ilvl="0">
      <w:lvl w:ilvl="0">
        <w:start w:val="1"/>
        <w:numFmt w:val="decimal"/>
        <w:lvlText w:val="%1."/>
        <w:lvlJc w:val="left"/>
        <w:pPr>
          <w:tabs>
            <w:tab w:val="num" w:pos="1134"/>
          </w:tabs>
          <w:ind w:left="1247" w:firstLine="0"/>
        </w:pPr>
        <w:rPr>
          <w:rFonts w:ascii="Times New Roman" w:hAnsi="Times New Roman"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lvlText w:val="%2)"/>
        <w:lvlJc w:val="left"/>
        <w:pPr>
          <w:tabs>
            <w:tab w:val="num" w:pos="1134"/>
          </w:tabs>
          <w:ind w:left="1247" w:firstLine="567"/>
        </w:pPr>
        <w:rPr>
          <w:rFonts w:hint="default"/>
        </w:rPr>
      </w:lvl>
    </w:lvlOverride>
  </w:num>
  <w:num w:numId="122">
    <w:abstractNumId w:val="12"/>
    <w:lvlOverride w:ilvl="0">
      <w:lvl w:ilvl="0">
        <w:start w:val="1"/>
        <w:numFmt w:val="decimal"/>
        <w:lvlText w:val="%1."/>
        <w:lvlJc w:val="left"/>
        <w:pPr>
          <w:tabs>
            <w:tab w:val="num" w:pos="1134"/>
          </w:tabs>
          <w:ind w:left="1247" w:firstLine="0"/>
        </w:pPr>
        <w:rPr>
          <w:rFonts w:ascii="Times New Roman" w:hAnsi="Times New Roman"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lvlText w:val="%2)"/>
        <w:lvlJc w:val="left"/>
        <w:pPr>
          <w:tabs>
            <w:tab w:val="num" w:pos="1134"/>
          </w:tabs>
          <w:ind w:left="1247" w:firstLine="567"/>
        </w:pPr>
        <w:rPr>
          <w:rFonts w:hint="default"/>
        </w:rPr>
      </w:lvl>
    </w:lvlOverride>
  </w:num>
  <w:num w:numId="123">
    <w:abstractNumId w:val="12"/>
    <w:lvlOverride w:ilvl="0">
      <w:lvl w:ilvl="0">
        <w:start w:val="1"/>
        <w:numFmt w:val="decimal"/>
        <w:lvlText w:val="%1."/>
        <w:lvlJc w:val="left"/>
        <w:pPr>
          <w:tabs>
            <w:tab w:val="num" w:pos="1134"/>
          </w:tabs>
          <w:ind w:left="1247" w:firstLine="0"/>
        </w:pPr>
        <w:rPr>
          <w:rFonts w:ascii="Times New Roman" w:hAnsi="Times New Roman"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lvlText w:val="%2)"/>
        <w:lvlJc w:val="left"/>
        <w:pPr>
          <w:tabs>
            <w:tab w:val="num" w:pos="1134"/>
          </w:tabs>
          <w:ind w:left="1247" w:firstLine="567"/>
        </w:pPr>
        <w:rPr>
          <w:rFonts w:hint="default"/>
        </w:rPr>
      </w:lvl>
    </w:lvlOverride>
  </w:num>
  <w:num w:numId="124">
    <w:abstractNumId w:val="12"/>
    <w:lvlOverride w:ilvl="0">
      <w:lvl w:ilvl="0">
        <w:start w:val="1"/>
        <w:numFmt w:val="decimal"/>
        <w:lvlText w:val="%1."/>
        <w:lvlJc w:val="left"/>
        <w:pPr>
          <w:tabs>
            <w:tab w:val="num" w:pos="1134"/>
          </w:tabs>
          <w:ind w:left="1247" w:firstLine="0"/>
        </w:pPr>
        <w:rPr>
          <w:rFonts w:ascii="Times New Roman" w:hAnsi="Times New Roman"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lvlText w:val="%2)"/>
        <w:lvlJc w:val="left"/>
        <w:pPr>
          <w:tabs>
            <w:tab w:val="num" w:pos="1134"/>
          </w:tabs>
          <w:ind w:left="1247" w:firstLine="567"/>
        </w:pPr>
        <w:rPr>
          <w:rFonts w:hint="default"/>
        </w:rPr>
      </w:lvl>
    </w:lvlOverride>
  </w:num>
  <w:num w:numId="125">
    <w:abstractNumId w:val="12"/>
    <w:lvlOverride w:ilvl="0">
      <w:lvl w:ilvl="0">
        <w:start w:val="1"/>
        <w:numFmt w:val="decimal"/>
        <w:lvlText w:val="%1."/>
        <w:lvlJc w:val="left"/>
        <w:pPr>
          <w:tabs>
            <w:tab w:val="num" w:pos="1134"/>
          </w:tabs>
          <w:ind w:left="1247" w:firstLine="0"/>
        </w:pPr>
        <w:rPr>
          <w:rFonts w:ascii="Times New Roman" w:hAnsi="Times New Roman"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lvlText w:val="%2)"/>
        <w:lvlJc w:val="left"/>
        <w:pPr>
          <w:tabs>
            <w:tab w:val="num" w:pos="1134"/>
          </w:tabs>
          <w:ind w:left="1247" w:firstLine="567"/>
        </w:pPr>
        <w:rPr>
          <w:rFonts w:hint="default"/>
        </w:rPr>
      </w:lvl>
    </w:lvlOverride>
  </w:num>
  <w:num w:numId="126">
    <w:abstractNumId w:val="12"/>
    <w:lvlOverride w:ilvl="0">
      <w:lvl w:ilvl="0">
        <w:start w:val="1"/>
        <w:numFmt w:val="decimal"/>
        <w:lvlText w:val="%1."/>
        <w:lvlJc w:val="left"/>
        <w:pPr>
          <w:tabs>
            <w:tab w:val="num" w:pos="1134"/>
          </w:tabs>
          <w:ind w:left="1247" w:firstLine="0"/>
        </w:pPr>
        <w:rPr>
          <w:rFonts w:ascii="Times New Roman" w:hAnsi="Times New Roman"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lvlText w:val="%2)"/>
        <w:lvlJc w:val="left"/>
        <w:pPr>
          <w:tabs>
            <w:tab w:val="num" w:pos="1134"/>
          </w:tabs>
          <w:ind w:left="1247" w:firstLine="567"/>
        </w:pPr>
        <w:rPr>
          <w:rFonts w:hint="default"/>
        </w:rPr>
      </w:lvl>
    </w:lvlOverride>
  </w:num>
  <w:num w:numId="127">
    <w:abstractNumId w:val="12"/>
    <w:lvlOverride w:ilvl="0">
      <w:lvl w:ilvl="0">
        <w:start w:val="1"/>
        <w:numFmt w:val="decimal"/>
        <w:lvlText w:val="%1."/>
        <w:lvlJc w:val="left"/>
        <w:pPr>
          <w:tabs>
            <w:tab w:val="num" w:pos="1134"/>
          </w:tabs>
          <w:ind w:left="1247" w:firstLine="0"/>
        </w:pPr>
        <w:rPr>
          <w:rFonts w:ascii="Times New Roman" w:hAnsi="Times New Roman"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lvlText w:val="%2)"/>
        <w:lvlJc w:val="left"/>
        <w:pPr>
          <w:tabs>
            <w:tab w:val="num" w:pos="1134"/>
          </w:tabs>
          <w:ind w:left="1247" w:firstLine="567"/>
        </w:pPr>
        <w:rPr>
          <w:rFonts w:hint="default"/>
        </w:rPr>
      </w:lvl>
    </w:lvlOverride>
  </w:num>
  <w:num w:numId="128">
    <w:abstractNumId w:val="12"/>
    <w:lvlOverride w:ilvl="0">
      <w:lvl w:ilvl="0">
        <w:start w:val="1"/>
        <w:numFmt w:val="decimal"/>
        <w:lvlText w:val="%1."/>
        <w:lvlJc w:val="left"/>
        <w:pPr>
          <w:tabs>
            <w:tab w:val="num" w:pos="1134"/>
          </w:tabs>
          <w:ind w:left="1247" w:firstLine="0"/>
        </w:pPr>
        <w:rPr>
          <w:rFonts w:ascii="Times New Roman" w:hAnsi="Times New Roman"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lvlText w:val="%2)"/>
        <w:lvlJc w:val="left"/>
        <w:pPr>
          <w:tabs>
            <w:tab w:val="num" w:pos="1134"/>
          </w:tabs>
          <w:ind w:left="1247" w:firstLine="567"/>
        </w:pPr>
        <w:rPr>
          <w:rFonts w:hint="default"/>
        </w:rPr>
      </w:lvl>
    </w:lvlOverride>
  </w:num>
  <w:num w:numId="129">
    <w:abstractNumId w:val="12"/>
    <w:lvlOverride w:ilvl="0">
      <w:lvl w:ilvl="0">
        <w:start w:val="1"/>
        <w:numFmt w:val="decimal"/>
        <w:lvlText w:val="%1."/>
        <w:lvlJc w:val="left"/>
        <w:pPr>
          <w:ind w:left="1607" w:hanging="360"/>
        </w:pPr>
        <w:rPr>
          <w:b w:val="0"/>
          <w:sz w:val="20"/>
          <w:szCs w:val="20"/>
        </w:rPr>
      </w:lvl>
    </w:lvlOverride>
    <w:lvlOverride w:ilvl="1">
      <w:lvl w:ilvl="1">
        <w:start w:val="1"/>
        <w:numFmt w:val="lowerLetter"/>
        <w:lvlText w:val="%2."/>
        <w:lvlJc w:val="left"/>
        <w:pPr>
          <w:ind w:left="2327" w:hanging="360"/>
        </w:pPr>
      </w:lvl>
    </w:lvlOverride>
    <w:lvlOverride w:ilvl="2">
      <w:lvl w:ilvl="2" w:tentative="1">
        <w:start w:val="1"/>
        <w:numFmt w:val="lowerRoman"/>
        <w:lvlText w:val="%3."/>
        <w:lvlJc w:val="right"/>
        <w:pPr>
          <w:ind w:left="3047" w:hanging="180"/>
        </w:pPr>
      </w:lvl>
    </w:lvlOverride>
    <w:lvlOverride w:ilvl="3">
      <w:lvl w:ilvl="3" w:tentative="1">
        <w:start w:val="1"/>
        <w:numFmt w:val="decimal"/>
        <w:lvlText w:val="%4."/>
        <w:lvlJc w:val="left"/>
        <w:pPr>
          <w:ind w:left="3767" w:hanging="360"/>
        </w:pPr>
      </w:lvl>
    </w:lvlOverride>
    <w:lvlOverride w:ilvl="4">
      <w:lvl w:ilvl="4" w:tentative="1">
        <w:start w:val="1"/>
        <w:numFmt w:val="lowerLetter"/>
        <w:lvlText w:val="%5."/>
        <w:lvlJc w:val="left"/>
        <w:pPr>
          <w:ind w:left="4487" w:hanging="360"/>
        </w:pPr>
      </w:lvl>
    </w:lvlOverride>
    <w:lvlOverride w:ilvl="5">
      <w:lvl w:ilvl="5" w:tentative="1">
        <w:start w:val="1"/>
        <w:numFmt w:val="lowerRoman"/>
        <w:lvlText w:val="%6."/>
        <w:lvlJc w:val="right"/>
        <w:pPr>
          <w:ind w:left="5207" w:hanging="180"/>
        </w:pPr>
      </w:lvl>
    </w:lvlOverride>
    <w:lvlOverride w:ilvl="6">
      <w:lvl w:ilvl="6" w:tentative="1">
        <w:start w:val="1"/>
        <w:numFmt w:val="decimal"/>
        <w:lvlText w:val="%7."/>
        <w:lvlJc w:val="left"/>
        <w:pPr>
          <w:ind w:left="5927" w:hanging="360"/>
        </w:pPr>
      </w:lvl>
    </w:lvlOverride>
    <w:lvlOverride w:ilvl="7">
      <w:lvl w:ilvl="7" w:tentative="1">
        <w:start w:val="1"/>
        <w:numFmt w:val="lowerLetter"/>
        <w:lvlText w:val="%8."/>
        <w:lvlJc w:val="left"/>
        <w:pPr>
          <w:ind w:left="6647" w:hanging="360"/>
        </w:pPr>
      </w:lvl>
    </w:lvlOverride>
    <w:lvlOverride w:ilvl="8">
      <w:lvl w:ilvl="8" w:tentative="1">
        <w:start w:val="1"/>
        <w:numFmt w:val="lowerRoman"/>
        <w:lvlText w:val="%9."/>
        <w:lvlJc w:val="right"/>
        <w:pPr>
          <w:ind w:left="7367" w:hanging="180"/>
        </w:pPr>
      </w:lvl>
    </w:lvlOverride>
  </w:num>
  <w:num w:numId="130">
    <w:abstractNumId w:val="12"/>
    <w:lvlOverride w:ilvl="0">
      <w:lvl w:ilvl="0">
        <w:start w:val="1"/>
        <w:numFmt w:val="decimal"/>
        <w:lvlText w:val="%1."/>
        <w:lvlJc w:val="left"/>
        <w:pPr>
          <w:ind w:left="1607" w:hanging="360"/>
        </w:pPr>
        <w:rPr>
          <w:b w:val="0"/>
          <w:sz w:val="20"/>
          <w:szCs w:val="20"/>
        </w:rPr>
      </w:lvl>
    </w:lvlOverride>
    <w:lvlOverride w:ilvl="1">
      <w:lvl w:ilvl="1">
        <w:start w:val="1"/>
        <w:numFmt w:val="lowerLetter"/>
        <w:lvlText w:val="%2."/>
        <w:lvlJc w:val="left"/>
        <w:pPr>
          <w:ind w:left="2327" w:hanging="360"/>
        </w:pPr>
      </w:lvl>
    </w:lvlOverride>
    <w:lvlOverride w:ilvl="2">
      <w:lvl w:ilvl="2" w:tentative="1">
        <w:start w:val="1"/>
        <w:numFmt w:val="lowerRoman"/>
        <w:lvlText w:val="%3."/>
        <w:lvlJc w:val="right"/>
        <w:pPr>
          <w:ind w:left="3047" w:hanging="180"/>
        </w:pPr>
      </w:lvl>
    </w:lvlOverride>
    <w:lvlOverride w:ilvl="3">
      <w:lvl w:ilvl="3" w:tentative="1">
        <w:start w:val="1"/>
        <w:numFmt w:val="decimal"/>
        <w:lvlText w:val="%4."/>
        <w:lvlJc w:val="left"/>
        <w:pPr>
          <w:ind w:left="3767" w:hanging="360"/>
        </w:pPr>
      </w:lvl>
    </w:lvlOverride>
    <w:lvlOverride w:ilvl="4">
      <w:lvl w:ilvl="4" w:tentative="1">
        <w:start w:val="1"/>
        <w:numFmt w:val="lowerLetter"/>
        <w:lvlText w:val="%5."/>
        <w:lvlJc w:val="left"/>
        <w:pPr>
          <w:ind w:left="4487" w:hanging="360"/>
        </w:pPr>
      </w:lvl>
    </w:lvlOverride>
    <w:lvlOverride w:ilvl="5">
      <w:lvl w:ilvl="5" w:tentative="1">
        <w:start w:val="1"/>
        <w:numFmt w:val="lowerRoman"/>
        <w:lvlText w:val="%6."/>
        <w:lvlJc w:val="right"/>
        <w:pPr>
          <w:ind w:left="5207" w:hanging="180"/>
        </w:pPr>
      </w:lvl>
    </w:lvlOverride>
    <w:lvlOverride w:ilvl="6">
      <w:lvl w:ilvl="6" w:tentative="1">
        <w:start w:val="1"/>
        <w:numFmt w:val="decimal"/>
        <w:lvlText w:val="%7."/>
        <w:lvlJc w:val="left"/>
        <w:pPr>
          <w:ind w:left="5927" w:hanging="360"/>
        </w:pPr>
      </w:lvl>
    </w:lvlOverride>
    <w:lvlOverride w:ilvl="7">
      <w:lvl w:ilvl="7" w:tentative="1">
        <w:start w:val="1"/>
        <w:numFmt w:val="lowerLetter"/>
        <w:lvlText w:val="%8."/>
        <w:lvlJc w:val="left"/>
        <w:pPr>
          <w:ind w:left="6647" w:hanging="360"/>
        </w:pPr>
      </w:lvl>
    </w:lvlOverride>
    <w:lvlOverride w:ilvl="8">
      <w:lvl w:ilvl="8" w:tentative="1">
        <w:start w:val="1"/>
        <w:numFmt w:val="lowerRoman"/>
        <w:lvlText w:val="%9."/>
        <w:lvlJc w:val="right"/>
        <w:pPr>
          <w:ind w:left="7367" w:hanging="180"/>
        </w:pPr>
      </w:lvl>
    </w:lvlOverride>
  </w:num>
  <w:num w:numId="131">
    <w:abstractNumId w:val="12"/>
    <w:lvlOverride w:ilvl="0">
      <w:lvl w:ilvl="0">
        <w:start w:val="1"/>
        <w:numFmt w:val="decimal"/>
        <w:lvlText w:val="%1."/>
        <w:lvlJc w:val="left"/>
        <w:pPr>
          <w:ind w:left="1607" w:hanging="360"/>
        </w:pPr>
        <w:rPr>
          <w:b w:val="0"/>
          <w:sz w:val="20"/>
          <w:szCs w:val="20"/>
        </w:rPr>
      </w:lvl>
    </w:lvlOverride>
    <w:lvlOverride w:ilvl="1">
      <w:lvl w:ilvl="1">
        <w:start w:val="1"/>
        <w:numFmt w:val="lowerLetter"/>
        <w:lvlText w:val="%2."/>
        <w:lvlJc w:val="left"/>
        <w:pPr>
          <w:ind w:left="2327" w:hanging="360"/>
        </w:pPr>
      </w:lvl>
    </w:lvlOverride>
    <w:lvlOverride w:ilvl="2">
      <w:lvl w:ilvl="2" w:tentative="1">
        <w:start w:val="1"/>
        <w:numFmt w:val="lowerRoman"/>
        <w:lvlText w:val="%3."/>
        <w:lvlJc w:val="right"/>
        <w:pPr>
          <w:ind w:left="3047" w:hanging="180"/>
        </w:pPr>
      </w:lvl>
    </w:lvlOverride>
    <w:lvlOverride w:ilvl="3">
      <w:lvl w:ilvl="3" w:tentative="1">
        <w:start w:val="1"/>
        <w:numFmt w:val="decimal"/>
        <w:lvlText w:val="%4."/>
        <w:lvlJc w:val="left"/>
        <w:pPr>
          <w:ind w:left="3767" w:hanging="360"/>
        </w:pPr>
      </w:lvl>
    </w:lvlOverride>
    <w:lvlOverride w:ilvl="4">
      <w:lvl w:ilvl="4" w:tentative="1">
        <w:start w:val="1"/>
        <w:numFmt w:val="lowerLetter"/>
        <w:lvlText w:val="%5."/>
        <w:lvlJc w:val="left"/>
        <w:pPr>
          <w:ind w:left="4487" w:hanging="360"/>
        </w:pPr>
      </w:lvl>
    </w:lvlOverride>
    <w:lvlOverride w:ilvl="5">
      <w:lvl w:ilvl="5" w:tentative="1">
        <w:start w:val="1"/>
        <w:numFmt w:val="lowerRoman"/>
        <w:lvlText w:val="%6."/>
        <w:lvlJc w:val="right"/>
        <w:pPr>
          <w:ind w:left="5207" w:hanging="180"/>
        </w:pPr>
      </w:lvl>
    </w:lvlOverride>
    <w:lvlOverride w:ilvl="6">
      <w:lvl w:ilvl="6" w:tentative="1">
        <w:start w:val="1"/>
        <w:numFmt w:val="decimal"/>
        <w:lvlText w:val="%7."/>
        <w:lvlJc w:val="left"/>
        <w:pPr>
          <w:ind w:left="5927" w:hanging="360"/>
        </w:pPr>
      </w:lvl>
    </w:lvlOverride>
    <w:lvlOverride w:ilvl="7">
      <w:lvl w:ilvl="7" w:tentative="1">
        <w:start w:val="1"/>
        <w:numFmt w:val="lowerLetter"/>
        <w:lvlText w:val="%8."/>
        <w:lvlJc w:val="left"/>
        <w:pPr>
          <w:ind w:left="6647" w:hanging="360"/>
        </w:pPr>
      </w:lvl>
    </w:lvlOverride>
    <w:lvlOverride w:ilvl="8">
      <w:lvl w:ilvl="8" w:tentative="1">
        <w:start w:val="1"/>
        <w:numFmt w:val="lowerRoman"/>
        <w:lvlText w:val="%9."/>
        <w:lvlJc w:val="right"/>
        <w:pPr>
          <w:ind w:left="7367" w:hanging="180"/>
        </w:pPr>
      </w:lvl>
    </w:lvlOverride>
  </w:num>
  <w:num w:numId="132">
    <w:abstractNumId w:val="6"/>
    <w:lvlOverride w:ilvl="0">
      <w:lvl w:ilvl="0" w:tplc="E3F023A8">
        <w:start w:val="1"/>
        <w:numFmt w:val="decimal"/>
        <w:pStyle w:val="Normalnumber"/>
        <w:lvlText w:val="%1."/>
        <w:lvlJc w:val="left"/>
        <w:pPr>
          <w:ind w:left="720" w:hanging="360"/>
        </w:pPr>
      </w:lvl>
    </w:lvlOverride>
  </w:num>
  <w:num w:numId="133">
    <w:abstractNumId w:val="3"/>
  </w:num>
  <w:num w:numId="134">
    <w:abstractNumId w:val="6"/>
  </w:num>
  <w:num w:numId="135">
    <w:abstractNumId w:val="6"/>
  </w:num>
  <w:num w:numId="136">
    <w:abstractNumId w:val="6"/>
  </w:num>
  <w:numIdMacAtCleanup w:val="13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UER">
    <w15:presenceInfo w15:providerId="AD" w15:userId="S-1-5-21-1645522239-1177238915-839522115-150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activeWritingStyle w:appName="MSWord" w:lang="fr-FR"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es-ES" w:vendorID="64" w:dllVersion="131078" w:nlCheck="1" w:checkStyle="1"/>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4097"/>
  </w:hdrShapeDefaults>
  <w:footnotePr>
    <w:numFmt w:val="chicago"/>
    <w:footnote w:id="-1"/>
    <w:footnote w:id="0"/>
    <w:footnote w:id="1"/>
  </w:footnotePr>
  <w:endnotePr>
    <w:endnote w:id="-1"/>
    <w:endnote w:id="0"/>
    <w:endnote w:id="1"/>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D7F"/>
    <w:rsid w:val="00000B3E"/>
    <w:rsid w:val="00000E4A"/>
    <w:rsid w:val="000024A3"/>
    <w:rsid w:val="000149E6"/>
    <w:rsid w:val="00015071"/>
    <w:rsid w:val="00023DA9"/>
    <w:rsid w:val="000247B0"/>
    <w:rsid w:val="00025365"/>
    <w:rsid w:val="00025D3F"/>
    <w:rsid w:val="00026997"/>
    <w:rsid w:val="00026A08"/>
    <w:rsid w:val="00030D09"/>
    <w:rsid w:val="00032E4E"/>
    <w:rsid w:val="00033E0B"/>
    <w:rsid w:val="00035EDE"/>
    <w:rsid w:val="00040D2B"/>
    <w:rsid w:val="0004600E"/>
    <w:rsid w:val="00046EE7"/>
    <w:rsid w:val="000509B4"/>
    <w:rsid w:val="00055895"/>
    <w:rsid w:val="00056D50"/>
    <w:rsid w:val="0006035B"/>
    <w:rsid w:val="00060651"/>
    <w:rsid w:val="0006096F"/>
    <w:rsid w:val="00061BD9"/>
    <w:rsid w:val="000649C5"/>
    <w:rsid w:val="00071886"/>
    <w:rsid w:val="000742BC"/>
    <w:rsid w:val="00074DB5"/>
    <w:rsid w:val="00076CC6"/>
    <w:rsid w:val="00082A0C"/>
    <w:rsid w:val="00083504"/>
    <w:rsid w:val="000835E1"/>
    <w:rsid w:val="00091496"/>
    <w:rsid w:val="0009640C"/>
    <w:rsid w:val="000970CD"/>
    <w:rsid w:val="000A6643"/>
    <w:rsid w:val="000B22A2"/>
    <w:rsid w:val="000B41CB"/>
    <w:rsid w:val="000B73F9"/>
    <w:rsid w:val="000C2A52"/>
    <w:rsid w:val="000C2DB9"/>
    <w:rsid w:val="000C3408"/>
    <w:rsid w:val="000C7E57"/>
    <w:rsid w:val="000D33C0"/>
    <w:rsid w:val="000D4CF6"/>
    <w:rsid w:val="000D64DB"/>
    <w:rsid w:val="000D6941"/>
    <w:rsid w:val="000E7C2B"/>
    <w:rsid w:val="000F4829"/>
    <w:rsid w:val="000F51FF"/>
    <w:rsid w:val="00101096"/>
    <w:rsid w:val="0010644D"/>
    <w:rsid w:val="001202E3"/>
    <w:rsid w:val="00123699"/>
    <w:rsid w:val="001241FB"/>
    <w:rsid w:val="0013059D"/>
    <w:rsid w:val="00132739"/>
    <w:rsid w:val="00136187"/>
    <w:rsid w:val="00141A55"/>
    <w:rsid w:val="0014293F"/>
    <w:rsid w:val="0014397D"/>
    <w:rsid w:val="001446A3"/>
    <w:rsid w:val="0014559D"/>
    <w:rsid w:val="00147DA1"/>
    <w:rsid w:val="00152B6B"/>
    <w:rsid w:val="001530F2"/>
    <w:rsid w:val="0015462D"/>
    <w:rsid w:val="00155395"/>
    <w:rsid w:val="00156B6B"/>
    <w:rsid w:val="00157FC6"/>
    <w:rsid w:val="00160D74"/>
    <w:rsid w:val="001646EA"/>
    <w:rsid w:val="00167D02"/>
    <w:rsid w:val="001759D8"/>
    <w:rsid w:val="00177D7F"/>
    <w:rsid w:val="00180C3F"/>
    <w:rsid w:val="00181EC8"/>
    <w:rsid w:val="00184349"/>
    <w:rsid w:val="00186148"/>
    <w:rsid w:val="001931FD"/>
    <w:rsid w:val="00195F33"/>
    <w:rsid w:val="001A26AD"/>
    <w:rsid w:val="001A3629"/>
    <w:rsid w:val="001B0205"/>
    <w:rsid w:val="001B1617"/>
    <w:rsid w:val="001B504B"/>
    <w:rsid w:val="001B6F98"/>
    <w:rsid w:val="001C191A"/>
    <w:rsid w:val="001C2851"/>
    <w:rsid w:val="001C5F3B"/>
    <w:rsid w:val="001D3874"/>
    <w:rsid w:val="001D7B83"/>
    <w:rsid w:val="001D7E75"/>
    <w:rsid w:val="001E0D73"/>
    <w:rsid w:val="001E45BD"/>
    <w:rsid w:val="001E53BD"/>
    <w:rsid w:val="001E56D2"/>
    <w:rsid w:val="001E7D56"/>
    <w:rsid w:val="001F03FA"/>
    <w:rsid w:val="001F09EB"/>
    <w:rsid w:val="001F1CC3"/>
    <w:rsid w:val="001F75DE"/>
    <w:rsid w:val="00200D58"/>
    <w:rsid w:val="002011C1"/>
    <w:rsid w:val="002013B3"/>
    <w:rsid w:val="002013BE"/>
    <w:rsid w:val="00201EDC"/>
    <w:rsid w:val="00203B64"/>
    <w:rsid w:val="00204ECF"/>
    <w:rsid w:val="002063A4"/>
    <w:rsid w:val="0021145B"/>
    <w:rsid w:val="00220C23"/>
    <w:rsid w:val="002238C7"/>
    <w:rsid w:val="002247F6"/>
    <w:rsid w:val="00225E21"/>
    <w:rsid w:val="002304B6"/>
    <w:rsid w:val="00234E78"/>
    <w:rsid w:val="00236C0F"/>
    <w:rsid w:val="00243D36"/>
    <w:rsid w:val="00246151"/>
    <w:rsid w:val="00246698"/>
    <w:rsid w:val="00247707"/>
    <w:rsid w:val="002543C5"/>
    <w:rsid w:val="0026018E"/>
    <w:rsid w:val="00283F5E"/>
    <w:rsid w:val="00286740"/>
    <w:rsid w:val="00287CFA"/>
    <w:rsid w:val="00291EAE"/>
    <w:rsid w:val="002929D8"/>
    <w:rsid w:val="0029570E"/>
    <w:rsid w:val="00296289"/>
    <w:rsid w:val="002A00A2"/>
    <w:rsid w:val="002A237D"/>
    <w:rsid w:val="002A4486"/>
    <w:rsid w:val="002A4C53"/>
    <w:rsid w:val="002A5830"/>
    <w:rsid w:val="002B0672"/>
    <w:rsid w:val="002B247F"/>
    <w:rsid w:val="002B50D4"/>
    <w:rsid w:val="002C145D"/>
    <w:rsid w:val="002C2C3E"/>
    <w:rsid w:val="002C533E"/>
    <w:rsid w:val="002D027F"/>
    <w:rsid w:val="002D3012"/>
    <w:rsid w:val="002D3E15"/>
    <w:rsid w:val="002D4013"/>
    <w:rsid w:val="002D7A85"/>
    <w:rsid w:val="002D7B60"/>
    <w:rsid w:val="002F17ED"/>
    <w:rsid w:val="002F25AD"/>
    <w:rsid w:val="002F4761"/>
    <w:rsid w:val="002F5C79"/>
    <w:rsid w:val="002F68EE"/>
    <w:rsid w:val="003019E2"/>
    <w:rsid w:val="003024A9"/>
    <w:rsid w:val="00310BEB"/>
    <w:rsid w:val="00312543"/>
    <w:rsid w:val="0031280A"/>
    <w:rsid w:val="00313AE4"/>
    <w:rsid w:val="0031413F"/>
    <w:rsid w:val="00314854"/>
    <w:rsid w:val="003148BB"/>
    <w:rsid w:val="00317976"/>
    <w:rsid w:val="003200B4"/>
    <w:rsid w:val="0032017D"/>
    <w:rsid w:val="00320F2F"/>
    <w:rsid w:val="00321838"/>
    <w:rsid w:val="00321FB0"/>
    <w:rsid w:val="00324D7B"/>
    <w:rsid w:val="003265CD"/>
    <w:rsid w:val="003366A8"/>
    <w:rsid w:val="00352DF4"/>
    <w:rsid w:val="00355EA9"/>
    <w:rsid w:val="0035618B"/>
    <w:rsid w:val="00356E0F"/>
    <w:rsid w:val="003578DE"/>
    <w:rsid w:val="00361688"/>
    <w:rsid w:val="003656C1"/>
    <w:rsid w:val="003745A4"/>
    <w:rsid w:val="00386A3E"/>
    <w:rsid w:val="003877D5"/>
    <w:rsid w:val="003929B8"/>
    <w:rsid w:val="00392A9F"/>
    <w:rsid w:val="00392DED"/>
    <w:rsid w:val="00396257"/>
    <w:rsid w:val="00397EB8"/>
    <w:rsid w:val="003A29CA"/>
    <w:rsid w:val="003A4FD0"/>
    <w:rsid w:val="003A69D1"/>
    <w:rsid w:val="003A7705"/>
    <w:rsid w:val="003A77F1"/>
    <w:rsid w:val="003B0180"/>
    <w:rsid w:val="003B11D2"/>
    <w:rsid w:val="003B1545"/>
    <w:rsid w:val="003B1B05"/>
    <w:rsid w:val="003B1B29"/>
    <w:rsid w:val="003B2CA0"/>
    <w:rsid w:val="003C212B"/>
    <w:rsid w:val="003C3219"/>
    <w:rsid w:val="003C409D"/>
    <w:rsid w:val="003C505D"/>
    <w:rsid w:val="003C5583"/>
    <w:rsid w:val="003C5BA6"/>
    <w:rsid w:val="003C74CF"/>
    <w:rsid w:val="003D3752"/>
    <w:rsid w:val="003D76A0"/>
    <w:rsid w:val="003E35DA"/>
    <w:rsid w:val="003E455D"/>
    <w:rsid w:val="003F0A8F"/>
    <w:rsid w:val="003F0E85"/>
    <w:rsid w:val="003F4A10"/>
    <w:rsid w:val="00410C55"/>
    <w:rsid w:val="00416854"/>
    <w:rsid w:val="00417725"/>
    <w:rsid w:val="00420202"/>
    <w:rsid w:val="00437165"/>
    <w:rsid w:val="00437F26"/>
    <w:rsid w:val="00441922"/>
    <w:rsid w:val="00444097"/>
    <w:rsid w:val="00444FE6"/>
    <w:rsid w:val="00445296"/>
    <w:rsid w:val="00445487"/>
    <w:rsid w:val="00445DAD"/>
    <w:rsid w:val="00447E0D"/>
    <w:rsid w:val="00451E47"/>
    <w:rsid w:val="00454769"/>
    <w:rsid w:val="0046081B"/>
    <w:rsid w:val="00465D27"/>
    <w:rsid w:val="00466991"/>
    <w:rsid w:val="0047064C"/>
    <w:rsid w:val="00470B41"/>
    <w:rsid w:val="004822B7"/>
    <w:rsid w:val="0049469E"/>
    <w:rsid w:val="004A0976"/>
    <w:rsid w:val="004A2217"/>
    <w:rsid w:val="004A24F9"/>
    <w:rsid w:val="004A2CDD"/>
    <w:rsid w:val="004A42E1"/>
    <w:rsid w:val="004A6FD4"/>
    <w:rsid w:val="004B162C"/>
    <w:rsid w:val="004B2ABE"/>
    <w:rsid w:val="004C3DBE"/>
    <w:rsid w:val="004C55D9"/>
    <w:rsid w:val="004C5C96"/>
    <w:rsid w:val="004C7DC1"/>
    <w:rsid w:val="004D06A4"/>
    <w:rsid w:val="004D5D0B"/>
    <w:rsid w:val="004E171A"/>
    <w:rsid w:val="004F1A81"/>
    <w:rsid w:val="005012EA"/>
    <w:rsid w:val="005050D2"/>
    <w:rsid w:val="00516F04"/>
    <w:rsid w:val="005218D9"/>
    <w:rsid w:val="0053007B"/>
    <w:rsid w:val="00536186"/>
    <w:rsid w:val="00544CBB"/>
    <w:rsid w:val="005530F1"/>
    <w:rsid w:val="0055381B"/>
    <w:rsid w:val="005572B8"/>
    <w:rsid w:val="005656D7"/>
    <w:rsid w:val="005722D2"/>
    <w:rsid w:val="0057315F"/>
    <w:rsid w:val="00576104"/>
    <w:rsid w:val="005820A7"/>
    <w:rsid w:val="00583A83"/>
    <w:rsid w:val="00592B21"/>
    <w:rsid w:val="005B44BF"/>
    <w:rsid w:val="005C5AC8"/>
    <w:rsid w:val="005C67C8"/>
    <w:rsid w:val="005D0249"/>
    <w:rsid w:val="005D18FA"/>
    <w:rsid w:val="005D4FD4"/>
    <w:rsid w:val="005D57CC"/>
    <w:rsid w:val="005D6E8C"/>
    <w:rsid w:val="005E3004"/>
    <w:rsid w:val="005F100C"/>
    <w:rsid w:val="005F68DA"/>
    <w:rsid w:val="00601BC9"/>
    <w:rsid w:val="0060773B"/>
    <w:rsid w:val="00613FD6"/>
    <w:rsid w:val="006157B5"/>
    <w:rsid w:val="00615C2C"/>
    <w:rsid w:val="00615F43"/>
    <w:rsid w:val="00617224"/>
    <w:rsid w:val="006262A3"/>
    <w:rsid w:val="00626FC6"/>
    <w:rsid w:val="00627DC9"/>
    <w:rsid w:val="006303B4"/>
    <w:rsid w:val="00630ADC"/>
    <w:rsid w:val="00633D3D"/>
    <w:rsid w:val="00641703"/>
    <w:rsid w:val="006431A6"/>
    <w:rsid w:val="00643B83"/>
    <w:rsid w:val="00643E3A"/>
    <w:rsid w:val="00645834"/>
    <w:rsid w:val="006459F6"/>
    <w:rsid w:val="006501AD"/>
    <w:rsid w:val="00651BFA"/>
    <w:rsid w:val="00654475"/>
    <w:rsid w:val="006548C4"/>
    <w:rsid w:val="00655EED"/>
    <w:rsid w:val="00656DF0"/>
    <w:rsid w:val="00663F93"/>
    <w:rsid w:val="00665A4B"/>
    <w:rsid w:val="006744EA"/>
    <w:rsid w:val="00690931"/>
    <w:rsid w:val="00692E2A"/>
    <w:rsid w:val="0069606C"/>
    <w:rsid w:val="006A76F2"/>
    <w:rsid w:val="006C6984"/>
    <w:rsid w:val="006D19D4"/>
    <w:rsid w:val="006D7EFB"/>
    <w:rsid w:val="006E51EA"/>
    <w:rsid w:val="006E6672"/>
    <w:rsid w:val="006E6722"/>
    <w:rsid w:val="006F16F3"/>
    <w:rsid w:val="006F51BB"/>
    <w:rsid w:val="006F7AFF"/>
    <w:rsid w:val="007027B9"/>
    <w:rsid w:val="00703CC7"/>
    <w:rsid w:val="007066B5"/>
    <w:rsid w:val="007145DA"/>
    <w:rsid w:val="0071470C"/>
    <w:rsid w:val="00715E88"/>
    <w:rsid w:val="007260E6"/>
    <w:rsid w:val="00734CAA"/>
    <w:rsid w:val="007366A6"/>
    <w:rsid w:val="00741552"/>
    <w:rsid w:val="00742680"/>
    <w:rsid w:val="0075533C"/>
    <w:rsid w:val="00757581"/>
    <w:rsid w:val="007602F5"/>
    <w:rsid w:val="00760A19"/>
    <w:rsid w:val="00760D36"/>
    <w:rsid w:val="007611A0"/>
    <w:rsid w:val="007667C2"/>
    <w:rsid w:val="00767155"/>
    <w:rsid w:val="00773E54"/>
    <w:rsid w:val="00774AD1"/>
    <w:rsid w:val="00787688"/>
    <w:rsid w:val="00790977"/>
    <w:rsid w:val="0079178D"/>
    <w:rsid w:val="00791B78"/>
    <w:rsid w:val="007935E6"/>
    <w:rsid w:val="00795703"/>
    <w:rsid w:val="00796D3F"/>
    <w:rsid w:val="007A1683"/>
    <w:rsid w:val="007A3A88"/>
    <w:rsid w:val="007A5C12"/>
    <w:rsid w:val="007A7CB0"/>
    <w:rsid w:val="007B2907"/>
    <w:rsid w:val="007B68A3"/>
    <w:rsid w:val="007C0998"/>
    <w:rsid w:val="007C1876"/>
    <w:rsid w:val="007C2541"/>
    <w:rsid w:val="007C45B2"/>
    <w:rsid w:val="007C730B"/>
    <w:rsid w:val="007D0208"/>
    <w:rsid w:val="007D66A8"/>
    <w:rsid w:val="007E003F"/>
    <w:rsid w:val="007E12E8"/>
    <w:rsid w:val="007E3877"/>
    <w:rsid w:val="007F0CF8"/>
    <w:rsid w:val="007F62CB"/>
    <w:rsid w:val="008142EC"/>
    <w:rsid w:val="008164F2"/>
    <w:rsid w:val="00820EBF"/>
    <w:rsid w:val="00821395"/>
    <w:rsid w:val="00830E26"/>
    <w:rsid w:val="00831836"/>
    <w:rsid w:val="00835309"/>
    <w:rsid w:val="008367EF"/>
    <w:rsid w:val="00843576"/>
    <w:rsid w:val="00843B64"/>
    <w:rsid w:val="00845A15"/>
    <w:rsid w:val="008478FC"/>
    <w:rsid w:val="00851C51"/>
    <w:rsid w:val="00856CDB"/>
    <w:rsid w:val="00867BFF"/>
    <w:rsid w:val="00871542"/>
    <w:rsid w:val="008725CB"/>
    <w:rsid w:val="008727D8"/>
    <w:rsid w:val="00872BF6"/>
    <w:rsid w:val="0088480A"/>
    <w:rsid w:val="0088757A"/>
    <w:rsid w:val="008908B6"/>
    <w:rsid w:val="008915BC"/>
    <w:rsid w:val="00893A7C"/>
    <w:rsid w:val="0089431B"/>
    <w:rsid w:val="00894479"/>
    <w:rsid w:val="00895668"/>
    <w:rsid w:val="008957DD"/>
    <w:rsid w:val="00897D98"/>
    <w:rsid w:val="008A35AB"/>
    <w:rsid w:val="008A6DF2"/>
    <w:rsid w:val="008A7807"/>
    <w:rsid w:val="008B4CC9"/>
    <w:rsid w:val="008C33EE"/>
    <w:rsid w:val="008C4C3C"/>
    <w:rsid w:val="008C615B"/>
    <w:rsid w:val="008C7AC7"/>
    <w:rsid w:val="008D75E4"/>
    <w:rsid w:val="008D7C99"/>
    <w:rsid w:val="008D7F93"/>
    <w:rsid w:val="008E0FCB"/>
    <w:rsid w:val="008E1454"/>
    <w:rsid w:val="008E1FBB"/>
    <w:rsid w:val="008E2357"/>
    <w:rsid w:val="008E55C2"/>
    <w:rsid w:val="008F0CC2"/>
    <w:rsid w:val="008F6DFE"/>
    <w:rsid w:val="0090529F"/>
    <w:rsid w:val="00913F99"/>
    <w:rsid w:val="00914402"/>
    <w:rsid w:val="0092178C"/>
    <w:rsid w:val="00926A52"/>
    <w:rsid w:val="00930B88"/>
    <w:rsid w:val="00936DD7"/>
    <w:rsid w:val="00940DCC"/>
    <w:rsid w:val="0094179A"/>
    <w:rsid w:val="0094459E"/>
    <w:rsid w:val="00944DBC"/>
    <w:rsid w:val="00945EA0"/>
    <w:rsid w:val="00946A46"/>
    <w:rsid w:val="00950977"/>
    <w:rsid w:val="00951A7B"/>
    <w:rsid w:val="00954733"/>
    <w:rsid w:val="009564A6"/>
    <w:rsid w:val="0095710E"/>
    <w:rsid w:val="0096165D"/>
    <w:rsid w:val="009627CF"/>
    <w:rsid w:val="00964D09"/>
    <w:rsid w:val="009650C5"/>
    <w:rsid w:val="009666B3"/>
    <w:rsid w:val="00966A53"/>
    <w:rsid w:val="00967621"/>
    <w:rsid w:val="00967E6A"/>
    <w:rsid w:val="00972245"/>
    <w:rsid w:val="00982FA4"/>
    <w:rsid w:val="0098494C"/>
    <w:rsid w:val="009907B9"/>
    <w:rsid w:val="00990918"/>
    <w:rsid w:val="0099193B"/>
    <w:rsid w:val="00996C07"/>
    <w:rsid w:val="009A3A83"/>
    <w:rsid w:val="009A4FC4"/>
    <w:rsid w:val="009A7C30"/>
    <w:rsid w:val="009B4A0F"/>
    <w:rsid w:val="009B56A1"/>
    <w:rsid w:val="009B71C0"/>
    <w:rsid w:val="009C11D2"/>
    <w:rsid w:val="009C6C70"/>
    <w:rsid w:val="009C7B0A"/>
    <w:rsid w:val="009D0B63"/>
    <w:rsid w:val="009D5CB8"/>
    <w:rsid w:val="009E307E"/>
    <w:rsid w:val="009E591D"/>
    <w:rsid w:val="009F6577"/>
    <w:rsid w:val="00A00C78"/>
    <w:rsid w:val="00A02414"/>
    <w:rsid w:val="00A06D51"/>
    <w:rsid w:val="00A07870"/>
    <w:rsid w:val="00A07C54"/>
    <w:rsid w:val="00A07F19"/>
    <w:rsid w:val="00A13378"/>
    <w:rsid w:val="00A1348D"/>
    <w:rsid w:val="00A13C99"/>
    <w:rsid w:val="00A14C63"/>
    <w:rsid w:val="00A232EE"/>
    <w:rsid w:val="00A245F5"/>
    <w:rsid w:val="00A27419"/>
    <w:rsid w:val="00A308F6"/>
    <w:rsid w:val="00A414F6"/>
    <w:rsid w:val="00A4175F"/>
    <w:rsid w:val="00A44411"/>
    <w:rsid w:val="00A469FA"/>
    <w:rsid w:val="00A53662"/>
    <w:rsid w:val="00A55B01"/>
    <w:rsid w:val="00A56B5B"/>
    <w:rsid w:val="00A603FF"/>
    <w:rsid w:val="00A619B6"/>
    <w:rsid w:val="00A648CA"/>
    <w:rsid w:val="00A657DD"/>
    <w:rsid w:val="00A666A6"/>
    <w:rsid w:val="00A66C72"/>
    <w:rsid w:val="00A675FD"/>
    <w:rsid w:val="00A72437"/>
    <w:rsid w:val="00A72CAA"/>
    <w:rsid w:val="00A77963"/>
    <w:rsid w:val="00A8048B"/>
    <w:rsid w:val="00A80611"/>
    <w:rsid w:val="00A96AC4"/>
    <w:rsid w:val="00AA3441"/>
    <w:rsid w:val="00AA5BF4"/>
    <w:rsid w:val="00AA6DB2"/>
    <w:rsid w:val="00AB5340"/>
    <w:rsid w:val="00AB6BEE"/>
    <w:rsid w:val="00AC0A89"/>
    <w:rsid w:val="00AC4820"/>
    <w:rsid w:val="00AC7C96"/>
    <w:rsid w:val="00AD0986"/>
    <w:rsid w:val="00AD1932"/>
    <w:rsid w:val="00AD4F02"/>
    <w:rsid w:val="00AE237D"/>
    <w:rsid w:val="00AE502A"/>
    <w:rsid w:val="00AE6AEA"/>
    <w:rsid w:val="00AF0010"/>
    <w:rsid w:val="00AF2C1F"/>
    <w:rsid w:val="00AF2C38"/>
    <w:rsid w:val="00AF7C07"/>
    <w:rsid w:val="00B03133"/>
    <w:rsid w:val="00B05052"/>
    <w:rsid w:val="00B06C64"/>
    <w:rsid w:val="00B11CAC"/>
    <w:rsid w:val="00B15A29"/>
    <w:rsid w:val="00B21ED0"/>
    <w:rsid w:val="00B21F67"/>
    <w:rsid w:val="00B22C93"/>
    <w:rsid w:val="00B27589"/>
    <w:rsid w:val="00B31318"/>
    <w:rsid w:val="00B405B7"/>
    <w:rsid w:val="00B453EF"/>
    <w:rsid w:val="00B47BFC"/>
    <w:rsid w:val="00B52222"/>
    <w:rsid w:val="00B52E6A"/>
    <w:rsid w:val="00B531DA"/>
    <w:rsid w:val="00B53DC1"/>
    <w:rsid w:val="00B54895"/>
    <w:rsid w:val="00B54FE7"/>
    <w:rsid w:val="00B647C6"/>
    <w:rsid w:val="00B655F9"/>
    <w:rsid w:val="00B66901"/>
    <w:rsid w:val="00B71E6D"/>
    <w:rsid w:val="00B72070"/>
    <w:rsid w:val="00B721D6"/>
    <w:rsid w:val="00B75392"/>
    <w:rsid w:val="00B779E1"/>
    <w:rsid w:val="00B77B3C"/>
    <w:rsid w:val="00B81E3A"/>
    <w:rsid w:val="00B85CFB"/>
    <w:rsid w:val="00B91EE1"/>
    <w:rsid w:val="00B94602"/>
    <w:rsid w:val="00BA0087"/>
    <w:rsid w:val="00BA0090"/>
    <w:rsid w:val="00BA1A67"/>
    <w:rsid w:val="00BA6A80"/>
    <w:rsid w:val="00BB2C67"/>
    <w:rsid w:val="00BB4ABB"/>
    <w:rsid w:val="00BD280C"/>
    <w:rsid w:val="00BD3A6A"/>
    <w:rsid w:val="00BE5B5F"/>
    <w:rsid w:val="00BE6466"/>
    <w:rsid w:val="00BE7993"/>
    <w:rsid w:val="00BF360D"/>
    <w:rsid w:val="00BF4703"/>
    <w:rsid w:val="00BF50C7"/>
    <w:rsid w:val="00C11D1C"/>
    <w:rsid w:val="00C14FF7"/>
    <w:rsid w:val="00C257CD"/>
    <w:rsid w:val="00C26F55"/>
    <w:rsid w:val="00C30C63"/>
    <w:rsid w:val="00C30FF3"/>
    <w:rsid w:val="00C36B8B"/>
    <w:rsid w:val="00C415C1"/>
    <w:rsid w:val="00C47DBF"/>
    <w:rsid w:val="00C552FF"/>
    <w:rsid w:val="00C558DA"/>
    <w:rsid w:val="00C55AF3"/>
    <w:rsid w:val="00C73709"/>
    <w:rsid w:val="00C7642A"/>
    <w:rsid w:val="00C771A9"/>
    <w:rsid w:val="00C84759"/>
    <w:rsid w:val="00C84D00"/>
    <w:rsid w:val="00C959E8"/>
    <w:rsid w:val="00CA5CA9"/>
    <w:rsid w:val="00CA6C7F"/>
    <w:rsid w:val="00CB6B35"/>
    <w:rsid w:val="00CC0303"/>
    <w:rsid w:val="00CC0FC7"/>
    <w:rsid w:val="00CC10A6"/>
    <w:rsid w:val="00CC551D"/>
    <w:rsid w:val="00CC6A69"/>
    <w:rsid w:val="00CD2F8E"/>
    <w:rsid w:val="00CD5EB8"/>
    <w:rsid w:val="00CD7044"/>
    <w:rsid w:val="00CE0733"/>
    <w:rsid w:val="00CE08B9"/>
    <w:rsid w:val="00CE49F6"/>
    <w:rsid w:val="00CE524C"/>
    <w:rsid w:val="00CF074A"/>
    <w:rsid w:val="00CF141F"/>
    <w:rsid w:val="00CF4777"/>
    <w:rsid w:val="00CF55A6"/>
    <w:rsid w:val="00CF65C8"/>
    <w:rsid w:val="00D001CD"/>
    <w:rsid w:val="00D013F5"/>
    <w:rsid w:val="00D05E3F"/>
    <w:rsid w:val="00D067BB"/>
    <w:rsid w:val="00D10973"/>
    <w:rsid w:val="00D13433"/>
    <w:rsid w:val="00D1352A"/>
    <w:rsid w:val="00D135F6"/>
    <w:rsid w:val="00D169AF"/>
    <w:rsid w:val="00D25249"/>
    <w:rsid w:val="00D26199"/>
    <w:rsid w:val="00D27BD7"/>
    <w:rsid w:val="00D35346"/>
    <w:rsid w:val="00D41249"/>
    <w:rsid w:val="00D41721"/>
    <w:rsid w:val="00D44172"/>
    <w:rsid w:val="00D47BE3"/>
    <w:rsid w:val="00D502EC"/>
    <w:rsid w:val="00D63B8C"/>
    <w:rsid w:val="00D65C7E"/>
    <w:rsid w:val="00D6778D"/>
    <w:rsid w:val="00D721F1"/>
    <w:rsid w:val="00D7265E"/>
    <w:rsid w:val="00D739CC"/>
    <w:rsid w:val="00D8043A"/>
    <w:rsid w:val="00D8093D"/>
    <w:rsid w:val="00D8108C"/>
    <w:rsid w:val="00D842AE"/>
    <w:rsid w:val="00D90A62"/>
    <w:rsid w:val="00D9211C"/>
    <w:rsid w:val="00D92B05"/>
    <w:rsid w:val="00D92DE0"/>
    <w:rsid w:val="00D92FEF"/>
    <w:rsid w:val="00D93A0F"/>
    <w:rsid w:val="00DA1BCA"/>
    <w:rsid w:val="00DA4A4D"/>
    <w:rsid w:val="00DA724A"/>
    <w:rsid w:val="00DB3CDA"/>
    <w:rsid w:val="00DC0FBB"/>
    <w:rsid w:val="00DC41EB"/>
    <w:rsid w:val="00DC46FF"/>
    <w:rsid w:val="00DC5254"/>
    <w:rsid w:val="00DC569D"/>
    <w:rsid w:val="00DC620E"/>
    <w:rsid w:val="00DD1A4F"/>
    <w:rsid w:val="00DD3107"/>
    <w:rsid w:val="00DD4116"/>
    <w:rsid w:val="00DD46E5"/>
    <w:rsid w:val="00DD7C2C"/>
    <w:rsid w:val="00DE399E"/>
    <w:rsid w:val="00DE5BDA"/>
    <w:rsid w:val="00DE69B7"/>
    <w:rsid w:val="00DF3460"/>
    <w:rsid w:val="00DF3637"/>
    <w:rsid w:val="00DF433C"/>
    <w:rsid w:val="00E0035A"/>
    <w:rsid w:val="00E06797"/>
    <w:rsid w:val="00E1265B"/>
    <w:rsid w:val="00E13B48"/>
    <w:rsid w:val="00E13D24"/>
    <w:rsid w:val="00E1404F"/>
    <w:rsid w:val="00E141F1"/>
    <w:rsid w:val="00E14853"/>
    <w:rsid w:val="00E21C83"/>
    <w:rsid w:val="00E23510"/>
    <w:rsid w:val="00E24ADA"/>
    <w:rsid w:val="00E32F59"/>
    <w:rsid w:val="00E40C32"/>
    <w:rsid w:val="00E41908"/>
    <w:rsid w:val="00E46D9A"/>
    <w:rsid w:val="00E47152"/>
    <w:rsid w:val="00E47BAC"/>
    <w:rsid w:val="00E565FF"/>
    <w:rsid w:val="00E573D5"/>
    <w:rsid w:val="00E64159"/>
    <w:rsid w:val="00E65388"/>
    <w:rsid w:val="00E76977"/>
    <w:rsid w:val="00E7741D"/>
    <w:rsid w:val="00E808CD"/>
    <w:rsid w:val="00E80AD2"/>
    <w:rsid w:val="00E8348F"/>
    <w:rsid w:val="00E85B7D"/>
    <w:rsid w:val="00E9121B"/>
    <w:rsid w:val="00E9302E"/>
    <w:rsid w:val="00E96FEE"/>
    <w:rsid w:val="00E976AB"/>
    <w:rsid w:val="00EA0AE2"/>
    <w:rsid w:val="00EA39E5"/>
    <w:rsid w:val="00EA57A3"/>
    <w:rsid w:val="00EC2813"/>
    <w:rsid w:val="00EC3F36"/>
    <w:rsid w:val="00EC5A46"/>
    <w:rsid w:val="00EC63E2"/>
    <w:rsid w:val="00ED366A"/>
    <w:rsid w:val="00ED4F25"/>
    <w:rsid w:val="00ED6BB7"/>
    <w:rsid w:val="00EE1723"/>
    <w:rsid w:val="00EF22B3"/>
    <w:rsid w:val="00EF7EA1"/>
    <w:rsid w:val="00F02BFE"/>
    <w:rsid w:val="00F03B69"/>
    <w:rsid w:val="00F043DA"/>
    <w:rsid w:val="00F07A50"/>
    <w:rsid w:val="00F113DA"/>
    <w:rsid w:val="00F121FC"/>
    <w:rsid w:val="00F134E0"/>
    <w:rsid w:val="00F1627C"/>
    <w:rsid w:val="00F266FC"/>
    <w:rsid w:val="00F26DDC"/>
    <w:rsid w:val="00F3037A"/>
    <w:rsid w:val="00F3465A"/>
    <w:rsid w:val="00F37DC8"/>
    <w:rsid w:val="00F439B3"/>
    <w:rsid w:val="00F43ED5"/>
    <w:rsid w:val="00F650C3"/>
    <w:rsid w:val="00F65D85"/>
    <w:rsid w:val="00F6700B"/>
    <w:rsid w:val="00F70E4F"/>
    <w:rsid w:val="00F8091E"/>
    <w:rsid w:val="00F8615C"/>
    <w:rsid w:val="00F879AB"/>
    <w:rsid w:val="00F92EBD"/>
    <w:rsid w:val="00F969E5"/>
    <w:rsid w:val="00F9737C"/>
    <w:rsid w:val="00FA0466"/>
    <w:rsid w:val="00FA4972"/>
    <w:rsid w:val="00FA6BB0"/>
    <w:rsid w:val="00FB2DBD"/>
    <w:rsid w:val="00FB53D9"/>
    <w:rsid w:val="00FC3631"/>
    <w:rsid w:val="00FC4B57"/>
    <w:rsid w:val="00FD48DF"/>
    <w:rsid w:val="00FD5860"/>
    <w:rsid w:val="00FD5C01"/>
    <w:rsid w:val="00FE352D"/>
    <w:rsid w:val="00FE3730"/>
    <w:rsid w:val="00FE40EB"/>
    <w:rsid w:val="00FE457E"/>
    <w:rsid w:val="00FE4D02"/>
    <w:rsid w:val="00FE67C6"/>
    <w:rsid w:val="00FE7D62"/>
    <w:rsid w:val="00FF1B47"/>
    <w:rsid w:val="00FF3819"/>
  </w:rsids>
  <m:mathPr>
    <m:mathFont m:val="Cambria Math"/>
    <m:brkBin m:val="before"/>
    <m:brkBinSub m:val="--"/>
    <m:smallFrac/>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7B6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E4E"/>
    <w:pPr>
      <w:tabs>
        <w:tab w:val="left" w:pos="1247"/>
        <w:tab w:val="left" w:pos="1814"/>
        <w:tab w:val="left" w:pos="2381"/>
        <w:tab w:val="left" w:pos="2948"/>
        <w:tab w:val="left" w:pos="3515"/>
      </w:tabs>
    </w:pPr>
    <w:rPr>
      <w:lang w:eastAsia="en-US"/>
    </w:rPr>
  </w:style>
  <w:style w:type="paragraph" w:styleId="Heading1">
    <w:name w:val="heading 1"/>
    <w:basedOn w:val="Normal"/>
    <w:next w:val="Normalnumber"/>
    <w:qFormat/>
    <w:rsid w:val="000D6941"/>
    <w:pPr>
      <w:keepNext/>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lang w:val="en-US"/>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link w:val="CH3Cha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rsid w:val="00160D74"/>
    <w:pPr>
      <w:tabs>
        <w:tab w:val="left" w:pos="1247"/>
        <w:tab w:val="left" w:pos="1814"/>
        <w:tab w:val="left" w:pos="2381"/>
        <w:tab w:val="left" w:pos="2948"/>
        <w:tab w:val="left" w:pos="3515"/>
        <w:tab w:val="left" w:pos="4082"/>
      </w:tabs>
    </w:pPr>
    <w:rPr>
      <w:lang w:eastAsia="en-US"/>
    </w:rPr>
  </w:style>
  <w:style w:type="character" w:styleId="FootnoteReference">
    <w:name w:val="footnote reference"/>
    <w:aliases w:val="16 Point,Superscript 6 Point,ftref,(Ref. de nota al pie),number,SUPERS,Footnote Reference Superscript"/>
    <w:semiHidden/>
    <w:rsid w:val="000D6941"/>
    <w:rPr>
      <w:rFonts w:ascii="Times New Roman" w:hAnsi="Times New Roman"/>
      <w:color w:val="auto"/>
      <w:sz w:val="20"/>
      <w:szCs w:val="18"/>
      <w:vertAlign w:val="superscript"/>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
    <w:basedOn w:val="Normalpool"/>
    <w:link w:val="FootnoteTextChar"/>
    <w:uiPriority w:val="99"/>
    <w:rsid w:val="000D6941"/>
    <w:pPr>
      <w:spacing w:before="20" w:after="40"/>
      <w:ind w:left="1247"/>
    </w:pPr>
    <w:rPr>
      <w:sz w:val="18"/>
    </w:rPr>
  </w:style>
  <w:style w:type="character" w:styleId="CommentReference">
    <w:name w:val="annotation reference"/>
    <w:rsid w:val="003929B8"/>
    <w:rPr>
      <w:sz w:val="16"/>
      <w:szCs w:val="16"/>
    </w:rPr>
  </w:style>
  <w:style w:type="paragraph" w:styleId="CommentText">
    <w:name w:val="annotation text"/>
    <w:basedOn w:val="Normal"/>
    <w:link w:val="CommentTextChar"/>
    <w:rsid w:val="003929B8"/>
  </w:style>
  <w:style w:type="character" w:customStyle="1" w:styleId="CommentTextChar">
    <w:name w:val="Comment Text Char"/>
    <w:link w:val="CommentText"/>
    <w:rsid w:val="003929B8"/>
    <w:rPr>
      <w:lang w:eastAsia="en-US"/>
    </w:rPr>
  </w:style>
  <w:style w:type="paragraph" w:styleId="CommentSubject">
    <w:name w:val="annotation subject"/>
    <w:basedOn w:val="CommentText"/>
    <w:next w:val="CommentText"/>
    <w:link w:val="CommentSubjectChar"/>
    <w:rsid w:val="003929B8"/>
    <w:rPr>
      <w:b/>
      <w:bCs/>
    </w:rPr>
  </w:style>
  <w:style w:type="character" w:customStyle="1" w:styleId="CommentSubjectChar">
    <w:name w:val="Comment Subject Char"/>
    <w:link w:val="CommentSubject"/>
    <w:rsid w:val="003929B8"/>
    <w:rPr>
      <w:b/>
      <w:bCs/>
      <w:lang w:eastAsia="en-US"/>
    </w:rPr>
  </w:style>
  <w:style w:type="paragraph" w:styleId="BalloonText">
    <w:name w:val="Balloon Text"/>
    <w:basedOn w:val="Normal"/>
    <w:link w:val="BalloonTextChar"/>
    <w:rsid w:val="003929B8"/>
    <w:rPr>
      <w:rFonts w:ascii="Tahoma" w:hAnsi="Tahoma" w:cs="Tahoma"/>
      <w:sz w:val="16"/>
      <w:szCs w:val="16"/>
    </w:rPr>
  </w:style>
  <w:style w:type="character" w:customStyle="1" w:styleId="BalloonTextChar">
    <w:name w:val="Balloon Text Char"/>
    <w:link w:val="BalloonText"/>
    <w:rsid w:val="003929B8"/>
    <w:rPr>
      <w:rFonts w:ascii="Tahoma" w:hAnsi="Tahoma" w:cs="Tahoma"/>
      <w:sz w:val="16"/>
      <w:szCs w:val="16"/>
      <w:lang w:eastAsia="en-US"/>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uiPriority w:val="99"/>
    <w:locked/>
    <w:rsid w:val="0014293F"/>
    <w:rPr>
      <w:sz w:val="18"/>
      <w:lang w:val="fr-FR" w:eastAsia="en-US"/>
    </w:rPr>
  </w:style>
  <w:style w:type="table" w:styleId="TableGrid">
    <w:name w:val="Table Grid"/>
    <w:basedOn w:val="TableNormal"/>
    <w:rsid w:val="00E976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A24F9"/>
    <w:pPr>
      <w:ind w:left="720"/>
    </w:pPr>
  </w:style>
  <w:style w:type="character" w:customStyle="1" w:styleId="BBTitleChar">
    <w:name w:val="BB_Title Char"/>
    <w:link w:val="BBTitle"/>
    <w:rsid w:val="00312543"/>
    <w:rPr>
      <w:b/>
      <w:sz w:val="28"/>
      <w:szCs w:val="28"/>
      <w:lang w:eastAsia="en-US"/>
    </w:rPr>
  </w:style>
  <w:style w:type="character" w:customStyle="1" w:styleId="CH2Char">
    <w:name w:val="CH2 Char"/>
    <w:link w:val="CH2"/>
    <w:rsid w:val="00312543"/>
    <w:rPr>
      <w:b/>
      <w:sz w:val="24"/>
      <w:szCs w:val="24"/>
      <w:lang w:eastAsia="en-US"/>
    </w:rPr>
  </w:style>
  <w:style w:type="character" w:customStyle="1" w:styleId="CH3Char">
    <w:name w:val="CH3 Char"/>
    <w:link w:val="CH3"/>
    <w:rsid w:val="00312543"/>
    <w:rPr>
      <w:b/>
      <w:lang w:eastAsia="en-US"/>
    </w:rPr>
  </w:style>
  <w:style w:type="character" w:customStyle="1" w:styleId="ZZAnxtitleChar">
    <w:name w:val="ZZ_Anx_title Char"/>
    <w:link w:val="ZZAnxtitle"/>
    <w:rsid w:val="00312543"/>
    <w:rPr>
      <w:b/>
      <w:bCs/>
      <w:sz w:val="28"/>
      <w:szCs w:val="26"/>
      <w:lang w:eastAsia="en-US"/>
    </w:rPr>
  </w:style>
  <w:style w:type="paragraph" w:customStyle="1" w:styleId="Articleheading">
    <w:name w:val="Article heading"/>
    <w:basedOn w:val="Normal"/>
    <w:next w:val="Subtitle"/>
    <w:rsid w:val="00312543"/>
    <w:pPr>
      <w:numPr>
        <w:numId w:val="8"/>
      </w:numPr>
      <w:tabs>
        <w:tab w:val="clear" w:pos="567"/>
        <w:tab w:val="clear" w:pos="1247"/>
        <w:tab w:val="clear" w:pos="1814"/>
        <w:tab w:val="clear" w:pos="2381"/>
        <w:tab w:val="clear" w:pos="2948"/>
        <w:tab w:val="clear" w:pos="3515"/>
      </w:tabs>
      <w:spacing w:after="240"/>
      <w:ind w:left="720" w:firstLine="3600"/>
    </w:pPr>
    <w:rPr>
      <w:sz w:val="28"/>
      <w:szCs w:val="28"/>
    </w:rPr>
  </w:style>
  <w:style w:type="character" w:customStyle="1" w:styleId="ZZAnxheaderChar">
    <w:name w:val="ZZ_Anx_header Char"/>
    <w:link w:val="ZZAnxheader"/>
    <w:rsid w:val="00312543"/>
    <w:rPr>
      <w:b/>
      <w:bCs/>
      <w:sz w:val="28"/>
      <w:szCs w:val="22"/>
      <w:lang w:eastAsia="en-US"/>
    </w:rPr>
  </w:style>
  <w:style w:type="paragraph" w:styleId="Subtitle">
    <w:name w:val="Subtitle"/>
    <w:basedOn w:val="Normal"/>
    <w:next w:val="Normal"/>
    <w:link w:val="SubtitleChar"/>
    <w:qFormat/>
    <w:rsid w:val="00312543"/>
    <w:pPr>
      <w:spacing w:after="60"/>
      <w:jc w:val="center"/>
      <w:outlineLvl w:val="1"/>
    </w:pPr>
    <w:rPr>
      <w:rFonts w:ascii="Cambria" w:eastAsia="SimSun" w:hAnsi="Cambria"/>
      <w:sz w:val="24"/>
      <w:szCs w:val="24"/>
    </w:rPr>
  </w:style>
  <w:style w:type="character" w:customStyle="1" w:styleId="SubtitleChar">
    <w:name w:val="Subtitle Char"/>
    <w:link w:val="Subtitle"/>
    <w:rsid w:val="00312543"/>
    <w:rPr>
      <w:rFonts w:ascii="Cambria" w:eastAsia="SimSun" w:hAnsi="Cambria" w:cs="Times New Roman"/>
      <w:sz w:val="24"/>
      <w:szCs w:val="24"/>
      <w:lang w:eastAsia="en-US"/>
    </w:rPr>
  </w:style>
  <w:style w:type="table" w:customStyle="1" w:styleId="AATable">
    <w:name w:val="AA_Table"/>
    <w:basedOn w:val="TableNormal"/>
    <w:semiHidden/>
    <w:rsid w:val="003A77F1"/>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Autospacing="0" w:afterLines="0" w:afterAutospacing="0"/>
        <w:contextualSpacing w:val="0"/>
        <w:jc w:val="left"/>
      </w:pPr>
      <w:rPr>
        <w:rFonts w:ascii="Arial" w:hAnsi="Arial"/>
        <w:b/>
        <w:i w:val="0"/>
        <w:caps/>
        <w:smallCaps w:val="0"/>
        <w:color w:val="auto"/>
        <w:sz w:val="27"/>
        <w:szCs w:val="27"/>
      </w:rPr>
    </w:tblStylePr>
    <w:tblStylePr w:type="lastRow">
      <w:pPr>
        <w:wordWrap/>
        <w:spacing w:afterLines="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Autospacing="0" w:afterLines="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Autospacing="0" w:afterLines="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Autospacing="0" w:afterLines="0" w:afterAutospacing="0"/>
        <w:ind w:leftChars="0" w:left="0" w:rightChars="0" w:right="0"/>
        <w:contextualSpacing w:val="0"/>
      </w:pPr>
      <w:rPr>
        <w:rFonts w:ascii="Times New Roman" w:hAnsi="Times New Roman"/>
        <w:b w:val="0"/>
        <w:sz w:val="20"/>
      </w:rPr>
    </w:tblStylePr>
    <w:tblStylePr w:type="swCell">
      <w:pPr>
        <w:wordWrap/>
        <w:spacing w:afterLines="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link w:val="BBTitleChar"/>
    <w:rsid w:val="00160D74"/>
    <w:pPr>
      <w:keepNext/>
      <w:keepLines/>
      <w:suppressAutoHyphens/>
      <w:spacing w:before="320" w:after="240"/>
      <w:ind w:left="1247" w:right="567"/>
    </w:pPr>
    <w:rPr>
      <w:b/>
      <w:sz w:val="28"/>
      <w:szCs w:val="28"/>
      <w:lang w:val="en-GB"/>
    </w:rPr>
  </w:style>
  <w:style w:type="paragraph" w:styleId="Footer">
    <w:name w:val="footer"/>
    <w:basedOn w:val="Normal"/>
    <w:rsid w:val="00821395"/>
    <w:pPr>
      <w:tabs>
        <w:tab w:val="center" w:pos="4320"/>
        <w:tab w:val="right" w:pos="8640"/>
      </w:tabs>
      <w:spacing w:before="60" w:after="120"/>
    </w:pPr>
    <w:rPr>
      <w:sz w:val="18"/>
    </w:rPr>
  </w:style>
  <w:style w:type="paragraph" w:styleId="Header">
    <w:name w:val="header"/>
    <w:basedOn w:val="Normal"/>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semiHidden/>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1"/>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rsid w:val="00AE6AEA"/>
    <w:pPr>
      <w:numPr>
        <w:numId w:val="132"/>
      </w:numPr>
      <w:tabs>
        <w:tab w:val="clear" w:pos="1247"/>
        <w:tab w:val="clear" w:pos="1814"/>
        <w:tab w:val="clear" w:pos="2381"/>
        <w:tab w:val="clear" w:pos="2948"/>
        <w:tab w:val="clear" w:pos="3515"/>
        <w:tab w:val="clear" w:pos="4082"/>
        <w:tab w:val="left" w:pos="624"/>
      </w:tabs>
      <w:spacing w:after="120"/>
      <w:ind w:left="1247" w:firstLine="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160D74"/>
    <w:rPr>
      <w:b/>
      <w:bCs/>
      <w:sz w:val="28"/>
      <w:szCs w:val="22"/>
      <w:lang w:val="en-GB"/>
    </w:rPr>
  </w:style>
  <w:style w:type="paragraph" w:customStyle="1" w:styleId="ZZAnxtitle">
    <w:name w:val="ZZ_Anx_title"/>
    <w:basedOn w:val="Normalpool"/>
    <w:link w:val="ZZAnxtitleChar"/>
    <w:rsid w:val="00160D74"/>
    <w:pPr>
      <w:spacing w:before="360" w:after="120"/>
      <w:ind w:left="1247"/>
    </w:pPr>
    <w:rPr>
      <w:b/>
      <w:bCs/>
      <w:sz w:val="28"/>
      <w:szCs w:val="26"/>
      <w:lang w:val="en-GB"/>
    </w:rPr>
  </w:style>
  <w:style w:type="paragraph" w:customStyle="1" w:styleId="Brdtext">
    <w:name w:val="Brödtext"/>
    <w:rsid w:val="00445DAD"/>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tabs>
        <w:tab w:val="left" w:pos="1247"/>
        <w:tab w:val="left" w:pos="1814"/>
        <w:tab w:val="left" w:pos="2381"/>
        <w:tab w:val="left" w:pos="2948"/>
        <w:tab w:val="left" w:pos="3515"/>
      </w:tabs>
    </w:pPr>
    <w:rPr>
      <w:rFonts w:eastAsia="Arial Unicode MS"/>
      <w:color w:val="000000"/>
      <w:sz w:val="24"/>
      <w:szCs w:val="24"/>
      <w:u w:color="000000"/>
    </w:rPr>
  </w:style>
  <w:style w:type="numbering" w:customStyle="1" w:styleId="Importeradestilen16">
    <w:name w:val="Importerade stilen 16"/>
    <w:rsid w:val="00445DAD"/>
    <w:pPr>
      <w:numPr>
        <w:numId w:val="11"/>
      </w:numPr>
    </w:pPr>
  </w:style>
  <w:style w:type="numbering" w:customStyle="1" w:styleId="Importeradestilen17">
    <w:name w:val="Importerade stilen 17"/>
    <w:rsid w:val="00445DAD"/>
    <w:pPr>
      <w:numPr>
        <w:numId w:val="13"/>
      </w:numPr>
    </w:pPr>
  </w:style>
  <w:style w:type="character" w:customStyle="1" w:styleId="Hyperlink0">
    <w:name w:val="Hyperlink.0"/>
    <w:rsid w:val="00D7265E"/>
    <w:rPr>
      <w:rFonts w:cs="Times New Roman"/>
      <w:lang w:val="en-US"/>
    </w:rPr>
  </w:style>
  <w:style w:type="character" w:customStyle="1" w:styleId="Normal-poolChar">
    <w:name w:val="Normal-pool Char"/>
    <w:link w:val="Normal-pool"/>
    <w:locked/>
    <w:rsid w:val="00D7265E"/>
    <w:rPr>
      <w:lang w:eastAsia="en-US"/>
    </w:rPr>
  </w:style>
  <w:style w:type="paragraph" w:styleId="Revision">
    <w:name w:val="Revision"/>
    <w:hidden/>
    <w:uiPriority w:val="99"/>
    <w:semiHidden/>
    <w:rsid w:val="00C257CD"/>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E4E"/>
    <w:pPr>
      <w:tabs>
        <w:tab w:val="left" w:pos="1247"/>
        <w:tab w:val="left" w:pos="1814"/>
        <w:tab w:val="left" w:pos="2381"/>
        <w:tab w:val="left" w:pos="2948"/>
        <w:tab w:val="left" w:pos="3515"/>
      </w:tabs>
    </w:pPr>
    <w:rPr>
      <w:lang w:eastAsia="en-US"/>
    </w:rPr>
  </w:style>
  <w:style w:type="paragraph" w:styleId="Heading1">
    <w:name w:val="heading 1"/>
    <w:basedOn w:val="Normal"/>
    <w:next w:val="Normalnumber"/>
    <w:qFormat/>
    <w:rsid w:val="000D6941"/>
    <w:pPr>
      <w:keepNext/>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lang w:val="en-US"/>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link w:val="CH3Cha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rsid w:val="00160D74"/>
    <w:pPr>
      <w:tabs>
        <w:tab w:val="left" w:pos="1247"/>
        <w:tab w:val="left" w:pos="1814"/>
        <w:tab w:val="left" w:pos="2381"/>
        <w:tab w:val="left" w:pos="2948"/>
        <w:tab w:val="left" w:pos="3515"/>
        <w:tab w:val="left" w:pos="4082"/>
      </w:tabs>
    </w:pPr>
    <w:rPr>
      <w:lang w:eastAsia="en-US"/>
    </w:rPr>
  </w:style>
  <w:style w:type="character" w:styleId="FootnoteReference">
    <w:name w:val="footnote reference"/>
    <w:aliases w:val="16 Point,Superscript 6 Point,ftref,(Ref. de nota al pie),number,SUPERS,Footnote Reference Superscript"/>
    <w:semiHidden/>
    <w:rsid w:val="000D6941"/>
    <w:rPr>
      <w:rFonts w:ascii="Times New Roman" w:hAnsi="Times New Roman"/>
      <w:color w:val="auto"/>
      <w:sz w:val="20"/>
      <w:szCs w:val="18"/>
      <w:vertAlign w:val="superscript"/>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
    <w:basedOn w:val="Normalpool"/>
    <w:link w:val="FootnoteTextChar"/>
    <w:uiPriority w:val="99"/>
    <w:rsid w:val="000D6941"/>
    <w:pPr>
      <w:spacing w:before="20" w:after="40"/>
      <w:ind w:left="1247"/>
    </w:pPr>
    <w:rPr>
      <w:sz w:val="18"/>
    </w:rPr>
  </w:style>
  <w:style w:type="character" w:styleId="CommentReference">
    <w:name w:val="annotation reference"/>
    <w:rsid w:val="003929B8"/>
    <w:rPr>
      <w:sz w:val="16"/>
      <w:szCs w:val="16"/>
    </w:rPr>
  </w:style>
  <w:style w:type="paragraph" w:styleId="CommentText">
    <w:name w:val="annotation text"/>
    <w:basedOn w:val="Normal"/>
    <w:link w:val="CommentTextChar"/>
    <w:rsid w:val="003929B8"/>
  </w:style>
  <w:style w:type="character" w:customStyle="1" w:styleId="CommentTextChar">
    <w:name w:val="Comment Text Char"/>
    <w:link w:val="CommentText"/>
    <w:rsid w:val="003929B8"/>
    <w:rPr>
      <w:lang w:eastAsia="en-US"/>
    </w:rPr>
  </w:style>
  <w:style w:type="paragraph" w:styleId="CommentSubject">
    <w:name w:val="annotation subject"/>
    <w:basedOn w:val="CommentText"/>
    <w:next w:val="CommentText"/>
    <w:link w:val="CommentSubjectChar"/>
    <w:rsid w:val="003929B8"/>
    <w:rPr>
      <w:b/>
      <w:bCs/>
    </w:rPr>
  </w:style>
  <w:style w:type="character" w:customStyle="1" w:styleId="CommentSubjectChar">
    <w:name w:val="Comment Subject Char"/>
    <w:link w:val="CommentSubject"/>
    <w:rsid w:val="003929B8"/>
    <w:rPr>
      <w:b/>
      <w:bCs/>
      <w:lang w:eastAsia="en-US"/>
    </w:rPr>
  </w:style>
  <w:style w:type="paragraph" w:styleId="BalloonText">
    <w:name w:val="Balloon Text"/>
    <w:basedOn w:val="Normal"/>
    <w:link w:val="BalloonTextChar"/>
    <w:rsid w:val="003929B8"/>
    <w:rPr>
      <w:rFonts w:ascii="Tahoma" w:hAnsi="Tahoma" w:cs="Tahoma"/>
      <w:sz w:val="16"/>
      <w:szCs w:val="16"/>
    </w:rPr>
  </w:style>
  <w:style w:type="character" w:customStyle="1" w:styleId="BalloonTextChar">
    <w:name w:val="Balloon Text Char"/>
    <w:link w:val="BalloonText"/>
    <w:rsid w:val="003929B8"/>
    <w:rPr>
      <w:rFonts w:ascii="Tahoma" w:hAnsi="Tahoma" w:cs="Tahoma"/>
      <w:sz w:val="16"/>
      <w:szCs w:val="16"/>
      <w:lang w:eastAsia="en-US"/>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uiPriority w:val="99"/>
    <w:locked/>
    <w:rsid w:val="0014293F"/>
    <w:rPr>
      <w:sz w:val="18"/>
      <w:lang w:val="fr-FR" w:eastAsia="en-US"/>
    </w:rPr>
  </w:style>
  <w:style w:type="table" w:styleId="TableGrid">
    <w:name w:val="Table Grid"/>
    <w:basedOn w:val="TableNormal"/>
    <w:rsid w:val="00E976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A24F9"/>
    <w:pPr>
      <w:ind w:left="720"/>
    </w:pPr>
  </w:style>
  <w:style w:type="character" w:customStyle="1" w:styleId="BBTitleChar">
    <w:name w:val="BB_Title Char"/>
    <w:link w:val="BBTitle"/>
    <w:rsid w:val="00312543"/>
    <w:rPr>
      <w:b/>
      <w:sz w:val="28"/>
      <w:szCs w:val="28"/>
      <w:lang w:eastAsia="en-US"/>
    </w:rPr>
  </w:style>
  <w:style w:type="character" w:customStyle="1" w:styleId="CH2Char">
    <w:name w:val="CH2 Char"/>
    <w:link w:val="CH2"/>
    <w:rsid w:val="00312543"/>
    <w:rPr>
      <w:b/>
      <w:sz w:val="24"/>
      <w:szCs w:val="24"/>
      <w:lang w:eastAsia="en-US"/>
    </w:rPr>
  </w:style>
  <w:style w:type="character" w:customStyle="1" w:styleId="CH3Char">
    <w:name w:val="CH3 Char"/>
    <w:link w:val="CH3"/>
    <w:rsid w:val="00312543"/>
    <w:rPr>
      <w:b/>
      <w:lang w:eastAsia="en-US"/>
    </w:rPr>
  </w:style>
  <w:style w:type="character" w:customStyle="1" w:styleId="ZZAnxtitleChar">
    <w:name w:val="ZZ_Anx_title Char"/>
    <w:link w:val="ZZAnxtitle"/>
    <w:rsid w:val="00312543"/>
    <w:rPr>
      <w:b/>
      <w:bCs/>
      <w:sz w:val="28"/>
      <w:szCs w:val="26"/>
      <w:lang w:eastAsia="en-US"/>
    </w:rPr>
  </w:style>
  <w:style w:type="paragraph" w:customStyle="1" w:styleId="Articleheading">
    <w:name w:val="Article heading"/>
    <w:basedOn w:val="Normal"/>
    <w:next w:val="Subtitle"/>
    <w:rsid w:val="00312543"/>
    <w:pPr>
      <w:numPr>
        <w:numId w:val="8"/>
      </w:numPr>
      <w:tabs>
        <w:tab w:val="clear" w:pos="567"/>
        <w:tab w:val="clear" w:pos="1247"/>
        <w:tab w:val="clear" w:pos="1814"/>
        <w:tab w:val="clear" w:pos="2381"/>
        <w:tab w:val="clear" w:pos="2948"/>
        <w:tab w:val="clear" w:pos="3515"/>
      </w:tabs>
      <w:spacing w:after="240"/>
      <w:ind w:left="720" w:firstLine="3600"/>
    </w:pPr>
    <w:rPr>
      <w:sz w:val="28"/>
      <w:szCs w:val="28"/>
    </w:rPr>
  </w:style>
  <w:style w:type="character" w:customStyle="1" w:styleId="ZZAnxheaderChar">
    <w:name w:val="ZZ_Anx_header Char"/>
    <w:link w:val="ZZAnxheader"/>
    <w:rsid w:val="00312543"/>
    <w:rPr>
      <w:b/>
      <w:bCs/>
      <w:sz w:val="28"/>
      <w:szCs w:val="22"/>
      <w:lang w:eastAsia="en-US"/>
    </w:rPr>
  </w:style>
  <w:style w:type="paragraph" w:styleId="Subtitle">
    <w:name w:val="Subtitle"/>
    <w:basedOn w:val="Normal"/>
    <w:next w:val="Normal"/>
    <w:link w:val="SubtitleChar"/>
    <w:qFormat/>
    <w:rsid w:val="00312543"/>
    <w:pPr>
      <w:spacing w:after="60"/>
      <w:jc w:val="center"/>
      <w:outlineLvl w:val="1"/>
    </w:pPr>
    <w:rPr>
      <w:rFonts w:ascii="Cambria" w:eastAsia="SimSun" w:hAnsi="Cambria"/>
      <w:sz w:val="24"/>
      <w:szCs w:val="24"/>
    </w:rPr>
  </w:style>
  <w:style w:type="character" w:customStyle="1" w:styleId="SubtitleChar">
    <w:name w:val="Subtitle Char"/>
    <w:link w:val="Subtitle"/>
    <w:rsid w:val="00312543"/>
    <w:rPr>
      <w:rFonts w:ascii="Cambria" w:eastAsia="SimSun" w:hAnsi="Cambria" w:cs="Times New Roman"/>
      <w:sz w:val="24"/>
      <w:szCs w:val="24"/>
      <w:lang w:eastAsia="en-US"/>
    </w:rPr>
  </w:style>
  <w:style w:type="table" w:customStyle="1" w:styleId="AATable">
    <w:name w:val="AA_Table"/>
    <w:basedOn w:val="TableNormal"/>
    <w:semiHidden/>
    <w:rsid w:val="003A77F1"/>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Autospacing="0" w:afterLines="0" w:afterAutospacing="0"/>
        <w:contextualSpacing w:val="0"/>
        <w:jc w:val="left"/>
      </w:pPr>
      <w:rPr>
        <w:rFonts w:ascii="Arial" w:hAnsi="Arial"/>
        <w:b/>
        <w:i w:val="0"/>
        <w:caps/>
        <w:smallCaps w:val="0"/>
        <w:color w:val="auto"/>
        <w:sz w:val="27"/>
        <w:szCs w:val="27"/>
      </w:rPr>
    </w:tblStylePr>
    <w:tblStylePr w:type="lastRow">
      <w:pPr>
        <w:wordWrap/>
        <w:spacing w:afterLines="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Autospacing="0" w:afterLines="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Autospacing="0" w:afterLines="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Autospacing="0" w:afterLines="0" w:afterAutospacing="0"/>
        <w:ind w:leftChars="0" w:left="0" w:rightChars="0" w:right="0"/>
        <w:contextualSpacing w:val="0"/>
      </w:pPr>
      <w:rPr>
        <w:rFonts w:ascii="Times New Roman" w:hAnsi="Times New Roman"/>
        <w:b w:val="0"/>
        <w:sz w:val="20"/>
      </w:rPr>
    </w:tblStylePr>
    <w:tblStylePr w:type="swCell">
      <w:pPr>
        <w:wordWrap/>
        <w:spacing w:afterLines="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link w:val="BBTitleChar"/>
    <w:rsid w:val="00160D74"/>
    <w:pPr>
      <w:keepNext/>
      <w:keepLines/>
      <w:suppressAutoHyphens/>
      <w:spacing w:before="320" w:after="240"/>
      <w:ind w:left="1247" w:right="567"/>
    </w:pPr>
    <w:rPr>
      <w:b/>
      <w:sz w:val="28"/>
      <w:szCs w:val="28"/>
      <w:lang w:val="en-GB"/>
    </w:rPr>
  </w:style>
  <w:style w:type="paragraph" w:styleId="Footer">
    <w:name w:val="footer"/>
    <w:basedOn w:val="Normal"/>
    <w:rsid w:val="00821395"/>
    <w:pPr>
      <w:tabs>
        <w:tab w:val="center" w:pos="4320"/>
        <w:tab w:val="right" w:pos="8640"/>
      </w:tabs>
      <w:spacing w:before="60" w:after="120"/>
    </w:pPr>
    <w:rPr>
      <w:sz w:val="18"/>
    </w:rPr>
  </w:style>
  <w:style w:type="paragraph" w:styleId="Header">
    <w:name w:val="header"/>
    <w:basedOn w:val="Normal"/>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semiHidden/>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1"/>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rsid w:val="00AE6AEA"/>
    <w:pPr>
      <w:numPr>
        <w:numId w:val="132"/>
      </w:numPr>
      <w:tabs>
        <w:tab w:val="clear" w:pos="1247"/>
        <w:tab w:val="clear" w:pos="1814"/>
        <w:tab w:val="clear" w:pos="2381"/>
        <w:tab w:val="clear" w:pos="2948"/>
        <w:tab w:val="clear" w:pos="3515"/>
        <w:tab w:val="clear" w:pos="4082"/>
        <w:tab w:val="left" w:pos="624"/>
      </w:tabs>
      <w:spacing w:after="120"/>
      <w:ind w:left="1247" w:firstLine="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160D74"/>
    <w:rPr>
      <w:b/>
      <w:bCs/>
      <w:sz w:val="28"/>
      <w:szCs w:val="22"/>
      <w:lang w:val="en-GB"/>
    </w:rPr>
  </w:style>
  <w:style w:type="paragraph" w:customStyle="1" w:styleId="ZZAnxtitle">
    <w:name w:val="ZZ_Anx_title"/>
    <w:basedOn w:val="Normalpool"/>
    <w:link w:val="ZZAnxtitleChar"/>
    <w:rsid w:val="00160D74"/>
    <w:pPr>
      <w:spacing w:before="360" w:after="120"/>
      <w:ind w:left="1247"/>
    </w:pPr>
    <w:rPr>
      <w:b/>
      <w:bCs/>
      <w:sz w:val="28"/>
      <w:szCs w:val="26"/>
      <w:lang w:val="en-GB"/>
    </w:rPr>
  </w:style>
  <w:style w:type="paragraph" w:customStyle="1" w:styleId="Brdtext">
    <w:name w:val="Brödtext"/>
    <w:rsid w:val="00445DAD"/>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tabs>
        <w:tab w:val="left" w:pos="1247"/>
        <w:tab w:val="left" w:pos="1814"/>
        <w:tab w:val="left" w:pos="2381"/>
        <w:tab w:val="left" w:pos="2948"/>
        <w:tab w:val="left" w:pos="3515"/>
      </w:tabs>
    </w:pPr>
    <w:rPr>
      <w:rFonts w:eastAsia="Arial Unicode MS"/>
      <w:color w:val="000000"/>
      <w:sz w:val="24"/>
      <w:szCs w:val="24"/>
      <w:u w:color="000000"/>
    </w:rPr>
  </w:style>
  <w:style w:type="numbering" w:customStyle="1" w:styleId="Importeradestilen16">
    <w:name w:val="Importerade stilen 16"/>
    <w:rsid w:val="00445DAD"/>
    <w:pPr>
      <w:numPr>
        <w:numId w:val="11"/>
      </w:numPr>
    </w:pPr>
  </w:style>
  <w:style w:type="numbering" w:customStyle="1" w:styleId="Importeradestilen17">
    <w:name w:val="Importerade stilen 17"/>
    <w:rsid w:val="00445DAD"/>
    <w:pPr>
      <w:numPr>
        <w:numId w:val="13"/>
      </w:numPr>
    </w:pPr>
  </w:style>
  <w:style w:type="character" w:customStyle="1" w:styleId="Hyperlink0">
    <w:name w:val="Hyperlink.0"/>
    <w:rsid w:val="00D7265E"/>
    <w:rPr>
      <w:rFonts w:cs="Times New Roman"/>
      <w:lang w:val="en-US"/>
    </w:rPr>
  </w:style>
  <w:style w:type="character" w:customStyle="1" w:styleId="Normal-poolChar">
    <w:name w:val="Normal-pool Char"/>
    <w:link w:val="Normal-pool"/>
    <w:locked/>
    <w:rsid w:val="00D7265E"/>
    <w:rPr>
      <w:lang w:eastAsia="en-US"/>
    </w:rPr>
  </w:style>
  <w:style w:type="paragraph" w:styleId="Revision">
    <w:name w:val="Revision"/>
    <w:hidden/>
    <w:uiPriority w:val="99"/>
    <w:semiHidden/>
    <w:rsid w:val="00C257CD"/>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0694670">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494639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26"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image" Target="media/image2.png"/><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eader" Target="header6.xm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894E40-61AC-48CE-BDAA-24CF53852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4960</Words>
  <Characters>28273</Characters>
  <Application>Microsoft Office Word</Application>
  <DocSecurity>0</DocSecurity>
  <Lines>235</Lines>
  <Paragraphs>66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NATIONS UNIES</vt:lpstr>
      <vt:lpstr>NATIONS UNIES</vt:lpstr>
    </vt:vector>
  </TitlesOfParts>
  <Company>unon</Company>
  <LinksUpToDate>false</LinksUpToDate>
  <CharactersWithSpaces>33167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Cynthia Mwanza</dc:creator>
  <cp:lastModifiedBy>Tamara Olago</cp:lastModifiedBy>
  <cp:revision>2</cp:revision>
  <cp:lastPrinted>2017-06-02T08:28:00Z</cp:lastPrinted>
  <dcterms:created xsi:type="dcterms:W3CDTF">2017-06-20T11:44:00Z</dcterms:created>
  <dcterms:modified xsi:type="dcterms:W3CDTF">2017-06-20T11:44:00Z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With">
    <vt:lpwstr>Mercury</vt:lpwstr>
  </property>
  <property fmtid="{D5CDD505-2E9C-101B-9397-08002B2CF9AE}" pid="3" name="GeneratedBy">
    <vt:lpwstr>bulavina.marina</vt:lpwstr>
  </property>
  <property fmtid="{D5CDD505-2E9C-101B-9397-08002B2CF9AE}" pid="4" name="GeneratedDate">
    <vt:lpwstr>6/15/2017 6:40:47 AM</vt:lpwstr>
  </property>
  <property fmtid="{D5CDD505-2E9C-101B-9397-08002B2CF9AE}" pid="5" name="OriginalDocID">
    <vt:lpwstr>8e1f0130-bb95-4a9b-8f69-7009e88c7fdd</vt:lpwstr>
  </property>
</Properties>
</file>