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032E4E" w:rsidRPr="0087428A" w14:paraId="2156981B" w14:textId="77777777" w:rsidTr="00BB2D61">
        <w:trPr>
          <w:cantSplit/>
          <w:trHeight w:val="850"/>
          <w:jc w:val="right"/>
        </w:trPr>
        <w:tc>
          <w:tcPr>
            <w:tcW w:w="1549" w:type="dxa"/>
          </w:tcPr>
          <w:p w14:paraId="5E977FA5" w14:textId="7F87DEA6" w:rsidR="00032E4E" w:rsidRPr="0087428A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  <w:r w:rsidRPr="0087428A">
              <w:rPr>
                <w:rFonts w:ascii="Arial" w:hAnsi="Arial" w:cs="Arial"/>
                <w:b/>
                <w:sz w:val="27"/>
                <w:szCs w:val="27"/>
              </w:rPr>
              <w:t>NATIONS</w:t>
            </w:r>
            <w:r w:rsidR="000327BC" w:rsidRPr="0087428A">
              <w:rPr>
                <w:rFonts w:ascii="Arial" w:hAnsi="Arial" w:cs="Arial"/>
                <w:b/>
                <w:sz w:val="27"/>
                <w:szCs w:val="27"/>
              </w:rPr>
              <w:t xml:space="preserve"> UNIES</w:t>
            </w:r>
          </w:p>
        </w:tc>
        <w:tc>
          <w:tcPr>
            <w:tcW w:w="4748" w:type="dxa"/>
          </w:tcPr>
          <w:p w14:paraId="7508B355" w14:textId="77777777" w:rsidR="00032E4E" w:rsidRPr="0087428A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09" w:type="dxa"/>
          </w:tcPr>
          <w:p w14:paraId="69D4BCA9" w14:textId="77777777" w:rsidR="00032E4E" w:rsidRPr="0087428A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87428A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87428A" w14:paraId="330F08B6" w14:textId="77777777" w:rsidTr="00BB2D61">
        <w:trPr>
          <w:cantSplit/>
          <w:trHeight w:val="281"/>
          <w:jc w:val="right"/>
        </w:trPr>
        <w:tc>
          <w:tcPr>
            <w:tcW w:w="1549" w:type="dxa"/>
            <w:tcBorders>
              <w:bottom w:val="single" w:sz="4" w:space="0" w:color="auto"/>
            </w:tcBorders>
          </w:tcPr>
          <w:p w14:paraId="12160F31" w14:textId="77777777" w:rsidR="00032E4E" w:rsidRPr="0087428A" w:rsidRDefault="00032E4E" w:rsidP="00023DA9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735173EF" w14:textId="77777777" w:rsidR="00032E4E" w:rsidRPr="0087428A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16D98D51" w14:textId="7151988F" w:rsidR="00032E4E" w:rsidRPr="0087428A" w:rsidRDefault="00032E4E" w:rsidP="00465D27">
            <w:pPr>
              <w:rPr>
                <w:sz w:val="18"/>
                <w:szCs w:val="18"/>
              </w:rPr>
            </w:pPr>
            <w:r w:rsidRPr="0087428A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87428A">
              <w:rPr>
                <w:b/>
                <w:bCs/>
                <w:sz w:val="28"/>
              </w:rPr>
              <w:t>/</w:t>
            </w:r>
            <w:r w:rsidR="00787688" w:rsidRPr="0087428A">
              <w:t>MC</w:t>
            </w:r>
            <w:r w:rsidRPr="0087428A">
              <w:t>/</w:t>
            </w:r>
            <w:bookmarkEnd w:id="0"/>
            <w:bookmarkEnd w:id="1"/>
            <w:r w:rsidR="00787688" w:rsidRPr="0087428A">
              <w:t>COP.1</w:t>
            </w:r>
            <w:r w:rsidRPr="0087428A">
              <w:t>/</w:t>
            </w:r>
            <w:r w:rsidR="00FC7DFA" w:rsidRPr="0087428A">
              <w:t>9</w:t>
            </w:r>
            <w:r w:rsidR="00DA5D66" w:rsidRPr="0087428A">
              <w:t>/Add.1</w:t>
            </w:r>
          </w:p>
        </w:tc>
      </w:tr>
      <w:tr w:rsidR="00032E4E" w:rsidRPr="0087428A" w14:paraId="01A43AD9" w14:textId="77777777" w:rsidTr="00BB2D61">
        <w:trPr>
          <w:cantSplit/>
          <w:trHeight w:val="2549"/>
          <w:jc w:val="right"/>
        </w:trPr>
        <w:tc>
          <w:tcPr>
            <w:tcW w:w="1549" w:type="dxa"/>
            <w:tcBorders>
              <w:top w:val="single" w:sz="4" w:space="0" w:color="auto"/>
              <w:bottom w:val="single" w:sz="24" w:space="0" w:color="auto"/>
            </w:tcBorders>
          </w:tcPr>
          <w:p w14:paraId="62CDEF01" w14:textId="7D9CBF92" w:rsidR="00032E4E" w:rsidRPr="0087428A" w:rsidRDefault="005A000C" w:rsidP="00023DA9">
            <w:bookmarkStart w:id="2" w:name="_MON_1021710482"/>
            <w:bookmarkStart w:id="3" w:name="_MON_1021710510"/>
            <w:bookmarkEnd w:id="2"/>
            <w:bookmarkEnd w:id="3"/>
            <w:r w:rsidRPr="0087428A">
              <w:rPr>
                <w:noProof/>
                <w:lang w:val="en-US"/>
              </w:rPr>
              <w:drawing>
                <wp:inline distT="0" distB="0" distL="0" distR="0" wp14:anchorId="2BDFB15E" wp14:editId="591B0BB3">
                  <wp:extent cx="836295" cy="782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22B6" w:rsidRPr="0087428A">
              <w:rPr>
                <w:noProof/>
                <w:lang w:val="en-US"/>
              </w:rPr>
              <w:drawing>
                <wp:inline distT="0" distB="0" distL="0" distR="0" wp14:anchorId="3FA43293" wp14:editId="1934F990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156DEBF" w14:textId="673315DE" w:rsidR="00032E4E" w:rsidRPr="0087428A" w:rsidRDefault="005F5FFA" w:rsidP="005F5FFA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87428A">
              <w:rPr>
                <w:rFonts w:ascii="Arial" w:hAnsi="Arial" w:cs="Arial"/>
                <w:b/>
                <w:sz w:val="32"/>
                <w:szCs w:val="32"/>
              </w:rPr>
              <w:t xml:space="preserve">Programme </w:t>
            </w:r>
            <w:r w:rsidR="00F862D2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87428A">
              <w:rPr>
                <w:rFonts w:ascii="Arial" w:hAnsi="Arial" w:cs="Arial"/>
                <w:b/>
                <w:sz w:val="32"/>
                <w:szCs w:val="32"/>
              </w:rPr>
              <w:t>des</w:t>
            </w:r>
            <w:r w:rsidR="00F862D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32E4E" w:rsidRPr="0087428A">
              <w:rPr>
                <w:rFonts w:ascii="Arial" w:hAnsi="Arial" w:cs="Arial"/>
                <w:b/>
                <w:sz w:val="32"/>
                <w:szCs w:val="32"/>
              </w:rPr>
              <w:t>Nations</w:t>
            </w:r>
            <w:r w:rsidRPr="0087428A">
              <w:rPr>
                <w:rFonts w:ascii="Arial" w:hAnsi="Arial" w:cs="Arial"/>
                <w:b/>
                <w:sz w:val="32"/>
                <w:szCs w:val="32"/>
              </w:rPr>
              <w:t xml:space="preserve"> Unies </w:t>
            </w:r>
            <w:r w:rsidR="00F862D2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87428A">
              <w:rPr>
                <w:rFonts w:ascii="Arial" w:hAnsi="Arial" w:cs="Arial"/>
                <w:b/>
                <w:sz w:val="32"/>
                <w:szCs w:val="32"/>
              </w:rPr>
              <w:t>pour l’environnement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24" w:space="0" w:color="auto"/>
            </w:tcBorders>
          </w:tcPr>
          <w:p w14:paraId="4CABEFA5" w14:textId="22569AF6" w:rsidR="00032E4E" w:rsidRPr="0087428A" w:rsidRDefault="00032E4E" w:rsidP="00787688">
            <w:pPr>
              <w:spacing w:before="120"/>
            </w:pPr>
            <w:r w:rsidRPr="0087428A">
              <w:t>Distr.</w:t>
            </w:r>
            <w:r w:rsidR="00F862D2">
              <w:t> </w:t>
            </w:r>
            <w:r w:rsidR="007E21E4">
              <w:t>générale</w:t>
            </w:r>
            <w:r w:rsidRPr="0087428A">
              <w:br w:type="textWrapping" w:clear="all"/>
            </w:r>
            <w:r w:rsidR="002E371D" w:rsidRPr="0087428A">
              <w:t>21</w:t>
            </w:r>
            <w:r w:rsidR="00437488">
              <w:t> </w:t>
            </w:r>
            <w:r w:rsidR="005F5FFA" w:rsidRPr="0087428A">
              <w:t>juin</w:t>
            </w:r>
            <w:r w:rsidR="002E371D" w:rsidRPr="0087428A">
              <w:t xml:space="preserve"> 2017</w:t>
            </w:r>
          </w:p>
          <w:p w14:paraId="7B1577DC" w14:textId="2F6E9B42" w:rsidR="00032E4E" w:rsidRPr="0087428A" w:rsidRDefault="005F5FFA" w:rsidP="005F5FFA">
            <w:pPr>
              <w:spacing w:before="120"/>
            </w:pPr>
            <w:r w:rsidRPr="0087428A">
              <w:t>Français</w:t>
            </w:r>
            <w:r w:rsidRPr="0087428A">
              <w:br/>
            </w:r>
            <w:r w:rsidR="00032E4E" w:rsidRPr="0087428A">
              <w:t>Original</w:t>
            </w:r>
            <w:r w:rsidRPr="0087428A">
              <w:t xml:space="preserve"> </w:t>
            </w:r>
            <w:r w:rsidR="00032E4E" w:rsidRPr="0087428A">
              <w:t>:</w:t>
            </w:r>
            <w:r w:rsidRPr="0087428A">
              <w:t xml:space="preserve"> anglais</w:t>
            </w:r>
          </w:p>
        </w:tc>
      </w:tr>
    </w:tbl>
    <w:p w14:paraId="14723721" w14:textId="131B31BC" w:rsidR="00E976AB" w:rsidRPr="0087428A" w:rsidRDefault="005F5FFA" w:rsidP="00E976AB">
      <w:pPr>
        <w:pStyle w:val="AATitle"/>
        <w:keepNext w:val="0"/>
        <w:keepLines w:val="0"/>
        <w:rPr>
          <w:lang w:val="fr-FR"/>
        </w:rPr>
      </w:pPr>
      <w:r w:rsidRPr="0087428A">
        <w:rPr>
          <w:lang w:val="fr-FR"/>
        </w:rPr>
        <w:t>Confé</w:t>
      </w:r>
      <w:r w:rsidR="00BB2D61" w:rsidRPr="0087428A">
        <w:rPr>
          <w:lang w:val="fr-FR"/>
        </w:rPr>
        <w:t xml:space="preserve">rence </w:t>
      </w:r>
      <w:r w:rsidRPr="0087428A">
        <w:rPr>
          <w:lang w:val="fr-FR"/>
        </w:rPr>
        <w:t>des</w:t>
      </w:r>
      <w:r w:rsidR="00BB2D61" w:rsidRPr="0087428A">
        <w:rPr>
          <w:lang w:val="fr-FR"/>
        </w:rPr>
        <w:t xml:space="preserve"> Parties </w:t>
      </w:r>
      <w:r w:rsidR="00E734B3">
        <w:rPr>
          <w:lang w:val="fr-FR"/>
        </w:rPr>
        <w:br/>
      </w:r>
      <w:r w:rsidRPr="0087428A">
        <w:rPr>
          <w:lang w:val="fr-FR"/>
        </w:rPr>
        <w:t>à la Convention de</w:t>
      </w:r>
      <w:r w:rsidR="00F862D2">
        <w:rPr>
          <w:lang w:val="fr-FR"/>
        </w:rPr>
        <w:t xml:space="preserve"> </w:t>
      </w:r>
      <w:r w:rsidR="00787688" w:rsidRPr="0087428A">
        <w:rPr>
          <w:lang w:val="fr-FR"/>
        </w:rPr>
        <w:t xml:space="preserve">Minamata </w:t>
      </w:r>
      <w:r w:rsidRPr="0087428A">
        <w:rPr>
          <w:lang w:val="fr-FR"/>
        </w:rPr>
        <w:t>sur le mercure</w:t>
      </w:r>
    </w:p>
    <w:p w14:paraId="79F45F64" w14:textId="35E78D82" w:rsidR="00E976AB" w:rsidRPr="0087428A" w:rsidRDefault="005F5FFA" w:rsidP="003A0458">
      <w:pPr>
        <w:pStyle w:val="AATitle"/>
        <w:keepNext w:val="0"/>
        <w:keepLines w:val="0"/>
        <w:rPr>
          <w:lang w:val="fr-FR"/>
        </w:rPr>
      </w:pPr>
      <w:r w:rsidRPr="0087428A">
        <w:rPr>
          <w:lang w:val="fr-FR"/>
        </w:rPr>
        <w:t>Première réunion</w:t>
      </w:r>
    </w:p>
    <w:p w14:paraId="2EFC6F7F" w14:textId="5C9ECE34" w:rsidR="00E976AB" w:rsidRPr="0087428A" w:rsidRDefault="005F5FFA">
      <w:pPr>
        <w:pStyle w:val="AATitle"/>
        <w:rPr>
          <w:b w:val="0"/>
          <w:lang w:val="fr-FR"/>
        </w:rPr>
      </w:pPr>
      <w:r w:rsidRPr="0087428A">
        <w:rPr>
          <w:b w:val="0"/>
          <w:lang w:val="fr-FR"/>
        </w:rPr>
        <w:t>Genève</w:t>
      </w:r>
      <w:r w:rsidR="00E976AB" w:rsidRPr="0087428A">
        <w:rPr>
          <w:b w:val="0"/>
          <w:lang w:val="fr-FR"/>
        </w:rPr>
        <w:t xml:space="preserve">, </w:t>
      </w:r>
      <w:r w:rsidRPr="0087428A">
        <w:rPr>
          <w:b w:val="0"/>
          <w:lang w:val="fr-FR"/>
        </w:rPr>
        <w:t>24-</w:t>
      </w:r>
      <w:r w:rsidR="00F862D2">
        <w:rPr>
          <w:b w:val="0"/>
          <w:lang w:val="fr-FR"/>
        </w:rPr>
        <w:t>2</w:t>
      </w:r>
      <w:r w:rsidR="00F00840">
        <w:rPr>
          <w:b w:val="0"/>
          <w:lang w:val="fr-FR"/>
        </w:rPr>
        <w:t>9</w:t>
      </w:r>
      <w:r w:rsidR="00F862D2">
        <w:rPr>
          <w:b w:val="0"/>
          <w:lang w:val="fr-FR"/>
        </w:rPr>
        <w:t> </w:t>
      </w:r>
      <w:r w:rsidRPr="0087428A">
        <w:rPr>
          <w:b w:val="0"/>
          <w:lang w:val="fr-FR"/>
        </w:rPr>
        <w:t>septembre</w:t>
      </w:r>
      <w:r w:rsidR="00787688" w:rsidRPr="0087428A">
        <w:rPr>
          <w:b w:val="0"/>
          <w:lang w:val="fr-FR"/>
        </w:rPr>
        <w:t xml:space="preserve"> 2017</w:t>
      </w:r>
    </w:p>
    <w:p w14:paraId="254E31D5" w14:textId="74069844" w:rsidR="00312543" w:rsidRPr="0087428A" w:rsidRDefault="00F862D2" w:rsidP="004A07E6">
      <w:pPr>
        <w:pStyle w:val="AATitle"/>
        <w:keepNext w:val="0"/>
        <w:keepLines w:val="0"/>
        <w:rPr>
          <w:b w:val="0"/>
          <w:lang w:val="fr-FR"/>
        </w:rPr>
      </w:pPr>
      <w:r>
        <w:rPr>
          <w:b w:val="0"/>
          <w:lang w:val="fr-FR"/>
        </w:rPr>
        <w:t>Point </w:t>
      </w:r>
      <w:r w:rsidR="004A07E6" w:rsidRPr="0087428A">
        <w:rPr>
          <w:b w:val="0"/>
          <w:lang w:val="fr-FR"/>
        </w:rPr>
        <w:t>5</w:t>
      </w:r>
      <w:r>
        <w:rPr>
          <w:b w:val="0"/>
          <w:lang w:val="fr-FR"/>
        </w:rPr>
        <w:t> </w:t>
      </w:r>
      <w:r w:rsidR="00312543" w:rsidRPr="0087428A">
        <w:rPr>
          <w:b w:val="0"/>
          <w:lang w:val="fr-FR"/>
        </w:rPr>
        <w:t>a)</w:t>
      </w:r>
      <w:r>
        <w:rPr>
          <w:b w:val="0"/>
          <w:lang w:val="fr-FR"/>
        </w:rPr>
        <w:t> </w:t>
      </w:r>
      <w:r w:rsidR="00600363" w:rsidRPr="0087428A">
        <w:rPr>
          <w:b w:val="0"/>
          <w:lang w:val="fr-FR"/>
        </w:rPr>
        <w:t>i</w:t>
      </w:r>
      <w:r w:rsidR="003D4A81" w:rsidRPr="0087428A">
        <w:rPr>
          <w:b w:val="0"/>
          <w:lang w:val="fr-FR"/>
        </w:rPr>
        <w:t>v</w:t>
      </w:r>
      <w:r w:rsidR="004A07E6" w:rsidRPr="0087428A">
        <w:rPr>
          <w:b w:val="0"/>
          <w:lang w:val="fr-FR"/>
        </w:rPr>
        <w:t>)</w:t>
      </w:r>
      <w:r w:rsidR="00D256B8">
        <w:rPr>
          <w:b w:val="0"/>
          <w:lang w:val="fr-FR"/>
        </w:rPr>
        <w:t xml:space="preserve"> de l’ordre du jour provisoire</w:t>
      </w:r>
      <w:r w:rsidR="00312543" w:rsidRPr="0087428A">
        <w:rPr>
          <w:b w:val="0"/>
          <w:lang w:val="fr-FR"/>
        </w:rPr>
        <w:footnoteReference w:customMarkFollows="1" w:id="1"/>
        <w:t>*</w:t>
      </w:r>
    </w:p>
    <w:p w14:paraId="2E5157C2" w14:textId="1133DC3E" w:rsidR="00787688" w:rsidRPr="0087428A" w:rsidRDefault="00750F07" w:rsidP="005A0F44">
      <w:pPr>
        <w:pStyle w:val="AATitle2"/>
        <w:spacing w:before="60"/>
        <w:ind w:right="4090"/>
        <w:rPr>
          <w:lang w:val="fr-FR"/>
        </w:rPr>
      </w:pPr>
      <w:r w:rsidRPr="0087428A">
        <w:rPr>
          <w:lang w:val="fr-FR"/>
        </w:rPr>
        <w:t>Questions appelant une décision de la Confé</w:t>
      </w:r>
      <w:r w:rsidR="004A07E6" w:rsidRPr="0087428A">
        <w:rPr>
          <w:lang w:val="fr-FR"/>
        </w:rPr>
        <w:t>rence</w:t>
      </w:r>
      <w:r w:rsidRPr="0087428A">
        <w:rPr>
          <w:lang w:val="fr-FR"/>
        </w:rPr>
        <w:t xml:space="preserve"> des</w:t>
      </w:r>
      <w:r w:rsidR="004A07E6" w:rsidRPr="0087428A">
        <w:rPr>
          <w:lang w:val="fr-FR"/>
        </w:rPr>
        <w:t xml:space="preserve"> Parties</w:t>
      </w:r>
      <w:r w:rsidRPr="0087428A">
        <w:rPr>
          <w:lang w:val="fr-FR"/>
        </w:rPr>
        <w:t xml:space="preserve"> </w:t>
      </w:r>
      <w:r w:rsidR="005A0F44">
        <w:rPr>
          <w:lang w:val="fr-FR"/>
        </w:rPr>
        <w:br/>
      </w:r>
      <w:r w:rsidRPr="0087428A">
        <w:rPr>
          <w:lang w:val="fr-FR"/>
        </w:rPr>
        <w:t>à sa première réunion</w:t>
      </w:r>
      <w:r w:rsidR="002F1CFE">
        <w:rPr>
          <w:lang w:val="fr-FR"/>
        </w:rPr>
        <w:t> </w:t>
      </w:r>
      <w:r w:rsidRPr="0087428A">
        <w:rPr>
          <w:lang w:val="fr-FR"/>
        </w:rPr>
        <w:t>: questions prévues dans la</w:t>
      </w:r>
      <w:r w:rsidR="004A07E6" w:rsidRPr="0087428A">
        <w:rPr>
          <w:lang w:val="fr-FR"/>
        </w:rPr>
        <w:t xml:space="preserve"> Convention</w:t>
      </w:r>
      <w:r w:rsidR="005A0F44">
        <w:rPr>
          <w:lang w:val="fr-FR"/>
        </w:rPr>
        <w:t> </w:t>
      </w:r>
      <w:r w:rsidR="004A07E6" w:rsidRPr="0087428A">
        <w:rPr>
          <w:lang w:val="fr-FR"/>
        </w:rPr>
        <w:t xml:space="preserve">: </w:t>
      </w:r>
      <w:r w:rsidRPr="0087428A">
        <w:rPr>
          <w:lang w:val="fr-FR"/>
        </w:rPr>
        <w:t xml:space="preserve">mesures visant à donner effet aux dispositions relatives </w:t>
      </w:r>
      <w:r w:rsidR="005A0F44">
        <w:rPr>
          <w:lang w:val="fr-FR"/>
        </w:rPr>
        <w:br/>
      </w:r>
      <w:r w:rsidRPr="0087428A">
        <w:rPr>
          <w:lang w:val="fr-FR"/>
        </w:rPr>
        <w:t xml:space="preserve">au mécanisme de financement </w:t>
      </w:r>
      <w:r w:rsidR="004C263F">
        <w:rPr>
          <w:lang w:val="fr-FR"/>
        </w:rPr>
        <w:t>(art. </w:t>
      </w:r>
      <w:r w:rsidR="0019324D" w:rsidRPr="0087428A">
        <w:rPr>
          <w:lang w:val="fr-FR"/>
        </w:rPr>
        <w:t>13</w:t>
      </w:r>
      <w:r w:rsidRPr="0087428A">
        <w:rPr>
          <w:lang w:val="fr-FR"/>
        </w:rPr>
        <w:t>)</w:t>
      </w:r>
      <w:r w:rsidR="00600363" w:rsidRPr="0087428A">
        <w:rPr>
          <w:lang w:val="fr-FR"/>
        </w:rPr>
        <w:t xml:space="preserve"> </w:t>
      </w:r>
    </w:p>
    <w:p w14:paraId="01A06BF9" w14:textId="2DE70278" w:rsidR="00312543" w:rsidRPr="0087428A" w:rsidRDefault="00750F07" w:rsidP="00414397">
      <w:pPr>
        <w:pStyle w:val="BBTitle"/>
        <w:ind w:right="310"/>
        <w:rPr>
          <w:lang w:val="fr-FR"/>
        </w:rPr>
      </w:pPr>
      <w:r w:rsidRPr="0087428A">
        <w:rPr>
          <w:lang w:val="fr-FR"/>
        </w:rPr>
        <w:t xml:space="preserve">Choix d’un emplacement au sein du Programme </w:t>
      </w:r>
      <w:r w:rsidR="00A80F3A">
        <w:rPr>
          <w:lang w:val="fr-FR"/>
        </w:rPr>
        <w:br/>
      </w:r>
      <w:r w:rsidRPr="0087428A">
        <w:rPr>
          <w:lang w:val="fr-FR"/>
        </w:rPr>
        <w:t>des</w:t>
      </w:r>
      <w:r w:rsidR="007E58BB" w:rsidRPr="0087428A">
        <w:rPr>
          <w:lang w:val="fr-FR"/>
        </w:rPr>
        <w:t xml:space="preserve"> Nations</w:t>
      </w:r>
      <w:r w:rsidRPr="0087428A">
        <w:rPr>
          <w:lang w:val="fr-FR"/>
        </w:rPr>
        <w:t xml:space="preserve"> Unies pour l’environnement, </w:t>
      </w:r>
      <w:r w:rsidR="00A835B8" w:rsidRPr="0087428A">
        <w:rPr>
          <w:lang w:val="fr-FR"/>
        </w:rPr>
        <w:t xml:space="preserve">arrangements </w:t>
      </w:r>
      <w:r w:rsidR="00A80F3A">
        <w:rPr>
          <w:lang w:val="fr-FR"/>
        </w:rPr>
        <w:br/>
      </w:r>
      <w:r w:rsidR="00A835B8" w:rsidRPr="0087428A">
        <w:rPr>
          <w:lang w:val="fr-FR"/>
        </w:rPr>
        <w:t>en matière de</w:t>
      </w:r>
      <w:r w:rsidR="00DA5D66" w:rsidRPr="0087428A">
        <w:rPr>
          <w:lang w:val="fr-FR"/>
        </w:rPr>
        <w:t xml:space="preserve"> go</w:t>
      </w:r>
      <w:r w:rsidRPr="0087428A">
        <w:rPr>
          <w:lang w:val="fr-FR"/>
        </w:rPr>
        <w:t>u</w:t>
      </w:r>
      <w:r w:rsidR="00DA5D66" w:rsidRPr="0087428A">
        <w:rPr>
          <w:lang w:val="fr-FR"/>
        </w:rPr>
        <w:t xml:space="preserve">vernance </w:t>
      </w:r>
      <w:r w:rsidRPr="0087428A">
        <w:rPr>
          <w:lang w:val="fr-FR"/>
        </w:rPr>
        <w:t>et durée du programme</w:t>
      </w:r>
      <w:r w:rsidR="00FC7DFA" w:rsidRPr="0087428A">
        <w:rPr>
          <w:lang w:val="fr-FR"/>
        </w:rPr>
        <w:t xml:space="preserve"> </w:t>
      </w:r>
      <w:r w:rsidR="00A80F3A">
        <w:rPr>
          <w:lang w:val="fr-FR"/>
        </w:rPr>
        <w:br/>
      </w:r>
      <w:r w:rsidR="00FC7DFA" w:rsidRPr="0087428A">
        <w:rPr>
          <w:lang w:val="fr-FR"/>
        </w:rPr>
        <w:t>international</w:t>
      </w:r>
      <w:r w:rsidRPr="0087428A">
        <w:rPr>
          <w:lang w:val="fr-FR"/>
        </w:rPr>
        <w:t xml:space="preserve"> spécifique </w:t>
      </w:r>
      <w:r w:rsidR="00F00840">
        <w:rPr>
          <w:lang w:val="fr-FR"/>
        </w:rPr>
        <w:t>visant à soutenir le</w:t>
      </w:r>
      <w:r w:rsidRPr="0087428A">
        <w:rPr>
          <w:lang w:val="fr-FR"/>
        </w:rPr>
        <w:t xml:space="preserve"> renforcement </w:t>
      </w:r>
      <w:r w:rsidR="00A80F3A">
        <w:rPr>
          <w:lang w:val="fr-FR"/>
        </w:rPr>
        <w:br/>
      </w:r>
      <w:r w:rsidR="00F00840">
        <w:rPr>
          <w:lang w:val="fr-FR"/>
        </w:rPr>
        <w:t xml:space="preserve">des capacités et </w:t>
      </w:r>
      <w:r w:rsidRPr="0087428A">
        <w:rPr>
          <w:lang w:val="fr-FR"/>
        </w:rPr>
        <w:t>l’</w:t>
      </w:r>
      <w:r w:rsidR="00EB3269" w:rsidRPr="0087428A">
        <w:rPr>
          <w:lang w:val="fr-FR"/>
        </w:rPr>
        <w:t>assistance</w:t>
      </w:r>
      <w:r w:rsidRPr="0087428A">
        <w:rPr>
          <w:lang w:val="fr-FR"/>
        </w:rPr>
        <w:t xml:space="preserve"> technique</w:t>
      </w:r>
      <w:r w:rsidR="00326990" w:rsidRPr="0087428A">
        <w:rPr>
          <w:lang w:val="fr-FR"/>
        </w:rPr>
        <w:t xml:space="preserve"> </w:t>
      </w:r>
    </w:p>
    <w:p w14:paraId="025ACF4E" w14:textId="49989ECD" w:rsidR="00312543" w:rsidRPr="0087428A" w:rsidRDefault="00312543" w:rsidP="002E371D">
      <w:pPr>
        <w:pStyle w:val="CH2"/>
        <w:rPr>
          <w:lang w:val="fr-FR"/>
        </w:rPr>
      </w:pPr>
      <w:r w:rsidRPr="0087428A">
        <w:rPr>
          <w:lang w:val="fr-FR"/>
        </w:rPr>
        <w:tab/>
      </w:r>
      <w:r w:rsidRPr="0087428A">
        <w:rPr>
          <w:lang w:val="fr-FR"/>
        </w:rPr>
        <w:tab/>
        <w:t xml:space="preserve">Note </w:t>
      </w:r>
      <w:r w:rsidR="00FE6B5B">
        <w:rPr>
          <w:lang w:val="fr-FR"/>
        </w:rPr>
        <w:t>du s</w:t>
      </w:r>
      <w:r w:rsidR="005F5FFA" w:rsidRPr="0087428A">
        <w:rPr>
          <w:lang w:val="fr-FR"/>
        </w:rPr>
        <w:t>ecré</w:t>
      </w:r>
      <w:r w:rsidRPr="0087428A">
        <w:rPr>
          <w:lang w:val="fr-FR"/>
        </w:rPr>
        <w:t>tariat</w:t>
      </w:r>
    </w:p>
    <w:p w14:paraId="3C91F2AC" w14:textId="2BBC4DB4" w:rsidR="00126067" w:rsidRPr="0087428A" w:rsidRDefault="00126067" w:rsidP="002D379C">
      <w:pPr>
        <w:pStyle w:val="CH1"/>
        <w:rPr>
          <w:lang w:val="fr-FR"/>
        </w:rPr>
      </w:pPr>
      <w:r w:rsidRPr="0087428A">
        <w:rPr>
          <w:lang w:val="fr-FR"/>
        </w:rPr>
        <w:tab/>
      </w:r>
      <w:r w:rsidR="005A61B9" w:rsidRPr="0087428A">
        <w:rPr>
          <w:lang w:val="fr-FR"/>
        </w:rPr>
        <w:t>I</w:t>
      </w:r>
      <w:r w:rsidR="00414397">
        <w:rPr>
          <w:lang w:val="fr-FR"/>
        </w:rPr>
        <w:t>.</w:t>
      </w:r>
      <w:r w:rsidR="00414397">
        <w:rPr>
          <w:lang w:val="fr-FR"/>
        </w:rPr>
        <w:tab/>
        <w:t>Rappel</w:t>
      </w:r>
    </w:p>
    <w:p w14:paraId="1F032861" w14:textId="4536FAC9" w:rsidR="007E58BB" w:rsidRPr="0087428A" w:rsidRDefault="00750F07">
      <w:pPr>
        <w:pStyle w:val="Normalnumber"/>
        <w:rPr>
          <w:lang w:val="fr-FR"/>
        </w:rPr>
      </w:pPr>
      <w:r w:rsidRPr="0087428A">
        <w:rPr>
          <w:lang w:val="fr-FR"/>
        </w:rPr>
        <w:t>À sa septième</w:t>
      </w:r>
      <w:r w:rsidR="00E81B10" w:rsidRPr="0087428A">
        <w:rPr>
          <w:lang w:val="fr-FR"/>
        </w:rPr>
        <w:t xml:space="preserve"> session</w:t>
      </w:r>
      <w:r w:rsidR="00F80B1B" w:rsidRPr="0087428A">
        <w:rPr>
          <w:lang w:val="fr-FR"/>
        </w:rPr>
        <w:t>,</w:t>
      </w:r>
      <w:r w:rsidRPr="0087428A">
        <w:rPr>
          <w:lang w:val="fr-FR"/>
        </w:rPr>
        <w:t xml:space="preserve"> en mars</w:t>
      </w:r>
      <w:r w:rsidR="007B28A1" w:rsidRPr="0087428A">
        <w:rPr>
          <w:lang w:val="fr-FR"/>
        </w:rPr>
        <w:t xml:space="preserve"> 2016,</w:t>
      </w:r>
      <w:r w:rsidRPr="0087428A">
        <w:rPr>
          <w:lang w:val="fr-FR"/>
        </w:rPr>
        <w:t xml:space="preserve"> le Comité de négociation intergouvernemental chargé d’élaborer un </w:t>
      </w:r>
      <w:r w:rsidR="00B2145F" w:rsidRPr="0087428A">
        <w:rPr>
          <w:lang w:val="fr-FR"/>
        </w:rPr>
        <w:t>instrument</w:t>
      </w:r>
      <w:r w:rsidRPr="0087428A">
        <w:rPr>
          <w:lang w:val="fr-FR"/>
        </w:rPr>
        <w:t xml:space="preserve"> international juridiquement contraignant sur le mercure a examiné le rapport des coprésidents du groupe de travail spécial d’</w:t>
      </w:r>
      <w:r w:rsidR="007E58BB" w:rsidRPr="0087428A">
        <w:rPr>
          <w:lang w:val="fr-FR"/>
        </w:rPr>
        <w:t xml:space="preserve">experts </w:t>
      </w:r>
      <w:r w:rsidR="00E81B10" w:rsidRPr="0087428A">
        <w:rPr>
          <w:lang w:val="fr-FR"/>
        </w:rPr>
        <w:t xml:space="preserve">sur le financement établi par le Comité à sa sixième </w:t>
      </w:r>
      <w:r w:rsidR="007E58BB" w:rsidRPr="0087428A">
        <w:rPr>
          <w:lang w:val="fr-FR"/>
        </w:rPr>
        <w:t xml:space="preserve">session </w:t>
      </w:r>
      <w:r w:rsidR="00DD5DF8" w:rsidRPr="0087428A">
        <w:rPr>
          <w:lang w:val="fr-FR"/>
        </w:rPr>
        <w:t>(UNEP(DTIE)/Hg/INC.7/9)</w:t>
      </w:r>
      <w:r w:rsidR="007E58BB" w:rsidRPr="0087428A">
        <w:rPr>
          <w:lang w:val="fr-FR"/>
        </w:rPr>
        <w:t xml:space="preserve">. </w:t>
      </w:r>
      <w:r w:rsidR="00E81B10" w:rsidRPr="0087428A">
        <w:rPr>
          <w:lang w:val="fr-FR"/>
        </w:rPr>
        <w:t xml:space="preserve">Le rapport </w:t>
      </w:r>
      <w:r w:rsidR="00760F2D" w:rsidRPr="0087428A">
        <w:rPr>
          <w:lang w:val="fr-FR"/>
        </w:rPr>
        <w:t xml:space="preserve">donnait au Comité des </w:t>
      </w:r>
      <w:r w:rsidR="00FF2866">
        <w:rPr>
          <w:lang w:val="fr-FR"/>
        </w:rPr>
        <w:t>suggestions</w:t>
      </w:r>
      <w:r w:rsidR="00760F2D" w:rsidRPr="0087428A">
        <w:rPr>
          <w:lang w:val="fr-FR"/>
        </w:rPr>
        <w:t xml:space="preserve"> en vue</w:t>
      </w:r>
      <w:r w:rsidR="00DC1F5C" w:rsidRPr="0087428A">
        <w:rPr>
          <w:lang w:val="fr-FR"/>
        </w:rPr>
        <w:t xml:space="preserve"> d</w:t>
      </w:r>
      <w:r w:rsidR="00FF2866">
        <w:rPr>
          <w:lang w:val="fr-FR"/>
        </w:rPr>
        <w:t>e l’élaboration</w:t>
      </w:r>
      <w:r w:rsidR="00DC1F5C" w:rsidRPr="0087428A">
        <w:rPr>
          <w:lang w:val="fr-FR"/>
        </w:rPr>
        <w:t xml:space="preserve"> </w:t>
      </w:r>
      <w:r w:rsidR="00FF2866">
        <w:rPr>
          <w:lang w:val="fr-FR"/>
        </w:rPr>
        <w:t>d’</w:t>
      </w:r>
      <w:r w:rsidR="00DC1F5C" w:rsidRPr="0087428A">
        <w:rPr>
          <w:lang w:val="fr-FR"/>
        </w:rPr>
        <w:t xml:space="preserve">une proposition concernant </w:t>
      </w:r>
      <w:r w:rsidR="00760F2D" w:rsidRPr="0087428A">
        <w:rPr>
          <w:lang w:val="fr-FR"/>
        </w:rPr>
        <w:t>l’</w:t>
      </w:r>
      <w:r w:rsidR="007E58BB" w:rsidRPr="0087428A">
        <w:rPr>
          <w:lang w:val="fr-FR"/>
        </w:rPr>
        <w:t>institution</w:t>
      </w:r>
      <w:r w:rsidR="00760F2D" w:rsidRPr="0087428A">
        <w:rPr>
          <w:lang w:val="fr-FR"/>
        </w:rPr>
        <w:t xml:space="preserve"> </w:t>
      </w:r>
      <w:r w:rsidR="00DC1F5C" w:rsidRPr="0087428A">
        <w:rPr>
          <w:lang w:val="fr-FR"/>
        </w:rPr>
        <w:t>d’</w:t>
      </w:r>
      <w:r w:rsidR="00760F2D" w:rsidRPr="0087428A">
        <w:rPr>
          <w:lang w:val="fr-FR"/>
        </w:rPr>
        <w:t>accueil</w:t>
      </w:r>
      <w:r w:rsidR="00DC1F5C" w:rsidRPr="0087428A">
        <w:rPr>
          <w:lang w:val="fr-FR"/>
        </w:rPr>
        <w:t xml:space="preserve"> du p</w:t>
      </w:r>
      <w:r w:rsidR="00760F2D" w:rsidRPr="0087428A">
        <w:rPr>
          <w:lang w:val="fr-FR"/>
        </w:rPr>
        <w:t xml:space="preserve">rogramme </w:t>
      </w:r>
      <w:r w:rsidR="007E58BB" w:rsidRPr="0087428A">
        <w:rPr>
          <w:lang w:val="fr-FR"/>
        </w:rPr>
        <w:t>international</w:t>
      </w:r>
      <w:r w:rsidR="00760F2D" w:rsidRPr="0087428A">
        <w:rPr>
          <w:lang w:val="fr-FR"/>
        </w:rPr>
        <w:t xml:space="preserve"> spécifique </w:t>
      </w:r>
      <w:r w:rsidR="00F00840">
        <w:rPr>
          <w:lang w:val="fr-FR"/>
        </w:rPr>
        <w:t>visant à le soutenir le</w:t>
      </w:r>
      <w:r w:rsidR="00760F2D" w:rsidRPr="0087428A">
        <w:rPr>
          <w:lang w:val="fr-FR"/>
        </w:rPr>
        <w:t xml:space="preserve"> renforcement des capacités et </w:t>
      </w:r>
      <w:r w:rsidR="00414397">
        <w:rPr>
          <w:lang w:val="fr-FR"/>
        </w:rPr>
        <w:t xml:space="preserve">à </w:t>
      </w:r>
      <w:r w:rsidR="00760F2D" w:rsidRPr="0087428A">
        <w:rPr>
          <w:lang w:val="fr-FR"/>
        </w:rPr>
        <w:t>l’</w:t>
      </w:r>
      <w:r w:rsidR="00513B22" w:rsidRPr="0087428A">
        <w:rPr>
          <w:lang w:val="fr-FR"/>
        </w:rPr>
        <w:t>assistance</w:t>
      </w:r>
      <w:r w:rsidR="00760F2D" w:rsidRPr="0087428A">
        <w:rPr>
          <w:lang w:val="fr-FR"/>
        </w:rPr>
        <w:t xml:space="preserve"> technique</w:t>
      </w:r>
      <w:r w:rsidR="007E58BB" w:rsidRPr="0087428A">
        <w:rPr>
          <w:lang w:val="fr-FR"/>
        </w:rPr>
        <w:t>,</w:t>
      </w:r>
      <w:r w:rsidR="00760F2D" w:rsidRPr="0087428A">
        <w:rPr>
          <w:lang w:val="fr-FR"/>
        </w:rPr>
        <w:t xml:space="preserve"> y compris les </w:t>
      </w:r>
      <w:r w:rsidR="007E58BB" w:rsidRPr="0087428A">
        <w:rPr>
          <w:lang w:val="fr-FR"/>
        </w:rPr>
        <w:t xml:space="preserve">arrangements </w:t>
      </w:r>
      <w:r w:rsidR="00DC1F5C" w:rsidRPr="0087428A">
        <w:rPr>
          <w:lang w:val="fr-FR"/>
        </w:rPr>
        <w:t xml:space="preserve">en matière </w:t>
      </w:r>
      <w:r w:rsidR="00760F2D" w:rsidRPr="0087428A">
        <w:rPr>
          <w:lang w:val="fr-FR"/>
        </w:rPr>
        <w:t>d</w:t>
      </w:r>
      <w:r w:rsidR="00DC1F5C" w:rsidRPr="0087428A">
        <w:rPr>
          <w:lang w:val="fr-FR"/>
        </w:rPr>
        <w:t>’accueil et les orientations concernant</w:t>
      </w:r>
      <w:r w:rsidR="00760F2D" w:rsidRPr="0087428A">
        <w:rPr>
          <w:lang w:val="fr-FR"/>
        </w:rPr>
        <w:t xml:space="preserve"> le fonctionnement et la durée du </w:t>
      </w:r>
      <w:r w:rsidR="007E58BB" w:rsidRPr="0087428A">
        <w:rPr>
          <w:lang w:val="fr-FR"/>
        </w:rPr>
        <w:t>programme.</w:t>
      </w:r>
      <w:r w:rsidR="00DC1F5C" w:rsidRPr="0087428A">
        <w:rPr>
          <w:lang w:val="fr-FR"/>
        </w:rPr>
        <w:t xml:space="preserve"> L</w:t>
      </w:r>
      <w:r w:rsidR="00760F2D" w:rsidRPr="0087428A">
        <w:rPr>
          <w:lang w:val="fr-FR"/>
        </w:rPr>
        <w:t>e Comité était</w:t>
      </w:r>
      <w:r w:rsidR="00DC1F5C" w:rsidRPr="0087428A">
        <w:rPr>
          <w:lang w:val="fr-FR"/>
        </w:rPr>
        <w:t xml:space="preserve"> également</w:t>
      </w:r>
      <w:r w:rsidR="00760F2D" w:rsidRPr="0087428A">
        <w:rPr>
          <w:lang w:val="fr-FR"/>
        </w:rPr>
        <w:t xml:space="preserve"> saisi d’un document d’</w:t>
      </w:r>
      <w:r w:rsidR="007E58BB" w:rsidRPr="0087428A">
        <w:rPr>
          <w:lang w:val="fr-FR"/>
        </w:rPr>
        <w:t>information</w:t>
      </w:r>
      <w:r w:rsidR="00760F2D" w:rsidRPr="0087428A">
        <w:rPr>
          <w:lang w:val="fr-FR"/>
        </w:rPr>
        <w:t xml:space="preserve"> préparé par le Directeur exécutif du</w:t>
      </w:r>
      <w:r w:rsidR="00D265E4" w:rsidRPr="0087428A">
        <w:rPr>
          <w:lang w:val="fr-FR"/>
        </w:rPr>
        <w:t xml:space="preserve"> Programme </w:t>
      </w:r>
      <w:r w:rsidR="00760F2D" w:rsidRPr="0087428A">
        <w:rPr>
          <w:lang w:val="fr-FR"/>
        </w:rPr>
        <w:t xml:space="preserve">des Nations Unies pour l’environnement </w:t>
      </w:r>
      <w:r w:rsidR="00D265E4" w:rsidRPr="0087428A">
        <w:rPr>
          <w:lang w:val="fr-FR"/>
        </w:rPr>
        <w:t>(</w:t>
      </w:r>
      <w:r w:rsidR="00760F2D" w:rsidRPr="0087428A">
        <w:rPr>
          <w:lang w:val="fr-FR"/>
        </w:rPr>
        <w:t>PNUE</w:t>
      </w:r>
      <w:r w:rsidR="00D265E4" w:rsidRPr="0087428A">
        <w:rPr>
          <w:lang w:val="fr-FR"/>
        </w:rPr>
        <w:t>)</w:t>
      </w:r>
      <w:r w:rsidR="007E58BB" w:rsidRPr="0087428A">
        <w:rPr>
          <w:vertAlign w:val="superscript"/>
          <w:lang w:val="fr-FR"/>
        </w:rPr>
        <w:t xml:space="preserve"> </w:t>
      </w:r>
      <w:r w:rsidR="00760F2D" w:rsidRPr="0087428A">
        <w:rPr>
          <w:lang w:val="fr-FR"/>
        </w:rPr>
        <w:t xml:space="preserve">sur les </w:t>
      </w:r>
      <w:r w:rsidR="007E58BB" w:rsidRPr="0087428A">
        <w:rPr>
          <w:lang w:val="fr-FR"/>
        </w:rPr>
        <w:t xml:space="preserve">options </w:t>
      </w:r>
      <w:r w:rsidR="00760F2D" w:rsidRPr="0087428A">
        <w:rPr>
          <w:lang w:val="fr-FR"/>
        </w:rPr>
        <w:t xml:space="preserve">et </w:t>
      </w:r>
      <w:r w:rsidR="007E58BB" w:rsidRPr="0087428A">
        <w:rPr>
          <w:lang w:val="fr-FR"/>
        </w:rPr>
        <w:t>arrangements</w:t>
      </w:r>
      <w:r w:rsidR="00760F2D" w:rsidRPr="0087428A">
        <w:rPr>
          <w:lang w:val="fr-FR"/>
        </w:rPr>
        <w:t xml:space="preserve"> de gouvernance</w:t>
      </w:r>
      <w:r w:rsidR="00FF2866">
        <w:rPr>
          <w:lang w:val="fr-FR"/>
        </w:rPr>
        <w:t xml:space="preserve"> possibles si le</w:t>
      </w:r>
      <w:r w:rsidR="00760F2D" w:rsidRPr="0087428A">
        <w:rPr>
          <w:lang w:val="fr-FR"/>
        </w:rPr>
        <w:t xml:space="preserve"> PNUE </w:t>
      </w:r>
      <w:r w:rsidR="00FF2866">
        <w:rPr>
          <w:lang w:val="fr-FR"/>
        </w:rPr>
        <w:t xml:space="preserve">était choisi </w:t>
      </w:r>
      <w:r w:rsidR="00760F2D" w:rsidRPr="0087428A">
        <w:rPr>
          <w:lang w:val="fr-FR"/>
        </w:rPr>
        <w:t>en tant qu’</w:t>
      </w:r>
      <w:r w:rsidR="00301EAF" w:rsidRPr="0087428A">
        <w:rPr>
          <w:lang w:val="fr-FR"/>
        </w:rPr>
        <w:t>institution</w:t>
      </w:r>
      <w:r w:rsidR="00760F2D" w:rsidRPr="0087428A">
        <w:rPr>
          <w:lang w:val="fr-FR"/>
        </w:rPr>
        <w:t xml:space="preserve"> </w:t>
      </w:r>
      <w:r w:rsidR="00DC1F5C" w:rsidRPr="0087428A">
        <w:rPr>
          <w:lang w:val="fr-FR"/>
        </w:rPr>
        <w:t>d’accueil</w:t>
      </w:r>
      <w:r w:rsidR="00760F2D" w:rsidRPr="0087428A">
        <w:rPr>
          <w:lang w:val="fr-FR"/>
        </w:rPr>
        <w:t xml:space="preserve"> du</w:t>
      </w:r>
      <w:r w:rsidR="007E58BB" w:rsidRPr="0087428A">
        <w:rPr>
          <w:lang w:val="fr-FR"/>
        </w:rPr>
        <w:t xml:space="preserve"> </w:t>
      </w:r>
      <w:r w:rsidR="007628C1" w:rsidRPr="0087428A">
        <w:rPr>
          <w:lang w:val="fr-FR"/>
        </w:rPr>
        <w:t>programme</w:t>
      </w:r>
      <w:r w:rsidR="00FF2866">
        <w:rPr>
          <w:lang w:val="fr-FR"/>
        </w:rPr>
        <w:t xml:space="preserve"> </w:t>
      </w:r>
      <w:r w:rsidR="00FF2866" w:rsidRPr="00FF2866">
        <w:rPr>
          <w:lang w:val="fr-FR"/>
        </w:rPr>
        <w:t>(</w:t>
      </w:r>
      <w:r w:rsidR="00FF2866" w:rsidRPr="00FF2866">
        <w:rPr>
          <w:szCs w:val="18"/>
          <w:lang w:val="fr-FR"/>
        </w:rPr>
        <w:t>UNEP(DTIE)/Hg/INC.7/INF/6)</w:t>
      </w:r>
      <w:r w:rsidR="007628C1" w:rsidRPr="0087428A">
        <w:rPr>
          <w:lang w:val="fr-FR"/>
        </w:rPr>
        <w:t>.</w:t>
      </w:r>
    </w:p>
    <w:p w14:paraId="6A777643" w14:textId="447D55C1" w:rsidR="00770BB9" w:rsidRPr="0087428A" w:rsidRDefault="000D0434" w:rsidP="001E343F">
      <w:pPr>
        <w:pStyle w:val="Normalnumber"/>
        <w:keepNext/>
        <w:keepLines/>
        <w:ind w:left="1253"/>
        <w:rPr>
          <w:lang w:val="fr-FR"/>
        </w:rPr>
      </w:pPr>
      <w:r w:rsidRPr="0087428A">
        <w:rPr>
          <w:lang w:val="fr-FR"/>
        </w:rPr>
        <w:lastRenderedPageBreak/>
        <w:t xml:space="preserve">Après délibération, le Comité a décidé de désigner le PNUE comme institution </w:t>
      </w:r>
      <w:r w:rsidR="00DC1F5C" w:rsidRPr="0087428A">
        <w:rPr>
          <w:lang w:val="fr-FR"/>
        </w:rPr>
        <w:t>d’accueil du p</w:t>
      </w:r>
      <w:r w:rsidRPr="0087428A">
        <w:rPr>
          <w:lang w:val="fr-FR"/>
        </w:rPr>
        <w:t xml:space="preserve">rogramme international spécifique, pour </w:t>
      </w:r>
      <w:r w:rsidR="00740409">
        <w:rPr>
          <w:lang w:val="fr-FR"/>
        </w:rPr>
        <w:t>adop</w:t>
      </w:r>
      <w:r w:rsidR="005F12AD">
        <w:rPr>
          <w:lang w:val="fr-FR"/>
        </w:rPr>
        <w:t>tion</w:t>
      </w:r>
      <w:r w:rsidR="007E58BB" w:rsidRPr="0087428A">
        <w:rPr>
          <w:lang w:val="fr-FR"/>
        </w:rPr>
        <w:t xml:space="preserve"> </w:t>
      </w:r>
      <w:r w:rsidRPr="0087428A">
        <w:rPr>
          <w:lang w:val="fr-FR"/>
        </w:rPr>
        <w:t xml:space="preserve">par la Conférence des </w:t>
      </w:r>
      <w:r w:rsidR="007E58BB" w:rsidRPr="0087428A">
        <w:rPr>
          <w:lang w:val="fr-FR"/>
        </w:rPr>
        <w:t>Parties</w:t>
      </w:r>
      <w:r w:rsidRPr="0087428A">
        <w:rPr>
          <w:lang w:val="fr-FR"/>
        </w:rPr>
        <w:t xml:space="preserve"> à sa première réunion.</w:t>
      </w:r>
      <w:r w:rsidR="007E58BB" w:rsidRPr="0087428A">
        <w:rPr>
          <w:lang w:val="fr-FR"/>
        </w:rPr>
        <w:t xml:space="preserve"> </w:t>
      </w:r>
      <w:r w:rsidR="0091390F" w:rsidRPr="0087428A">
        <w:rPr>
          <w:lang w:val="fr-FR"/>
        </w:rPr>
        <w:t xml:space="preserve">Le Comité a aussi donné des détails sur les </w:t>
      </w:r>
      <w:r w:rsidR="007E58BB" w:rsidRPr="0087428A">
        <w:rPr>
          <w:lang w:val="fr-FR"/>
        </w:rPr>
        <w:t>arrangement</w:t>
      </w:r>
      <w:r w:rsidR="0091390F" w:rsidRPr="0087428A">
        <w:rPr>
          <w:lang w:val="fr-FR"/>
        </w:rPr>
        <w:t>s à cet égard</w:t>
      </w:r>
      <w:r w:rsidR="007E58BB" w:rsidRPr="0087428A">
        <w:rPr>
          <w:lang w:val="fr-FR"/>
        </w:rPr>
        <w:t xml:space="preserve">, </w:t>
      </w:r>
      <w:r w:rsidR="0091390F" w:rsidRPr="0087428A">
        <w:rPr>
          <w:lang w:val="fr-FR"/>
        </w:rPr>
        <w:t>ai</w:t>
      </w:r>
      <w:r w:rsidR="00414397">
        <w:rPr>
          <w:lang w:val="fr-FR"/>
        </w:rPr>
        <w:t>nsi que des orientations sur</w:t>
      </w:r>
      <w:r w:rsidR="005F12AD">
        <w:rPr>
          <w:lang w:val="fr-FR"/>
        </w:rPr>
        <w:t xml:space="preserve"> les conditions </w:t>
      </w:r>
      <w:r w:rsidR="00D3679A">
        <w:rPr>
          <w:lang w:val="fr-FR"/>
        </w:rPr>
        <w:t xml:space="preserve">de participation </w:t>
      </w:r>
      <w:r w:rsidR="00740409">
        <w:rPr>
          <w:lang w:val="fr-FR"/>
        </w:rPr>
        <w:t>au</w:t>
      </w:r>
      <w:r w:rsidR="005F12AD">
        <w:rPr>
          <w:lang w:val="fr-FR"/>
        </w:rPr>
        <w:t xml:space="preserve"> programme et</w:t>
      </w:r>
      <w:r w:rsidR="00414397">
        <w:rPr>
          <w:lang w:val="fr-FR"/>
        </w:rPr>
        <w:t xml:space="preserve"> </w:t>
      </w:r>
      <w:r w:rsidR="00740409">
        <w:rPr>
          <w:lang w:val="fr-FR"/>
        </w:rPr>
        <w:t xml:space="preserve">sur </w:t>
      </w:r>
      <w:r w:rsidR="0091390F" w:rsidRPr="0087428A">
        <w:rPr>
          <w:lang w:val="fr-FR"/>
        </w:rPr>
        <w:t>la portée</w:t>
      </w:r>
      <w:r w:rsidR="007E58BB" w:rsidRPr="0087428A">
        <w:rPr>
          <w:lang w:val="fr-FR"/>
        </w:rPr>
        <w:t>,</w:t>
      </w:r>
      <w:r w:rsidR="005F12AD">
        <w:rPr>
          <w:lang w:val="fr-FR"/>
        </w:rPr>
        <w:t xml:space="preserve"> le fonctionnement,</w:t>
      </w:r>
      <w:r w:rsidR="007E58BB" w:rsidRPr="0087428A">
        <w:rPr>
          <w:lang w:val="fr-FR"/>
        </w:rPr>
        <w:t xml:space="preserve"> </w:t>
      </w:r>
      <w:r w:rsidR="0091390F" w:rsidRPr="0087428A">
        <w:rPr>
          <w:lang w:val="fr-FR"/>
        </w:rPr>
        <w:t xml:space="preserve">les </w:t>
      </w:r>
      <w:r w:rsidR="007E58BB" w:rsidRPr="0087428A">
        <w:rPr>
          <w:lang w:val="fr-FR"/>
        </w:rPr>
        <w:t>res</w:t>
      </w:r>
      <w:r w:rsidR="0091390F" w:rsidRPr="0087428A">
        <w:rPr>
          <w:lang w:val="fr-FR"/>
        </w:rPr>
        <w:t>sources et la durée du</w:t>
      </w:r>
      <w:r w:rsidR="007E58BB" w:rsidRPr="0087428A">
        <w:rPr>
          <w:lang w:val="fr-FR"/>
        </w:rPr>
        <w:t xml:space="preserve"> programme</w:t>
      </w:r>
      <w:r w:rsidR="001E343F" w:rsidRPr="0087428A">
        <w:rPr>
          <w:rStyle w:val="FootnoteReference"/>
          <w:lang w:val="fr-FR"/>
        </w:rPr>
        <w:footnoteReference w:id="2"/>
      </w:r>
      <w:r w:rsidR="007E58BB" w:rsidRPr="0087428A">
        <w:rPr>
          <w:lang w:val="fr-FR"/>
        </w:rPr>
        <w:t xml:space="preserve">. </w:t>
      </w:r>
      <w:r w:rsidR="0091390F" w:rsidRPr="0087428A">
        <w:rPr>
          <w:lang w:val="fr-FR"/>
        </w:rPr>
        <w:t xml:space="preserve">Une partie du </w:t>
      </w:r>
      <w:r w:rsidR="007E58BB" w:rsidRPr="0087428A">
        <w:rPr>
          <w:lang w:val="fr-FR"/>
        </w:rPr>
        <w:t>text</w:t>
      </w:r>
      <w:r w:rsidR="00740409">
        <w:rPr>
          <w:lang w:val="fr-FR"/>
        </w:rPr>
        <w:t>e élaboré n’a</w:t>
      </w:r>
      <w:r w:rsidR="0091390F" w:rsidRPr="0087428A">
        <w:rPr>
          <w:lang w:val="fr-FR"/>
        </w:rPr>
        <w:t xml:space="preserve"> pas</w:t>
      </w:r>
      <w:r w:rsidR="00740409">
        <w:rPr>
          <w:lang w:val="fr-FR"/>
        </w:rPr>
        <w:t xml:space="preserve"> été</w:t>
      </w:r>
      <w:r w:rsidR="0091390F" w:rsidRPr="0087428A">
        <w:rPr>
          <w:lang w:val="fr-FR"/>
        </w:rPr>
        <w:t xml:space="preserve"> </w:t>
      </w:r>
      <w:r w:rsidR="00E22FDD" w:rsidRPr="0087428A">
        <w:rPr>
          <w:lang w:val="fr-FR"/>
        </w:rPr>
        <w:t>finalisé</w:t>
      </w:r>
      <w:r w:rsidR="00414397">
        <w:rPr>
          <w:lang w:val="fr-FR"/>
        </w:rPr>
        <w:t>e</w:t>
      </w:r>
      <w:r w:rsidR="0091390F" w:rsidRPr="0087428A">
        <w:rPr>
          <w:lang w:val="fr-FR"/>
        </w:rPr>
        <w:t xml:space="preserve"> et</w:t>
      </w:r>
      <w:r w:rsidR="00740409">
        <w:rPr>
          <w:lang w:val="fr-FR"/>
        </w:rPr>
        <w:t xml:space="preserve"> restera</w:t>
      </w:r>
      <w:r w:rsidR="0091390F" w:rsidRPr="0087428A">
        <w:rPr>
          <w:lang w:val="fr-FR"/>
        </w:rPr>
        <w:t xml:space="preserve"> entre crochets en attendant la décision de la Conférence des Parties à sa première réunion</w:t>
      </w:r>
      <w:r w:rsidR="004D0FB5" w:rsidRPr="0087428A">
        <w:rPr>
          <w:lang w:val="fr-FR"/>
        </w:rPr>
        <w:t xml:space="preserve">. </w:t>
      </w:r>
      <w:r w:rsidR="00740409">
        <w:rPr>
          <w:lang w:val="fr-FR"/>
        </w:rPr>
        <w:t>Il s’agit</w:t>
      </w:r>
      <w:r w:rsidR="00E22FDD" w:rsidRPr="0087428A">
        <w:rPr>
          <w:lang w:val="fr-FR"/>
        </w:rPr>
        <w:t xml:space="preserve"> notamment de savoir quelle partie du PN</w:t>
      </w:r>
      <w:r w:rsidR="00291E9F" w:rsidRPr="0087428A">
        <w:rPr>
          <w:lang w:val="fr-FR"/>
        </w:rPr>
        <w:t>UE remplirait la fonction d’accueil</w:t>
      </w:r>
      <w:r w:rsidR="00E22FDD" w:rsidRPr="0087428A">
        <w:rPr>
          <w:lang w:val="fr-FR"/>
        </w:rPr>
        <w:t xml:space="preserve">, quelle serait la durée du </w:t>
      </w:r>
      <w:r w:rsidR="007E58BB" w:rsidRPr="0087428A">
        <w:rPr>
          <w:lang w:val="fr-FR"/>
        </w:rPr>
        <w:t xml:space="preserve">programme </w:t>
      </w:r>
      <w:r w:rsidR="00414397">
        <w:rPr>
          <w:lang w:val="fr-FR"/>
        </w:rPr>
        <w:t>et quel serait l</w:t>
      </w:r>
      <w:r w:rsidR="00E22FDD" w:rsidRPr="0087428A">
        <w:rPr>
          <w:lang w:val="fr-FR"/>
        </w:rPr>
        <w:t>’organe directeur</w:t>
      </w:r>
      <w:r w:rsidR="00414397">
        <w:rPr>
          <w:lang w:val="fr-FR"/>
        </w:rPr>
        <w:t xml:space="preserve"> en charge. </w:t>
      </w:r>
      <w:r w:rsidR="00DB47F0">
        <w:rPr>
          <w:lang w:val="fr-FR"/>
        </w:rPr>
        <w:t xml:space="preserve">Le </w:t>
      </w:r>
      <w:r w:rsidR="00D256B8">
        <w:rPr>
          <w:lang w:val="fr-FR"/>
        </w:rPr>
        <w:t>schéma</w:t>
      </w:r>
      <w:r w:rsidR="003A4FE4" w:rsidRPr="0087428A">
        <w:rPr>
          <w:lang w:val="fr-FR"/>
        </w:rPr>
        <w:t xml:space="preserve"> ci-dessous, </w:t>
      </w:r>
      <w:r w:rsidR="00723706">
        <w:rPr>
          <w:lang w:val="fr-FR"/>
        </w:rPr>
        <w:t>établi</w:t>
      </w:r>
      <w:r w:rsidR="003A4FE4" w:rsidRPr="0087428A">
        <w:rPr>
          <w:lang w:val="fr-FR"/>
        </w:rPr>
        <w:t xml:space="preserve"> par le Comité à sa septième </w:t>
      </w:r>
      <w:r w:rsidR="00126067" w:rsidRPr="0087428A">
        <w:rPr>
          <w:lang w:val="fr-FR"/>
        </w:rPr>
        <w:t xml:space="preserve">session, </w:t>
      </w:r>
      <w:r w:rsidR="003A4FE4" w:rsidRPr="0087428A">
        <w:rPr>
          <w:lang w:val="fr-FR"/>
        </w:rPr>
        <w:t xml:space="preserve">donne un aperçu des </w:t>
      </w:r>
      <w:r w:rsidR="00126067" w:rsidRPr="0087428A">
        <w:rPr>
          <w:lang w:val="fr-FR"/>
        </w:rPr>
        <w:t>discussions</w:t>
      </w:r>
      <w:r w:rsidR="003A4FE4" w:rsidRPr="0087428A">
        <w:rPr>
          <w:lang w:val="fr-FR"/>
        </w:rPr>
        <w:t xml:space="preserve"> sur l’</w:t>
      </w:r>
      <w:r w:rsidR="00414397">
        <w:rPr>
          <w:lang w:val="fr-FR"/>
        </w:rPr>
        <w:t xml:space="preserve">implantation </w:t>
      </w:r>
      <w:r w:rsidR="00DC1F5C" w:rsidRPr="0087428A">
        <w:rPr>
          <w:lang w:val="fr-FR"/>
        </w:rPr>
        <w:t>de l’institution d’accueil</w:t>
      </w:r>
      <w:r w:rsidR="003A4FE4" w:rsidRPr="0087428A">
        <w:rPr>
          <w:lang w:val="fr-FR"/>
        </w:rPr>
        <w:t xml:space="preserve"> du PNUE et les points d’accord à la fin de la </w:t>
      </w:r>
      <w:r w:rsidR="00126067" w:rsidRPr="0087428A">
        <w:rPr>
          <w:lang w:val="fr-FR"/>
        </w:rPr>
        <w:t>session.</w:t>
      </w:r>
      <w:r w:rsidR="00770BB9" w:rsidRPr="0087428A">
        <w:rPr>
          <w:lang w:val="fr-FR"/>
        </w:rPr>
        <w:br w:type="page"/>
      </w:r>
    </w:p>
    <w:p w14:paraId="2F6F8780" w14:textId="420D4A26" w:rsidR="001A742B" w:rsidRPr="0087428A" w:rsidRDefault="001A742B" w:rsidP="001A742B">
      <w:pPr>
        <w:keepNext/>
        <w:keepLines/>
        <w:tabs>
          <w:tab w:val="right" w:pos="851"/>
          <w:tab w:val="left" w:pos="4082"/>
        </w:tabs>
        <w:suppressAutoHyphens/>
        <w:spacing w:before="240" w:after="120"/>
        <w:ind w:left="1247" w:right="284" w:firstLine="13"/>
        <w:rPr>
          <w:rFonts w:ascii="Times New Roman Bold" w:hAnsi="Times New Roman Bold" w:cs="Arial Unicode MS"/>
          <w:b/>
          <w:sz w:val="24"/>
          <w:szCs w:val="24"/>
        </w:rPr>
      </w:pPr>
      <w:r w:rsidRPr="0087428A">
        <w:rPr>
          <w:rFonts w:ascii="Times New Roman Bold" w:hAnsi="Times New Roman Bold" w:cs="Arial Unicode MS"/>
          <w:b/>
          <w:sz w:val="24"/>
          <w:szCs w:val="24"/>
        </w:rPr>
        <w:lastRenderedPageBreak/>
        <w:t xml:space="preserve">Schéma illustrant les options en matière de gouvernance </w:t>
      </w:r>
      <w:r w:rsidR="0028395C">
        <w:rPr>
          <w:rFonts w:ascii="Times New Roman Bold" w:hAnsi="Times New Roman Bold" w:cs="Arial Unicode MS"/>
          <w:b/>
          <w:sz w:val="24"/>
          <w:szCs w:val="24"/>
        </w:rPr>
        <w:br/>
      </w:r>
      <w:r w:rsidRPr="0087428A">
        <w:rPr>
          <w:rFonts w:ascii="Times New Roman Bold" w:hAnsi="Times New Roman Bold" w:cs="Arial Unicode MS"/>
          <w:b/>
          <w:sz w:val="24"/>
          <w:szCs w:val="24"/>
        </w:rPr>
        <w:t>pour chaque implantation possible du programme internati</w:t>
      </w:r>
      <w:r w:rsidR="00D3679A">
        <w:rPr>
          <w:rFonts w:ascii="Times New Roman Bold" w:hAnsi="Times New Roman Bold" w:cs="Arial Unicode MS"/>
          <w:b/>
          <w:sz w:val="24"/>
          <w:szCs w:val="24"/>
        </w:rPr>
        <w:t xml:space="preserve">onal </w:t>
      </w:r>
      <w:r w:rsidR="0028395C">
        <w:rPr>
          <w:rFonts w:ascii="Times New Roman Bold" w:hAnsi="Times New Roman Bold" w:cs="Arial Unicode MS"/>
          <w:b/>
          <w:sz w:val="24"/>
          <w:szCs w:val="24"/>
        </w:rPr>
        <w:br/>
      </w:r>
      <w:r w:rsidR="00D3679A">
        <w:rPr>
          <w:rFonts w:ascii="Times New Roman Bold" w:hAnsi="Times New Roman Bold" w:cs="Arial Unicode MS"/>
          <w:b/>
          <w:sz w:val="24"/>
          <w:szCs w:val="24"/>
        </w:rPr>
        <w:t>spécifique au sein du PNUE, joint en appendice au documen</w:t>
      </w:r>
      <w:r w:rsidR="00723706">
        <w:rPr>
          <w:rFonts w:ascii="Times New Roman Bold" w:hAnsi="Times New Roman Bold" w:cs="Arial Unicode MS"/>
          <w:b/>
          <w:sz w:val="24"/>
          <w:szCs w:val="24"/>
        </w:rPr>
        <w:t xml:space="preserve">t </w:t>
      </w:r>
      <w:r w:rsidR="00D3679A" w:rsidRPr="00723706">
        <w:rPr>
          <w:b/>
          <w:sz w:val="24"/>
          <w:szCs w:val="24"/>
        </w:rPr>
        <w:t>UNEP(DTIE)/Hg/INC.7/22/Rev.1,</w:t>
      </w:r>
      <w:r w:rsidR="00D3679A">
        <w:rPr>
          <w:b/>
        </w:rPr>
        <w:t xml:space="preserve"> </w:t>
      </w:r>
      <w:r w:rsidRPr="0087428A">
        <w:rPr>
          <w:rFonts w:ascii="Times New Roman Bold" w:hAnsi="Times New Roman Bold" w:cs="Arial Unicode MS"/>
          <w:b/>
          <w:sz w:val="24"/>
          <w:szCs w:val="24"/>
        </w:rPr>
        <w:t>t</w:t>
      </w:r>
      <w:r w:rsidR="00DB47F0">
        <w:rPr>
          <w:rFonts w:ascii="Times New Roman Bold" w:hAnsi="Times New Roman Bold" w:cs="Arial Unicode MS"/>
          <w:b/>
          <w:sz w:val="24"/>
          <w:szCs w:val="24"/>
        </w:rPr>
        <w:t>el </w:t>
      </w:r>
      <w:r w:rsidR="00723706">
        <w:rPr>
          <w:rFonts w:ascii="Times New Roman Bold" w:hAnsi="Times New Roman Bold" w:cs="Arial Unicode MS"/>
          <w:b/>
          <w:sz w:val="24"/>
          <w:szCs w:val="24"/>
        </w:rPr>
        <w:t>qu’ét</w:t>
      </w:r>
      <w:r w:rsidRPr="0087428A">
        <w:rPr>
          <w:rFonts w:ascii="Times New Roman Bold" w:hAnsi="Times New Roman Bold" w:cs="Arial Unicode MS"/>
          <w:b/>
          <w:sz w:val="24"/>
          <w:szCs w:val="24"/>
        </w:rPr>
        <w:t xml:space="preserve">abli par le Comité </w:t>
      </w:r>
      <w:r w:rsidR="0028395C">
        <w:rPr>
          <w:rFonts w:ascii="Times New Roman Bold" w:hAnsi="Times New Roman Bold" w:cs="Arial Unicode MS"/>
          <w:b/>
          <w:sz w:val="24"/>
          <w:szCs w:val="24"/>
        </w:rPr>
        <w:br/>
      </w:r>
      <w:r w:rsidRPr="0087428A">
        <w:rPr>
          <w:rFonts w:ascii="Times New Roman Bold" w:hAnsi="Times New Roman Bold" w:cs="Arial Unicode MS"/>
          <w:b/>
          <w:sz w:val="24"/>
          <w:szCs w:val="24"/>
        </w:rPr>
        <w:t>de négociation intergouvernemental à sa septième session</w:t>
      </w:r>
    </w:p>
    <w:p w14:paraId="64AE0626" w14:textId="77777777" w:rsidR="001A742B" w:rsidRPr="0087428A" w:rsidRDefault="001A742B" w:rsidP="001A742B">
      <w:pPr>
        <w:pBdr>
          <w:between w:val="nil"/>
          <w:bar w:val="nil"/>
        </w:pBdr>
        <w:tabs>
          <w:tab w:val="clear" w:pos="1247"/>
          <w:tab w:val="left" w:pos="3119"/>
        </w:tabs>
        <w:spacing w:after="120"/>
        <w:ind w:left="284"/>
        <w:rPr>
          <w:color w:val="000000"/>
          <w:u w:color="000000"/>
          <w:bdr w:val="nil"/>
          <w:lang w:eastAsia="zh-CN"/>
        </w:rPr>
      </w:pPr>
      <w:r w:rsidRPr="0087428A">
        <w:rPr>
          <w:noProof/>
          <w:color w:val="000000"/>
          <w:u w:color="000000"/>
          <w:bdr w:val="nil"/>
          <w:lang w:val="en-US"/>
        </w:rPr>
        <w:drawing>
          <wp:inline distT="0" distB="0" distL="0" distR="0" wp14:anchorId="032ED90B" wp14:editId="37492A6D">
            <wp:extent cx="6070600" cy="4474961"/>
            <wp:effectExtent l="0" t="0" r="635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IE-HG-INC-7-22-REV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005" cy="44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7A484" w14:textId="00815C7E" w:rsidR="0041352A" w:rsidRPr="0087428A" w:rsidRDefault="0041352A" w:rsidP="0029126E">
      <w:pPr>
        <w:pStyle w:val="Normalnumber"/>
        <w:numPr>
          <w:ilvl w:val="0"/>
          <w:numId w:val="0"/>
        </w:numPr>
        <w:tabs>
          <w:tab w:val="left" w:pos="624"/>
          <w:tab w:val="left" w:pos="1134"/>
          <w:tab w:val="left" w:pos="3119"/>
        </w:tabs>
        <w:ind w:left="1260"/>
        <w:rPr>
          <w:sz w:val="18"/>
          <w:szCs w:val="18"/>
          <w:lang w:val="fr-FR"/>
        </w:rPr>
      </w:pPr>
      <w:r w:rsidRPr="0087428A">
        <w:rPr>
          <w:i/>
          <w:iCs/>
          <w:sz w:val="18"/>
          <w:szCs w:val="18"/>
          <w:lang w:val="fr-FR"/>
        </w:rPr>
        <w:t>Source</w:t>
      </w:r>
      <w:r w:rsidR="000647E4" w:rsidRPr="0087428A">
        <w:rPr>
          <w:i/>
          <w:iCs/>
          <w:sz w:val="18"/>
          <w:szCs w:val="18"/>
          <w:lang w:val="fr-FR"/>
        </w:rPr>
        <w:t xml:space="preserve"> </w:t>
      </w:r>
      <w:r w:rsidRPr="0087428A">
        <w:rPr>
          <w:sz w:val="18"/>
          <w:szCs w:val="18"/>
          <w:lang w:val="fr-FR"/>
        </w:rPr>
        <w:t>: UNEP(DTIE)/Hg/INC.7/22/Rev.1</w:t>
      </w:r>
      <w:r w:rsidR="00AD17E3" w:rsidRPr="0087428A">
        <w:rPr>
          <w:sz w:val="18"/>
          <w:szCs w:val="18"/>
          <w:lang w:val="fr-FR"/>
        </w:rPr>
        <w:t>, annex</w:t>
      </w:r>
      <w:r w:rsidR="000647E4" w:rsidRPr="0087428A">
        <w:rPr>
          <w:sz w:val="18"/>
          <w:szCs w:val="18"/>
          <w:lang w:val="fr-FR"/>
        </w:rPr>
        <w:t>e</w:t>
      </w:r>
      <w:r w:rsidR="003531CC">
        <w:rPr>
          <w:sz w:val="18"/>
          <w:szCs w:val="18"/>
          <w:lang w:val="fr-FR"/>
        </w:rPr>
        <w:t> </w:t>
      </w:r>
      <w:r w:rsidR="00AD17E3" w:rsidRPr="0087428A">
        <w:rPr>
          <w:sz w:val="18"/>
          <w:szCs w:val="18"/>
          <w:lang w:val="fr-FR"/>
        </w:rPr>
        <w:t>VI</w:t>
      </w:r>
      <w:r w:rsidR="000647E4" w:rsidRPr="0087428A">
        <w:rPr>
          <w:sz w:val="18"/>
          <w:szCs w:val="18"/>
          <w:lang w:val="fr-FR"/>
        </w:rPr>
        <w:t>.</w:t>
      </w:r>
      <w:r w:rsidR="00350EA9" w:rsidRPr="0087428A">
        <w:rPr>
          <w:sz w:val="18"/>
          <w:szCs w:val="18"/>
          <w:lang w:val="fr-FR"/>
        </w:rPr>
        <w:t xml:space="preserve"> </w:t>
      </w:r>
    </w:p>
    <w:p w14:paraId="26711A64" w14:textId="498BC713" w:rsidR="00AF4DDF" w:rsidRPr="0087428A" w:rsidRDefault="00291110" w:rsidP="002D379C">
      <w:pPr>
        <w:pStyle w:val="Normalnumber"/>
        <w:rPr>
          <w:lang w:val="fr-FR"/>
        </w:rPr>
      </w:pPr>
      <w:r w:rsidRPr="0087428A">
        <w:rPr>
          <w:lang w:val="fr-FR"/>
        </w:rPr>
        <w:t xml:space="preserve">Pour aider la </w:t>
      </w:r>
      <w:r w:rsidR="00AF4DDF" w:rsidRPr="0087428A">
        <w:rPr>
          <w:lang w:val="fr-FR"/>
        </w:rPr>
        <w:t>Co</w:t>
      </w:r>
      <w:r w:rsidRPr="0087428A">
        <w:rPr>
          <w:lang w:val="fr-FR"/>
        </w:rPr>
        <w:t>nfé</w:t>
      </w:r>
      <w:r w:rsidR="00AF4DDF" w:rsidRPr="0087428A">
        <w:rPr>
          <w:lang w:val="fr-FR"/>
        </w:rPr>
        <w:t xml:space="preserve">rence </w:t>
      </w:r>
      <w:r w:rsidRPr="0087428A">
        <w:rPr>
          <w:lang w:val="fr-FR"/>
        </w:rPr>
        <w:t>des</w:t>
      </w:r>
      <w:r w:rsidR="00AF4DDF" w:rsidRPr="0087428A">
        <w:rPr>
          <w:lang w:val="fr-FR"/>
        </w:rPr>
        <w:t xml:space="preserve"> Parties </w:t>
      </w:r>
      <w:r w:rsidRPr="0087428A">
        <w:rPr>
          <w:lang w:val="fr-FR"/>
        </w:rPr>
        <w:t xml:space="preserve">à </w:t>
      </w:r>
      <w:r w:rsidR="00054621">
        <w:rPr>
          <w:lang w:val="fr-FR"/>
        </w:rPr>
        <w:t>achever son examen du p</w:t>
      </w:r>
      <w:r w:rsidRPr="0087428A">
        <w:rPr>
          <w:lang w:val="fr-FR"/>
        </w:rPr>
        <w:t>rogramme</w:t>
      </w:r>
      <w:r w:rsidR="00AF4DDF" w:rsidRPr="0087428A">
        <w:rPr>
          <w:lang w:val="fr-FR"/>
        </w:rPr>
        <w:t xml:space="preserve"> international</w:t>
      </w:r>
      <w:r w:rsidRPr="0087428A">
        <w:rPr>
          <w:lang w:val="fr-FR"/>
        </w:rPr>
        <w:t xml:space="preserve"> spécifique, le Comité a demandé au secrétariat provisoire de la Convention de</w:t>
      </w:r>
      <w:r w:rsidR="00A33AC4" w:rsidRPr="0087428A">
        <w:rPr>
          <w:lang w:val="fr-FR"/>
        </w:rPr>
        <w:t xml:space="preserve"> Minamata</w:t>
      </w:r>
      <w:r w:rsidR="00054621">
        <w:rPr>
          <w:lang w:val="fr-FR"/>
        </w:rPr>
        <w:t xml:space="preserve"> sur le mercure de</w:t>
      </w:r>
      <w:r w:rsidRPr="0087428A">
        <w:rPr>
          <w:lang w:val="fr-FR"/>
        </w:rPr>
        <w:t xml:space="preserve"> fournir des </w:t>
      </w:r>
      <w:r w:rsidR="00AF4DDF" w:rsidRPr="0087428A">
        <w:rPr>
          <w:lang w:val="fr-FR"/>
        </w:rPr>
        <w:t>information</w:t>
      </w:r>
      <w:r w:rsidRPr="0087428A">
        <w:rPr>
          <w:lang w:val="fr-FR"/>
        </w:rPr>
        <w:t>s supplémentair</w:t>
      </w:r>
      <w:r w:rsidR="00723706">
        <w:rPr>
          <w:lang w:val="fr-FR"/>
        </w:rPr>
        <w:t>es sur les emplacements possibles</w:t>
      </w:r>
      <w:r w:rsidRPr="0087428A">
        <w:rPr>
          <w:lang w:val="fr-FR"/>
        </w:rPr>
        <w:t xml:space="preserve"> au sein du PNUE, les</w:t>
      </w:r>
      <w:r w:rsidR="00AF4DDF" w:rsidRPr="0087428A">
        <w:rPr>
          <w:lang w:val="fr-FR"/>
        </w:rPr>
        <w:t xml:space="preserve"> arrangements</w:t>
      </w:r>
      <w:r w:rsidR="00F00840">
        <w:rPr>
          <w:lang w:val="fr-FR"/>
        </w:rPr>
        <w:t xml:space="preserve"> en matière</w:t>
      </w:r>
      <w:r w:rsidRPr="0087428A">
        <w:rPr>
          <w:lang w:val="fr-FR"/>
        </w:rPr>
        <w:t xml:space="preserve"> de gouvernance</w:t>
      </w:r>
      <w:r w:rsidR="00AF4DDF" w:rsidRPr="0087428A">
        <w:rPr>
          <w:lang w:val="fr-FR"/>
        </w:rPr>
        <w:t xml:space="preserve">, </w:t>
      </w:r>
      <w:r w:rsidRPr="0087428A">
        <w:rPr>
          <w:lang w:val="fr-FR"/>
        </w:rPr>
        <w:t xml:space="preserve">l’entité </w:t>
      </w:r>
      <w:r w:rsidR="00054621">
        <w:rPr>
          <w:lang w:val="fr-FR"/>
        </w:rPr>
        <w:t>chargée de</w:t>
      </w:r>
      <w:r w:rsidRPr="0087428A">
        <w:rPr>
          <w:lang w:val="fr-FR"/>
        </w:rPr>
        <w:t xml:space="preserve"> l’examen technique</w:t>
      </w:r>
      <w:r w:rsidR="00AF4DDF" w:rsidRPr="0087428A">
        <w:rPr>
          <w:lang w:val="fr-FR"/>
        </w:rPr>
        <w:t>,</w:t>
      </w:r>
      <w:r w:rsidRPr="0087428A">
        <w:rPr>
          <w:lang w:val="fr-FR"/>
        </w:rPr>
        <w:t xml:space="preserve"> les incidences financières, les </w:t>
      </w:r>
      <w:r w:rsidR="00054621">
        <w:rPr>
          <w:lang w:val="fr-FR"/>
        </w:rPr>
        <w:t>incidences</w:t>
      </w:r>
      <w:r w:rsidRPr="0087428A">
        <w:rPr>
          <w:lang w:val="fr-FR"/>
        </w:rPr>
        <w:t xml:space="preserve"> juridiques</w:t>
      </w:r>
      <w:r w:rsidR="00136503" w:rsidRPr="0087428A">
        <w:rPr>
          <w:lang w:val="fr-FR"/>
        </w:rPr>
        <w:t>,</w:t>
      </w:r>
      <w:r w:rsidR="00AF4DDF" w:rsidRPr="0087428A">
        <w:rPr>
          <w:lang w:val="fr-FR"/>
        </w:rPr>
        <w:t xml:space="preserve"> </w:t>
      </w:r>
      <w:r w:rsidRPr="0087428A">
        <w:rPr>
          <w:lang w:val="fr-FR"/>
        </w:rPr>
        <w:t>y compris l’élaboration éventuelle d’un mémorandum d’accord entre le PNUE en tant qu’</w:t>
      </w:r>
      <w:r w:rsidR="00AF4DDF" w:rsidRPr="0087428A">
        <w:rPr>
          <w:lang w:val="fr-FR"/>
        </w:rPr>
        <w:t>institution</w:t>
      </w:r>
      <w:r w:rsidRPr="0087428A">
        <w:rPr>
          <w:lang w:val="fr-FR"/>
        </w:rPr>
        <w:t xml:space="preserve"> d’accueil et la Confé</w:t>
      </w:r>
      <w:r w:rsidR="00AF4DDF" w:rsidRPr="0087428A">
        <w:rPr>
          <w:lang w:val="fr-FR"/>
        </w:rPr>
        <w:t>rence</w:t>
      </w:r>
      <w:r w:rsidR="00136503" w:rsidRPr="0087428A">
        <w:rPr>
          <w:lang w:val="fr-FR"/>
        </w:rPr>
        <w:t>,</w:t>
      </w:r>
      <w:r w:rsidR="00AF4DDF" w:rsidRPr="0087428A">
        <w:rPr>
          <w:lang w:val="fr-FR"/>
        </w:rPr>
        <w:t xml:space="preserve"> </w:t>
      </w:r>
      <w:r w:rsidRPr="0087428A">
        <w:rPr>
          <w:lang w:val="fr-FR"/>
        </w:rPr>
        <w:t>et les délais à prévoir</w:t>
      </w:r>
      <w:r w:rsidR="00AF4DDF" w:rsidRPr="0087428A">
        <w:rPr>
          <w:lang w:val="fr-FR"/>
        </w:rPr>
        <w:t>.</w:t>
      </w:r>
    </w:p>
    <w:p w14:paraId="32C652DD" w14:textId="5DC3F811" w:rsidR="00A42B32" w:rsidRPr="0087428A" w:rsidRDefault="00291110" w:rsidP="002D379C">
      <w:pPr>
        <w:pStyle w:val="Normalnumber"/>
        <w:rPr>
          <w:lang w:val="fr-FR"/>
        </w:rPr>
      </w:pPr>
      <w:r w:rsidRPr="0087428A">
        <w:rPr>
          <w:lang w:val="fr-FR"/>
        </w:rPr>
        <w:t>On trouvera dans la présente</w:t>
      </w:r>
      <w:r w:rsidR="00AF4DDF" w:rsidRPr="0087428A">
        <w:rPr>
          <w:lang w:val="fr-FR"/>
        </w:rPr>
        <w:t xml:space="preserve"> </w:t>
      </w:r>
      <w:r w:rsidR="00D05492" w:rsidRPr="0087428A">
        <w:rPr>
          <w:lang w:val="fr-FR"/>
        </w:rPr>
        <w:t xml:space="preserve">note </w:t>
      </w:r>
      <w:r w:rsidRPr="0087428A">
        <w:rPr>
          <w:lang w:val="fr-FR"/>
        </w:rPr>
        <w:t>les</w:t>
      </w:r>
      <w:r w:rsidR="00AF4DDF" w:rsidRPr="0087428A">
        <w:rPr>
          <w:lang w:val="fr-FR"/>
        </w:rPr>
        <w:t xml:space="preserve"> information</w:t>
      </w:r>
      <w:r w:rsidRPr="0087428A">
        <w:rPr>
          <w:lang w:val="fr-FR"/>
        </w:rPr>
        <w:t>s supplémentaires qui ont été demandées.</w:t>
      </w:r>
    </w:p>
    <w:p w14:paraId="7D65ABDE" w14:textId="7A50A931" w:rsidR="00A42B32" w:rsidRPr="0087428A" w:rsidRDefault="002E371D" w:rsidP="00BD69FE">
      <w:pPr>
        <w:pStyle w:val="CH1"/>
        <w:rPr>
          <w:lang w:val="fr-FR"/>
        </w:rPr>
      </w:pPr>
      <w:r w:rsidRPr="0087428A">
        <w:rPr>
          <w:lang w:val="fr-FR"/>
        </w:rPr>
        <w:tab/>
      </w:r>
      <w:r w:rsidR="005A61B9" w:rsidRPr="0087428A">
        <w:rPr>
          <w:lang w:val="fr-FR"/>
        </w:rPr>
        <w:t>II</w:t>
      </w:r>
      <w:r w:rsidRPr="0087428A">
        <w:rPr>
          <w:lang w:val="fr-FR"/>
        </w:rPr>
        <w:t>.</w:t>
      </w:r>
      <w:r w:rsidRPr="0087428A">
        <w:rPr>
          <w:lang w:val="fr-FR"/>
        </w:rPr>
        <w:tab/>
      </w:r>
      <w:r w:rsidR="001E343F">
        <w:rPr>
          <w:lang w:val="fr-FR"/>
        </w:rPr>
        <w:t xml:space="preserve">Implantations </w:t>
      </w:r>
      <w:r w:rsidR="00213695" w:rsidRPr="0087428A">
        <w:rPr>
          <w:lang w:val="fr-FR"/>
        </w:rPr>
        <w:t xml:space="preserve">possibles au sein du </w:t>
      </w:r>
      <w:r w:rsidR="00206B3C" w:rsidRPr="0087428A">
        <w:rPr>
          <w:lang w:val="fr-FR"/>
        </w:rPr>
        <w:t>Programme</w:t>
      </w:r>
      <w:r w:rsidR="00213695" w:rsidRPr="0087428A">
        <w:rPr>
          <w:lang w:val="fr-FR"/>
        </w:rPr>
        <w:t xml:space="preserve"> des Nations Unies pour l’environnement</w:t>
      </w:r>
    </w:p>
    <w:p w14:paraId="06A37C11" w14:textId="69474B7C" w:rsidR="004D0FB5" w:rsidRPr="0087428A" w:rsidRDefault="00213695" w:rsidP="002D379C">
      <w:pPr>
        <w:pStyle w:val="Normalnumber"/>
        <w:rPr>
          <w:lang w:val="fr-FR"/>
        </w:rPr>
      </w:pPr>
      <w:r w:rsidRPr="0087428A">
        <w:rPr>
          <w:lang w:val="fr-FR"/>
        </w:rPr>
        <w:t>Au sein du PNUE,</w:t>
      </w:r>
      <w:r w:rsidR="00DB004B" w:rsidRPr="0087428A">
        <w:rPr>
          <w:lang w:val="fr-FR"/>
        </w:rPr>
        <w:t xml:space="preserve"> </w:t>
      </w:r>
      <w:r w:rsidR="00054621">
        <w:rPr>
          <w:lang w:val="fr-FR"/>
        </w:rPr>
        <w:t>le p</w:t>
      </w:r>
      <w:r w:rsidR="00E141C8" w:rsidRPr="0087428A">
        <w:rPr>
          <w:lang w:val="fr-FR"/>
        </w:rPr>
        <w:t xml:space="preserve">rogramme </w:t>
      </w:r>
      <w:r w:rsidR="00054621">
        <w:rPr>
          <w:lang w:val="fr-FR"/>
        </w:rPr>
        <w:t>international spécifique pourrai</w:t>
      </w:r>
      <w:r w:rsidR="00F00840">
        <w:rPr>
          <w:lang w:val="fr-FR"/>
        </w:rPr>
        <w:t>t</w:t>
      </w:r>
      <w:r w:rsidR="00054621">
        <w:rPr>
          <w:lang w:val="fr-FR"/>
        </w:rPr>
        <w:t xml:space="preserve"> êt</w:t>
      </w:r>
      <w:r w:rsidRPr="0087428A">
        <w:rPr>
          <w:lang w:val="fr-FR"/>
        </w:rPr>
        <w:t xml:space="preserve">re accueilli par le Service </w:t>
      </w:r>
      <w:r w:rsidR="00B51017">
        <w:rPr>
          <w:lang w:val="fr-FR"/>
        </w:rPr>
        <w:t>Substances chimiques et s</w:t>
      </w:r>
      <w:r w:rsidRPr="0087428A">
        <w:rPr>
          <w:lang w:val="fr-FR"/>
        </w:rPr>
        <w:t xml:space="preserve">anté, à Genève, et relever de la </w:t>
      </w:r>
      <w:r w:rsidR="00E141C8" w:rsidRPr="0087428A">
        <w:rPr>
          <w:lang w:val="fr-FR"/>
        </w:rPr>
        <w:t>Division</w:t>
      </w:r>
      <w:r w:rsidR="00DB47F0">
        <w:rPr>
          <w:lang w:val="fr-FR"/>
        </w:rPr>
        <w:t xml:space="preserve"> </w:t>
      </w:r>
      <w:r w:rsidR="00F00840">
        <w:rPr>
          <w:lang w:val="fr-FR"/>
        </w:rPr>
        <w:t>de l’é</w:t>
      </w:r>
      <w:r w:rsidRPr="0087428A">
        <w:rPr>
          <w:lang w:val="fr-FR"/>
        </w:rPr>
        <w:t>conomie</w:t>
      </w:r>
      <w:r w:rsidR="00F00840" w:rsidRPr="0087428A">
        <w:rPr>
          <w:vertAlign w:val="superscript"/>
          <w:lang w:val="fr-FR"/>
        </w:rPr>
        <w:footnoteReference w:id="3"/>
      </w:r>
      <w:r w:rsidR="00346878" w:rsidRPr="0087428A">
        <w:rPr>
          <w:lang w:val="fr-FR"/>
        </w:rPr>
        <w:t>,</w:t>
      </w:r>
      <w:r w:rsidR="00E141C8" w:rsidRPr="0087428A">
        <w:rPr>
          <w:vertAlign w:val="superscript"/>
          <w:lang w:val="fr-FR"/>
        </w:rPr>
        <w:t xml:space="preserve"> </w:t>
      </w:r>
      <w:r w:rsidRPr="0087428A">
        <w:rPr>
          <w:lang w:val="fr-FR"/>
        </w:rPr>
        <w:t>ou par le secrétariat de la Convention de</w:t>
      </w:r>
      <w:r w:rsidR="00E141C8" w:rsidRPr="0087428A">
        <w:rPr>
          <w:lang w:val="fr-FR"/>
        </w:rPr>
        <w:t xml:space="preserve"> Minamata</w:t>
      </w:r>
      <w:r w:rsidRPr="0087428A">
        <w:rPr>
          <w:lang w:val="fr-FR"/>
        </w:rPr>
        <w:t xml:space="preserve">, ces deux entités étant placées sous l’autorité du Directeur exécutif. </w:t>
      </w:r>
    </w:p>
    <w:p w14:paraId="239E52C8" w14:textId="17A24563" w:rsidR="00E141C8" w:rsidRPr="0087428A" w:rsidRDefault="00213695" w:rsidP="002D379C">
      <w:pPr>
        <w:pStyle w:val="Normalnumber"/>
        <w:rPr>
          <w:lang w:val="fr-FR"/>
        </w:rPr>
      </w:pPr>
      <w:r w:rsidRPr="0087428A">
        <w:rPr>
          <w:lang w:val="fr-FR"/>
        </w:rPr>
        <w:t>Selon la décision que prendra la Conférence des</w:t>
      </w:r>
      <w:r w:rsidR="002676BF" w:rsidRPr="0087428A">
        <w:rPr>
          <w:lang w:val="fr-FR"/>
        </w:rPr>
        <w:t xml:space="preserve"> Parties</w:t>
      </w:r>
      <w:r w:rsidR="002B04BD" w:rsidRPr="0087428A">
        <w:rPr>
          <w:lang w:val="fr-FR"/>
        </w:rPr>
        <w:t>,</w:t>
      </w:r>
      <w:r w:rsidRPr="0087428A">
        <w:rPr>
          <w:lang w:val="fr-FR"/>
        </w:rPr>
        <w:t xml:space="preserve"> un secréta</w:t>
      </w:r>
      <w:r w:rsidR="00054621">
        <w:rPr>
          <w:lang w:val="fr-FR"/>
        </w:rPr>
        <w:t>riat sera établi pour gérer le p</w:t>
      </w:r>
      <w:r w:rsidR="004D0FB5" w:rsidRPr="0087428A">
        <w:rPr>
          <w:lang w:val="fr-FR"/>
        </w:rPr>
        <w:t>rogramme</w:t>
      </w:r>
      <w:r w:rsidRPr="0087428A">
        <w:rPr>
          <w:lang w:val="fr-FR"/>
        </w:rPr>
        <w:t xml:space="preserve"> international spécifique. Ce secré</w:t>
      </w:r>
      <w:r w:rsidR="0084666C" w:rsidRPr="0087428A">
        <w:rPr>
          <w:lang w:val="fr-FR"/>
        </w:rPr>
        <w:t>tariat</w:t>
      </w:r>
      <w:r w:rsidRPr="0087428A">
        <w:rPr>
          <w:lang w:val="fr-FR"/>
        </w:rPr>
        <w:t xml:space="preserve"> pourrait êt</w:t>
      </w:r>
      <w:r w:rsidR="00054621">
        <w:rPr>
          <w:lang w:val="fr-FR"/>
        </w:rPr>
        <w:t>re doté de son propre personnel et</w:t>
      </w:r>
      <w:r w:rsidRPr="0087428A">
        <w:rPr>
          <w:lang w:val="fr-FR"/>
        </w:rPr>
        <w:t xml:space="preserve"> </w:t>
      </w:r>
      <w:r w:rsidRPr="0087428A">
        <w:rPr>
          <w:lang w:val="fr-FR"/>
        </w:rPr>
        <w:lastRenderedPageBreak/>
        <w:t xml:space="preserve">financé à l’aide de fonds </w:t>
      </w:r>
      <w:r w:rsidR="008D5C0C" w:rsidRPr="0087428A">
        <w:rPr>
          <w:lang w:val="fr-FR"/>
        </w:rPr>
        <w:t>extrabudgétaires</w:t>
      </w:r>
      <w:r w:rsidRPr="0087428A">
        <w:rPr>
          <w:lang w:val="fr-FR"/>
        </w:rPr>
        <w:t xml:space="preserve">, qu’il relève du Service </w:t>
      </w:r>
      <w:r w:rsidR="00645742">
        <w:rPr>
          <w:lang w:val="fr-FR"/>
        </w:rPr>
        <w:t xml:space="preserve">Substances chimiques et </w:t>
      </w:r>
      <w:r w:rsidR="00583BFC">
        <w:rPr>
          <w:lang w:val="fr-FR"/>
        </w:rPr>
        <w:t>s</w:t>
      </w:r>
      <w:r w:rsidRPr="0087428A">
        <w:rPr>
          <w:lang w:val="fr-FR"/>
        </w:rPr>
        <w:t xml:space="preserve">anté ou du secrétariat de la </w:t>
      </w:r>
      <w:r w:rsidR="00EA4CC1" w:rsidRPr="0087428A">
        <w:rPr>
          <w:lang w:val="fr-FR"/>
        </w:rPr>
        <w:t>Convention</w:t>
      </w:r>
      <w:r w:rsidR="008D5C0C">
        <w:rPr>
          <w:lang w:val="fr-FR"/>
        </w:rPr>
        <w:t>.</w:t>
      </w:r>
    </w:p>
    <w:p w14:paraId="64986F72" w14:textId="5260D672" w:rsidR="00E141C8" w:rsidRPr="0087428A" w:rsidRDefault="000647E4" w:rsidP="0029126E">
      <w:pPr>
        <w:pStyle w:val="Normalnumber"/>
        <w:keepNext/>
        <w:keepLines/>
        <w:rPr>
          <w:lang w:val="fr-FR"/>
        </w:rPr>
      </w:pPr>
      <w:r w:rsidRPr="0087428A">
        <w:rPr>
          <w:lang w:val="fr-FR"/>
        </w:rPr>
        <w:t xml:space="preserve">On trouvera ci-dessous des </w:t>
      </w:r>
      <w:r w:rsidR="00E141C8" w:rsidRPr="0087428A">
        <w:rPr>
          <w:lang w:val="fr-FR"/>
        </w:rPr>
        <w:t>information</w:t>
      </w:r>
      <w:r w:rsidRPr="0087428A">
        <w:rPr>
          <w:lang w:val="fr-FR"/>
        </w:rPr>
        <w:t xml:space="preserve">s supplémentaires sur deux autres emplacements </w:t>
      </w:r>
      <w:r w:rsidR="00E63DD4" w:rsidRPr="0087428A">
        <w:rPr>
          <w:lang w:val="fr-FR"/>
        </w:rPr>
        <w:t>possible</w:t>
      </w:r>
      <w:r w:rsidRPr="0087428A">
        <w:rPr>
          <w:lang w:val="fr-FR"/>
        </w:rPr>
        <w:t>s</w:t>
      </w:r>
      <w:r w:rsidR="002368A8" w:rsidRPr="0087428A">
        <w:rPr>
          <w:lang w:val="fr-FR"/>
        </w:rPr>
        <w:t>.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5035"/>
        <w:gridCol w:w="3185"/>
      </w:tblGrid>
      <w:tr w:rsidR="00346878" w:rsidRPr="0087428A" w14:paraId="48140AD7" w14:textId="77777777" w:rsidTr="00894B22">
        <w:tc>
          <w:tcPr>
            <w:tcW w:w="8220" w:type="dxa"/>
            <w:gridSpan w:val="2"/>
            <w:shd w:val="clear" w:color="auto" w:fill="D9D9D9" w:themeFill="background1" w:themeFillShade="D9"/>
          </w:tcPr>
          <w:p w14:paraId="1DD5F103" w14:textId="39131C83" w:rsidR="00346878" w:rsidRPr="0087428A" w:rsidRDefault="00346878" w:rsidP="0029126E">
            <w:pPr>
              <w:pStyle w:val="Brdtext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7428A">
              <w:rPr>
                <w:b/>
                <w:bCs/>
                <w:sz w:val="18"/>
                <w:szCs w:val="18"/>
                <w:lang w:val="fr-FR"/>
              </w:rPr>
              <w:t xml:space="preserve">1. </w:t>
            </w:r>
            <w:r w:rsidR="0009758D">
              <w:rPr>
                <w:b/>
                <w:bCs/>
                <w:sz w:val="18"/>
                <w:szCs w:val="18"/>
                <w:lang w:val="fr-FR"/>
              </w:rPr>
              <w:t xml:space="preserve">Implantation </w:t>
            </w:r>
            <w:r w:rsidR="000647E4" w:rsidRPr="0087428A">
              <w:rPr>
                <w:b/>
                <w:bCs/>
                <w:sz w:val="18"/>
                <w:szCs w:val="18"/>
                <w:lang w:val="fr-FR"/>
              </w:rPr>
              <w:t xml:space="preserve">au sein du Programme des </w:t>
            </w:r>
            <w:r w:rsidRPr="0087428A">
              <w:rPr>
                <w:b/>
                <w:bCs/>
                <w:sz w:val="18"/>
                <w:szCs w:val="18"/>
                <w:lang w:val="fr-FR"/>
              </w:rPr>
              <w:t>Nations</w:t>
            </w:r>
            <w:r w:rsidR="000647E4" w:rsidRPr="0087428A">
              <w:rPr>
                <w:b/>
                <w:bCs/>
                <w:sz w:val="18"/>
                <w:szCs w:val="18"/>
                <w:lang w:val="fr-FR"/>
              </w:rPr>
              <w:t xml:space="preserve"> Unies pour l’environnement</w:t>
            </w:r>
            <w:r w:rsidRPr="0087428A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6A793C88" w14:textId="294F49CC" w:rsidR="00346878" w:rsidRPr="0087428A" w:rsidRDefault="00645742" w:rsidP="00645742">
            <w:pPr>
              <w:pStyle w:val="Brdtext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80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Le secrétariat du p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 xml:space="preserve">rogramme </w:t>
            </w:r>
            <w:r w:rsidR="00EA4CC1" w:rsidRPr="0087428A">
              <w:rPr>
                <w:bCs/>
                <w:sz w:val="18"/>
                <w:szCs w:val="18"/>
                <w:lang w:val="fr-FR"/>
              </w:rPr>
              <w:t>international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 xml:space="preserve"> spécifique peut être</w:t>
            </w:r>
            <w:r w:rsidR="002079D0" w:rsidRPr="0087428A">
              <w:rPr>
                <w:bCs/>
                <w:sz w:val="18"/>
                <w:szCs w:val="18"/>
                <w:lang w:val="fr-FR"/>
              </w:rPr>
              <w:t xml:space="preserve"> rattaché au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 xml:space="preserve"> Service </w:t>
            </w:r>
            <w:r>
              <w:rPr>
                <w:bCs/>
                <w:sz w:val="18"/>
                <w:szCs w:val="18"/>
                <w:lang w:val="fr-FR"/>
              </w:rPr>
              <w:t xml:space="preserve">Substances chimiques et </w:t>
            </w:r>
            <w:r w:rsidR="00B9420F">
              <w:rPr>
                <w:bCs/>
                <w:sz w:val="18"/>
                <w:szCs w:val="18"/>
                <w:lang w:val="fr-FR"/>
              </w:rPr>
              <w:t>s</w:t>
            </w:r>
            <w:r>
              <w:rPr>
                <w:bCs/>
                <w:sz w:val="18"/>
                <w:szCs w:val="18"/>
                <w:lang w:val="fr-FR"/>
              </w:rPr>
              <w:t>a</w:t>
            </w:r>
            <w:r w:rsidR="00F00840">
              <w:rPr>
                <w:bCs/>
                <w:sz w:val="18"/>
                <w:szCs w:val="18"/>
                <w:lang w:val="fr-FR"/>
              </w:rPr>
              <w:t>nté de la Division de l’é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 xml:space="preserve">conomie ou au secrétariat de la Convention de </w:t>
            </w:r>
            <w:r w:rsidR="00EA4CC1" w:rsidRPr="0087428A">
              <w:rPr>
                <w:bCs/>
                <w:sz w:val="18"/>
                <w:szCs w:val="18"/>
                <w:lang w:val="fr-FR"/>
              </w:rPr>
              <w:t>Minamata</w:t>
            </w:r>
            <w:r w:rsidR="00346878" w:rsidRPr="0087428A">
              <w:rPr>
                <w:bCs/>
                <w:sz w:val="18"/>
                <w:szCs w:val="18"/>
                <w:lang w:val="fr-FR"/>
              </w:rPr>
              <w:t xml:space="preserve">. </w:t>
            </w:r>
          </w:p>
        </w:tc>
      </w:tr>
      <w:tr w:rsidR="00DA2325" w:rsidRPr="0087428A" w14:paraId="589A57A0" w14:textId="77777777" w:rsidTr="0029126E">
        <w:trPr>
          <w:trHeight w:val="137"/>
        </w:trPr>
        <w:tc>
          <w:tcPr>
            <w:tcW w:w="5035" w:type="dxa"/>
            <w:shd w:val="clear" w:color="auto" w:fill="auto"/>
          </w:tcPr>
          <w:p w14:paraId="0AACB8EE" w14:textId="36DD4C41" w:rsidR="00DA2325" w:rsidRPr="0087428A" w:rsidRDefault="008D4A89" w:rsidP="00692353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20" w:after="80"/>
              <w:rPr>
                <w:i/>
                <w:iCs/>
                <w:sz w:val="18"/>
                <w:szCs w:val="18"/>
                <w:lang w:val="fr-FR"/>
              </w:rPr>
            </w:pPr>
            <w:r w:rsidRPr="0087428A">
              <w:rPr>
                <w:i/>
                <w:iCs/>
                <w:sz w:val="18"/>
                <w:szCs w:val="18"/>
                <w:lang w:val="fr-FR"/>
              </w:rPr>
              <w:t>Service</w:t>
            </w:r>
            <w:r w:rsidR="002079D0" w:rsidRPr="0087428A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692353">
              <w:rPr>
                <w:i/>
                <w:iCs/>
                <w:sz w:val="18"/>
                <w:szCs w:val="18"/>
                <w:lang w:val="fr-FR"/>
              </w:rPr>
              <w:t xml:space="preserve">Substances </w:t>
            </w:r>
            <w:r w:rsidR="002079D0" w:rsidRPr="0087428A">
              <w:rPr>
                <w:i/>
                <w:iCs/>
                <w:sz w:val="18"/>
                <w:szCs w:val="18"/>
                <w:lang w:val="fr-FR"/>
              </w:rPr>
              <w:t>chi</w:t>
            </w:r>
            <w:r w:rsidR="00692353">
              <w:rPr>
                <w:i/>
                <w:iCs/>
                <w:sz w:val="18"/>
                <w:szCs w:val="18"/>
                <w:lang w:val="fr-FR"/>
              </w:rPr>
              <w:t xml:space="preserve">miques et </w:t>
            </w:r>
            <w:r w:rsidR="00B9420F">
              <w:rPr>
                <w:i/>
                <w:iCs/>
                <w:sz w:val="18"/>
                <w:szCs w:val="18"/>
                <w:lang w:val="fr-FR"/>
              </w:rPr>
              <w:t>s</w:t>
            </w:r>
            <w:r w:rsidR="00692353">
              <w:rPr>
                <w:i/>
                <w:iCs/>
                <w:sz w:val="18"/>
                <w:szCs w:val="18"/>
                <w:lang w:val="fr-FR"/>
              </w:rPr>
              <w:t>anté</w:t>
            </w:r>
          </w:p>
        </w:tc>
        <w:tc>
          <w:tcPr>
            <w:tcW w:w="3185" w:type="dxa"/>
            <w:shd w:val="clear" w:color="auto" w:fill="auto"/>
          </w:tcPr>
          <w:p w14:paraId="1F3F4081" w14:textId="50AAF83B" w:rsidR="00DA2325" w:rsidRPr="0087428A" w:rsidRDefault="008D4A89" w:rsidP="008D4A89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  <w:tab w:val="left" w:pos="4082"/>
              </w:tabs>
              <w:spacing w:before="20" w:after="80"/>
              <w:rPr>
                <w:i/>
                <w:iCs/>
                <w:sz w:val="18"/>
                <w:szCs w:val="18"/>
                <w:lang w:val="fr-FR"/>
              </w:rPr>
            </w:pPr>
            <w:r w:rsidRPr="0087428A">
              <w:rPr>
                <w:i/>
                <w:iCs/>
                <w:sz w:val="18"/>
                <w:szCs w:val="18"/>
                <w:lang w:val="fr-FR"/>
              </w:rPr>
              <w:t xml:space="preserve">Secrétariat de la </w:t>
            </w:r>
            <w:r w:rsidR="00DA2325" w:rsidRPr="0087428A">
              <w:rPr>
                <w:i/>
                <w:iCs/>
                <w:sz w:val="18"/>
                <w:szCs w:val="18"/>
                <w:lang w:val="fr-FR"/>
              </w:rPr>
              <w:t xml:space="preserve">Convention </w:t>
            </w:r>
          </w:p>
        </w:tc>
      </w:tr>
      <w:tr w:rsidR="001F7B7B" w:rsidRPr="0087428A" w14:paraId="6F76A190" w14:textId="77777777" w:rsidTr="00A10785">
        <w:tc>
          <w:tcPr>
            <w:tcW w:w="5035" w:type="dxa"/>
            <w:shd w:val="clear" w:color="auto" w:fill="auto"/>
          </w:tcPr>
          <w:p w14:paraId="76DABC3B" w14:textId="21215523" w:rsidR="00BC0773" w:rsidRPr="0087428A" w:rsidRDefault="002C34D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rPr>
                <w:sz w:val="18"/>
                <w:szCs w:val="18"/>
                <w:lang w:val="fr-FR"/>
              </w:rPr>
            </w:pPr>
            <w:r w:rsidRPr="0087428A">
              <w:rPr>
                <w:sz w:val="18"/>
                <w:szCs w:val="18"/>
                <w:lang w:val="fr-FR"/>
              </w:rPr>
              <w:t xml:space="preserve">Le Service offre une approche globale pour lutter contre la </w:t>
            </w:r>
            <w:r w:rsidR="00C16E61" w:rsidRPr="0087428A">
              <w:rPr>
                <w:sz w:val="18"/>
                <w:szCs w:val="18"/>
                <w:lang w:val="fr-FR"/>
              </w:rPr>
              <w:t>pollution</w:t>
            </w:r>
            <w:r w:rsidRPr="0087428A">
              <w:rPr>
                <w:sz w:val="18"/>
                <w:szCs w:val="18"/>
                <w:lang w:val="fr-FR"/>
              </w:rPr>
              <w:t xml:space="preserve"> par le mercure à l’échelle mondiale</w:t>
            </w:r>
            <w:r w:rsidR="00C16E61" w:rsidRPr="0087428A">
              <w:rPr>
                <w:sz w:val="18"/>
                <w:szCs w:val="18"/>
                <w:lang w:val="fr-FR"/>
              </w:rPr>
              <w:t xml:space="preserve">. </w:t>
            </w:r>
            <w:r w:rsidRPr="0087428A">
              <w:rPr>
                <w:sz w:val="18"/>
                <w:szCs w:val="18"/>
                <w:lang w:val="fr-FR"/>
              </w:rPr>
              <w:t>Outre qu’il assure la mise en œuvre d’une grande partie du sous-</w:t>
            </w:r>
            <w:r w:rsidR="00F62473" w:rsidRPr="0087428A">
              <w:rPr>
                <w:sz w:val="18"/>
                <w:szCs w:val="18"/>
                <w:lang w:val="fr-FR"/>
              </w:rPr>
              <w:t>p</w:t>
            </w:r>
            <w:r w:rsidR="00C16E61" w:rsidRPr="0087428A">
              <w:rPr>
                <w:sz w:val="18"/>
                <w:szCs w:val="18"/>
                <w:lang w:val="fr-FR"/>
              </w:rPr>
              <w:t xml:space="preserve">rogramme </w:t>
            </w:r>
            <w:r w:rsidRPr="0087428A">
              <w:rPr>
                <w:sz w:val="18"/>
                <w:szCs w:val="18"/>
                <w:lang w:val="fr-FR"/>
              </w:rPr>
              <w:t>du PNUE sur les produits chimiques, les déchets et la qualité de l’</w:t>
            </w:r>
            <w:r w:rsidR="00F62473" w:rsidRPr="0087428A">
              <w:rPr>
                <w:sz w:val="18"/>
                <w:szCs w:val="18"/>
                <w:lang w:val="fr-FR"/>
              </w:rPr>
              <w:t>a</w:t>
            </w:r>
            <w:r w:rsidR="009825BB" w:rsidRPr="0087428A">
              <w:rPr>
                <w:sz w:val="18"/>
                <w:szCs w:val="18"/>
                <w:lang w:val="fr-FR"/>
              </w:rPr>
              <w:t>ir</w:t>
            </w:r>
            <w:r w:rsidRPr="0087428A">
              <w:rPr>
                <w:sz w:val="18"/>
                <w:szCs w:val="18"/>
                <w:lang w:val="fr-FR"/>
              </w:rPr>
              <w:t>, il accueille</w:t>
            </w:r>
            <w:r w:rsidR="003C56B0" w:rsidRPr="0087428A">
              <w:rPr>
                <w:sz w:val="18"/>
                <w:szCs w:val="18"/>
                <w:lang w:val="fr-FR"/>
              </w:rPr>
              <w:t xml:space="preserve"> divers</w:t>
            </w:r>
            <w:r w:rsidR="00BC0773" w:rsidRPr="0087428A">
              <w:rPr>
                <w:sz w:val="18"/>
                <w:szCs w:val="18"/>
                <w:lang w:val="fr-FR"/>
              </w:rPr>
              <w:t xml:space="preserve"> programmes,</w:t>
            </w:r>
            <w:r w:rsidR="003C56B0" w:rsidRPr="0087428A">
              <w:rPr>
                <w:sz w:val="18"/>
                <w:szCs w:val="18"/>
                <w:lang w:val="fr-FR"/>
              </w:rPr>
              <w:t xml:space="preserve"> secré</w:t>
            </w:r>
            <w:r w:rsidR="00BC0773" w:rsidRPr="0087428A">
              <w:rPr>
                <w:sz w:val="18"/>
                <w:szCs w:val="18"/>
                <w:lang w:val="fr-FR"/>
              </w:rPr>
              <w:t>tariats, initiatives</w:t>
            </w:r>
            <w:r w:rsidR="003C56B0" w:rsidRPr="0087428A">
              <w:rPr>
                <w:sz w:val="18"/>
                <w:szCs w:val="18"/>
                <w:lang w:val="fr-FR"/>
              </w:rPr>
              <w:t xml:space="preserve"> et partenariats internationaux qui mènent des travaux </w:t>
            </w:r>
            <w:r w:rsidR="0009758D">
              <w:rPr>
                <w:sz w:val="18"/>
                <w:szCs w:val="18"/>
                <w:lang w:val="fr-FR"/>
              </w:rPr>
              <w:t>sur</w:t>
            </w:r>
            <w:r w:rsidR="003C56B0" w:rsidRPr="0087428A">
              <w:rPr>
                <w:sz w:val="18"/>
                <w:szCs w:val="18"/>
                <w:lang w:val="fr-FR"/>
              </w:rPr>
              <w:t xml:space="preserve"> les produits chimiques, la santé et les déchets, y compris le programme </w:t>
            </w:r>
            <w:r w:rsidR="00BC0773" w:rsidRPr="0087428A">
              <w:rPr>
                <w:sz w:val="18"/>
                <w:szCs w:val="18"/>
                <w:lang w:val="fr-FR"/>
              </w:rPr>
              <w:t>Action</w:t>
            </w:r>
            <w:r w:rsidR="003C56B0" w:rsidRPr="0087428A">
              <w:rPr>
                <w:sz w:val="18"/>
                <w:szCs w:val="18"/>
                <w:lang w:val="fr-FR"/>
              </w:rPr>
              <w:t>Ozone, le Centre i</w:t>
            </w:r>
            <w:r w:rsidR="00BC0773" w:rsidRPr="0087428A">
              <w:rPr>
                <w:sz w:val="18"/>
                <w:szCs w:val="18"/>
                <w:lang w:val="fr-FR"/>
              </w:rPr>
              <w:t>nternational</w:t>
            </w:r>
            <w:r w:rsidR="003C56B0" w:rsidRPr="0087428A">
              <w:rPr>
                <w:sz w:val="18"/>
                <w:szCs w:val="18"/>
                <w:lang w:val="fr-FR"/>
              </w:rPr>
              <w:t xml:space="preserve"> d’écotechnologie (CIET) basé à </w:t>
            </w:r>
            <w:r w:rsidR="00DB38D0" w:rsidRPr="0087428A">
              <w:rPr>
                <w:sz w:val="18"/>
                <w:szCs w:val="18"/>
                <w:lang w:val="fr-FR"/>
              </w:rPr>
              <w:t>Osaka</w:t>
            </w:r>
            <w:r w:rsidR="003C56B0" w:rsidRPr="0087428A">
              <w:rPr>
                <w:sz w:val="18"/>
                <w:szCs w:val="18"/>
                <w:lang w:val="fr-FR"/>
              </w:rPr>
              <w:t xml:space="preserve"> (Japo</w:t>
            </w:r>
            <w:r w:rsidR="00DB38D0" w:rsidRPr="0087428A">
              <w:rPr>
                <w:sz w:val="18"/>
                <w:szCs w:val="18"/>
                <w:lang w:val="fr-FR"/>
              </w:rPr>
              <w:t>n)</w:t>
            </w:r>
            <w:r w:rsidR="00BC0773" w:rsidRPr="0087428A">
              <w:rPr>
                <w:sz w:val="18"/>
                <w:szCs w:val="18"/>
                <w:lang w:val="fr-FR"/>
              </w:rPr>
              <w:t xml:space="preserve">, </w:t>
            </w:r>
            <w:r w:rsidR="003C56B0" w:rsidRPr="0087428A">
              <w:rPr>
                <w:sz w:val="18"/>
                <w:szCs w:val="18"/>
                <w:lang w:val="fr-FR"/>
              </w:rPr>
              <w:t>l’Approche stratégique de la gestion i</w:t>
            </w:r>
            <w:r w:rsidR="007F322F" w:rsidRPr="0087428A">
              <w:rPr>
                <w:sz w:val="18"/>
                <w:szCs w:val="18"/>
                <w:lang w:val="fr-FR"/>
              </w:rPr>
              <w:t>nternational</w:t>
            </w:r>
            <w:r w:rsidR="003C56B0" w:rsidRPr="0087428A">
              <w:rPr>
                <w:sz w:val="18"/>
                <w:szCs w:val="18"/>
                <w:lang w:val="fr-FR"/>
              </w:rPr>
              <w:t>e des produits chimiques (SAICM) et l’unité récemment formée sur la santé et la</w:t>
            </w:r>
            <w:r w:rsidR="00BC0773" w:rsidRPr="0087428A">
              <w:rPr>
                <w:sz w:val="18"/>
                <w:szCs w:val="18"/>
                <w:lang w:val="fr-FR"/>
              </w:rPr>
              <w:t xml:space="preserve"> </w:t>
            </w:r>
            <w:r w:rsidR="00F62473" w:rsidRPr="0087428A">
              <w:rPr>
                <w:sz w:val="18"/>
                <w:szCs w:val="18"/>
                <w:lang w:val="fr-FR"/>
              </w:rPr>
              <w:t>p</w:t>
            </w:r>
            <w:r w:rsidR="00BC0773" w:rsidRPr="0087428A">
              <w:rPr>
                <w:sz w:val="18"/>
                <w:szCs w:val="18"/>
                <w:lang w:val="fr-FR"/>
              </w:rPr>
              <w:t xml:space="preserve">ollution. </w:t>
            </w:r>
          </w:p>
          <w:p w14:paraId="38817299" w14:textId="5EC9FC99" w:rsidR="00E141C8" w:rsidRPr="0087428A" w:rsidRDefault="003C56B0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rPr>
                <w:sz w:val="18"/>
                <w:szCs w:val="18"/>
                <w:lang w:val="fr-FR"/>
              </w:rPr>
            </w:pPr>
            <w:r w:rsidRPr="0087428A">
              <w:rPr>
                <w:sz w:val="18"/>
                <w:szCs w:val="18"/>
                <w:lang w:val="fr-FR"/>
              </w:rPr>
              <w:t xml:space="preserve">Le Service mène des travaux ciblés sur le mercure depuis plusieurs années, en particulier dans </w:t>
            </w:r>
            <w:r w:rsidR="0009758D">
              <w:rPr>
                <w:sz w:val="18"/>
                <w:szCs w:val="18"/>
                <w:lang w:val="fr-FR"/>
              </w:rPr>
              <w:t>le cadre du Partenariat mondial</w:t>
            </w:r>
            <w:r w:rsidRPr="0087428A">
              <w:rPr>
                <w:sz w:val="18"/>
                <w:szCs w:val="18"/>
                <w:lang w:val="fr-FR"/>
              </w:rPr>
              <w:t xml:space="preserve"> sur le mercure du PNUE. Il </w:t>
            </w:r>
            <w:r w:rsidR="00FF05A4">
              <w:rPr>
                <w:sz w:val="18"/>
                <w:szCs w:val="18"/>
                <w:lang w:val="fr-FR"/>
              </w:rPr>
              <w:t>a abrité</w:t>
            </w:r>
            <w:r w:rsidRPr="0087428A">
              <w:rPr>
                <w:sz w:val="18"/>
                <w:szCs w:val="18"/>
                <w:lang w:val="fr-FR"/>
              </w:rPr>
              <w:t xml:space="preserve"> le secré</w:t>
            </w:r>
            <w:r w:rsidR="00C16E61" w:rsidRPr="0087428A">
              <w:rPr>
                <w:sz w:val="18"/>
                <w:szCs w:val="18"/>
                <w:lang w:val="fr-FR"/>
              </w:rPr>
              <w:t xml:space="preserve">tariat </w:t>
            </w:r>
            <w:r w:rsidRPr="0087428A">
              <w:rPr>
                <w:sz w:val="18"/>
                <w:szCs w:val="18"/>
                <w:lang w:val="fr-FR"/>
              </w:rPr>
              <w:t xml:space="preserve">qui a </w:t>
            </w:r>
            <w:r w:rsidR="00275EAB" w:rsidRPr="0087428A">
              <w:rPr>
                <w:sz w:val="18"/>
                <w:szCs w:val="18"/>
                <w:lang w:val="fr-FR"/>
              </w:rPr>
              <w:t xml:space="preserve">négocié la Convention de </w:t>
            </w:r>
            <w:r w:rsidR="00F62473" w:rsidRPr="0087428A">
              <w:rPr>
                <w:sz w:val="18"/>
                <w:szCs w:val="18"/>
                <w:lang w:val="fr-FR"/>
              </w:rPr>
              <w:t>Minamata</w:t>
            </w:r>
            <w:r w:rsidR="00275EAB" w:rsidRPr="0087428A">
              <w:rPr>
                <w:sz w:val="18"/>
                <w:szCs w:val="18"/>
                <w:lang w:val="fr-FR"/>
              </w:rPr>
              <w:t>, devenu depuis le secrétariat provisoire de la</w:t>
            </w:r>
            <w:r w:rsidR="00F62473" w:rsidRPr="0087428A">
              <w:rPr>
                <w:sz w:val="18"/>
                <w:szCs w:val="18"/>
                <w:lang w:val="fr-FR"/>
              </w:rPr>
              <w:t xml:space="preserve"> Convention</w:t>
            </w:r>
            <w:r w:rsidR="007F322F" w:rsidRPr="0087428A">
              <w:rPr>
                <w:sz w:val="18"/>
                <w:szCs w:val="18"/>
                <w:lang w:val="fr-FR"/>
              </w:rPr>
              <w:t xml:space="preserve">. </w:t>
            </w:r>
            <w:r w:rsidR="00FF05A4">
              <w:rPr>
                <w:sz w:val="18"/>
                <w:szCs w:val="18"/>
                <w:lang w:val="fr-FR"/>
              </w:rPr>
              <w:t>Il</w:t>
            </w:r>
            <w:r w:rsidR="00275EAB" w:rsidRPr="0087428A">
              <w:rPr>
                <w:sz w:val="18"/>
                <w:szCs w:val="18"/>
                <w:lang w:val="fr-FR"/>
              </w:rPr>
              <w:t xml:space="preserve"> dirige l’évaluation mondiale du mercure et les travaux au titre du </w:t>
            </w:r>
            <w:r w:rsidR="00275EAB" w:rsidRPr="0087428A">
              <w:rPr>
                <w:i/>
                <w:sz w:val="18"/>
                <w:szCs w:val="18"/>
                <w:lang w:val="fr-FR"/>
              </w:rPr>
              <w:t xml:space="preserve">Global Chemicals Outlook </w:t>
            </w:r>
            <w:r w:rsidR="00275EAB" w:rsidRPr="0087428A">
              <w:rPr>
                <w:sz w:val="18"/>
                <w:szCs w:val="18"/>
                <w:lang w:val="fr-FR"/>
              </w:rPr>
              <w:t>et il accueille l’</w:t>
            </w:r>
            <w:r w:rsidR="00BA37ED" w:rsidRPr="0087428A">
              <w:rPr>
                <w:sz w:val="18"/>
                <w:szCs w:val="18"/>
                <w:lang w:val="fr-FR"/>
              </w:rPr>
              <w:t>A</w:t>
            </w:r>
            <w:r w:rsidR="007F322F" w:rsidRPr="0087428A">
              <w:rPr>
                <w:sz w:val="18"/>
                <w:szCs w:val="18"/>
                <w:lang w:val="fr-FR"/>
              </w:rPr>
              <w:t>lliance</w:t>
            </w:r>
            <w:r w:rsidR="00275EAB" w:rsidRPr="0087428A">
              <w:rPr>
                <w:sz w:val="18"/>
                <w:szCs w:val="18"/>
                <w:lang w:val="fr-FR"/>
              </w:rPr>
              <w:t xml:space="preserve"> mondiale pour l’élimination des peintures au plomb</w:t>
            </w:r>
            <w:r w:rsidR="007160EE" w:rsidRPr="0087428A">
              <w:rPr>
                <w:sz w:val="18"/>
                <w:szCs w:val="18"/>
                <w:lang w:val="fr-FR"/>
              </w:rPr>
              <w:t xml:space="preserve">. </w:t>
            </w:r>
            <w:r w:rsidR="00275EAB" w:rsidRPr="0087428A">
              <w:rPr>
                <w:sz w:val="18"/>
                <w:szCs w:val="18"/>
                <w:lang w:val="fr-FR"/>
              </w:rPr>
              <w:t>La</w:t>
            </w:r>
            <w:r w:rsidR="000B122B" w:rsidRPr="0087428A">
              <w:rPr>
                <w:sz w:val="18"/>
                <w:szCs w:val="18"/>
                <w:lang w:val="fr-FR"/>
              </w:rPr>
              <w:t xml:space="preserve"> </w:t>
            </w:r>
            <w:r w:rsidR="007F322F" w:rsidRPr="0087428A">
              <w:rPr>
                <w:sz w:val="18"/>
                <w:szCs w:val="18"/>
                <w:lang w:val="fr-FR"/>
              </w:rPr>
              <w:t>Division</w:t>
            </w:r>
            <w:r w:rsidR="00F00840">
              <w:rPr>
                <w:sz w:val="18"/>
                <w:szCs w:val="18"/>
                <w:lang w:val="fr-FR"/>
              </w:rPr>
              <w:t xml:space="preserve"> de l’é</w:t>
            </w:r>
            <w:r w:rsidR="00275EAB" w:rsidRPr="0087428A">
              <w:rPr>
                <w:sz w:val="18"/>
                <w:szCs w:val="18"/>
                <w:lang w:val="fr-FR"/>
              </w:rPr>
              <w:t>conomie mène des travaux con</w:t>
            </w:r>
            <w:r w:rsidR="0009758D">
              <w:rPr>
                <w:sz w:val="18"/>
                <w:szCs w:val="18"/>
                <w:lang w:val="fr-FR"/>
              </w:rPr>
              <w:t>nexes sur l’utilisation rationnelle</w:t>
            </w:r>
            <w:r w:rsidR="00275EAB" w:rsidRPr="0087428A">
              <w:rPr>
                <w:sz w:val="18"/>
                <w:szCs w:val="18"/>
                <w:lang w:val="fr-FR"/>
              </w:rPr>
              <w:t xml:space="preserve"> des ressources, l’énergie et l’économie circulaire. </w:t>
            </w:r>
          </w:p>
          <w:p w14:paraId="43F0C75A" w14:textId="503586E4" w:rsidR="00BA37ED" w:rsidRPr="0087428A" w:rsidRDefault="00D35DFA" w:rsidP="005F3B4C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rPr>
                <w:sz w:val="18"/>
                <w:szCs w:val="18"/>
                <w:lang w:val="fr-FR"/>
              </w:rPr>
            </w:pPr>
            <w:r w:rsidRPr="0087428A">
              <w:rPr>
                <w:sz w:val="18"/>
                <w:szCs w:val="18"/>
                <w:lang w:val="fr-FR"/>
              </w:rPr>
              <w:t>Le</w:t>
            </w:r>
            <w:r w:rsidR="00FF05A4">
              <w:rPr>
                <w:sz w:val="18"/>
                <w:szCs w:val="18"/>
                <w:lang w:val="fr-FR"/>
              </w:rPr>
              <w:t xml:space="preserve"> Service possède une vaste</w:t>
            </w:r>
            <w:r w:rsidRPr="0087428A">
              <w:rPr>
                <w:sz w:val="18"/>
                <w:szCs w:val="18"/>
                <w:lang w:val="fr-FR"/>
              </w:rPr>
              <w:t xml:space="preserve"> expérience de la gestion de </w:t>
            </w:r>
            <w:r w:rsidR="00BA37ED" w:rsidRPr="0087428A">
              <w:rPr>
                <w:sz w:val="18"/>
                <w:szCs w:val="18"/>
                <w:lang w:val="fr-FR"/>
              </w:rPr>
              <w:t>programme</w:t>
            </w:r>
            <w:r w:rsidR="005F4274" w:rsidRPr="0087428A">
              <w:rPr>
                <w:sz w:val="18"/>
                <w:szCs w:val="18"/>
                <w:lang w:val="fr-FR"/>
              </w:rPr>
              <w:t>s</w:t>
            </w:r>
            <w:r w:rsidRPr="0087428A">
              <w:rPr>
                <w:sz w:val="18"/>
                <w:szCs w:val="18"/>
                <w:lang w:val="fr-FR"/>
              </w:rPr>
              <w:t xml:space="preserve"> et de la mobilisation de ressources à l’appui du renforcement des capacités, de l’</w:t>
            </w:r>
            <w:r w:rsidR="0008504A" w:rsidRPr="0087428A">
              <w:rPr>
                <w:sz w:val="18"/>
                <w:szCs w:val="18"/>
                <w:lang w:val="fr-FR"/>
              </w:rPr>
              <w:t>assistance</w:t>
            </w:r>
            <w:r w:rsidRPr="0087428A">
              <w:rPr>
                <w:sz w:val="18"/>
                <w:szCs w:val="18"/>
                <w:lang w:val="fr-FR"/>
              </w:rPr>
              <w:t xml:space="preserve"> technique et du renforcement institutionnel</w:t>
            </w:r>
            <w:r w:rsidR="00A10785" w:rsidRPr="0087428A">
              <w:rPr>
                <w:sz w:val="18"/>
                <w:szCs w:val="18"/>
                <w:lang w:val="fr-FR"/>
              </w:rPr>
              <w:t>.</w:t>
            </w:r>
            <w:r w:rsidRPr="0087428A">
              <w:rPr>
                <w:sz w:val="18"/>
                <w:szCs w:val="18"/>
                <w:lang w:val="fr-FR"/>
              </w:rPr>
              <w:t xml:space="preserve"> </w:t>
            </w:r>
            <w:r w:rsidR="00FF05A4">
              <w:rPr>
                <w:sz w:val="18"/>
                <w:szCs w:val="18"/>
                <w:lang w:val="fr-FR"/>
              </w:rPr>
              <w:t xml:space="preserve">Par son </w:t>
            </w:r>
            <w:r w:rsidRPr="0087428A">
              <w:rPr>
                <w:sz w:val="18"/>
                <w:szCs w:val="18"/>
                <w:lang w:val="fr-FR"/>
              </w:rPr>
              <w:t>intermédiaire, le PNUE assure le secré</w:t>
            </w:r>
            <w:r w:rsidR="00A10785" w:rsidRPr="0087428A">
              <w:rPr>
                <w:sz w:val="18"/>
                <w:szCs w:val="18"/>
                <w:lang w:val="fr-FR"/>
              </w:rPr>
              <w:t>tariat</w:t>
            </w:r>
            <w:r w:rsidRPr="0087428A">
              <w:rPr>
                <w:sz w:val="18"/>
                <w:szCs w:val="18"/>
                <w:lang w:val="fr-FR"/>
              </w:rPr>
              <w:t xml:space="preserve"> de l’Approche stratégique de la gestion internationale des produits chimiques, qui gère le Programme de démarrage rapide.</w:t>
            </w:r>
            <w:r w:rsidR="00A10785" w:rsidRPr="0087428A">
              <w:rPr>
                <w:sz w:val="18"/>
                <w:szCs w:val="18"/>
                <w:lang w:val="fr-FR"/>
              </w:rPr>
              <w:t xml:space="preserve"> </w:t>
            </w:r>
            <w:r w:rsidR="00FF05A4">
              <w:rPr>
                <w:sz w:val="18"/>
                <w:szCs w:val="18"/>
                <w:lang w:val="fr-FR"/>
              </w:rPr>
              <w:t xml:space="preserve">Par son </w:t>
            </w:r>
            <w:r w:rsidRPr="0087428A">
              <w:rPr>
                <w:sz w:val="18"/>
                <w:szCs w:val="18"/>
                <w:lang w:val="fr-FR"/>
              </w:rPr>
              <w:t>intermédiaire</w:t>
            </w:r>
            <w:r w:rsidR="00FF05A4">
              <w:rPr>
                <w:sz w:val="18"/>
                <w:szCs w:val="18"/>
                <w:lang w:val="fr-FR"/>
              </w:rPr>
              <w:t xml:space="preserve"> également</w:t>
            </w:r>
            <w:r w:rsidRPr="0087428A">
              <w:rPr>
                <w:sz w:val="18"/>
                <w:szCs w:val="18"/>
                <w:lang w:val="fr-FR"/>
              </w:rPr>
              <w:t xml:space="preserve">, le PNUE </w:t>
            </w:r>
            <w:r w:rsidR="00325915">
              <w:rPr>
                <w:sz w:val="18"/>
                <w:szCs w:val="18"/>
                <w:lang w:val="fr-FR"/>
              </w:rPr>
              <w:t>assure aussi le secrétariat du P</w:t>
            </w:r>
            <w:r w:rsidRPr="0087428A">
              <w:rPr>
                <w:sz w:val="18"/>
                <w:szCs w:val="18"/>
                <w:lang w:val="fr-FR"/>
              </w:rPr>
              <w:t xml:space="preserve">rogramme spécial </w:t>
            </w:r>
            <w:r w:rsidR="005F3B4C">
              <w:rPr>
                <w:sz w:val="18"/>
                <w:szCs w:val="18"/>
                <w:lang w:val="fr-FR"/>
              </w:rPr>
              <w:t>d’appui au</w:t>
            </w:r>
            <w:r w:rsidR="00F51856">
              <w:rPr>
                <w:sz w:val="18"/>
                <w:szCs w:val="18"/>
                <w:lang w:val="fr-FR"/>
              </w:rPr>
              <w:t xml:space="preserve"> renforcement</w:t>
            </w:r>
            <w:r w:rsidR="005F3B4C">
              <w:rPr>
                <w:sz w:val="18"/>
                <w:szCs w:val="18"/>
                <w:lang w:val="fr-FR"/>
              </w:rPr>
              <w:t xml:space="preserve"> des</w:t>
            </w:r>
            <w:r w:rsidR="00F51856">
              <w:rPr>
                <w:sz w:val="18"/>
                <w:szCs w:val="18"/>
                <w:lang w:val="fr-FR"/>
              </w:rPr>
              <w:t xml:space="preserve"> institution</w:t>
            </w:r>
            <w:r w:rsidR="005F3B4C">
              <w:rPr>
                <w:sz w:val="18"/>
                <w:szCs w:val="18"/>
                <w:lang w:val="fr-FR"/>
              </w:rPr>
              <w:t>s</w:t>
            </w:r>
            <w:r w:rsidRPr="0087428A">
              <w:rPr>
                <w:sz w:val="18"/>
                <w:szCs w:val="18"/>
                <w:lang w:val="fr-FR"/>
              </w:rPr>
              <w:t xml:space="preserve"> </w:t>
            </w:r>
            <w:r w:rsidR="00BC0773" w:rsidRPr="0087428A">
              <w:rPr>
                <w:sz w:val="18"/>
                <w:szCs w:val="18"/>
                <w:lang w:val="fr-FR"/>
              </w:rPr>
              <w:t>national</w:t>
            </w:r>
            <w:r w:rsidR="00F51856">
              <w:rPr>
                <w:sz w:val="18"/>
                <w:szCs w:val="18"/>
                <w:lang w:val="fr-FR"/>
              </w:rPr>
              <w:t>e</w:t>
            </w:r>
            <w:r w:rsidR="005F3B4C">
              <w:rPr>
                <w:sz w:val="18"/>
                <w:szCs w:val="18"/>
                <w:lang w:val="fr-FR"/>
              </w:rPr>
              <w:t>s</w:t>
            </w:r>
            <w:r w:rsidR="00F51856">
              <w:rPr>
                <w:sz w:val="18"/>
                <w:szCs w:val="18"/>
                <w:lang w:val="fr-FR"/>
              </w:rPr>
              <w:t>, visant à</w:t>
            </w:r>
            <w:r w:rsidR="008D5C0C">
              <w:rPr>
                <w:sz w:val="18"/>
                <w:szCs w:val="18"/>
                <w:lang w:val="fr-FR"/>
              </w:rPr>
              <w:t xml:space="preserve"> mettre en œuvre les c</w:t>
            </w:r>
            <w:r w:rsidR="00401525" w:rsidRPr="0087428A">
              <w:rPr>
                <w:sz w:val="18"/>
                <w:szCs w:val="18"/>
                <w:lang w:val="fr-FR"/>
              </w:rPr>
              <w:t>onvention</w:t>
            </w:r>
            <w:r w:rsidR="008D5C0C">
              <w:rPr>
                <w:sz w:val="18"/>
                <w:szCs w:val="18"/>
                <w:lang w:val="fr-FR"/>
              </w:rPr>
              <w:t>s</w:t>
            </w:r>
            <w:r w:rsidRPr="0087428A">
              <w:rPr>
                <w:sz w:val="18"/>
                <w:szCs w:val="18"/>
                <w:lang w:val="fr-FR"/>
              </w:rPr>
              <w:t xml:space="preserve"> de Bâle, de </w:t>
            </w:r>
            <w:r w:rsidR="00401525" w:rsidRPr="0087428A">
              <w:rPr>
                <w:sz w:val="18"/>
                <w:szCs w:val="18"/>
                <w:lang w:val="fr-FR"/>
              </w:rPr>
              <w:t>Rotterdam</w:t>
            </w:r>
            <w:r w:rsidR="00325915">
              <w:rPr>
                <w:sz w:val="18"/>
                <w:szCs w:val="18"/>
                <w:lang w:val="fr-FR"/>
              </w:rPr>
              <w:t xml:space="preserve"> et</w:t>
            </w:r>
            <w:r w:rsidRPr="0087428A">
              <w:rPr>
                <w:sz w:val="18"/>
                <w:szCs w:val="18"/>
                <w:lang w:val="fr-FR"/>
              </w:rPr>
              <w:t xml:space="preserve"> de </w:t>
            </w:r>
            <w:r w:rsidR="00401525" w:rsidRPr="0087428A">
              <w:rPr>
                <w:sz w:val="18"/>
                <w:szCs w:val="18"/>
                <w:lang w:val="fr-FR"/>
              </w:rPr>
              <w:t>Stockholm</w:t>
            </w:r>
            <w:r w:rsidRPr="0087428A">
              <w:rPr>
                <w:sz w:val="18"/>
                <w:szCs w:val="18"/>
                <w:lang w:val="fr-FR"/>
              </w:rPr>
              <w:t xml:space="preserve">, </w:t>
            </w:r>
            <w:r w:rsidR="00325915">
              <w:rPr>
                <w:sz w:val="18"/>
                <w:szCs w:val="18"/>
                <w:lang w:val="fr-FR"/>
              </w:rPr>
              <w:t xml:space="preserve">la Convention </w:t>
            </w:r>
            <w:r w:rsidRPr="0087428A">
              <w:rPr>
                <w:sz w:val="18"/>
                <w:szCs w:val="18"/>
                <w:lang w:val="fr-FR"/>
              </w:rPr>
              <w:t xml:space="preserve">de </w:t>
            </w:r>
            <w:r w:rsidR="00BC0773" w:rsidRPr="0087428A">
              <w:rPr>
                <w:sz w:val="18"/>
                <w:szCs w:val="18"/>
                <w:lang w:val="fr-FR"/>
              </w:rPr>
              <w:t xml:space="preserve">Minamata </w:t>
            </w:r>
            <w:r w:rsidR="00325915">
              <w:rPr>
                <w:sz w:val="18"/>
                <w:szCs w:val="18"/>
                <w:lang w:val="fr-FR"/>
              </w:rPr>
              <w:t xml:space="preserve">et </w:t>
            </w:r>
            <w:r w:rsidRPr="0087428A">
              <w:rPr>
                <w:sz w:val="18"/>
                <w:szCs w:val="18"/>
                <w:lang w:val="fr-FR"/>
              </w:rPr>
              <w:t>l’Approche stratégique</w:t>
            </w:r>
            <w:r w:rsidR="008D5C0C">
              <w:rPr>
                <w:sz w:val="18"/>
                <w:szCs w:val="18"/>
                <w:lang w:val="fr-FR"/>
              </w:rPr>
              <w:t xml:space="preserve"> de la gestion internationale des produits chimiques</w:t>
            </w:r>
            <w:r w:rsidRPr="0087428A">
              <w:rPr>
                <w:sz w:val="18"/>
                <w:szCs w:val="18"/>
                <w:lang w:val="fr-FR"/>
              </w:rPr>
              <w:t xml:space="preserve">. </w:t>
            </w:r>
          </w:p>
        </w:tc>
        <w:tc>
          <w:tcPr>
            <w:tcW w:w="3185" w:type="dxa"/>
            <w:shd w:val="clear" w:color="auto" w:fill="auto"/>
          </w:tcPr>
          <w:p w14:paraId="70585E67" w14:textId="08A2CD1C" w:rsidR="00E63DD4" w:rsidRPr="0087428A" w:rsidRDefault="00B9420F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Implanter</w:t>
            </w:r>
            <w:r w:rsidR="0009758D">
              <w:rPr>
                <w:sz w:val="18"/>
                <w:szCs w:val="18"/>
                <w:lang w:val="fr-FR"/>
              </w:rPr>
              <w:t xml:space="preserve"> le secrétariat du p</w:t>
            </w:r>
            <w:r w:rsidR="00826102" w:rsidRPr="0087428A">
              <w:rPr>
                <w:sz w:val="18"/>
                <w:szCs w:val="18"/>
                <w:lang w:val="fr-FR"/>
              </w:rPr>
              <w:t>rogramme</w:t>
            </w:r>
            <w:r w:rsidR="002F3A73" w:rsidRPr="0087428A">
              <w:rPr>
                <w:sz w:val="18"/>
                <w:szCs w:val="18"/>
                <w:lang w:val="fr-FR"/>
              </w:rPr>
              <w:t xml:space="preserve"> international</w:t>
            </w:r>
            <w:r w:rsidR="00826102" w:rsidRPr="0087428A">
              <w:rPr>
                <w:sz w:val="18"/>
                <w:szCs w:val="18"/>
                <w:lang w:val="fr-FR"/>
              </w:rPr>
              <w:t xml:space="preserve"> spécifique </w:t>
            </w:r>
            <w:r>
              <w:rPr>
                <w:sz w:val="18"/>
                <w:szCs w:val="18"/>
                <w:lang w:val="fr-FR"/>
              </w:rPr>
              <w:t>au sein du</w:t>
            </w:r>
            <w:r w:rsidR="00826102" w:rsidRPr="0087428A">
              <w:rPr>
                <w:sz w:val="18"/>
                <w:szCs w:val="18"/>
                <w:lang w:val="fr-FR"/>
              </w:rPr>
              <w:t xml:space="preserve"> secrétariat </w:t>
            </w:r>
            <w:r w:rsidR="002F3A73" w:rsidRPr="0087428A">
              <w:rPr>
                <w:sz w:val="18"/>
                <w:szCs w:val="18"/>
                <w:lang w:val="fr-FR"/>
              </w:rPr>
              <w:t>permanent</w:t>
            </w:r>
            <w:r w:rsidR="001F7B7B" w:rsidRPr="0087428A">
              <w:rPr>
                <w:sz w:val="18"/>
                <w:szCs w:val="18"/>
                <w:lang w:val="fr-FR"/>
              </w:rPr>
              <w:t xml:space="preserve"> </w:t>
            </w:r>
            <w:r w:rsidR="00826102" w:rsidRPr="0087428A">
              <w:rPr>
                <w:sz w:val="18"/>
                <w:szCs w:val="18"/>
                <w:lang w:val="fr-FR"/>
              </w:rPr>
              <w:t xml:space="preserve">de la </w:t>
            </w:r>
            <w:r w:rsidR="00E016D8" w:rsidRPr="0087428A">
              <w:rPr>
                <w:sz w:val="18"/>
                <w:szCs w:val="18"/>
                <w:lang w:val="fr-FR"/>
              </w:rPr>
              <w:t xml:space="preserve">Convention </w:t>
            </w:r>
            <w:r w:rsidR="00826102" w:rsidRPr="0087428A">
              <w:rPr>
                <w:sz w:val="18"/>
                <w:szCs w:val="18"/>
                <w:lang w:val="fr-FR"/>
              </w:rPr>
              <w:t>offrira</w:t>
            </w:r>
            <w:r w:rsidR="0009758D">
              <w:rPr>
                <w:sz w:val="18"/>
                <w:szCs w:val="18"/>
                <w:lang w:val="fr-FR"/>
              </w:rPr>
              <w:t>it</w:t>
            </w:r>
            <w:r w:rsidR="00826102" w:rsidRPr="0087428A">
              <w:rPr>
                <w:sz w:val="18"/>
                <w:szCs w:val="18"/>
                <w:lang w:val="fr-FR"/>
              </w:rPr>
              <w:t xml:space="preserve"> un point de concentration unique sur le mercure, ainsi qu’une proximité directe avec la </w:t>
            </w:r>
            <w:r w:rsidR="00013B94" w:rsidRPr="0087428A">
              <w:rPr>
                <w:sz w:val="18"/>
                <w:szCs w:val="18"/>
                <w:lang w:val="fr-FR"/>
              </w:rPr>
              <w:t>C</w:t>
            </w:r>
            <w:r w:rsidR="001F7B7B" w:rsidRPr="0087428A">
              <w:rPr>
                <w:sz w:val="18"/>
                <w:szCs w:val="18"/>
                <w:lang w:val="fr-FR"/>
              </w:rPr>
              <w:t>onvention</w:t>
            </w:r>
            <w:r w:rsidR="00013B94" w:rsidRPr="0087428A">
              <w:rPr>
                <w:sz w:val="18"/>
                <w:szCs w:val="18"/>
                <w:lang w:val="fr-FR"/>
              </w:rPr>
              <w:t xml:space="preserve"> </w:t>
            </w:r>
            <w:r w:rsidR="00826102" w:rsidRPr="0087428A">
              <w:rPr>
                <w:sz w:val="18"/>
                <w:szCs w:val="18"/>
                <w:lang w:val="fr-FR"/>
              </w:rPr>
              <w:t>et les</w:t>
            </w:r>
            <w:r w:rsidR="00F62473" w:rsidRPr="0087428A">
              <w:rPr>
                <w:sz w:val="18"/>
                <w:szCs w:val="18"/>
                <w:lang w:val="fr-FR"/>
              </w:rPr>
              <w:t xml:space="preserve"> </w:t>
            </w:r>
            <w:r w:rsidR="00013B94" w:rsidRPr="0087428A">
              <w:rPr>
                <w:sz w:val="18"/>
                <w:szCs w:val="18"/>
                <w:lang w:val="fr-FR"/>
              </w:rPr>
              <w:t>Parties</w:t>
            </w:r>
            <w:r w:rsidR="00826102" w:rsidRPr="0087428A">
              <w:rPr>
                <w:sz w:val="18"/>
                <w:szCs w:val="18"/>
                <w:lang w:val="fr-FR"/>
              </w:rPr>
              <w:t>. En</w:t>
            </w:r>
            <w:r w:rsidR="0009758D">
              <w:rPr>
                <w:sz w:val="18"/>
                <w:szCs w:val="18"/>
                <w:lang w:val="fr-FR"/>
              </w:rPr>
              <w:t xml:space="preserve"> accueillant le secrétariat du p</w:t>
            </w:r>
            <w:r w:rsidR="00826102" w:rsidRPr="0087428A">
              <w:rPr>
                <w:sz w:val="18"/>
                <w:szCs w:val="18"/>
                <w:lang w:val="fr-FR"/>
              </w:rPr>
              <w:t xml:space="preserve">rogramme </w:t>
            </w:r>
            <w:r w:rsidR="00A10785" w:rsidRPr="0087428A">
              <w:rPr>
                <w:sz w:val="18"/>
                <w:szCs w:val="18"/>
                <w:lang w:val="fr-FR"/>
              </w:rPr>
              <w:t xml:space="preserve">international </w:t>
            </w:r>
            <w:r w:rsidR="00826102" w:rsidRPr="0087428A">
              <w:rPr>
                <w:sz w:val="18"/>
                <w:szCs w:val="18"/>
                <w:lang w:val="fr-FR"/>
              </w:rPr>
              <w:t xml:space="preserve">spécifique, le secrétariat de la </w:t>
            </w:r>
            <w:r w:rsidR="00013B94" w:rsidRPr="0087428A">
              <w:rPr>
                <w:sz w:val="18"/>
                <w:szCs w:val="18"/>
                <w:lang w:val="fr-FR"/>
              </w:rPr>
              <w:t>C</w:t>
            </w:r>
            <w:r w:rsidR="001F7B7B" w:rsidRPr="0087428A">
              <w:rPr>
                <w:sz w:val="18"/>
                <w:szCs w:val="18"/>
                <w:lang w:val="fr-FR"/>
              </w:rPr>
              <w:t xml:space="preserve">onvention </w:t>
            </w:r>
            <w:r w:rsidR="00826102" w:rsidRPr="0087428A">
              <w:rPr>
                <w:sz w:val="18"/>
                <w:szCs w:val="18"/>
                <w:lang w:val="fr-FR"/>
              </w:rPr>
              <w:t>pourrait s’inspirer de l’ex</w:t>
            </w:r>
            <w:r w:rsidR="002C34D8" w:rsidRPr="0087428A">
              <w:rPr>
                <w:sz w:val="18"/>
                <w:szCs w:val="18"/>
                <w:lang w:val="fr-FR"/>
              </w:rPr>
              <w:t>périence pertinente du secrétar</w:t>
            </w:r>
            <w:r w:rsidR="00826102" w:rsidRPr="0087428A">
              <w:rPr>
                <w:sz w:val="18"/>
                <w:szCs w:val="18"/>
                <w:lang w:val="fr-FR"/>
              </w:rPr>
              <w:t>i</w:t>
            </w:r>
            <w:r w:rsidR="002C34D8" w:rsidRPr="0087428A">
              <w:rPr>
                <w:sz w:val="18"/>
                <w:szCs w:val="18"/>
                <w:lang w:val="fr-FR"/>
              </w:rPr>
              <w:t>a</w:t>
            </w:r>
            <w:r w:rsidR="00826102" w:rsidRPr="0087428A">
              <w:rPr>
                <w:sz w:val="18"/>
                <w:szCs w:val="18"/>
                <w:lang w:val="fr-FR"/>
              </w:rPr>
              <w:t xml:space="preserve">t provisoire. Le secrétariat de la </w:t>
            </w:r>
            <w:r w:rsidR="00013B94" w:rsidRPr="0087428A">
              <w:rPr>
                <w:sz w:val="18"/>
                <w:szCs w:val="18"/>
                <w:lang w:val="fr-FR"/>
              </w:rPr>
              <w:t xml:space="preserve">Convention </w:t>
            </w:r>
            <w:r w:rsidR="002C34D8" w:rsidRPr="0087428A">
              <w:rPr>
                <w:sz w:val="18"/>
                <w:szCs w:val="18"/>
                <w:lang w:val="fr-FR"/>
              </w:rPr>
              <w:t xml:space="preserve">devrait compter du personnel </w:t>
            </w:r>
            <w:r w:rsidR="0009758D">
              <w:rPr>
                <w:sz w:val="18"/>
                <w:szCs w:val="18"/>
                <w:lang w:val="fr-FR"/>
              </w:rPr>
              <w:t>scientifique et technique dans s</w:t>
            </w:r>
            <w:r w:rsidR="002C34D8" w:rsidRPr="0087428A">
              <w:rPr>
                <w:sz w:val="18"/>
                <w:szCs w:val="18"/>
                <w:lang w:val="fr-FR"/>
              </w:rPr>
              <w:t xml:space="preserve">es futurs effectifs. </w:t>
            </w:r>
          </w:p>
          <w:p w14:paraId="6F978EB9" w14:textId="60675612" w:rsidR="00E141C8" w:rsidRPr="0087428A" w:rsidRDefault="002C34D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rPr>
                <w:sz w:val="18"/>
                <w:szCs w:val="18"/>
                <w:lang w:val="fr-FR"/>
              </w:rPr>
            </w:pPr>
            <w:r w:rsidRPr="0087428A">
              <w:rPr>
                <w:sz w:val="18"/>
                <w:szCs w:val="18"/>
                <w:lang w:val="fr-FR"/>
              </w:rPr>
              <w:t xml:space="preserve">De </w:t>
            </w:r>
            <w:r w:rsidR="00F51856">
              <w:rPr>
                <w:sz w:val="18"/>
                <w:szCs w:val="18"/>
                <w:lang w:val="fr-FR"/>
              </w:rPr>
              <w:t>plus</w:t>
            </w:r>
            <w:r w:rsidRPr="0087428A">
              <w:rPr>
                <w:sz w:val="18"/>
                <w:szCs w:val="18"/>
                <w:lang w:val="fr-FR"/>
              </w:rPr>
              <w:t>, comme indiqué à l’</w:t>
            </w:r>
            <w:r w:rsidR="0007282C" w:rsidRPr="0087428A">
              <w:rPr>
                <w:sz w:val="18"/>
                <w:szCs w:val="18"/>
                <w:lang w:val="fr-FR"/>
              </w:rPr>
              <w:t xml:space="preserve">article 24 </w:t>
            </w:r>
            <w:r w:rsidRPr="0087428A">
              <w:rPr>
                <w:sz w:val="18"/>
                <w:szCs w:val="18"/>
                <w:lang w:val="fr-FR"/>
              </w:rPr>
              <w:t xml:space="preserve">de la </w:t>
            </w:r>
            <w:r w:rsidR="0007282C" w:rsidRPr="0087428A">
              <w:rPr>
                <w:sz w:val="18"/>
                <w:szCs w:val="18"/>
                <w:lang w:val="fr-FR"/>
              </w:rPr>
              <w:t xml:space="preserve">Convention, </w:t>
            </w:r>
            <w:r w:rsidR="00FF05A4">
              <w:rPr>
                <w:sz w:val="18"/>
                <w:szCs w:val="18"/>
                <w:lang w:val="fr-FR"/>
              </w:rPr>
              <w:t>le</w:t>
            </w:r>
            <w:r w:rsidRPr="0087428A">
              <w:rPr>
                <w:sz w:val="18"/>
                <w:szCs w:val="18"/>
                <w:lang w:val="fr-FR"/>
              </w:rPr>
              <w:t xml:space="preserve"> secrétariat </w:t>
            </w:r>
            <w:r w:rsidR="00FF05A4">
              <w:rPr>
                <w:sz w:val="18"/>
                <w:szCs w:val="18"/>
                <w:lang w:val="fr-FR"/>
              </w:rPr>
              <w:t xml:space="preserve">de la Convention </w:t>
            </w:r>
            <w:r w:rsidRPr="0087428A">
              <w:rPr>
                <w:sz w:val="18"/>
                <w:szCs w:val="18"/>
                <w:lang w:val="fr-FR"/>
              </w:rPr>
              <w:t>est chargé de faciliter la fourniture d’une assistance sur demande et de coordonner les activités avec les secrétariats de</w:t>
            </w:r>
            <w:r w:rsidR="0009758D">
              <w:rPr>
                <w:sz w:val="18"/>
                <w:szCs w:val="18"/>
                <w:lang w:val="fr-FR"/>
              </w:rPr>
              <w:t>s</w:t>
            </w:r>
            <w:r w:rsidRPr="0087428A">
              <w:rPr>
                <w:sz w:val="18"/>
                <w:szCs w:val="18"/>
                <w:lang w:val="fr-FR"/>
              </w:rPr>
              <w:t xml:space="preserve"> organes </w:t>
            </w:r>
            <w:r w:rsidR="001F7B7B" w:rsidRPr="0087428A">
              <w:rPr>
                <w:sz w:val="18"/>
                <w:szCs w:val="18"/>
                <w:lang w:val="fr-FR"/>
              </w:rPr>
              <w:t>interna</w:t>
            </w:r>
            <w:r w:rsidRPr="0087428A">
              <w:rPr>
                <w:sz w:val="18"/>
                <w:szCs w:val="18"/>
                <w:lang w:val="fr-FR"/>
              </w:rPr>
              <w:t>tionaux compétents</w:t>
            </w:r>
            <w:r w:rsidR="001F7B7B" w:rsidRPr="0087428A">
              <w:rPr>
                <w:sz w:val="18"/>
                <w:szCs w:val="18"/>
                <w:lang w:val="fr-FR"/>
              </w:rPr>
              <w:t xml:space="preserve">. </w:t>
            </w:r>
          </w:p>
          <w:p w14:paraId="071C9B18" w14:textId="4D9796DE" w:rsidR="003117BE" w:rsidRPr="0087428A" w:rsidRDefault="002C34D8" w:rsidP="00FF05A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rPr>
                <w:sz w:val="18"/>
                <w:szCs w:val="18"/>
                <w:lang w:val="fr-FR"/>
              </w:rPr>
            </w:pPr>
            <w:r w:rsidRPr="0087428A">
              <w:rPr>
                <w:sz w:val="18"/>
                <w:szCs w:val="18"/>
                <w:lang w:val="fr-FR"/>
              </w:rPr>
              <w:t>On notera que la manière dont</w:t>
            </w:r>
            <w:r w:rsidR="0009758D">
              <w:rPr>
                <w:sz w:val="18"/>
                <w:szCs w:val="18"/>
                <w:lang w:val="fr-FR"/>
              </w:rPr>
              <w:t xml:space="preserve"> le Directeur exécutif exercera </w:t>
            </w:r>
            <w:r w:rsidRPr="0087428A">
              <w:rPr>
                <w:sz w:val="18"/>
                <w:szCs w:val="18"/>
                <w:lang w:val="fr-FR"/>
              </w:rPr>
              <w:t>les fonctions du secrétari</w:t>
            </w:r>
            <w:r w:rsidR="0009758D">
              <w:rPr>
                <w:sz w:val="18"/>
                <w:szCs w:val="18"/>
                <w:lang w:val="fr-FR"/>
              </w:rPr>
              <w:t>at perm</w:t>
            </w:r>
            <w:r w:rsidR="00F51856">
              <w:rPr>
                <w:sz w:val="18"/>
                <w:szCs w:val="18"/>
                <w:lang w:val="fr-FR"/>
              </w:rPr>
              <w:t>anent n’a pas encore été dé</w:t>
            </w:r>
            <w:r w:rsidR="00FF05A4">
              <w:rPr>
                <w:sz w:val="18"/>
                <w:szCs w:val="18"/>
                <w:lang w:val="fr-FR"/>
              </w:rPr>
              <w:t>cidée</w:t>
            </w:r>
            <w:r w:rsidRPr="0087428A">
              <w:rPr>
                <w:sz w:val="18"/>
                <w:szCs w:val="18"/>
                <w:lang w:val="fr-FR"/>
              </w:rPr>
              <w:t>.</w:t>
            </w:r>
          </w:p>
        </w:tc>
      </w:tr>
    </w:tbl>
    <w:p w14:paraId="4DE623E9" w14:textId="77777777" w:rsidR="00A00029" w:rsidRPr="0087428A" w:rsidRDefault="00A00029"/>
    <w:tbl>
      <w:tblPr>
        <w:tblStyle w:val="TableGrid"/>
        <w:tblW w:w="8203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8203"/>
      </w:tblGrid>
      <w:tr w:rsidR="005F6767" w:rsidRPr="0087428A" w14:paraId="484502C7" w14:textId="77777777" w:rsidTr="001E343F">
        <w:tc>
          <w:tcPr>
            <w:tcW w:w="8203" w:type="dxa"/>
            <w:shd w:val="clear" w:color="auto" w:fill="D9D9D9" w:themeFill="background1" w:themeFillShade="D9"/>
          </w:tcPr>
          <w:p w14:paraId="12B3B6DD" w14:textId="4FA1B173" w:rsidR="00B44408" w:rsidRPr="0087428A" w:rsidRDefault="00B44408" w:rsidP="0029126E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7428A">
              <w:rPr>
                <w:b/>
                <w:bCs/>
                <w:sz w:val="18"/>
                <w:szCs w:val="18"/>
                <w:lang w:val="fr-FR"/>
              </w:rPr>
              <w:t xml:space="preserve">2. </w:t>
            </w:r>
            <w:r w:rsidR="008D4A89" w:rsidRPr="0087428A">
              <w:rPr>
                <w:b/>
                <w:bCs/>
                <w:sz w:val="18"/>
                <w:szCs w:val="18"/>
                <w:lang w:val="fr-FR"/>
              </w:rPr>
              <w:t>Organe directeur</w:t>
            </w:r>
          </w:p>
          <w:p w14:paraId="6852B70B" w14:textId="688AC85F" w:rsidR="005F6767" w:rsidRPr="0087428A" w:rsidRDefault="002366CE" w:rsidP="0029212F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80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Le secrétariat du p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 xml:space="preserve">rogramme </w:t>
            </w:r>
            <w:r w:rsidR="00B44408" w:rsidRPr="0087428A">
              <w:rPr>
                <w:bCs/>
                <w:sz w:val="18"/>
                <w:szCs w:val="18"/>
                <w:lang w:val="fr-FR"/>
              </w:rPr>
              <w:t xml:space="preserve">international 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>spécifique</w:t>
            </w:r>
            <w:r w:rsidR="0027708D">
              <w:rPr>
                <w:bCs/>
                <w:sz w:val="18"/>
                <w:szCs w:val="18"/>
                <w:lang w:val="fr-FR"/>
              </w:rPr>
              <w:t xml:space="preserve"> fonctionnera sous la conduite 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>de la Conférence des Parties,</w:t>
            </w:r>
            <w:r w:rsidR="0027708D">
              <w:rPr>
                <w:bCs/>
                <w:sz w:val="18"/>
                <w:szCs w:val="18"/>
                <w:lang w:val="fr-FR"/>
              </w:rPr>
              <w:t xml:space="preserve"> à laquelle il rendra compte, et il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 xml:space="preserve"> sera directement responsable</w:t>
            </w:r>
            <w:r>
              <w:rPr>
                <w:bCs/>
                <w:sz w:val="18"/>
                <w:szCs w:val="18"/>
                <w:lang w:val="fr-FR"/>
              </w:rPr>
              <w:t xml:space="preserve"> de 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>l’</w:t>
            </w:r>
            <w:r w:rsidR="00B44408" w:rsidRPr="0087428A">
              <w:rPr>
                <w:bCs/>
                <w:sz w:val="18"/>
                <w:szCs w:val="18"/>
                <w:lang w:val="fr-FR"/>
              </w:rPr>
              <w:t>administration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Cs/>
                <w:sz w:val="18"/>
                <w:szCs w:val="18"/>
                <w:lang w:val="fr-FR"/>
              </w:rPr>
              <w:t xml:space="preserve">et de l’exécution 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>du programme. La Confé</w:t>
            </w:r>
            <w:r w:rsidR="00B44408" w:rsidRPr="0087428A">
              <w:rPr>
                <w:bCs/>
                <w:sz w:val="18"/>
                <w:szCs w:val="18"/>
                <w:lang w:val="fr-FR"/>
              </w:rPr>
              <w:t xml:space="preserve">rence 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>pourra cependant déléguer</w:t>
            </w:r>
            <w:r>
              <w:rPr>
                <w:bCs/>
                <w:sz w:val="18"/>
                <w:szCs w:val="18"/>
                <w:lang w:val="fr-FR"/>
              </w:rPr>
              <w:t xml:space="preserve"> la supervision et le suivi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 xml:space="preserve"> de ses orientations, y compris son pouvoir de décisi</w:t>
            </w:r>
            <w:r>
              <w:rPr>
                <w:bCs/>
                <w:sz w:val="18"/>
                <w:szCs w:val="18"/>
                <w:lang w:val="fr-FR"/>
              </w:rPr>
              <w:t xml:space="preserve">on concernant les projets et leur 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>gestion</w:t>
            </w:r>
            <w:r w:rsidR="00B44408" w:rsidRPr="0087428A">
              <w:rPr>
                <w:bCs/>
                <w:sz w:val="18"/>
                <w:szCs w:val="18"/>
                <w:lang w:val="fr-FR"/>
              </w:rPr>
              <w:t xml:space="preserve">, 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 xml:space="preserve">à un autre organe directeur servant d’intermédiaire </w:t>
            </w:r>
            <w:r w:rsidR="0029212F">
              <w:rPr>
                <w:bCs/>
                <w:sz w:val="18"/>
                <w:szCs w:val="18"/>
                <w:lang w:val="fr-FR"/>
              </w:rPr>
              <w:t xml:space="preserve">avec 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 xml:space="preserve">le secrétariat. </w:t>
            </w:r>
            <w:r w:rsidR="0008504A" w:rsidRPr="0087428A">
              <w:rPr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  <w:tr w:rsidR="005F6767" w:rsidRPr="0087428A" w14:paraId="1F5ECBDF" w14:textId="77777777" w:rsidTr="001E343F">
        <w:tc>
          <w:tcPr>
            <w:tcW w:w="8203" w:type="dxa"/>
            <w:shd w:val="clear" w:color="auto" w:fill="auto"/>
          </w:tcPr>
          <w:p w14:paraId="1535A905" w14:textId="14B3A330" w:rsidR="0008504A" w:rsidRPr="0087428A" w:rsidRDefault="00EA46DB" w:rsidP="0029126E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100"/>
              <w:rPr>
                <w:bCs/>
                <w:sz w:val="18"/>
                <w:szCs w:val="18"/>
                <w:lang w:val="fr-FR"/>
              </w:rPr>
            </w:pPr>
            <w:r w:rsidRPr="0087428A">
              <w:rPr>
                <w:b/>
                <w:sz w:val="18"/>
                <w:szCs w:val="18"/>
                <w:lang w:val="fr-FR"/>
              </w:rPr>
              <w:t>Considé</w:t>
            </w:r>
            <w:r w:rsidR="0008504A" w:rsidRPr="0087428A">
              <w:rPr>
                <w:b/>
                <w:sz w:val="18"/>
                <w:szCs w:val="18"/>
                <w:lang w:val="fr-FR"/>
              </w:rPr>
              <w:t xml:space="preserve">rations </w:t>
            </w:r>
          </w:p>
          <w:p w14:paraId="41055328" w14:textId="1C892452" w:rsidR="005F6767" w:rsidRPr="0087428A" w:rsidRDefault="00EA46DB" w:rsidP="0029126E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00"/>
              <w:rPr>
                <w:bCs/>
                <w:sz w:val="18"/>
                <w:szCs w:val="18"/>
                <w:lang w:val="fr-FR"/>
              </w:rPr>
            </w:pPr>
            <w:r w:rsidRPr="0087428A">
              <w:rPr>
                <w:bCs/>
                <w:sz w:val="18"/>
                <w:szCs w:val="18"/>
                <w:lang w:val="fr-FR"/>
              </w:rPr>
              <w:t>Quel que soit l’emplacement du secré</w:t>
            </w:r>
            <w:r w:rsidR="00B44408" w:rsidRPr="0087428A">
              <w:rPr>
                <w:bCs/>
                <w:sz w:val="18"/>
                <w:szCs w:val="18"/>
                <w:lang w:val="fr-FR"/>
              </w:rPr>
              <w:t>tariat</w:t>
            </w:r>
            <w:r w:rsidR="006C4827">
              <w:rPr>
                <w:bCs/>
                <w:sz w:val="18"/>
                <w:szCs w:val="18"/>
                <w:lang w:val="fr-FR"/>
              </w:rPr>
              <w:t xml:space="preserve"> du p</w:t>
            </w:r>
            <w:r w:rsidRPr="0087428A">
              <w:rPr>
                <w:bCs/>
                <w:sz w:val="18"/>
                <w:szCs w:val="18"/>
                <w:lang w:val="fr-FR"/>
              </w:rPr>
              <w:t>rogramme</w:t>
            </w:r>
            <w:r w:rsidR="00B44408" w:rsidRPr="0087428A">
              <w:rPr>
                <w:bCs/>
                <w:sz w:val="18"/>
                <w:szCs w:val="18"/>
                <w:lang w:val="fr-FR"/>
              </w:rPr>
              <w:t xml:space="preserve"> international</w:t>
            </w:r>
            <w:r w:rsidRPr="0087428A">
              <w:rPr>
                <w:bCs/>
                <w:sz w:val="18"/>
                <w:szCs w:val="18"/>
                <w:lang w:val="fr-FR"/>
              </w:rPr>
              <w:t xml:space="preserve"> spécifique, la Confé</w:t>
            </w:r>
            <w:r w:rsidR="00B63100" w:rsidRPr="0087428A">
              <w:rPr>
                <w:bCs/>
                <w:sz w:val="18"/>
                <w:szCs w:val="18"/>
                <w:lang w:val="fr-FR"/>
              </w:rPr>
              <w:t xml:space="preserve">rence </w:t>
            </w:r>
            <w:r w:rsidRPr="0087428A">
              <w:rPr>
                <w:bCs/>
                <w:sz w:val="18"/>
                <w:szCs w:val="18"/>
                <w:lang w:val="fr-FR"/>
              </w:rPr>
              <w:t>des P</w:t>
            </w:r>
            <w:r w:rsidR="00B63100" w:rsidRPr="0087428A">
              <w:rPr>
                <w:bCs/>
                <w:sz w:val="18"/>
                <w:szCs w:val="18"/>
                <w:lang w:val="fr-FR"/>
              </w:rPr>
              <w:t xml:space="preserve">arties </w:t>
            </w:r>
            <w:r w:rsidRPr="0087428A">
              <w:rPr>
                <w:bCs/>
                <w:sz w:val="18"/>
                <w:szCs w:val="18"/>
                <w:lang w:val="fr-FR"/>
              </w:rPr>
              <w:t xml:space="preserve">souhaitera </w:t>
            </w:r>
            <w:r w:rsidR="00BE7D46">
              <w:rPr>
                <w:bCs/>
                <w:sz w:val="18"/>
                <w:szCs w:val="18"/>
                <w:lang w:val="fr-FR"/>
              </w:rPr>
              <w:t xml:space="preserve">peut-être </w:t>
            </w:r>
            <w:r w:rsidR="006C4827">
              <w:rPr>
                <w:bCs/>
                <w:sz w:val="18"/>
                <w:szCs w:val="18"/>
                <w:lang w:val="fr-FR"/>
              </w:rPr>
              <w:t>doter le programme d’</w:t>
            </w:r>
            <w:r w:rsidRPr="0087428A">
              <w:rPr>
                <w:bCs/>
                <w:sz w:val="18"/>
                <w:szCs w:val="18"/>
                <w:lang w:val="fr-FR"/>
              </w:rPr>
              <w:t>un organe d</w:t>
            </w:r>
            <w:r w:rsidR="006C4827">
              <w:rPr>
                <w:bCs/>
                <w:sz w:val="18"/>
                <w:szCs w:val="18"/>
                <w:lang w:val="fr-FR"/>
              </w:rPr>
              <w:t>irecteur qui serait</w:t>
            </w:r>
            <w:r w:rsidR="008B5F6B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6C4827">
              <w:rPr>
                <w:bCs/>
                <w:sz w:val="18"/>
                <w:szCs w:val="18"/>
                <w:lang w:val="fr-FR"/>
              </w:rPr>
              <w:t>chargé de</w:t>
            </w:r>
            <w:r w:rsidRPr="0087428A">
              <w:rPr>
                <w:bCs/>
                <w:sz w:val="18"/>
                <w:szCs w:val="18"/>
                <w:lang w:val="fr-FR"/>
              </w:rPr>
              <w:t xml:space="preserve"> superviser </w:t>
            </w:r>
            <w:r w:rsidR="006C4827">
              <w:rPr>
                <w:bCs/>
                <w:sz w:val="18"/>
                <w:szCs w:val="18"/>
                <w:lang w:val="fr-FR"/>
              </w:rPr>
              <w:t>le suivi</w:t>
            </w:r>
            <w:r w:rsidR="00DC04A4" w:rsidRPr="0087428A">
              <w:rPr>
                <w:bCs/>
                <w:sz w:val="18"/>
                <w:szCs w:val="18"/>
                <w:lang w:val="fr-FR"/>
              </w:rPr>
              <w:t xml:space="preserve"> des orientations données par la Confé</w:t>
            </w:r>
            <w:r w:rsidR="00B44408" w:rsidRPr="0087428A">
              <w:rPr>
                <w:bCs/>
                <w:sz w:val="18"/>
                <w:szCs w:val="18"/>
                <w:lang w:val="fr-FR"/>
              </w:rPr>
              <w:t xml:space="preserve">rence </w:t>
            </w:r>
            <w:r w:rsidR="00DC04A4" w:rsidRPr="0087428A">
              <w:rPr>
                <w:bCs/>
                <w:sz w:val="18"/>
                <w:szCs w:val="18"/>
                <w:lang w:val="fr-FR"/>
              </w:rPr>
              <w:t>des</w:t>
            </w:r>
            <w:r w:rsidR="00B44408" w:rsidRPr="0087428A">
              <w:rPr>
                <w:bCs/>
                <w:sz w:val="18"/>
                <w:szCs w:val="18"/>
                <w:lang w:val="fr-FR"/>
              </w:rPr>
              <w:t xml:space="preserve"> Parties. </w:t>
            </w:r>
            <w:r w:rsidR="00DC04A4" w:rsidRPr="0087428A">
              <w:rPr>
                <w:bCs/>
                <w:sz w:val="18"/>
                <w:szCs w:val="18"/>
                <w:lang w:val="fr-FR"/>
              </w:rPr>
              <w:t>Cet organe fera rapport à la Confé</w:t>
            </w:r>
            <w:r w:rsidR="00B44408" w:rsidRPr="0087428A">
              <w:rPr>
                <w:bCs/>
                <w:sz w:val="18"/>
                <w:szCs w:val="18"/>
                <w:lang w:val="fr-FR"/>
              </w:rPr>
              <w:t xml:space="preserve">rence </w:t>
            </w:r>
            <w:r w:rsidR="00DC04A4" w:rsidRPr="0087428A">
              <w:rPr>
                <w:bCs/>
                <w:sz w:val="18"/>
                <w:szCs w:val="18"/>
                <w:lang w:val="fr-FR"/>
              </w:rPr>
              <w:t>et sera desservi par le secré</w:t>
            </w:r>
            <w:r w:rsidR="00B44408" w:rsidRPr="0087428A">
              <w:rPr>
                <w:bCs/>
                <w:sz w:val="18"/>
                <w:szCs w:val="18"/>
                <w:lang w:val="fr-FR"/>
              </w:rPr>
              <w:t xml:space="preserve">tariat </w:t>
            </w:r>
            <w:r w:rsidR="00DC04A4" w:rsidRPr="0087428A">
              <w:rPr>
                <w:bCs/>
                <w:sz w:val="18"/>
                <w:szCs w:val="18"/>
                <w:lang w:val="fr-FR"/>
              </w:rPr>
              <w:t>du pro</w:t>
            </w:r>
            <w:r w:rsidR="00B44408" w:rsidRPr="0087428A">
              <w:rPr>
                <w:bCs/>
                <w:sz w:val="18"/>
                <w:szCs w:val="18"/>
                <w:lang w:val="fr-FR"/>
              </w:rPr>
              <w:t xml:space="preserve">gramme. </w:t>
            </w:r>
          </w:p>
          <w:p w14:paraId="4D4F0040" w14:textId="514F5D83" w:rsidR="00B44408" w:rsidRPr="0087428A" w:rsidRDefault="00DC04A4" w:rsidP="0029126E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00"/>
              <w:rPr>
                <w:bCs/>
                <w:sz w:val="18"/>
                <w:szCs w:val="18"/>
                <w:lang w:val="fr-FR" w:eastAsia="en-US"/>
              </w:rPr>
            </w:pPr>
            <w:r w:rsidRPr="0087428A">
              <w:rPr>
                <w:bCs/>
                <w:sz w:val="18"/>
                <w:szCs w:val="18"/>
                <w:lang w:val="fr-FR"/>
              </w:rPr>
              <w:t>Quel que soit l’emplacement du secrétariat, l’organe directeur sera composé d’</w:t>
            </w:r>
            <w:r w:rsidR="008B5F6B">
              <w:rPr>
                <w:bCs/>
                <w:sz w:val="18"/>
                <w:szCs w:val="18"/>
                <w:lang w:val="fr-FR"/>
              </w:rPr>
              <w:t xml:space="preserve">un nombre de membres déterminé respectant le principe </w:t>
            </w:r>
            <w:r w:rsidRPr="0087428A">
              <w:rPr>
                <w:bCs/>
                <w:sz w:val="18"/>
                <w:szCs w:val="18"/>
                <w:lang w:val="fr-FR"/>
              </w:rPr>
              <w:t xml:space="preserve">d’une représentation équilibrée </w:t>
            </w:r>
            <w:r w:rsidR="008B5F6B">
              <w:rPr>
                <w:bCs/>
                <w:sz w:val="18"/>
                <w:szCs w:val="18"/>
                <w:lang w:val="fr-FR"/>
              </w:rPr>
              <w:t>entre l</w:t>
            </w:r>
            <w:r w:rsidRPr="0087428A">
              <w:rPr>
                <w:bCs/>
                <w:sz w:val="18"/>
                <w:szCs w:val="18"/>
                <w:lang w:val="fr-FR"/>
              </w:rPr>
              <w:t xml:space="preserve">es régions des </w:t>
            </w:r>
            <w:r w:rsidR="0008504A" w:rsidRPr="0087428A">
              <w:rPr>
                <w:bCs/>
                <w:sz w:val="18"/>
                <w:szCs w:val="18"/>
                <w:lang w:val="fr-FR"/>
              </w:rPr>
              <w:t xml:space="preserve">Nations </w:t>
            </w:r>
            <w:r w:rsidR="008B5F6B">
              <w:rPr>
                <w:bCs/>
                <w:sz w:val="18"/>
                <w:szCs w:val="18"/>
                <w:lang w:val="fr-FR"/>
              </w:rPr>
              <w:t>Unies, les pays donateurs et le</w:t>
            </w:r>
            <w:r w:rsidRPr="0087428A">
              <w:rPr>
                <w:bCs/>
                <w:sz w:val="18"/>
                <w:szCs w:val="18"/>
                <w:lang w:val="fr-FR"/>
              </w:rPr>
              <w:t xml:space="preserve">s pays bénéficiaires. </w:t>
            </w:r>
            <w:r w:rsidR="008B5F6B">
              <w:rPr>
                <w:bCs/>
                <w:sz w:val="18"/>
                <w:szCs w:val="18"/>
                <w:lang w:val="fr-FR"/>
              </w:rPr>
              <w:t xml:space="preserve">Les membres </w:t>
            </w:r>
            <w:r w:rsidR="00BE7D46">
              <w:rPr>
                <w:bCs/>
                <w:sz w:val="18"/>
                <w:szCs w:val="18"/>
                <w:lang w:val="fr-FR"/>
              </w:rPr>
              <w:t>pourront être</w:t>
            </w:r>
            <w:r w:rsidR="008B5F6B">
              <w:rPr>
                <w:bCs/>
                <w:sz w:val="18"/>
                <w:szCs w:val="18"/>
                <w:lang w:val="fr-FR"/>
              </w:rPr>
              <w:t xml:space="preserve"> </w:t>
            </w:r>
            <w:r w:rsidRPr="0087428A">
              <w:rPr>
                <w:bCs/>
                <w:sz w:val="18"/>
                <w:szCs w:val="18"/>
                <w:lang w:val="fr-FR"/>
              </w:rPr>
              <w:t xml:space="preserve">nommés par la Conférence des </w:t>
            </w:r>
            <w:r w:rsidR="00A5125F" w:rsidRPr="0087428A">
              <w:rPr>
                <w:bCs/>
                <w:sz w:val="18"/>
                <w:szCs w:val="18"/>
                <w:lang w:val="fr-FR"/>
              </w:rPr>
              <w:t xml:space="preserve">Parties </w:t>
            </w:r>
            <w:r w:rsidRPr="0087428A">
              <w:rPr>
                <w:bCs/>
                <w:sz w:val="18"/>
                <w:szCs w:val="18"/>
                <w:lang w:val="fr-FR"/>
              </w:rPr>
              <w:t xml:space="preserve">ou par l’intermédiaire </w:t>
            </w:r>
            <w:r w:rsidR="0087428A" w:rsidRPr="0087428A">
              <w:rPr>
                <w:bCs/>
                <w:sz w:val="18"/>
                <w:szCs w:val="18"/>
                <w:lang w:val="fr-FR"/>
              </w:rPr>
              <w:t>du</w:t>
            </w:r>
            <w:r w:rsidR="00A5125F" w:rsidRPr="0087428A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565D20" w:rsidRPr="0087428A">
              <w:rPr>
                <w:bCs/>
                <w:sz w:val="18"/>
                <w:szCs w:val="18"/>
                <w:lang w:val="fr-FR"/>
              </w:rPr>
              <w:t>Bureau</w:t>
            </w:r>
            <w:r w:rsidR="00A5125F" w:rsidRPr="0087428A">
              <w:rPr>
                <w:bCs/>
                <w:sz w:val="18"/>
                <w:szCs w:val="18"/>
                <w:lang w:val="fr-FR"/>
              </w:rPr>
              <w:t>.</w:t>
            </w:r>
          </w:p>
          <w:p w14:paraId="4D8B4A3E" w14:textId="3E58B498" w:rsidR="0008504A" w:rsidRPr="0087428A" w:rsidRDefault="008B5F6B" w:rsidP="0029126E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00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L</w:t>
            </w:r>
            <w:r w:rsidR="00DC04A4" w:rsidRPr="0087428A">
              <w:rPr>
                <w:bCs/>
                <w:sz w:val="18"/>
                <w:szCs w:val="18"/>
                <w:lang w:val="fr-FR"/>
              </w:rPr>
              <w:t>e projet de dé</w:t>
            </w:r>
            <w:r w:rsidR="0008504A" w:rsidRPr="0087428A">
              <w:rPr>
                <w:bCs/>
                <w:sz w:val="18"/>
                <w:szCs w:val="18"/>
                <w:lang w:val="fr-FR"/>
              </w:rPr>
              <w:t xml:space="preserve">cision </w:t>
            </w:r>
            <w:r>
              <w:rPr>
                <w:bCs/>
                <w:sz w:val="18"/>
                <w:szCs w:val="18"/>
                <w:lang w:val="fr-FR"/>
              </w:rPr>
              <w:t>sur le p</w:t>
            </w:r>
            <w:r w:rsidR="00DC04A4" w:rsidRPr="0087428A">
              <w:rPr>
                <w:bCs/>
                <w:sz w:val="18"/>
                <w:szCs w:val="18"/>
                <w:lang w:val="fr-FR"/>
              </w:rPr>
              <w:t>rogramme</w:t>
            </w:r>
            <w:r w:rsidR="0016132B" w:rsidRPr="0087428A">
              <w:rPr>
                <w:bCs/>
                <w:sz w:val="18"/>
                <w:szCs w:val="18"/>
                <w:lang w:val="fr-FR"/>
              </w:rPr>
              <w:t xml:space="preserve"> international</w:t>
            </w:r>
            <w:r>
              <w:rPr>
                <w:bCs/>
                <w:sz w:val="18"/>
                <w:szCs w:val="18"/>
                <w:lang w:val="fr-FR"/>
              </w:rPr>
              <w:t xml:space="preserve"> spécifique</w:t>
            </w:r>
            <w:r w:rsidR="00DC04A4" w:rsidRPr="0087428A">
              <w:rPr>
                <w:bCs/>
                <w:sz w:val="18"/>
                <w:szCs w:val="18"/>
                <w:lang w:val="fr-FR"/>
              </w:rPr>
              <w:t xml:space="preserve"> approuvé par le Comité de négociation intergouvernemental à sa septième session, pour examen et</w:t>
            </w:r>
            <w:r w:rsidR="00920B74" w:rsidRPr="0087428A">
              <w:rPr>
                <w:bCs/>
                <w:sz w:val="18"/>
                <w:szCs w:val="18"/>
                <w:lang w:val="fr-FR"/>
              </w:rPr>
              <w:t xml:space="preserve"> adoption </w:t>
            </w:r>
            <w:r w:rsidR="00DC04A4" w:rsidRPr="0087428A">
              <w:rPr>
                <w:bCs/>
                <w:sz w:val="18"/>
                <w:szCs w:val="18"/>
                <w:lang w:val="fr-FR"/>
              </w:rPr>
              <w:t xml:space="preserve">par la Conférence des Parties à sa première réunion </w:t>
            </w:r>
            <w:r w:rsidR="00AF6C11" w:rsidRPr="0087428A">
              <w:rPr>
                <w:bCs/>
                <w:sz w:val="18"/>
                <w:szCs w:val="18"/>
                <w:lang w:val="fr-FR"/>
              </w:rPr>
              <w:t>(UNEP (DTIE)/Hg/INC.7.22/Rev.1, annex</w:t>
            </w:r>
            <w:r w:rsidR="00DC04A4" w:rsidRPr="0087428A">
              <w:rPr>
                <w:bCs/>
                <w:sz w:val="18"/>
                <w:szCs w:val="18"/>
                <w:lang w:val="fr-FR"/>
              </w:rPr>
              <w:t>e</w:t>
            </w:r>
            <w:r w:rsidR="001E343F">
              <w:rPr>
                <w:bCs/>
                <w:sz w:val="18"/>
                <w:szCs w:val="18"/>
                <w:lang w:val="fr-FR"/>
              </w:rPr>
              <w:t> </w:t>
            </w:r>
            <w:r w:rsidR="00AF6C11" w:rsidRPr="0087428A">
              <w:rPr>
                <w:bCs/>
                <w:sz w:val="18"/>
                <w:szCs w:val="18"/>
                <w:lang w:val="fr-FR"/>
              </w:rPr>
              <w:t>VI)</w:t>
            </w:r>
            <w:r w:rsidR="0008504A" w:rsidRPr="0087428A">
              <w:rPr>
                <w:bCs/>
                <w:sz w:val="18"/>
                <w:szCs w:val="18"/>
                <w:lang w:val="fr-FR"/>
              </w:rPr>
              <w:t xml:space="preserve">, </w:t>
            </w:r>
            <w:r>
              <w:rPr>
                <w:bCs/>
                <w:sz w:val="18"/>
                <w:szCs w:val="18"/>
                <w:lang w:val="fr-FR"/>
              </w:rPr>
              <w:t xml:space="preserve">définit ainsi </w:t>
            </w:r>
            <w:r w:rsidR="00DC04A4" w:rsidRPr="0087428A">
              <w:rPr>
                <w:bCs/>
                <w:sz w:val="18"/>
                <w:szCs w:val="18"/>
                <w:lang w:val="fr-FR"/>
              </w:rPr>
              <w:t>les</w:t>
            </w:r>
            <w:r w:rsidR="006432E0" w:rsidRPr="0087428A">
              <w:rPr>
                <w:bCs/>
                <w:sz w:val="18"/>
                <w:szCs w:val="18"/>
                <w:lang w:val="fr-FR"/>
              </w:rPr>
              <w:t xml:space="preserve"> arrangements</w:t>
            </w:r>
            <w:r w:rsidR="00DC04A4" w:rsidRPr="0087428A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F00840">
              <w:rPr>
                <w:bCs/>
                <w:sz w:val="18"/>
                <w:szCs w:val="18"/>
                <w:lang w:val="fr-FR"/>
              </w:rPr>
              <w:t xml:space="preserve">en matière </w:t>
            </w:r>
            <w:r w:rsidR="00DC04A4" w:rsidRPr="0087428A">
              <w:rPr>
                <w:bCs/>
                <w:sz w:val="18"/>
                <w:szCs w:val="18"/>
                <w:lang w:val="fr-FR"/>
              </w:rPr>
              <w:t>de gouvernance pour le</w:t>
            </w:r>
            <w:r w:rsidR="0008504A" w:rsidRPr="0087428A">
              <w:rPr>
                <w:bCs/>
                <w:sz w:val="18"/>
                <w:szCs w:val="18"/>
                <w:lang w:val="fr-FR"/>
              </w:rPr>
              <w:t xml:space="preserve"> programme</w:t>
            </w:r>
            <w:r w:rsidR="001E343F">
              <w:rPr>
                <w:bCs/>
                <w:sz w:val="18"/>
                <w:szCs w:val="18"/>
                <w:lang w:val="fr-FR"/>
              </w:rPr>
              <w:t> </w:t>
            </w:r>
            <w:r w:rsidR="006432E0" w:rsidRPr="0087428A">
              <w:rPr>
                <w:bCs/>
                <w:sz w:val="18"/>
                <w:szCs w:val="18"/>
                <w:lang w:val="fr-FR"/>
              </w:rPr>
              <w:t xml:space="preserve">: </w:t>
            </w:r>
            <w:r w:rsidR="00F045FE" w:rsidRPr="0087428A">
              <w:rPr>
                <w:bCs/>
                <w:sz w:val="18"/>
                <w:szCs w:val="18"/>
                <w:lang w:val="fr-FR"/>
              </w:rPr>
              <w:t>« 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>La Co</w:t>
            </w:r>
            <w:r w:rsidR="00F045FE" w:rsidRPr="0087428A">
              <w:rPr>
                <w:bCs/>
                <w:sz w:val="18"/>
                <w:szCs w:val="18"/>
                <w:lang w:val="fr-FR"/>
              </w:rPr>
              <w:t>nférence des Parties établira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08504A" w:rsidRPr="0087428A">
              <w:rPr>
                <w:bCs/>
                <w:sz w:val="18"/>
                <w:szCs w:val="18"/>
                <w:lang w:val="fr-FR"/>
              </w:rPr>
              <w:t>[</w:t>
            </w:r>
            <w:r w:rsidR="00F045FE" w:rsidRPr="0087428A">
              <w:rPr>
                <w:bCs/>
                <w:sz w:val="18"/>
                <w:szCs w:val="18"/>
                <w:lang w:val="fr-FR"/>
              </w:rPr>
              <w:t xml:space="preserve">un </w:t>
            </w:r>
            <w:r w:rsidR="008D4A89" w:rsidRPr="0087428A">
              <w:rPr>
                <w:bCs/>
                <w:sz w:val="18"/>
                <w:szCs w:val="18"/>
                <w:lang w:val="fr-FR"/>
              </w:rPr>
              <w:t>conseil exécutif</w:t>
            </w:r>
            <w:r w:rsidR="0008504A" w:rsidRPr="0087428A">
              <w:rPr>
                <w:bCs/>
                <w:sz w:val="18"/>
                <w:szCs w:val="18"/>
                <w:lang w:val="fr-FR"/>
              </w:rPr>
              <w:t>] [</w:t>
            </w:r>
            <w:r w:rsidR="00F045FE" w:rsidRPr="0087428A">
              <w:rPr>
                <w:bCs/>
                <w:sz w:val="18"/>
                <w:szCs w:val="18"/>
                <w:lang w:val="fr-FR"/>
              </w:rPr>
              <w:t xml:space="preserve">un comité chargé du programme </w:t>
            </w:r>
            <w:r w:rsidR="0008504A" w:rsidRPr="0087428A">
              <w:rPr>
                <w:bCs/>
                <w:sz w:val="18"/>
                <w:szCs w:val="18"/>
                <w:lang w:val="fr-FR"/>
              </w:rPr>
              <w:t xml:space="preserve">international </w:t>
            </w:r>
            <w:r w:rsidR="00F045FE" w:rsidRPr="0087428A">
              <w:rPr>
                <w:bCs/>
                <w:sz w:val="18"/>
                <w:szCs w:val="18"/>
                <w:lang w:val="fr-FR"/>
              </w:rPr>
              <w:t>spécifique</w:t>
            </w:r>
            <w:r w:rsidR="0008504A" w:rsidRPr="0087428A">
              <w:rPr>
                <w:bCs/>
                <w:sz w:val="18"/>
                <w:szCs w:val="18"/>
                <w:lang w:val="fr-FR"/>
              </w:rPr>
              <w:t xml:space="preserve">], </w:t>
            </w:r>
            <w:r w:rsidR="00F045FE" w:rsidRPr="0087428A">
              <w:rPr>
                <w:bCs/>
                <w:sz w:val="18"/>
                <w:szCs w:val="18"/>
                <w:lang w:val="fr-FR"/>
              </w:rPr>
              <w:t>qui supervisera et mettra en œuvre ses orientations</w:t>
            </w:r>
            <w:r w:rsidR="0008504A" w:rsidRPr="0087428A">
              <w:rPr>
                <w:bCs/>
                <w:sz w:val="18"/>
                <w:szCs w:val="18"/>
                <w:lang w:val="fr-FR"/>
              </w:rPr>
              <w:t xml:space="preserve">, </w:t>
            </w:r>
            <w:r w:rsidR="00F045FE" w:rsidRPr="0087428A">
              <w:rPr>
                <w:bCs/>
                <w:sz w:val="18"/>
                <w:szCs w:val="18"/>
                <w:lang w:val="fr-FR"/>
              </w:rPr>
              <w:t xml:space="preserve">y compris la prise </w:t>
            </w:r>
            <w:r w:rsidR="00F045FE" w:rsidRPr="0087428A">
              <w:rPr>
                <w:bCs/>
                <w:sz w:val="18"/>
                <w:szCs w:val="18"/>
                <w:lang w:val="fr-FR"/>
              </w:rPr>
              <w:lastRenderedPageBreak/>
              <w:t>de décision sur les projets et la gestion des projets</w:t>
            </w:r>
            <w:r w:rsidR="001E343F">
              <w:rPr>
                <w:bCs/>
                <w:sz w:val="18"/>
                <w:szCs w:val="18"/>
                <w:lang w:val="fr-FR"/>
              </w:rPr>
              <w:t> </w:t>
            </w:r>
            <w:r w:rsidR="00F045FE" w:rsidRPr="0087428A">
              <w:rPr>
                <w:bCs/>
                <w:sz w:val="18"/>
                <w:szCs w:val="18"/>
                <w:lang w:val="fr-FR"/>
              </w:rPr>
              <w:t>»</w:t>
            </w:r>
            <w:r w:rsidR="00551955" w:rsidRPr="0087428A">
              <w:rPr>
                <w:bCs/>
                <w:sz w:val="18"/>
                <w:szCs w:val="18"/>
                <w:lang w:val="fr-FR"/>
              </w:rPr>
              <w:t xml:space="preserve">. Dans le cas du </w:t>
            </w:r>
            <w:r w:rsidR="00325915">
              <w:rPr>
                <w:sz w:val="18"/>
                <w:szCs w:val="18"/>
                <w:lang w:val="fr-FR"/>
              </w:rPr>
              <w:t>P</w:t>
            </w:r>
            <w:r w:rsidR="005F3A64" w:rsidRPr="0087428A">
              <w:rPr>
                <w:sz w:val="18"/>
                <w:szCs w:val="18"/>
                <w:lang w:val="fr-FR"/>
              </w:rPr>
              <w:t xml:space="preserve">rogramme </w:t>
            </w:r>
            <w:r w:rsidR="00D72578">
              <w:rPr>
                <w:sz w:val="18"/>
                <w:szCs w:val="18"/>
                <w:lang w:val="fr-FR"/>
              </w:rPr>
              <w:t>spécial d’appui au</w:t>
            </w:r>
            <w:r w:rsidR="00551955" w:rsidRPr="0087428A">
              <w:rPr>
                <w:sz w:val="18"/>
                <w:szCs w:val="18"/>
                <w:lang w:val="fr-FR"/>
              </w:rPr>
              <w:t xml:space="preserve"> renforcement </w:t>
            </w:r>
            <w:r w:rsidR="00D72578">
              <w:rPr>
                <w:sz w:val="18"/>
                <w:szCs w:val="18"/>
                <w:lang w:val="fr-FR"/>
              </w:rPr>
              <w:t xml:space="preserve">des </w:t>
            </w:r>
            <w:r w:rsidR="00551955" w:rsidRPr="0087428A">
              <w:rPr>
                <w:sz w:val="18"/>
                <w:szCs w:val="18"/>
                <w:lang w:val="fr-FR"/>
              </w:rPr>
              <w:t>institution</w:t>
            </w:r>
            <w:r w:rsidR="00D72578">
              <w:rPr>
                <w:sz w:val="18"/>
                <w:szCs w:val="18"/>
                <w:lang w:val="fr-FR"/>
              </w:rPr>
              <w:t>s nationales</w:t>
            </w:r>
            <w:r w:rsidR="00551955" w:rsidRPr="0087428A">
              <w:rPr>
                <w:sz w:val="18"/>
                <w:szCs w:val="18"/>
                <w:lang w:val="fr-FR"/>
              </w:rPr>
              <w:t xml:space="preserve">, comme dans le cas du </w:t>
            </w:r>
            <w:r w:rsidR="0008504A" w:rsidRPr="0087428A">
              <w:rPr>
                <w:bCs/>
                <w:sz w:val="18"/>
                <w:szCs w:val="18"/>
                <w:lang w:val="fr-FR"/>
              </w:rPr>
              <w:t>Programme</w:t>
            </w:r>
            <w:r w:rsidR="00551955" w:rsidRPr="0087428A">
              <w:rPr>
                <w:bCs/>
                <w:sz w:val="18"/>
                <w:szCs w:val="18"/>
                <w:lang w:val="fr-FR"/>
              </w:rPr>
              <w:t xml:space="preserve"> de démarrage rapide, l’organe directeur est un conseil exécutif</w:t>
            </w:r>
            <w:r w:rsidR="00F85B53" w:rsidRPr="0087428A">
              <w:rPr>
                <w:bCs/>
                <w:sz w:val="18"/>
                <w:szCs w:val="18"/>
                <w:lang w:val="fr-FR"/>
              </w:rPr>
              <w:t xml:space="preserve">. </w:t>
            </w:r>
            <w:r w:rsidR="008A2C5F" w:rsidRPr="0087428A">
              <w:rPr>
                <w:bCs/>
                <w:sz w:val="18"/>
                <w:szCs w:val="18"/>
                <w:lang w:val="fr-FR"/>
              </w:rPr>
              <w:t xml:space="preserve">Le conseil exécutif du </w:t>
            </w:r>
            <w:r w:rsidR="00F85B53" w:rsidRPr="0087428A">
              <w:rPr>
                <w:bCs/>
                <w:sz w:val="18"/>
                <w:szCs w:val="18"/>
                <w:lang w:val="fr-FR"/>
              </w:rPr>
              <w:t xml:space="preserve">programme </w:t>
            </w:r>
            <w:r w:rsidR="008A2C5F" w:rsidRPr="0087428A">
              <w:rPr>
                <w:bCs/>
                <w:sz w:val="18"/>
                <w:szCs w:val="18"/>
                <w:lang w:val="fr-FR"/>
              </w:rPr>
              <w:t>spécial est invité à faire rapport à l’Assemblée des Nations Unies pour l’environn</w:t>
            </w:r>
            <w:r w:rsidR="00C26293" w:rsidRPr="0087428A">
              <w:rPr>
                <w:bCs/>
                <w:sz w:val="18"/>
                <w:szCs w:val="18"/>
                <w:lang w:val="fr-FR"/>
              </w:rPr>
              <w:t>ement et le</w:t>
            </w:r>
            <w:r w:rsidR="008A2C5F" w:rsidRPr="0087428A">
              <w:rPr>
                <w:bCs/>
                <w:sz w:val="18"/>
                <w:szCs w:val="18"/>
                <w:lang w:val="fr-FR"/>
              </w:rPr>
              <w:t xml:space="preserve"> conseil exécutif du </w:t>
            </w:r>
            <w:r w:rsidR="00F85B53" w:rsidRPr="0087428A">
              <w:rPr>
                <w:bCs/>
                <w:sz w:val="18"/>
                <w:szCs w:val="18"/>
                <w:lang w:val="fr-FR"/>
              </w:rPr>
              <w:t xml:space="preserve">Programme </w:t>
            </w:r>
            <w:r w:rsidR="00C26293" w:rsidRPr="0087428A">
              <w:rPr>
                <w:bCs/>
                <w:sz w:val="18"/>
                <w:szCs w:val="18"/>
                <w:lang w:val="fr-FR"/>
              </w:rPr>
              <w:t>de démarrage rapide fait rapport à la Conférence i</w:t>
            </w:r>
            <w:r w:rsidR="0008504A" w:rsidRPr="0087428A">
              <w:rPr>
                <w:bCs/>
                <w:sz w:val="18"/>
                <w:szCs w:val="18"/>
                <w:lang w:val="fr-FR"/>
              </w:rPr>
              <w:t>nternational</w:t>
            </w:r>
            <w:r w:rsidR="00C26293" w:rsidRPr="0087428A">
              <w:rPr>
                <w:bCs/>
                <w:sz w:val="18"/>
                <w:szCs w:val="18"/>
                <w:lang w:val="fr-FR"/>
              </w:rPr>
              <w:t>e sur la gestion des produits chimiques</w:t>
            </w:r>
            <w:r w:rsidR="0008504A" w:rsidRPr="0087428A">
              <w:rPr>
                <w:bCs/>
                <w:sz w:val="18"/>
                <w:szCs w:val="18"/>
                <w:lang w:val="fr-FR"/>
              </w:rPr>
              <w:t xml:space="preserve">. </w:t>
            </w:r>
          </w:p>
          <w:p w14:paraId="5876A477" w14:textId="22EB5EA8" w:rsidR="007128B0" w:rsidRPr="0087428A" w:rsidRDefault="001C7D3A" w:rsidP="00794EE2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rPr>
                <w:bCs/>
                <w:sz w:val="18"/>
                <w:szCs w:val="18"/>
                <w:lang w:val="fr-FR"/>
              </w:rPr>
            </w:pPr>
            <w:r w:rsidRPr="0087428A">
              <w:rPr>
                <w:bCs/>
                <w:sz w:val="18"/>
                <w:szCs w:val="18"/>
                <w:lang w:val="fr-FR"/>
              </w:rPr>
              <w:t>La Confé</w:t>
            </w:r>
            <w:r w:rsidR="007128B0" w:rsidRPr="0087428A">
              <w:rPr>
                <w:bCs/>
                <w:sz w:val="18"/>
                <w:szCs w:val="18"/>
                <w:lang w:val="fr-FR"/>
              </w:rPr>
              <w:t xml:space="preserve">rence </w:t>
            </w:r>
            <w:r w:rsidRPr="0087428A">
              <w:rPr>
                <w:bCs/>
                <w:sz w:val="18"/>
                <w:szCs w:val="18"/>
                <w:lang w:val="fr-FR"/>
              </w:rPr>
              <w:t>des</w:t>
            </w:r>
            <w:r w:rsidR="007128B0" w:rsidRPr="0087428A">
              <w:rPr>
                <w:bCs/>
                <w:sz w:val="18"/>
                <w:szCs w:val="18"/>
                <w:lang w:val="fr-FR"/>
              </w:rPr>
              <w:t xml:space="preserve"> Parties </w:t>
            </w:r>
            <w:r w:rsidRPr="0087428A">
              <w:rPr>
                <w:bCs/>
                <w:sz w:val="18"/>
                <w:szCs w:val="18"/>
                <w:lang w:val="fr-FR"/>
              </w:rPr>
              <w:t>souhaitera peut-être de</w:t>
            </w:r>
            <w:r w:rsidR="008B5F6B">
              <w:rPr>
                <w:bCs/>
                <w:sz w:val="18"/>
                <w:szCs w:val="18"/>
                <w:lang w:val="fr-FR"/>
              </w:rPr>
              <w:t>mander à l’organe directeur du p</w:t>
            </w:r>
            <w:r w:rsidRPr="0087428A">
              <w:rPr>
                <w:bCs/>
                <w:sz w:val="18"/>
                <w:szCs w:val="18"/>
                <w:lang w:val="fr-FR"/>
              </w:rPr>
              <w:t xml:space="preserve">rogramme </w:t>
            </w:r>
            <w:r w:rsidR="00897976" w:rsidRPr="0087428A">
              <w:rPr>
                <w:bCs/>
                <w:sz w:val="18"/>
                <w:szCs w:val="18"/>
                <w:lang w:val="fr-FR"/>
              </w:rPr>
              <w:t>international</w:t>
            </w:r>
            <w:r w:rsidRPr="0087428A">
              <w:rPr>
                <w:bCs/>
                <w:sz w:val="18"/>
                <w:szCs w:val="18"/>
                <w:lang w:val="fr-FR"/>
              </w:rPr>
              <w:t xml:space="preserve"> spécifique d’élaborer son propre règlement intérieur.</w:t>
            </w:r>
            <w:r w:rsidR="00794EE2" w:rsidRPr="0087428A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A5125F" w:rsidRPr="0087428A">
              <w:rPr>
                <w:bCs/>
                <w:sz w:val="18"/>
                <w:szCs w:val="18"/>
                <w:lang w:val="fr-FR"/>
              </w:rPr>
              <w:t xml:space="preserve"> </w:t>
            </w:r>
          </w:p>
          <w:p w14:paraId="4DB1217E" w14:textId="2DF75418" w:rsidR="00BC375D" w:rsidRPr="005C0ED6" w:rsidRDefault="007F0E1E" w:rsidP="00CE6240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rPr>
                <w:bCs/>
                <w:sz w:val="18"/>
                <w:szCs w:val="18"/>
                <w:lang w:val="fr-FR"/>
              </w:rPr>
            </w:pPr>
            <w:r w:rsidRPr="0087428A">
              <w:rPr>
                <w:bCs/>
                <w:sz w:val="18"/>
                <w:szCs w:val="18"/>
                <w:lang w:val="fr-FR"/>
              </w:rPr>
              <w:t>E</w:t>
            </w:r>
            <w:r w:rsidR="00B63100" w:rsidRPr="0087428A">
              <w:rPr>
                <w:bCs/>
                <w:sz w:val="18"/>
                <w:szCs w:val="18"/>
                <w:lang w:val="fr-FR"/>
              </w:rPr>
              <w:t xml:space="preserve">n 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 xml:space="preserve">plus des deux </w:t>
            </w:r>
            <w:r w:rsidR="00B63100" w:rsidRPr="0087428A">
              <w:rPr>
                <w:bCs/>
                <w:sz w:val="18"/>
                <w:szCs w:val="18"/>
                <w:lang w:val="fr-FR"/>
              </w:rPr>
              <w:t xml:space="preserve">options 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>présentées ci-dessus</w:t>
            </w:r>
            <w:r w:rsidR="008B5F6B">
              <w:rPr>
                <w:bCs/>
                <w:sz w:val="18"/>
                <w:szCs w:val="18"/>
                <w:lang w:val="fr-FR"/>
              </w:rPr>
              <w:t>, un autre modèle envisageable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325915">
              <w:rPr>
                <w:bCs/>
                <w:sz w:val="18"/>
                <w:szCs w:val="18"/>
                <w:lang w:val="fr-FR"/>
              </w:rPr>
              <w:t xml:space="preserve">qui n’inclut pas un organe directeur distinct 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 xml:space="preserve">est celui du Fonds d’affectation spéciale </w:t>
            </w:r>
            <w:r w:rsidR="00CE6240">
              <w:rPr>
                <w:bCs/>
                <w:sz w:val="18"/>
                <w:szCs w:val="18"/>
                <w:lang w:val="fr-FR"/>
              </w:rPr>
              <w:t>destiné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 xml:space="preserve"> à aider</w:t>
            </w:r>
            <w:r w:rsidR="00CE6240">
              <w:rPr>
                <w:bCs/>
                <w:sz w:val="18"/>
                <w:szCs w:val="18"/>
                <w:lang w:val="fr-FR"/>
              </w:rPr>
              <w:t xml:space="preserve"> les pays en développement et 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>autres pays ayant besoin d’une as</w:t>
            </w:r>
            <w:r w:rsidR="00BC13D0" w:rsidRPr="0087428A">
              <w:rPr>
                <w:bCs/>
                <w:sz w:val="18"/>
                <w:szCs w:val="18"/>
                <w:lang w:val="fr-FR"/>
              </w:rPr>
              <w:t>sistance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 xml:space="preserve"> technique pour </w:t>
            </w:r>
            <w:r w:rsidR="00325915">
              <w:rPr>
                <w:bCs/>
                <w:sz w:val="18"/>
                <w:szCs w:val="18"/>
                <w:lang w:val="fr-FR"/>
              </w:rPr>
              <w:t>la mise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 xml:space="preserve"> en œuvre la </w:t>
            </w:r>
            <w:r w:rsidR="00410B43" w:rsidRPr="0087428A">
              <w:rPr>
                <w:bCs/>
                <w:sz w:val="18"/>
                <w:szCs w:val="18"/>
                <w:lang w:val="fr-FR"/>
              </w:rPr>
              <w:t xml:space="preserve">Convention 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>de Bâle</w:t>
            </w:r>
            <w:r w:rsidR="00531CE8">
              <w:rPr>
                <w:bCs/>
                <w:sz w:val="18"/>
                <w:szCs w:val="18"/>
                <w:lang w:val="fr-FR"/>
              </w:rPr>
              <w:t xml:space="preserve">, qui </w:t>
            </w:r>
            <w:r w:rsidR="00325915">
              <w:rPr>
                <w:bCs/>
                <w:sz w:val="18"/>
                <w:szCs w:val="18"/>
                <w:lang w:val="fr-FR"/>
              </w:rPr>
              <w:t xml:space="preserve">a été mis en place initialement au titre 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 xml:space="preserve">de la </w:t>
            </w:r>
            <w:r w:rsidR="00B63100" w:rsidRPr="0087428A">
              <w:rPr>
                <w:bCs/>
                <w:sz w:val="18"/>
                <w:szCs w:val="18"/>
                <w:lang w:val="fr-FR"/>
              </w:rPr>
              <w:t>Convention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 xml:space="preserve"> de Bâle</w:t>
            </w:r>
            <w:r w:rsidR="00B63100" w:rsidRPr="0087428A">
              <w:rPr>
                <w:bCs/>
                <w:sz w:val="18"/>
                <w:szCs w:val="18"/>
                <w:lang w:val="fr-FR"/>
              </w:rPr>
              <w:t xml:space="preserve">. 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>Si la</w:t>
            </w:r>
            <w:r w:rsidR="00B63100" w:rsidRPr="0087428A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>Confé</w:t>
            </w:r>
            <w:r w:rsidR="00410B43" w:rsidRPr="0087428A">
              <w:rPr>
                <w:bCs/>
                <w:sz w:val="18"/>
                <w:szCs w:val="18"/>
                <w:lang w:val="fr-FR"/>
              </w:rPr>
              <w:t xml:space="preserve">rence 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>des</w:t>
            </w:r>
            <w:r w:rsidR="00410B43" w:rsidRPr="0087428A">
              <w:rPr>
                <w:bCs/>
                <w:sz w:val="18"/>
                <w:szCs w:val="18"/>
                <w:lang w:val="fr-FR"/>
              </w:rPr>
              <w:t xml:space="preserve"> Parties 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 xml:space="preserve">à la Convention de </w:t>
            </w:r>
            <w:r w:rsidR="00B63100" w:rsidRPr="0087428A">
              <w:rPr>
                <w:bCs/>
                <w:sz w:val="18"/>
                <w:szCs w:val="18"/>
                <w:lang w:val="fr-FR"/>
              </w:rPr>
              <w:t xml:space="preserve">Minamata 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 xml:space="preserve">souhaite envisager d’adapter ce modèle aux fins du programme </w:t>
            </w:r>
            <w:r w:rsidR="00410B43" w:rsidRPr="0087428A">
              <w:rPr>
                <w:bCs/>
                <w:sz w:val="18"/>
                <w:szCs w:val="18"/>
                <w:lang w:val="fr-FR"/>
              </w:rPr>
              <w:t>international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 xml:space="preserve"> sp</w:t>
            </w:r>
            <w:r w:rsidR="00531CE8">
              <w:rPr>
                <w:bCs/>
                <w:sz w:val="18"/>
                <w:szCs w:val="18"/>
                <w:lang w:val="fr-FR"/>
              </w:rPr>
              <w:t>écifique, ce dernier ferait alors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 xml:space="preserve"> partie intégrante du secrétariat de la </w:t>
            </w:r>
            <w:r w:rsidR="00B63100" w:rsidRPr="0087428A">
              <w:rPr>
                <w:bCs/>
                <w:sz w:val="18"/>
                <w:szCs w:val="18"/>
                <w:lang w:val="fr-FR"/>
              </w:rPr>
              <w:t>Convention</w:t>
            </w:r>
            <w:r w:rsidR="00531CE8">
              <w:rPr>
                <w:bCs/>
                <w:sz w:val="18"/>
                <w:szCs w:val="18"/>
                <w:lang w:val="fr-FR"/>
              </w:rPr>
              <w:t xml:space="preserve"> et serait placé directement sous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 xml:space="preserve"> la supervision de la Confé</w:t>
            </w:r>
            <w:r w:rsidR="00B63100" w:rsidRPr="0087428A">
              <w:rPr>
                <w:bCs/>
                <w:sz w:val="18"/>
                <w:szCs w:val="18"/>
                <w:lang w:val="fr-FR"/>
              </w:rPr>
              <w:t xml:space="preserve">rence </w:t>
            </w:r>
            <w:r w:rsidR="00954F57" w:rsidRPr="0087428A">
              <w:rPr>
                <w:bCs/>
                <w:sz w:val="18"/>
                <w:szCs w:val="18"/>
                <w:lang w:val="fr-FR"/>
              </w:rPr>
              <w:t>des</w:t>
            </w:r>
            <w:r w:rsidR="00B63100" w:rsidRPr="0087428A">
              <w:rPr>
                <w:bCs/>
                <w:sz w:val="18"/>
                <w:szCs w:val="18"/>
                <w:lang w:val="fr-FR"/>
              </w:rPr>
              <w:t xml:space="preserve"> Parties.</w:t>
            </w:r>
          </w:p>
        </w:tc>
      </w:tr>
      <w:tr w:rsidR="00B44408" w:rsidRPr="002E371D" w14:paraId="15846D60" w14:textId="77777777" w:rsidTr="001E343F">
        <w:trPr>
          <w:trHeight w:val="4952"/>
        </w:trPr>
        <w:tc>
          <w:tcPr>
            <w:tcW w:w="8203" w:type="dxa"/>
            <w:shd w:val="clear" w:color="auto" w:fill="auto"/>
          </w:tcPr>
          <w:p w14:paraId="58A6E3F7" w14:textId="7C455EFF" w:rsidR="00B44408" w:rsidRPr="002E371D" w:rsidRDefault="005C0ED6" w:rsidP="00B83DA9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val="en-US" w:eastAsia="en-US"/>
              </w:rPr>
              <w:lastRenderedPageBreak/>
              <w:drawing>
                <wp:inline distT="0" distB="0" distL="0" distR="0" wp14:anchorId="0C5A6070" wp14:editId="43B4C77A">
                  <wp:extent cx="5071745" cy="41567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P-19-Add-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745" cy="415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7E3" w:rsidRPr="00567FAF" w14:paraId="5B0F9529" w14:textId="77777777" w:rsidTr="001E343F">
        <w:trPr>
          <w:trHeight w:val="2685"/>
        </w:trPr>
        <w:tc>
          <w:tcPr>
            <w:tcW w:w="8203" w:type="dxa"/>
            <w:shd w:val="clear" w:color="auto" w:fill="D9D9D9" w:themeFill="background1" w:themeFillShade="D9"/>
          </w:tcPr>
          <w:p w14:paraId="3634B55D" w14:textId="4AF9197D" w:rsidR="00B83DA9" w:rsidRPr="00E34D33" w:rsidRDefault="00B44408" w:rsidP="00BD69FE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E34D33">
              <w:rPr>
                <w:b/>
                <w:bCs/>
                <w:sz w:val="18"/>
                <w:szCs w:val="18"/>
                <w:lang w:val="fr-FR"/>
              </w:rPr>
              <w:t>3</w:t>
            </w:r>
            <w:r w:rsidR="00B83DA9" w:rsidRPr="00E34D33">
              <w:rPr>
                <w:b/>
                <w:bCs/>
                <w:sz w:val="18"/>
                <w:szCs w:val="18"/>
                <w:lang w:val="fr-FR"/>
              </w:rPr>
              <w:t xml:space="preserve">. </w:t>
            </w:r>
            <w:r w:rsidR="000002FE" w:rsidRPr="00E34D33">
              <w:rPr>
                <w:b/>
                <w:bCs/>
                <w:sz w:val="18"/>
                <w:szCs w:val="18"/>
                <w:lang w:val="fr-FR"/>
              </w:rPr>
              <w:t>Examen technique</w:t>
            </w:r>
          </w:p>
          <w:p w14:paraId="1F1E7B57" w14:textId="2774F471" w:rsidR="00B83DA9" w:rsidRPr="00E34D33" w:rsidRDefault="00190616" w:rsidP="002D379C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120"/>
              <w:rPr>
                <w:b/>
                <w:bCs/>
                <w:sz w:val="18"/>
                <w:szCs w:val="18"/>
                <w:lang w:val="fr-FR" w:eastAsia="en-US"/>
              </w:rPr>
            </w:pPr>
            <w:r w:rsidRPr="00E34D33">
              <w:rPr>
                <w:bCs/>
                <w:sz w:val="18"/>
                <w:szCs w:val="18"/>
                <w:lang w:val="fr-FR"/>
              </w:rPr>
              <w:t>Le programme</w:t>
            </w:r>
            <w:r w:rsidR="00B83DA9" w:rsidRPr="00E34D33">
              <w:rPr>
                <w:bCs/>
                <w:sz w:val="18"/>
                <w:szCs w:val="18"/>
                <w:lang w:val="fr-FR"/>
              </w:rPr>
              <w:t xml:space="preserve"> international</w:t>
            </w:r>
            <w:r w:rsidRPr="00E34D33">
              <w:rPr>
                <w:bCs/>
                <w:sz w:val="18"/>
                <w:szCs w:val="18"/>
                <w:lang w:val="fr-FR"/>
              </w:rPr>
              <w:t xml:space="preserve"> spécifique a pour but d’appuyer le renforcement des capacités et l’</w:t>
            </w:r>
            <w:r w:rsidR="00B83DA9" w:rsidRPr="00E34D33">
              <w:rPr>
                <w:bCs/>
                <w:sz w:val="18"/>
                <w:szCs w:val="18"/>
                <w:lang w:val="fr-FR"/>
              </w:rPr>
              <w:t>assistance</w:t>
            </w:r>
            <w:r w:rsidRPr="00E34D33">
              <w:rPr>
                <w:bCs/>
                <w:sz w:val="18"/>
                <w:szCs w:val="18"/>
                <w:lang w:val="fr-FR"/>
              </w:rPr>
              <w:t xml:space="preserve"> technique afin d’aider les pays en développement</w:t>
            </w:r>
            <w:r w:rsidR="006042E7" w:rsidRPr="00E34D33">
              <w:rPr>
                <w:bCs/>
                <w:sz w:val="18"/>
                <w:szCs w:val="18"/>
                <w:lang w:val="fr-FR"/>
              </w:rPr>
              <w:t xml:space="preserve"> Parties, </w:t>
            </w:r>
            <w:r w:rsidRPr="00E34D33">
              <w:rPr>
                <w:bCs/>
                <w:sz w:val="18"/>
                <w:szCs w:val="18"/>
                <w:lang w:val="fr-FR"/>
              </w:rPr>
              <w:t>en particulier les</w:t>
            </w:r>
            <w:r w:rsidR="00276657">
              <w:rPr>
                <w:bCs/>
                <w:sz w:val="18"/>
                <w:szCs w:val="18"/>
                <w:lang w:val="fr-FR"/>
              </w:rPr>
              <w:t xml:space="preserve"> pays les moins avancés et</w:t>
            </w:r>
            <w:r w:rsidRPr="00E34D33">
              <w:rPr>
                <w:bCs/>
                <w:sz w:val="18"/>
                <w:szCs w:val="18"/>
                <w:lang w:val="fr-FR"/>
              </w:rPr>
              <w:t xml:space="preserve"> les petits États insulaires en développement, ainsi que les</w:t>
            </w:r>
            <w:r w:rsidR="00B83DA9" w:rsidRPr="00E34D33">
              <w:rPr>
                <w:bCs/>
                <w:sz w:val="18"/>
                <w:szCs w:val="18"/>
                <w:lang w:val="fr-FR"/>
              </w:rPr>
              <w:t xml:space="preserve"> Parties</w:t>
            </w:r>
            <w:r w:rsidRPr="00E34D33">
              <w:rPr>
                <w:bCs/>
                <w:sz w:val="18"/>
                <w:szCs w:val="18"/>
                <w:lang w:val="fr-FR"/>
              </w:rPr>
              <w:t xml:space="preserve"> à économie en </w:t>
            </w:r>
            <w:r w:rsidR="00B83DA9" w:rsidRPr="00E34D33">
              <w:rPr>
                <w:bCs/>
                <w:sz w:val="18"/>
                <w:szCs w:val="18"/>
                <w:lang w:val="fr-FR"/>
              </w:rPr>
              <w:t>transition</w:t>
            </w:r>
            <w:r w:rsidRPr="00E34D33">
              <w:rPr>
                <w:bCs/>
                <w:sz w:val="18"/>
                <w:szCs w:val="18"/>
                <w:lang w:val="fr-FR"/>
              </w:rPr>
              <w:t>,</w:t>
            </w:r>
            <w:r w:rsidR="00B83DA9" w:rsidRPr="00E34D33">
              <w:rPr>
                <w:bCs/>
                <w:sz w:val="18"/>
                <w:szCs w:val="18"/>
                <w:lang w:val="fr-FR"/>
              </w:rPr>
              <w:t xml:space="preserve"> </w:t>
            </w:r>
            <w:r w:rsidRPr="00E34D33">
              <w:rPr>
                <w:bCs/>
                <w:sz w:val="18"/>
                <w:szCs w:val="18"/>
                <w:lang w:val="fr-FR"/>
              </w:rPr>
              <w:t>à s’acquitter de leurs</w:t>
            </w:r>
            <w:r w:rsidR="00B83DA9" w:rsidRPr="00E34D33">
              <w:rPr>
                <w:bCs/>
                <w:sz w:val="18"/>
                <w:szCs w:val="18"/>
                <w:lang w:val="fr-FR"/>
              </w:rPr>
              <w:t xml:space="preserve"> obligations</w:t>
            </w:r>
            <w:r w:rsidRPr="00E34D33">
              <w:rPr>
                <w:bCs/>
                <w:sz w:val="18"/>
                <w:szCs w:val="18"/>
                <w:lang w:val="fr-FR"/>
              </w:rPr>
              <w:t xml:space="preserve"> au titre de la</w:t>
            </w:r>
            <w:r w:rsidR="00B83DA9" w:rsidRPr="00E34D33">
              <w:rPr>
                <w:bCs/>
                <w:sz w:val="18"/>
                <w:szCs w:val="18"/>
                <w:lang w:val="fr-FR"/>
              </w:rPr>
              <w:t xml:space="preserve"> Convention. </w:t>
            </w:r>
          </w:p>
          <w:p w14:paraId="7C5D322F" w14:textId="6B8CD0A5" w:rsidR="00134BAE" w:rsidRPr="00E34D33" w:rsidRDefault="00190616" w:rsidP="002D379C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120"/>
              <w:rPr>
                <w:b/>
                <w:bCs/>
                <w:sz w:val="18"/>
                <w:szCs w:val="18"/>
                <w:lang w:val="fr-FR" w:eastAsia="en-US"/>
              </w:rPr>
            </w:pPr>
            <w:r w:rsidRPr="00E34D33">
              <w:rPr>
                <w:bCs/>
                <w:sz w:val="18"/>
                <w:szCs w:val="18"/>
                <w:lang w:val="fr-FR"/>
              </w:rPr>
              <w:t>Le secrétariat du</w:t>
            </w:r>
            <w:r w:rsidR="00B83DA9" w:rsidRPr="00E34D33">
              <w:rPr>
                <w:bCs/>
                <w:sz w:val="18"/>
                <w:szCs w:val="18"/>
                <w:lang w:val="fr-FR"/>
              </w:rPr>
              <w:t xml:space="preserve"> programme </w:t>
            </w:r>
            <w:r w:rsidR="00CB12AE" w:rsidRPr="00E34D33">
              <w:rPr>
                <w:bCs/>
                <w:sz w:val="18"/>
                <w:szCs w:val="18"/>
                <w:lang w:val="fr-FR"/>
              </w:rPr>
              <w:t xml:space="preserve">organisera et </w:t>
            </w:r>
            <w:r w:rsidRPr="00E34D33">
              <w:rPr>
                <w:bCs/>
                <w:sz w:val="18"/>
                <w:szCs w:val="18"/>
                <w:lang w:val="fr-FR"/>
              </w:rPr>
              <w:t xml:space="preserve">gèrera les appels </w:t>
            </w:r>
            <w:r w:rsidR="00030496">
              <w:rPr>
                <w:bCs/>
                <w:sz w:val="18"/>
                <w:szCs w:val="18"/>
                <w:lang w:val="fr-FR"/>
              </w:rPr>
              <w:t>concernant les</w:t>
            </w:r>
            <w:r w:rsidR="00CB12AE" w:rsidRPr="00E34D33">
              <w:rPr>
                <w:bCs/>
                <w:sz w:val="18"/>
                <w:szCs w:val="18"/>
                <w:lang w:val="fr-FR"/>
              </w:rPr>
              <w:t xml:space="preserve"> deman</w:t>
            </w:r>
            <w:r w:rsidR="00276657">
              <w:rPr>
                <w:bCs/>
                <w:sz w:val="18"/>
                <w:szCs w:val="18"/>
                <w:lang w:val="fr-FR"/>
              </w:rPr>
              <w:t>des d’aide</w:t>
            </w:r>
            <w:r w:rsidR="00CB12AE" w:rsidRPr="00E34D33">
              <w:rPr>
                <w:bCs/>
                <w:sz w:val="18"/>
                <w:szCs w:val="18"/>
                <w:lang w:val="fr-FR"/>
              </w:rPr>
              <w:t xml:space="preserve"> et le</w:t>
            </w:r>
            <w:r w:rsidR="00030496">
              <w:rPr>
                <w:bCs/>
                <w:sz w:val="18"/>
                <w:szCs w:val="18"/>
                <w:lang w:val="fr-FR"/>
              </w:rPr>
              <w:t xml:space="preserve">s modalités de présentation </w:t>
            </w:r>
            <w:r w:rsidR="00CB12AE" w:rsidRPr="00E34D33">
              <w:rPr>
                <w:bCs/>
                <w:sz w:val="18"/>
                <w:szCs w:val="18"/>
                <w:lang w:val="fr-FR"/>
              </w:rPr>
              <w:t>des demandes. Trois modèles sont ici envisagés, en fonction des modalités d</w:t>
            </w:r>
            <w:r w:rsidR="00276657">
              <w:rPr>
                <w:bCs/>
                <w:sz w:val="18"/>
                <w:szCs w:val="18"/>
                <w:lang w:val="fr-FR"/>
              </w:rPr>
              <w:t>e l</w:t>
            </w:r>
            <w:r w:rsidR="00CB12AE" w:rsidRPr="00E34D33">
              <w:rPr>
                <w:bCs/>
                <w:sz w:val="18"/>
                <w:szCs w:val="18"/>
                <w:lang w:val="fr-FR"/>
              </w:rPr>
              <w:t xml:space="preserve">’examen technique des demandes et de l’entité chargée de cet examen. </w:t>
            </w:r>
          </w:p>
          <w:p w14:paraId="25AC38E6" w14:textId="58D2DF82" w:rsidR="00B83DA9" w:rsidRPr="00E34D33" w:rsidRDefault="00190616" w:rsidP="00BF39C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120"/>
              <w:rPr>
                <w:b/>
                <w:bCs/>
                <w:sz w:val="18"/>
                <w:szCs w:val="18"/>
                <w:lang w:val="fr-FR" w:eastAsia="en-US"/>
              </w:rPr>
            </w:pPr>
            <w:r w:rsidRPr="00E34D33">
              <w:rPr>
                <w:bCs/>
                <w:sz w:val="18"/>
                <w:szCs w:val="18"/>
                <w:lang w:val="fr-FR"/>
              </w:rPr>
              <w:t xml:space="preserve">Pour les deux modèles prévoyant des organes directeurs distincts, </w:t>
            </w:r>
            <w:r w:rsidR="00567FAF" w:rsidRPr="00E34D33">
              <w:rPr>
                <w:bCs/>
                <w:sz w:val="18"/>
                <w:szCs w:val="18"/>
                <w:lang w:val="fr-FR"/>
              </w:rPr>
              <w:t xml:space="preserve">le stade auquel l’examen </w:t>
            </w:r>
            <w:r w:rsidR="00276657">
              <w:rPr>
                <w:bCs/>
                <w:sz w:val="18"/>
                <w:szCs w:val="18"/>
                <w:lang w:val="fr-FR"/>
              </w:rPr>
              <w:t xml:space="preserve">technique </w:t>
            </w:r>
            <w:r w:rsidR="00BF39C8">
              <w:rPr>
                <w:bCs/>
                <w:sz w:val="18"/>
                <w:szCs w:val="18"/>
                <w:lang w:val="fr-FR"/>
              </w:rPr>
              <w:t>aura lieu dans le déroulement</w:t>
            </w:r>
            <w:r w:rsidR="00567FAF" w:rsidRPr="00E34D33">
              <w:rPr>
                <w:bCs/>
                <w:sz w:val="18"/>
                <w:szCs w:val="18"/>
                <w:lang w:val="fr-FR"/>
              </w:rPr>
              <w:t xml:space="preserve"> des travaux et des décisions, depuis l’examen des demandes</w:t>
            </w:r>
            <w:r w:rsidR="00D42A7A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567FAF" w:rsidRPr="00E34D33">
              <w:rPr>
                <w:bCs/>
                <w:sz w:val="18"/>
                <w:szCs w:val="18"/>
                <w:lang w:val="fr-FR"/>
              </w:rPr>
              <w:t>jusqu’à l’approbation des projets</w:t>
            </w:r>
            <w:r w:rsidR="00D42A7A">
              <w:rPr>
                <w:bCs/>
                <w:sz w:val="18"/>
                <w:szCs w:val="18"/>
                <w:lang w:val="fr-FR"/>
              </w:rPr>
              <w:t>,</w:t>
            </w:r>
            <w:r w:rsidR="00BF39C8">
              <w:rPr>
                <w:bCs/>
                <w:sz w:val="18"/>
                <w:szCs w:val="18"/>
                <w:lang w:val="fr-FR"/>
              </w:rPr>
              <w:t xml:space="preserve"> en passant par l’évaluation de ces</w:t>
            </w:r>
            <w:r w:rsidR="00567FAF" w:rsidRPr="00E34D33">
              <w:rPr>
                <w:bCs/>
                <w:sz w:val="18"/>
                <w:szCs w:val="18"/>
                <w:lang w:val="fr-FR"/>
              </w:rPr>
              <w:t xml:space="preserve"> projets, est indépendant de l’emplacement du secrétariat du</w:t>
            </w:r>
            <w:r w:rsidR="00B83DA9" w:rsidRPr="00E34D33">
              <w:rPr>
                <w:bCs/>
                <w:sz w:val="18"/>
                <w:szCs w:val="18"/>
                <w:lang w:val="fr-FR"/>
              </w:rPr>
              <w:t xml:space="preserve"> programme. </w:t>
            </w:r>
            <w:r w:rsidR="00567FAF" w:rsidRPr="00E34D33">
              <w:rPr>
                <w:bCs/>
                <w:sz w:val="18"/>
                <w:szCs w:val="18"/>
                <w:lang w:val="fr-FR"/>
              </w:rPr>
              <w:t xml:space="preserve">Pour le troisième modèle, à savoir celui sans organe directeur distinct, le secrétariat du </w:t>
            </w:r>
            <w:r w:rsidR="0000173C" w:rsidRPr="00E34D33">
              <w:rPr>
                <w:bCs/>
                <w:sz w:val="18"/>
                <w:szCs w:val="18"/>
                <w:lang w:val="fr-FR"/>
              </w:rPr>
              <w:t xml:space="preserve">programme </w:t>
            </w:r>
            <w:r w:rsidR="00567FAF" w:rsidRPr="00E34D33">
              <w:rPr>
                <w:bCs/>
                <w:sz w:val="18"/>
                <w:szCs w:val="18"/>
                <w:lang w:val="fr-FR"/>
              </w:rPr>
              <w:t>et</w:t>
            </w:r>
            <w:r w:rsidR="00D42A7A">
              <w:rPr>
                <w:bCs/>
                <w:sz w:val="18"/>
                <w:szCs w:val="18"/>
                <w:lang w:val="fr-FR"/>
              </w:rPr>
              <w:t xml:space="preserve"> l</w:t>
            </w:r>
            <w:r w:rsidR="00567FAF" w:rsidRPr="00E34D33">
              <w:rPr>
                <w:bCs/>
                <w:sz w:val="18"/>
                <w:szCs w:val="18"/>
                <w:lang w:val="fr-FR"/>
              </w:rPr>
              <w:t>’examen technique devraient</w:t>
            </w:r>
            <w:r w:rsidR="00467E9C" w:rsidRPr="00E34D33">
              <w:rPr>
                <w:bCs/>
                <w:sz w:val="18"/>
                <w:szCs w:val="18"/>
                <w:lang w:val="fr-FR"/>
              </w:rPr>
              <w:t xml:space="preserve"> relever directement du</w:t>
            </w:r>
            <w:r w:rsidR="00567FAF" w:rsidRPr="00E34D33">
              <w:rPr>
                <w:bCs/>
                <w:sz w:val="18"/>
                <w:szCs w:val="18"/>
                <w:lang w:val="fr-FR"/>
              </w:rPr>
              <w:t xml:space="preserve"> secrétariat de la Convention de </w:t>
            </w:r>
            <w:r w:rsidR="0000173C" w:rsidRPr="00E34D33">
              <w:rPr>
                <w:bCs/>
                <w:sz w:val="18"/>
                <w:szCs w:val="18"/>
                <w:lang w:val="fr-FR"/>
              </w:rPr>
              <w:t xml:space="preserve">Minamata. </w:t>
            </w:r>
          </w:p>
        </w:tc>
      </w:tr>
      <w:tr w:rsidR="00B83DA9" w:rsidRPr="002E371D" w14:paraId="3993492F" w14:textId="77777777" w:rsidTr="001E343F">
        <w:tc>
          <w:tcPr>
            <w:tcW w:w="8203" w:type="dxa"/>
            <w:shd w:val="clear" w:color="auto" w:fill="auto"/>
          </w:tcPr>
          <w:p w14:paraId="08F0C309" w14:textId="6F6C9F93" w:rsidR="000D2429" w:rsidRPr="00E34D33" w:rsidRDefault="006A7576" w:rsidP="00BD69FE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120"/>
              <w:rPr>
                <w:b/>
                <w:bCs/>
                <w:sz w:val="18"/>
                <w:szCs w:val="18"/>
                <w:lang w:val="fr-FR"/>
              </w:rPr>
            </w:pPr>
            <w:r w:rsidRPr="00E34D33">
              <w:rPr>
                <w:b/>
                <w:bCs/>
                <w:sz w:val="18"/>
                <w:szCs w:val="18"/>
                <w:lang w:val="fr-FR"/>
              </w:rPr>
              <w:t>E</w:t>
            </w:r>
            <w:r w:rsidR="001A41FA" w:rsidRPr="00E34D33">
              <w:rPr>
                <w:b/>
                <w:bCs/>
                <w:sz w:val="18"/>
                <w:szCs w:val="18"/>
                <w:lang w:val="fr-FR"/>
              </w:rPr>
              <w:t>xamen technique informe</w:t>
            </w:r>
            <w:r w:rsidR="0092297A">
              <w:rPr>
                <w:b/>
                <w:bCs/>
                <w:sz w:val="18"/>
                <w:szCs w:val="18"/>
                <w:lang w:val="fr-FR"/>
              </w:rPr>
              <w:t>l : équipe de travail technique</w:t>
            </w:r>
          </w:p>
          <w:p w14:paraId="08ECC44A" w14:textId="5A7607E1" w:rsidR="000D2429" w:rsidRPr="00E34D33" w:rsidRDefault="001A41FA" w:rsidP="00BD69FE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120"/>
              <w:rPr>
                <w:sz w:val="18"/>
                <w:szCs w:val="18"/>
                <w:lang w:val="fr-FR"/>
              </w:rPr>
            </w:pPr>
            <w:r w:rsidRPr="00E34D33">
              <w:rPr>
                <w:sz w:val="18"/>
                <w:szCs w:val="18"/>
                <w:lang w:val="fr-FR"/>
              </w:rPr>
              <w:t>La Conférence des</w:t>
            </w:r>
            <w:r w:rsidR="000D2429" w:rsidRPr="00E34D33">
              <w:rPr>
                <w:sz w:val="18"/>
                <w:szCs w:val="18"/>
                <w:lang w:val="fr-FR"/>
              </w:rPr>
              <w:t xml:space="preserve"> Parties</w:t>
            </w:r>
            <w:r w:rsidRPr="00E34D33">
              <w:rPr>
                <w:sz w:val="18"/>
                <w:szCs w:val="18"/>
                <w:lang w:val="fr-FR"/>
              </w:rPr>
              <w:t xml:space="preserve"> souhaitera peut-être envisager de </w:t>
            </w:r>
            <w:r w:rsidR="00AB325F">
              <w:rPr>
                <w:sz w:val="18"/>
                <w:szCs w:val="18"/>
                <w:lang w:val="fr-FR"/>
              </w:rPr>
              <w:t>prendre pour modèle le</w:t>
            </w:r>
            <w:r w:rsidRPr="00E34D33">
              <w:rPr>
                <w:sz w:val="18"/>
                <w:szCs w:val="18"/>
                <w:lang w:val="fr-FR"/>
              </w:rPr>
              <w:t xml:space="preserve"> </w:t>
            </w:r>
            <w:r w:rsidR="00325915">
              <w:rPr>
                <w:sz w:val="18"/>
                <w:szCs w:val="18"/>
                <w:lang w:val="fr-FR"/>
              </w:rPr>
              <w:t>P</w:t>
            </w:r>
            <w:r w:rsidR="000D2429" w:rsidRPr="00E34D33">
              <w:rPr>
                <w:sz w:val="18"/>
                <w:szCs w:val="18"/>
                <w:lang w:val="fr-FR"/>
              </w:rPr>
              <w:t xml:space="preserve">rogramme </w:t>
            </w:r>
            <w:r w:rsidRPr="00E34D33">
              <w:rPr>
                <w:sz w:val="18"/>
                <w:szCs w:val="18"/>
                <w:lang w:val="fr-FR"/>
              </w:rPr>
              <w:t xml:space="preserve">spécial </w:t>
            </w:r>
            <w:r w:rsidR="008E0F71">
              <w:rPr>
                <w:sz w:val="18"/>
                <w:szCs w:val="18"/>
                <w:lang w:val="fr-FR"/>
              </w:rPr>
              <w:t xml:space="preserve">d’appui au </w:t>
            </w:r>
            <w:r w:rsidRPr="00E34D33">
              <w:rPr>
                <w:sz w:val="18"/>
                <w:szCs w:val="18"/>
                <w:lang w:val="fr-FR"/>
              </w:rPr>
              <w:t>renforcement</w:t>
            </w:r>
            <w:r w:rsidR="008E0F71">
              <w:rPr>
                <w:sz w:val="18"/>
                <w:szCs w:val="18"/>
                <w:lang w:val="fr-FR"/>
              </w:rPr>
              <w:t xml:space="preserve"> des</w:t>
            </w:r>
            <w:r w:rsidRPr="00E34D33">
              <w:rPr>
                <w:sz w:val="18"/>
                <w:szCs w:val="18"/>
                <w:lang w:val="fr-FR"/>
              </w:rPr>
              <w:t xml:space="preserve"> institution</w:t>
            </w:r>
            <w:r w:rsidR="008E0F71">
              <w:rPr>
                <w:sz w:val="18"/>
                <w:szCs w:val="18"/>
                <w:lang w:val="fr-FR"/>
              </w:rPr>
              <w:t>s</w:t>
            </w:r>
            <w:r w:rsidRPr="00E34D33">
              <w:rPr>
                <w:sz w:val="18"/>
                <w:szCs w:val="18"/>
                <w:lang w:val="fr-FR"/>
              </w:rPr>
              <w:t xml:space="preserve"> </w:t>
            </w:r>
            <w:r w:rsidR="006E3ABF" w:rsidRPr="00E34D33">
              <w:rPr>
                <w:sz w:val="18"/>
                <w:szCs w:val="18"/>
                <w:lang w:val="fr-FR"/>
              </w:rPr>
              <w:t>national</w:t>
            </w:r>
            <w:r w:rsidR="008E0F71">
              <w:rPr>
                <w:sz w:val="18"/>
                <w:szCs w:val="18"/>
                <w:lang w:val="fr-FR"/>
              </w:rPr>
              <w:t>es</w:t>
            </w:r>
            <w:r w:rsidR="0041795B" w:rsidRPr="00E34D33">
              <w:rPr>
                <w:sz w:val="18"/>
                <w:szCs w:val="18"/>
                <w:lang w:val="fr-FR"/>
              </w:rPr>
              <w:t>,</w:t>
            </w:r>
            <w:r w:rsidR="000D2429" w:rsidRPr="00E34D33">
              <w:rPr>
                <w:sz w:val="18"/>
                <w:szCs w:val="18"/>
                <w:lang w:val="fr-FR"/>
              </w:rPr>
              <w:t xml:space="preserve"> </w:t>
            </w:r>
            <w:r w:rsidR="00AB325F">
              <w:rPr>
                <w:sz w:val="18"/>
                <w:szCs w:val="18"/>
                <w:lang w:val="fr-FR"/>
              </w:rPr>
              <w:t>au titre</w:t>
            </w:r>
            <w:r w:rsidR="00497C02">
              <w:rPr>
                <w:sz w:val="18"/>
                <w:szCs w:val="18"/>
                <w:lang w:val="fr-FR"/>
              </w:rPr>
              <w:t xml:space="preserve"> duquel</w:t>
            </w:r>
            <w:r w:rsidR="00D42A7A">
              <w:rPr>
                <w:sz w:val="18"/>
                <w:szCs w:val="18"/>
                <w:lang w:val="fr-FR"/>
              </w:rPr>
              <w:t xml:space="preserve"> </w:t>
            </w:r>
            <w:r w:rsidRPr="00E34D33">
              <w:rPr>
                <w:sz w:val="18"/>
                <w:szCs w:val="18"/>
                <w:lang w:val="fr-FR"/>
              </w:rPr>
              <w:t xml:space="preserve">le secrétariat entreprend un examen </w:t>
            </w:r>
            <w:r w:rsidR="000D2429" w:rsidRPr="00E34D33">
              <w:rPr>
                <w:sz w:val="18"/>
                <w:szCs w:val="18"/>
                <w:lang w:val="fr-FR"/>
              </w:rPr>
              <w:t>initial</w:t>
            </w:r>
            <w:r w:rsidRPr="00E34D33">
              <w:rPr>
                <w:sz w:val="18"/>
                <w:szCs w:val="18"/>
                <w:lang w:val="fr-FR"/>
              </w:rPr>
              <w:t xml:space="preserve"> des demandes pour en déterminer la recevabilité et l’exhaustivité, suivi d’une évaluation en </w:t>
            </w:r>
            <w:r w:rsidR="0086694D" w:rsidRPr="00E34D33">
              <w:rPr>
                <w:sz w:val="18"/>
                <w:szCs w:val="18"/>
                <w:lang w:val="fr-FR"/>
              </w:rPr>
              <w:t>consultation</w:t>
            </w:r>
            <w:r w:rsidR="00497C02">
              <w:rPr>
                <w:sz w:val="18"/>
                <w:szCs w:val="18"/>
                <w:lang w:val="fr-FR"/>
              </w:rPr>
              <w:t xml:space="preserve"> avec une </w:t>
            </w:r>
            <w:r w:rsidRPr="00E34D33">
              <w:rPr>
                <w:sz w:val="18"/>
                <w:szCs w:val="18"/>
                <w:lang w:val="fr-FR"/>
              </w:rPr>
              <w:t xml:space="preserve">équipe de travail </w:t>
            </w:r>
            <w:r w:rsidR="00497C02">
              <w:rPr>
                <w:sz w:val="18"/>
                <w:szCs w:val="18"/>
                <w:lang w:val="fr-FR"/>
              </w:rPr>
              <w:t xml:space="preserve">informelle </w:t>
            </w:r>
            <w:r w:rsidRPr="00E34D33">
              <w:rPr>
                <w:sz w:val="18"/>
                <w:szCs w:val="18"/>
                <w:lang w:val="fr-FR"/>
              </w:rPr>
              <w:t>composée de représentants des secré</w:t>
            </w:r>
            <w:r w:rsidR="000D2429" w:rsidRPr="00E34D33">
              <w:rPr>
                <w:sz w:val="18"/>
                <w:szCs w:val="18"/>
                <w:lang w:val="fr-FR"/>
              </w:rPr>
              <w:t>tar</w:t>
            </w:r>
            <w:r w:rsidRPr="00E34D33">
              <w:rPr>
                <w:sz w:val="18"/>
                <w:szCs w:val="18"/>
                <w:lang w:val="fr-FR"/>
              </w:rPr>
              <w:t>iats des quatre</w:t>
            </w:r>
            <w:r w:rsidR="000D2429" w:rsidRPr="00E34D33">
              <w:rPr>
                <w:sz w:val="18"/>
                <w:szCs w:val="18"/>
                <w:lang w:val="fr-FR"/>
              </w:rPr>
              <w:t xml:space="preserve"> conventions</w:t>
            </w:r>
            <w:r w:rsidRPr="00E34D33">
              <w:rPr>
                <w:sz w:val="18"/>
                <w:szCs w:val="18"/>
                <w:lang w:val="fr-FR"/>
              </w:rPr>
              <w:t xml:space="preserve"> qu’il </w:t>
            </w:r>
            <w:r w:rsidRPr="00E34D33">
              <w:rPr>
                <w:sz w:val="18"/>
                <w:szCs w:val="18"/>
                <w:lang w:val="fr-FR"/>
              </w:rPr>
              <w:lastRenderedPageBreak/>
              <w:t xml:space="preserve">dessert, de l’Approche stratégique et du Fonds pour l’environnement mondial. Cette évaluation comprend une analyse </w:t>
            </w:r>
            <w:r w:rsidR="00C927B9" w:rsidRPr="00E34D33">
              <w:rPr>
                <w:sz w:val="18"/>
                <w:szCs w:val="18"/>
                <w:lang w:val="fr-FR"/>
              </w:rPr>
              <w:t xml:space="preserve">qualitative </w:t>
            </w:r>
            <w:r w:rsidR="00497C02">
              <w:rPr>
                <w:sz w:val="18"/>
                <w:szCs w:val="18"/>
                <w:lang w:val="fr-FR"/>
              </w:rPr>
              <w:t xml:space="preserve">du projet et </w:t>
            </w:r>
            <w:r w:rsidRPr="00E34D33">
              <w:rPr>
                <w:sz w:val="18"/>
                <w:szCs w:val="18"/>
                <w:lang w:val="fr-FR"/>
              </w:rPr>
              <w:t xml:space="preserve">un examen technique des activités à mener. Les résultats sont ensuite présentés par le secrétariat du programme spécial au Conseil exécutif, son organe directeur, pour </w:t>
            </w:r>
            <w:r w:rsidR="0041795B" w:rsidRPr="00E34D33">
              <w:rPr>
                <w:sz w:val="18"/>
                <w:szCs w:val="18"/>
                <w:lang w:val="fr-FR"/>
              </w:rPr>
              <w:t>discussion</w:t>
            </w:r>
            <w:r w:rsidRPr="00E34D33">
              <w:rPr>
                <w:sz w:val="18"/>
                <w:szCs w:val="18"/>
                <w:lang w:val="fr-FR"/>
              </w:rPr>
              <w:t xml:space="preserve"> et dé</w:t>
            </w:r>
            <w:r w:rsidR="000D2429" w:rsidRPr="00E34D33">
              <w:rPr>
                <w:sz w:val="18"/>
                <w:szCs w:val="18"/>
                <w:lang w:val="fr-FR"/>
              </w:rPr>
              <w:t>cision,</w:t>
            </w:r>
            <w:r w:rsidRPr="00E34D33">
              <w:rPr>
                <w:sz w:val="18"/>
                <w:szCs w:val="18"/>
                <w:lang w:val="fr-FR"/>
              </w:rPr>
              <w:t xml:space="preserve"> </w:t>
            </w:r>
            <w:r w:rsidR="008E0F71">
              <w:rPr>
                <w:sz w:val="18"/>
                <w:szCs w:val="18"/>
                <w:lang w:val="fr-FR"/>
              </w:rPr>
              <w:t>conformément aux orientations et a</w:t>
            </w:r>
            <w:r w:rsidRPr="00E34D33">
              <w:rPr>
                <w:sz w:val="18"/>
                <w:szCs w:val="18"/>
                <w:lang w:val="fr-FR"/>
              </w:rPr>
              <w:t xml:space="preserve">u mandat définis par l’Assemblée des </w:t>
            </w:r>
            <w:r w:rsidR="000D2429" w:rsidRPr="00E34D33">
              <w:rPr>
                <w:sz w:val="18"/>
                <w:szCs w:val="18"/>
                <w:lang w:val="fr-FR"/>
              </w:rPr>
              <w:t>Nations</w:t>
            </w:r>
            <w:r w:rsidRPr="00E34D33">
              <w:rPr>
                <w:sz w:val="18"/>
                <w:szCs w:val="18"/>
                <w:lang w:val="fr-FR"/>
              </w:rPr>
              <w:t xml:space="preserve"> Unies pour l’environnement.</w:t>
            </w:r>
            <w:r w:rsidR="000D2429" w:rsidRPr="00E34D33">
              <w:rPr>
                <w:sz w:val="18"/>
                <w:szCs w:val="18"/>
                <w:lang w:val="fr-FR"/>
              </w:rPr>
              <w:t xml:space="preserve"> </w:t>
            </w:r>
          </w:p>
          <w:p w14:paraId="140FB4AF" w14:textId="11941237" w:rsidR="000D2429" w:rsidRPr="00E34D33" w:rsidRDefault="00E52A58" w:rsidP="00E52A58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120"/>
              <w:rPr>
                <w:b/>
                <w:bCs/>
                <w:sz w:val="18"/>
                <w:szCs w:val="18"/>
                <w:lang w:val="fr-FR" w:eastAsia="en-US"/>
              </w:rPr>
            </w:pPr>
            <w:r w:rsidRPr="00E34D33">
              <w:rPr>
                <w:sz w:val="18"/>
                <w:szCs w:val="18"/>
                <w:lang w:val="fr-FR"/>
              </w:rPr>
              <w:t>La Confé</w:t>
            </w:r>
            <w:r w:rsidR="000D2429" w:rsidRPr="00E34D33">
              <w:rPr>
                <w:sz w:val="18"/>
                <w:szCs w:val="18"/>
                <w:lang w:val="fr-FR"/>
              </w:rPr>
              <w:t xml:space="preserve">rence </w:t>
            </w:r>
            <w:r w:rsidRPr="00E34D33">
              <w:rPr>
                <w:sz w:val="18"/>
                <w:szCs w:val="18"/>
                <w:lang w:val="fr-FR"/>
              </w:rPr>
              <w:t>des</w:t>
            </w:r>
            <w:r w:rsidR="000D2429" w:rsidRPr="00E34D33">
              <w:rPr>
                <w:sz w:val="18"/>
                <w:szCs w:val="18"/>
                <w:lang w:val="fr-FR"/>
              </w:rPr>
              <w:t xml:space="preserve"> Parties </w:t>
            </w:r>
            <w:r w:rsidRPr="00E34D33">
              <w:rPr>
                <w:sz w:val="18"/>
                <w:szCs w:val="18"/>
                <w:lang w:val="fr-FR"/>
              </w:rPr>
              <w:t xml:space="preserve">souhaitera peut-être envisager de créer une équipe de travail technique aux fins du </w:t>
            </w:r>
            <w:r w:rsidR="000D2429" w:rsidRPr="00E34D33">
              <w:rPr>
                <w:sz w:val="18"/>
                <w:szCs w:val="18"/>
                <w:lang w:val="fr-FR"/>
              </w:rPr>
              <w:t>programme</w:t>
            </w:r>
            <w:r w:rsidRPr="00E34D33">
              <w:rPr>
                <w:sz w:val="18"/>
                <w:szCs w:val="18"/>
                <w:lang w:val="fr-FR"/>
              </w:rPr>
              <w:t xml:space="preserve"> international spécifique</w:t>
            </w:r>
            <w:r w:rsidR="00CC6C56" w:rsidRPr="00E34D33">
              <w:rPr>
                <w:sz w:val="18"/>
                <w:szCs w:val="18"/>
                <w:lang w:val="fr-FR"/>
              </w:rPr>
              <w:t xml:space="preserve">, </w:t>
            </w:r>
            <w:r w:rsidRPr="00E34D33">
              <w:rPr>
                <w:sz w:val="18"/>
                <w:szCs w:val="18"/>
                <w:lang w:val="fr-FR"/>
              </w:rPr>
              <w:t>qu</w:t>
            </w:r>
            <w:r w:rsidR="009D601C">
              <w:rPr>
                <w:sz w:val="18"/>
                <w:szCs w:val="18"/>
                <w:lang w:val="fr-FR"/>
              </w:rPr>
              <w:t xml:space="preserve">i serait chargée de </w:t>
            </w:r>
            <w:r w:rsidRPr="00E34D33">
              <w:rPr>
                <w:sz w:val="18"/>
                <w:szCs w:val="18"/>
                <w:lang w:val="fr-FR"/>
              </w:rPr>
              <w:t>l’examen technique informel. Cette équipe serait composée de représentants ayant une expé</w:t>
            </w:r>
            <w:r w:rsidR="000D2429" w:rsidRPr="00E34D33">
              <w:rPr>
                <w:sz w:val="18"/>
                <w:szCs w:val="18"/>
                <w:lang w:val="fr-FR"/>
              </w:rPr>
              <w:t>rience</w:t>
            </w:r>
            <w:r w:rsidRPr="00E34D33">
              <w:rPr>
                <w:sz w:val="18"/>
                <w:szCs w:val="18"/>
                <w:lang w:val="fr-FR"/>
              </w:rPr>
              <w:t xml:space="preserve"> et des compétences concernant le mercure, le renforcement des capacités, l’</w:t>
            </w:r>
            <w:r w:rsidR="000D2429" w:rsidRPr="00E34D33">
              <w:rPr>
                <w:sz w:val="18"/>
                <w:szCs w:val="18"/>
                <w:lang w:val="fr-FR"/>
              </w:rPr>
              <w:t>assistance</w:t>
            </w:r>
            <w:r w:rsidRPr="00E34D33">
              <w:rPr>
                <w:sz w:val="18"/>
                <w:szCs w:val="18"/>
                <w:lang w:val="fr-FR"/>
              </w:rPr>
              <w:t xml:space="preserve"> technique et la mise en œuvre</w:t>
            </w:r>
            <w:r w:rsidR="00C604A6" w:rsidRPr="00E34D33">
              <w:rPr>
                <w:sz w:val="18"/>
                <w:szCs w:val="18"/>
                <w:lang w:val="fr-FR"/>
              </w:rPr>
              <w:t xml:space="preserve">. </w:t>
            </w:r>
            <w:r w:rsidRPr="00E34D33">
              <w:rPr>
                <w:sz w:val="18"/>
                <w:szCs w:val="18"/>
                <w:lang w:val="fr-FR"/>
              </w:rPr>
              <w:t xml:space="preserve">Ces représentants pourraient comprendre le secrétariat de la </w:t>
            </w:r>
            <w:r w:rsidR="000D2429" w:rsidRPr="00E34D33">
              <w:rPr>
                <w:sz w:val="18"/>
                <w:szCs w:val="18"/>
                <w:lang w:val="fr-FR"/>
              </w:rPr>
              <w:t>Convention</w:t>
            </w:r>
            <w:r w:rsidRPr="00E34D33">
              <w:rPr>
                <w:sz w:val="18"/>
                <w:szCs w:val="18"/>
                <w:lang w:val="fr-FR"/>
              </w:rPr>
              <w:t>, le secrétariat du Partenariat mondial sur le mercure</w:t>
            </w:r>
            <w:r w:rsidR="000D2429" w:rsidRPr="00E34D33">
              <w:rPr>
                <w:sz w:val="18"/>
                <w:szCs w:val="18"/>
                <w:lang w:val="fr-FR"/>
              </w:rPr>
              <w:t xml:space="preserve">, </w:t>
            </w:r>
            <w:r w:rsidRPr="00E34D33">
              <w:rPr>
                <w:sz w:val="18"/>
                <w:szCs w:val="18"/>
                <w:lang w:val="fr-FR"/>
              </w:rPr>
              <w:t xml:space="preserve">le Secrétariat des conventions de Bâle, de </w:t>
            </w:r>
            <w:r w:rsidR="000D2429" w:rsidRPr="00E34D33">
              <w:rPr>
                <w:sz w:val="18"/>
                <w:szCs w:val="18"/>
                <w:lang w:val="fr-FR"/>
              </w:rPr>
              <w:t>Rotte</w:t>
            </w:r>
            <w:r w:rsidR="00CF27B0" w:rsidRPr="00E34D33">
              <w:rPr>
                <w:sz w:val="18"/>
                <w:szCs w:val="18"/>
                <w:lang w:val="fr-FR"/>
              </w:rPr>
              <w:t xml:space="preserve">rdam </w:t>
            </w:r>
            <w:r w:rsidRPr="00E34D33">
              <w:rPr>
                <w:sz w:val="18"/>
                <w:szCs w:val="18"/>
                <w:lang w:val="fr-FR"/>
              </w:rPr>
              <w:t xml:space="preserve">et de </w:t>
            </w:r>
            <w:r w:rsidR="00CF27B0" w:rsidRPr="00E34D33">
              <w:rPr>
                <w:sz w:val="18"/>
                <w:szCs w:val="18"/>
                <w:lang w:val="fr-FR"/>
              </w:rPr>
              <w:t>Stockholm</w:t>
            </w:r>
            <w:r w:rsidR="009D601C">
              <w:rPr>
                <w:sz w:val="18"/>
                <w:szCs w:val="18"/>
                <w:lang w:val="fr-FR"/>
              </w:rPr>
              <w:t>, le Service Substances chimiques et santé</w:t>
            </w:r>
            <w:r w:rsidRPr="00E34D33">
              <w:rPr>
                <w:sz w:val="18"/>
                <w:szCs w:val="18"/>
                <w:lang w:val="fr-FR"/>
              </w:rPr>
              <w:t xml:space="preserve"> et le Fonds pour l’environnement mondial. À l’issue de son examen</w:t>
            </w:r>
            <w:r w:rsidR="00F728BC" w:rsidRPr="00E34D33">
              <w:rPr>
                <w:sz w:val="18"/>
                <w:szCs w:val="18"/>
                <w:lang w:val="fr-FR"/>
              </w:rPr>
              <w:t xml:space="preserve"> </w:t>
            </w:r>
            <w:r w:rsidR="00CF27B0" w:rsidRPr="00E34D33">
              <w:rPr>
                <w:sz w:val="18"/>
                <w:szCs w:val="18"/>
                <w:lang w:val="fr-FR"/>
              </w:rPr>
              <w:t>initial</w:t>
            </w:r>
            <w:r w:rsidRPr="00E34D33">
              <w:rPr>
                <w:sz w:val="18"/>
                <w:szCs w:val="18"/>
                <w:lang w:val="fr-FR"/>
              </w:rPr>
              <w:t xml:space="preserve"> de</w:t>
            </w:r>
            <w:r w:rsidR="00C7601B" w:rsidRPr="00E34D33">
              <w:rPr>
                <w:sz w:val="18"/>
                <w:szCs w:val="18"/>
                <w:lang w:val="fr-FR"/>
              </w:rPr>
              <w:t>s</w:t>
            </w:r>
            <w:r w:rsidRPr="00E34D33">
              <w:rPr>
                <w:sz w:val="18"/>
                <w:szCs w:val="18"/>
                <w:lang w:val="fr-FR"/>
              </w:rPr>
              <w:t xml:space="preserve"> demandes, le secrétariat du</w:t>
            </w:r>
            <w:r w:rsidR="00CF27B0" w:rsidRPr="00E34D33">
              <w:rPr>
                <w:sz w:val="18"/>
                <w:szCs w:val="18"/>
                <w:lang w:val="fr-FR"/>
              </w:rPr>
              <w:t xml:space="preserve"> </w:t>
            </w:r>
            <w:r w:rsidR="00F728BC" w:rsidRPr="00E34D33">
              <w:rPr>
                <w:sz w:val="18"/>
                <w:szCs w:val="18"/>
                <w:lang w:val="fr-FR"/>
              </w:rPr>
              <w:t xml:space="preserve">programme </w:t>
            </w:r>
            <w:r w:rsidRPr="00E34D33">
              <w:rPr>
                <w:sz w:val="18"/>
                <w:szCs w:val="18"/>
                <w:lang w:val="fr-FR"/>
              </w:rPr>
              <w:t>évaluerait les demandes, en consultation avec l’équipe de travail technique, pour en déterminer le bien-fondé et la pertinen</w:t>
            </w:r>
            <w:r w:rsidR="009D601C">
              <w:rPr>
                <w:sz w:val="18"/>
                <w:szCs w:val="18"/>
                <w:lang w:val="fr-FR"/>
              </w:rPr>
              <w:t xml:space="preserve">ce. Ensuite, il transmettrait les résultats de son </w:t>
            </w:r>
            <w:r w:rsidRPr="00E34D33">
              <w:rPr>
                <w:sz w:val="18"/>
                <w:szCs w:val="18"/>
                <w:lang w:val="fr-FR"/>
              </w:rPr>
              <w:t>év</w:t>
            </w:r>
            <w:r w:rsidR="00F00840">
              <w:rPr>
                <w:sz w:val="18"/>
                <w:szCs w:val="18"/>
                <w:lang w:val="fr-FR"/>
              </w:rPr>
              <w:t>aluation à l’organe directeur ou au</w:t>
            </w:r>
            <w:r w:rsidRPr="00E34D33">
              <w:rPr>
                <w:sz w:val="18"/>
                <w:szCs w:val="18"/>
                <w:lang w:val="fr-FR"/>
              </w:rPr>
              <w:t xml:space="preserve"> conseil exécutif pour évaluation, décision et approbation du projet proposé</w:t>
            </w:r>
            <w:r w:rsidR="00C604A6" w:rsidRPr="00E34D33">
              <w:rPr>
                <w:sz w:val="18"/>
                <w:szCs w:val="18"/>
                <w:lang w:val="fr-FR"/>
              </w:rPr>
              <w:t xml:space="preserve">. </w:t>
            </w:r>
          </w:p>
        </w:tc>
      </w:tr>
      <w:tr w:rsidR="000D2429" w:rsidRPr="00C7601B" w14:paraId="66B2A6A5" w14:textId="77777777" w:rsidTr="001E343F">
        <w:tc>
          <w:tcPr>
            <w:tcW w:w="8203" w:type="dxa"/>
            <w:shd w:val="clear" w:color="auto" w:fill="auto"/>
          </w:tcPr>
          <w:p w14:paraId="0B62DA51" w14:textId="0615DF1D" w:rsidR="000D2429" w:rsidRPr="006A7576" w:rsidRDefault="006A7576" w:rsidP="0000173C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60" w:after="140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lastRenderedPageBreak/>
              <w:t>E</w:t>
            </w:r>
            <w:r w:rsidRPr="006A7576">
              <w:rPr>
                <w:b/>
                <w:bCs/>
                <w:sz w:val="18"/>
                <w:szCs w:val="18"/>
                <w:lang w:val="fr-FR"/>
              </w:rPr>
              <w:t>xamen technique formel</w:t>
            </w:r>
            <w:r w:rsidR="00C46AEF">
              <w:rPr>
                <w:b/>
                <w:bCs/>
                <w:sz w:val="18"/>
                <w:szCs w:val="18"/>
                <w:lang w:val="fr-FR"/>
              </w:rPr>
              <w:t> </w:t>
            </w:r>
            <w:r w:rsidRPr="006A7576">
              <w:rPr>
                <w:b/>
                <w:bCs/>
                <w:sz w:val="18"/>
                <w:szCs w:val="18"/>
                <w:lang w:val="fr-FR"/>
              </w:rPr>
              <w:t>: organe d’examen technique</w:t>
            </w:r>
            <w:r w:rsidR="000D2429" w:rsidRPr="006A7576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67CBC861" w14:textId="3AD85D0F" w:rsidR="00C604A6" w:rsidRPr="00C7601B" w:rsidRDefault="006A7576" w:rsidP="00BD69FE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60" w:after="140"/>
              <w:rPr>
                <w:sz w:val="18"/>
                <w:szCs w:val="18"/>
                <w:lang w:val="fr-FR"/>
              </w:rPr>
            </w:pPr>
            <w:r w:rsidRPr="006A7576">
              <w:rPr>
                <w:sz w:val="18"/>
                <w:szCs w:val="18"/>
                <w:lang w:val="fr-FR"/>
              </w:rPr>
              <w:t>La Confé</w:t>
            </w:r>
            <w:r w:rsidR="00C604A6" w:rsidRPr="006A7576">
              <w:rPr>
                <w:sz w:val="18"/>
                <w:szCs w:val="18"/>
                <w:lang w:val="fr-FR"/>
              </w:rPr>
              <w:t xml:space="preserve">rence </w:t>
            </w:r>
            <w:r w:rsidRPr="006A7576">
              <w:rPr>
                <w:sz w:val="18"/>
                <w:szCs w:val="18"/>
                <w:lang w:val="fr-FR"/>
              </w:rPr>
              <w:t>des</w:t>
            </w:r>
            <w:r w:rsidR="00C604A6" w:rsidRPr="006A7576">
              <w:rPr>
                <w:sz w:val="18"/>
                <w:szCs w:val="18"/>
                <w:lang w:val="fr-FR"/>
              </w:rPr>
              <w:t xml:space="preserve"> Parties</w:t>
            </w:r>
            <w:r w:rsidRPr="006A7576">
              <w:rPr>
                <w:sz w:val="18"/>
                <w:szCs w:val="18"/>
                <w:lang w:val="fr-FR"/>
              </w:rPr>
              <w:t xml:space="preserve"> souhaitera peut-</w:t>
            </w:r>
            <w:r>
              <w:rPr>
                <w:sz w:val="18"/>
                <w:szCs w:val="18"/>
                <w:lang w:val="fr-FR"/>
              </w:rPr>
              <w:t>êt</w:t>
            </w:r>
            <w:r w:rsidRPr="006A7576">
              <w:rPr>
                <w:sz w:val="18"/>
                <w:szCs w:val="18"/>
                <w:lang w:val="fr-FR"/>
              </w:rPr>
              <w:t xml:space="preserve">re envisager de </w:t>
            </w:r>
            <w:r w:rsidR="00AB325F">
              <w:rPr>
                <w:sz w:val="18"/>
                <w:szCs w:val="18"/>
                <w:lang w:val="fr-FR"/>
              </w:rPr>
              <w:t>prendre pour modèle le</w:t>
            </w:r>
            <w:r w:rsidRPr="006A7576">
              <w:rPr>
                <w:sz w:val="18"/>
                <w:szCs w:val="18"/>
                <w:lang w:val="fr-FR"/>
              </w:rPr>
              <w:t xml:space="preserve"> Programme de démarrage rapide, </w:t>
            </w:r>
            <w:r>
              <w:rPr>
                <w:sz w:val="18"/>
                <w:szCs w:val="18"/>
                <w:lang w:val="fr-FR"/>
              </w:rPr>
              <w:t>au titre duquel le secré</w:t>
            </w:r>
            <w:r w:rsidR="00C604A6" w:rsidRPr="006A7576">
              <w:rPr>
                <w:sz w:val="18"/>
                <w:szCs w:val="18"/>
                <w:lang w:val="fr-FR"/>
              </w:rPr>
              <w:t>tariat</w:t>
            </w:r>
            <w:r>
              <w:rPr>
                <w:sz w:val="18"/>
                <w:szCs w:val="18"/>
                <w:lang w:val="fr-FR"/>
              </w:rPr>
              <w:t xml:space="preserve"> entreprend un examen</w:t>
            </w:r>
            <w:r w:rsidR="00D17E7B" w:rsidRPr="006A7576">
              <w:rPr>
                <w:sz w:val="18"/>
                <w:szCs w:val="18"/>
                <w:lang w:val="fr-FR"/>
              </w:rPr>
              <w:t xml:space="preserve"> </w:t>
            </w:r>
            <w:r w:rsidR="00C604A6" w:rsidRPr="006A7576">
              <w:rPr>
                <w:sz w:val="18"/>
                <w:szCs w:val="18"/>
                <w:lang w:val="fr-FR"/>
              </w:rPr>
              <w:t xml:space="preserve">initial </w:t>
            </w:r>
            <w:r w:rsidR="00AB325F">
              <w:rPr>
                <w:sz w:val="18"/>
                <w:szCs w:val="18"/>
                <w:lang w:val="fr-FR"/>
              </w:rPr>
              <w:t xml:space="preserve">des demandes, </w:t>
            </w:r>
            <w:r>
              <w:rPr>
                <w:sz w:val="18"/>
                <w:szCs w:val="18"/>
                <w:lang w:val="fr-FR"/>
              </w:rPr>
              <w:t>après quoi le Comité de mise en œuvre du Fonds d’affectation spéciale procède à un examen approf</w:t>
            </w:r>
            <w:r w:rsidR="00AB325F">
              <w:rPr>
                <w:sz w:val="18"/>
                <w:szCs w:val="18"/>
                <w:lang w:val="fr-FR"/>
              </w:rPr>
              <w:t>ondi des propositions de projet</w:t>
            </w:r>
            <w:r>
              <w:rPr>
                <w:sz w:val="18"/>
                <w:szCs w:val="18"/>
                <w:lang w:val="fr-FR"/>
              </w:rPr>
              <w:t xml:space="preserve">. </w:t>
            </w:r>
            <w:r w:rsidRPr="006A7576">
              <w:rPr>
                <w:sz w:val="18"/>
                <w:szCs w:val="18"/>
                <w:lang w:val="fr-FR"/>
              </w:rPr>
              <w:t>Le Comité de mise en œuvre est composé de représentants du Programme interorganisations pour la gestion rationnelle des produits chimique</w:t>
            </w:r>
            <w:r w:rsidR="00C7601B">
              <w:rPr>
                <w:sz w:val="18"/>
                <w:szCs w:val="18"/>
                <w:lang w:val="fr-FR"/>
              </w:rPr>
              <w:t>s</w:t>
            </w:r>
            <w:r w:rsidRPr="006A7576">
              <w:rPr>
                <w:sz w:val="18"/>
                <w:szCs w:val="18"/>
                <w:lang w:val="fr-FR"/>
              </w:rPr>
              <w:t xml:space="preserve">, auquel </w:t>
            </w:r>
            <w:r>
              <w:rPr>
                <w:sz w:val="18"/>
                <w:szCs w:val="18"/>
                <w:lang w:val="fr-FR"/>
              </w:rPr>
              <w:t>participe</w:t>
            </w:r>
            <w:r w:rsidRPr="006A7576">
              <w:rPr>
                <w:sz w:val="18"/>
                <w:szCs w:val="18"/>
                <w:lang w:val="fr-FR"/>
              </w:rPr>
              <w:t xml:space="preserve">nt les neuf </w:t>
            </w:r>
            <w:r w:rsidR="00C604A6" w:rsidRPr="006A7576">
              <w:rPr>
                <w:sz w:val="18"/>
                <w:szCs w:val="18"/>
                <w:lang w:val="fr-FR"/>
              </w:rPr>
              <w:t>organi</w:t>
            </w:r>
            <w:r>
              <w:rPr>
                <w:sz w:val="18"/>
                <w:szCs w:val="18"/>
                <w:lang w:val="fr-FR"/>
              </w:rPr>
              <w:t>s</w:t>
            </w:r>
            <w:r w:rsidR="00C604A6" w:rsidRPr="006A7576">
              <w:rPr>
                <w:sz w:val="18"/>
                <w:szCs w:val="18"/>
                <w:lang w:val="fr-FR"/>
              </w:rPr>
              <w:t>ations</w:t>
            </w:r>
            <w:r>
              <w:rPr>
                <w:sz w:val="18"/>
                <w:szCs w:val="18"/>
                <w:lang w:val="fr-FR"/>
              </w:rPr>
              <w:t xml:space="preserve"> ci-après </w:t>
            </w:r>
            <w:r w:rsidR="00C604A6" w:rsidRPr="006A7576">
              <w:rPr>
                <w:sz w:val="18"/>
                <w:szCs w:val="18"/>
                <w:lang w:val="fr-FR"/>
              </w:rPr>
              <w:t>:</w:t>
            </w:r>
            <w:r>
              <w:rPr>
                <w:sz w:val="18"/>
                <w:szCs w:val="18"/>
                <w:lang w:val="fr-FR"/>
              </w:rPr>
              <w:t xml:space="preserve"> Organisation des Nations Unies pour l’alimentation et l’a</w:t>
            </w:r>
            <w:r w:rsidR="00C604A6" w:rsidRPr="006A7576">
              <w:rPr>
                <w:sz w:val="18"/>
                <w:szCs w:val="18"/>
                <w:lang w:val="fr-FR"/>
              </w:rPr>
              <w:t>griculture</w:t>
            </w:r>
            <w:r>
              <w:rPr>
                <w:sz w:val="18"/>
                <w:szCs w:val="18"/>
                <w:lang w:val="fr-FR"/>
              </w:rPr>
              <w:t>, Organisation int</w:t>
            </w:r>
            <w:r w:rsidR="00C604A6" w:rsidRPr="006A7576">
              <w:rPr>
                <w:sz w:val="18"/>
                <w:szCs w:val="18"/>
                <w:lang w:val="fr-FR"/>
              </w:rPr>
              <w:t>ernational</w:t>
            </w:r>
            <w:r>
              <w:rPr>
                <w:sz w:val="18"/>
                <w:szCs w:val="18"/>
                <w:lang w:val="fr-FR"/>
              </w:rPr>
              <w:t>e du Travail, Programme des Nations U</w:t>
            </w:r>
            <w:r w:rsidR="00AB325F">
              <w:rPr>
                <w:sz w:val="18"/>
                <w:szCs w:val="18"/>
                <w:lang w:val="fr-FR"/>
              </w:rPr>
              <w:t>nies pour le développement, Programme des Nations Unies pour l’environnement</w:t>
            </w:r>
            <w:r>
              <w:rPr>
                <w:sz w:val="18"/>
                <w:szCs w:val="18"/>
                <w:lang w:val="fr-FR"/>
              </w:rPr>
              <w:t xml:space="preserve">, Organisation des </w:t>
            </w:r>
            <w:r w:rsidR="00C604A6" w:rsidRPr="006A7576">
              <w:rPr>
                <w:sz w:val="18"/>
                <w:szCs w:val="18"/>
                <w:lang w:val="fr-FR"/>
              </w:rPr>
              <w:t>Nations</w:t>
            </w:r>
            <w:r>
              <w:rPr>
                <w:sz w:val="18"/>
                <w:szCs w:val="18"/>
                <w:lang w:val="fr-FR"/>
              </w:rPr>
              <w:t xml:space="preserve"> Unies pour le développement industriel, Institut des </w:t>
            </w:r>
            <w:r w:rsidR="00C604A6" w:rsidRPr="006A7576">
              <w:rPr>
                <w:sz w:val="18"/>
                <w:szCs w:val="18"/>
                <w:lang w:val="fr-FR"/>
              </w:rPr>
              <w:t xml:space="preserve">Nations </w:t>
            </w:r>
            <w:r>
              <w:rPr>
                <w:sz w:val="18"/>
                <w:szCs w:val="18"/>
                <w:lang w:val="fr-FR"/>
              </w:rPr>
              <w:t xml:space="preserve">Unies pour la formation et la recherche, Organisation mondiale de la Santé, Banque mondiale et Organisation de coopération et de développement économiques. </w:t>
            </w:r>
            <w:r w:rsidRPr="00C7601B">
              <w:rPr>
                <w:sz w:val="18"/>
                <w:szCs w:val="18"/>
                <w:lang w:val="fr-FR"/>
              </w:rPr>
              <w:t xml:space="preserve">Le Comité de mise en œuvre évalue et approuve les projets </w:t>
            </w:r>
            <w:r w:rsidR="00C7601B" w:rsidRPr="00C7601B">
              <w:rPr>
                <w:sz w:val="18"/>
                <w:szCs w:val="18"/>
                <w:lang w:val="fr-FR"/>
              </w:rPr>
              <w:t xml:space="preserve">proposés, pour transmission au Conseil exécutif, son organe directeur, qui supervise le processus. </w:t>
            </w:r>
          </w:p>
          <w:p w14:paraId="6D1C032C" w14:textId="1E9B4C3A" w:rsidR="007128B0" w:rsidRPr="00C7601B" w:rsidRDefault="00C7601B" w:rsidP="00C7601B">
            <w:pPr>
              <w:pStyle w:val="Brdtext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60" w:after="140"/>
              <w:rPr>
                <w:b/>
                <w:bCs/>
                <w:sz w:val="18"/>
                <w:szCs w:val="18"/>
                <w:lang w:val="fr-FR" w:eastAsia="en-US"/>
              </w:rPr>
            </w:pPr>
            <w:r w:rsidRPr="00E52A58">
              <w:rPr>
                <w:sz w:val="18"/>
                <w:szCs w:val="18"/>
                <w:lang w:val="fr-FR"/>
              </w:rPr>
              <w:t>La Conférence des Parties souhaitera peut-être envisager de créer un</w:t>
            </w:r>
            <w:r>
              <w:rPr>
                <w:sz w:val="18"/>
                <w:szCs w:val="18"/>
                <w:lang w:val="fr-FR"/>
              </w:rPr>
              <w:t xml:space="preserve"> organe d’examen </w:t>
            </w:r>
            <w:r w:rsidRPr="00E52A58">
              <w:rPr>
                <w:sz w:val="18"/>
                <w:szCs w:val="18"/>
                <w:lang w:val="fr-FR"/>
              </w:rPr>
              <w:t>technique</w:t>
            </w:r>
            <w:r>
              <w:rPr>
                <w:sz w:val="18"/>
                <w:szCs w:val="18"/>
                <w:lang w:val="fr-FR"/>
              </w:rPr>
              <w:t xml:space="preserve"> aux fins du </w:t>
            </w:r>
            <w:r w:rsidRPr="00E52A58">
              <w:rPr>
                <w:sz w:val="18"/>
                <w:szCs w:val="18"/>
                <w:lang w:val="fr-FR"/>
              </w:rPr>
              <w:t>programme</w:t>
            </w:r>
            <w:r>
              <w:rPr>
                <w:sz w:val="18"/>
                <w:szCs w:val="18"/>
                <w:lang w:val="fr-FR"/>
              </w:rPr>
              <w:t xml:space="preserve"> international spécifique</w:t>
            </w:r>
            <w:r w:rsidRPr="00E52A58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qui serait composé, mais pas exclusivement,</w:t>
            </w:r>
            <w:r w:rsidRPr="00E52A58">
              <w:rPr>
                <w:sz w:val="18"/>
                <w:szCs w:val="18"/>
                <w:lang w:val="fr-FR"/>
              </w:rPr>
              <w:t xml:space="preserve"> de représentants </w:t>
            </w:r>
            <w:r w:rsidRPr="006A7576">
              <w:rPr>
                <w:sz w:val="18"/>
                <w:szCs w:val="18"/>
                <w:lang w:val="fr-FR"/>
              </w:rPr>
              <w:t>du Programme interorganisations pour la gestion rationnelle des produits chimique</w:t>
            </w:r>
            <w:r>
              <w:rPr>
                <w:sz w:val="18"/>
                <w:szCs w:val="18"/>
                <w:lang w:val="fr-FR"/>
              </w:rPr>
              <w:t>s et d’un représentant du</w:t>
            </w:r>
            <w:r w:rsidRPr="00E52A58">
              <w:rPr>
                <w:sz w:val="18"/>
                <w:szCs w:val="18"/>
                <w:lang w:val="fr-FR"/>
              </w:rPr>
              <w:t xml:space="preserve"> secrétariat de la Convention</w:t>
            </w:r>
            <w:r>
              <w:rPr>
                <w:sz w:val="18"/>
                <w:szCs w:val="18"/>
                <w:lang w:val="fr-FR"/>
              </w:rPr>
              <w:t>, du secrétariat du</w:t>
            </w:r>
            <w:r w:rsidRPr="00E52A58">
              <w:rPr>
                <w:sz w:val="18"/>
                <w:szCs w:val="18"/>
                <w:lang w:val="fr-FR"/>
              </w:rPr>
              <w:t xml:space="preserve"> Partenariat mondial sur le mercure, </w:t>
            </w:r>
            <w:r>
              <w:rPr>
                <w:sz w:val="18"/>
                <w:szCs w:val="18"/>
                <w:lang w:val="fr-FR"/>
              </w:rPr>
              <w:t xml:space="preserve">du Secrétariat des conventions de Bâle, de </w:t>
            </w:r>
            <w:r w:rsidRPr="00E52A58">
              <w:rPr>
                <w:sz w:val="18"/>
                <w:szCs w:val="18"/>
                <w:lang w:val="fr-FR"/>
              </w:rPr>
              <w:t xml:space="preserve">Rotterdam </w:t>
            </w:r>
            <w:r>
              <w:rPr>
                <w:sz w:val="18"/>
                <w:szCs w:val="18"/>
                <w:lang w:val="fr-FR"/>
              </w:rPr>
              <w:t xml:space="preserve">et de </w:t>
            </w:r>
            <w:r w:rsidRPr="00E52A58">
              <w:rPr>
                <w:sz w:val="18"/>
                <w:szCs w:val="18"/>
                <w:lang w:val="fr-FR"/>
              </w:rPr>
              <w:t>Stockholm</w:t>
            </w:r>
            <w:r w:rsidR="006720F0">
              <w:rPr>
                <w:sz w:val="18"/>
                <w:szCs w:val="18"/>
                <w:lang w:val="fr-FR"/>
              </w:rPr>
              <w:t>, et</w:t>
            </w:r>
            <w:r>
              <w:rPr>
                <w:sz w:val="18"/>
                <w:szCs w:val="18"/>
                <w:lang w:val="fr-FR"/>
              </w:rPr>
              <w:t xml:space="preserve"> du Fonds pour l’environnement mondial. </w:t>
            </w:r>
            <w:r w:rsidRPr="00C7601B">
              <w:rPr>
                <w:sz w:val="18"/>
                <w:szCs w:val="18"/>
                <w:lang w:val="fr-FR"/>
              </w:rPr>
              <w:t>Cet organe évaluerait les projets proposés et ferait des recomma</w:t>
            </w:r>
            <w:r w:rsidR="009A554B" w:rsidRPr="00C7601B">
              <w:rPr>
                <w:sz w:val="18"/>
                <w:szCs w:val="18"/>
                <w:lang w:val="fr-FR"/>
              </w:rPr>
              <w:t>ndations</w:t>
            </w:r>
            <w:r w:rsidRPr="00C7601B">
              <w:rPr>
                <w:sz w:val="18"/>
                <w:szCs w:val="18"/>
                <w:lang w:val="fr-FR"/>
              </w:rPr>
              <w:t xml:space="preserve"> à l’organe directeur ou au conseil exécutif, qui approuverait les projets</w:t>
            </w:r>
            <w:r w:rsidR="00205EDC">
              <w:rPr>
                <w:sz w:val="18"/>
                <w:szCs w:val="18"/>
                <w:lang w:val="fr-FR"/>
              </w:rPr>
              <w:t xml:space="preserve"> ayant passé l’évaluation avec succès</w:t>
            </w:r>
            <w:r w:rsidR="009A554B" w:rsidRPr="00C7601B">
              <w:rPr>
                <w:sz w:val="18"/>
                <w:szCs w:val="18"/>
                <w:lang w:val="fr-FR"/>
              </w:rPr>
              <w:t xml:space="preserve">. </w:t>
            </w:r>
          </w:p>
        </w:tc>
      </w:tr>
      <w:tr w:rsidR="006811A4" w:rsidRPr="00CB0C08" w14:paraId="3F1CE227" w14:textId="77777777" w:rsidTr="001E343F">
        <w:tc>
          <w:tcPr>
            <w:tcW w:w="8203" w:type="dxa"/>
            <w:shd w:val="clear" w:color="auto" w:fill="auto"/>
          </w:tcPr>
          <w:p w14:paraId="14A2B5D6" w14:textId="54AC830F" w:rsidR="006811A4" w:rsidRPr="00205EDC" w:rsidRDefault="00205EDC" w:rsidP="0000173C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60" w:after="140"/>
              <w:rPr>
                <w:b/>
                <w:bCs/>
                <w:sz w:val="18"/>
                <w:szCs w:val="18"/>
                <w:lang w:val="fr-FR"/>
              </w:rPr>
            </w:pPr>
            <w:r w:rsidRPr="00205EDC">
              <w:rPr>
                <w:b/>
                <w:bCs/>
                <w:sz w:val="18"/>
                <w:szCs w:val="18"/>
                <w:lang w:val="fr-FR"/>
              </w:rPr>
              <w:t xml:space="preserve">Examen technique interne : examen par le secrétariat de la </w:t>
            </w:r>
            <w:r w:rsidR="006811A4" w:rsidRPr="00205EDC">
              <w:rPr>
                <w:b/>
                <w:bCs/>
                <w:sz w:val="18"/>
                <w:szCs w:val="18"/>
                <w:lang w:val="fr-FR"/>
              </w:rPr>
              <w:t xml:space="preserve">Convention </w:t>
            </w:r>
          </w:p>
          <w:p w14:paraId="2F287BAA" w14:textId="0EB4C5F0" w:rsidR="006811A4" w:rsidRPr="00CB0C08" w:rsidRDefault="00D37E33" w:rsidP="00DC4546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60" w:after="140"/>
              <w:rPr>
                <w:b/>
                <w:bCs/>
                <w:sz w:val="18"/>
                <w:szCs w:val="18"/>
                <w:lang w:val="fr-FR"/>
              </w:rPr>
            </w:pPr>
            <w:r w:rsidRPr="00D37E33">
              <w:rPr>
                <w:sz w:val="18"/>
                <w:szCs w:val="18"/>
                <w:lang w:val="fr-FR"/>
              </w:rPr>
              <w:t>La Confé</w:t>
            </w:r>
            <w:r w:rsidR="006811A4" w:rsidRPr="00D37E33">
              <w:rPr>
                <w:sz w:val="18"/>
                <w:szCs w:val="18"/>
                <w:lang w:val="fr-FR"/>
              </w:rPr>
              <w:t xml:space="preserve">rence </w:t>
            </w:r>
            <w:r w:rsidRPr="00D37E33">
              <w:rPr>
                <w:sz w:val="18"/>
                <w:szCs w:val="18"/>
                <w:lang w:val="fr-FR"/>
              </w:rPr>
              <w:t>des</w:t>
            </w:r>
            <w:r w:rsidR="006811A4" w:rsidRPr="00D37E33">
              <w:rPr>
                <w:sz w:val="18"/>
                <w:szCs w:val="18"/>
                <w:lang w:val="fr-FR"/>
              </w:rPr>
              <w:t xml:space="preserve"> Parties</w:t>
            </w:r>
            <w:r w:rsidRPr="00D37E33">
              <w:rPr>
                <w:sz w:val="18"/>
                <w:szCs w:val="18"/>
                <w:lang w:val="fr-FR"/>
              </w:rPr>
              <w:t xml:space="preserve"> souhaitera peut-être </w:t>
            </w:r>
            <w:r w:rsidR="006720F0">
              <w:rPr>
                <w:sz w:val="18"/>
                <w:szCs w:val="18"/>
                <w:lang w:val="fr-FR"/>
              </w:rPr>
              <w:t xml:space="preserve">prendre pour </w:t>
            </w:r>
            <w:r w:rsidRPr="00D37E33">
              <w:rPr>
                <w:sz w:val="18"/>
                <w:szCs w:val="18"/>
                <w:lang w:val="fr-FR"/>
              </w:rPr>
              <w:t xml:space="preserve">modèle </w:t>
            </w:r>
            <w:r w:rsidR="006720F0">
              <w:rPr>
                <w:sz w:val="18"/>
                <w:szCs w:val="18"/>
                <w:lang w:val="fr-FR"/>
              </w:rPr>
              <w:t xml:space="preserve">celui </w:t>
            </w:r>
            <w:r>
              <w:rPr>
                <w:sz w:val="18"/>
                <w:szCs w:val="18"/>
                <w:lang w:val="fr-FR"/>
              </w:rPr>
              <w:t xml:space="preserve">initialement utilisé par la </w:t>
            </w:r>
            <w:r w:rsidR="00DE6006" w:rsidRPr="00D37E33">
              <w:rPr>
                <w:sz w:val="18"/>
                <w:szCs w:val="18"/>
                <w:lang w:val="fr-FR"/>
              </w:rPr>
              <w:t>Convention</w:t>
            </w:r>
            <w:r>
              <w:rPr>
                <w:sz w:val="18"/>
                <w:szCs w:val="18"/>
                <w:lang w:val="fr-FR"/>
              </w:rPr>
              <w:t xml:space="preserve"> de Bâle pour appuyer l’</w:t>
            </w:r>
            <w:r w:rsidR="006811A4" w:rsidRPr="00D37E33">
              <w:rPr>
                <w:sz w:val="18"/>
                <w:szCs w:val="18"/>
                <w:lang w:val="fr-FR"/>
              </w:rPr>
              <w:t>assistance</w:t>
            </w:r>
            <w:r>
              <w:rPr>
                <w:sz w:val="18"/>
                <w:szCs w:val="18"/>
                <w:lang w:val="fr-FR"/>
              </w:rPr>
              <w:t xml:space="preserve"> technique. </w:t>
            </w:r>
            <w:r w:rsidRPr="00D37E33">
              <w:rPr>
                <w:sz w:val="18"/>
                <w:szCs w:val="18"/>
                <w:lang w:val="fr-FR"/>
              </w:rPr>
              <w:t>Si ce modèle était adapté</w:t>
            </w:r>
            <w:r>
              <w:rPr>
                <w:sz w:val="18"/>
                <w:szCs w:val="18"/>
                <w:lang w:val="fr-FR"/>
              </w:rPr>
              <w:t xml:space="preserve"> aux fins du</w:t>
            </w:r>
            <w:r w:rsidRPr="00D37E33">
              <w:rPr>
                <w:sz w:val="18"/>
                <w:szCs w:val="18"/>
                <w:lang w:val="fr-FR"/>
              </w:rPr>
              <w:t xml:space="preserve"> </w:t>
            </w:r>
            <w:r w:rsidR="006811A4" w:rsidRPr="00D37E33">
              <w:rPr>
                <w:sz w:val="18"/>
                <w:szCs w:val="18"/>
                <w:lang w:val="fr-FR"/>
              </w:rPr>
              <w:t xml:space="preserve">programme </w:t>
            </w:r>
            <w:r w:rsidRPr="00D37E33">
              <w:rPr>
                <w:sz w:val="18"/>
                <w:szCs w:val="18"/>
                <w:lang w:val="fr-FR"/>
              </w:rPr>
              <w:t xml:space="preserve">international spécifique de la Convention de </w:t>
            </w:r>
            <w:r w:rsidR="00DE6006" w:rsidRPr="00D37E33">
              <w:rPr>
                <w:sz w:val="18"/>
                <w:szCs w:val="18"/>
                <w:lang w:val="fr-FR"/>
              </w:rPr>
              <w:t xml:space="preserve">Minamata, </w:t>
            </w:r>
            <w:r w:rsidRPr="00D37E33">
              <w:rPr>
                <w:sz w:val="18"/>
                <w:szCs w:val="18"/>
                <w:lang w:val="fr-FR"/>
              </w:rPr>
              <w:t xml:space="preserve">le </w:t>
            </w:r>
            <w:r>
              <w:rPr>
                <w:sz w:val="18"/>
                <w:szCs w:val="18"/>
                <w:lang w:val="fr-FR"/>
              </w:rPr>
              <w:t>secré</w:t>
            </w:r>
            <w:r w:rsidRPr="00D37E33">
              <w:rPr>
                <w:sz w:val="18"/>
                <w:szCs w:val="18"/>
                <w:lang w:val="fr-FR"/>
              </w:rPr>
              <w:t xml:space="preserve">tariat </w:t>
            </w:r>
            <w:r>
              <w:rPr>
                <w:sz w:val="18"/>
                <w:szCs w:val="18"/>
                <w:lang w:val="fr-FR"/>
              </w:rPr>
              <w:t>du</w:t>
            </w:r>
            <w:r w:rsidRPr="00D37E33">
              <w:rPr>
                <w:sz w:val="18"/>
                <w:szCs w:val="18"/>
                <w:lang w:val="fr-FR"/>
              </w:rPr>
              <w:t xml:space="preserve"> </w:t>
            </w:r>
            <w:r w:rsidR="006811A4" w:rsidRPr="00D37E33">
              <w:rPr>
                <w:sz w:val="18"/>
                <w:szCs w:val="18"/>
                <w:lang w:val="fr-FR"/>
              </w:rPr>
              <w:t xml:space="preserve">programme </w:t>
            </w:r>
            <w:r>
              <w:rPr>
                <w:sz w:val="18"/>
                <w:szCs w:val="18"/>
                <w:lang w:val="fr-FR"/>
              </w:rPr>
              <w:t xml:space="preserve">relèverait directement du secrétariat de la Convention de </w:t>
            </w:r>
            <w:r w:rsidR="006811A4" w:rsidRPr="00D37E33">
              <w:rPr>
                <w:sz w:val="18"/>
                <w:szCs w:val="18"/>
                <w:lang w:val="fr-FR"/>
              </w:rPr>
              <w:t xml:space="preserve">Minamata </w:t>
            </w:r>
            <w:r>
              <w:rPr>
                <w:sz w:val="18"/>
                <w:szCs w:val="18"/>
                <w:lang w:val="fr-FR"/>
              </w:rPr>
              <w:t>et, en faisant appel au personnel du secrétariat élargi de la C</w:t>
            </w:r>
            <w:r w:rsidR="006811A4" w:rsidRPr="00D37E33">
              <w:rPr>
                <w:sz w:val="18"/>
                <w:szCs w:val="18"/>
                <w:lang w:val="fr-FR"/>
              </w:rPr>
              <w:t xml:space="preserve">onvention, </w:t>
            </w:r>
            <w:r>
              <w:rPr>
                <w:sz w:val="18"/>
                <w:szCs w:val="18"/>
                <w:lang w:val="fr-FR"/>
              </w:rPr>
              <w:t>serait chargé de toutes les fonctions d’examen technique</w:t>
            </w:r>
            <w:r w:rsidR="006811A4" w:rsidRPr="00D37E33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depuis l’examen des demandes jusqu’à l’approbation des projets</w:t>
            </w:r>
            <w:r w:rsidR="006720F0">
              <w:rPr>
                <w:sz w:val="18"/>
                <w:szCs w:val="18"/>
                <w:lang w:val="fr-FR"/>
              </w:rPr>
              <w:t xml:space="preserve"> en passant par l’évaluation de ces</w:t>
            </w:r>
            <w:r>
              <w:rPr>
                <w:sz w:val="18"/>
                <w:szCs w:val="18"/>
                <w:lang w:val="fr-FR"/>
              </w:rPr>
              <w:t xml:space="preserve"> projets. </w:t>
            </w:r>
            <w:r w:rsidR="00CB0C08" w:rsidRPr="00CB0C08">
              <w:rPr>
                <w:sz w:val="18"/>
                <w:szCs w:val="18"/>
                <w:lang w:val="fr-FR"/>
              </w:rPr>
              <w:t>Il le ferait directement pour le compte de la Confé</w:t>
            </w:r>
            <w:r w:rsidR="006811A4" w:rsidRPr="00CB0C08">
              <w:rPr>
                <w:sz w:val="18"/>
                <w:szCs w:val="18"/>
                <w:lang w:val="fr-FR"/>
              </w:rPr>
              <w:t xml:space="preserve">rence </w:t>
            </w:r>
            <w:r w:rsidR="00CB0C08">
              <w:rPr>
                <w:sz w:val="18"/>
                <w:szCs w:val="18"/>
                <w:lang w:val="fr-FR"/>
              </w:rPr>
              <w:t>des</w:t>
            </w:r>
            <w:r w:rsidR="006811A4" w:rsidRPr="00CB0C08">
              <w:rPr>
                <w:sz w:val="18"/>
                <w:szCs w:val="18"/>
                <w:lang w:val="fr-FR"/>
              </w:rPr>
              <w:t xml:space="preserve"> Parties,</w:t>
            </w:r>
            <w:r w:rsidR="00CB0C08">
              <w:rPr>
                <w:sz w:val="18"/>
                <w:szCs w:val="18"/>
                <w:lang w:val="fr-FR"/>
              </w:rPr>
              <w:t xml:space="preserve"> son organe directeur. </w:t>
            </w:r>
          </w:p>
        </w:tc>
      </w:tr>
    </w:tbl>
    <w:p w14:paraId="0AC3251F" w14:textId="77777777" w:rsidR="004D1BF6" w:rsidRPr="00CB0C08" w:rsidRDefault="004D1BF6"/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4225"/>
        <w:gridCol w:w="3995"/>
      </w:tblGrid>
      <w:tr w:rsidR="00346878" w:rsidRPr="002079D0" w14:paraId="58EFF6BE" w14:textId="77777777" w:rsidTr="00894B22">
        <w:tc>
          <w:tcPr>
            <w:tcW w:w="8220" w:type="dxa"/>
            <w:gridSpan w:val="2"/>
            <w:shd w:val="clear" w:color="auto" w:fill="D9D9D9" w:themeFill="background1" w:themeFillShade="D9"/>
          </w:tcPr>
          <w:p w14:paraId="6745E894" w14:textId="63E9977D" w:rsidR="00346878" w:rsidRPr="003E5FCF" w:rsidRDefault="0083302D" w:rsidP="0029126E">
            <w:pPr>
              <w:pStyle w:val="Brdtext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E5FCF">
              <w:rPr>
                <w:b/>
                <w:bCs/>
                <w:sz w:val="18"/>
                <w:szCs w:val="18"/>
                <w:lang w:val="fr-FR"/>
              </w:rPr>
              <w:t>4</w:t>
            </w:r>
            <w:r w:rsidR="00346878" w:rsidRPr="003E5FCF">
              <w:rPr>
                <w:b/>
                <w:bCs/>
                <w:sz w:val="18"/>
                <w:szCs w:val="18"/>
                <w:lang w:val="fr-FR"/>
              </w:rPr>
              <w:t xml:space="preserve">. </w:t>
            </w:r>
            <w:r w:rsidR="003E5FCF" w:rsidRPr="003E5FCF">
              <w:rPr>
                <w:b/>
                <w:bCs/>
                <w:sz w:val="18"/>
                <w:szCs w:val="18"/>
                <w:lang w:val="fr-FR"/>
              </w:rPr>
              <w:t>Considérations et incidences financières</w:t>
            </w:r>
          </w:p>
          <w:p w14:paraId="31F763BE" w14:textId="4C9D9E58" w:rsidR="003E5FCF" w:rsidRPr="003E5FCF" w:rsidRDefault="007B7924" w:rsidP="0029126E">
            <w:pPr>
              <w:pStyle w:val="Brdtext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80"/>
              <w:rPr>
                <w:bCs/>
                <w:sz w:val="18"/>
                <w:szCs w:val="18"/>
                <w:lang w:val="fr-FR"/>
              </w:rPr>
            </w:pPr>
            <w:r w:rsidRPr="003E5FCF">
              <w:rPr>
                <w:bCs/>
                <w:sz w:val="18"/>
                <w:szCs w:val="18"/>
                <w:lang w:val="fr-FR"/>
              </w:rPr>
              <w:t>A</w:t>
            </w:r>
            <w:r w:rsidR="003E5FCF" w:rsidRPr="003E5FCF">
              <w:rPr>
                <w:bCs/>
                <w:sz w:val="18"/>
                <w:szCs w:val="18"/>
                <w:lang w:val="fr-FR"/>
              </w:rPr>
              <w:t xml:space="preserve">ux termes du projet de décision précité relatif au programme </w:t>
            </w:r>
            <w:r w:rsidR="00681AC0" w:rsidRPr="003E5FCF">
              <w:rPr>
                <w:bCs/>
                <w:sz w:val="18"/>
                <w:szCs w:val="18"/>
                <w:lang w:val="fr-FR"/>
              </w:rPr>
              <w:t>international</w:t>
            </w:r>
            <w:r w:rsidR="003E5FCF" w:rsidRPr="003E5FCF">
              <w:rPr>
                <w:bCs/>
                <w:sz w:val="18"/>
                <w:szCs w:val="18"/>
                <w:lang w:val="fr-FR"/>
              </w:rPr>
              <w:t xml:space="preserve"> spécifique, « le Directeur exécutif du P</w:t>
            </w:r>
            <w:r w:rsidR="003E5FCF">
              <w:rPr>
                <w:bCs/>
                <w:sz w:val="18"/>
                <w:szCs w:val="18"/>
                <w:lang w:val="fr-FR"/>
              </w:rPr>
              <w:t xml:space="preserve">rogramme des Nations Unies pour l’environnement assurera </w:t>
            </w:r>
            <w:r w:rsidR="003E5FCF" w:rsidRPr="003E5FCF">
              <w:rPr>
                <w:bCs/>
                <w:sz w:val="18"/>
                <w:szCs w:val="18"/>
                <w:lang w:val="fr-FR"/>
              </w:rPr>
              <w:t xml:space="preserve">un appui administratif au </w:t>
            </w:r>
            <w:r w:rsidR="00F809C0" w:rsidRPr="003E5FCF">
              <w:rPr>
                <w:bCs/>
                <w:sz w:val="18"/>
                <w:szCs w:val="18"/>
                <w:lang w:val="fr-FR"/>
              </w:rPr>
              <w:t xml:space="preserve">programme, </w:t>
            </w:r>
            <w:r w:rsidR="003E5FCF">
              <w:rPr>
                <w:bCs/>
                <w:sz w:val="18"/>
                <w:szCs w:val="18"/>
                <w:lang w:val="fr-FR"/>
              </w:rPr>
              <w:t xml:space="preserve">en affectant des </w:t>
            </w:r>
            <w:r w:rsidR="003E5FCF" w:rsidRPr="003E5FCF">
              <w:rPr>
                <w:bCs/>
                <w:sz w:val="18"/>
                <w:szCs w:val="18"/>
                <w:lang w:val="fr-FR"/>
              </w:rPr>
              <w:t>ressources humaines et autres ».</w:t>
            </w:r>
            <w:r w:rsidR="003E5FCF">
              <w:rPr>
                <w:bCs/>
                <w:sz w:val="18"/>
                <w:szCs w:val="18"/>
                <w:lang w:val="fr-FR"/>
              </w:rPr>
              <w:t xml:space="preserve"> </w:t>
            </w:r>
          </w:p>
          <w:p w14:paraId="1EE11E7D" w14:textId="65944BE2" w:rsidR="00346878" w:rsidRPr="007E488A" w:rsidRDefault="007E488A" w:rsidP="0029126E">
            <w:pPr>
              <w:pStyle w:val="Brdtext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80"/>
              <w:rPr>
                <w:b/>
                <w:bCs/>
                <w:sz w:val="18"/>
                <w:szCs w:val="18"/>
                <w:lang w:val="fr-FR" w:eastAsia="en-US"/>
              </w:rPr>
            </w:pPr>
            <w:r w:rsidRPr="007E488A">
              <w:rPr>
                <w:bCs/>
                <w:sz w:val="18"/>
                <w:szCs w:val="18"/>
                <w:lang w:val="fr-FR"/>
              </w:rPr>
              <w:t>Quel que soit l’emplacement du secré</w:t>
            </w:r>
            <w:r w:rsidR="0083302D" w:rsidRPr="007E488A">
              <w:rPr>
                <w:bCs/>
                <w:sz w:val="18"/>
                <w:szCs w:val="18"/>
                <w:lang w:val="fr-FR"/>
              </w:rPr>
              <w:t>tariat</w:t>
            </w:r>
            <w:r w:rsidR="007B7924" w:rsidRPr="007E488A">
              <w:rPr>
                <w:bCs/>
                <w:sz w:val="18"/>
                <w:szCs w:val="18"/>
                <w:lang w:val="fr-FR"/>
              </w:rPr>
              <w:t>,</w:t>
            </w:r>
            <w:r w:rsidRPr="007E488A">
              <w:rPr>
                <w:bCs/>
                <w:sz w:val="18"/>
                <w:szCs w:val="18"/>
                <w:lang w:val="fr-FR"/>
              </w:rPr>
              <w:t xml:space="preserve"> les ressources au titre des dépenses d’appui au</w:t>
            </w:r>
            <w:r w:rsidR="007B7924" w:rsidRPr="007E488A">
              <w:rPr>
                <w:bCs/>
                <w:sz w:val="18"/>
                <w:szCs w:val="18"/>
                <w:lang w:val="fr-FR"/>
              </w:rPr>
              <w:t xml:space="preserve"> programme </w:t>
            </w:r>
            <w:r w:rsidRPr="007E488A">
              <w:rPr>
                <w:bCs/>
                <w:sz w:val="18"/>
                <w:szCs w:val="18"/>
                <w:lang w:val="fr-FR"/>
              </w:rPr>
              <w:t xml:space="preserve">engendrées par le </w:t>
            </w:r>
            <w:r w:rsidR="0083302D" w:rsidRPr="007E488A">
              <w:rPr>
                <w:bCs/>
                <w:sz w:val="18"/>
                <w:szCs w:val="18"/>
                <w:lang w:val="fr-FR"/>
              </w:rPr>
              <w:t>programme</w:t>
            </w:r>
            <w:r>
              <w:rPr>
                <w:bCs/>
                <w:sz w:val="18"/>
                <w:szCs w:val="18"/>
                <w:lang w:val="fr-FR"/>
              </w:rPr>
              <w:t xml:space="preserve"> international spécifique</w:t>
            </w:r>
            <w:r w:rsidR="00C409F9">
              <w:rPr>
                <w:bCs/>
                <w:sz w:val="18"/>
                <w:szCs w:val="18"/>
                <w:lang w:val="fr-FR"/>
              </w:rPr>
              <w:t>,</w:t>
            </w:r>
            <w:r>
              <w:rPr>
                <w:bCs/>
                <w:sz w:val="18"/>
                <w:szCs w:val="18"/>
                <w:lang w:val="fr-FR"/>
              </w:rPr>
              <w:t xml:space="preserve"> et les autres fonds levés si nécessaire ou approprié</w:t>
            </w:r>
            <w:r w:rsidR="00C409F9">
              <w:rPr>
                <w:bCs/>
                <w:sz w:val="18"/>
                <w:szCs w:val="18"/>
                <w:lang w:val="fr-FR"/>
              </w:rPr>
              <w:t>,</w:t>
            </w:r>
            <w:r>
              <w:rPr>
                <w:bCs/>
                <w:sz w:val="18"/>
                <w:szCs w:val="18"/>
                <w:lang w:val="fr-FR"/>
              </w:rPr>
              <w:t xml:space="preserve"> contribueraient au financement des dépenses </w:t>
            </w:r>
            <w:r w:rsidR="007B7924" w:rsidRPr="007E488A">
              <w:rPr>
                <w:bCs/>
                <w:sz w:val="18"/>
                <w:szCs w:val="18"/>
                <w:lang w:val="fr-FR"/>
              </w:rPr>
              <w:t>administrative</w:t>
            </w:r>
            <w:r>
              <w:rPr>
                <w:bCs/>
                <w:sz w:val="18"/>
                <w:szCs w:val="18"/>
                <w:lang w:val="fr-FR"/>
              </w:rPr>
              <w:t>s</w:t>
            </w:r>
            <w:r w:rsidR="007B7924" w:rsidRPr="007E488A">
              <w:rPr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Cs/>
                <w:sz w:val="18"/>
                <w:szCs w:val="18"/>
                <w:lang w:val="fr-FR"/>
              </w:rPr>
              <w:t>du</w:t>
            </w:r>
            <w:r w:rsidR="007B7924" w:rsidRPr="007E488A">
              <w:rPr>
                <w:bCs/>
                <w:sz w:val="18"/>
                <w:szCs w:val="18"/>
                <w:lang w:val="fr-FR"/>
              </w:rPr>
              <w:t xml:space="preserve"> programme</w:t>
            </w:r>
            <w:r>
              <w:rPr>
                <w:bCs/>
                <w:sz w:val="18"/>
                <w:szCs w:val="18"/>
                <w:lang w:val="fr-FR"/>
              </w:rPr>
              <w:t xml:space="preserve"> encourues au titre des </w:t>
            </w:r>
            <w:r w:rsidR="0083302D" w:rsidRPr="007E488A">
              <w:rPr>
                <w:bCs/>
                <w:sz w:val="18"/>
                <w:szCs w:val="18"/>
                <w:lang w:val="fr-FR"/>
              </w:rPr>
              <w:t>arrangements</w:t>
            </w:r>
            <w:r>
              <w:rPr>
                <w:bCs/>
                <w:sz w:val="18"/>
                <w:szCs w:val="18"/>
                <w:lang w:val="fr-FR"/>
              </w:rPr>
              <w:t xml:space="preserve"> actuels</w:t>
            </w:r>
            <w:r w:rsidR="007B7924" w:rsidRPr="007E488A">
              <w:rPr>
                <w:bCs/>
                <w:sz w:val="18"/>
                <w:szCs w:val="18"/>
                <w:lang w:val="fr-FR"/>
              </w:rPr>
              <w:t xml:space="preserve">. </w:t>
            </w:r>
            <w:r w:rsidRPr="007E488A">
              <w:rPr>
                <w:bCs/>
                <w:sz w:val="18"/>
                <w:szCs w:val="18"/>
                <w:lang w:val="fr-FR"/>
              </w:rPr>
              <w:t xml:space="preserve">Les frais perçus par l’Organisation des </w:t>
            </w:r>
            <w:r w:rsidR="007B7696" w:rsidRPr="007E488A">
              <w:rPr>
                <w:bCs/>
                <w:sz w:val="18"/>
                <w:szCs w:val="18"/>
                <w:lang w:val="fr-FR"/>
              </w:rPr>
              <w:t xml:space="preserve">Nations </w:t>
            </w:r>
            <w:r w:rsidRPr="007E488A">
              <w:rPr>
                <w:bCs/>
                <w:sz w:val="18"/>
                <w:szCs w:val="18"/>
                <w:lang w:val="fr-FR"/>
              </w:rPr>
              <w:t>Unies pour accueillir et admini</w:t>
            </w:r>
            <w:r>
              <w:rPr>
                <w:bCs/>
                <w:sz w:val="18"/>
                <w:szCs w:val="18"/>
                <w:lang w:val="fr-FR"/>
              </w:rPr>
              <w:t>strer un</w:t>
            </w:r>
            <w:r w:rsidRPr="007E488A">
              <w:rPr>
                <w:bCs/>
                <w:sz w:val="18"/>
                <w:szCs w:val="18"/>
                <w:lang w:val="fr-FR"/>
              </w:rPr>
              <w:t xml:space="preserve"> fonds d’affec</w:t>
            </w:r>
            <w:r>
              <w:rPr>
                <w:bCs/>
                <w:sz w:val="18"/>
                <w:szCs w:val="18"/>
                <w:lang w:val="fr-FR"/>
              </w:rPr>
              <w:t>t</w:t>
            </w:r>
            <w:r w:rsidRPr="007E488A">
              <w:rPr>
                <w:bCs/>
                <w:sz w:val="18"/>
                <w:szCs w:val="18"/>
                <w:lang w:val="fr-FR"/>
              </w:rPr>
              <w:t xml:space="preserve">ation spéciale </w:t>
            </w:r>
            <w:r>
              <w:rPr>
                <w:bCs/>
                <w:sz w:val="18"/>
                <w:szCs w:val="18"/>
                <w:lang w:val="fr-FR"/>
              </w:rPr>
              <w:t>é</w:t>
            </w:r>
            <w:r w:rsidRPr="007E488A">
              <w:rPr>
                <w:bCs/>
                <w:sz w:val="18"/>
                <w:szCs w:val="18"/>
                <w:lang w:val="fr-FR"/>
              </w:rPr>
              <w:t xml:space="preserve">quivalent à </w:t>
            </w:r>
            <w:r w:rsidR="00C46AEF">
              <w:rPr>
                <w:bCs/>
                <w:sz w:val="18"/>
                <w:szCs w:val="18"/>
                <w:lang w:val="fr-FR"/>
              </w:rPr>
              <w:t>13 </w:t>
            </w:r>
            <w:r>
              <w:rPr>
                <w:bCs/>
                <w:sz w:val="18"/>
                <w:szCs w:val="18"/>
                <w:lang w:val="fr-FR"/>
              </w:rPr>
              <w:t xml:space="preserve">% des dépenses imputées sur ce fonds. </w:t>
            </w:r>
          </w:p>
          <w:p w14:paraId="77537D04" w14:textId="3C991BE3" w:rsidR="007B7696" w:rsidRPr="002079D0" w:rsidRDefault="007E488A" w:rsidP="00C409F9">
            <w:pPr>
              <w:pStyle w:val="Brdtext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80"/>
              <w:rPr>
                <w:b/>
                <w:bCs/>
                <w:sz w:val="18"/>
                <w:szCs w:val="18"/>
                <w:lang w:val="fr-FR" w:eastAsia="en-US"/>
              </w:rPr>
            </w:pPr>
            <w:r w:rsidRPr="002079D0">
              <w:rPr>
                <w:bCs/>
                <w:sz w:val="18"/>
                <w:szCs w:val="18"/>
                <w:lang w:val="fr-FR"/>
              </w:rPr>
              <w:t xml:space="preserve">Le </w:t>
            </w:r>
            <w:r w:rsidR="002079D0">
              <w:rPr>
                <w:bCs/>
                <w:sz w:val="18"/>
                <w:szCs w:val="18"/>
                <w:lang w:val="fr-FR"/>
              </w:rPr>
              <w:t>complé</w:t>
            </w:r>
            <w:r w:rsidRPr="002079D0">
              <w:rPr>
                <w:bCs/>
                <w:sz w:val="18"/>
                <w:szCs w:val="18"/>
                <w:lang w:val="fr-FR"/>
              </w:rPr>
              <w:t xml:space="preserve">ment d’effectifs </w:t>
            </w:r>
            <w:r w:rsidR="002079D0">
              <w:rPr>
                <w:bCs/>
                <w:sz w:val="18"/>
                <w:szCs w:val="18"/>
                <w:lang w:val="fr-FR"/>
              </w:rPr>
              <w:t>né</w:t>
            </w:r>
            <w:r w:rsidRPr="002079D0">
              <w:rPr>
                <w:bCs/>
                <w:sz w:val="18"/>
                <w:szCs w:val="18"/>
                <w:lang w:val="fr-FR"/>
              </w:rPr>
              <w:t>cessaire au secré</w:t>
            </w:r>
            <w:r w:rsidR="007B7696" w:rsidRPr="002079D0">
              <w:rPr>
                <w:bCs/>
                <w:sz w:val="18"/>
                <w:szCs w:val="18"/>
                <w:lang w:val="fr-FR"/>
              </w:rPr>
              <w:t xml:space="preserve">tariat </w:t>
            </w:r>
            <w:r w:rsidRPr="002079D0">
              <w:rPr>
                <w:bCs/>
                <w:sz w:val="18"/>
                <w:szCs w:val="18"/>
                <w:lang w:val="fr-FR"/>
              </w:rPr>
              <w:t xml:space="preserve">s’il </w:t>
            </w:r>
            <w:r w:rsidR="002079D0">
              <w:rPr>
                <w:bCs/>
                <w:sz w:val="18"/>
                <w:szCs w:val="18"/>
                <w:lang w:val="fr-FR"/>
              </w:rPr>
              <w:t>était rattaché au</w:t>
            </w:r>
            <w:r w:rsidRPr="002079D0">
              <w:rPr>
                <w:bCs/>
                <w:sz w:val="18"/>
                <w:szCs w:val="18"/>
                <w:lang w:val="fr-FR"/>
              </w:rPr>
              <w:t xml:space="preserve"> Service </w:t>
            </w:r>
            <w:r w:rsidR="001F5A9A">
              <w:rPr>
                <w:bCs/>
                <w:sz w:val="18"/>
                <w:szCs w:val="18"/>
                <w:lang w:val="fr-FR"/>
              </w:rPr>
              <w:t xml:space="preserve">Substances chimiques et santé </w:t>
            </w:r>
            <w:r w:rsidR="002079D0">
              <w:rPr>
                <w:bCs/>
                <w:sz w:val="18"/>
                <w:szCs w:val="18"/>
                <w:lang w:val="fr-FR"/>
              </w:rPr>
              <w:t>serait probablement ana</w:t>
            </w:r>
            <w:r w:rsidR="002079D0" w:rsidRPr="002079D0">
              <w:rPr>
                <w:bCs/>
                <w:sz w:val="18"/>
                <w:szCs w:val="18"/>
                <w:lang w:val="fr-FR"/>
              </w:rPr>
              <w:t xml:space="preserve">logue </w:t>
            </w:r>
            <w:r w:rsidR="002079D0">
              <w:rPr>
                <w:bCs/>
                <w:sz w:val="18"/>
                <w:szCs w:val="18"/>
                <w:lang w:val="fr-FR"/>
              </w:rPr>
              <w:t>à celui qui serait nécessaire s’il était rattaché au secrétariat de la</w:t>
            </w:r>
            <w:r w:rsidR="007B7696" w:rsidRPr="002079D0">
              <w:rPr>
                <w:bCs/>
                <w:sz w:val="18"/>
                <w:szCs w:val="18"/>
                <w:lang w:val="fr-FR"/>
              </w:rPr>
              <w:t xml:space="preserve"> Convention. </w:t>
            </w:r>
            <w:r w:rsidR="002079D0" w:rsidRPr="002079D0">
              <w:rPr>
                <w:bCs/>
                <w:sz w:val="18"/>
                <w:szCs w:val="18"/>
                <w:lang w:val="fr-FR"/>
              </w:rPr>
              <w:t>Il est prévu que, quel que soit l’emplacement du secrétariat, deux administrateurs de programme à temps plein</w:t>
            </w:r>
            <w:r w:rsidR="00C409F9">
              <w:rPr>
                <w:bCs/>
                <w:sz w:val="18"/>
                <w:szCs w:val="18"/>
                <w:lang w:val="fr-FR"/>
              </w:rPr>
              <w:t xml:space="preserve"> seraient nécessaires, ainsi qu’un</w:t>
            </w:r>
            <w:r w:rsidR="00562812">
              <w:rPr>
                <w:bCs/>
                <w:sz w:val="18"/>
                <w:szCs w:val="18"/>
                <w:lang w:val="fr-FR"/>
              </w:rPr>
              <w:t xml:space="preserve"> fonctionnaire chargé</w:t>
            </w:r>
            <w:r w:rsidR="002079D0">
              <w:rPr>
                <w:bCs/>
                <w:sz w:val="18"/>
                <w:szCs w:val="18"/>
                <w:lang w:val="fr-FR"/>
              </w:rPr>
              <w:t xml:space="preserve"> de la gestion des fonds</w:t>
            </w:r>
            <w:r w:rsidR="00C409F9">
              <w:rPr>
                <w:bCs/>
                <w:sz w:val="18"/>
                <w:szCs w:val="18"/>
                <w:lang w:val="fr-FR"/>
              </w:rPr>
              <w:t xml:space="preserve"> à mi-temps</w:t>
            </w:r>
            <w:r w:rsidR="002079D0">
              <w:rPr>
                <w:bCs/>
                <w:sz w:val="18"/>
                <w:szCs w:val="18"/>
                <w:lang w:val="fr-FR"/>
              </w:rPr>
              <w:t xml:space="preserve"> et</w:t>
            </w:r>
            <w:r w:rsidR="00C409F9">
              <w:rPr>
                <w:bCs/>
                <w:sz w:val="18"/>
                <w:szCs w:val="18"/>
                <w:lang w:val="fr-FR"/>
              </w:rPr>
              <w:t xml:space="preserve"> un membre du personnel</w:t>
            </w:r>
            <w:r w:rsidR="002079D0">
              <w:rPr>
                <w:bCs/>
                <w:sz w:val="18"/>
                <w:szCs w:val="18"/>
                <w:lang w:val="fr-FR"/>
              </w:rPr>
              <w:t xml:space="preserve"> d’appui</w:t>
            </w:r>
            <w:r w:rsidR="00C409F9">
              <w:rPr>
                <w:bCs/>
                <w:sz w:val="18"/>
                <w:szCs w:val="18"/>
                <w:lang w:val="fr-FR"/>
              </w:rPr>
              <w:t xml:space="preserve"> à mi-temps</w:t>
            </w:r>
            <w:r w:rsidR="002079D0">
              <w:rPr>
                <w:bCs/>
                <w:sz w:val="18"/>
                <w:szCs w:val="18"/>
                <w:lang w:val="fr-FR"/>
              </w:rPr>
              <w:t xml:space="preserve">. </w:t>
            </w:r>
          </w:p>
        </w:tc>
      </w:tr>
      <w:tr w:rsidR="00396989" w:rsidRPr="00DA5F41" w14:paraId="628699FA" w14:textId="77777777" w:rsidTr="00CC52C1">
        <w:tc>
          <w:tcPr>
            <w:tcW w:w="4225" w:type="dxa"/>
          </w:tcPr>
          <w:p w14:paraId="33B3AF90" w14:textId="312B9B33" w:rsidR="00396989" w:rsidRPr="002079D0" w:rsidRDefault="00692353" w:rsidP="00692353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80"/>
              <w:rPr>
                <w:i/>
                <w:iCs/>
                <w:sz w:val="18"/>
                <w:szCs w:val="18"/>
                <w:lang w:val="fr-FR"/>
              </w:rPr>
            </w:pPr>
            <w:r w:rsidRPr="0087428A">
              <w:rPr>
                <w:i/>
                <w:iCs/>
                <w:sz w:val="18"/>
                <w:szCs w:val="18"/>
                <w:lang w:val="fr-FR"/>
              </w:rPr>
              <w:t xml:space="preserve">Service </w:t>
            </w:r>
            <w:r>
              <w:rPr>
                <w:i/>
                <w:iCs/>
                <w:sz w:val="18"/>
                <w:szCs w:val="18"/>
                <w:lang w:val="fr-FR"/>
              </w:rPr>
              <w:t xml:space="preserve">Substances </w:t>
            </w:r>
            <w:r w:rsidRPr="0087428A">
              <w:rPr>
                <w:i/>
                <w:iCs/>
                <w:sz w:val="18"/>
                <w:szCs w:val="18"/>
                <w:lang w:val="fr-FR"/>
              </w:rPr>
              <w:t>chi</w:t>
            </w:r>
            <w:r w:rsidR="001F5A9A">
              <w:rPr>
                <w:i/>
                <w:iCs/>
                <w:sz w:val="18"/>
                <w:szCs w:val="18"/>
                <w:lang w:val="fr-FR"/>
              </w:rPr>
              <w:t>miques et s</w:t>
            </w:r>
            <w:r>
              <w:rPr>
                <w:i/>
                <w:iCs/>
                <w:sz w:val="18"/>
                <w:szCs w:val="18"/>
                <w:lang w:val="fr-FR"/>
              </w:rPr>
              <w:t>anté</w:t>
            </w:r>
            <w:r w:rsidRPr="002079D0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95" w:type="dxa"/>
          </w:tcPr>
          <w:p w14:paraId="0F62F611" w14:textId="050F98BA" w:rsidR="00396989" w:rsidRPr="002079D0" w:rsidRDefault="002079D0" w:rsidP="002079D0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  <w:tab w:val="left" w:pos="4082"/>
              </w:tabs>
              <w:spacing w:before="40" w:after="80"/>
              <w:rPr>
                <w:i/>
                <w:iCs/>
                <w:sz w:val="18"/>
                <w:szCs w:val="18"/>
                <w:lang w:val="fr-FR"/>
              </w:rPr>
            </w:pPr>
            <w:r>
              <w:rPr>
                <w:i/>
                <w:iCs/>
                <w:sz w:val="18"/>
                <w:szCs w:val="18"/>
                <w:lang w:val="fr-FR"/>
              </w:rPr>
              <w:t>Secrétar</w:t>
            </w:r>
            <w:r w:rsidRPr="002079D0">
              <w:rPr>
                <w:i/>
                <w:iCs/>
                <w:sz w:val="18"/>
                <w:szCs w:val="18"/>
                <w:lang w:val="fr-FR"/>
              </w:rPr>
              <w:t>i</w:t>
            </w:r>
            <w:r>
              <w:rPr>
                <w:i/>
                <w:iCs/>
                <w:sz w:val="18"/>
                <w:szCs w:val="18"/>
                <w:lang w:val="fr-FR"/>
              </w:rPr>
              <w:t>a</w:t>
            </w:r>
            <w:r w:rsidRPr="002079D0">
              <w:rPr>
                <w:i/>
                <w:iCs/>
                <w:sz w:val="18"/>
                <w:szCs w:val="18"/>
                <w:lang w:val="fr-FR"/>
              </w:rPr>
              <w:t xml:space="preserve">t de la </w:t>
            </w:r>
            <w:r w:rsidR="00396989" w:rsidRPr="002079D0">
              <w:rPr>
                <w:i/>
                <w:iCs/>
                <w:sz w:val="18"/>
                <w:szCs w:val="18"/>
                <w:lang w:val="fr-FR"/>
              </w:rPr>
              <w:t xml:space="preserve">Convention </w:t>
            </w:r>
          </w:p>
        </w:tc>
      </w:tr>
      <w:tr w:rsidR="001F7B7B" w:rsidRPr="00AD4C03" w14:paraId="49FF74A0" w14:textId="77777777" w:rsidTr="00CC52C1">
        <w:tc>
          <w:tcPr>
            <w:tcW w:w="4225" w:type="dxa"/>
          </w:tcPr>
          <w:p w14:paraId="29880CC6" w14:textId="42836201" w:rsidR="00F809C0" w:rsidRPr="00A86774" w:rsidRDefault="00A86774" w:rsidP="00727837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80"/>
              <w:rPr>
                <w:sz w:val="18"/>
                <w:szCs w:val="18"/>
                <w:lang w:val="fr-FR"/>
              </w:rPr>
            </w:pPr>
            <w:r w:rsidRPr="00A86774">
              <w:rPr>
                <w:sz w:val="18"/>
                <w:szCs w:val="18"/>
                <w:lang w:val="fr-FR"/>
              </w:rPr>
              <w:t>Le Service a acquis</w:t>
            </w:r>
            <w:r w:rsidR="008F461B">
              <w:rPr>
                <w:sz w:val="18"/>
                <w:szCs w:val="18"/>
                <w:lang w:val="fr-FR"/>
              </w:rPr>
              <w:t>,</w:t>
            </w:r>
            <w:r w:rsidRPr="00A86774">
              <w:rPr>
                <w:sz w:val="18"/>
                <w:szCs w:val="18"/>
                <w:lang w:val="fr-FR"/>
              </w:rPr>
              <w:t xml:space="preserve"> dans le cadre du Programme de démarrage rapide</w:t>
            </w:r>
            <w:r>
              <w:rPr>
                <w:sz w:val="18"/>
                <w:szCs w:val="18"/>
                <w:lang w:val="fr-FR"/>
              </w:rPr>
              <w:t xml:space="preserve"> et du</w:t>
            </w:r>
            <w:r w:rsidR="007B7696" w:rsidRPr="00A86774">
              <w:rPr>
                <w:sz w:val="18"/>
                <w:szCs w:val="18"/>
                <w:lang w:val="fr-FR"/>
              </w:rPr>
              <w:t xml:space="preserve"> </w:t>
            </w:r>
            <w:r w:rsidR="00325915">
              <w:rPr>
                <w:sz w:val="18"/>
                <w:szCs w:val="18"/>
                <w:lang w:val="fr-FR"/>
              </w:rPr>
              <w:t>P</w:t>
            </w:r>
            <w:r w:rsidR="007B7696" w:rsidRPr="00A86774">
              <w:rPr>
                <w:sz w:val="18"/>
                <w:szCs w:val="18"/>
                <w:lang w:val="fr-FR"/>
              </w:rPr>
              <w:t xml:space="preserve">rogramme </w:t>
            </w:r>
            <w:r>
              <w:rPr>
                <w:sz w:val="18"/>
                <w:szCs w:val="18"/>
                <w:lang w:val="fr-FR"/>
              </w:rPr>
              <w:t>spécial</w:t>
            </w:r>
            <w:r w:rsidR="00325915">
              <w:rPr>
                <w:sz w:val="18"/>
                <w:szCs w:val="18"/>
                <w:lang w:val="fr-FR"/>
              </w:rPr>
              <w:t xml:space="preserve"> d’appui au renforcement des institutions nationales</w:t>
            </w:r>
            <w:r w:rsidR="00727837">
              <w:rPr>
                <w:sz w:val="18"/>
                <w:szCs w:val="18"/>
                <w:lang w:val="fr-FR"/>
              </w:rPr>
              <w:t xml:space="preserve">, suffisamment </w:t>
            </w:r>
            <w:r w:rsidR="008F461B">
              <w:rPr>
                <w:sz w:val="18"/>
                <w:szCs w:val="18"/>
                <w:lang w:val="fr-FR"/>
              </w:rPr>
              <w:t>d’expérience</w:t>
            </w:r>
            <w:r>
              <w:rPr>
                <w:sz w:val="18"/>
                <w:szCs w:val="18"/>
                <w:lang w:val="fr-FR"/>
              </w:rPr>
              <w:t xml:space="preserve"> pour </w:t>
            </w:r>
            <w:r w:rsidR="00F00840">
              <w:rPr>
                <w:sz w:val="18"/>
                <w:szCs w:val="18"/>
                <w:lang w:val="fr-FR"/>
              </w:rPr>
              <w:t>pou</w:t>
            </w:r>
            <w:r w:rsidR="00727837">
              <w:rPr>
                <w:sz w:val="18"/>
                <w:szCs w:val="18"/>
                <w:lang w:val="fr-FR"/>
              </w:rPr>
              <w:t>voir assurer l</w:t>
            </w:r>
            <w:r w:rsidR="00E53E0F">
              <w:rPr>
                <w:sz w:val="18"/>
                <w:szCs w:val="18"/>
                <w:lang w:val="fr-FR"/>
              </w:rPr>
              <w:t>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7B7696" w:rsidRPr="00A86774">
              <w:rPr>
                <w:sz w:val="18"/>
                <w:szCs w:val="18"/>
                <w:lang w:val="fr-FR"/>
              </w:rPr>
              <w:t xml:space="preserve">services </w:t>
            </w:r>
            <w:r w:rsidR="00727837">
              <w:rPr>
                <w:sz w:val="18"/>
                <w:szCs w:val="18"/>
                <w:lang w:val="fr-FR"/>
              </w:rPr>
              <w:t>de secrétariat d’</w:t>
            </w:r>
            <w:r>
              <w:rPr>
                <w:sz w:val="18"/>
                <w:szCs w:val="18"/>
                <w:lang w:val="fr-FR"/>
              </w:rPr>
              <w:t xml:space="preserve">un fonds d’affectation spéciale </w:t>
            </w:r>
            <w:r w:rsidR="00727837">
              <w:rPr>
                <w:sz w:val="18"/>
                <w:szCs w:val="18"/>
                <w:lang w:val="fr-FR"/>
              </w:rPr>
              <w:t>du type de</w:t>
            </w:r>
            <w:r w:rsidR="00E53E0F">
              <w:rPr>
                <w:sz w:val="18"/>
                <w:szCs w:val="18"/>
                <w:lang w:val="fr-FR"/>
              </w:rPr>
              <w:t xml:space="preserve"> </w:t>
            </w:r>
            <w:r w:rsidR="00E53E0F">
              <w:rPr>
                <w:sz w:val="18"/>
                <w:szCs w:val="18"/>
                <w:lang w:val="fr-FR"/>
              </w:rPr>
              <w:lastRenderedPageBreak/>
              <w:t xml:space="preserve">celui </w:t>
            </w:r>
            <w:r w:rsidR="00727837">
              <w:rPr>
                <w:sz w:val="18"/>
                <w:szCs w:val="18"/>
                <w:lang w:val="fr-FR"/>
              </w:rPr>
              <w:t>envisagé pour le</w:t>
            </w:r>
            <w:r>
              <w:rPr>
                <w:sz w:val="18"/>
                <w:szCs w:val="18"/>
                <w:lang w:val="fr-FR"/>
              </w:rPr>
              <w:t xml:space="preserve"> programme </w:t>
            </w:r>
            <w:r w:rsidR="0083302D" w:rsidRPr="00A86774">
              <w:rPr>
                <w:sz w:val="18"/>
                <w:szCs w:val="18"/>
                <w:lang w:val="fr-FR"/>
              </w:rPr>
              <w:t>international</w:t>
            </w:r>
            <w:r>
              <w:rPr>
                <w:sz w:val="18"/>
                <w:szCs w:val="18"/>
                <w:lang w:val="fr-FR"/>
              </w:rPr>
              <w:t xml:space="preserve"> spécifique. </w:t>
            </w:r>
            <w:r w:rsidRPr="00A86774">
              <w:rPr>
                <w:sz w:val="18"/>
                <w:szCs w:val="18"/>
                <w:lang w:val="fr-FR"/>
              </w:rPr>
              <w:t xml:space="preserve">Le </w:t>
            </w:r>
            <w:r w:rsidR="008D39EB" w:rsidRPr="00A86774">
              <w:rPr>
                <w:sz w:val="18"/>
                <w:szCs w:val="18"/>
                <w:lang w:val="fr-FR"/>
              </w:rPr>
              <w:t>Programme</w:t>
            </w:r>
            <w:r w:rsidR="00727837">
              <w:rPr>
                <w:sz w:val="18"/>
                <w:szCs w:val="18"/>
                <w:lang w:val="fr-FR"/>
              </w:rPr>
              <w:t xml:space="preserve"> de démarrage rapide et</w:t>
            </w:r>
            <w:r w:rsidRPr="00A86774">
              <w:rPr>
                <w:sz w:val="18"/>
                <w:szCs w:val="18"/>
                <w:lang w:val="fr-FR"/>
              </w:rPr>
              <w:t xml:space="preserve"> le </w:t>
            </w:r>
            <w:r w:rsidR="00AB1972" w:rsidRPr="00A86774">
              <w:rPr>
                <w:sz w:val="18"/>
                <w:szCs w:val="18"/>
                <w:lang w:val="fr-FR"/>
              </w:rPr>
              <w:t>p</w:t>
            </w:r>
            <w:r w:rsidR="008D39EB" w:rsidRPr="00A86774">
              <w:rPr>
                <w:sz w:val="18"/>
                <w:szCs w:val="18"/>
                <w:lang w:val="fr-FR"/>
              </w:rPr>
              <w:t xml:space="preserve">rogramme </w:t>
            </w:r>
            <w:r w:rsidRPr="00A86774">
              <w:rPr>
                <w:sz w:val="18"/>
                <w:szCs w:val="18"/>
                <w:lang w:val="fr-FR"/>
              </w:rPr>
              <w:t xml:space="preserve">spécial financent des activités </w:t>
            </w:r>
            <w:r>
              <w:rPr>
                <w:sz w:val="18"/>
                <w:szCs w:val="18"/>
                <w:lang w:val="fr-FR"/>
              </w:rPr>
              <w:t>visant à appuyer et renforcer la mise en œuvre au niveau national</w:t>
            </w:r>
            <w:r w:rsidR="008D39EB" w:rsidRPr="00A86774">
              <w:rPr>
                <w:sz w:val="18"/>
                <w:szCs w:val="18"/>
                <w:lang w:val="fr-FR"/>
              </w:rPr>
              <w:t xml:space="preserve">, </w:t>
            </w:r>
            <w:r w:rsidR="008F461B">
              <w:rPr>
                <w:sz w:val="18"/>
                <w:szCs w:val="18"/>
                <w:lang w:val="fr-FR"/>
              </w:rPr>
              <w:t xml:space="preserve">d’une manière </w:t>
            </w:r>
            <w:r w:rsidR="00727837">
              <w:rPr>
                <w:sz w:val="18"/>
                <w:szCs w:val="18"/>
                <w:lang w:val="fr-FR"/>
              </w:rPr>
              <w:t>analogue</w:t>
            </w:r>
            <w:r>
              <w:rPr>
                <w:sz w:val="18"/>
                <w:szCs w:val="18"/>
                <w:lang w:val="fr-FR"/>
              </w:rPr>
              <w:t xml:space="preserve"> à celle </w:t>
            </w:r>
            <w:r w:rsidR="00727837">
              <w:rPr>
                <w:sz w:val="18"/>
                <w:szCs w:val="18"/>
                <w:lang w:val="fr-FR"/>
              </w:rPr>
              <w:t>prévue</w:t>
            </w:r>
            <w:r>
              <w:rPr>
                <w:sz w:val="18"/>
                <w:szCs w:val="18"/>
                <w:lang w:val="fr-FR"/>
              </w:rPr>
              <w:t xml:space="preserve"> dans le programme </w:t>
            </w:r>
            <w:r w:rsidR="0083302D" w:rsidRPr="00A86774">
              <w:rPr>
                <w:sz w:val="18"/>
                <w:szCs w:val="18"/>
                <w:lang w:val="fr-FR"/>
              </w:rPr>
              <w:t>international</w:t>
            </w:r>
            <w:r>
              <w:rPr>
                <w:sz w:val="18"/>
                <w:szCs w:val="18"/>
                <w:lang w:val="fr-FR"/>
              </w:rPr>
              <w:t xml:space="preserve"> spécifique. </w:t>
            </w:r>
            <w:r w:rsidRPr="00A86774">
              <w:rPr>
                <w:sz w:val="18"/>
                <w:szCs w:val="18"/>
                <w:lang w:val="fr-FR"/>
              </w:rPr>
              <w:t xml:space="preserve">Le Service possède donc l’expérience requise en matière de gestion, finances, </w:t>
            </w:r>
            <w:r>
              <w:rPr>
                <w:sz w:val="18"/>
                <w:szCs w:val="18"/>
                <w:lang w:val="fr-FR"/>
              </w:rPr>
              <w:t xml:space="preserve">administration et </w:t>
            </w:r>
            <w:r w:rsidR="008D39EB" w:rsidRPr="00A86774">
              <w:rPr>
                <w:sz w:val="18"/>
                <w:szCs w:val="18"/>
                <w:lang w:val="fr-FR"/>
              </w:rPr>
              <w:t>mobili</w:t>
            </w:r>
            <w:r>
              <w:rPr>
                <w:sz w:val="18"/>
                <w:szCs w:val="18"/>
                <w:lang w:val="fr-FR"/>
              </w:rPr>
              <w:t>s</w:t>
            </w:r>
            <w:r w:rsidR="008D39EB" w:rsidRPr="00A86774">
              <w:rPr>
                <w:sz w:val="18"/>
                <w:szCs w:val="18"/>
                <w:lang w:val="fr-FR"/>
              </w:rPr>
              <w:t>ation</w:t>
            </w:r>
            <w:r w:rsidR="00E53E0F">
              <w:rPr>
                <w:sz w:val="18"/>
                <w:szCs w:val="18"/>
                <w:lang w:val="fr-FR"/>
              </w:rPr>
              <w:t xml:space="preserve"> de</w:t>
            </w:r>
            <w:r>
              <w:rPr>
                <w:sz w:val="18"/>
                <w:szCs w:val="18"/>
                <w:lang w:val="fr-FR"/>
              </w:rPr>
              <w:t xml:space="preserve"> ressources pour pouvoir administrer le fonds d’affectation spéciale envisagé. </w:t>
            </w:r>
            <w:r w:rsidRPr="00A86774">
              <w:rPr>
                <w:sz w:val="18"/>
                <w:szCs w:val="18"/>
                <w:lang w:val="fr-FR"/>
              </w:rPr>
              <w:t xml:space="preserve">Il emploie actuellement un </w:t>
            </w:r>
            <w:r w:rsidR="00727837">
              <w:rPr>
                <w:sz w:val="18"/>
                <w:szCs w:val="18"/>
                <w:lang w:val="fr-FR"/>
              </w:rPr>
              <w:t>fonctionnaire chargé</w:t>
            </w:r>
            <w:r w:rsidRPr="00A86774">
              <w:rPr>
                <w:sz w:val="18"/>
                <w:szCs w:val="18"/>
                <w:lang w:val="fr-FR"/>
              </w:rPr>
              <w:t xml:space="preserve"> de la gestion des fonds à plein temps et</w:t>
            </w:r>
            <w:r w:rsidR="008F461B">
              <w:rPr>
                <w:sz w:val="18"/>
                <w:szCs w:val="18"/>
                <w:lang w:val="fr-FR"/>
              </w:rPr>
              <w:t xml:space="preserve"> il emploiera,</w:t>
            </w:r>
            <w:r w:rsidR="00727837">
              <w:rPr>
                <w:sz w:val="18"/>
                <w:szCs w:val="18"/>
                <w:lang w:val="fr-FR"/>
              </w:rPr>
              <w:t xml:space="preserve"> à compter de la fin de l’année </w:t>
            </w:r>
            <w:r w:rsidR="004A2539" w:rsidRPr="00A86774">
              <w:rPr>
                <w:sz w:val="18"/>
                <w:szCs w:val="18"/>
                <w:lang w:val="fr-FR"/>
              </w:rPr>
              <w:t>2017</w:t>
            </w:r>
            <w:r w:rsidR="00693B53" w:rsidRPr="00A86774">
              <w:rPr>
                <w:sz w:val="18"/>
                <w:szCs w:val="18"/>
                <w:lang w:val="fr-FR"/>
              </w:rPr>
              <w:t>,</w:t>
            </w:r>
            <w:r w:rsidR="004A2539" w:rsidRPr="00A86774">
              <w:rPr>
                <w:sz w:val="18"/>
                <w:szCs w:val="18"/>
                <w:lang w:val="fr-FR"/>
              </w:rPr>
              <w:t xml:space="preserve"> </w:t>
            </w:r>
            <w:r w:rsidR="008F461B">
              <w:rPr>
                <w:sz w:val="18"/>
                <w:szCs w:val="18"/>
                <w:lang w:val="fr-FR"/>
              </w:rPr>
              <w:t>un fonctionnaire chargé</w:t>
            </w:r>
            <w:r>
              <w:rPr>
                <w:sz w:val="18"/>
                <w:szCs w:val="18"/>
                <w:lang w:val="fr-FR"/>
              </w:rPr>
              <w:t xml:space="preserve"> de la gestion des fonds</w:t>
            </w:r>
            <w:r w:rsidR="00E53E0F">
              <w:rPr>
                <w:sz w:val="18"/>
                <w:szCs w:val="18"/>
                <w:lang w:val="fr-FR"/>
              </w:rPr>
              <w:t xml:space="preserve"> à mi-temps</w:t>
            </w:r>
            <w:r w:rsidR="00784D32">
              <w:rPr>
                <w:sz w:val="18"/>
                <w:szCs w:val="18"/>
                <w:lang w:val="fr-FR"/>
              </w:rPr>
              <w:t>;</w:t>
            </w:r>
            <w:r>
              <w:rPr>
                <w:sz w:val="18"/>
                <w:szCs w:val="18"/>
                <w:lang w:val="fr-FR"/>
              </w:rPr>
              <w:t xml:space="preserve"> il a</w:t>
            </w:r>
            <w:r w:rsidR="00784D32">
              <w:rPr>
                <w:sz w:val="18"/>
                <w:szCs w:val="18"/>
                <w:lang w:val="fr-FR"/>
              </w:rPr>
              <w:t xml:space="preserve"> également</w:t>
            </w:r>
            <w:r>
              <w:rPr>
                <w:sz w:val="18"/>
                <w:szCs w:val="18"/>
                <w:lang w:val="fr-FR"/>
              </w:rPr>
              <w:t xml:space="preserve"> accès à du personnel d’appui par le biais de la </w:t>
            </w:r>
            <w:r w:rsidR="008D39EB" w:rsidRPr="00A86774">
              <w:rPr>
                <w:sz w:val="18"/>
                <w:szCs w:val="18"/>
                <w:lang w:val="fr-FR"/>
              </w:rPr>
              <w:t>Division</w:t>
            </w:r>
            <w:r>
              <w:rPr>
                <w:sz w:val="18"/>
                <w:szCs w:val="18"/>
                <w:lang w:val="fr-FR"/>
              </w:rPr>
              <w:t xml:space="preserve"> de l’économie</w:t>
            </w:r>
            <w:r w:rsidR="008D39EB" w:rsidRPr="00A86774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y c</w:t>
            </w:r>
            <w:r w:rsidR="00E53E0F">
              <w:rPr>
                <w:sz w:val="18"/>
                <w:szCs w:val="18"/>
                <w:lang w:val="fr-FR"/>
              </w:rPr>
              <w:t xml:space="preserve">ompris </w:t>
            </w:r>
            <w:r>
              <w:rPr>
                <w:sz w:val="18"/>
                <w:szCs w:val="18"/>
                <w:lang w:val="fr-FR"/>
              </w:rPr>
              <w:t xml:space="preserve">à l’appui d’un </w:t>
            </w:r>
            <w:r w:rsidR="00727837">
              <w:rPr>
                <w:sz w:val="18"/>
                <w:szCs w:val="18"/>
                <w:lang w:val="fr-FR"/>
              </w:rPr>
              <w:t>fonctionnaire</w:t>
            </w:r>
            <w:r>
              <w:rPr>
                <w:sz w:val="18"/>
                <w:szCs w:val="18"/>
                <w:lang w:val="fr-FR"/>
              </w:rPr>
              <w:t xml:space="preserve"> (hors classe) </w:t>
            </w:r>
            <w:r w:rsidR="00727837">
              <w:rPr>
                <w:sz w:val="18"/>
                <w:szCs w:val="18"/>
                <w:lang w:val="fr-FR"/>
              </w:rPr>
              <w:t xml:space="preserve">chargé </w:t>
            </w:r>
            <w:r>
              <w:rPr>
                <w:sz w:val="18"/>
                <w:szCs w:val="18"/>
                <w:lang w:val="fr-FR"/>
              </w:rPr>
              <w:t>de la gestion des fonds affecté au Bureau du Directeur de la</w:t>
            </w:r>
            <w:r w:rsidR="000D22CA" w:rsidRPr="00A86774">
              <w:rPr>
                <w:sz w:val="18"/>
                <w:szCs w:val="18"/>
                <w:lang w:val="fr-FR"/>
              </w:rPr>
              <w:t xml:space="preserve"> </w:t>
            </w:r>
            <w:r w:rsidR="0083302D" w:rsidRPr="00A86774">
              <w:rPr>
                <w:sz w:val="18"/>
                <w:szCs w:val="18"/>
                <w:lang w:val="fr-FR"/>
              </w:rPr>
              <w:t>Division</w:t>
            </w:r>
            <w:r w:rsidR="008D39EB" w:rsidRPr="00A86774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3995" w:type="dxa"/>
          </w:tcPr>
          <w:p w14:paraId="587D0FEA" w14:textId="44426337" w:rsidR="00C46DD8" w:rsidRPr="009B5C53" w:rsidRDefault="009B5C53" w:rsidP="006811A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  <w:tab w:val="left" w:pos="4082"/>
              </w:tabs>
              <w:spacing w:after="80"/>
              <w:rPr>
                <w:sz w:val="18"/>
                <w:szCs w:val="18"/>
                <w:lang w:val="fr-FR"/>
              </w:rPr>
            </w:pPr>
            <w:r w:rsidRPr="009B5C53">
              <w:rPr>
                <w:sz w:val="18"/>
                <w:szCs w:val="18"/>
                <w:lang w:val="fr-FR"/>
              </w:rPr>
              <w:lastRenderedPageBreak/>
              <w:t xml:space="preserve">Une fois établi, le secrétariat de la </w:t>
            </w:r>
            <w:r w:rsidR="003117BE" w:rsidRPr="009B5C53">
              <w:rPr>
                <w:sz w:val="18"/>
                <w:szCs w:val="18"/>
                <w:lang w:val="fr-FR"/>
              </w:rPr>
              <w:t>Convention</w:t>
            </w:r>
            <w:r w:rsidRPr="009B5C53">
              <w:rPr>
                <w:sz w:val="18"/>
                <w:szCs w:val="18"/>
                <w:lang w:val="fr-FR"/>
              </w:rPr>
              <w:t xml:space="preserve"> emploiera un </w:t>
            </w:r>
            <w:r w:rsidR="0075772E">
              <w:rPr>
                <w:sz w:val="18"/>
                <w:szCs w:val="18"/>
                <w:lang w:val="fr-FR"/>
              </w:rPr>
              <w:t>fonctionnaire chargé de l</w:t>
            </w:r>
            <w:r w:rsidRPr="009B5C53">
              <w:rPr>
                <w:sz w:val="18"/>
                <w:szCs w:val="18"/>
                <w:lang w:val="fr-FR"/>
              </w:rPr>
              <w:t xml:space="preserve">’administration et de la gestion des fonds </w:t>
            </w:r>
            <w:r w:rsidR="00386F90">
              <w:rPr>
                <w:sz w:val="18"/>
                <w:szCs w:val="18"/>
                <w:lang w:val="fr-FR"/>
              </w:rPr>
              <w:t xml:space="preserve">pour les travaux </w:t>
            </w:r>
            <w:r>
              <w:rPr>
                <w:sz w:val="18"/>
                <w:szCs w:val="18"/>
                <w:lang w:val="fr-FR"/>
              </w:rPr>
              <w:t>quotidien</w:t>
            </w:r>
            <w:r w:rsidR="00386F90">
              <w:rPr>
                <w:sz w:val="18"/>
                <w:szCs w:val="18"/>
                <w:lang w:val="fr-FR"/>
              </w:rPr>
              <w:t xml:space="preserve">s </w:t>
            </w:r>
            <w:r>
              <w:rPr>
                <w:sz w:val="18"/>
                <w:szCs w:val="18"/>
                <w:lang w:val="fr-FR"/>
              </w:rPr>
              <w:t xml:space="preserve">de la </w:t>
            </w:r>
            <w:r w:rsidR="00B84355" w:rsidRPr="009B5C53">
              <w:rPr>
                <w:sz w:val="18"/>
                <w:szCs w:val="18"/>
                <w:lang w:val="fr-FR"/>
              </w:rPr>
              <w:t>Convention</w:t>
            </w:r>
            <w:r w:rsidR="00386F90">
              <w:rPr>
                <w:sz w:val="18"/>
                <w:szCs w:val="18"/>
                <w:lang w:val="fr-FR"/>
              </w:rPr>
              <w:t>, q</w:t>
            </w:r>
            <w:r w:rsidR="00784D32">
              <w:rPr>
                <w:sz w:val="18"/>
                <w:szCs w:val="18"/>
                <w:lang w:val="fr-FR"/>
              </w:rPr>
              <w:t>ui pourra aussi se charger de</w:t>
            </w:r>
            <w:r w:rsidR="00386F90">
              <w:rPr>
                <w:sz w:val="18"/>
                <w:szCs w:val="18"/>
                <w:lang w:val="fr-FR"/>
              </w:rPr>
              <w:t xml:space="preserve"> la gestion des fonds pour le </w:t>
            </w:r>
            <w:r w:rsidR="00386F90">
              <w:rPr>
                <w:sz w:val="18"/>
                <w:szCs w:val="18"/>
                <w:lang w:val="fr-FR"/>
              </w:rPr>
              <w:lastRenderedPageBreak/>
              <w:t xml:space="preserve">compte du secrétariat du programme </w:t>
            </w:r>
            <w:r w:rsidR="00E879BF" w:rsidRPr="009B5C53">
              <w:rPr>
                <w:sz w:val="18"/>
                <w:szCs w:val="18"/>
                <w:lang w:val="fr-FR"/>
              </w:rPr>
              <w:t>international</w:t>
            </w:r>
            <w:r w:rsidR="00386F90">
              <w:rPr>
                <w:sz w:val="18"/>
                <w:szCs w:val="18"/>
                <w:lang w:val="fr-FR"/>
              </w:rPr>
              <w:t xml:space="preserve"> spécifique</w:t>
            </w:r>
            <w:r w:rsidR="00581AB9" w:rsidRPr="009B5C53">
              <w:rPr>
                <w:sz w:val="18"/>
                <w:szCs w:val="18"/>
                <w:lang w:val="fr-FR"/>
              </w:rPr>
              <w:t xml:space="preserve">. </w:t>
            </w:r>
          </w:p>
          <w:p w14:paraId="635EE18B" w14:textId="1533A46D" w:rsidR="00E141C8" w:rsidRPr="00AD4C03" w:rsidRDefault="000F696C" w:rsidP="0019682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80"/>
              <w:rPr>
                <w:sz w:val="18"/>
                <w:szCs w:val="18"/>
                <w:lang w:val="fr-FR" w:eastAsia="en-US"/>
              </w:rPr>
            </w:pPr>
            <w:r w:rsidRPr="00AD4C03">
              <w:rPr>
                <w:sz w:val="18"/>
                <w:szCs w:val="18"/>
                <w:lang w:val="fr-FR"/>
              </w:rPr>
              <w:t>La disponibilité d</w:t>
            </w:r>
            <w:r w:rsidR="00AD4C03" w:rsidRPr="00AD4C03">
              <w:rPr>
                <w:sz w:val="18"/>
                <w:szCs w:val="18"/>
                <w:lang w:val="fr-FR"/>
              </w:rPr>
              <w:t xml:space="preserve">e compétences et d’un appui supplémentaires </w:t>
            </w:r>
            <w:r w:rsidR="00196824">
              <w:rPr>
                <w:sz w:val="18"/>
                <w:szCs w:val="18"/>
                <w:lang w:val="fr-FR"/>
              </w:rPr>
              <w:t>pour l’</w:t>
            </w:r>
            <w:r w:rsidR="00AD4C03" w:rsidRPr="00AD4C03">
              <w:rPr>
                <w:sz w:val="18"/>
                <w:szCs w:val="18"/>
                <w:lang w:val="fr-FR"/>
              </w:rPr>
              <w:t xml:space="preserve">administration et </w:t>
            </w:r>
            <w:r w:rsidR="00196824">
              <w:rPr>
                <w:sz w:val="18"/>
                <w:szCs w:val="18"/>
                <w:lang w:val="fr-FR"/>
              </w:rPr>
              <w:t>la</w:t>
            </w:r>
            <w:r w:rsidR="00AD4C03" w:rsidRPr="00AD4C03">
              <w:rPr>
                <w:sz w:val="18"/>
                <w:szCs w:val="18"/>
                <w:lang w:val="fr-FR"/>
              </w:rPr>
              <w:t xml:space="preserve"> gestion des fonds dans un environnement immédiat </w:t>
            </w:r>
            <w:r w:rsidR="00AD4C03">
              <w:rPr>
                <w:sz w:val="18"/>
                <w:szCs w:val="18"/>
                <w:lang w:val="fr-FR"/>
              </w:rPr>
              <w:t xml:space="preserve">dépendront en partie de la manière dont le Directeur exécutif </w:t>
            </w:r>
            <w:r w:rsidR="00196824">
              <w:rPr>
                <w:sz w:val="18"/>
                <w:szCs w:val="18"/>
                <w:lang w:val="fr-FR"/>
              </w:rPr>
              <w:t>assurera les</w:t>
            </w:r>
            <w:r w:rsidR="008F461B">
              <w:rPr>
                <w:sz w:val="18"/>
                <w:szCs w:val="18"/>
                <w:lang w:val="fr-FR"/>
              </w:rPr>
              <w:t xml:space="preserve"> fonctions du</w:t>
            </w:r>
            <w:r w:rsidR="00AD4C03">
              <w:rPr>
                <w:sz w:val="18"/>
                <w:szCs w:val="18"/>
                <w:lang w:val="fr-FR"/>
              </w:rPr>
              <w:t xml:space="preserve"> secrétariat </w:t>
            </w:r>
            <w:r w:rsidR="00190CD7" w:rsidRPr="00AD4C03">
              <w:rPr>
                <w:sz w:val="18"/>
                <w:szCs w:val="18"/>
                <w:lang w:val="fr-FR"/>
              </w:rPr>
              <w:t>permanent</w:t>
            </w:r>
            <w:r w:rsidR="00AD4C03">
              <w:rPr>
                <w:sz w:val="18"/>
                <w:szCs w:val="18"/>
                <w:lang w:val="fr-FR"/>
              </w:rPr>
              <w:t xml:space="preserve"> mais, quels que soient les </w:t>
            </w:r>
            <w:r w:rsidR="00C46DD8" w:rsidRPr="00AD4C03">
              <w:rPr>
                <w:sz w:val="18"/>
                <w:szCs w:val="18"/>
                <w:lang w:val="fr-FR"/>
              </w:rPr>
              <w:t>arrangement</w:t>
            </w:r>
            <w:r w:rsidR="00AD4C03">
              <w:rPr>
                <w:sz w:val="18"/>
                <w:szCs w:val="18"/>
                <w:lang w:val="fr-FR"/>
              </w:rPr>
              <w:t>s pris</w:t>
            </w:r>
            <w:r w:rsidR="00693B53" w:rsidRPr="00AD4C03">
              <w:rPr>
                <w:sz w:val="18"/>
                <w:szCs w:val="18"/>
                <w:lang w:val="fr-FR"/>
              </w:rPr>
              <w:t>,</w:t>
            </w:r>
            <w:r w:rsidR="00C46DD8" w:rsidRPr="00AD4C03">
              <w:rPr>
                <w:sz w:val="18"/>
                <w:szCs w:val="18"/>
                <w:lang w:val="fr-FR"/>
              </w:rPr>
              <w:t xml:space="preserve"> </w:t>
            </w:r>
            <w:r w:rsidR="00AD4C03">
              <w:rPr>
                <w:sz w:val="18"/>
                <w:szCs w:val="18"/>
                <w:lang w:val="fr-FR"/>
              </w:rPr>
              <w:t>ils devraient être à un niveau suffisant pour pouvoir appuyer le programme international spécifique.</w:t>
            </w:r>
          </w:p>
        </w:tc>
      </w:tr>
      <w:tr w:rsidR="00B04509" w:rsidRPr="00EB546B" w14:paraId="69A72312" w14:textId="77777777" w:rsidTr="00894B22">
        <w:tc>
          <w:tcPr>
            <w:tcW w:w="8220" w:type="dxa"/>
            <w:gridSpan w:val="2"/>
            <w:shd w:val="clear" w:color="auto" w:fill="D9D9D9" w:themeFill="background1" w:themeFillShade="D9"/>
          </w:tcPr>
          <w:p w14:paraId="45912A31" w14:textId="558D7936" w:rsidR="00B04509" w:rsidRPr="000B631E" w:rsidRDefault="009C1644" w:rsidP="00BB2D61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0B631E">
              <w:rPr>
                <w:b/>
                <w:bCs/>
                <w:sz w:val="18"/>
                <w:szCs w:val="18"/>
                <w:lang w:val="fr-FR"/>
              </w:rPr>
              <w:lastRenderedPageBreak/>
              <w:t>5</w:t>
            </w:r>
            <w:r w:rsidR="00B04509" w:rsidRPr="000B631E">
              <w:rPr>
                <w:b/>
                <w:bCs/>
                <w:sz w:val="18"/>
                <w:szCs w:val="18"/>
                <w:lang w:val="fr-FR"/>
              </w:rPr>
              <w:t xml:space="preserve">. </w:t>
            </w:r>
            <w:r w:rsidR="000B631E" w:rsidRPr="000B631E">
              <w:rPr>
                <w:b/>
                <w:bCs/>
                <w:sz w:val="18"/>
                <w:szCs w:val="18"/>
                <w:lang w:val="fr-FR"/>
              </w:rPr>
              <w:t>Considé</w:t>
            </w:r>
            <w:r w:rsidR="00020EEC" w:rsidRPr="000B631E">
              <w:rPr>
                <w:b/>
                <w:bCs/>
                <w:sz w:val="18"/>
                <w:szCs w:val="18"/>
                <w:lang w:val="fr-FR"/>
              </w:rPr>
              <w:t>rations</w:t>
            </w:r>
            <w:r w:rsidR="000B631E" w:rsidRPr="000B631E">
              <w:rPr>
                <w:b/>
                <w:bCs/>
                <w:sz w:val="18"/>
                <w:szCs w:val="18"/>
                <w:lang w:val="fr-FR"/>
              </w:rPr>
              <w:t xml:space="preserve"> et incidences juridiques</w:t>
            </w:r>
          </w:p>
          <w:p w14:paraId="6CE8C070" w14:textId="7A4A3E9D" w:rsidR="00B04509" w:rsidRPr="00EB546B" w:rsidRDefault="00EB546B" w:rsidP="007C444F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  <w:tab w:val="left" w:pos="5340"/>
              </w:tabs>
              <w:spacing w:after="120"/>
              <w:rPr>
                <w:b/>
                <w:bCs/>
                <w:sz w:val="18"/>
                <w:szCs w:val="18"/>
                <w:lang w:val="fr-FR" w:eastAsia="en-US"/>
              </w:rPr>
            </w:pPr>
            <w:r w:rsidRPr="00EB546B">
              <w:rPr>
                <w:bCs/>
                <w:sz w:val="18"/>
                <w:szCs w:val="18"/>
                <w:lang w:val="fr-FR"/>
              </w:rPr>
              <w:t>Quel que soit son emplacement, le secré</w:t>
            </w:r>
            <w:r w:rsidR="009C1644" w:rsidRPr="00EB546B">
              <w:rPr>
                <w:bCs/>
                <w:sz w:val="18"/>
                <w:szCs w:val="18"/>
                <w:lang w:val="fr-FR"/>
              </w:rPr>
              <w:t>tariat</w:t>
            </w:r>
            <w:r w:rsidRPr="00EB546B">
              <w:rPr>
                <w:bCs/>
                <w:sz w:val="18"/>
                <w:szCs w:val="18"/>
                <w:lang w:val="fr-FR"/>
              </w:rPr>
              <w:t xml:space="preserve"> du programme</w:t>
            </w:r>
            <w:r w:rsidR="009C1644" w:rsidRPr="00EB546B">
              <w:rPr>
                <w:bCs/>
                <w:sz w:val="18"/>
                <w:szCs w:val="18"/>
                <w:lang w:val="fr-FR"/>
              </w:rPr>
              <w:t xml:space="preserve"> international</w:t>
            </w:r>
            <w:r w:rsidRPr="00EB546B">
              <w:rPr>
                <w:bCs/>
                <w:sz w:val="18"/>
                <w:szCs w:val="18"/>
                <w:lang w:val="fr-FR"/>
              </w:rPr>
              <w:t xml:space="preserve"> spécifique</w:t>
            </w:r>
            <w:r>
              <w:rPr>
                <w:bCs/>
                <w:sz w:val="18"/>
                <w:szCs w:val="18"/>
                <w:lang w:val="fr-FR"/>
              </w:rPr>
              <w:t xml:space="preserve"> fonctionnera, en dernière analyse, </w:t>
            </w:r>
            <w:r w:rsidRPr="00EB546B">
              <w:rPr>
                <w:bCs/>
                <w:sz w:val="18"/>
                <w:szCs w:val="18"/>
                <w:lang w:val="fr-FR"/>
              </w:rPr>
              <w:t>dans le cadre de la structure in</w:t>
            </w:r>
            <w:r>
              <w:rPr>
                <w:bCs/>
                <w:sz w:val="18"/>
                <w:szCs w:val="18"/>
                <w:lang w:val="fr-FR"/>
              </w:rPr>
              <w:t>stitutionnelle globale du PNUE et devra respecter les règles et règlements connexes en matière de finances, comptabilité et ressources humaines ainsi que les cadres de responsabilisation de l’Organisation de</w:t>
            </w:r>
            <w:r w:rsidR="005C3F23">
              <w:rPr>
                <w:bCs/>
                <w:sz w:val="18"/>
                <w:szCs w:val="18"/>
                <w:lang w:val="fr-FR"/>
              </w:rPr>
              <w:t>s Nations Unies, les exigences</w:t>
            </w:r>
            <w:r>
              <w:rPr>
                <w:bCs/>
                <w:sz w:val="18"/>
                <w:szCs w:val="18"/>
                <w:lang w:val="fr-FR"/>
              </w:rPr>
              <w:t xml:space="preserve"> en matière d’établissement des rapports, les obligations en matière de suivi et d’évaluation et les cycles d’</w:t>
            </w:r>
            <w:r w:rsidR="009424C7" w:rsidRPr="00EB546B">
              <w:rPr>
                <w:bCs/>
                <w:sz w:val="18"/>
                <w:szCs w:val="18"/>
                <w:lang w:val="fr-FR"/>
              </w:rPr>
              <w:t>audit</w:t>
            </w:r>
            <w:r>
              <w:rPr>
                <w:bCs/>
                <w:sz w:val="18"/>
                <w:szCs w:val="18"/>
                <w:lang w:val="fr-FR"/>
              </w:rPr>
              <w:t>s</w:t>
            </w:r>
            <w:r w:rsidR="009424C7" w:rsidRPr="00EB546B">
              <w:rPr>
                <w:bCs/>
                <w:sz w:val="18"/>
                <w:szCs w:val="18"/>
                <w:lang w:val="fr-FR"/>
              </w:rPr>
              <w:t xml:space="preserve">. </w:t>
            </w:r>
            <w:r w:rsidRPr="00EB546B">
              <w:rPr>
                <w:bCs/>
                <w:sz w:val="18"/>
                <w:szCs w:val="18"/>
                <w:lang w:val="fr-FR"/>
              </w:rPr>
              <w:t>On notera que le</w:t>
            </w:r>
            <w:r w:rsidR="007C444F">
              <w:rPr>
                <w:bCs/>
                <w:sz w:val="18"/>
                <w:szCs w:val="18"/>
                <w:lang w:val="fr-FR"/>
              </w:rPr>
              <w:t>s</w:t>
            </w:r>
            <w:r w:rsidRPr="00EB546B">
              <w:rPr>
                <w:bCs/>
                <w:sz w:val="18"/>
                <w:szCs w:val="18"/>
                <w:lang w:val="fr-FR"/>
              </w:rPr>
              <w:t xml:space="preserve"> règle</w:t>
            </w:r>
            <w:r w:rsidR="005C3F23">
              <w:rPr>
                <w:bCs/>
                <w:sz w:val="18"/>
                <w:szCs w:val="18"/>
                <w:lang w:val="fr-FR"/>
              </w:rPr>
              <w:t>s de gestion financière</w:t>
            </w:r>
            <w:r w:rsidRPr="00EB546B">
              <w:rPr>
                <w:bCs/>
                <w:sz w:val="18"/>
                <w:szCs w:val="18"/>
                <w:lang w:val="fr-FR"/>
              </w:rPr>
              <w:t xml:space="preserve"> de la</w:t>
            </w:r>
            <w:r w:rsidR="009C1644" w:rsidRPr="00EB546B">
              <w:rPr>
                <w:bCs/>
                <w:sz w:val="18"/>
                <w:szCs w:val="18"/>
                <w:lang w:val="fr-FR"/>
              </w:rPr>
              <w:t xml:space="preserve"> Convention</w:t>
            </w:r>
            <w:r w:rsidR="007C444F">
              <w:rPr>
                <w:bCs/>
                <w:sz w:val="18"/>
                <w:szCs w:val="18"/>
                <w:lang w:val="fr-FR"/>
              </w:rPr>
              <w:t xml:space="preserve"> s’appliqueront</w:t>
            </w:r>
            <w:r w:rsidRPr="00EB546B">
              <w:rPr>
                <w:bCs/>
                <w:sz w:val="18"/>
                <w:szCs w:val="18"/>
                <w:lang w:val="fr-FR"/>
              </w:rPr>
              <w:t xml:space="preserve"> aussi au programme </w:t>
            </w:r>
            <w:r w:rsidR="009C1644" w:rsidRPr="00EB546B">
              <w:rPr>
                <w:bCs/>
                <w:sz w:val="18"/>
                <w:szCs w:val="18"/>
                <w:lang w:val="fr-FR"/>
              </w:rPr>
              <w:t>international</w:t>
            </w:r>
            <w:r>
              <w:rPr>
                <w:bCs/>
                <w:sz w:val="18"/>
                <w:szCs w:val="18"/>
                <w:lang w:val="fr-FR"/>
              </w:rPr>
              <w:t xml:space="preserve"> spécifique</w:t>
            </w:r>
            <w:r w:rsidR="009C1644" w:rsidRPr="00EB546B">
              <w:rPr>
                <w:bCs/>
                <w:sz w:val="18"/>
                <w:szCs w:val="18"/>
                <w:lang w:val="fr-FR"/>
              </w:rPr>
              <w:t xml:space="preserve">. </w:t>
            </w:r>
          </w:p>
          <w:p w14:paraId="0CCB2DC2" w14:textId="46C8F1D4" w:rsidR="00020EEC" w:rsidRPr="00EB546B" w:rsidRDefault="00EB546B" w:rsidP="00EB546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rPr>
                <w:bCs/>
                <w:sz w:val="18"/>
                <w:szCs w:val="18"/>
                <w:lang w:val="fr-FR"/>
              </w:rPr>
            </w:pPr>
            <w:r w:rsidRPr="00EB546B">
              <w:rPr>
                <w:bCs/>
                <w:sz w:val="18"/>
                <w:szCs w:val="18"/>
                <w:lang w:val="fr-FR"/>
              </w:rPr>
              <w:t>De plus, quel que soit son emplacement, le secré</w:t>
            </w:r>
            <w:r w:rsidR="009377F6" w:rsidRPr="00EB546B">
              <w:rPr>
                <w:bCs/>
                <w:sz w:val="18"/>
                <w:szCs w:val="18"/>
                <w:lang w:val="fr-FR"/>
              </w:rPr>
              <w:t xml:space="preserve">tariat </w:t>
            </w:r>
            <w:r w:rsidRPr="00EB546B">
              <w:rPr>
                <w:bCs/>
                <w:sz w:val="18"/>
                <w:szCs w:val="18"/>
                <w:lang w:val="fr-FR"/>
              </w:rPr>
              <w:t>fonctionnera sous la direction de la Confére</w:t>
            </w:r>
            <w:r w:rsidR="005F07D4">
              <w:rPr>
                <w:bCs/>
                <w:sz w:val="18"/>
                <w:szCs w:val="18"/>
                <w:lang w:val="fr-FR"/>
              </w:rPr>
              <w:t>nce des Parties, à qui il rendra</w:t>
            </w:r>
            <w:r w:rsidRPr="00EB546B">
              <w:rPr>
                <w:bCs/>
                <w:sz w:val="18"/>
                <w:szCs w:val="18"/>
                <w:lang w:val="fr-FR"/>
              </w:rPr>
              <w:t xml:space="preserve"> compte. </w:t>
            </w:r>
          </w:p>
        </w:tc>
      </w:tr>
      <w:tr w:rsidR="002B2DAC" w:rsidRPr="00DA5F41" w14:paraId="49B430F3" w14:textId="77777777" w:rsidTr="00CC52C1">
        <w:tc>
          <w:tcPr>
            <w:tcW w:w="4225" w:type="dxa"/>
          </w:tcPr>
          <w:p w14:paraId="67715E28" w14:textId="69D4A128" w:rsidR="002B2DAC" w:rsidRPr="005F07D4" w:rsidRDefault="00692353" w:rsidP="00692353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  <w:tab w:val="left" w:pos="4082"/>
              </w:tabs>
              <w:spacing w:after="120"/>
              <w:rPr>
                <w:i/>
                <w:iCs/>
                <w:sz w:val="18"/>
                <w:szCs w:val="18"/>
                <w:lang w:val="fr-FR"/>
              </w:rPr>
            </w:pPr>
            <w:r w:rsidRPr="0087428A">
              <w:rPr>
                <w:i/>
                <w:iCs/>
                <w:sz w:val="18"/>
                <w:szCs w:val="18"/>
                <w:lang w:val="fr-FR"/>
              </w:rPr>
              <w:t xml:space="preserve">Service </w:t>
            </w:r>
            <w:r>
              <w:rPr>
                <w:i/>
                <w:iCs/>
                <w:sz w:val="18"/>
                <w:szCs w:val="18"/>
                <w:lang w:val="fr-FR"/>
              </w:rPr>
              <w:t xml:space="preserve">Substances </w:t>
            </w:r>
            <w:r w:rsidRPr="0087428A">
              <w:rPr>
                <w:i/>
                <w:iCs/>
                <w:sz w:val="18"/>
                <w:szCs w:val="18"/>
                <w:lang w:val="fr-FR"/>
              </w:rPr>
              <w:t>chi</w:t>
            </w:r>
            <w:r w:rsidR="005C3F23">
              <w:rPr>
                <w:i/>
                <w:iCs/>
                <w:sz w:val="18"/>
                <w:szCs w:val="18"/>
                <w:lang w:val="fr-FR"/>
              </w:rPr>
              <w:t>miques et s</w:t>
            </w:r>
            <w:r>
              <w:rPr>
                <w:i/>
                <w:iCs/>
                <w:sz w:val="18"/>
                <w:szCs w:val="18"/>
                <w:lang w:val="fr-FR"/>
              </w:rPr>
              <w:t>anté</w:t>
            </w:r>
            <w:r w:rsidRPr="002079D0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95" w:type="dxa"/>
          </w:tcPr>
          <w:p w14:paraId="0336003F" w14:textId="71773A44" w:rsidR="002B2DAC" w:rsidRPr="005F07D4" w:rsidRDefault="005F07D4" w:rsidP="005F07D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  <w:tab w:val="left" w:pos="4082"/>
              </w:tabs>
              <w:spacing w:after="120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5F07D4">
              <w:rPr>
                <w:bCs/>
                <w:i/>
                <w:iCs/>
                <w:sz w:val="18"/>
                <w:szCs w:val="18"/>
                <w:lang w:val="fr-FR"/>
              </w:rPr>
              <w:t xml:space="preserve">Secrétariat de la </w:t>
            </w:r>
            <w:r w:rsidR="002B2DAC" w:rsidRPr="005F07D4">
              <w:rPr>
                <w:bCs/>
                <w:i/>
                <w:iCs/>
                <w:sz w:val="18"/>
                <w:szCs w:val="18"/>
                <w:lang w:val="fr-FR"/>
              </w:rPr>
              <w:t xml:space="preserve">Convention </w:t>
            </w:r>
          </w:p>
        </w:tc>
      </w:tr>
      <w:tr w:rsidR="001F7B7B" w:rsidRPr="005C3F23" w14:paraId="6CDE5D6C" w14:textId="77777777" w:rsidTr="00CC52C1">
        <w:tc>
          <w:tcPr>
            <w:tcW w:w="4225" w:type="dxa"/>
          </w:tcPr>
          <w:p w14:paraId="682A03E0" w14:textId="098EE0D2" w:rsidR="009377F6" w:rsidRPr="008E0E38" w:rsidRDefault="004262E2" w:rsidP="007346D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rPr>
                <w:i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mé</w:t>
            </w:r>
            <w:r w:rsidR="008E0E38" w:rsidRPr="008E0E38">
              <w:rPr>
                <w:sz w:val="18"/>
                <w:szCs w:val="18"/>
                <w:lang w:val="fr-FR"/>
              </w:rPr>
              <w:t xml:space="preserve">morandum d’accord </w:t>
            </w:r>
            <w:r w:rsidR="007346DB">
              <w:rPr>
                <w:sz w:val="18"/>
                <w:szCs w:val="18"/>
                <w:lang w:val="fr-FR"/>
              </w:rPr>
              <w:t>pourra</w:t>
            </w:r>
            <w:r w:rsidR="008E0E38" w:rsidRPr="008E0E38">
              <w:rPr>
                <w:sz w:val="18"/>
                <w:szCs w:val="18"/>
                <w:lang w:val="fr-FR"/>
              </w:rPr>
              <w:t xml:space="preserve"> être conclu entre la</w:t>
            </w:r>
            <w:r w:rsidR="00020EEC" w:rsidRPr="008E0E38">
              <w:rPr>
                <w:sz w:val="18"/>
                <w:szCs w:val="18"/>
                <w:lang w:val="fr-FR"/>
              </w:rPr>
              <w:t xml:space="preserve"> </w:t>
            </w:r>
            <w:r w:rsidR="008E0E38" w:rsidRPr="008E0E38">
              <w:rPr>
                <w:sz w:val="18"/>
                <w:szCs w:val="18"/>
                <w:lang w:val="fr-FR"/>
              </w:rPr>
              <w:t>Confé</w:t>
            </w:r>
            <w:r w:rsidR="009377F6" w:rsidRPr="008E0E38">
              <w:rPr>
                <w:sz w:val="18"/>
                <w:szCs w:val="18"/>
                <w:lang w:val="fr-FR"/>
              </w:rPr>
              <w:t xml:space="preserve">rence </w:t>
            </w:r>
            <w:r w:rsidR="008E0E38" w:rsidRPr="008E0E38">
              <w:rPr>
                <w:sz w:val="18"/>
                <w:szCs w:val="18"/>
                <w:lang w:val="fr-FR"/>
              </w:rPr>
              <w:t>des</w:t>
            </w:r>
            <w:r w:rsidR="009377F6" w:rsidRPr="008E0E38">
              <w:rPr>
                <w:sz w:val="18"/>
                <w:szCs w:val="18"/>
                <w:lang w:val="fr-FR"/>
              </w:rPr>
              <w:t xml:space="preserve"> Parties</w:t>
            </w:r>
            <w:r w:rsidR="009C1644" w:rsidRPr="008E0E38">
              <w:rPr>
                <w:sz w:val="18"/>
                <w:szCs w:val="18"/>
                <w:lang w:val="fr-FR"/>
              </w:rPr>
              <w:t xml:space="preserve"> </w:t>
            </w:r>
            <w:r w:rsidR="008E0E38" w:rsidRPr="008E0E38">
              <w:rPr>
                <w:sz w:val="18"/>
                <w:szCs w:val="18"/>
                <w:lang w:val="fr-FR"/>
              </w:rPr>
              <w:t xml:space="preserve">et le Directeur exécutif pour définir, </w:t>
            </w:r>
            <w:r w:rsidR="005C3F23">
              <w:rPr>
                <w:sz w:val="18"/>
                <w:szCs w:val="18"/>
                <w:lang w:val="fr-FR"/>
              </w:rPr>
              <w:t>notamment</w:t>
            </w:r>
            <w:r w:rsidR="008E0E38" w:rsidRPr="008E0E38">
              <w:rPr>
                <w:sz w:val="18"/>
                <w:szCs w:val="18"/>
                <w:lang w:val="fr-FR"/>
              </w:rPr>
              <w:t>, les rôles et responsabilités</w:t>
            </w:r>
            <w:r w:rsidR="008E0E38">
              <w:rPr>
                <w:sz w:val="18"/>
                <w:szCs w:val="18"/>
                <w:lang w:val="fr-FR"/>
              </w:rPr>
              <w:t>, les charges</w:t>
            </w:r>
            <w:r w:rsidR="009377F6" w:rsidRPr="008E0E38">
              <w:rPr>
                <w:sz w:val="18"/>
                <w:szCs w:val="18"/>
                <w:lang w:val="fr-FR"/>
              </w:rPr>
              <w:t xml:space="preserve"> administrative</w:t>
            </w:r>
            <w:r w:rsidR="008E0E38">
              <w:rPr>
                <w:sz w:val="18"/>
                <w:szCs w:val="18"/>
                <w:lang w:val="fr-FR"/>
              </w:rPr>
              <w:t>s, le cadre de responsabilisation et les obligations en matière d’établissement des rapports</w:t>
            </w:r>
            <w:r w:rsidR="005C3F23">
              <w:rPr>
                <w:sz w:val="18"/>
                <w:szCs w:val="18"/>
                <w:lang w:val="fr-FR"/>
              </w:rPr>
              <w:t xml:space="preserve"> et,</w:t>
            </w:r>
            <w:r w:rsidR="008E0E38">
              <w:rPr>
                <w:sz w:val="18"/>
                <w:szCs w:val="18"/>
                <w:lang w:val="fr-FR"/>
              </w:rPr>
              <w:t xml:space="preserve"> en particulier</w:t>
            </w:r>
            <w:r w:rsidR="005C3F23">
              <w:rPr>
                <w:sz w:val="18"/>
                <w:szCs w:val="18"/>
                <w:lang w:val="fr-FR"/>
              </w:rPr>
              <w:t>,</w:t>
            </w:r>
            <w:r w:rsidR="008E0E38">
              <w:rPr>
                <w:sz w:val="18"/>
                <w:szCs w:val="18"/>
                <w:lang w:val="fr-FR"/>
              </w:rPr>
              <w:t xml:space="preserve"> pour stipuler que le secré</w:t>
            </w:r>
            <w:r w:rsidR="007F78E9" w:rsidRPr="008E0E38">
              <w:rPr>
                <w:sz w:val="18"/>
                <w:szCs w:val="18"/>
                <w:lang w:val="fr-FR"/>
              </w:rPr>
              <w:t xml:space="preserve">tariat </w:t>
            </w:r>
            <w:r w:rsidR="008E0E38">
              <w:rPr>
                <w:sz w:val="18"/>
                <w:szCs w:val="18"/>
                <w:lang w:val="fr-FR"/>
              </w:rPr>
              <w:t>fonctionnera sous la direction de la Conférence</w:t>
            </w:r>
            <w:r w:rsidR="007346DB">
              <w:rPr>
                <w:sz w:val="18"/>
                <w:szCs w:val="18"/>
                <w:lang w:val="fr-FR"/>
              </w:rPr>
              <w:t xml:space="preserve"> des Parties</w:t>
            </w:r>
            <w:r w:rsidR="008E0E38">
              <w:rPr>
                <w:sz w:val="18"/>
                <w:szCs w:val="18"/>
                <w:lang w:val="fr-FR"/>
              </w:rPr>
              <w:t xml:space="preserve">, à laquelle il rendra compte. </w:t>
            </w:r>
          </w:p>
        </w:tc>
        <w:tc>
          <w:tcPr>
            <w:tcW w:w="3995" w:type="dxa"/>
          </w:tcPr>
          <w:p w14:paraId="2EE39BD7" w14:textId="3B05EE37" w:rsidR="00D832FC" w:rsidRPr="005C3F23" w:rsidRDefault="005C3F23" w:rsidP="004262E2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  <w:tab w:val="left" w:pos="4082"/>
              </w:tabs>
              <w:spacing w:after="12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Aucun mémorandum d’accord ne serait</w:t>
            </w:r>
            <w:r w:rsidR="004262E2" w:rsidRPr="004262E2">
              <w:rPr>
                <w:sz w:val="18"/>
                <w:szCs w:val="18"/>
                <w:lang w:val="fr-FR"/>
              </w:rPr>
              <w:t xml:space="preserve"> nécessaire, puisque le secrétariat de la </w:t>
            </w:r>
            <w:r w:rsidR="002A5E08" w:rsidRPr="004262E2">
              <w:rPr>
                <w:sz w:val="18"/>
                <w:szCs w:val="18"/>
                <w:lang w:val="fr-FR"/>
              </w:rPr>
              <w:t xml:space="preserve">Convention </w:t>
            </w:r>
            <w:r w:rsidR="004262E2">
              <w:rPr>
                <w:sz w:val="18"/>
                <w:szCs w:val="18"/>
                <w:lang w:val="fr-FR"/>
              </w:rPr>
              <w:t>fonctionne directement sous la direction de la Conférence des Parties, à laquelle il rend compte</w:t>
            </w:r>
            <w:r w:rsidR="00D01C66" w:rsidRPr="004262E2">
              <w:rPr>
                <w:sz w:val="18"/>
                <w:szCs w:val="18"/>
                <w:lang w:val="fr-FR"/>
              </w:rPr>
              <w:t xml:space="preserve">. </w:t>
            </w:r>
            <w:r w:rsidR="004262E2" w:rsidRPr="004262E2">
              <w:rPr>
                <w:sz w:val="18"/>
                <w:szCs w:val="18"/>
                <w:lang w:val="fr-FR"/>
              </w:rPr>
              <w:t xml:space="preserve">Il est également entendu </w:t>
            </w:r>
            <w:r w:rsidR="004262E2">
              <w:rPr>
                <w:sz w:val="18"/>
                <w:szCs w:val="18"/>
                <w:lang w:val="fr-FR"/>
              </w:rPr>
              <w:t>que, dans le cadre de ce scénario</w:t>
            </w:r>
            <w:r w:rsidR="004262E2" w:rsidRPr="004262E2">
              <w:rPr>
                <w:sz w:val="18"/>
                <w:szCs w:val="18"/>
                <w:lang w:val="fr-FR"/>
              </w:rPr>
              <w:t xml:space="preserve">, le programme </w:t>
            </w:r>
            <w:r w:rsidR="00D832FC" w:rsidRPr="004262E2">
              <w:rPr>
                <w:sz w:val="18"/>
                <w:szCs w:val="18"/>
                <w:lang w:val="fr-FR"/>
              </w:rPr>
              <w:t>international</w:t>
            </w:r>
            <w:r w:rsidR="004262E2" w:rsidRPr="004262E2">
              <w:rPr>
                <w:sz w:val="18"/>
                <w:szCs w:val="18"/>
                <w:lang w:val="fr-FR"/>
              </w:rPr>
              <w:t xml:space="preserve"> </w:t>
            </w:r>
            <w:r w:rsidR="004262E2">
              <w:rPr>
                <w:sz w:val="18"/>
                <w:szCs w:val="18"/>
                <w:lang w:val="fr-FR"/>
              </w:rPr>
              <w:t>spécifique</w:t>
            </w:r>
            <w:r>
              <w:rPr>
                <w:sz w:val="18"/>
                <w:szCs w:val="18"/>
                <w:lang w:val="fr-FR"/>
              </w:rPr>
              <w:t xml:space="preserve"> fera </w:t>
            </w:r>
            <w:r w:rsidR="004262E2" w:rsidRPr="004262E2">
              <w:rPr>
                <w:sz w:val="18"/>
                <w:szCs w:val="18"/>
                <w:lang w:val="fr-FR"/>
              </w:rPr>
              <w:t>partie intégrante du secrétariat de la</w:t>
            </w:r>
            <w:r w:rsidR="00D832FC" w:rsidRPr="004262E2">
              <w:rPr>
                <w:sz w:val="18"/>
                <w:szCs w:val="18"/>
                <w:lang w:val="fr-FR"/>
              </w:rPr>
              <w:t xml:space="preserve"> Convention</w:t>
            </w:r>
            <w:r w:rsidR="004262E2">
              <w:rPr>
                <w:sz w:val="18"/>
                <w:szCs w:val="18"/>
                <w:lang w:val="fr-FR"/>
              </w:rPr>
              <w:t xml:space="preserve"> et que le Secrétaire exécutif rend</w:t>
            </w:r>
            <w:r>
              <w:rPr>
                <w:sz w:val="18"/>
                <w:szCs w:val="18"/>
                <w:lang w:val="fr-FR"/>
              </w:rPr>
              <w:t>ra</w:t>
            </w:r>
            <w:r w:rsidR="004262E2">
              <w:rPr>
                <w:sz w:val="18"/>
                <w:szCs w:val="18"/>
                <w:lang w:val="fr-FR"/>
              </w:rPr>
              <w:t xml:space="preserve"> compte du programme à la Conférence des P</w:t>
            </w:r>
            <w:bookmarkStart w:id="4" w:name="_GoBack"/>
            <w:bookmarkEnd w:id="4"/>
            <w:r w:rsidR="004262E2">
              <w:rPr>
                <w:sz w:val="18"/>
                <w:szCs w:val="18"/>
                <w:lang w:val="fr-FR"/>
              </w:rPr>
              <w:t xml:space="preserve">arties. </w:t>
            </w:r>
          </w:p>
        </w:tc>
      </w:tr>
      <w:tr w:rsidR="00D50731" w:rsidRPr="00896DFC" w14:paraId="1592265A" w14:textId="77777777" w:rsidTr="00E6378B">
        <w:tc>
          <w:tcPr>
            <w:tcW w:w="8220" w:type="dxa"/>
            <w:gridSpan w:val="2"/>
            <w:shd w:val="clear" w:color="auto" w:fill="D9D9D9" w:themeFill="background1" w:themeFillShade="D9"/>
          </w:tcPr>
          <w:p w14:paraId="4C2699F7" w14:textId="79499C14" w:rsidR="00D50731" w:rsidRPr="00DB47F0" w:rsidRDefault="0065554B" w:rsidP="0029126E">
            <w:pPr>
              <w:pStyle w:val="Brdtext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DB47F0">
              <w:rPr>
                <w:b/>
                <w:bCs/>
                <w:sz w:val="18"/>
                <w:szCs w:val="18"/>
                <w:lang w:val="fr-FR"/>
              </w:rPr>
              <w:lastRenderedPageBreak/>
              <w:t>6</w:t>
            </w:r>
            <w:r w:rsidR="00D50731" w:rsidRPr="00DB47F0">
              <w:rPr>
                <w:b/>
                <w:bCs/>
                <w:sz w:val="18"/>
                <w:szCs w:val="18"/>
                <w:lang w:val="fr-FR"/>
              </w:rPr>
              <w:t xml:space="preserve">. </w:t>
            </w:r>
            <w:r w:rsidR="00EB546B" w:rsidRPr="00EB546B">
              <w:rPr>
                <w:b/>
                <w:bCs/>
                <w:sz w:val="18"/>
                <w:szCs w:val="18"/>
                <w:lang w:val="fr-FR"/>
              </w:rPr>
              <w:t>Considérations a</w:t>
            </w:r>
            <w:r w:rsidR="00D50731" w:rsidRPr="00EB546B">
              <w:rPr>
                <w:b/>
                <w:bCs/>
                <w:sz w:val="18"/>
                <w:szCs w:val="18"/>
                <w:lang w:val="fr-FR"/>
              </w:rPr>
              <w:t>dministrative</w:t>
            </w:r>
            <w:r w:rsidR="00EB546B" w:rsidRPr="00EB546B">
              <w:rPr>
                <w:b/>
                <w:bCs/>
                <w:sz w:val="18"/>
                <w:szCs w:val="18"/>
                <w:lang w:val="fr-FR"/>
              </w:rPr>
              <w:t>s</w:t>
            </w:r>
          </w:p>
          <w:p w14:paraId="6F90802D" w14:textId="3BC534C4" w:rsidR="00D50731" w:rsidRPr="00896DFC" w:rsidRDefault="00896DFC" w:rsidP="00896DFC">
            <w:pPr>
              <w:pStyle w:val="Brdtext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rPr>
                <w:sz w:val="18"/>
                <w:szCs w:val="18"/>
                <w:lang w:val="fr-FR"/>
              </w:rPr>
            </w:pPr>
            <w:r w:rsidRPr="00896DFC">
              <w:rPr>
                <w:sz w:val="18"/>
                <w:szCs w:val="18"/>
                <w:lang w:val="fr-FR"/>
              </w:rPr>
              <w:t xml:space="preserve">Collecter et gérer les </w:t>
            </w:r>
            <w:r w:rsidR="00861A7F" w:rsidRPr="00896DFC">
              <w:rPr>
                <w:sz w:val="18"/>
                <w:szCs w:val="18"/>
                <w:lang w:val="fr-FR"/>
              </w:rPr>
              <w:t xml:space="preserve">contributions </w:t>
            </w:r>
            <w:r w:rsidRPr="00896DFC">
              <w:rPr>
                <w:sz w:val="18"/>
                <w:szCs w:val="18"/>
                <w:lang w:val="fr-FR"/>
              </w:rPr>
              <w:t xml:space="preserve">au programme </w:t>
            </w:r>
            <w:r w:rsidR="00861A7F" w:rsidRPr="00896DFC">
              <w:rPr>
                <w:sz w:val="18"/>
                <w:szCs w:val="18"/>
                <w:lang w:val="fr-FR"/>
              </w:rPr>
              <w:t>international</w:t>
            </w:r>
            <w:r w:rsidRPr="00896DFC">
              <w:rPr>
                <w:sz w:val="18"/>
                <w:szCs w:val="18"/>
                <w:lang w:val="fr-FR"/>
              </w:rPr>
              <w:t xml:space="preserve"> spécifique. Un fonds d’affectation spéciale devra être établi à cet effet.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B8506F" w:rsidRPr="00DA5F41" w14:paraId="62880B69" w14:textId="77777777" w:rsidTr="00CC52C1">
        <w:tc>
          <w:tcPr>
            <w:tcW w:w="4225" w:type="dxa"/>
          </w:tcPr>
          <w:p w14:paraId="6E7533E9" w14:textId="635563AB" w:rsidR="00B8506F" w:rsidRPr="005F07D4" w:rsidRDefault="00692353" w:rsidP="00692353">
            <w:pPr>
              <w:pStyle w:val="Brdtext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  <w:tab w:val="left" w:pos="4082"/>
              </w:tabs>
              <w:spacing w:after="120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87428A">
              <w:rPr>
                <w:i/>
                <w:iCs/>
                <w:sz w:val="18"/>
                <w:szCs w:val="18"/>
                <w:lang w:val="fr-FR"/>
              </w:rPr>
              <w:t xml:space="preserve">Service </w:t>
            </w:r>
            <w:r>
              <w:rPr>
                <w:i/>
                <w:iCs/>
                <w:sz w:val="18"/>
                <w:szCs w:val="18"/>
                <w:lang w:val="fr-FR"/>
              </w:rPr>
              <w:t xml:space="preserve">Substances </w:t>
            </w:r>
            <w:r w:rsidRPr="0087428A">
              <w:rPr>
                <w:i/>
                <w:iCs/>
                <w:sz w:val="18"/>
                <w:szCs w:val="18"/>
                <w:lang w:val="fr-FR"/>
              </w:rPr>
              <w:t>chi</w:t>
            </w:r>
            <w:r w:rsidR="004904EF">
              <w:rPr>
                <w:i/>
                <w:iCs/>
                <w:sz w:val="18"/>
                <w:szCs w:val="18"/>
                <w:lang w:val="fr-FR"/>
              </w:rPr>
              <w:t>miques et s</w:t>
            </w:r>
            <w:r>
              <w:rPr>
                <w:i/>
                <w:iCs/>
                <w:sz w:val="18"/>
                <w:szCs w:val="18"/>
                <w:lang w:val="fr-FR"/>
              </w:rPr>
              <w:t>anté</w:t>
            </w:r>
            <w:r w:rsidRPr="002079D0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95" w:type="dxa"/>
          </w:tcPr>
          <w:p w14:paraId="21555AC5" w14:textId="603752CE" w:rsidR="00B8506F" w:rsidRPr="005F07D4" w:rsidRDefault="005F07D4" w:rsidP="005F07D4">
            <w:pPr>
              <w:pStyle w:val="Brdtext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  <w:tab w:val="left" w:pos="4082"/>
              </w:tabs>
              <w:spacing w:after="120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5F07D4">
              <w:rPr>
                <w:bCs/>
                <w:i/>
                <w:iCs/>
                <w:sz w:val="18"/>
                <w:szCs w:val="18"/>
                <w:lang w:val="fr-FR"/>
              </w:rPr>
              <w:t xml:space="preserve">Secrétariat de la </w:t>
            </w:r>
            <w:r w:rsidR="00B8506F" w:rsidRPr="005F07D4">
              <w:rPr>
                <w:bCs/>
                <w:i/>
                <w:iCs/>
                <w:sz w:val="18"/>
                <w:szCs w:val="18"/>
                <w:lang w:val="fr-FR"/>
              </w:rPr>
              <w:t xml:space="preserve">Convention </w:t>
            </w:r>
          </w:p>
        </w:tc>
      </w:tr>
      <w:tr w:rsidR="001F7B7B" w:rsidRPr="002E1D1D" w14:paraId="1FDAAFFD" w14:textId="77777777" w:rsidTr="00CC52C1">
        <w:tc>
          <w:tcPr>
            <w:tcW w:w="4225" w:type="dxa"/>
          </w:tcPr>
          <w:p w14:paraId="78E1B1D0" w14:textId="370DA11D" w:rsidR="00E141C8" w:rsidRPr="002E1D1D" w:rsidRDefault="00896DFC" w:rsidP="0008600F">
            <w:pPr>
              <w:pStyle w:val="Brdtext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  <w:tab w:val="left" w:pos="4082"/>
              </w:tabs>
              <w:spacing w:after="120"/>
              <w:rPr>
                <w:bCs/>
                <w:sz w:val="18"/>
                <w:szCs w:val="18"/>
                <w:lang w:val="fr-FR"/>
              </w:rPr>
            </w:pPr>
            <w:r w:rsidRPr="002E1D1D">
              <w:rPr>
                <w:bCs/>
                <w:sz w:val="18"/>
                <w:szCs w:val="18"/>
                <w:lang w:val="fr-FR"/>
              </w:rPr>
              <w:t xml:space="preserve">Un nouveau fonds d’affectation spéciale devrait être établi auprès du Contrôleur </w:t>
            </w:r>
            <w:r w:rsidR="006C6FD1">
              <w:rPr>
                <w:bCs/>
                <w:sz w:val="18"/>
                <w:szCs w:val="18"/>
                <w:lang w:val="fr-FR"/>
              </w:rPr>
              <w:t xml:space="preserve">de l’ONU </w:t>
            </w:r>
            <w:r w:rsidRPr="002E1D1D">
              <w:rPr>
                <w:bCs/>
                <w:sz w:val="18"/>
                <w:szCs w:val="18"/>
                <w:lang w:val="fr-FR"/>
              </w:rPr>
              <w:t xml:space="preserve">à </w:t>
            </w:r>
            <w:r w:rsidR="00861A7F" w:rsidRPr="002E1D1D">
              <w:rPr>
                <w:bCs/>
                <w:sz w:val="18"/>
                <w:szCs w:val="18"/>
                <w:lang w:val="fr-FR"/>
              </w:rPr>
              <w:t xml:space="preserve">New York </w:t>
            </w:r>
            <w:r w:rsidRPr="002E1D1D">
              <w:rPr>
                <w:bCs/>
                <w:sz w:val="18"/>
                <w:szCs w:val="18"/>
                <w:lang w:val="fr-FR"/>
              </w:rPr>
              <w:t xml:space="preserve">par l’intermédiaire de la Division des services internes </w:t>
            </w:r>
            <w:r w:rsidR="00473236">
              <w:rPr>
                <w:bCs/>
                <w:sz w:val="18"/>
                <w:szCs w:val="18"/>
                <w:lang w:val="fr-FR"/>
              </w:rPr>
              <w:t xml:space="preserve">du PNUE </w:t>
            </w:r>
            <w:r w:rsidRPr="002E1D1D">
              <w:rPr>
                <w:bCs/>
                <w:sz w:val="18"/>
                <w:szCs w:val="18"/>
                <w:lang w:val="fr-FR"/>
              </w:rPr>
              <w:t xml:space="preserve">à </w:t>
            </w:r>
            <w:r w:rsidR="00861A7F" w:rsidRPr="002E1D1D">
              <w:rPr>
                <w:bCs/>
                <w:sz w:val="18"/>
                <w:szCs w:val="18"/>
                <w:lang w:val="fr-FR"/>
              </w:rPr>
              <w:t xml:space="preserve">Nairobi. </w:t>
            </w:r>
            <w:r w:rsidRPr="002E1D1D">
              <w:rPr>
                <w:bCs/>
                <w:sz w:val="18"/>
                <w:szCs w:val="18"/>
                <w:lang w:val="fr-FR"/>
              </w:rPr>
              <w:t xml:space="preserve">Sa création n’entraînerait pas de coûts directs. Il serait administré par le Service, 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>p</w:t>
            </w:r>
            <w:r w:rsidR="0008600F">
              <w:rPr>
                <w:bCs/>
                <w:sz w:val="18"/>
                <w:szCs w:val="18"/>
                <w:lang w:val="fr-FR"/>
              </w:rPr>
              <w:t>resque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 xml:space="preserve"> de la même manière que le</w:t>
            </w:r>
            <w:r w:rsidR="0008600F">
              <w:rPr>
                <w:bCs/>
                <w:sz w:val="18"/>
                <w:szCs w:val="18"/>
                <w:lang w:val="fr-FR"/>
              </w:rPr>
              <w:t>s fonds d’affectation spéciale du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861A7F" w:rsidRPr="002E1D1D">
              <w:rPr>
                <w:bCs/>
                <w:sz w:val="18"/>
                <w:szCs w:val="18"/>
                <w:lang w:val="fr-FR"/>
              </w:rPr>
              <w:t xml:space="preserve">Programme 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 xml:space="preserve">de démarrage rapide et du programme spécial. </w:t>
            </w:r>
          </w:p>
        </w:tc>
        <w:tc>
          <w:tcPr>
            <w:tcW w:w="3995" w:type="dxa"/>
          </w:tcPr>
          <w:p w14:paraId="424D7F95" w14:textId="4C836868" w:rsidR="008353CA" w:rsidRPr="002E1D1D" w:rsidRDefault="00896DFC" w:rsidP="00E20196">
            <w:pPr>
              <w:pStyle w:val="Brdtext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rPr>
                <w:b/>
                <w:bCs/>
                <w:sz w:val="18"/>
                <w:szCs w:val="18"/>
                <w:lang w:val="fr-FR" w:eastAsia="en-US"/>
              </w:rPr>
            </w:pPr>
            <w:r w:rsidRPr="002E1D1D">
              <w:rPr>
                <w:bCs/>
                <w:sz w:val="18"/>
                <w:szCs w:val="18"/>
                <w:lang w:val="fr-FR"/>
              </w:rPr>
              <w:t>Deux scé</w:t>
            </w:r>
            <w:r w:rsidR="008D2FBE" w:rsidRPr="002E1D1D">
              <w:rPr>
                <w:bCs/>
                <w:sz w:val="18"/>
                <w:szCs w:val="18"/>
                <w:lang w:val="fr-FR"/>
              </w:rPr>
              <w:t>narios</w:t>
            </w:r>
            <w:r w:rsidRPr="002E1D1D">
              <w:rPr>
                <w:bCs/>
                <w:sz w:val="18"/>
                <w:szCs w:val="18"/>
                <w:lang w:val="fr-FR"/>
              </w:rPr>
              <w:t xml:space="preserve"> sont</w:t>
            </w:r>
            <w:r w:rsidR="008D2FBE" w:rsidRPr="002E1D1D">
              <w:rPr>
                <w:bCs/>
                <w:sz w:val="18"/>
                <w:szCs w:val="18"/>
                <w:lang w:val="fr-FR"/>
              </w:rPr>
              <w:t xml:space="preserve"> possible</w:t>
            </w:r>
            <w:r w:rsidRPr="002E1D1D">
              <w:rPr>
                <w:bCs/>
                <w:sz w:val="18"/>
                <w:szCs w:val="18"/>
                <w:lang w:val="fr-FR"/>
              </w:rPr>
              <w:t xml:space="preserve">s </w:t>
            </w:r>
            <w:r w:rsidR="008353CA" w:rsidRPr="002E1D1D">
              <w:rPr>
                <w:bCs/>
                <w:sz w:val="18"/>
                <w:szCs w:val="18"/>
                <w:lang w:val="fr-FR"/>
              </w:rPr>
              <w:t>:</w:t>
            </w:r>
          </w:p>
          <w:p w14:paraId="5F03C3FF" w14:textId="68BF909D" w:rsidR="008353CA" w:rsidRPr="002E1D1D" w:rsidRDefault="008353CA" w:rsidP="00E20196">
            <w:pPr>
              <w:pStyle w:val="Brdtext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after="120"/>
              <w:rPr>
                <w:b/>
                <w:bCs/>
                <w:sz w:val="18"/>
                <w:szCs w:val="18"/>
                <w:lang w:val="fr-FR" w:eastAsia="en-US"/>
              </w:rPr>
            </w:pPr>
            <w:r w:rsidRPr="002E1D1D">
              <w:rPr>
                <w:bCs/>
                <w:sz w:val="18"/>
                <w:szCs w:val="18"/>
                <w:lang w:val="fr-FR"/>
              </w:rPr>
              <w:t xml:space="preserve">a) 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>Après la première réunion de la Confé</w:t>
            </w:r>
            <w:r w:rsidR="001A576D" w:rsidRPr="002E1D1D">
              <w:rPr>
                <w:bCs/>
                <w:sz w:val="18"/>
                <w:szCs w:val="18"/>
                <w:lang w:val="fr-FR"/>
              </w:rPr>
              <w:t>rence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 xml:space="preserve"> des</w:t>
            </w:r>
            <w:r w:rsidR="001A576D" w:rsidRPr="002E1D1D">
              <w:rPr>
                <w:bCs/>
                <w:sz w:val="18"/>
                <w:szCs w:val="18"/>
                <w:lang w:val="fr-FR"/>
              </w:rPr>
              <w:t xml:space="preserve"> Parties</w:t>
            </w:r>
            <w:r w:rsidR="00CC52C1" w:rsidRPr="002E1D1D">
              <w:rPr>
                <w:bCs/>
                <w:sz w:val="18"/>
                <w:szCs w:val="18"/>
                <w:lang w:val="fr-FR"/>
              </w:rPr>
              <w:t>,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 xml:space="preserve"> le secrétariat de la</w:t>
            </w:r>
            <w:r w:rsidR="008D2FBE" w:rsidRPr="002E1D1D">
              <w:rPr>
                <w:bCs/>
                <w:sz w:val="18"/>
                <w:szCs w:val="18"/>
                <w:lang w:val="fr-FR"/>
              </w:rPr>
              <w:t xml:space="preserve"> Convention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 xml:space="preserve"> établit</w:t>
            </w:r>
            <w:r w:rsidR="006C6FD1">
              <w:rPr>
                <w:bCs/>
                <w:sz w:val="18"/>
                <w:szCs w:val="18"/>
                <w:lang w:val="fr-FR"/>
              </w:rPr>
              <w:t xml:space="preserve"> auprès du </w:t>
            </w:r>
            <w:r w:rsidR="006C6FD1" w:rsidRPr="002E1D1D">
              <w:rPr>
                <w:bCs/>
                <w:sz w:val="18"/>
                <w:szCs w:val="18"/>
                <w:lang w:val="fr-FR"/>
              </w:rPr>
              <w:t xml:space="preserve">Contrôleur </w:t>
            </w:r>
            <w:r w:rsidR="006C6FD1">
              <w:rPr>
                <w:bCs/>
                <w:sz w:val="18"/>
                <w:szCs w:val="18"/>
                <w:lang w:val="fr-FR"/>
              </w:rPr>
              <w:t xml:space="preserve">de l’ONU </w:t>
            </w:r>
            <w:r w:rsidR="006C6FD1" w:rsidRPr="002E1D1D">
              <w:rPr>
                <w:bCs/>
                <w:sz w:val="18"/>
                <w:szCs w:val="18"/>
                <w:lang w:val="fr-FR"/>
              </w:rPr>
              <w:t>à New York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 xml:space="preserve">, par l’intermédiaire de la Division des services internes à </w:t>
            </w:r>
            <w:r w:rsidR="008D2FBE" w:rsidRPr="002E1D1D">
              <w:rPr>
                <w:bCs/>
                <w:sz w:val="18"/>
                <w:szCs w:val="18"/>
                <w:lang w:val="fr-FR"/>
              </w:rPr>
              <w:t>Nairobi</w:t>
            </w:r>
            <w:r w:rsidR="001A576D" w:rsidRPr="002E1D1D">
              <w:rPr>
                <w:bCs/>
                <w:sz w:val="18"/>
                <w:szCs w:val="18"/>
                <w:lang w:val="fr-FR"/>
              </w:rPr>
              <w:t>,</w:t>
            </w:r>
            <w:r w:rsidR="008D2FBE" w:rsidRPr="002E1D1D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 xml:space="preserve">un fonds d’affectation spéciale </w:t>
            </w:r>
            <w:r w:rsidR="0008600F">
              <w:rPr>
                <w:bCs/>
                <w:sz w:val="18"/>
                <w:szCs w:val="18"/>
                <w:lang w:val="fr-FR"/>
              </w:rPr>
              <w:t xml:space="preserve">de contributions volontaires 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>pour la Convention</w:t>
            </w:r>
            <w:r w:rsidR="008D2FBE" w:rsidRPr="002E1D1D">
              <w:rPr>
                <w:bCs/>
                <w:sz w:val="18"/>
                <w:szCs w:val="18"/>
                <w:lang w:val="fr-FR"/>
              </w:rPr>
              <w:t xml:space="preserve">. 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 xml:space="preserve">Le programme </w:t>
            </w:r>
            <w:r w:rsidR="008D2FBE" w:rsidRPr="002E1D1D">
              <w:rPr>
                <w:bCs/>
                <w:sz w:val="18"/>
                <w:szCs w:val="18"/>
                <w:lang w:val="fr-FR"/>
              </w:rPr>
              <w:t>international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 xml:space="preserve"> spécifique pourrait être </w:t>
            </w:r>
            <w:r w:rsidR="002E1D1D">
              <w:rPr>
                <w:bCs/>
                <w:sz w:val="18"/>
                <w:szCs w:val="18"/>
                <w:lang w:val="fr-FR"/>
              </w:rPr>
              <w:t>doté</w:t>
            </w:r>
            <w:r w:rsidR="002E1D1D" w:rsidRPr="002E1D1D">
              <w:rPr>
                <w:bCs/>
                <w:sz w:val="18"/>
                <w:szCs w:val="18"/>
                <w:lang w:val="fr-FR"/>
              </w:rPr>
              <w:t xml:space="preserve"> d’un guichet séparé au sein de ce fonds d’affectation spéciale</w:t>
            </w:r>
            <w:r w:rsidRPr="002E1D1D">
              <w:rPr>
                <w:bCs/>
                <w:sz w:val="18"/>
                <w:szCs w:val="18"/>
                <w:lang w:val="fr-FR"/>
              </w:rPr>
              <w:t>;</w:t>
            </w:r>
          </w:p>
          <w:p w14:paraId="056F74A6" w14:textId="5E3E6CDC" w:rsidR="00E141C8" w:rsidRPr="002E1D1D" w:rsidRDefault="008353CA" w:rsidP="002E1D1D">
            <w:pPr>
              <w:pStyle w:val="Brdtext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  <w:tab w:val="left" w:pos="4082"/>
              </w:tabs>
              <w:spacing w:after="120"/>
              <w:rPr>
                <w:bCs/>
                <w:sz w:val="18"/>
                <w:szCs w:val="18"/>
                <w:lang w:val="fr-FR"/>
              </w:rPr>
            </w:pPr>
            <w:r w:rsidRPr="002E1D1D">
              <w:rPr>
                <w:bCs/>
                <w:sz w:val="18"/>
                <w:szCs w:val="18"/>
                <w:lang w:val="fr-FR"/>
              </w:rPr>
              <w:t>b)</w:t>
            </w:r>
            <w:r w:rsidR="008D2FBE" w:rsidRPr="002E1D1D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2E1D1D">
              <w:rPr>
                <w:bCs/>
                <w:sz w:val="18"/>
                <w:szCs w:val="18"/>
                <w:lang w:val="fr-FR"/>
              </w:rPr>
              <w:t xml:space="preserve">Le fonds d’affectation spéciale de contributions volontaires est placé sous la direction de la </w:t>
            </w:r>
            <w:r w:rsidR="001A576D" w:rsidRPr="002E1D1D">
              <w:rPr>
                <w:bCs/>
                <w:sz w:val="18"/>
                <w:szCs w:val="18"/>
                <w:lang w:val="fr-FR"/>
              </w:rPr>
              <w:t>Convention</w:t>
            </w:r>
            <w:r w:rsidR="00C449EE" w:rsidRPr="002E1D1D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2E1D1D">
              <w:rPr>
                <w:bCs/>
                <w:sz w:val="18"/>
                <w:szCs w:val="18"/>
                <w:lang w:val="fr-FR"/>
              </w:rPr>
              <w:t>et le secrét</w:t>
            </w:r>
            <w:r w:rsidR="00C449EE" w:rsidRPr="002E1D1D">
              <w:rPr>
                <w:bCs/>
                <w:sz w:val="18"/>
                <w:szCs w:val="18"/>
                <w:lang w:val="fr-FR"/>
              </w:rPr>
              <w:t>a</w:t>
            </w:r>
            <w:r w:rsidR="002E1D1D">
              <w:rPr>
                <w:bCs/>
                <w:sz w:val="18"/>
                <w:szCs w:val="18"/>
                <w:lang w:val="fr-FR"/>
              </w:rPr>
              <w:t xml:space="preserve">riat de la </w:t>
            </w:r>
            <w:r w:rsidR="008D2FBE" w:rsidRPr="002E1D1D">
              <w:rPr>
                <w:bCs/>
                <w:sz w:val="18"/>
                <w:szCs w:val="18"/>
                <w:lang w:val="fr-FR"/>
              </w:rPr>
              <w:t xml:space="preserve">Convention </w:t>
            </w:r>
            <w:r w:rsidR="002E1D1D">
              <w:rPr>
                <w:bCs/>
                <w:sz w:val="18"/>
                <w:szCs w:val="18"/>
                <w:lang w:val="fr-FR"/>
              </w:rPr>
              <w:t xml:space="preserve">soumet une deuxième demande pour créer un fonds distinct dédié au </w:t>
            </w:r>
            <w:r w:rsidR="008D2FBE" w:rsidRPr="002E1D1D">
              <w:rPr>
                <w:bCs/>
                <w:sz w:val="18"/>
                <w:szCs w:val="18"/>
                <w:lang w:val="fr-FR"/>
              </w:rPr>
              <w:t>programme</w:t>
            </w:r>
            <w:r w:rsidR="00325915">
              <w:rPr>
                <w:bCs/>
                <w:sz w:val="18"/>
                <w:szCs w:val="18"/>
                <w:lang w:val="fr-FR"/>
              </w:rPr>
              <w:t xml:space="preserve"> international spécifique</w:t>
            </w:r>
            <w:r w:rsidR="008D2FBE" w:rsidRPr="002E1D1D">
              <w:rPr>
                <w:bCs/>
                <w:sz w:val="18"/>
                <w:szCs w:val="18"/>
                <w:lang w:val="fr-FR"/>
              </w:rPr>
              <w:t xml:space="preserve">. </w:t>
            </w:r>
          </w:p>
        </w:tc>
      </w:tr>
    </w:tbl>
    <w:p w14:paraId="5D4ED77C" w14:textId="03630277" w:rsidR="00CB2B2B" w:rsidRPr="000B631E" w:rsidRDefault="002E371D" w:rsidP="00325915">
      <w:pPr>
        <w:pStyle w:val="CH1"/>
        <w:ind w:left="1253"/>
        <w:rPr>
          <w:lang w:val="fr-FR"/>
        </w:rPr>
      </w:pPr>
      <w:r w:rsidRPr="002E1D1D">
        <w:rPr>
          <w:lang w:val="fr-FR"/>
        </w:rPr>
        <w:tab/>
      </w:r>
      <w:r w:rsidR="005A61B9" w:rsidRPr="002E1D1D">
        <w:rPr>
          <w:lang w:val="fr-FR"/>
        </w:rPr>
        <w:t>III</w:t>
      </w:r>
      <w:r w:rsidRPr="002E1D1D">
        <w:rPr>
          <w:lang w:val="fr-FR"/>
        </w:rPr>
        <w:t>.</w:t>
      </w:r>
      <w:r w:rsidRPr="002E1D1D">
        <w:rPr>
          <w:lang w:val="fr-FR"/>
        </w:rPr>
        <w:tab/>
      </w:r>
      <w:r w:rsidR="001575F4" w:rsidRPr="002E1D1D">
        <w:rPr>
          <w:lang w:val="fr-FR"/>
        </w:rPr>
        <w:t>D</w:t>
      </w:r>
      <w:r w:rsidR="00CB2B2B" w:rsidRPr="002E1D1D">
        <w:rPr>
          <w:lang w:val="fr-FR"/>
        </w:rPr>
        <w:t>ur</w:t>
      </w:r>
      <w:r w:rsidR="000B631E" w:rsidRPr="002E1D1D">
        <w:rPr>
          <w:lang w:val="fr-FR"/>
        </w:rPr>
        <w:t>ée du programme</w:t>
      </w:r>
      <w:r w:rsidR="00CB2B2B" w:rsidRPr="002E1D1D">
        <w:rPr>
          <w:lang w:val="fr-FR"/>
        </w:rPr>
        <w:t xml:space="preserve"> international </w:t>
      </w:r>
      <w:r w:rsidR="000B631E" w:rsidRPr="002E1D1D">
        <w:rPr>
          <w:lang w:val="fr-FR"/>
        </w:rPr>
        <w:t>spécifique</w:t>
      </w:r>
      <w:r w:rsidR="00CB2B2B" w:rsidRPr="000B631E">
        <w:rPr>
          <w:lang w:val="fr-FR"/>
        </w:rPr>
        <w:t xml:space="preserve"> </w:t>
      </w:r>
    </w:p>
    <w:p w14:paraId="0BA44DDA" w14:textId="1F35A91F" w:rsidR="004529F3" w:rsidRPr="008D0E01" w:rsidRDefault="000B631E" w:rsidP="00325915">
      <w:pPr>
        <w:pStyle w:val="Normalnumber"/>
        <w:keepNext/>
        <w:keepLines/>
        <w:ind w:left="1253"/>
        <w:rPr>
          <w:lang w:val="fr-FR"/>
        </w:rPr>
      </w:pPr>
      <w:r w:rsidRPr="000B631E">
        <w:rPr>
          <w:lang w:val="fr-FR"/>
        </w:rPr>
        <w:t xml:space="preserve">À la clôture de la septième </w:t>
      </w:r>
      <w:r w:rsidR="00C144B8" w:rsidRPr="000B631E">
        <w:rPr>
          <w:lang w:val="fr-FR"/>
        </w:rPr>
        <w:t xml:space="preserve">session </w:t>
      </w:r>
      <w:r w:rsidRPr="000B631E">
        <w:rPr>
          <w:lang w:val="fr-FR"/>
        </w:rPr>
        <w:t xml:space="preserve">du Comité de négociation </w:t>
      </w:r>
      <w:r w:rsidR="00C144B8" w:rsidRPr="000B631E">
        <w:rPr>
          <w:lang w:val="fr-FR"/>
        </w:rPr>
        <w:t>intergo</w:t>
      </w:r>
      <w:r w:rsidRPr="000B631E">
        <w:rPr>
          <w:lang w:val="fr-FR"/>
        </w:rPr>
        <w:t>u</w:t>
      </w:r>
      <w:r w:rsidR="00C144B8" w:rsidRPr="000B631E">
        <w:rPr>
          <w:lang w:val="fr-FR"/>
        </w:rPr>
        <w:t>vern</w:t>
      </w:r>
      <w:r w:rsidRPr="000B631E">
        <w:rPr>
          <w:lang w:val="fr-FR"/>
        </w:rPr>
        <w:t>e</w:t>
      </w:r>
      <w:r w:rsidR="00C144B8" w:rsidRPr="000B631E">
        <w:rPr>
          <w:lang w:val="fr-FR"/>
        </w:rPr>
        <w:t>mental</w:t>
      </w:r>
      <w:r w:rsidR="00CC52C1" w:rsidRPr="000B631E">
        <w:rPr>
          <w:lang w:val="fr-FR"/>
        </w:rPr>
        <w:t>,</w:t>
      </w:r>
      <w:r w:rsidR="00C144B8" w:rsidRPr="000B631E">
        <w:rPr>
          <w:lang w:val="fr-FR"/>
        </w:rPr>
        <w:t xml:space="preserve"> </w:t>
      </w:r>
      <w:r w:rsidR="00B51017">
        <w:rPr>
          <w:lang w:val="fr-FR"/>
        </w:rPr>
        <w:t xml:space="preserve">les trois options proposées pour la </w:t>
      </w:r>
      <w:r>
        <w:rPr>
          <w:lang w:val="fr-FR"/>
        </w:rPr>
        <w:t xml:space="preserve">durée du programme </w:t>
      </w:r>
      <w:r w:rsidR="00C144B8" w:rsidRPr="000B631E">
        <w:rPr>
          <w:lang w:val="fr-FR"/>
        </w:rPr>
        <w:t>international</w:t>
      </w:r>
      <w:r>
        <w:rPr>
          <w:lang w:val="fr-FR"/>
        </w:rPr>
        <w:t xml:space="preserve"> spécifique</w:t>
      </w:r>
      <w:r w:rsidR="00B51017">
        <w:rPr>
          <w:lang w:val="fr-FR"/>
        </w:rPr>
        <w:t xml:space="preserve"> sont</w:t>
      </w:r>
      <w:r>
        <w:rPr>
          <w:lang w:val="fr-FR"/>
        </w:rPr>
        <w:t xml:space="preserve"> restée</w:t>
      </w:r>
      <w:r w:rsidR="00B51017">
        <w:rPr>
          <w:lang w:val="fr-FR"/>
        </w:rPr>
        <w:t>s</w:t>
      </w:r>
      <w:r>
        <w:rPr>
          <w:lang w:val="fr-FR"/>
        </w:rPr>
        <w:t xml:space="preserve"> entre crochets</w:t>
      </w:r>
      <w:r w:rsidR="00CC52C1" w:rsidRPr="000B631E">
        <w:rPr>
          <w:lang w:val="fr-FR"/>
        </w:rPr>
        <w:t xml:space="preserve">. </w:t>
      </w:r>
      <w:r w:rsidR="008D0E01" w:rsidRPr="008D0E01">
        <w:rPr>
          <w:lang w:val="fr-FR"/>
        </w:rPr>
        <w:t>Le</w:t>
      </w:r>
      <w:r w:rsidR="0098267A">
        <w:rPr>
          <w:lang w:val="fr-FR"/>
        </w:rPr>
        <w:t> </w:t>
      </w:r>
      <w:r w:rsidR="00C144B8" w:rsidRPr="008D0E01">
        <w:rPr>
          <w:lang w:val="fr-FR"/>
        </w:rPr>
        <w:t xml:space="preserve">programme </w:t>
      </w:r>
      <w:r w:rsidR="008D0E01" w:rsidRPr="008D0E01">
        <w:rPr>
          <w:lang w:val="fr-FR"/>
        </w:rPr>
        <w:t xml:space="preserve">pourrait bénéficier de </w:t>
      </w:r>
      <w:r w:rsidR="00C144B8" w:rsidRPr="008D0E01">
        <w:rPr>
          <w:lang w:val="fr-FR"/>
        </w:rPr>
        <w:t>contributions</w:t>
      </w:r>
      <w:r w:rsidR="008D0E01" w:rsidRPr="008D0E01">
        <w:rPr>
          <w:lang w:val="fr-FR"/>
        </w:rPr>
        <w:t xml:space="preserve"> volontaires et do</w:t>
      </w:r>
      <w:r w:rsidR="00B51017">
        <w:rPr>
          <w:lang w:val="fr-FR"/>
        </w:rPr>
        <w:t>nner lieu à des demandes d’aide</w:t>
      </w:r>
      <w:r w:rsidR="008D0E01" w:rsidRPr="008D0E01">
        <w:rPr>
          <w:lang w:val="fr-FR"/>
        </w:rPr>
        <w:t xml:space="preserve"> pour</w:t>
      </w:r>
      <w:r w:rsidR="00B51017">
        <w:rPr>
          <w:lang w:val="fr-FR"/>
        </w:rPr>
        <w:t> </w:t>
      </w:r>
      <w:r w:rsidR="001A576D" w:rsidRPr="008D0E01">
        <w:rPr>
          <w:lang w:val="fr-FR"/>
        </w:rPr>
        <w:t>:</w:t>
      </w:r>
      <w:r w:rsidR="00C144B8" w:rsidRPr="008D0E01">
        <w:rPr>
          <w:lang w:val="fr-FR"/>
        </w:rPr>
        <w:t xml:space="preserve"> </w:t>
      </w:r>
    </w:p>
    <w:p w14:paraId="0D7E3436" w14:textId="3CEF3B85" w:rsidR="004529F3" w:rsidRPr="008D0E01" w:rsidRDefault="008D0E01" w:rsidP="001E343F">
      <w:pPr>
        <w:pStyle w:val="Normalnumber"/>
        <w:numPr>
          <w:ilvl w:val="1"/>
          <w:numId w:val="5"/>
        </w:numPr>
        <w:rPr>
          <w:lang w:val="fr-FR"/>
        </w:rPr>
      </w:pPr>
      <w:r w:rsidRPr="008D0E01">
        <w:rPr>
          <w:lang w:val="fr-FR"/>
        </w:rPr>
        <w:t xml:space="preserve">Une période </w:t>
      </w:r>
      <w:r w:rsidR="00CD5C09">
        <w:rPr>
          <w:lang w:val="fr-FR"/>
        </w:rPr>
        <w:t>fixe</w:t>
      </w:r>
      <w:r w:rsidR="001A576D" w:rsidRPr="008D0E01">
        <w:rPr>
          <w:lang w:val="fr-FR"/>
        </w:rPr>
        <w:t>;</w:t>
      </w:r>
      <w:r w:rsidR="00C144B8" w:rsidRPr="008D0E01">
        <w:rPr>
          <w:lang w:val="fr-FR"/>
        </w:rPr>
        <w:t xml:space="preserve"> </w:t>
      </w:r>
    </w:p>
    <w:p w14:paraId="36E6FFB3" w14:textId="296E050A" w:rsidR="004529F3" w:rsidRPr="008D0E01" w:rsidRDefault="008D0E01" w:rsidP="00E20196">
      <w:pPr>
        <w:pStyle w:val="Normalnumber"/>
        <w:numPr>
          <w:ilvl w:val="1"/>
          <w:numId w:val="5"/>
        </w:numPr>
        <w:rPr>
          <w:lang w:val="fr-FR"/>
        </w:rPr>
      </w:pPr>
      <w:r w:rsidRPr="008D0E01">
        <w:rPr>
          <w:lang w:val="fr-FR"/>
        </w:rPr>
        <w:t>Une période illimitée</w:t>
      </w:r>
      <w:r w:rsidR="001A576D" w:rsidRPr="008D0E01">
        <w:rPr>
          <w:lang w:val="fr-FR"/>
        </w:rPr>
        <w:t>;</w:t>
      </w:r>
      <w:r w:rsidR="00C144B8" w:rsidRPr="008D0E01">
        <w:rPr>
          <w:lang w:val="fr-FR"/>
        </w:rPr>
        <w:t xml:space="preserve"> </w:t>
      </w:r>
    </w:p>
    <w:p w14:paraId="50B56C63" w14:textId="6C107B74" w:rsidR="00A42B32" w:rsidRPr="008D0E01" w:rsidRDefault="008D0E01" w:rsidP="00E20196">
      <w:pPr>
        <w:pStyle w:val="Normalnumber"/>
        <w:numPr>
          <w:ilvl w:val="1"/>
          <w:numId w:val="5"/>
        </w:numPr>
        <w:rPr>
          <w:lang w:val="fr-FR"/>
        </w:rPr>
      </w:pPr>
      <w:r w:rsidRPr="008D0E01">
        <w:rPr>
          <w:lang w:val="fr-FR"/>
        </w:rPr>
        <w:t xml:space="preserve">Une période </w:t>
      </w:r>
      <w:r w:rsidR="001E343F" w:rsidRPr="008D0E01">
        <w:rPr>
          <w:lang w:val="fr-FR"/>
        </w:rPr>
        <w:t>déterminée</w:t>
      </w:r>
      <w:r w:rsidRPr="008D0E01">
        <w:rPr>
          <w:lang w:val="fr-FR"/>
        </w:rPr>
        <w:t xml:space="preserve"> dans le cadre de l’examen du mécanisme de financement</w:t>
      </w:r>
      <w:r w:rsidR="00196824">
        <w:rPr>
          <w:lang w:val="fr-FR"/>
        </w:rPr>
        <w:t xml:space="preserve"> </w:t>
      </w:r>
      <w:r w:rsidR="00CD5C09">
        <w:rPr>
          <w:lang w:val="fr-FR"/>
        </w:rPr>
        <w:t xml:space="preserve">conformément </w:t>
      </w:r>
      <w:r w:rsidR="00196824">
        <w:rPr>
          <w:lang w:val="fr-FR"/>
        </w:rPr>
        <w:t>au</w:t>
      </w:r>
      <w:r w:rsidRPr="008D0E01">
        <w:rPr>
          <w:lang w:val="fr-FR"/>
        </w:rPr>
        <w:t xml:space="preserve"> </w:t>
      </w:r>
      <w:r w:rsidR="00C144B8" w:rsidRPr="00196824">
        <w:rPr>
          <w:lang w:val="fr-FR"/>
        </w:rPr>
        <w:t>paragraph</w:t>
      </w:r>
      <w:r w:rsidRPr="00196824">
        <w:rPr>
          <w:lang w:val="fr-FR"/>
        </w:rPr>
        <w:t>e</w:t>
      </w:r>
      <w:r w:rsidR="006F4D5D">
        <w:rPr>
          <w:lang w:val="fr-FR"/>
        </w:rPr>
        <w:t> </w:t>
      </w:r>
      <w:r w:rsidR="00C144B8" w:rsidRPr="00196824">
        <w:rPr>
          <w:lang w:val="fr-FR"/>
        </w:rPr>
        <w:t>11</w:t>
      </w:r>
      <w:r w:rsidRPr="008D0E01">
        <w:rPr>
          <w:lang w:val="fr-FR"/>
        </w:rPr>
        <w:t xml:space="preserve"> de l’</w:t>
      </w:r>
      <w:r w:rsidR="006F4D5D">
        <w:rPr>
          <w:lang w:val="fr-FR"/>
        </w:rPr>
        <w:t>article </w:t>
      </w:r>
      <w:r w:rsidR="00C144B8" w:rsidRPr="008D0E01">
        <w:rPr>
          <w:lang w:val="fr-FR"/>
        </w:rPr>
        <w:t>13</w:t>
      </w:r>
      <w:r w:rsidR="001A576D" w:rsidRPr="008D0E01">
        <w:rPr>
          <w:lang w:val="fr-FR"/>
        </w:rPr>
        <w:t xml:space="preserve"> </w:t>
      </w:r>
      <w:r w:rsidRPr="008D0E01">
        <w:rPr>
          <w:lang w:val="fr-FR"/>
        </w:rPr>
        <w:t>de la</w:t>
      </w:r>
      <w:r w:rsidR="001A576D" w:rsidRPr="008D0E01">
        <w:rPr>
          <w:lang w:val="fr-FR"/>
        </w:rPr>
        <w:t xml:space="preserve"> Convention</w:t>
      </w:r>
      <w:r w:rsidR="00C144B8" w:rsidRPr="008D0E01">
        <w:rPr>
          <w:lang w:val="fr-FR"/>
        </w:rPr>
        <w:t xml:space="preserve">. </w:t>
      </w:r>
    </w:p>
    <w:p w14:paraId="5A5632F2" w14:textId="254E5F59" w:rsidR="00AE35B6" w:rsidRPr="008B229A" w:rsidRDefault="001007D0" w:rsidP="00E20196">
      <w:pPr>
        <w:pStyle w:val="Normalnumber"/>
        <w:rPr>
          <w:lang w:val="fr-FR"/>
        </w:rPr>
      </w:pPr>
      <w:r w:rsidRPr="008B229A">
        <w:rPr>
          <w:lang w:val="fr-FR"/>
        </w:rPr>
        <w:t>Le groupe de travail spécial d’</w:t>
      </w:r>
      <w:r w:rsidR="00141C3E" w:rsidRPr="008B229A">
        <w:rPr>
          <w:lang w:val="fr-FR"/>
        </w:rPr>
        <w:t>experts</w:t>
      </w:r>
      <w:r w:rsidRPr="008B229A">
        <w:rPr>
          <w:lang w:val="fr-FR"/>
        </w:rPr>
        <w:t xml:space="preserve"> sur le financement, qui s’est réuni à </w:t>
      </w:r>
      <w:r w:rsidR="00AE35B6" w:rsidRPr="008B229A">
        <w:rPr>
          <w:lang w:val="fr-FR"/>
        </w:rPr>
        <w:t>S</w:t>
      </w:r>
      <w:r w:rsidR="006035A3" w:rsidRPr="008B229A">
        <w:rPr>
          <w:lang w:val="fr-FR"/>
        </w:rPr>
        <w:t>ã</w:t>
      </w:r>
      <w:r w:rsidR="00AE35B6" w:rsidRPr="008B229A">
        <w:rPr>
          <w:lang w:val="fr-FR"/>
        </w:rPr>
        <w:t>o Paulo</w:t>
      </w:r>
      <w:r w:rsidRPr="008B229A">
        <w:rPr>
          <w:lang w:val="fr-FR"/>
        </w:rPr>
        <w:t xml:space="preserve"> (Brésil) du </w:t>
      </w:r>
      <w:r w:rsidR="00AE35B6" w:rsidRPr="008B229A">
        <w:rPr>
          <w:lang w:val="fr-FR"/>
        </w:rPr>
        <w:t>26</w:t>
      </w:r>
      <w:r w:rsidRPr="008B229A">
        <w:rPr>
          <w:lang w:val="fr-FR"/>
        </w:rPr>
        <w:t xml:space="preserve"> au</w:t>
      </w:r>
      <w:r w:rsidR="00AE35B6" w:rsidRPr="008B229A">
        <w:rPr>
          <w:lang w:val="fr-FR"/>
        </w:rPr>
        <w:t xml:space="preserve"> 29</w:t>
      </w:r>
      <w:r w:rsidR="006F4D5D">
        <w:rPr>
          <w:lang w:val="fr-FR"/>
        </w:rPr>
        <w:t> </w:t>
      </w:r>
      <w:r w:rsidRPr="008B229A">
        <w:rPr>
          <w:lang w:val="fr-FR"/>
        </w:rPr>
        <w:t>octobre</w:t>
      </w:r>
      <w:r w:rsidR="00AE35B6" w:rsidRPr="008B229A">
        <w:rPr>
          <w:lang w:val="fr-FR"/>
        </w:rPr>
        <w:t xml:space="preserve"> 2015, </w:t>
      </w:r>
      <w:r w:rsidRPr="008B229A">
        <w:rPr>
          <w:lang w:val="fr-FR"/>
        </w:rPr>
        <w:t xml:space="preserve">a estimé qu’il était prématuré de discuter de la durée du programme </w:t>
      </w:r>
      <w:r w:rsidR="00CC52C1" w:rsidRPr="008B229A">
        <w:rPr>
          <w:lang w:val="fr-FR"/>
        </w:rPr>
        <w:t>international</w:t>
      </w:r>
      <w:r w:rsidRPr="008B229A">
        <w:rPr>
          <w:lang w:val="fr-FR"/>
        </w:rPr>
        <w:t xml:space="preserve"> spécifique</w:t>
      </w:r>
      <w:r w:rsidR="00CC52C1" w:rsidRPr="008B229A">
        <w:rPr>
          <w:lang w:val="fr-FR"/>
        </w:rPr>
        <w:t xml:space="preserve">. </w:t>
      </w:r>
      <w:r w:rsidRPr="008B229A">
        <w:rPr>
          <w:lang w:val="fr-FR"/>
        </w:rPr>
        <w:t>Le Comité ne s’est pas non plus attardé davantage sur la question à sa septième</w:t>
      </w:r>
      <w:r w:rsidR="001A576D" w:rsidRPr="008B229A">
        <w:rPr>
          <w:lang w:val="fr-FR"/>
        </w:rPr>
        <w:t xml:space="preserve"> session</w:t>
      </w:r>
      <w:r w:rsidR="00CC52C1" w:rsidRPr="008B229A">
        <w:rPr>
          <w:lang w:val="fr-FR"/>
        </w:rPr>
        <w:t xml:space="preserve">. </w:t>
      </w:r>
      <w:r w:rsidRPr="008B229A">
        <w:rPr>
          <w:lang w:val="fr-FR"/>
        </w:rPr>
        <w:t>Il convient de noter, cependant, que les experts du groupe de travail spécial</w:t>
      </w:r>
      <w:r w:rsidR="008B229A" w:rsidRPr="008B229A">
        <w:rPr>
          <w:lang w:val="fr-FR"/>
        </w:rPr>
        <w:t xml:space="preserve"> </w:t>
      </w:r>
      <w:r w:rsidR="00B51017">
        <w:rPr>
          <w:lang w:val="fr-FR"/>
        </w:rPr>
        <w:t>s</w:t>
      </w:r>
      <w:r w:rsidRPr="008B229A">
        <w:rPr>
          <w:lang w:val="fr-FR"/>
        </w:rPr>
        <w:t xml:space="preserve">ont convenus d’un commun accord que le </w:t>
      </w:r>
      <w:r w:rsidR="00764537" w:rsidRPr="008B229A">
        <w:rPr>
          <w:lang w:val="fr-FR"/>
        </w:rPr>
        <w:t xml:space="preserve">programme </w:t>
      </w:r>
      <w:r w:rsidRPr="008B229A">
        <w:rPr>
          <w:lang w:val="fr-FR"/>
        </w:rPr>
        <w:t xml:space="preserve">devrait envisager d’adopter un plan de mise en œuvre, qui pourrait être révisé au besoin et qui indiquerait les domaines de la </w:t>
      </w:r>
      <w:r w:rsidR="00764537" w:rsidRPr="008B229A">
        <w:rPr>
          <w:lang w:val="fr-FR"/>
        </w:rPr>
        <w:t xml:space="preserve">Convention </w:t>
      </w:r>
      <w:r w:rsidRPr="008B229A">
        <w:rPr>
          <w:lang w:val="fr-FR"/>
        </w:rPr>
        <w:t>sur lesquels axer les travaux durant u</w:t>
      </w:r>
      <w:r w:rsidR="00AE6032">
        <w:rPr>
          <w:lang w:val="fr-FR"/>
        </w:rPr>
        <w:t xml:space="preserve">ne période déterminée. </w:t>
      </w:r>
      <w:r w:rsidR="00E46078">
        <w:rPr>
          <w:lang w:val="fr-FR"/>
        </w:rPr>
        <w:t xml:space="preserve">Certaines </w:t>
      </w:r>
      <w:r w:rsidR="003F4ADD" w:rsidRPr="008B229A">
        <w:rPr>
          <w:lang w:val="fr-FR"/>
        </w:rPr>
        <w:t>o</w:t>
      </w:r>
      <w:r w:rsidR="00764537" w:rsidRPr="008B229A">
        <w:rPr>
          <w:lang w:val="fr-FR"/>
        </w:rPr>
        <w:t xml:space="preserve">bligations </w:t>
      </w:r>
      <w:r w:rsidR="006C6FD1">
        <w:rPr>
          <w:lang w:val="fr-FR"/>
        </w:rPr>
        <w:t xml:space="preserve">au titre </w:t>
      </w:r>
      <w:r w:rsidRPr="008B229A">
        <w:rPr>
          <w:lang w:val="fr-FR"/>
        </w:rPr>
        <w:t xml:space="preserve">de </w:t>
      </w:r>
      <w:r w:rsidR="00E46078">
        <w:rPr>
          <w:lang w:val="fr-FR"/>
        </w:rPr>
        <w:t>plusieurs</w:t>
      </w:r>
      <w:r w:rsidRPr="008B229A">
        <w:rPr>
          <w:lang w:val="fr-FR"/>
        </w:rPr>
        <w:t xml:space="preserve"> </w:t>
      </w:r>
      <w:r w:rsidR="00764537" w:rsidRPr="008B229A">
        <w:rPr>
          <w:lang w:val="fr-FR"/>
        </w:rPr>
        <w:t xml:space="preserve">articles </w:t>
      </w:r>
      <w:r w:rsidRPr="008B229A">
        <w:rPr>
          <w:lang w:val="fr-FR"/>
        </w:rPr>
        <w:t xml:space="preserve">de la </w:t>
      </w:r>
      <w:r w:rsidR="00764537" w:rsidRPr="008B229A">
        <w:rPr>
          <w:lang w:val="fr-FR"/>
        </w:rPr>
        <w:t xml:space="preserve">Convention </w:t>
      </w:r>
      <w:r w:rsidR="008B229A" w:rsidRPr="008B229A">
        <w:rPr>
          <w:lang w:val="fr-FR"/>
        </w:rPr>
        <w:t>comportent des</w:t>
      </w:r>
      <w:r w:rsidRPr="008B229A">
        <w:rPr>
          <w:lang w:val="fr-FR"/>
        </w:rPr>
        <w:t xml:space="preserve"> délais et ont une durée limitée. </w:t>
      </w:r>
      <w:r w:rsidR="00E46078">
        <w:rPr>
          <w:lang w:val="fr-FR"/>
        </w:rPr>
        <w:t>U</w:t>
      </w:r>
      <w:r w:rsidR="008B229A" w:rsidRPr="008B229A">
        <w:rPr>
          <w:lang w:val="fr-FR"/>
        </w:rPr>
        <w:t>ne approche p</w:t>
      </w:r>
      <w:r w:rsidR="00E46078">
        <w:rPr>
          <w:lang w:val="fr-FR"/>
        </w:rPr>
        <w:t>rogrammatique tenant compte des périodes de réduction prévues dans c</w:t>
      </w:r>
      <w:r w:rsidR="008B229A" w:rsidRPr="008B229A">
        <w:rPr>
          <w:lang w:val="fr-FR"/>
        </w:rPr>
        <w:t xml:space="preserve">es </w:t>
      </w:r>
      <w:r w:rsidR="00764537" w:rsidRPr="008B229A">
        <w:rPr>
          <w:lang w:val="fr-FR"/>
        </w:rPr>
        <w:t>articles</w:t>
      </w:r>
      <w:r w:rsidR="008B229A" w:rsidRPr="008B229A">
        <w:rPr>
          <w:lang w:val="fr-FR"/>
        </w:rPr>
        <w:t xml:space="preserve"> </w:t>
      </w:r>
      <w:r w:rsidR="00E46078">
        <w:rPr>
          <w:lang w:val="fr-FR"/>
        </w:rPr>
        <w:t>pourrait être le</w:t>
      </w:r>
      <w:r w:rsidR="008B229A" w:rsidRPr="008B229A">
        <w:rPr>
          <w:lang w:val="fr-FR"/>
        </w:rPr>
        <w:t xml:space="preserve"> moyen d’identifier des paramètres temporels appropriés pour mettre en œuvre la </w:t>
      </w:r>
      <w:r w:rsidR="00764537" w:rsidRPr="008B229A">
        <w:rPr>
          <w:lang w:val="fr-FR"/>
        </w:rPr>
        <w:t xml:space="preserve">Convention </w:t>
      </w:r>
      <w:r w:rsidR="008B229A" w:rsidRPr="008B229A">
        <w:rPr>
          <w:lang w:val="fr-FR"/>
        </w:rPr>
        <w:t>par le biais du ren</w:t>
      </w:r>
      <w:r w:rsidR="00E46078">
        <w:rPr>
          <w:lang w:val="fr-FR"/>
        </w:rPr>
        <w:t>forcement des capacités et de l’</w:t>
      </w:r>
      <w:r w:rsidR="007362CD" w:rsidRPr="008B229A">
        <w:rPr>
          <w:lang w:val="fr-FR"/>
        </w:rPr>
        <w:t xml:space="preserve">assistance </w:t>
      </w:r>
      <w:r w:rsidR="008B229A" w:rsidRPr="008B229A">
        <w:rPr>
          <w:lang w:val="fr-FR"/>
        </w:rPr>
        <w:t xml:space="preserve">technique financés au titre du programme </w:t>
      </w:r>
      <w:r w:rsidR="00764537" w:rsidRPr="008B229A">
        <w:rPr>
          <w:lang w:val="fr-FR"/>
        </w:rPr>
        <w:t xml:space="preserve">international </w:t>
      </w:r>
      <w:r w:rsidR="008B229A" w:rsidRPr="008B229A">
        <w:rPr>
          <w:lang w:val="fr-FR"/>
        </w:rPr>
        <w:t>spécifique</w:t>
      </w:r>
      <w:r w:rsidR="008F70A6" w:rsidRPr="008B229A">
        <w:rPr>
          <w:vertAlign w:val="superscript"/>
          <w:lang w:val="fr-FR"/>
        </w:rPr>
        <w:footnoteReference w:id="4"/>
      </w:r>
      <w:r w:rsidR="00764537" w:rsidRPr="008B229A">
        <w:rPr>
          <w:lang w:val="fr-FR"/>
        </w:rPr>
        <w:t>.</w:t>
      </w:r>
    </w:p>
    <w:p w14:paraId="238DCCEF" w14:textId="6D896A36" w:rsidR="004D0B6A" w:rsidRPr="008B229A" w:rsidRDefault="001007D0" w:rsidP="00E20196">
      <w:pPr>
        <w:pStyle w:val="Normalnumber"/>
        <w:rPr>
          <w:lang w:val="fr-FR"/>
        </w:rPr>
      </w:pPr>
      <w:r w:rsidRPr="008B229A">
        <w:rPr>
          <w:lang w:val="fr-FR"/>
        </w:rPr>
        <w:t>Le tableau</w:t>
      </w:r>
      <w:r w:rsidR="008F70A6">
        <w:rPr>
          <w:lang w:val="fr-FR"/>
        </w:rPr>
        <w:t> </w:t>
      </w:r>
      <w:r w:rsidR="00325915">
        <w:rPr>
          <w:lang w:val="fr-FR"/>
        </w:rPr>
        <w:t>ci-après</w:t>
      </w:r>
      <w:r w:rsidR="00900D32" w:rsidRPr="008B229A">
        <w:rPr>
          <w:lang w:val="fr-FR"/>
        </w:rPr>
        <w:t xml:space="preserve"> </w:t>
      </w:r>
      <w:r w:rsidR="007630EB">
        <w:rPr>
          <w:lang w:val="fr-FR"/>
        </w:rPr>
        <w:t xml:space="preserve">indique les </w:t>
      </w:r>
      <w:r w:rsidRPr="008B229A">
        <w:rPr>
          <w:lang w:val="fr-FR"/>
        </w:rPr>
        <w:t xml:space="preserve">dates </w:t>
      </w:r>
      <w:r w:rsidR="00E46078">
        <w:rPr>
          <w:lang w:val="fr-FR"/>
        </w:rPr>
        <w:t xml:space="preserve">d’élimination et les </w:t>
      </w:r>
      <w:r w:rsidR="004D0B6A" w:rsidRPr="008B229A">
        <w:rPr>
          <w:lang w:val="fr-FR"/>
        </w:rPr>
        <w:t>articles</w:t>
      </w:r>
      <w:r w:rsidR="00E46078">
        <w:rPr>
          <w:lang w:val="fr-FR"/>
        </w:rPr>
        <w:t xml:space="preserve"> correspondants. </w:t>
      </w:r>
    </w:p>
    <w:p w14:paraId="2CEEF9E0" w14:textId="18EF5EDE" w:rsidR="00DA5F41" w:rsidRPr="008B229A" w:rsidRDefault="00DA5F41" w:rsidP="00DA5F41">
      <w:pPr>
        <w:pStyle w:val="Titlefigure"/>
        <w:rPr>
          <w:lang w:val="fr-FR"/>
        </w:rPr>
      </w:pPr>
      <w:r w:rsidRPr="008B229A">
        <w:rPr>
          <w:b w:val="0"/>
          <w:lang w:val="fr-FR"/>
        </w:rPr>
        <w:t>Table</w:t>
      </w:r>
      <w:r w:rsidR="001007D0" w:rsidRPr="008B229A">
        <w:rPr>
          <w:b w:val="0"/>
          <w:lang w:val="fr-FR"/>
        </w:rPr>
        <w:t>au</w:t>
      </w:r>
      <w:r w:rsidR="001E343F">
        <w:rPr>
          <w:b w:val="0"/>
          <w:lang w:val="fr-FR"/>
        </w:rPr>
        <w:t> </w:t>
      </w:r>
      <w:r w:rsidRPr="008B229A">
        <w:rPr>
          <w:b w:val="0"/>
          <w:lang w:val="fr-FR"/>
        </w:rPr>
        <w:t>1</w:t>
      </w:r>
      <w:r w:rsidRPr="008B229A">
        <w:rPr>
          <w:b w:val="0"/>
          <w:lang w:val="fr-FR"/>
        </w:rPr>
        <w:br/>
      </w:r>
      <w:r w:rsidR="001007D0" w:rsidRPr="008B229A">
        <w:rPr>
          <w:lang w:val="fr-FR"/>
        </w:rPr>
        <w:t>D</w:t>
      </w:r>
      <w:r w:rsidR="007630EB">
        <w:rPr>
          <w:lang w:val="fr-FR"/>
        </w:rPr>
        <w:t xml:space="preserve">ates </w:t>
      </w:r>
      <w:r w:rsidR="00E46078">
        <w:rPr>
          <w:lang w:val="fr-FR"/>
        </w:rPr>
        <w:t xml:space="preserve">d’élimination et </w:t>
      </w:r>
      <w:r w:rsidRPr="008B229A">
        <w:rPr>
          <w:lang w:val="fr-FR"/>
        </w:rPr>
        <w:t>articles</w:t>
      </w:r>
      <w:r w:rsidR="001007D0" w:rsidRPr="008B229A">
        <w:rPr>
          <w:lang w:val="fr-FR"/>
        </w:rPr>
        <w:t xml:space="preserve"> co</w:t>
      </w:r>
      <w:r w:rsidR="00E46078">
        <w:rPr>
          <w:lang w:val="fr-FR"/>
        </w:rPr>
        <w:t xml:space="preserve">rrespondants </w:t>
      </w: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3151"/>
        <w:gridCol w:w="3919"/>
      </w:tblGrid>
      <w:tr w:rsidR="00457F03" w:rsidRPr="008B229A" w14:paraId="0B6230C4" w14:textId="77777777" w:rsidTr="00DA5F41">
        <w:tc>
          <w:tcPr>
            <w:tcW w:w="1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1B116C" w14:textId="50F590C4" w:rsidR="00457F03" w:rsidRPr="008B229A" w:rsidRDefault="00457F03" w:rsidP="00DA5F41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i/>
                <w:sz w:val="18"/>
                <w:szCs w:val="18"/>
                <w:lang w:val="fr-FR"/>
              </w:rPr>
            </w:pPr>
            <w:r w:rsidRPr="008B229A">
              <w:rPr>
                <w:i/>
                <w:sz w:val="18"/>
                <w:szCs w:val="18"/>
                <w:lang w:val="fr-FR"/>
              </w:rPr>
              <w:t>Date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7843B6" w14:textId="635B740C" w:rsidR="00457F03" w:rsidRPr="008B229A" w:rsidRDefault="00457F03" w:rsidP="008B229A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i/>
                <w:sz w:val="18"/>
                <w:szCs w:val="18"/>
                <w:lang w:val="fr-FR"/>
              </w:rPr>
            </w:pPr>
            <w:r w:rsidRPr="008B229A">
              <w:rPr>
                <w:i/>
                <w:sz w:val="18"/>
                <w:szCs w:val="18"/>
                <w:lang w:val="fr-FR"/>
              </w:rPr>
              <w:t>Article</w:t>
            </w:r>
            <w:r w:rsidR="008B229A" w:rsidRPr="008B229A">
              <w:rPr>
                <w:i/>
                <w:sz w:val="18"/>
                <w:szCs w:val="18"/>
                <w:lang w:val="fr-FR"/>
              </w:rPr>
              <w:t xml:space="preserve"> et annexe de la</w:t>
            </w:r>
            <w:r w:rsidRPr="008B229A">
              <w:rPr>
                <w:i/>
                <w:sz w:val="18"/>
                <w:szCs w:val="18"/>
                <w:lang w:val="fr-FR"/>
              </w:rPr>
              <w:t xml:space="preserve"> Convention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CA711C" w14:textId="099A60F0" w:rsidR="00457F03" w:rsidRPr="008B229A" w:rsidRDefault="00457F03" w:rsidP="00DA5F41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i/>
                <w:sz w:val="18"/>
                <w:szCs w:val="18"/>
                <w:lang w:val="fr-FR"/>
              </w:rPr>
            </w:pPr>
            <w:r w:rsidRPr="008B229A">
              <w:rPr>
                <w:i/>
                <w:sz w:val="18"/>
                <w:szCs w:val="18"/>
                <w:lang w:val="fr-FR"/>
              </w:rPr>
              <w:t>Description</w:t>
            </w:r>
          </w:p>
        </w:tc>
      </w:tr>
      <w:tr w:rsidR="002B66A3" w:rsidRPr="001D3C3F" w14:paraId="2311ECED" w14:textId="77777777" w:rsidTr="00DA5F41">
        <w:trPr>
          <w:trHeight w:val="494"/>
        </w:trPr>
        <w:tc>
          <w:tcPr>
            <w:tcW w:w="1150" w:type="dxa"/>
            <w:tcBorders>
              <w:top w:val="single" w:sz="12" w:space="0" w:color="auto"/>
            </w:tcBorders>
            <w:shd w:val="clear" w:color="auto" w:fill="auto"/>
          </w:tcPr>
          <w:p w14:paraId="6DFEE0FA" w14:textId="1B515411" w:rsidR="002B66A3" w:rsidRPr="00DA5F41" w:rsidRDefault="002B66A3" w:rsidP="00DA5F41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</w:rPr>
            </w:pPr>
            <w:r w:rsidRPr="00DA5F41">
              <w:rPr>
                <w:sz w:val="18"/>
                <w:szCs w:val="18"/>
              </w:rPr>
              <w:t>2018</w:t>
            </w:r>
          </w:p>
        </w:tc>
        <w:tc>
          <w:tcPr>
            <w:tcW w:w="3151" w:type="dxa"/>
            <w:tcBorders>
              <w:top w:val="single" w:sz="12" w:space="0" w:color="auto"/>
            </w:tcBorders>
            <w:shd w:val="clear" w:color="auto" w:fill="auto"/>
          </w:tcPr>
          <w:p w14:paraId="480255A8" w14:textId="5CB5748C" w:rsidR="002B66A3" w:rsidRPr="00DA5F41" w:rsidRDefault="004B7FCF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</w:rPr>
            </w:pPr>
            <w:r w:rsidRPr="00DA5F41">
              <w:rPr>
                <w:sz w:val="18"/>
                <w:szCs w:val="18"/>
              </w:rPr>
              <w:t>5</w:t>
            </w:r>
            <w:r w:rsidR="009C2177">
              <w:rPr>
                <w:sz w:val="18"/>
                <w:szCs w:val="18"/>
              </w:rPr>
              <w:t xml:space="preserve"> (</w:t>
            </w:r>
            <w:r w:rsidR="002B66A3" w:rsidRPr="00DA5F41">
              <w:rPr>
                <w:sz w:val="18"/>
                <w:szCs w:val="18"/>
              </w:rPr>
              <w:t>2</w:t>
            </w:r>
            <w:r w:rsidR="008B229A">
              <w:rPr>
                <w:sz w:val="18"/>
                <w:szCs w:val="18"/>
              </w:rPr>
              <w:t>) et A</w:t>
            </w:r>
            <w:r w:rsidR="002B66A3" w:rsidRPr="00DA5F41">
              <w:rPr>
                <w:sz w:val="18"/>
                <w:szCs w:val="18"/>
              </w:rPr>
              <w:t>nnex</w:t>
            </w:r>
            <w:r w:rsidR="008B229A">
              <w:rPr>
                <w:sz w:val="18"/>
                <w:szCs w:val="18"/>
              </w:rPr>
              <w:t>e</w:t>
            </w:r>
            <w:r w:rsidR="002B66A3" w:rsidRPr="00DA5F41">
              <w:rPr>
                <w:sz w:val="18"/>
                <w:szCs w:val="18"/>
              </w:rPr>
              <w:t xml:space="preserve"> B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auto"/>
          </w:tcPr>
          <w:p w14:paraId="6609DA8B" w14:textId="6C55ABBE" w:rsidR="002B66A3" w:rsidRPr="001D3C3F" w:rsidRDefault="001D3C3F" w:rsidP="001D3C3F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1D3C3F">
              <w:rPr>
                <w:sz w:val="18"/>
                <w:szCs w:val="18"/>
                <w:lang w:val="fr-FR"/>
              </w:rPr>
              <w:t>Production d’acétaldé</w:t>
            </w:r>
            <w:r w:rsidR="002B66A3" w:rsidRPr="001D3C3F">
              <w:rPr>
                <w:sz w:val="18"/>
                <w:szCs w:val="18"/>
                <w:lang w:val="fr-FR"/>
              </w:rPr>
              <w:t xml:space="preserve">hyde </w:t>
            </w:r>
            <w:r w:rsidRPr="001D3C3F">
              <w:rPr>
                <w:sz w:val="18"/>
                <w:szCs w:val="18"/>
                <w:lang w:val="fr-FR"/>
              </w:rPr>
              <w:t>dans laquelle du mercure ou de</w:t>
            </w:r>
            <w:r>
              <w:rPr>
                <w:sz w:val="18"/>
                <w:szCs w:val="18"/>
                <w:lang w:val="fr-FR"/>
              </w:rPr>
              <w:t>s</w:t>
            </w:r>
            <w:r w:rsidRPr="001D3C3F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composé</w:t>
            </w:r>
            <w:r w:rsidRPr="001D3C3F">
              <w:rPr>
                <w:sz w:val="18"/>
                <w:szCs w:val="18"/>
                <w:lang w:val="fr-FR"/>
              </w:rPr>
              <w:t>s du mercure</w:t>
            </w:r>
            <w:r>
              <w:rPr>
                <w:sz w:val="18"/>
                <w:szCs w:val="18"/>
                <w:lang w:val="fr-FR"/>
              </w:rPr>
              <w:t xml:space="preserve"> sont utilisés comme catalyseurs. </w:t>
            </w:r>
          </w:p>
        </w:tc>
      </w:tr>
      <w:tr w:rsidR="003F3DD9" w:rsidRPr="00262AD6" w14:paraId="6D55819B" w14:textId="77777777" w:rsidTr="00DA5F41">
        <w:tc>
          <w:tcPr>
            <w:tcW w:w="1150" w:type="dxa"/>
            <w:vMerge w:val="restart"/>
            <w:shd w:val="clear" w:color="auto" w:fill="auto"/>
          </w:tcPr>
          <w:p w14:paraId="7AF1DE78" w14:textId="0459FDE4" w:rsidR="003F3DD9" w:rsidRPr="001D3C3F" w:rsidRDefault="003F3DD9" w:rsidP="00DA5F41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1D3C3F">
              <w:rPr>
                <w:sz w:val="18"/>
                <w:szCs w:val="18"/>
                <w:lang w:val="fr-FR"/>
              </w:rPr>
              <w:t>2020</w:t>
            </w:r>
          </w:p>
        </w:tc>
        <w:tc>
          <w:tcPr>
            <w:tcW w:w="3151" w:type="dxa"/>
            <w:shd w:val="clear" w:color="auto" w:fill="auto"/>
          </w:tcPr>
          <w:p w14:paraId="2BF0A77E" w14:textId="63E3E16E" w:rsidR="003F3DD9" w:rsidRPr="001D3C3F" w:rsidRDefault="003F3DD9" w:rsidP="008B229A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1D3C3F">
              <w:rPr>
                <w:sz w:val="18"/>
                <w:szCs w:val="18"/>
                <w:lang w:val="fr-FR"/>
              </w:rPr>
              <w:t>4</w:t>
            </w:r>
            <w:r w:rsidR="009C2177" w:rsidRPr="001D3C3F">
              <w:rPr>
                <w:sz w:val="18"/>
                <w:szCs w:val="18"/>
                <w:lang w:val="fr-FR"/>
              </w:rPr>
              <w:t xml:space="preserve"> (</w:t>
            </w:r>
            <w:r w:rsidRPr="001D3C3F">
              <w:rPr>
                <w:sz w:val="18"/>
                <w:szCs w:val="18"/>
                <w:lang w:val="fr-FR"/>
              </w:rPr>
              <w:t>1</w:t>
            </w:r>
            <w:r w:rsidR="009C2177" w:rsidRPr="001D3C3F">
              <w:rPr>
                <w:sz w:val="18"/>
                <w:szCs w:val="18"/>
                <w:lang w:val="fr-FR"/>
              </w:rPr>
              <w:t xml:space="preserve">) </w:t>
            </w:r>
            <w:r w:rsidR="008B229A" w:rsidRPr="001D3C3F">
              <w:rPr>
                <w:sz w:val="18"/>
                <w:szCs w:val="18"/>
                <w:lang w:val="fr-FR"/>
              </w:rPr>
              <w:t>et A</w:t>
            </w:r>
            <w:r w:rsidRPr="001D3C3F">
              <w:rPr>
                <w:sz w:val="18"/>
                <w:szCs w:val="18"/>
                <w:lang w:val="fr-FR"/>
              </w:rPr>
              <w:t>nnex</w:t>
            </w:r>
            <w:r w:rsidR="008B229A" w:rsidRPr="001D3C3F">
              <w:rPr>
                <w:sz w:val="18"/>
                <w:szCs w:val="18"/>
                <w:lang w:val="fr-FR"/>
              </w:rPr>
              <w:t>e</w:t>
            </w:r>
            <w:r w:rsidRPr="001D3C3F">
              <w:rPr>
                <w:sz w:val="18"/>
                <w:szCs w:val="18"/>
                <w:lang w:val="fr-FR"/>
              </w:rPr>
              <w:t xml:space="preserve"> A</w:t>
            </w:r>
          </w:p>
        </w:tc>
        <w:tc>
          <w:tcPr>
            <w:tcW w:w="3919" w:type="dxa"/>
            <w:shd w:val="clear" w:color="auto" w:fill="auto"/>
          </w:tcPr>
          <w:p w14:paraId="4A565707" w14:textId="1C0E4A3A" w:rsidR="003F3DD9" w:rsidRPr="00262AD6" w:rsidRDefault="001D3C3F" w:rsidP="007630EB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62AD6">
              <w:rPr>
                <w:sz w:val="18"/>
                <w:szCs w:val="18"/>
                <w:lang w:val="fr-FR"/>
              </w:rPr>
              <w:t>La fabrication, l’</w:t>
            </w:r>
            <w:r w:rsidR="003F3DD9" w:rsidRPr="00262AD6">
              <w:rPr>
                <w:sz w:val="18"/>
                <w:szCs w:val="18"/>
                <w:lang w:val="fr-FR"/>
              </w:rPr>
              <w:t>import</w:t>
            </w:r>
            <w:r w:rsidRPr="00262AD6">
              <w:rPr>
                <w:sz w:val="18"/>
                <w:szCs w:val="18"/>
                <w:lang w:val="fr-FR"/>
              </w:rPr>
              <w:t>ation ou l’</w:t>
            </w:r>
            <w:r w:rsidR="003F3DD9" w:rsidRPr="00262AD6">
              <w:rPr>
                <w:sz w:val="18"/>
                <w:szCs w:val="18"/>
                <w:lang w:val="fr-FR"/>
              </w:rPr>
              <w:t>export</w:t>
            </w:r>
            <w:r w:rsidR="007630EB">
              <w:rPr>
                <w:sz w:val="18"/>
                <w:szCs w:val="18"/>
                <w:lang w:val="fr-FR"/>
              </w:rPr>
              <w:t>ation d’un certain nombre de</w:t>
            </w:r>
            <w:r w:rsidRPr="00262AD6">
              <w:rPr>
                <w:sz w:val="18"/>
                <w:szCs w:val="18"/>
                <w:lang w:val="fr-FR"/>
              </w:rPr>
              <w:t xml:space="preserve"> produits contenant du mercure ajouté ne sont pas autorisées </w:t>
            </w:r>
            <w:r w:rsidR="003F3DD9" w:rsidRPr="00262AD6">
              <w:rPr>
                <w:sz w:val="18"/>
                <w:szCs w:val="18"/>
                <w:lang w:val="fr-FR"/>
              </w:rPr>
              <w:t>(</w:t>
            </w:r>
            <w:r w:rsidR="007630EB">
              <w:rPr>
                <w:sz w:val="18"/>
                <w:szCs w:val="18"/>
                <w:lang w:val="fr-FR"/>
              </w:rPr>
              <w:t xml:space="preserve">notamment les </w:t>
            </w:r>
            <w:r w:rsidR="00262AD6" w:rsidRPr="00262AD6">
              <w:rPr>
                <w:sz w:val="18"/>
                <w:szCs w:val="18"/>
                <w:lang w:val="fr-FR"/>
              </w:rPr>
              <w:t xml:space="preserve">piles, </w:t>
            </w:r>
            <w:r w:rsidR="00262AD6">
              <w:rPr>
                <w:sz w:val="18"/>
                <w:szCs w:val="18"/>
                <w:lang w:val="fr-FR"/>
              </w:rPr>
              <w:t xml:space="preserve">commutateurs et relais, lampes fluorescentes </w:t>
            </w:r>
            <w:r w:rsidR="003F3DD9" w:rsidRPr="00262AD6">
              <w:rPr>
                <w:sz w:val="18"/>
                <w:szCs w:val="18"/>
                <w:lang w:val="fr-FR"/>
              </w:rPr>
              <w:t>compact</w:t>
            </w:r>
            <w:r w:rsidR="00262AD6">
              <w:rPr>
                <w:sz w:val="18"/>
                <w:szCs w:val="18"/>
                <w:lang w:val="fr-FR"/>
              </w:rPr>
              <w:t xml:space="preserve">es et tubes </w:t>
            </w:r>
            <w:r w:rsidR="003F3DD9" w:rsidRPr="00262AD6">
              <w:rPr>
                <w:sz w:val="18"/>
                <w:szCs w:val="18"/>
                <w:lang w:val="fr-FR"/>
              </w:rPr>
              <w:t>fluorescent</w:t>
            </w:r>
            <w:r w:rsidR="00262AD6">
              <w:rPr>
                <w:sz w:val="18"/>
                <w:szCs w:val="18"/>
                <w:lang w:val="fr-FR"/>
              </w:rPr>
              <w:t>s linéaires, lampes à vapeur de mercure sous haute pression</w:t>
            </w:r>
            <w:r w:rsidR="003F3DD9" w:rsidRPr="00262AD6">
              <w:rPr>
                <w:sz w:val="18"/>
                <w:szCs w:val="18"/>
                <w:lang w:val="fr-FR"/>
              </w:rPr>
              <w:t xml:space="preserve">, </w:t>
            </w:r>
            <w:r w:rsidR="00262AD6">
              <w:rPr>
                <w:sz w:val="18"/>
                <w:szCs w:val="18"/>
                <w:lang w:val="fr-FR"/>
              </w:rPr>
              <w:t xml:space="preserve">lampes </w:t>
            </w:r>
            <w:r w:rsidR="003F3DD9" w:rsidRPr="00262AD6">
              <w:rPr>
                <w:sz w:val="18"/>
                <w:szCs w:val="18"/>
                <w:lang w:val="fr-FR"/>
              </w:rPr>
              <w:lastRenderedPageBreak/>
              <w:t>fluorescent</w:t>
            </w:r>
            <w:r w:rsidR="00262AD6">
              <w:rPr>
                <w:sz w:val="18"/>
                <w:szCs w:val="18"/>
                <w:lang w:val="fr-FR"/>
              </w:rPr>
              <w:t>es à cathode froide et lampes fluorescentes à électrodes externes pour affichages électroniques, cosmé</w:t>
            </w:r>
            <w:r w:rsidR="003F3DD9" w:rsidRPr="00262AD6">
              <w:rPr>
                <w:sz w:val="18"/>
                <w:szCs w:val="18"/>
                <w:lang w:val="fr-FR"/>
              </w:rPr>
              <w:t>ti</w:t>
            </w:r>
            <w:r w:rsidR="00262AD6">
              <w:rPr>
                <w:sz w:val="18"/>
                <w:szCs w:val="18"/>
                <w:lang w:val="fr-FR"/>
              </w:rPr>
              <w:t>que</w:t>
            </w:r>
            <w:r w:rsidR="003F3DD9" w:rsidRPr="00262AD6">
              <w:rPr>
                <w:sz w:val="18"/>
                <w:szCs w:val="18"/>
                <w:lang w:val="fr-FR"/>
              </w:rPr>
              <w:t>s, pesticides</w:t>
            </w:r>
            <w:r w:rsidR="005023B8" w:rsidRPr="00262AD6">
              <w:rPr>
                <w:sz w:val="18"/>
                <w:szCs w:val="18"/>
                <w:lang w:val="fr-FR"/>
              </w:rPr>
              <w:t>, biocides</w:t>
            </w:r>
            <w:r w:rsidR="00262AD6">
              <w:rPr>
                <w:sz w:val="18"/>
                <w:szCs w:val="18"/>
                <w:lang w:val="fr-FR"/>
              </w:rPr>
              <w:t xml:space="preserve"> et antiseptiques locaux</w:t>
            </w:r>
            <w:r w:rsidR="003F3DD9" w:rsidRPr="00262AD6">
              <w:rPr>
                <w:sz w:val="18"/>
                <w:szCs w:val="18"/>
                <w:lang w:val="fr-FR"/>
              </w:rPr>
              <w:t xml:space="preserve">, </w:t>
            </w:r>
            <w:r w:rsidR="00262AD6">
              <w:rPr>
                <w:sz w:val="18"/>
                <w:szCs w:val="18"/>
                <w:lang w:val="fr-FR"/>
              </w:rPr>
              <w:t>ainsi que baromètres, hygromètres, manomètres, thermomètres et sphygmomanomètres).</w:t>
            </w:r>
          </w:p>
        </w:tc>
      </w:tr>
      <w:tr w:rsidR="003F3DD9" w:rsidRPr="00E152B7" w14:paraId="15C06F5A" w14:textId="77777777" w:rsidTr="00DA5F41">
        <w:tc>
          <w:tcPr>
            <w:tcW w:w="1150" w:type="dxa"/>
            <w:vMerge/>
            <w:shd w:val="clear" w:color="auto" w:fill="auto"/>
          </w:tcPr>
          <w:p w14:paraId="01BAFF31" w14:textId="2EF20666" w:rsidR="003F3DD9" w:rsidRPr="00262AD6" w:rsidRDefault="003F3DD9" w:rsidP="00DA5F41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  <w:lang w:val="fr-FR"/>
              </w:rPr>
            </w:pPr>
          </w:p>
        </w:tc>
        <w:tc>
          <w:tcPr>
            <w:tcW w:w="3151" w:type="dxa"/>
            <w:vMerge w:val="restart"/>
            <w:shd w:val="clear" w:color="auto" w:fill="auto"/>
          </w:tcPr>
          <w:p w14:paraId="4C5DF1D4" w14:textId="33D68A3E" w:rsidR="003F3DD9" w:rsidRPr="00DA5F41" w:rsidRDefault="003F3DD9" w:rsidP="008B229A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</w:rPr>
            </w:pPr>
            <w:r w:rsidRPr="00DA5F41">
              <w:rPr>
                <w:sz w:val="18"/>
                <w:szCs w:val="18"/>
              </w:rPr>
              <w:t>5</w:t>
            </w:r>
            <w:r w:rsidR="009C2177">
              <w:rPr>
                <w:sz w:val="18"/>
                <w:szCs w:val="18"/>
              </w:rPr>
              <w:t xml:space="preserve"> (</w:t>
            </w:r>
            <w:r w:rsidRPr="00DA5F41">
              <w:rPr>
                <w:sz w:val="18"/>
                <w:szCs w:val="18"/>
              </w:rPr>
              <w:t>3</w:t>
            </w:r>
            <w:r w:rsidR="009C2177">
              <w:rPr>
                <w:sz w:val="18"/>
                <w:szCs w:val="18"/>
              </w:rPr>
              <w:t xml:space="preserve">) </w:t>
            </w:r>
            <w:r w:rsidR="008B229A">
              <w:rPr>
                <w:sz w:val="18"/>
                <w:szCs w:val="18"/>
              </w:rPr>
              <w:t>et A</w:t>
            </w:r>
            <w:r w:rsidRPr="00DA5F41">
              <w:rPr>
                <w:sz w:val="18"/>
                <w:szCs w:val="18"/>
              </w:rPr>
              <w:t>nnex</w:t>
            </w:r>
            <w:r w:rsidR="008B229A">
              <w:rPr>
                <w:sz w:val="18"/>
                <w:szCs w:val="18"/>
              </w:rPr>
              <w:t>e</w:t>
            </w:r>
            <w:r w:rsidRPr="00DA5F41">
              <w:rPr>
                <w:sz w:val="18"/>
                <w:szCs w:val="18"/>
              </w:rPr>
              <w:t xml:space="preserve"> B</w:t>
            </w:r>
          </w:p>
        </w:tc>
        <w:tc>
          <w:tcPr>
            <w:tcW w:w="3919" w:type="dxa"/>
            <w:shd w:val="clear" w:color="auto" w:fill="auto"/>
          </w:tcPr>
          <w:p w14:paraId="7DDCAC06" w14:textId="3D9AA8B5" w:rsidR="003F3DD9" w:rsidRPr="00E152B7" w:rsidRDefault="00E152B7" w:rsidP="00E152B7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E152B7">
              <w:rPr>
                <w:sz w:val="18"/>
                <w:szCs w:val="18"/>
                <w:lang w:val="fr-FR"/>
              </w:rPr>
              <w:t xml:space="preserve">S’agissant de la production de chlorure de </w:t>
            </w:r>
            <w:r w:rsidR="003F3DD9" w:rsidRPr="00E152B7">
              <w:rPr>
                <w:sz w:val="18"/>
                <w:szCs w:val="18"/>
                <w:lang w:val="fr-FR"/>
              </w:rPr>
              <w:t>vinyl</w:t>
            </w:r>
            <w:r w:rsidRPr="00E152B7">
              <w:rPr>
                <w:sz w:val="18"/>
                <w:szCs w:val="18"/>
                <w:lang w:val="fr-FR"/>
              </w:rPr>
              <w:t>e</w:t>
            </w:r>
            <w:r w:rsidR="003F3DD9" w:rsidRPr="00E152B7">
              <w:rPr>
                <w:sz w:val="18"/>
                <w:szCs w:val="18"/>
                <w:lang w:val="fr-FR"/>
              </w:rPr>
              <w:t xml:space="preserve"> </w:t>
            </w:r>
            <w:r w:rsidRPr="00E152B7">
              <w:rPr>
                <w:sz w:val="18"/>
                <w:szCs w:val="18"/>
                <w:lang w:val="fr-FR"/>
              </w:rPr>
              <w:t xml:space="preserve">monomère, réduire, d’ici à 2020, l’utilisation de mercure de </w:t>
            </w:r>
            <w:r w:rsidR="003F3DD9" w:rsidRPr="00E152B7">
              <w:rPr>
                <w:sz w:val="18"/>
                <w:szCs w:val="18"/>
                <w:lang w:val="fr-FR"/>
              </w:rPr>
              <w:t xml:space="preserve">50 </w:t>
            </w:r>
            <w:r w:rsidRPr="00E152B7">
              <w:rPr>
                <w:sz w:val="18"/>
                <w:szCs w:val="18"/>
                <w:lang w:val="fr-FR"/>
              </w:rPr>
              <w:t xml:space="preserve">% par unité de production par rapport à l’année </w:t>
            </w:r>
            <w:r w:rsidR="003F3DD9" w:rsidRPr="00E152B7">
              <w:rPr>
                <w:sz w:val="18"/>
                <w:szCs w:val="18"/>
                <w:lang w:val="fr-FR"/>
              </w:rPr>
              <w:t>2010</w:t>
            </w:r>
            <w:r w:rsidRPr="00E152B7">
              <w:rPr>
                <w:sz w:val="18"/>
                <w:szCs w:val="18"/>
                <w:lang w:val="fr-FR"/>
              </w:rPr>
              <w:t>.</w:t>
            </w:r>
          </w:p>
        </w:tc>
      </w:tr>
      <w:tr w:rsidR="003F3DD9" w:rsidRPr="00E152B7" w14:paraId="6B9FBEA7" w14:textId="77777777" w:rsidTr="00DA5F41">
        <w:tc>
          <w:tcPr>
            <w:tcW w:w="1150" w:type="dxa"/>
            <w:vMerge/>
            <w:shd w:val="clear" w:color="auto" w:fill="auto"/>
          </w:tcPr>
          <w:p w14:paraId="3E271612" w14:textId="241662FB" w:rsidR="003F3DD9" w:rsidRPr="00E152B7" w:rsidRDefault="003F3DD9" w:rsidP="00DA5F41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  <w:lang w:val="fr-FR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14:paraId="7C868A00" w14:textId="0432EBD9" w:rsidR="003F3DD9" w:rsidRPr="00E152B7" w:rsidRDefault="003F3DD9" w:rsidP="00DA5F41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  <w:lang w:val="fr-FR"/>
              </w:rPr>
            </w:pPr>
          </w:p>
        </w:tc>
        <w:tc>
          <w:tcPr>
            <w:tcW w:w="3919" w:type="dxa"/>
            <w:shd w:val="clear" w:color="auto" w:fill="auto"/>
          </w:tcPr>
          <w:p w14:paraId="50691D8E" w14:textId="5355637E" w:rsidR="003F3DD9" w:rsidRPr="00E152B7" w:rsidRDefault="00E152B7" w:rsidP="00E152B7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E152B7">
              <w:rPr>
                <w:sz w:val="18"/>
                <w:szCs w:val="18"/>
                <w:lang w:val="fr-FR"/>
              </w:rPr>
              <w:t>S’agissant de la production de méthylate ou d’é</w:t>
            </w:r>
            <w:r w:rsidR="003F3DD9" w:rsidRPr="00E152B7">
              <w:rPr>
                <w:sz w:val="18"/>
                <w:szCs w:val="18"/>
                <w:lang w:val="fr-FR"/>
              </w:rPr>
              <w:t>thylate</w:t>
            </w:r>
            <w:r w:rsidRPr="00E152B7">
              <w:rPr>
                <w:sz w:val="18"/>
                <w:szCs w:val="18"/>
                <w:lang w:val="fr-FR"/>
              </w:rPr>
              <w:t xml:space="preserve"> de sodium ou de potassium</w:t>
            </w:r>
            <w:r w:rsidR="00630927" w:rsidRPr="00E152B7">
              <w:rPr>
                <w:sz w:val="18"/>
                <w:szCs w:val="18"/>
                <w:lang w:val="fr-FR"/>
              </w:rPr>
              <w:t>,</w:t>
            </w:r>
            <w:r w:rsidR="003F3DD9" w:rsidRPr="00E152B7">
              <w:rPr>
                <w:sz w:val="18"/>
                <w:szCs w:val="18"/>
                <w:lang w:val="fr-FR"/>
              </w:rPr>
              <w:t xml:space="preserve"> </w:t>
            </w:r>
            <w:r w:rsidRPr="00E152B7">
              <w:rPr>
                <w:sz w:val="18"/>
                <w:szCs w:val="18"/>
                <w:lang w:val="fr-FR"/>
              </w:rPr>
              <w:t>réduire, d’ici à 2020, les é</w:t>
            </w:r>
            <w:r w:rsidR="003F3DD9" w:rsidRPr="00E152B7">
              <w:rPr>
                <w:sz w:val="18"/>
                <w:szCs w:val="18"/>
                <w:lang w:val="fr-FR"/>
              </w:rPr>
              <w:t>missions</w:t>
            </w:r>
            <w:r w:rsidRPr="00E152B7">
              <w:rPr>
                <w:sz w:val="18"/>
                <w:szCs w:val="18"/>
                <w:lang w:val="fr-FR"/>
              </w:rPr>
              <w:t xml:space="preserve"> et les rejets de </w:t>
            </w:r>
            <w:r w:rsidR="003F3DD9" w:rsidRPr="00E152B7">
              <w:rPr>
                <w:sz w:val="18"/>
                <w:szCs w:val="18"/>
                <w:lang w:val="fr-FR"/>
              </w:rPr>
              <w:t xml:space="preserve">50 </w:t>
            </w:r>
            <w:r w:rsidRPr="00E152B7">
              <w:rPr>
                <w:sz w:val="18"/>
                <w:szCs w:val="18"/>
                <w:lang w:val="fr-FR"/>
              </w:rPr>
              <w:t>% par unité de production par rapport à l’année</w:t>
            </w:r>
            <w:r w:rsidR="00607DD3" w:rsidRPr="00E152B7">
              <w:rPr>
                <w:sz w:val="18"/>
                <w:szCs w:val="18"/>
                <w:lang w:val="fr-FR"/>
              </w:rPr>
              <w:t xml:space="preserve"> </w:t>
            </w:r>
            <w:r w:rsidR="003F3DD9" w:rsidRPr="00E152B7">
              <w:rPr>
                <w:sz w:val="18"/>
                <w:szCs w:val="18"/>
                <w:lang w:val="fr-FR"/>
              </w:rPr>
              <w:t>2010</w:t>
            </w:r>
            <w:r w:rsidRPr="00E152B7">
              <w:rPr>
                <w:sz w:val="18"/>
                <w:szCs w:val="18"/>
                <w:lang w:val="fr-FR"/>
              </w:rPr>
              <w:t>.</w:t>
            </w:r>
          </w:p>
        </w:tc>
      </w:tr>
      <w:tr w:rsidR="002B66A3" w:rsidRPr="00DA5F41" w14:paraId="25DB50EB" w14:textId="77777777" w:rsidTr="00DA5F41">
        <w:tc>
          <w:tcPr>
            <w:tcW w:w="1150" w:type="dxa"/>
            <w:shd w:val="clear" w:color="auto" w:fill="auto"/>
          </w:tcPr>
          <w:p w14:paraId="127C7BFB" w14:textId="29E03BBB" w:rsidR="002B66A3" w:rsidRPr="00DA5F41" w:rsidRDefault="002B66A3" w:rsidP="00DA5F41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</w:rPr>
            </w:pPr>
            <w:r w:rsidRPr="00DA5F41">
              <w:rPr>
                <w:sz w:val="18"/>
                <w:szCs w:val="18"/>
              </w:rPr>
              <w:t>2025</w:t>
            </w:r>
          </w:p>
        </w:tc>
        <w:tc>
          <w:tcPr>
            <w:tcW w:w="3151" w:type="dxa"/>
            <w:shd w:val="clear" w:color="auto" w:fill="auto"/>
          </w:tcPr>
          <w:p w14:paraId="3891ED39" w14:textId="666E5043" w:rsidR="002B66A3" w:rsidRPr="00DA5F41" w:rsidRDefault="004B7FCF" w:rsidP="008B229A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</w:rPr>
            </w:pPr>
            <w:r w:rsidRPr="00DA5F41">
              <w:rPr>
                <w:sz w:val="18"/>
                <w:szCs w:val="18"/>
              </w:rPr>
              <w:t>5</w:t>
            </w:r>
            <w:r w:rsidR="009C2177">
              <w:rPr>
                <w:sz w:val="18"/>
                <w:szCs w:val="18"/>
              </w:rPr>
              <w:t xml:space="preserve"> (</w:t>
            </w:r>
            <w:r w:rsidR="002B66A3" w:rsidRPr="00DA5F41">
              <w:rPr>
                <w:sz w:val="18"/>
                <w:szCs w:val="18"/>
              </w:rPr>
              <w:t>2</w:t>
            </w:r>
            <w:r w:rsidR="009C2177">
              <w:rPr>
                <w:sz w:val="18"/>
                <w:szCs w:val="18"/>
              </w:rPr>
              <w:t>)</w:t>
            </w:r>
            <w:r w:rsidR="008B229A">
              <w:rPr>
                <w:sz w:val="18"/>
                <w:szCs w:val="18"/>
              </w:rPr>
              <w:t xml:space="preserve"> et A</w:t>
            </w:r>
            <w:r w:rsidR="002B66A3" w:rsidRPr="00DA5F41">
              <w:rPr>
                <w:sz w:val="18"/>
                <w:szCs w:val="18"/>
              </w:rPr>
              <w:t>nnex</w:t>
            </w:r>
            <w:r w:rsidR="008B229A">
              <w:rPr>
                <w:sz w:val="18"/>
                <w:szCs w:val="18"/>
              </w:rPr>
              <w:t>e</w:t>
            </w:r>
            <w:r w:rsidR="002B66A3" w:rsidRPr="00DA5F41">
              <w:rPr>
                <w:sz w:val="18"/>
                <w:szCs w:val="18"/>
              </w:rPr>
              <w:t xml:space="preserve"> B</w:t>
            </w:r>
          </w:p>
        </w:tc>
        <w:tc>
          <w:tcPr>
            <w:tcW w:w="3919" w:type="dxa"/>
            <w:shd w:val="clear" w:color="auto" w:fill="auto"/>
          </w:tcPr>
          <w:p w14:paraId="4CAD0D12" w14:textId="2189E493" w:rsidR="002B66A3" w:rsidRPr="00E152B7" w:rsidRDefault="008B229A" w:rsidP="00DA5F41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E152B7">
              <w:rPr>
                <w:sz w:val="18"/>
                <w:szCs w:val="18"/>
                <w:lang w:val="fr-FR"/>
              </w:rPr>
              <w:t>Production de chlore-</w:t>
            </w:r>
            <w:r w:rsidR="00E152B7" w:rsidRPr="00E152B7">
              <w:rPr>
                <w:sz w:val="18"/>
                <w:szCs w:val="18"/>
                <w:lang w:val="fr-FR"/>
              </w:rPr>
              <w:t>alc</w:t>
            </w:r>
            <w:r w:rsidR="0017600F" w:rsidRPr="00E152B7">
              <w:rPr>
                <w:sz w:val="18"/>
                <w:szCs w:val="18"/>
                <w:lang w:val="fr-FR"/>
              </w:rPr>
              <w:t>ali</w:t>
            </w:r>
            <w:r w:rsidRPr="00E152B7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2B66A3" w:rsidRPr="001D3C3F" w14:paraId="18849DB9" w14:textId="77777777" w:rsidTr="00DA5F41">
        <w:trPr>
          <w:trHeight w:val="784"/>
        </w:trPr>
        <w:tc>
          <w:tcPr>
            <w:tcW w:w="1150" w:type="dxa"/>
            <w:tcBorders>
              <w:bottom w:val="single" w:sz="12" w:space="0" w:color="auto"/>
            </w:tcBorders>
            <w:shd w:val="clear" w:color="auto" w:fill="auto"/>
          </w:tcPr>
          <w:p w14:paraId="69BC17FE" w14:textId="4C06FFC4" w:rsidR="002B66A3" w:rsidRPr="00DA5F41" w:rsidRDefault="004B7FCF" w:rsidP="00DA5F41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</w:rPr>
            </w:pPr>
            <w:r w:rsidRPr="00DA5F41">
              <w:rPr>
                <w:sz w:val="18"/>
                <w:szCs w:val="18"/>
              </w:rPr>
              <w:t>2027</w:t>
            </w:r>
          </w:p>
        </w:tc>
        <w:tc>
          <w:tcPr>
            <w:tcW w:w="3151" w:type="dxa"/>
            <w:tcBorders>
              <w:bottom w:val="single" w:sz="12" w:space="0" w:color="auto"/>
            </w:tcBorders>
            <w:shd w:val="clear" w:color="auto" w:fill="auto"/>
          </w:tcPr>
          <w:p w14:paraId="18FA8DA5" w14:textId="75BB0862" w:rsidR="002B66A3" w:rsidRPr="00DA5F41" w:rsidRDefault="003F3DD9" w:rsidP="008B229A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</w:rPr>
            </w:pPr>
            <w:r w:rsidRPr="00DA5F41">
              <w:rPr>
                <w:sz w:val="18"/>
                <w:szCs w:val="18"/>
              </w:rPr>
              <w:t>5</w:t>
            </w:r>
            <w:r w:rsidR="009C2177">
              <w:rPr>
                <w:sz w:val="18"/>
                <w:szCs w:val="18"/>
              </w:rPr>
              <w:t xml:space="preserve"> (</w:t>
            </w:r>
            <w:r w:rsidRPr="00DA5F41">
              <w:rPr>
                <w:sz w:val="18"/>
                <w:szCs w:val="18"/>
              </w:rPr>
              <w:t>3</w:t>
            </w:r>
            <w:r w:rsidR="009C2177">
              <w:rPr>
                <w:sz w:val="18"/>
                <w:szCs w:val="18"/>
              </w:rPr>
              <w:t>)</w:t>
            </w:r>
            <w:r w:rsidR="008B229A">
              <w:rPr>
                <w:sz w:val="18"/>
                <w:szCs w:val="18"/>
              </w:rPr>
              <w:t xml:space="preserve"> et A</w:t>
            </w:r>
            <w:r w:rsidRPr="00DA5F41">
              <w:rPr>
                <w:sz w:val="18"/>
                <w:szCs w:val="18"/>
              </w:rPr>
              <w:t>nnex</w:t>
            </w:r>
            <w:r w:rsidR="008B229A">
              <w:rPr>
                <w:sz w:val="18"/>
                <w:szCs w:val="18"/>
              </w:rPr>
              <w:t>e</w:t>
            </w:r>
            <w:r w:rsidRPr="00DA5F41">
              <w:rPr>
                <w:sz w:val="18"/>
                <w:szCs w:val="18"/>
              </w:rPr>
              <w:t xml:space="preserve"> B</w:t>
            </w:r>
          </w:p>
        </w:tc>
        <w:tc>
          <w:tcPr>
            <w:tcW w:w="3919" w:type="dxa"/>
            <w:tcBorders>
              <w:bottom w:val="single" w:sz="12" w:space="0" w:color="auto"/>
            </w:tcBorders>
            <w:shd w:val="clear" w:color="auto" w:fill="auto"/>
          </w:tcPr>
          <w:p w14:paraId="6FF15632" w14:textId="337F386A" w:rsidR="002B66A3" w:rsidRPr="001D3C3F" w:rsidRDefault="001D3C3F" w:rsidP="001D3C3F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814"/>
                <w:tab w:val="left" w:pos="624"/>
                <w:tab w:val="left" w:pos="1134"/>
                <w:tab w:val="left" w:pos="3119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1D3C3F">
              <w:rPr>
                <w:sz w:val="18"/>
                <w:szCs w:val="18"/>
                <w:lang w:val="fr-FR"/>
              </w:rPr>
              <w:t>S’agissant de la production de méthylate ou d’éthylate de sodium ou de potassium, réduire l’utilisation de mercure dans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1D3C3F">
              <w:rPr>
                <w:sz w:val="18"/>
                <w:szCs w:val="18"/>
                <w:lang w:val="fr-FR"/>
              </w:rPr>
              <w:t xml:space="preserve">le but de la faire cesser le plus </w:t>
            </w:r>
            <w:r>
              <w:rPr>
                <w:sz w:val="18"/>
                <w:szCs w:val="18"/>
                <w:lang w:val="fr-FR"/>
              </w:rPr>
              <w:t>rapidement possible et au plus tard</w:t>
            </w:r>
            <w:r w:rsidR="004B7FCF" w:rsidRPr="001D3C3F">
              <w:rPr>
                <w:sz w:val="18"/>
                <w:szCs w:val="18"/>
                <w:lang w:val="fr-FR"/>
              </w:rPr>
              <w:t xml:space="preserve"> 10 </w:t>
            </w:r>
            <w:r>
              <w:rPr>
                <w:sz w:val="18"/>
                <w:szCs w:val="18"/>
                <w:lang w:val="fr-FR"/>
              </w:rPr>
              <w:t xml:space="preserve">ans après l’entrée en vigueur de la </w:t>
            </w:r>
            <w:r w:rsidR="004B7FCF" w:rsidRPr="001D3C3F">
              <w:rPr>
                <w:sz w:val="18"/>
                <w:szCs w:val="18"/>
                <w:lang w:val="fr-FR"/>
              </w:rPr>
              <w:t>Convention</w:t>
            </w:r>
            <w:r>
              <w:rPr>
                <w:sz w:val="18"/>
                <w:szCs w:val="18"/>
                <w:lang w:val="fr-FR"/>
              </w:rPr>
              <w:t>.</w:t>
            </w:r>
          </w:p>
        </w:tc>
      </w:tr>
    </w:tbl>
    <w:p w14:paraId="7596F540" w14:textId="13C1950B" w:rsidR="00EA291A" w:rsidRPr="008B229A" w:rsidRDefault="008B229A" w:rsidP="0029126E">
      <w:pPr>
        <w:pStyle w:val="Normalnumber"/>
        <w:spacing w:before="120"/>
        <w:rPr>
          <w:lang w:val="fr-FR"/>
        </w:rPr>
      </w:pPr>
      <w:r w:rsidRPr="008B229A">
        <w:rPr>
          <w:lang w:val="fr-FR"/>
        </w:rPr>
        <w:t xml:space="preserve">L’obligation de </w:t>
      </w:r>
      <w:r w:rsidR="004A30FA">
        <w:rPr>
          <w:lang w:val="fr-FR"/>
        </w:rPr>
        <w:t xml:space="preserve">faire rapport </w:t>
      </w:r>
      <w:r w:rsidRPr="008B229A">
        <w:rPr>
          <w:lang w:val="fr-FR"/>
        </w:rPr>
        <w:t>au titre de l’</w:t>
      </w:r>
      <w:r w:rsidR="008E1572" w:rsidRPr="008B229A">
        <w:rPr>
          <w:lang w:val="fr-FR"/>
        </w:rPr>
        <w:t>a</w:t>
      </w:r>
      <w:r w:rsidR="00EA291A" w:rsidRPr="008B229A">
        <w:rPr>
          <w:lang w:val="fr-FR"/>
        </w:rPr>
        <w:t>rticle</w:t>
      </w:r>
      <w:r w:rsidR="001E343F">
        <w:rPr>
          <w:lang w:val="fr-FR"/>
        </w:rPr>
        <w:t> </w:t>
      </w:r>
      <w:r w:rsidR="00EA291A" w:rsidRPr="008B229A">
        <w:rPr>
          <w:lang w:val="fr-FR"/>
        </w:rPr>
        <w:t>21</w:t>
      </w:r>
      <w:r w:rsidRPr="008B229A">
        <w:rPr>
          <w:lang w:val="fr-FR"/>
        </w:rPr>
        <w:t xml:space="preserve"> n’a pas été incluse dans le </w:t>
      </w:r>
      <w:r w:rsidR="00EA291A" w:rsidRPr="008B229A">
        <w:rPr>
          <w:lang w:val="fr-FR"/>
        </w:rPr>
        <w:t>table</w:t>
      </w:r>
      <w:r>
        <w:rPr>
          <w:lang w:val="fr-FR"/>
        </w:rPr>
        <w:t>au</w:t>
      </w:r>
      <w:r w:rsidR="00692353">
        <w:rPr>
          <w:lang w:val="fr-FR"/>
        </w:rPr>
        <w:t xml:space="preserve">, </w:t>
      </w:r>
      <w:r>
        <w:rPr>
          <w:lang w:val="fr-FR"/>
        </w:rPr>
        <w:t>la Confé</w:t>
      </w:r>
      <w:r w:rsidR="00EA291A" w:rsidRPr="008B229A">
        <w:rPr>
          <w:lang w:val="fr-FR"/>
        </w:rPr>
        <w:t xml:space="preserve">rence </w:t>
      </w:r>
      <w:r>
        <w:rPr>
          <w:lang w:val="fr-FR"/>
        </w:rPr>
        <w:t>des</w:t>
      </w:r>
      <w:r w:rsidR="00EA291A" w:rsidRPr="008B229A">
        <w:rPr>
          <w:lang w:val="fr-FR"/>
        </w:rPr>
        <w:t xml:space="preserve"> Parties</w:t>
      </w:r>
      <w:r>
        <w:rPr>
          <w:lang w:val="fr-FR"/>
        </w:rPr>
        <w:t xml:space="preserve"> n’a</w:t>
      </w:r>
      <w:r w:rsidR="00692353">
        <w:rPr>
          <w:lang w:val="fr-FR"/>
        </w:rPr>
        <w:t>yant</w:t>
      </w:r>
      <w:r>
        <w:rPr>
          <w:lang w:val="fr-FR"/>
        </w:rPr>
        <w:t xml:space="preserve"> pas encore convenu </w:t>
      </w:r>
      <w:r w:rsidR="00EB4CF0">
        <w:rPr>
          <w:lang w:val="fr-FR"/>
        </w:rPr>
        <w:t>de la date de présentation des rapports</w:t>
      </w:r>
      <w:r w:rsidR="004A30FA">
        <w:rPr>
          <w:lang w:val="fr-FR"/>
        </w:rPr>
        <w:t xml:space="preserve"> ni de leur périodicité</w:t>
      </w:r>
      <w:r>
        <w:rPr>
          <w:lang w:val="fr-FR"/>
        </w:rPr>
        <w:t xml:space="preserve">. </w:t>
      </w:r>
    </w:p>
    <w:p w14:paraId="3B09C2FB" w14:textId="29CF11A6" w:rsidR="00720825" w:rsidRPr="00ED23A1" w:rsidRDefault="00BD69FE" w:rsidP="000E2D00">
      <w:pPr>
        <w:pStyle w:val="CH1"/>
        <w:rPr>
          <w:lang w:val="fr-FR"/>
        </w:rPr>
      </w:pPr>
      <w:r w:rsidRPr="008B229A">
        <w:rPr>
          <w:lang w:val="fr-FR"/>
        </w:rPr>
        <w:tab/>
      </w:r>
      <w:r w:rsidR="00720825" w:rsidRPr="00ED23A1">
        <w:rPr>
          <w:lang w:val="fr-FR"/>
        </w:rPr>
        <w:t>IV</w:t>
      </w:r>
      <w:r w:rsidR="003C6839" w:rsidRPr="00ED23A1">
        <w:rPr>
          <w:lang w:val="fr-FR"/>
        </w:rPr>
        <w:t>.</w:t>
      </w:r>
      <w:r w:rsidRPr="00ED23A1">
        <w:rPr>
          <w:lang w:val="fr-FR"/>
        </w:rPr>
        <w:tab/>
      </w:r>
      <w:r w:rsidR="00ED23A1" w:rsidRPr="00ED23A1">
        <w:rPr>
          <w:lang w:val="fr-FR"/>
        </w:rPr>
        <w:t>Mesure que pourrait prendre la Confé</w:t>
      </w:r>
      <w:r w:rsidR="00720825" w:rsidRPr="00ED23A1">
        <w:rPr>
          <w:lang w:val="fr-FR"/>
        </w:rPr>
        <w:t xml:space="preserve">rence </w:t>
      </w:r>
      <w:r w:rsidR="00ED23A1" w:rsidRPr="00ED23A1">
        <w:rPr>
          <w:lang w:val="fr-FR"/>
        </w:rPr>
        <w:t>des</w:t>
      </w:r>
      <w:r w:rsidR="00720825" w:rsidRPr="00ED23A1">
        <w:rPr>
          <w:lang w:val="fr-FR"/>
        </w:rPr>
        <w:t xml:space="preserve"> Parties</w:t>
      </w:r>
    </w:p>
    <w:p w14:paraId="769395E8" w14:textId="5A7789CF" w:rsidR="00720825" w:rsidRPr="00ED23A1" w:rsidRDefault="00ED23A1" w:rsidP="000E2D00">
      <w:pPr>
        <w:pStyle w:val="Normalnumber"/>
        <w:keepNext/>
        <w:keepLines/>
        <w:rPr>
          <w:lang w:val="fr-FR"/>
        </w:rPr>
      </w:pPr>
      <w:r w:rsidRPr="00ED23A1">
        <w:rPr>
          <w:lang w:val="fr-FR"/>
        </w:rPr>
        <w:t xml:space="preserve">La Conférence des </w:t>
      </w:r>
      <w:r w:rsidR="00720825" w:rsidRPr="00ED23A1">
        <w:rPr>
          <w:lang w:val="fr-FR"/>
        </w:rPr>
        <w:t>Parties</w:t>
      </w:r>
      <w:r w:rsidRPr="00ED23A1">
        <w:rPr>
          <w:lang w:val="fr-FR"/>
        </w:rPr>
        <w:t xml:space="preserve"> souhaitera peut-être examiner la présente </w:t>
      </w:r>
      <w:r w:rsidR="00720825" w:rsidRPr="00ED23A1">
        <w:rPr>
          <w:lang w:val="fr-FR"/>
        </w:rPr>
        <w:t xml:space="preserve">note </w:t>
      </w:r>
      <w:r w:rsidRPr="00ED23A1">
        <w:rPr>
          <w:lang w:val="fr-FR"/>
        </w:rPr>
        <w:t xml:space="preserve">en liaison avec les </w:t>
      </w:r>
      <w:r w:rsidR="00720825" w:rsidRPr="00ED23A1">
        <w:rPr>
          <w:lang w:val="fr-FR"/>
        </w:rPr>
        <w:t>information</w:t>
      </w:r>
      <w:r w:rsidRPr="00ED23A1">
        <w:rPr>
          <w:lang w:val="fr-FR"/>
        </w:rPr>
        <w:t xml:space="preserve">s présentées dans le </w:t>
      </w:r>
      <w:r w:rsidR="00720825" w:rsidRPr="00ED23A1">
        <w:rPr>
          <w:lang w:val="fr-FR"/>
        </w:rPr>
        <w:t xml:space="preserve">document </w:t>
      </w:r>
      <w:r w:rsidR="00720825" w:rsidRPr="00F74CE9">
        <w:rPr>
          <w:lang w:val="fr-FR"/>
        </w:rPr>
        <w:t xml:space="preserve">UNEP/MC/COP.1/9, </w:t>
      </w:r>
      <w:r w:rsidRPr="00F74CE9">
        <w:rPr>
          <w:lang w:val="fr-FR"/>
        </w:rPr>
        <w:t xml:space="preserve">en particulier </w:t>
      </w:r>
      <w:r w:rsidR="00692353">
        <w:rPr>
          <w:lang w:val="fr-FR"/>
        </w:rPr>
        <w:t xml:space="preserve">dans </w:t>
      </w:r>
      <w:r w:rsidRPr="00F74CE9">
        <w:rPr>
          <w:lang w:val="fr-FR"/>
        </w:rPr>
        <w:t>l’appendice</w:t>
      </w:r>
      <w:r w:rsidR="001E343F">
        <w:rPr>
          <w:lang w:val="fr-FR"/>
        </w:rPr>
        <w:t> </w:t>
      </w:r>
      <w:r w:rsidR="00720825" w:rsidRPr="00F74CE9">
        <w:rPr>
          <w:lang w:val="fr-FR"/>
        </w:rPr>
        <w:t>II,</w:t>
      </w:r>
      <w:r w:rsidR="00720825" w:rsidRPr="00ED23A1">
        <w:rPr>
          <w:lang w:val="fr-FR"/>
        </w:rPr>
        <w:t xml:space="preserve"> </w:t>
      </w:r>
      <w:r>
        <w:rPr>
          <w:lang w:val="fr-FR"/>
        </w:rPr>
        <w:t>pour achever so</w:t>
      </w:r>
      <w:r w:rsidR="00692353">
        <w:rPr>
          <w:lang w:val="fr-FR"/>
        </w:rPr>
        <w:t>n examen de l’établissement du p</w:t>
      </w:r>
      <w:r>
        <w:rPr>
          <w:lang w:val="fr-FR"/>
        </w:rPr>
        <w:t xml:space="preserve">rogramme </w:t>
      </w:r>
      <w:r w:rsidR="00720825" w:rsidRPr="00ED23A1">
        <w:rPr>
          <w:lang w:val="fr-FR"/>
        </w:rPr>
        <w:t>international</w:t>
      </w:r>
      <w:r>
        <w:rPr>
          <w:lang w:val="fr-FR"/>
        </w:rPr>
        <w:t xml:space="preserve"> spécifique dans le cadre de la décision globale visant à donner effet au mécanisme de financement de la </w:t>
      </w:r>
      <w:r w:rsidR="00720825" w:rsidRPr="00ED23A1">
        <w:rPr>
          <w:lang w:val="fr-FR"/>
        </w:rPr>
        <w:t>Convention</w:t>
      </w:r>
      <w:r w:rsidR="00690250" w:rsidRPr="00ED23A1">
        <w:rPr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8"/>
        <w:gridCol w:w="1898"/>
        <w:gridCol w:w="1898"/>
        <w:gridCol w:w="1899"/>
      </w:tblGrid>
      <w:tr w:rsidR="002E371D" w:rsidRPr="00ED23A1" w14:paraId="66D34452" w14:textId="77777777" w:rsidTr="002E371D">
        <w:tc>
          <w:tcPr>
            <w:tcW w:w="1941" w:type="dxa"/>
          </w:tcPr>
          <w:p w14:paraId="3639C00D" w14:textId="77777777" w:rsidR="002E371D" w:rsidRPr="00ED23A1" w:rsidRDefault="002E371D" w:rsidP="000E2D00">
            <w:pPr>
              <w:pStyle w:val="Normal-pool"/>
              <w:keepNext/>
              <w:keepLines/>
              <w:spacing w:before="520"/>
              <w:rPr>
                <w:lang w:val="fr-FR"/>
              </w:rPr>
            </w:pPr>
          </w:p>
        </w:tc>
        <w:tc>
          <w:tcPr>
            <w:tcW w:w="1941" w:type="dxa"/>
          </w:tcPr>
          <w:p w14:paraId="60897914" w14:textId="77777777" w:rsidR="002E371D" w:rsidRPr="00ED23A1" w:rsidRDefault="002E371D" w:rsidP="000E2D00">
            <w:pPr>
              <w:pStyle w:val="Normal-pool"/>
              <w:keepNext/>
              <w:keepLines/>
              <w:spacing w:before="520"/>
              <w:rPr>
                <w:lang w:val="fr-FR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4F6E39D" w14:textId="58DA6D9B" w:rsidR="002E371D" w:rsidRPr="00ED23A1" w:rsidRDefault="002E371D" w:rsidP="000E2D00">
            <w:pPr>
              <w:pStyle w:val="Normal-pool"/>
              <w:keepNext/>
              <w:keepLines/>
              <w:spacing w:before="520"/>
              <w:rPr>
                <w:sz w:val="18"/>
                <w:szCs w:val="18"/>
                <w:lang w:val="fr-FR"/>
              </w:rPr>
            </w:pPr>
          </w:p>
        </w:tc>
        <w:tc>
          <w:tcPr>
            <w:tcW w:w="1941" w:type="dxa"/>
          </w:tcPr>
          <w:p w14:paraId="5E86AE5D" w14:textId="77777777" w:rsidR="002E371D" w:rsidRPr="00ED23A1" w:rsidRDefault="002E371D" w:rsidP="000E2D00">
            <w:pPr>
              <w:pStyle w:val="Normal-pool"/>
              <w:keepNext/>
              <w:keepLines/>
              <w:spacing w:before="520"/>
              <w:rPr>
                <w:lang w:val="fr-FR"/>
              </w:rPr>
            </w:pPr>
          </w:p>
        </w:tc>
        <w:tc>
          <w:tcPr>
            <w:tcW w:w="1942" w:type="dxa"/>
          </w:tcPr>
          <w:p w14:paraId="6FDC05B1" w14:textId="77777777" w:rsidR="002E371D" w:rsidRPr="00ED23A1" w:rsidRDefault="002E371D" w:rsidP="000E2D00">
            <w:pPr>
              <w:pStyle w:val="Normal-pool"/>
              <w:keepNext/>
              <w:keepLines/>
              <w:spacing w:before="520"/>
              <w:rPr>
                <w:lang w:val="fr-FR"/>
              </w:rPr>
            </w:pPr>
          </w:p>
        </w:tc>
      </w:tr>
    </w:tbl>
    <w:p w14:paraId="49880B99" w14:textId="77777777" w:rsidR="00A67151" w:rsidRPr="00A67151" w:rsidRDefault="00A67151" w:rsidP="005C0ED6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558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A67151" w:rsidRPr="00A67151" w:rsidSect="00A17E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0" w:h="16840"/>
      <w:pgMar w:top="907" w:right="992" w:bottom="1418" w:left="1418" w:header="539" w:footer="975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FF26" w14:textId="77777777" w:rsidR="0081796F" w:rsidRDefault="0081796F">
      <w:r>
        <w:separator/>
      </w:r>
    </w:p>
  </w:endnote>
  <w:endnote w:type="continuationSeparator" w:id="0">
    <w:p w14:paraId="3B32B185" w14:textId="77777777" w:rsidR="0081796F" w:rsidRDefault="0081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8A8D" w14:textId="7D6945D3" w:rsidR="0027708D" w:rsidRDefault="0027708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01AE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78DF" w14:textId="127F7D8A" w:rsidR="0027708D" w:rsidRDefault="0027708D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01AE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9AC4" w14:textId="6866F44F" w:rsidR="0027708D" w:rsidRPr="002E371D" w:rsidRDefault="00B663ED" w:rsidP="002E371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</w:tabs>
      <w:rPr>
        <w:sz w:val="20"/>
      </w:rPr>
    </w:pPr>
    <w:r>
      <w:rPr>
        <w:sz w:val="20"/>
      </w:rPr>
      <w:t>K1707060</w:t>
    </w:r>
    <w:r w:rsidR="0027708D" w:rsidRPr="002E371D">
      <w:rPr>
        <w:sz w:val="20"/>
      </w:rPr>
      <w:tab/>
    </w:r>
    <w:r w:rsidR="001B2D56">
      <w:rPr>
        <w:sz w:val="20"/>
      </w:rPr>
      <w:t>0908</w:t>
    </w:r>
    <w:r w:rsidR="0027708D" w:rsidRPr="002E371D">
      <w:rPr>
        <w:sz w:val="20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9EE8" w14:textId="77777777" w:rsidR="0081796F" w:rsidRDefault="0081796F" w:rsidP="002E371D">
      <w:pPr>
        <w:spacing w:before="60"/>
        <w:ind w:left="624"/>
      </w:pPr>
      <w:r>
        <w:separator/>
      </w:r>
    </w:p>
  </w:footnote>
  <w:footnote w:type="continuationSeparator" w:id="0">
    <w:p w14:paraId="0CDD39DE" w14:textId="77777777" w:rsidR="0081796F" w:rsidRDefault="0081796F">
      <w:r>
        <w:continuationSeparator/>
      </w:r>
    </w:p>
  </w:footnote>
  <w:footnote w:id="1">
    <w:p w14:paraId="7BE29B76" w14:textId="77777777" w:rsidR="0027708D" w:rsidRPr="002E371D" w:rsidRDefault="0027708D" w:rsidP="004B4518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2E371D">
        <w:rPr>
          <w:sz w:val="18"/>
          <w:szCs w:val="18"/>
        </w:rPr>
        <w:t>* UNEP/MC/COP.1/1.</w:t>
      </w:r>
    </w:p>
  </w:footnote>
  <w:footnote w:id="2">
    <w:p w14:paraId="174FB3C5" w14:textId="3F7E800F" w:rsidR="001E343F" w:rsidRPr="000D0434" w:rsidRDefault="001E343F" w:rsidP="001E343F">
      <w:pPr>
        <w:pStyle w:val="FootnoteText"/>
        <w:rPr>
          <w:szCs w:val="18"/>
        </w:rPr>
      </w:pPr>
      <w:r w:rsidRPr="002E371D">
        <w:rPr>
          <w:rStyle w:val="FootnoteReference"/>
          <w:sz w:val="18"/>
          <w:lang w:val="en-GB"/>
        </w:rPr>
        <w:footnoteRef/>
      </w:r>
      <w:r w:rsidRPr="000D0434">
        <w:rPr>
          <w:szCs w:val="18"/>
        </w:rPr>
        <w:t xml:space="preserve"> Voir le document UNEP/MC/COP.1/9, en particulier l’appendice II, où figure le texte élab</w:t>
      </w:r>
      <w:r w:rsidR="0028395C">
        <w:rPr>
          <w:szCs w:val="18"/>
        </w:rPr>
        <w:t>oré par le Comité à sa septième </w:t>
      </w:r>
      <w:r w:rsidRPr="000D0434">
        <w:rPr>
          <w:szCs w:val="18"/>
        </w:rPr>
        <w:t xml:space="preserve">session. </w:t>
      </w:r>
    </w:p>
  </w:footnote>
  <w:footnote w:id="3">
    <w:p w14:paraId="6F27CDA7" w14:textId="77777777" w:rsidR="00F00840" w:rsidRPr="000647E4" w:rsidRDefault="00F00840" w:rsidP="00F00840">
      <w:pPr>
        <w:pStyle w:val="FootnoteText"/>
        <w:rPr>
          <w:szCs w:val="18"/>
        </w:rPr>
      </w:pPr>
      <w:r w:rsidRPr="002E371D">
        <w:rPr>
          <w:rStyle w:val="FootnoteReference"/>
          <w:sz w:val="18"/>
          <w:lang w:val="en-GB"/>
        </w:rPr>
        <w:footnoteRef/>
      </w:r>
      <w:r w:rsidRPr="000647E4">
        <w:rPr>
          <w:szCs w:val="18"/>
        </w:rPr>
        <w:t xml:space="preserve"> En 2017, le Service </w:t>
      </w:r>
      <w:r>
        <w:rPr>
          <w:szCs w:val="18"/>
        </w:rPr>
        <w:t xml:space="preserve">Substances </w:t>
      </w:r>
      <w:r w:rsidRPr="000647E4">
        <w:rPr>
          <w:szCs w:val="18"/>
        </w:rPr>
        <w:t xml:space="preserve">chimiques et déchets </w:t>
      </w:r>
      <w:r>
        <w:rPr>
          <w:szCs w:val="18"/>
        </w:rPr>
        <w:t>est devenu le Serv</w:t>
      </w:r>
      <w:r w:rsidRPr="000647E4">
        <w:rPr>
          <w:szCs w:val="18"/>
        </w:rPr>
        <w:t xml:space="preserve">ice </w:t>
      </w:r>
      <w:r>
        <w:rPr>
          <w:szCs w:val="18"/>
        </w:rPr>
        <w:t>Substances chimiques et santé</w:t>
      </w:r>
      <w:r w:rsidRPr="000647E4">
        <w:rPr>
          <w:szCs w:val="18"/>
        </w:rPr>
        <w:t>,</w:t>
      </w:r>
      <w:r>
        <w:rPr>
          <w:szCs w:val="18"/>
        </w:rPr>
        <w:t xml:space="preserve"> tandis que la Division Technologie, Industrie et Économie est devenue la Division de l’économie. </w:t>
      </w:r>
    </w:p>
  </w:footnote>
  <w:footnote w:id="4">
    <w:p w14:paraId="4AAC9B45" w14:textId="77777777" w:rsidR="008F70A6" w:rsidRPr="00F045FE" w:rsidRDefault="008F70A6" w:rsidP="008F70A6">
      <w:pPr>
        <w:pStyle w:val="FootnoteText"/>
        <w:rPr>
          <w:szCs w:val="18"/>
        </w:rPr>
      </w:pPr>
      <w:r w:rsidRPr="002E371D">
        <w:rPr>
          <w:rStyle w:val="FootnoteReference"/>
          <w:sz w:val="18"/>
        </w:rPr>
        <w:footnoteRef/>
      </w:r>
      <w:r w:rsidRPr="00F045FE">
        <w:rPr>
          <w:szCs w:val="18"/>
        </w:rPr>
        <w:t xml:space="preserve"> Un</w:t>
      </w:r>
      <w:r>
        <w:rPr>
          <w:szCs w:val="18"/>
        </w:rPr>
        <w:t>e</w:t>
      </w:r>
      <w:r w:rsidRPr="00F045FE">
        <w:rPr>
          <w:szCs w:val="18"/>
        </w:rPr>
        <w:t xml:space="preserve"> approche programmatique </w:t>
      </w:r>
      <w:r>
        <w:rPr>
          <w:szCs w:val="18"/>
        </w:rPr>
        <w:t>guide</w:t>
      </w:r>
      <w:r w:rsidRPr="00F045FE">
        <w:rPr>
          <w:szCs w:val="18"/>
        </w:rPr>
        <w:t xml:space="preserve">, par exemple, le Fonds d’affectation spéciale pour la Plateforme </w:t>
      </w:r>
      <w:r>
        <w:rPr>
          <w:szCs w:val="18"/>
        </w:rPr>
        <w:t>intergouvernementale scientifique et politique sur la biodiversité et les services écosystémiques.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4E6C" w14:textId="2DD9E9DB" w:rsidR="0027708D" w:rsidRPr="00CA5CA9" w:rsidRDefault="0027708D" w:rsidP="00312543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9/Add.1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51BFD" w14:textId="1BED4E61" w:rsidR="0027708D" w:rsidRPr="00CA5CA9" w:rsidRDefault="0027708D" w:rsidP="00312543">
    <w:pPr>
      <w:pStyle w:val="Header"/>
      <w:jc w:val="right"/>
      <w:rPr>
        <w:szCs w:val="18"/>
      </w:rPr>
    </w:pPr>
    <w:r>
      <w:rPr>
        <w:bCs/>
        <w:szCs w:val="18"/>
      </w:rPr>
      <w:t>UNEP/MC/COP.1.9/Add.1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B481" w14:textId="2806F461" w:rsidR="0027708D" w:rsidRDefault="0027708D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D5F"/>
    <w:multiLevelType w:val="hybrid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73D51BA"/>
    <w:multiLevelType w:val="hybridMultilevel"/>
    <w:tmpl w:val="29B2D844"/>
    <w:numStyleLink w:val="Importeradestilen6"/>
  </w:abstractNum>
  <w:abstractNum w:abstractNumId="2" w15:restartNumberingAfterBreak="0">
    <w:nsid w:val="0B96391C"/>
    <w:multiLevelType w:val="hybridMultilevel"/>
    <w:tmpl w:val="81E0EFB8"/>
    <w:numStyleLink w:val="Importeradestilen5"/>
  </w:abstractNum>
  <w:abstractNum w:abstractNumId="3" w15:restartNumberingAfterBreak="0">
    <w:nsid w:val="11907B63"/>
    <w:multiLevelType w:val="hybridMultilevel"/>
    <w:tmpl w:val="E7BA5328"/>
    <w:lvl w:ilvl="0" w:tplc="BF521CC4">
      <w:start w:val="1"/>
      <w:numFmt w:val="upperLetter"/>
      <w:lvlText w:val="%1."/>
      <w:lvlJc w:val="left"/>
      <w:pPr>
        <w:ind w:left="1215" w:hanging="8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5" w15:restartNumberingAfterBreak="0">
    <w:nsid w:val="19D95965"/>
    <w:multiLevelType w:val="hybridMultilevel"/>
    <w:tmpl w:val="F044000E"/>
    <w:numStyleLink w:val="Importeradestilen8"/>
  </w:abstractNum>
  <w:abstractNum w:abstractNumId="6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DD51BB8"/>
    <w:multiLevelType w:val="hybridMultilevel"/>
    <w:tmpl w:val="0B422B62"/>
    <w:styleLink w:val="Importeradestilen9"/>
    <w:lvl w:ilvl="0" w:tplc="AB18604A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FDCE6AC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206CC5C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32FDC6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B4C744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42CA6C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5EE9F1C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CA9F60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AE376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(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AD5BAD"/>
    <w:multiLevelType w:val="hybridMultilevel"/>
    <w:tmpl w:val="5622D6EE"/>
    <w:lvl w:ilvl="0" w:tplc="C0B0BEF4">
      <w:start w:val="1"/>
      <w:numFmt w:val="upperLetter"/>
      <w:lvlText w:val="%1."/>
      <w:lvlJc w:val="left"/>
      <w:pPr>
        <w:ind w:left="1215" w:hanging="855"/>
      </w:pPr>
      <w:rPr>
        <w:rFonts w:cs="Arial Unicode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472805C1"/>
    <w:multiLevelType w:val="hybridMultilevel"/>
    <w:tmpl w:val="3F200CE6"/>
    <w:lvl w:ilvl="0" w:tplc="C0B0BEF4">
      <w:start w:val="1"/>
      <w:numFmt w:val="upperLetter"/>
      <w:lvlText w:val="%1."/>
      <w:lvlJc w:val="left"/>
      <w:pPr>
        <w:ind w:left="1215" w:hanging="855"/>
      </w:pPr>
      <w:rPr>
        <w:rFonts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F0F77"/>
    <w:multiLevelType w:val="hybridMultilevel"/>
    <w:tmpl w:val="63900D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22D5"/>
    <w:multiLevelType w:val="hybridMultilevel"/>
    <w:tmpl w:val="F044000E"/>
    <w:styleLink w:val="Importeradestilen8"/>
    <w:lvl w:ilvl="0" w:tplc="518860AE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EF6AE9E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4ED090">
      <w:start w:val="1"/>
      <w:numFmt w:val="lowerRoman"/>
      <w:lvlText w:val="%3."/>
      <w:lvlJc w:val="left"/>
      <w:pPr>
        <w:tabs>
          <w:tab w:val="left" w:pos="624"/>
          <w:tab w:val="num" w:pos="3383"/>
        </w:tabs>
        <w:ind w:left="2134" w:firstLine="9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F14D68C">
      <w:start w:val="1"/>
      <w:numFmt w:val="decimal"/>
      <w:lvlText w:val="%4."/>
      <w:lvlJc w:val="left"/>
      <w:pPr>
        <w:tabs>
          <w:tab w:val="left" w:pos="624"/>
          <w:tab w:val="num" w:pos="4103"/>
        </w:tabs>
        <w:ind w:left="2854" w:firstLine="9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C82438">
      <w:start w:val="1"/>
      <w:numFmt w:val="lowerLetter"/>
      <w:lvlText w:val="%5."/>
      <w:lvlJc w:val="left"/>
      <w:pPr>
        <w:tabs>
          <w:tab w:val="left" w:pos="624"/>
          <w:tab w:val="num" w:pos="4823"/>
        </w:tabs>
        <w:ind w:left="3574" w:firstLine="107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4E9C60">
      <w:start w:val="1"/>
      <w:numFmt w:val="lowerRoman"/>
      <w:lvlText w:val="%6."/>
      <w:lvlJc w:val="left"/>
      <w:pPr>
        <w:tabs>
          <w:tab w:val="left" w:pos="624"/>
          <w:tab w:val="num" w:pos="5543"/>
        </w:tabs>
        <w:ind w:left="4294" w:firstLine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906F734">
      <w:start w:val="1"/>
      <w:numFmt w:val="decimal"/>
      <w:lvlText w:val="%7."/>
      <w:lvlJc w:val="left"/>
      <w:pPr>
        <w:tabs>
          <w:tab w:val="left" w:pos="624"/>
          <w:tab w:val="num" w:pos="6263"/>
        </w:tabs>
        <w:ind w:left="5014" w:firstLine="6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8AE5D0">
      <w:start w:val="1"/>
      <w:numFmt w:val="lowerLetter"/>
      <w:lvlText w:val="%8."/>
      <w:lvlJc w:val="left"/>
      <w:pPr>
        <w:tabs>
          <w:tab w:val="left" w:pos="624"/>
          <w:tab w:val="num" w:pos="6983"/>
        </w:tabs>
        <w:ind w:left="5734" w:firstLine="7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DC6DFAE">
      <w:start w:val="1"/>
      <w:numFmt w:val="lowerRoman"/>
      <w:lvlText w:val="%9."/>
      <w:lvlJc w:val="left"/>
      <w:pPr>
        <w:tabs>
          <w:tab w:val="left" w:pos="624"/>
          <w:tab w:val="num" w:pos="7703"/>
        </w:tabs>
        <w:ind w:left="6454" w:firstLine="9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4A0608AF"/>
    <w:multiLevelType w:val="hybridMultilevel"/>
    <w:tmpl w:val="156885FC"/>
    <w:numStyleLink w:val="Importeradestilen3"/>
  </w:abstractNum>
  <w:abstractNum w:abstractNumId="18" w15:restartNumberingAfterBreak="0">
    <w:nsid w:val="4BC03B25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2A66A9D"/>
    <w:multiLevelType w:val="multilevel"/>
    <w:tmpl w:val="81949F38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0" w15:restartNumberingAfterBreak="0">
    <w:nsid w:val="58AA3667"/>
    <w:multiLevelType w:val="hybridMultilevel"/>
    <w:tmpl w:val="A72A60C0"/>
    <w:numStyleLink w:val="Importeradestilen7"/>
  </w:abstractNum>
  <w:abstractNum w:abstractNumId="21" w15:restartNumberingAfterBreak="0">
    <w:nsid w:val="5BF5183E"/>
    <w:multiLevelType w:val="hybridMultilevel"/>
    <w:tmpl w:val="686C86F4"/>
    <w:numStyleLink w:val="Importeradestilen4"/>
  </w:abstractNum>
  <w:abstractNum w:abstractNumId="22" w15:restartNumberingAfterBreak="0">
    <w:nsid w:val="5DBF43B4"/>
    <w:multiLevelType w:val="hybridMultilevel"/>
    <w:tmpl w:val="19925C48"/>
    <w:lvl w:ilvl="0" w:tplc="C688061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16D7B"/>
    <w:multiLevelType w:val="hybridMultilevel"/>
    <w:tmpl w:val="0B422B62"/>
    <w:numStyleLink w:val="Importeradestilen9"/>
  </w:abstractNum>
  <w:abstractNum w:abstractNumId="24" w15:restartNumberingAfterBreak="0">
    <w:nsid w:val="5ED54E99"/>
    <w:multiLevelType w:val="hybridMultilevel"/>
    <w:tmpl w:val="34B201DA"/>
    <w:lvl w:ilvl="0" w:tplc="0409000F">
      <w:start w:val="1"/>
      <w:numFmt w:val="decimal"/>
      <w:lvlText w:val="%1."/>
      <w:lvlJc w:val="left"/>
      <w:pPr>
        <w:ind w:left="2454" w:hanging="360"/>
      </w:pPr>
    </w:lvl>
    <w:lvl w:ilvl="1" w:tplc="04090019" w:tentative="1">
      <w:start w:val="1"/>
      <w:numFmt w:val="lowerLetter"/>
      <w:lvlText w:val="%2."/>
      <w:lvlJc w:val="left"/>
      <w:pPr>
        <w:ind w:left="3174" w:hanging="360"/>
      </w:pPr>
    </w:lvl>
    <w:lvl w:ilvl="2" w:tplc="0409001B" w:tentative="1">
      <w:start w:val="1"/>
      <w:numFmt w:val="lowerRoman"/>
      <w:lvlText w:val="%3."/>
      <w:lvlJc w:val="right"/>
      <w:pPr>
        <w:ind w:left="3894" w:hanging="180"/>
      </w:pPr>
    </w:lvl>
    <w:lvl w:ilvl="3" w:tplc="0409000F" w:tentative="1">
      <w:start w:val="1"/>
      <w:numFmt w:val="decimal"/>
      <w:lvlText w:val="%4."/>
      <w:lvlJc w:val="left"/>
      <w:pPr>
        <w:ind w:left="4614" w:hanging="360"/>
      </w:pPr>
    </w:lvl>
    <w:lvl w:ilvl="4" w:tplc="04090019" w:tentative="1">
      <w:start w:val="1"/>
      <w:numFmt w:val="lowerLetter"/>
      <w:lvlText w:val="%5."/>
      <w:lvlJc w:val="left"/>
      <w:pPr>
        <w:ind w:left="5334" w:hanging="360"/>
      </w:pPr>
    </w:lvl>
    <w:lvl w:ilvl="5" w:tplc="0409001B" w:tentative="1">
      <w:start w:val="1"/>
      <w:numFmt w:val="lowerRoman"/>
      <w:lvlText w:val="%6."/>
      <w:lvlJc w:val="right"/>
      <w:pPr>
        <w:ind w:left="6054" w:hanging="180"/>
      </w:pPr>
    </w:lvl>
    <w:lvl w:ilvl="6" w:tplc="0409000F" w:tentative="1">
      <w:start w:val="1"/>
      <w:numFmt w:val="decimal"/>
      <w:lvlText w:val="%7."/>
      <w:lvlJc w:val="left"/>
      <w:pPr>
        <w:ind w:left="6774" w:hanging="360"/>
      </w:pPr>
    </w:lvl>
    <w:lvl w:ilvl="7" w:tplc="04090019" w:tentative="1">
      <w:start w:val="1"/>
      <w:numFmt w:val="lowerLetter"/>
      <w:lvlText w:val="%8."/>
      <w:lvlJc w:val="left"/>
      <w:pPr>
        <w:ind w:left="7494" w:hanging="360"/>
      </w:pPr>
    </w:lvl>
    <w:lvl w:ilvl="8" w:tplc="0409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25" w15:restartNumberingAfterBreak="0">
    <w:nsid w:val="5FE34526"/>
    <w:multiLevelType w:val="hybridMultilevel"/>
    <w:tmpl w:val="81949F38"/>
    <w:numStyleLink w:val="Normallist"/>
  </w:abstractNum>
  <w:abstractNum w:abstractNumId="26" w15:restartNumberingAfterBreak="0">
    <w:nsid w:val="61DD32C7"/>
    <w:multiLevelType w:val="hybridMultilevel"/>
    <w:tmpl w:val="9458A21E"/>
    <w:lvl w:ilvl="0" w:tplc="BEE6064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8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9"/>
  </w:num>
  <w:num w:numId="5">
    <w:abstractNumId w:val="19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lang w:val="fr-FR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ascii="Times New Roman" w:eastAsia="Times New Roman" w:hAnsi="Times New Roman" w:cs="Times New Roman"/>
          <w:lang w:val="fr-FR"/>
        </w:rPr>
      </w:lvl>
    </w:lvlOverride>
  </w:num>
  <w:num w:numId="6">
    <w:abstractNumId w:val="9"/>
  </w:num>
  <w:num w:numId="7">
    <w:abstractNumId w:val="4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8"/>
  </w:num>
  <w:num w:numId="13">
    <w:abstractNumId w:val="28"/>
  </w:num>
  <w:num w:numId="14">
    <w:abstractNumId w:val="30"/>
  </w:num>
  <w:num w:numId="15">
    <w:abstractNumId w:val="17"/>
  </w:num>
  <w:num w:numId="16">
    <w:abstractNumId w:val="0"/>
  </w:num>
  <w:num w:numId="17">
    <w:abstractNumId w:val="21"/>
  </w:num>
  <w:num w:numId="18">
    <w:abstractNumId w:val="8"/>
  </w:num>
  <w:num w:numId="19">
    <w:abstractNumId w:val="2"/>
  </w:num>
  <w:num w:numId="20">
    <w:abstractNumId w:val="13"/>
  </w:num>
  <w:num w:numId="21">
    <w:abstractNumId w:val="1"/>
  </w:num>
  <w:num w:numId="22">
    <w:abstractNumId w:val="29"/>
  </w:num>
  <w:num w:numId="23">
    <w:abstractNumId w:val="20"/>
  </w:num>
  <w:num w:numId="24">
    <w:abstractNumId w:val="1"/>
    <w:lvlOverride w:ilvl="0">
      <w:startOverride w:val="10"/>
      <w:lvl w:ilvl="0" w:tplc="974484E8">
        <w:start w:val="10"/>
        <w:numFmt w:val="decimal"/>
        <w:lvlText w:val="%1."/>
        <w:lvlJc w:val="left"/>
        <w:pPr>
          <w:tabs>
            <w:tab w:val="left" w:pos="624"/>
            <w:tab w:val="num" w:pos="1872"/>
          </w:tabs>
          <w:ind w:left="1247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9EA7E90">
        <w:start w:val="1"/>
        <w:numFmt w:val="lowerLetter"/>
        <w:lvlText w:val="%2."/>
        <w:lvlJc w:val="left"/>
        <w:pPr>
          <w:tabs>
            <w:tab w:val="left" w:pos="624"/>
            <w:tab w:val="num" w:pos="2592"/>
          </w:tabs>
          <w:ind w:left="1967" w:firstLine="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A72C508">
        <w:start w:val="1"/>
        <w:numFmt w:val="lowerRoman"/>
        <w:lvlText w:val="%3."/>
        <w:lvlJc w:val="left"/>
        <w:pPr>
          <w:tabs>
            <w:tab w:val="left" w:pos="624"/>
            <w:tab w:val="num" w:pos="3312"/>
          </w:tabs>
          <w:ind w:left="2687" w:firstLine="28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37B469AC">
        <w:start w:val="1"/>
        <w:numFmt w:val="decimal"/>
        <w:lvlText w:val="%4."/>
        <w:lvlJc w:val="left"/>
        <w:pPr>
          <w:tabs>
            <w:tab w:val="left" w:pos="624"/>
            <w:tab w:val="num" w:pos="4032"/>
          </w:tabs>
          <w:ind w:left="3407" w:firstLine="28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ECC27D4">
        <w:start w:val="1"/>
        <w:numFmt w:val="lowerLetter"/>
        <w:lvlText w:val="%5."/>
        <w:lvlJc w:val="left"/>
        <w:pPr>
          <w:tabs>
            <w:tab w:val="left" w:pos="624"/>
            <w:tab w:val="num" w:pos="4752"/>
          </w:tabs>
          <w:ind w:left="4127" w:firstLine="3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70EEBC9C">
        <w:start w:val="1"/>
        <w:numFmt w:val="lowerRoman"/>
        <w:lvlText w:val="%6."/>
        <w:lvlJc w:val="left"/>
        <w:pPr>
          <w:tabs>
            <w:tab w:val="left" w:pos="624"/>
            <w:tab w:val="num" w:pos="5472"/>
          </w:tabs>
          <w:ind w:left="4847" w:hanging="4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2EC8273A">
        <w:start w:val="1"/>
        <w:numFmt w:val="decimal"/>
        <w:lvlText w:val="%7."/>
        <w:lvlJc w:val="left"/>
        <w:pPr>
          <w:tabs>
            <w:tab w:val="left" w:pos="624"/>
            <w:tab w:val="num" w:pos="6192"/>
          </w:tabs>
          <w:ind w:left="5567" w:hanging="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E62EDD6">
        <w:start w:val="1"/>
        <w:numFmt w:val="lowerLetter"/>
        <w:lvlText w:val="%8."/>
        <w:lvlJc w:val="left"/>
        <w:pPr>
          <w:tabs>
            <w:tab w:val="left" w:pos="624"/>
            <w:tab w:val="num" w:pos="6912"/>
          </w:tabs>
          <w:ind w:left="6287" w:firstLine="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B6520C78">
        <w:start w:val="1"/>
        <w:numFmt w:val="lowerRoman"/>
        <w:lvlText w:val="%9."/>
        <w:lvlJc w:val="left"/>
        <w:pPr>
          <w:tabs>
            <w:tab w:val="left" w:pos="624"/>
            <w:tab w:val="num" w:pos="7632"/>
          </w:tabs>
          <w:ind w:left="7007" w:firstLine="2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5">
    <w:abstractNumId w:val="16"/>
  </w:num>
  <w:num w:numId="26">
    <w:abstractNumId w:val="5"/>
  </w:num>
  <w:num w:numId="27">
    <w:abstractNumId w:val="1"/>
    <w:lvlOverride w:ilvl="0">
      <w:startOverride w:val="12"/>
    </w:lvlOverride>
  </w:num>
  <w:num w:numId="28">
    <w:abstractNumId w:val="7"/>
  </w:num>
  <w:num w:numId="29">
    <w:abstractNumId w:val="23"/>
  </w:num>
  <w:num w:numId="30">
    <w:abstractNumId w:val="19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1">
    <w:abstractNumId w:val="25"/>
    <w:lvlOverride w:ilvl="0">
      <w:startOverride w:val="1"/>
      <w:lvl w:ilvl="0" w:tplc="273EFAB4">
        <w:start w:val="1"/>
        <w:numFmt w:val="decimal"/>
        <w:lvlText w:val="%1."/>
        <w:lvlJc w:val="left"/>
        <w:pPr>
          <w:tabs>
            <w:tab w:val="left" w:pos="1134"/>
            <w:tab w:val="num" w:pos="1872"/>
          </w:tabs>
          <w:ind w:left="12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650A670">
        <w:start w:val="1"/>
        <w:numFmt w:val="lowerLetter"/>
        <w:lvlText w:val="(%2)"/>
        <w:lvlJc w:val="left"/>
        <w:pPr>
          <w:tabs>
            <w:tab w:val="left" w:pos="1134"/>
            <w:tab w:val="left" w:pos="1247"/>
            <w:tab w:val="left" w:pos="1814"/>
            <w:tab w:val="num" w:pos="2381"/>
            <w:tab w:val="left" w:pos="2948"/>
            <w:tab w:val="left" w:pos="3515"/>
            <w:tab w:val="left" w:pos="4082"/>
          </w:tabs>
          <w:ind w:left="124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F244810">
        <w:start w:val="1"/>
        <w:numFmt w:val="lowerRoman"/>
        <w:lvlText w:val="(%3)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3515"/>
            <w:tab w:val="left" w:pos="4082"/>
          </w:tabs>
          <w:ind w:left="2948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1E9EF65A">
        <w:start w:val="1"/>
        <w:numFmt w:val="lowerLetter"/>
        <w:lvlText w:val="%4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ACCA25C">
        <w:start w:val="1"/>
        <w:numFmt w:val="lowerRoman"/>
        <w:lvlText w:val="%5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C70162A">
        <w:start w:val="1"/>
        <w:numFmt w:val="lowerRoman"/>
        <w:lvlText w:val="%6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83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64022FC">
        <w:start w:val="1"/>
        <w:numFmt w:val="decimal"/>
        <w:lvlText w:val="%7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855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82C404A">
        <w:start w:val="1"/>
        <w:numFmt w:val="lowerLetter"/>
        <w:lvlText w:val="%8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27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47E94AE">
        <w:start w:val="1"/>
        <w:numFmt w:val="lowerRoman"/>
        <w:lvlText w:val="%9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99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2">
    <w:abstractNumId w:val="25"/>
    <w:lvlOverride w:ilvl="0">
      <w:startOverride w:val="10"/>
      <w:lvl w:ilvl="0" w:tplc="273EFAB4">
        <w:start w:val="10"/>
        <w:numFmt w:val="decimal"/>
        <w:lvlText w:val="%1."/>
        <w:lvlJc w:val="left"/>
        <w:pPr>
          <w:tabs>
            <w:tab w:val="num" w:pos="1872"/>
          </w:tabs>
          <w:ind w:left="12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650A670">
        <w:start w:val="1"/>
        <w:numFmt w:val="lowerLetter"/>
        <w:lvlText w:val="(%2)"/>
        <w:lvlJc w:val="left"/>
        <w:pPr>
          <w:tabs>
            <w:tab w:val="num" w:pos="2381"/>
          </w:tabs>
          <w:ind w:left="124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F244810">
        <w:start w:val="1"/>
        <w:numFmt w:val="lowerRoman"/>
        <w:lvlText w:val="(%3)"/>
        <w:lvlJc w:val="left"/>
        <w:pPr>
          <w:ind w:left="2948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1E9EF65A">
        <w:start w:val="1"/>
        <w:numFmt w:val="lowerLetter"/>
        <w:lvlText w:val="%4."/>
        <w:lvlJc w:val="left"/>
        <w:pPr>
          <w:ind w:left="3515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ACCA25C">
        <w:start w:val="1"/>
        <w:numFmt w:val="lowerRoman"/>
        <w:lvlText w:val="%5."/>
        <w:lvlJc w:val="left"/>
        <w:pPr>
          <w:ind w:left="4082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C70162A">
        <w:start w:val="1"/>
        <w:numFmt w:val="lowerRoman"/>
        <w:lvlText w:val="%6."/>
        <w:lvlJc w:val="left"/>
        <w:pPr>
          <w:ind w:left="783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64022FC">
        <w:start w:val="1"/>
        <w:numFmt w:val="decimal"/>
        <w:lvlText w:val="%7."/>
        <w:lvlJc w:val="left"/>
        <w:pPr>
          <w:ind w:left="855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82C404A">
        <w:start w:val="1"/>
        <w:numFmt w:val="lowerLetter"/>
        <w:lvlText w:val="%8."/>
        <w:lvlJc w:val="left"/>
        <w:pPr>
          <w:ind w:left="927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47E94AE">
        <w:start w:val="1"/>
        <w:numFmt w:val="lowerRoman"/>
        <w:lvlText w:val="%9."/>
        <w:lvlJc w:val="left"/>
        <w:pPr>
          <w:ind w:left="999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3">
    <w:abstractNumId w:val="25"/>
    <w:lvlOverride w:ilvl="0">
      <w:lvl w:ilvl="0" w:tplc="273EFAB4">
        <w:start w:val="1"/>
        <w:numFmt w:val="decimal"/>
        <w:lvlText w:val="%1."/>
        <w:lvlJc w:val="left"/>
        <w:pPr>
          <w:tabs>
            <w:tab w:val="num" w:pos="1872"/>
          </w:tabs>
          <w:ind w:left="12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650A670">
        <w:start w:val="1"/>
        <w:numFmt w:val="lowerLetter"/>
        <w:lvlText w:val="(%2)"/>
        <w:lvlJc w:val="left"/>
        <w:pPr>
          <w:tabs>
            <w:tab w:val="left" w:pos="1134"/>
            <w:tab w:val="num" w:pos="2496"/>
          </w:tabs>
          <w:ind w:left="1247" w:firstLine="62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F244810">
        <w:start w:val="1"/>
        <w:numFmt w:val="lowerRoman"/>
        <w:lvlText w:val="(%3)"/>
        <w:lvlJc w:val="left"/>
        <w:pPr>
          <w:tabs>
            <w:tab w:val="left" w:pos="1134"/>
            <w:tab w:val="num" w:pos="4197"/>
          </w:tabs>
          <w:ind w:left="2948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E9EF65A">
        <w:start w:val="1"/>
        <w:numFmt w:val="lowerLetter"/>
        <w:lvlText w:val="%4."/>
        <w:lvlJc w:val="left"/>
        <w:pPr>
          <w:tabs>
            <w:tab w:val="left" w:pos="1134"/>
            <w:tab w:val="num" w:pos="4764"/>
          </w:tabs>
          <w:ind w:left="3515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ACCA25C">
        <w:start w:val="1"/>
        <w:numFmt w:val="lowerRoman"/>
        <w:lvlText w:val="%5."/>
        <w:lvlJc w:val="left"/>
        <w:pPr>
          <w:tabs>
            <w:tab w:val="left" w:pos="1134"/>
            <w:tab w:val="num" w:pos="5331"/>
          </w:tabs>
          <w:ind w:left="4082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C70162A">
        <w:start w:val="1"/>
        <w:numFmt w:val="lowerRoman"/>
        <w:lvlText w:val="%6."/>
        <w:lvlJc w:val="left"/>
        <w:pPr>
          <w:tabs>
            <w:tab w:val="left" w:pos="1134"/>
            <w:tab w:val="num" w:pos="9084"/>
          </w:tabs>
          <w:ind w:left="783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64022FC">
        <w:start w:val="1"/>
        <w:numFmt w:val="decimal"/>
        <w:lvlText w:val="%7."/>
        <w:lvlJc w:val="left"/>
        <w:pPr>
          <w:tabs>
            <w:tab w:val="left" w:pos="1134"/>
            <w:tab w:val="num" w:pos="9804"/>
          </w:tabs>
          <w:ind w:left="855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82C404A">
        <w:start w:val="1"/>
        <w:numFmt w:val="lowerLetter"/>
        <w:lvlText w:val="%8."/>
        <w:lvlJc w:val="left"/>
        <w:pPr>
          <w:tabs>
            <w:tab w:val="left" w:pos="1134"/>
            <w:tab w:val="num" w:pos="10524"/>
          </w:tabs>
          <w:ind w:left="927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47E94AE">
        <w:start w:val="1"/>
        <w:numFmt w:val="lowerRoman"/>
        <w:lvlText w:val="%9."/>
        <w:lvlJc w:val="left"/>
        <w:pPr>
          <w:tabs>
            <w:tab w:val="left" w:pos="1134"/>
            <w:tab w:val="num" w:pos="11244"/>
          </w:tabs>
          <w:ind w:left="999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0"/>
  </w:num>
  <w:num w:numId="35">
    <w:abstractNumId w:val="24"/>
  </w:num>
  <w:num w:numId="36">
    <w:abstractNumId w:val="19"/>
    <w:lvlOverride w:ilvl="1">
      <w:lvl w:ilvl="1">
        <w:start w:val="1"/>
        <w:numFmt w:val="lowerLetter"/>
        <w:lvlText w:val="(%2)"/>
        <w:lvlJc w:val="left"/>
        <w:pPr>
          <w:tabs>
            <w:tab w:val="num" w:pos="6970"/>
          </w:tabs>
          <w:ind w:left="7083" w:firstLine="567"/>
        </w:pPr>
        <w:rPr>
          <w:rFonts w:hint="default"/>
          <w:sz w:val="20"/>
          <w:szCs w:val="20"/>
        </w:rPr>
      </w:lvl>
    </w:lvlOverride>
  </w:num>
  <w:num w:numId="37">
    <w:abstractNumId w:val="25"/>
    <w:lvlOverride w:ilvl="0">
      <w:startOverride w:val="1"/>
      <w:lvl w:ilvl="0" w:tplc="273EFAB4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71"/>
            <w:tab w:val="left" w:pos="3119"/>
            <w:tab w:val="left" w:pos="4082"/>
          </w:tabs>
          <w:ind w:left="12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650A670">
        <w:start w:val="1"/>
        <w:numFmt w:val="lowerLetter"/>
        <w:lvlText w:val="(%2)"/>
        <w:lvlJc w:val="left"/>
        <w:pPr>
          <w:tabs>
            <w:tab w:val="left" w:pos="624"/>
            <w:tab w:val="left" w:pos="3119"/>
            <w:tab w:val="left" w:pos="4082"/>
          </w:tabs>
          <w:ind w:left="1305" w:hanging="6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F244810">
        <w:start w:val="1"/>
        <w:numFmt w:val="lowerRoman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num" w:pos="3572"/>
            <w:tab w:val="left" w:pos="4082"/>
          </w:tabs>
          <w:ind w:left="2948" w:firstLine="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1E9EF65A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3119"/>
            <w:tab w:val="num" w:pos="3743"/>
            <w:tab w:val="left" w:pos="4082"/>
          </w:tabs>
          <w:ind w:left="3119" w:firstLine="4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ACCA25C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3119"/>
            <w:tab w:val="left" w:pos="4082"/>
            <w:tab w:val="num" w:pos="4706"/>
          </w:tabs>
          <w:ind w:left="4082" w:firstLine="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C70162A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3119"/>
            <w:tab w:val="left" w:pos="4082"/>
            <w:tab w:val="num" w:pos="8459"/>
          </w:tabs>
          <w:ind w:left="7835" w:firstLine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64022FC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3119"/>
            <w:tab w:val="left" w:pos="4082"/>
            <w:tab w:val="num" w:pos="9179"/>
          </w:tabs>
          <w:ind w:left="8555" w:firstLine="2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82C404A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3119"/>
            <w:tab w:val="left" w:pos="4082"/>
            <w:tab w:val="num" w:pos="9899"/>
          </w:tabs>
          <w:ind w:left="9275" w:firstLine="2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47E94A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3119"/>
            <w:tab w:val="left" w:pos="4082"/>
            <w:tab w:val="num" w:pos="10619"/>
          </w:tabs>
          <w:ind w:left="9995" w:firstLine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8">
    <w:abstractNumId w:val="25"/>
    <w:lvlOverride w:ilvl="0">
      <w:lvl w:ilvl="0" w:tplc="273EFAB4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71"/>
            <w:tab w:val="left" w:pos="3119"/>
          </w:tabs>
          <w:ind w:left="12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650A670">
        <w:start w:val="1"/>
        <w:numFmt w:val="lowerLetter"/>
        <w:lvlText w:val="(%2)"/>
        <w:lvlJc w:val="left"/>
        <w:pPr>
          <w:tabs>
            <w:tab w:val="left" w:pos="624"/>
            <w:tab w:val="left" w:pos="3119"/>
          </w:tabs>
          <w:ind w:left="1293" w:hanging="6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F244810">
        <w:start w:val="1"/>
        <w:numFmt w:val="lowerRoman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num" w:pos="3572"/>
          </w:tabs>
          <w:ind w:left="2960" w:firstLine="4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E9EF65A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3119"/>
            <w:tab w:val="num" w:pos="3731"/>
          </w:tabs>
          <w:ind w:left="3119" w:firstLine="4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ACCA25C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3119"/>
            <w:tab w:val="num" w:pos="4706"/>
          </w:tabs>
          <w:ind w:left="4094" w:firstLine="4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C70162A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3119"/>
            <w:tab w:val="num" w:pos="8447"/>
          </w:tabs>
          <w:ind w:left="7835" w:firstLine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64022FC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3119"/>
            <w:tab w:val="num" w:pos="9167"/>
          </w:tabs>
          <w:ind w:left="8555" w:firstLine="2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82C404A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3119"/>
            <w:tab w:val="num" w:pos="9887"/>
          </w:tabs>
          <w:ind w:left="9275" w:firstLine="2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47E94A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3119"/>
            <w:tab w:val="num" w:pos="10607"/>
          </w:tabs>
          <w:ind w:left="9995" w:firstLine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9">
    <w:abstractNumId w:val="25"/>
    <w:lvlOverride w:ilvl="0">
      <w:lvl w:ilvl="0" w:tplc="273EFAB4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71"/>
            <w:tab w:val="left" w:pos="3119"/>
          </w:tabs>
          <w:ind w:left="12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650A670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num" w:pos="2495"/>
            <w:tab w:val="left" w:pos="3119"/>
          </w:tabs>
          <w:ind w:left="124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F244810">
        <w:start w:val="1"/>
        <w:numFmt w:val="lowerRoman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3743"/>
          </w:tabs>
          <w:ind w:left="2495" w:firstLine="11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E9EF65A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4367"/>
          </w:tabs>
          <w:ind w:left="3119" w:firstLine="10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ACCA25C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5330"/>
          </w:tabs>
          <w:ind w:left="4082" w:firstLine="6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C70162A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9083"/>
          </w:tabs>
          <w:ind w:left="7835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64022FC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9803"/>
          </w:tabs>
          <w:ind w:left="8555" w:firstLine="88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82C404A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10523"/>
          </w:tabs>
          <w:ind w:left="9275" w:firstLine="88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47E94A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11243"/>
          </w:tabs>
          <w:ind w:left="9995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0">
    <w:abstractNumId w:val="25"/>
    <w:lvlOverride w:ilvl="0">
      <w:lvl w:ilvl="0" w:tplc="273EFAB4">
        <w:start w:val="1"/>
        <w:numFmt w:val="decimal"/>
        <w:lvlText w:val="%1."/>
        <w:lvlJc w:val="left"/>
        <w:pPr>
          <w:tabs>
            <w:tab w:val="num" w:pos="1871"/>
          </w:tabs>
          <w:ind w:left="12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650A670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num" w:pos="2495"/>
            <w:tab w:val="left" w:pos="3119"/>
          </w:tabs>
          <w:ind w:left="1247" w:firstLine="62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F244810">
        <w:start w:val="1"/>
        <w:numFmt w:val="lowerRoman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4196"/>
          </w:tabs>
          <w:ind w:left="2948" w:firstLine="73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E9EF65A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4367"/>
          </w:tabs>
          <w:ind w:left="3119" w:firstLine="11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ACCA25C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5330"/>
          </w:tabs>
          <w:ind w:left="4082" w:firstLine="73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C70162A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9083"/>
          </w:tabs>
          <w:ind w:left="7835" w:firstLine="103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64022FC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9803"/>
          </w:tabs>
          <w:ind w:left="8555" w:firstLine="94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82C404A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10523"/>
          </w:tabs>
          <w:ind w:left="9275" w:firstLine="94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47E94AE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71"/>
            <w:tab w:val="left" w:pos="2495"/>
            <w:tab w:val="left" w:pos="3119"/>
            <w:tab w:val="num" w:pos="11243"/>
          </w:tabs>
          <w:ind w:left="9995" w:firstLine="103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1">
    <w:abstractNumId w:val="19"/>
  </w:num>
  <w:num w:numId="42">
    <w:abstractNumId w:val="19"/>
  </w:num>
  <w:num w:numId="43">
    <w:abstractNumId w:val="15"/>
  </w:num>
  <w:num w:numId="44">
    <w:abstractNumId w:val="11"/>
  </w:num>
  <w:num w:numId="45">
    <w:abstractNumId w:val="14"/>
  </w:num>
  <w:num w:numId="46">
    <w:abstractNumId w:val="22"/>
  </w:num>
  <w:num w:numId="47">
    <w:abstractNumId w:val="26"/>
  </w:num>
  <w:num w:numId="48">
    <w:abstractNumId w:val="19"/>
  </w:num>
  <w:num w:numId="49">
    <w:abstractNumId w:val="3"/>
  </w:num>
  <w:num w:numId="50">
    <w:abstractNumId w:val="19"/>
  </w:num>
  <w:num w:numId="51">
    <w:abstractNumId w:val="19"/>
  </w:num>
  <w:num w:numId="52">
    <w:abstractNumId w:val="19"/>
  </w:num>
  <w:num w:numId="53">
    <w:abstractNumId w:val="19"/>
  </w:num>
  <w:num w:numId="54">
    <w:abstractNumId w:val="19"/>
  </w:num>
  <w:num w:numId="55">
    <w:abstractNumId w:val="19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fr-CH" w:vendorID="64" w:dllVersion="0" w:nlCheck="1" w:checkStyle="1"/>
  <w:activeWritingStyle w:appName="MSWord" w:lang="fr-CA" w:vendorID="64" w:dllVersion="0" w:nlCheck="1" w:checkStyle="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2FE"/>
    <w:rsid w:val="00000E4A"/>
    <w:rsid w:val="0000173C"/>
    <w:rsid w:val="000024A3"/>
    <w:rsid w:val="00007070"/>
    <w:rsid w:val="0000730E"/>
    <w:rsid w:val="00011C84"/>
    <w:rsid w:val="00012BD1"/>
    <w:rsid w:val="00013B94"/>
    <w:rsid w:val="00014194"/>
    <w:rsid w:val="000149E6"/>
    <w:rsid w:val="00015484"/>
    <w:rsid w:val="00016C6C"/>
    <w:rsid w:val="000179C0"/>
    <w:rsid w:val="00020EEC"/>
    <w:rsid w:val="00021211"/>
    <w:rsid w:val="0002253F"/>
    <w:rsid w:val="00023DA9"/>
    <w:rsid w:val="000247B0"/>
    <w:rsid w:val="00025A60"/>
    <w:rsid w:val="00026997"/>
    <w:rsid w:val="00026A08"/>
    <w:rsid w:val="00030496"/>
    <w:rsid w:val="000327BC"/>
    <w:rsid w:val="00032E4E"/>
    <w:rsid w:val="00033E0B"/>
    <w:rsid w:val="0003414E"/>
    <w:rsid w:val="00035EDE"/>
    <w:rsid w:val="00046B89"/>
    <w:rsid w:val="00046E83"/>
    <w:rsid w:val="000509B4"/>
    <w:rsid w:val="00053227"/>
    <w:rsid w:val="00054621"/>
    <w:rsid w:val="0006035B"/>
    <w:rsid w:val="0006096F"/>
    <w:rsid w:val="00062F77"/>
    <w:rsid w:val="000647E4"/>
    <w:rsid w:val="000649C5"/>
    <w:rsid w:val="00071886"/>
    <w:rsid w:val="0007282C"/>
    <w:rsid w:val="00073A05"/>
    <w:rsid w:val="00073C01"/>
    <w:rsid w:val="000742BC"/>
    <w:rsid w:val="000742CF"/>
    <w:rsid w:val="00075AA7"/>
    <w:rsid w:val="00076CC6"/>
    <w:rsid w:val="00081F16"/>
    <w:rsid w:val="00082699"/>
    <w:rsid w:val="00082A0C"/>
    <w:rsid w:val="00083504"/>
    <w:rsid w:val="0008504A"/>
    <w:rsid w:val="0008600F"/>
    <w:rsid w:val="00091F8F"/>
    <w:rsid w:val="0009640C"/>
    <w:rsid w:val="0009740E"/>
    <w:rsid w:val="0009758D"/>
    <w:rsid w:val="000A4383"/>
    <w:rsid w:val="000B122B"/>
    <w:rsid w:val="000B1972"/>
    <w:rsid w:val="000B22A2"/>
    <w:rsid w:val="000B42A1"/>
    <w:rsid w:val="000B631E"/>
    <w:rsid w:val="000B6F10"/>
    <w:rsid w:val="000B73F9"/>
    <w:rsid w:val="000C257A"/>
    <w:rsid w:val="000C2838"/>
    <w:rsid w:val="000C2A52"/>
    <w:rsid w:val="000D0434"/>
    <w:rsid w:val="000D22CA"/>
    <w:rsid w:val="000D2429"/>
    <w:rsid w:val="000D26D7"/>
    <w:rsid w:val="000D33C0"/>
    <w:rsid w:val="000D4CF6"/>
    <w:rsid w:val="000D63C8"/>
    <w:rsid w:val="000D6941"/>
    <w:rsid w:val="000E0657"/>
    <w:rsid w:val="000E282C"/>
    <w:rsid w:val="000E2D00"/>
    <w:rsid w:val="000E5B95"/>
    <w:rsid w:val="000E7773"/>
    <w:rsid w:val="000F36ED"/>
    <w:rsid w:val="000F4829"/>
    <w:rsid w:val="000F4F37"/>
    <w:rsid w:val="000F545C"/>
    <w:rsid w:val="000F5807"/>
    <w:rsid w:val="000F696C"/>
    <w:rsid w:val="000F767A"/>
    <w:rsid w:val="001007D0"/>
    <w:rsid w:val="00100AD8"/>
    <w:rsid w:val="00102A55"/>
    <w:rsid w:val="00102C7D"/>
    <w:rsid w:val="001052DE"/>
    <w:rsid w:val="00110A3A"/>
    <w:rsid w:val="001202E3"/>
    <w:rsid w:val="0012047C"/>
    <w:rsid w:val="00120793"/>
    <w:rsid w:val="00120A8C"/>
    <w:rsid w:val="00123699"/>
    <w:rsid w:val="00123983"/>
    <w:rsid w:val="001241FB"/>
    <w:rsid w:val="00126067"/>
    <w:rsid w:val="00127707"/>
    <w:rsid w:val="00127BAA"/>
    <w:rsid w:val="0013059D"/>
    <w:rsid w:val="00134BAE"/>
    <w:rsid w:val="00136187"/>
    <w:rsid w:val="00136503"/>
    <w:rsid w:val="00137C47"/>
    <w:rsid w:val="00141A55"/>
    <w:rsid w:val="00141C3E"/>
    <w:rsid w:val="0014293F"/>
    <w:rsid w:val="00142E7F"/>
    <w:rsid w:val="0014397D"/>
    <w:rsid w:val="00143ADA"/>
    <w:rsid w:val="001446A3"/>
    <w:rsid w:val="001449F6"/>
    <w:rsid w:val="00151B1B"/>
    <w:rsid w:val="00151CD9"/>
    <w:rsid w:val="00152B6B"/>
    <w:rsid w:val="00154C85"/>
    <w:rsid w:val="00155095"/>
    <w:rsid w:val="00155395"/>
    <w:rsid w:val="00156B6B"/>
    <w:rsid w:val="00156D61"/>
    <w:rsid w:val="001575F4"/>
    <w:rsid w:val="00160D74"/>
    <w:rsid w:val="0016132B"/>
    <w:rsid w:val="00163631"/>
    <w:rsid w:val="001646EA"/>
    <w:rsid w:val="00164C04"/>
    <w:rsid w:val="00167D02"/>
    <w:rsid w:val="001759D8"/>
    <w:rsid w:val="0017600F"/>
    <w:rsid w:val="00177010"/>
    <w:rsid w:val="00177D7F"/>
    <w:rsid w:val="00180C3F"/>
    <w:rsid w:val="00181EC8"/>
    <w:rsid w:val="00182605"/>
    <w:rsid w:val="00184349"/>
    <w:rsid w:val="00186352"/>
    <w:rsid w:val="001872F0"/>
    <w:rsid w:val="00190616"/>
    <w:rsid w:val="00190CD7"/>
    <w:rsid w:val="0019324D"/>
    <w:rsid w:val="00193786"/>
    <w:rsid w:val="00195F33"/>
    <w:rsid w:val="00196824"/>
    <w:rsid w:val="001A0EB6"/>
    <w:rsid w:val="001A3EBE"/>
    <w:rsid w:val="001A41FA"/>
    <w:rsid w:val="001A4A14"/>
    <w:rsid w:val="001A576D"/>
    <w:rsid w:val="001A742B"/>
    <w:rsid w:val="001B1617"/>
    <w:rsid w:val="001B2D56"/>
    <w:rsid w:val="001B504B"/>
    <w:rsid w:val="001B6160"/>
    <w:rsid w:val="001B6224"/>
    <w:rsid w:val="001B6F98"/>
    <w:rsid w:val="001C191A"/>
    <w:rsid w:val="001C5F20"/>
    <w:rsid w:val="001C7D3A"/>
    <w:rsid w:val="001D119B"/>
    <w:rsid w:val="001D22B6"/>
    <w:rsid w:val="001D3874"/>
    <w:rsid w:val="001D3C3F"/>
    <w:rsid w:val="001D7C7A"/>
    <w:rsid w:val="001D7E75"/>
    <w:rsid w:val="001E0D73"/>
    <w:rsid w:val="001E343F"/>
    <w:rsid w:val="001E45BD"/>
    <w:rsid w:val="001E56D2"/>
    <w:rsid w:val="001E7D56"/>
    <w:rsid w:val="001F1A86"/>
    <w:rsid w:val="001F5A9A"/>
    <w:rsid w:val="001F75DE"/>
    <w:rsid w:val="001F7B7B"/>
    <w:rsid w:val="00200D58"/>
    <w:rsid w:val="002011C1"/>
    <w:rsid w:val="002013BE"/>
    <w:rsid w:val="00201EDC"/>
    <w:rsid w:val="00205EDC"/>
    <w:rsid w:val="002063A4"/>
    <w:rsid w:val="00206B3C"/>
    <w:rsid w:val="002079D0"/>
    <w:rsid w:val="0021145B"/>
    <w:rsid w:val="00213695"/>
    <w:rsid w:val="00213993"/>
    <w:rsid w:val="00213D75"/>
    <w:rsid w:val="00217D06"/>
    <w:rsid w:val="00220C23"/>
    <w:rsid w:val="002228E0"/>
    <w:rsid w:val="00223B1F"/>
    <w:rsid w:val="002247F6"/>
    <w:rsid w:val="00225E21"/>
    <w:rsid w:val="002343B4"/>
    <w:rsid w:val="00234E78"/>
    <w:rsid w:val="002366CE"/>
    <w:rsid w:val="002368A8"/>
    <w:rsid w:val="00241232"/>
    <w:rsid w:val="00243D36"/>
    <w:rsid w:val="0024582D"/>
    <w:rsid w:val="00246151"/>
    <w:rsid w:val="002465AC"/>
    <w:rsid w:val="002469BE"/>
    <w:rsid w:val="00247707"/>
    <w:rsid w:val="0025097E"/>
    <w:rsid w:val="00252E70"/>
    <w:rsid w:val="002532DB"/>
    <w:rsid w:val="002539F6"/>
    <w:rsid w:val="0026018E"/>
    <w:rsid w:val="00262AD6"/>
    <w:rsid w:val="0026553C"/>
    <w:rsid w:val="002676BF"/>
    <w:rsid w:val="00275EAB"/>
    <w:rsid w:val="00276657"/>
    <w:rsid w:val="0027708D"/>
    <w:rsid w:val="00277299"/>
    <w:rsid w:val="0028395C"/>
    <w:rsid w:val="00283ED0"/>
    <w:rsid w:val="00286740"/>
    <w:rsid w:val="002878F5"/>
    <w:rsid w:val="00291110"/>
    <w:rsid w:val="0029126E"/>
    <w:rsid w:val="00291E9F"/>
    <w:rsid w:val="00291EAE"/>
    <w:rsid w:val="0029212F"/>
    <w:rsid w:val="002929D8"/>
    <w:rsid w:val="0029570E"/>
    <w:rsid w:val="002A0E16"/>
    <w:rsid w:val="002A237D"/>
    <w:rsid w:val="002A4C53"/>
    <w:rsid w:val="002A5A89"/>
    <w:rsid w:val="002A5E08"/>
    <w:rsid w:val="002B04BD"/>
    <w:rsid w:val="002B0672"/>
    <w:rsid w:val="002B0CEC"/>
    <w:rsid w:val="002B247F"/>
    <w:rsid w:val="002B2DAC"/>
    <w:rsid w:val="002B302D"/>
    <w:rsid w:val="002B50D4"/>
    <w:rsid w:val="002B58A3"/>
    <w:rsid w:val="002B66A3"/>
    <w:rsid w:val="002C10F0"/>
    <w:rsid w:val="002C145D"/>
    <w:rsid w:val="002C2066"/>
    <w:rsid w:val="002C2C3E"/>
    <w:rsid w:val="002C309F"/>
    <w:rsid w:val="002C34D8"/>
    <w:rsid w:val="002C4F63"/>
    <w:rsid w:val="002C533E"/>
    <w:rsid w:val="002C6870"/>
    <w:rsid w:val="002D01AE"/>
    <w:rsid w:val="002D027F"/>
    <w:rsid w:val="002D317E"/>
    <w:rsid w:val="002D379C"/>
    <w:rsid w:val="002D3E15"/>
    <w:rsid w:val="002D528D"/>
    <w:rsid w:val="002D66E1"/>
    <w:rsid w:val="002D7A85"/>
    <w:rsid w:val="002D7B60"/>
    <w:rsid w:val="002E01A5"/>
    <w:rsid w:val="002E1A11"/>
    <w:rsid w:val="002E1D1D"/>
    <w:rsid w:val="002E2148"/>
    <w:rsid w:val="002E30AB"/>
    <w:rsid w:val="002E371D"/>
    <w:rsid w:val="002E47C0"/>
    <w:rsid w:val="002E7B6B"/>
    <w:rsid w:val="002F1CFE"/>
    <w:rsid w:val="002F3A73"/>
    <w:rsid w:val="002F458C"/>
    <w:rsid w:val="002F4761"/>
    <w:rsid w:val="002F5C79"/>
    <w:rsid w:val="002F627D"/>
    <w:rsid w:val="002F68EE"/>
    <w:rsid w:val="003019E2"/>
    <w:rsid w:val="00301EAF"/>
    <w:rsid w:val="00302BEB"/>
    <w:rsid w:val="00303532"/>
    <w:rsid w:val="00307AB7"/>
    <w:rsid w:val="00310BEB"/>
    <w:rsid w:val="003117BE"/>
    <w:rsid w:val="00312543"/>
    <w:rsid w:val="003127E5"/>
    <w:rsid w:val="00313A62"/>
    <w:rsid w:val="0031413F"/>
    <w:rsid w:val="00314854"/>
    <w:rsid w:val="003148BB"/>
    <w:rsid w:val="003160A0"/>
    <w:rsid w:val="00317976"/>
    <w:rsid w:val="003201CF"/>
    <w:rsid w:val="00320F2F"/>
    <w:rsid w:val="00321593"/>
    <w:rsid w:val="003235B3"/>
    <w:rsid w:val="003251B7"/>
    <w:rsid w:val="00325915"/>
    <w:rsid w:val="00326990"/>
    <w:rsid w:val="00333915"/>
    <w:rsid w:val="00335226"/>
    <w:rsid w:val="00343E76"/>
    <w:rsid w:val="003447E7"/>
    <w:rsid w:val="0034653C"/>
    <w:rsid w:val="00346878"/>
    <w:rsid w:val="00350EA9"/>
    <w:rsid w:val="003529ED"/>
    <w:rsid w:val="00353081"/>
    <w:rsid w:val="003531CC"/>
    <w:rsid w:val="00355EA9"/>
    <w:rsid w:val="003578DE"/>
    <w:rsid w:val="00357A55"/>
    <w:rsid w:val="00360FD1"/>
    <w:rsid w:val="00361688"/>
    <w:rsid w:val="003635FE"/>
    <w:rsid w:val="00372594"/>
    <w:rsid w:val="003824BE"/>
    <w:rsid w:val="003825B7"/>
    <w:rsid w:val="00385588"/>
    <w:rsid w:val="00386F90"/>
    <w:rsid w:val="003877D5"/>
    <w:rsid w:val="003929B8"/>
    <w:rsid w:val="0039545C"/>
    <w:rsid w:val="00396257"/>
    <w:rsid w:val="00396989"/>
    <w:rsid w:val="00397EB8"/>
    <w:rsid w:val="003A0458"/>
    <w:rsid w:val="003A4FD0"/>
    <w:rsid w:val="003A4FE4"/>
    <w:rsid w:val="003A69D1"/>
    <w:rsid w:val="003A7705"/>
    <w:rsid w:val="003A77F1"/>
    <w:rsid w:val="003B0DC5"/>
    <w:rsid w:val="003B1060"/>
    <w:rsid w:val="003B12DA"/>
    <w:rsid w:val="003B1545"/>
    <w:rsid w:val="003B307D"/>
    <w:rsid w:val="003B5C60"/>
    <w:rsid w:val="003C17AF"/>
    <w:rsid w:val="003C2A8A"/>
    <w:rsid w:val="003C3219"/>
    <w:rsid w:val="003C409D"/>
    <w:rsid w:val="003C46FB"/>
    <w:rsid w:val="003C5583"/>
    <w:rsid w:val="003C56B0"/>
    <w:rsid w:val="003C5BA6"/>
    <w:rsid w:val="003C6839"/>
    <w:rsid w:val="003C74CF"/>
    <w:rsid w:val="003D3752"/>
    <w:rsid w:val="003D49B8"/>
    <w:rsid w:val="003D4A81"/>
    <w:rsid w:val="003E2AED"/>
    <w:rsid w:val="003E35DA"/>
    <w:rsid w:val="003E3823"/>
    <w:rsid w:val="003E3C02"/>
    <w:rsid w:val="003E455D"/>
    <w:rsid w:val="003E5FCF"/>
    <w:rsid w:val="003F01CC"/>
    <w:rsid w:val="003F0566"/>
    <w:rsid w:val="003F0E85"/>
    <w:rsid w:val="003F3DD9"/>
    <w:rsid w:val="003F3E8C"/>
    <w:rsid w:val="003F4ADD"/>
    <w:rsid w:val="003F70FF"/>
    <w:rsid w:val="00401525"/>
    <w:rsid w:val="00403191"/>
    <w:rsid w:val="00406A7D"/>
    <w:rsid w:val="00410B43"/>
    <w:rsid w:val="00410C55"/>
    <w:rsid w:val="0041352A"/>
    <w:rsid w:val="00413FC3"/>
    <w:rsid w:val="00414397"/>
    <w:rsid w:val="00416854"/>
    <w:rsid w:val="00417725"/>
    <w:rsid w:val="0041795B"/>
    <w:rsid w:val="00422A98"/>
    <w:rsid w:val="004262E2"/>
    <w:rsid w:val="00426445"/>
    <w:rsid w:val="00430F99"/>
    <w:rsid w:val="00437488"/>
    <w:rsid w:val="00437F26"/>
    <w:rsid w:val="00444097"/>
    <w:rsid w:val="00445487"/>
    <w:rsid w:val="00447E0D"/>
    <w:rsid w:val="004529F3"/>
    <w:rsid w:val="00454769"/>
    <w:rsid w:val="00456952"/>
    <w:rsid w:val="00457F03"/>
    <w:rsid w:val="00465D27"/>
    <w:rsid w:val="00466991"/>
    <w:rsid w:val="00467497"/>
    <w:rsid w:val="00467E9C"/>
    <w:rsid w:val="0047064C"/>
    <w:rsid w:val="00473236"/>
    <w:rsid w:val="004738BD"/>
    <w:rsid w:val="00474687"/>
    <w:rsid w:val="00475AA7"/>
    <w:rsid w:val="00480508"/>
    <w:rsid w:val="004822B7"/>
    <w:rsid w:val="00484216"/>
    <w:rsid w:val="00487AC8"/>
    <w:rsid w:val="00487B3F"/>
    <w:rsid w:val="004904EF"/>
    <w:rsid w:val="00491432"/>
    <w:rsid w:val="00493784"/>
    <w:rsid w:val="0049469E"/>
    <w:rsid w:val="00497C02"/>
    <w:rsid w:val="004A07E6"/>
    <w:rsid w:val="004A2217"/>
    <w:rsid w:val="004A24F9"/>
    <w:rsid w:val="004A2539"/>
    <w:rsid w:val="004A30FA"/>
    <w:rsid w:val="004A4049"/>
    <w:rsid w:val="004A42E1"/>
    <w:rsid w:val="004A6A62"/>
    <w:rsid w:val="004B162C"/>
    <w:rsid w:val="004B2ABE"/>
    <w:rsid w:val="004B4518"/>
    <w:rsid w:val="004B7FCF"/>
    <w:rsid w:val="004C263F"/>
    <w:rsid w:val="004C3DBE"/>
    <w:rsid w:val="004C58DA"/>
    <w:rsid w:val="004C5C96"/>
    <w:rsid w:val="004D06A4"/>
    <w:rsid w:val="004D0B6A"/>
    <w:rsid w:val="004D0FB5"/>
    <w:rsid w:val="004D1BF6"/>
    <w:rsid w:val="004D3102"/>
    <w:rsid w:val="004D49E7"/>
    <w:rsid w:val="004E46F3"/>
    <w:rsid w:val="004E5DAD"/>
    <w:rsid w:val="004F1A81"/>
    <w:rsid w:val="004F3E22"/>
    <w:rsid w:val="004F6934"/>
    <w:rsid w:val="00501761"/>
    <w:rsid w:val="005023B8"/>
    <w:rsid w:val="005050D2"/>
    <w:rsid w:val="0051075E"/>
    <w:rsid w:val="005129FA"/>
    <w:rsid w:val="00513B22"/>
    <w:rsid w:val="005218D9"/>
    <w:rsid w:val="00521B62"/>
    <w:rsid w:val="00527EFE"/>
    <w:rsid w:val="00531CE8"/>
    <w:rsid w:val="00534604"/>
    <w:rsid w:val="00535E42"/>
    <w:rsid w:val="00535FF4"/>
    <w:rsid w:val="00536186"/>
    <w:rsid w:val="00536F6F"/>
    <w:rsid w:val="005409B1"/>
    <w:rsid w:val="00543AFC"/>
    <w:rsid w:val="00544CBB"/>
    <w:rsid w:val="00550A37"/>
    <w:rsid w:val="00551955"/>
    <w:rsid w:val="005526F1"/>
    <w:rsid w:val="005556EE"/>
    <w:rsid w:val="00557496"/>
    <w:rsid w:val="005608B0"/>
    <w:rsid w:val="00562812"/>
    <w:rsid w:val="00564E38"/>
    <w:rsid w:val="005656D7"/>
    <w:rsid w:val="00565D20"/>
    <w:rsid w:val="00567FAF"/>
    <w:rsid w:val="0057315F"/>
    <w:rsid w:val="00573D02"/>
    <w:rsid w:val="00576104"/>
    <w:rsid w:val="00576DAA"/>
    <w:rsid w:val="00581AB9"/>
    <w:rsid w:val="00583BFC"/>
    <w:rsid w:val="00585B6B"/>
    <w:rsid w:val="0059181E"/>
    <w:rsid w:val="00592B21"/>
    <w:rsid w:val="005939D8"/>
    <w:rsid w:val="00595C31"/>
    <w:rsid w:val="005A000C"/>
    <w:rsid w:val="005A0F44"/>
    <w:rsid w:val="005A0F57"/>
    <w:rsid w:val="005A1F6B"/>
    <w:rsid w:val="005A61B9"/>
    <w:rsid w:val="005B246C"/>
    <w:rsid w:val="005B306B"/>
    <w:rsid w:val="005B44BF"/>
    <w:rsid w:val="005B7AD3"/>
    <w:rsid w:val="005C0ED6"/>
    <w:rsid w:val="005C3F23"/>
    <w:rsid w:val="005C4DDE"/>
    <w:rsid w:val="005C51BB"/>
    <w:rsid w:val="005C67C8"/>
    <w:rsid w:val="005C7CC4"/>
    <w:rsid w:val="005D0249"/>
    <w:rsid w:val="005D18FA"/>
    <w:rsid w:val="005D2EBB"/>
    <w:rsid w:val="005D4FD4"/>
    <w:rsid w:val="005D5017"/>
    <w:rsid w:val="005D6E8C"/>
    <w:rsid w:val="005E098A"/>
    <w:rsid w:val="005E1F8B"/>
    <w:rsid w:val="005E3004"/>
    <w:rsid w:val="005E3584"/>
    <w:rsid w:val="005E3881"/>
    <w:rsid w:val="005E3E8B"/>
    <w:rsid w:val="005E52B7"/>
    <w:rsid w:val="005F07D4"/>
    <w:rsid w:val="005F100C"/>
    <w:rsid w:val="005F12AD"/>
    <w:rsid w:val="005F3A64"/>
    <w:rsid w:val="005F3B4C"/>
    <w:rsid w:val="005F4274"/>
    <w:rsid w:val="005F4A86"/>
    <w:rsid w:val="005F5FFA"/>
    <w:rsid w:val="005F6767"/>
    <w:rsid w:val="005F68DA"/>
    <w:rsid w:val="00600363"/>
    <w:rsid w:val="00600A7E"/>
    <w:rsid w:val="00601BC9"/>
    <w:rsid w:val="006020A2"/>
    <w:rsid w:val="00602DB0"/>
    <w:rsid w:val="006035A3"/>
    <w:rsid w:val="006042E7"/>
    <w:rsid w:val="006073E6"/>
    <w:rsid w:val="0060773B"/>
    <w:rsid w:val="00607DD3"/>
    <w:rsid w:val="00613FD6"/>
    <w:rsid w:val="006157B5"/>
    <w:rsid w:val="00615D0B"/>
    <w:rsid w:val="0061659A"/>
    <w:rsid w:val="00617224"/>
    <w:rsid w:val="00620D92"/>
    <w:rsid w:val="006255E0"/>
    <w:rsid w:val="006267AF"/>
    <w:rsid w:val="00626A57"/>
    <w:rsid w:val="00626FC6"/>
    <w:rsid w:val="006303B4"/>
    <w:rsid w:val="00630927"/>
    <w:rsid w:val="00630ADC"/>
    <w:rsid w:val="00631597"/>
    <w:rsid w:val="006319AA"/>
    <w:rsid w:val="00633D3D"/>
    <w:rsid w:val="00641703"/>
    <w:rsid w:val="006431A6"/>
    <w:rsid w:val="006432E0"/>
    <w:rsid w:val="00643E3A"/>
    <w:rsid w:val="00645742"/>
    <w:rsid w:val="006459F6"/>
    <w:rsid w:val="006501AD"/>
    <w:rsid w:val="00650D05"/>
    <w:rsid w:val="00650FD6"/>
    <w:rsid w:val="00651BFA"/>
    <w:rsid w:val="00654475"/>
    <w:rsid w:val="0065554B"/>
    <w:rsid w:val="00655F6B"/>
    <w:rsid w:val="00656D67"/>
    <w:rsid w:val="00656DF0"/>
    <w:rsid w:val="00656F66"/>
    <w:rsid w:val="00657AB7"/>
    <w:rsid w:val="00662B16"/>
    <w:rsid w:val="00665A4B"/>
    <w:rsid w:val="00666255"/>
    <w:rsid w:val="00670249"/>
    <w:rsid w:val="00670896"/>
    <w:rsid w:val="006720F0"/>
    <w:rsid w:val="006723B7"/>
    <w:rsid w:val="00673E28"/>
    <w:rsid w:val="00673E6D"/>
    <w:rsid w:val="00676D9D"/>
    <w:rsid w:val="00677B7A"/>
    <w:rsid w:val="00680825"/>
    <w:rsid w:val="006811A4"/>
    <w:rsid w:val="00681AC0"/>
    <w:rsid w:val="00682B0B"/>
    <w:rsid w:val="00690250"/>
    <w:rsid w:val="00690B69"/>
    <w:rsid w:val="00692353"/>
    <w:rsid w:val="00692E2A"/>
    <w:rsid w:val="00693794"/>
    <w:rsid w:val="00693B53"/>
    <w:rsid w:val="006A0361"/>
    <w:rsid w:val="006A6E23"/>
    <w:rsid w:val="006A7576"/>
    <w:rsid w:val="006A76F2"/>
    <w:rsid w:val="006A77B7"/>
    <w:rsid w:val="006B0583"/>
    <w:rsid w:val="006B0B7E"/>
    <w:rsid w:val="006B1418"/>
    <w:rsid w:val="006B4D3E"/>
    <w:rsid w:val="006C2824"/>
    <w:rsid w:val="006C415B"/>
    <w:rsid w:val="006C4827"/>
    <w:rsid w:val="006C6FD1"/>
    <w:rsid w:val="006D09F1"/>
    <w:rsid w:val="006D19D4"/>
    <w:rsid w:val="006D4328"/>
    <w:rsid w:val="006D4D40"/>
    <w:rsid w:val="006D5095"/>
    <w:rsid w:val="006D5141"/>
    <w:rsid w:val="006D7EFB"/>
    <w:rsid w:val="006E3ABF"/>
    <w:rsid w:val="006E5956"/>
    <w:rsid w:val="006E6672"/>
    <w:rsid w:val="006E6722"/>
    <w:rsid w:val="006E7B0C"/>
    <w:rsid w:val="006F4413"/>
    <w:rsid w:val="006F4D5D"/>
    <w:rsid w:val="006F7AFF"/>
    <w:rsid w:val="0070122D"/>
    <w:rsid w:val="00702064"/>
    <w:rsid w:val="007027B9"/>
    <w:rsid w:val="0070321C"/>
    <w:rsid w:val="00703BD6"/>
    <w:rsid w:val="007066B5"/>
    <w:rsid w:val="007128B0"/>
    <w:rsid w:val="00713F17"/>
    <w:rsid w:val="007145DA"/>
    <w:rsid w:val="00715731"/>
    <w:rsid w:val="00715A5A"/>
    <w:rsid w:val="00715E88"/>
    <w:rsid w:val="007160EE"/>
    <w:rsid w:val="0071731B"/>
    <w:rsid w:val="007206DB"/>
    <w:rsid w:val="00720825"/>
    <w:rsid w:val="007214F9"/>
    <w:rsid w:val="007215A0"/>
    <w:rsid w:val="00723706"/>
    <w:rsid w:val="00725717"/>
    <w:rsid w:val="00727837"/>
    <w:rsid w:val="0073374C"/>
    <w:rsid w:val="007346DB"/>
    <w:rsid w:val="00734CAA"/>
    <w:rsid w:val="007362CD"/>
    <w:rsid w:val="0073700C"/>
    <w:rsid w:val="00740409"/>
    <w:rsid w:val="00741552"/>
    <w:rsid w:val="00742680"/>
    <w:rsid w:val="00746ECE"/>
    <w:rsid w:val="00750F07"/>
    <w:rsid w:val="00755202"/>
    <w:rsid w:val="0075533C"/>
    <w:rsid w:val="00757581"/>
    <w:rsid w:val="0075772E"/>
    <w:rsid w:val="007602F5"/>
    <w:rsid w:val="00760D36"/>
    <w:rsid w:val="00760F2D"/>
    <w:rsid w:val="007611A0"/>
    <w:rsid w:val="00761253"/>
    <w:rsid w:val="007628C1"/>
    <w:rsid w:val="007630EB"/>
    <w:rsid w:val="00764537"/>
    <w:rsid w:val="00766D5C"/>
    <w:rsid w:val="00770BB9"/>
    <w:rsid w:val="00770C7B"/>
    <w:rsid w:val="00773E54"/>
    <w:rsid w:val="00776E9E"/>
    <w:rsid w:val="00781489"/>
    <w:rsid w:val="00781C6B"/>
    <w:rsid w:val="007832AA"/>
    <w:rsid w:val="00784D32"/>
    <w:rsid w:val="00787688"/>
    <w:rsid w:val="00791EB3"/>
    <w:rsid w:val="007935E6"/>
    <w:rsid w:val="00794EE2"/>
    <w:rsid w:val="00796BA0"/>
    <w:rsid w:val="00796D3F"/>
    <w:rsid w:val="00797FC0"/>
    <w:rsid w:val="007A1683"/>
    <w:rsid w:val="007A24FE"/>
    <w:rsid w:val="007A48DC"/>
    <w:rsid w:val="007A5C12"/>
    <w:rsid w:val="007A7595"/>
    <w:rsid w:val="007A7CB0"/>
    <w:rsid w:val="007B1F67"/>
    <w:rsid w:val="007B28A1"/>
    <w:rsid w:val="007B4279"/>
    <w:rsid w:val="007B529C"/>
    <w:rsid w:val="007B6039"/>
    <w:rsid w:val="007B68A3"/>
    <w:rsid w:val="007B6EB6"/>
    <w:rsid w:val="007B7696"/>
    <w:rsid w:val="007B7924"/>
    <w:rsid w:val="007C0E5D"/>
    <w:rsid w:val="007C2541"/>
    <w:rsid w:val="007C444F"/>
    <w:rsid w:val="007D35ED"/>
    <w:rsid w:val="007D4832"/>
    <w:rsid w:val="007D66A8"/>
    <w:rsid w:val="007E003F"/>
    <w:rsid w:val="007E060C"/>
    <w:rsid w:val="007E21E4"/>
    <w:rsid w:val="007E3A01"/>
    <w:rsid w:val="007E488A"/>
    <w:rsid w:val="007E58BB"/>
    <w:rsid w:val="007F0CF8"/>
    <w:rsid w:val="007F0E1E"/>
    <w:rsid w:val="007F322F"/>
    <w:rsid w:val="007F41F5"/>
    <w:rsid w:val="007F62CB"/>
    <w:rsid w:val="007F78E9"/>
    <w:rsid w:val="00805BB0"/>
    <w:rsid w:val="00811FD6"/>
    <w:rsid w:val="00812046"/>
    <w:rsid w:val="008142EC"/>
    <w:rsid w:val="008164F2"/>
    <w:rsid w:val="0081796F"/>
    <w:rsid w:val="00817A17"/>
    <w:rsid w:val="00821395"/>
    <w:rsid w:val="008249E8"/>
    <w:rsid w:val="00826102"/>
    <w:rsid w:val="00830E26"/>
    <w:rsid w:val="008313A0"/>
    <w:rsid w:val="0083302D"/>
    <w:rsid w:val="00834D96"/>
    <w:rsid w:val="008350BB"/>
    <w:rsid w:val="008353CA"/>
    <w:rsid w:val="008370FA"/>
    <w:rsid w:val="00837D46"/>
    <w:rsid w:val="00842578"/>
    <w:rsid w:val="00843576"/>
    <w:rsid w:val="00843B64"/>
    <w:rsid w:val="0084666C"/>
    <w:rsid w:val="00846A2A"/>
    <w:rsid w:val="008478FC"/>
    <w:rsid w:val="00850D2C"/>
    <w:rsid w:val="008512FA"/>
    <w:rsid w:val="00851659"/>
    <w:rsid w:val="00851C51"/>
    <w:rsid w:val="00853DB1"/>
    <w:rsid w:val="00856CDB"/>
    <w:rsid w:val="00861A7F"/>
    <w:rsid w:val="0086694D"/>
    <w:rsid w:val="00867BFF"/>
    <w:rsid w:val="00870470"/>
    <w:rsid w:val="00871542"/>
    <w:rsid w:val="00872BF6"/>
    <w:rsid w:val="0087428A"/>
    <w:rsid w:val="008758C8"/>
    <w:rsid w:val="0088480A"/>
    <w:rsid w:val="0088757A"/>
    <w:rsid w:val="008900B2"/>
    <w:rsid w:val="00893185"/>
    <w:rsid w:val="00893FB1"/>
    <w:rsid w:val="0089431B"/>
    <w:rsid w:val="00894B22"/>
    <w:rsid w:val="00895668"/>
    <w:rsid w:val="008957DD"/>
    <w:rsid w:val="00896DFC"/>
    <w:rsid w:val="00897976"/>
    <w:rsid w:val="00897D98"/>
    <w:rsid w:val="008A2C5F"/>
    <w:rsid w:val="008A6DF2"/>
    <w:rsid w:val="008A7807"/>
    <w:rsid w:val="008B0264"/>
    <w:rsid w:val="008B0522"/>
    <w:rsid w:val="008B229A"/>
    <w:rsid w:val="008B4CC9"/>
    <w:rsid w:val="008B5F6B"/>
    <w:rsid w:val="008B7623"/>
    <w:rsid w:val="008B7CE9"/>
    <w:rsid w:val="008C362C"/>
    <w:rsid w:val="008C55AF"/>
    <w:rsid w:val="008D0E01"/>
    <w:rsid w:val="008D12F2"/>
    <w:rsid w:val="008D2FBE"/>
    <w:rsid w:val="008D39EB"/>
    <w:rsid w:val="008D4A89"/>
    <w:rsid w:val="008D5C0C"/>
    <w:rsid w:val="008D5EF4"/>
    <w:rsid w:val="008D75E4"/>
    <w:rsid w:val="008D7C99"/>
    <w:rsid w:val="008E0E38"/>
    <w:rsid w:val="008E0F71"/>
    <w:rsid w:val="008E0FCB"/>
    <w:rsid w:val="008E1572"/>
    <w:rsid w:val="008E5BF8"/>
    <w:rsid w:val="008E7826"/>
    <w:rsid w:val="008E7AD7"/>
    <w:rsid w:val="008F0872"/>
    <w:rsid w:val="008F250E"/>
    <w:rsid w:val="008F461B"/>
    <w:rsid w:val="008F6DFE"/>
    <w:rsid w:val="008F70A6"/>
    <w:rsid w:val="009008D9"/>
    <w:rsid w:val="00900D32"/>
    <w:rsid w:val="00902056"/>
    <w:rsid w:val="0090529F"/>
    <w:rsid w:val="0090674F"/>
    <w:rsid w:val="00907795"/>
    <w:rsid w:val="0091390F"/>
    <w:rsid w:val="00916C56"/>
    <w:rsid w:val="00917005"/>
    <w:rsid w:val="009206FF"/>
    <w:rsid w:val="0092092A"/>
    <w:rsid w:val="00920B74"/>
    <w:rsid w:val="00921330"/>
    <w:rsid w:val="0092178C"/>
    <w:rsid w:val="00921841"/>
    <w:rsid w:val="00921CA5"/>
    <w:rsid w:val="0092297A"/>
    <w:rsid w:val="00924A60"/>
    <w:rsid w:val="0092778A"/>
    <w:rsid w:val="00930B88"/>
    <w:rsid w:val="00931F11"/>
    <w:rsid w:val="00935845"/>
    <w:rsid w:val="0093672D"/>
    <w:rsid w:val="009377B4"/>
    <w:rsid w:val="009377F6"/>
    <w:rsid w:val="009404C9"/>
    <w:rsid w:val="00940DCC"/>
    <w:rsid w:val="0094179A"/>
    <w:rsid w:val="009424C7"/>
    <w:rsid w:val="0094459E"/>
    <w:rsid w:val="00944DBC"/>
    <w:rsid w:val="00950977"/>
    <w:rsid w:val="00951A7B"/>
    <w:rsid w:val="00951ECA"/>
    <w:rsid w:val="00954868"/>
    <w:rsid w:val="00954F57"/>
    <w:rsid w:val="00955A3B"/>
    <w:rsid w:val="009564A6"/>
    <w:rsid w:val="00957461"/>
    <w:rsid w:val="009600D3"/>
    <w:rsid w:val="009604FB"/>
    <w:rsid w:val="00960C99"/>
    <w:rsid w:val="009637E8"/>
    <w:rsid w:val="00966A53"/>
    <w:rsid w:val="00967621"/>
    <w:rsid w:val="00967E6A"/>
    <w:rsid w:val="00977801"/>
    <w:rsid w:val="009825BB"/>
    <w:rsid w:val="0098267A"/>
    <w:rsid w:val="009907B9"/>
    <w:rsid w:val="00990918"/>
    <w:rsid w:val="009923E3"/>
    <w:rsid w:val="0099283B"/>
    <w:rsid w:val="009970D2"/>
    <w:rsid w:val="00997B03"/>
    <w:rsid w:val="009A3A83"/>
    <w:rsid w:val="009A554B"/>
    <w:rsid w:val="009A6B67"/>
    <w:rsid w:val="009B4A0F"/>
    <w:rsid w:val="009B52F4"/>
    <w:rsid w:val="009B5C53"/>
    <w:rsid w:val="009B7170"/>
    <w:rsid w:val="009C11D2"/>
    <w:rsid w:val="009C1644"/>
    <w:rsid w:val="009C2177"/>
    <w:rsid w:val="009C2AE3"/>
    <w:rsid w:val="009C6C70"/>
    <w:rsid w:val="009C7B0A"/>
    <w:rsid w:val="009C7BE5"/>
    <w:rsid w:val="009D0B63"/>
    <w:rsid w:val="009D485C"/>
    <w:rsid w:val="009D5CB8"/>
    <w:rsid w:val="009D601C"/>
    <w:rsid w:val="009E307E"/>
    <w:rsid w:val="009F13F4"/>
    <w:rsid w:val="009F367D"/>
    <w:rsid w:val="009F3F4F"/>
    <w:rsid w:val="009F53C6"/>
    <w:rsid w:val="00A00029"/>
    <w:rsid w:val="00A0646B"/>
    <w:rsid w:val="00A07870"/>
    <w:rsid w:val="00A07C54"/>
    <w:rsid w:val="00A07F19"/>
    <w:rsid w:val="00A10785"/>
    <w:rsid w:val="00A1348D"/>
    <w:rsid w:val="00A13C99"/>
    <w:rsid w:val="00A17EF3"/>
    <w:rsid w:val="00A20E24"/>
    <w:rsid w:val="00A232EE"/>
    <w:rsid w:val="00A24191"/>
    <w:rsid w:val="00A24D71"/>
    <w:rsid w:val="00A31459"/>
    <w:rsid w:val="00A33AC4"/>
    <w:rsid w:val="00A368C4"/>
    <w:rsid w:val="00A414F6"/>
    <w:rsid w:val="00A4175F"/>
    <w:rsid w:val="00A42B32"/>
    <w:rsid w:val="00A44411"/>
    <w:rsid w:val="00A469FA"/>
    <w:rsid w:val="00A50AAD"/>
    <w:rsid w:val="00A5125F"/>
    <w:rsid w:val="00A51CF2"/>
    <w:rsid w:val="00A53662"/>
    <w:rsid w:val="00A53829"/>
    <w:rsid w:val="00A55B01"/>
    <w:rsid w:val="00A56B5B"/>
    <w:rsid w:val="00A577E3"/>
    <w:rsid w:val="00A603FF"/>
    <w:rsid w:val="00A605B8"/>
    <w:rsid w:val="00A619B6"/>
    <w:rsid w:val="00A61FBD"/>
    <w:rsid w:val="00A63562"/>
    <w:rsid w:val="00A648CA"/>
    <w:rsid w:val="00A657DD"/>
    <w:rsid w:val="00A65E91"/>
    <w:rsid w:val="00A666A6"/>
    <w:rsid w:val="00A67151"/>
    <w:rsid w:val="00A675FD"/>
    <w:rsid w:val="00A72437"/>
    <w:rsid w:val="00A76465"/>
    <w:rsid w:val="00A76F84"/>
    <w:rsid w:val="00A8048B"/>
    <w:rsid w:val="00A80611"/>
    <w:rsid w:val="00A80F3A"/>
    <w:rsid w:val="00A82641"/>
    <w:rsid w:val="00A8337B"/>
    <w:rsid w:val="00A835B8"/>
    <w:rsid w:val="00A86774"/>
    <w:rsid w:val="00A91C70"/>
    <w:rsid w:val="00A95EC7"/>
    <w:rsid w:val="00AA25E4"/>
    <w:rsid w:val="00AA344A"/>
    <w:rsid w:val="00AA423D"/>
    <w:rsid w:val="00AA5BF4"/>
    <w:rsid w:val="00AB09F8"/>
    <w:rsid w:val="00AB1972"/>
    <w:rsid w:val="00AB325F"/>
    <w:rsid w:val="00AB5340"/>
    <w:rsid w:val="00AB6A2A"/>
    <w:rsid w:val="00AC0A89"/>
    <w:rsid w:val="00AC104B"/>
    <w:rsid w:val="00AC1B84"/>
    <w:rsid w:val="00AC2059"/>
    <w:rsid w:val="00AC3266"/>
    <w:rsid w:val="00AC4D3A"/>
    <w:rsid w:val="00AC7C96"/>
    <w:rsid w:val="00AD17E3"/>
    <w:rsid w:val="00AD4C03"/>
    <w:rsid w:val="00AD7761"/>
    <w:rsid w:val="00AE237D"/>
    <w:rsid w:val="00AE2987"/>
    <w:rsid w:val="00AE2F7E"/>
    <w:rsid w:val="00AE35B6"/>
    <w:rsid w:val="00AE502A"/>
    <w:rsid w:val="00AE5516"/>
    <w:rsid w:val="00AE6032"/>
    <w:rsid w:val="00AE7F44"/>
    <w:rsid w:val="00AF0010"/>
    <w:rsid w:val="00AF01EB"/>
    <w:rsid w:val="00AF2C1F"/>
    <w:rsid w:val="00AF4DDF"/>
    <w:rsid w:val="00AF55AF"/>
    <w:rsid w:val="00AF5647"/>
    <w:rsid w:val="00AF6C11"/>
    <w:rsid w:val="00AF7C07"/>
    <w:rsid w:val="00AF7C68"/>
    <w:rsid w:val="00B02F7E"/>
    <w:rsid w:val="00B04509"/>
    <w:rsid w:val="00B06B4D"/>
    <w:rsid w:val="00B06C64"/>
    <w:rsid w:val="00B07FCB"/>
    <w:rsid w:val="00B11CAC"/>
    <w:rsid w:val="00B12DDE"/>
    <w:rsid w:val="00B15A29"/>
    <w:rsid w:val="00B2145F"/>
    <w:rsid w:val="00B22253"/>
    <w:rsid w:val="00B22C93"/>
    <w:rsid w:val="00B27589"/>
    <w:rsid w:val="00B33800"/>
    <w:rsid w:val="00B345FD"/>
    <w:rsid w:val="00B405B7"/>
    <w:rsid w:val="00B43CD3"/>
    <w:rsid w:val="00B44408"/>
    <w:rsid w:val="00B46A82"/>
    <w:rsid w:val="00B51017"/>
    <w:rsid w:val="00B511A2"/>
    <w:rsid w:val="00B52222"/>
    <w:rsid w:val="00B523F4"/>
    <w:rsid w:val="00B531DA"/>
    <w:rsid w:val="00B54895"/>
    <w:rsid w:val="00B54FE7"/>
    <w:rsid w:val="00B60418"/>
    <w:rsid w:val="00B6090E"/>
    <w:rsid w:val="00B63100"/>
    <w:rsid w:val="00B647C6"/>
    <w:rsid w:val="00B655F9"/>
    <w:rsid w:val="00B663ED"/>
    <w:rsid w:val="00B665F1"/>
    <w:rsid w:val="00B66901"/>
    <w:rsid w:val="00B679CD"/>
    <w:rsid w:val="00B71E6D"/>
    <w:rsid w:val="00B72049"/>
    <w:rsid w:val="00B72070"/>
    <w:rsid w:val="00B72C1E"/>
    <w:rsid w:val="00B745A7"/>
    <w:rsid w:val="00B77575"/>
    <w:rsid w:val="00B779E1"/>
    <w:rsid w:val="00B81C7A"/>
    <w:rsid w:val="00B81E3A"/>
    <w:rsid w:val="00B8294F"/>
    <w:rsid w:val="00B83DA9"/>
    <w:rsid w:val="00B84355"/>
    <w:rsid w:val="00B8506F"/>
    <w:rsid w:val="00B85CFB"/>
    <w:rsid w:val="00B8656E"/>
    <w:rsid w:val="00B91EE1"/>
    <w:rsid w:val="00B92B3E"/>
    <w:rsid w:val="00B9420F"/>
    <w:rsid w:val="00B94602"/>
    <w:rsid w:val="00BA0090"/>
    <w:rsid w:val="00BA1A67"/>
    <w:rsid w:val="00BA2021"/>
    <w:rsid w:val="00BA2E2F"/>
    <w:rsid w:val="00BA36D4"/>
    <w:rsid w:val="00BA37ED"/>
    <w:rsid w:val="00BA6A80"/>
    <w:rsid w:val="00BB2D61"/>
    <w:rsid w:val="00BB3D5C"/>
    <w:rsid w:val="00BB4ABB"/>
    <w:rsid w:val="00BB4ABE"/>
    <w:rsid w:val="00BC0773"/>
    <w:rsid w:val="00BC13D0"/>
    <w:rsid w:val="00BC375D"/>
    <w:rsid w:val="00BD1743"/>
    <w:rsid w:val="00BD55DB"/>
    <w:rsid w:val="00BD59FA"/>
    <w:rsid w:val="00BD69FE"/>
    <w:rsid w:val="00BE3FD8"/>
    <w:rsid w:val="00BE5B5F"/>
    <w:rsid w:val="00BE7993"/>
    <w:rsid w:val="00BE7D46"/>
    <w:rsid w:val="00BF03AE"/>
    <w:rsid w:val="00BF30CD"/>
    <w:rsid w:val="00BF39C8"/>
    <w:rsid w:val="00BF6CAD"/>
    <w:rsid w:val="00BF71FF"/>
    <w:rsid w:val="00C01B5C"/>
    <w:rsid w:val="00C038F6"/>
    <w:rsid w:val="00C144B8"/>
    <w:rsid w:val="00C1470E"/>
    <w:rsid w:val="00C16E61"/>
    <w:rsid w:val="00C211CB"/>
    <w:rsid w:val="00C24101"/>
    <w:rsid w:val="00C24774"/>
    <w:rsid w:val="00C26293"/>
    <w:rsid w:val="00C26F55"/>
    <w:rsid w:val="00C272B6"/>
    <w:rsid w:val="00C30C63"/>
    <w:rsid w:val="00C30FA6"/>
    <w:rsid w:val="00C30FF3"/>
    <w:rsid w:val="00C364D7"/>
    <w:rsid w:val="00C36B8B"/>
    <w:rsid w:val="00C409F9"/>
    <w:rsid w:val="00C415C1"/>
    <w:rsid w:val="00C449EE"/>
    <w:rsid w:val="00C46964"/>
    <w:rsid w:val="00C46AEF"/>
    <w:rsid w:val="00C46DD8"/>
    <w:rsid w:val="00C4702C"/>
    <w:rsid w:val="00C47DBF"/>
    <w:rsid w:val="00C51CCE"/>
    <w:rsid w:val="00C52876"/>
    <w:rsid w:val="00C54B9A"/>
    <w:rsid w:val="00C552FF"/>
    <w:rsid w:val="00C558DA"/>
    <w:rsid w:val="00C55AF3"/>
    <w:rsid w:val="00C568B0"/>
    <w:rsid w:val="00C604A6"/>
    <w:rsid w:val="00C6119D"/>
    <w:rsid w:val="00C6685F"/>
    <w:rsid w:val="00C71040"/>
    <w:rsid w:val="00C721CB"/>
    <w:rsid w:val="00C74C8C"/>
    <w:rsid w:val="00C75188"/>
    <w:rsid w:val="00C7601B"/>
    <w:rsid w:val="00C76FD1"/>
    <w:rsid w:val="00C771A9"/>
    <w:rsid w:val="00C77687"/>
    <w:rsid w:val="00C832CE"/>
    <w:rsid w:val="00C84759"/>
    <w:rsid w:val="00C9124D"/>
    <w:rsid w:val="00C927B9"/>
    <w:rsid w:val="00C97E90"/>
    <w:rsid w:val="00CA3A35"/>
    <w:rsid w:val="00CA5161"/>
    <w:rsid w:val="00CA58FD"/>
    <w:rsid w:val="00CA5CA9"/>
    <w:rsid w:val="00CA65DF"/>
    <w:rsid w:val="00CA6C7F"/>
    <w:rsid w:val="00CA75B3"/>
    <w:rsid w:val="00CB0607"/>
    <w:rsid w:val="00CB0C08"/>
    <w:rsid w:val="00CB12AE"/>
    <w:rsid w:val="00CB2B2B"/>
    <w:rsid w:val="00CB4DB9"/>
    <w:rsid w:val="00CB6B35"/>
    <w:rsid w:val="00CB6D80"/>
    <w:rsid w:val="00CC0E62"/>
    <w:rsid w:val="00CC0FC7"/>
    <w:rsid w:val="00CC10A6"/>
    <w:rsid w:val="00CC21C5"/>
    <w:rsid w:val="00CC26DF"/>
    <w:rsid w:val="00CC52C1"/>
    <w:rsid w:val="00CC6C56"/>
    <w:rsid w:val="00CD1258"/>
    <w:rsid w:val="00CD5C09"/>
    <w:rsid w:val="00CD5EB8"/>
    <w:rsid w:val="00CD7044"/>
    <w:rsid w:val="00CE08B9"/>
    <w:rsid w:val="00CE460E"/>
    <w:rsid w:val="00CE5069"/>
    <w:rsid w:val="00CE524C"/>
    <w:rsid w:val="00CE6240"/>
    <w:rsid w:val="00CE62D7"/>
    <w:rsid w:val="00CE7F94"/>
    <w:rsid w:val="00CF0122"/>
    <w:rsid w:val="00CF141F"/>
    <w:rsid w:val="00CF2646"/>
    <w:rsid w:val="00CF27B0"/>
    <w:rsid w:val="00CF358E"/>
    <w:rsid w:val="00CF4777"/>
    <w:rsid w:val="00CF65C8"/>
    <w:rsid w:val="00D006F7"/>
    <w:rsid w:val="00D00E37"/>
    <w:rsid w:val="00D013F5"/>
    <w:rsid w:val="00D01C66"/>
    <w:rsid w:val="00D03953"/>
    <w:rsid w:val="00D03D32"/>
    <w:rsid w:val="00D05492"/>
    <w:rsid w:val="00D05E3F"/>
    <w:rsid w:val="00D067BB"/>
    <w:rsid w:val="00D06C5B"/>
    <w:rsid w:val="00D11038"/>
    <w:rsid w:val="00D1352A"/>
    <w:rsid w:val="00D169AF"/>
    <w:rsid w:val="00D17E7B"/>
    <w:rsid w:val="00D21F50"/>
    <w:rsid w:val="00D225C6"/>
    <w:rsid w:val="00D24CE8"/>
    <w:rsid w:val="00D25249"/>
    <w:rsid w:val="00D253C8"/>
    <w:rsid w:val="00D256B8"/>
    <w:rsid w:val="00D265E4"/>
    <w:rsid w:val="00D269F2"/>
    <w:rsid w:val="00D35DFA"/>
    <w:rsid w:val="00D35E1A"/>
    <w:rsid w:val="00D35E88"/>
    <w:rsid w:val="00D3679A"/>
    <w:rsid w:val="00D3697C"/>
    <w:rsid w:val="00D37E33"/>
    <w:rsid w:val="00D42A7A"/>
    <w:rsid w:val="00D434F0"/>
    <w:rsid w:val="00D44172"/>
    <w:rsid w:val="00D466EE"/>
    <w:rsid w:val="00D468C8"/>
    <w:rsid w:val="00D47BE3"/>
    <w:rsid w:val="00D47ECC"/>
    <w:rsid w:val="00D50731"/>
    <w:rsid w:val="00D52FB9"/>
    <w:rsid w:val="00D540B8"/>
    <w:rsid w:val="00D5636E"/>
    <w:rsid w:val="00D604E3"/>
    <w:rsid w:val="00D63B8C"/>
    <w:rsid w:val="00D673F7"/>
    <w:rsid w:val="00D67BFE"/>
    <w:rsid w:val="00D72578"/>
    <w:rsid w:val="00D739CC"/>
    <w:rsid w:val="00D775AA"/>
    <w:rsid w:val="00D8093D"/>
    <w:rsid w:val="00D8108C"/>
    <w:rsid w:val="00D832FC"/>
    <w:rsid w:val="00D842AE"/>
    <w:rsid w:val="00D87EE1"/>
    <w:rsid w:val="00D9211C"/>
    <w:rsid w:val="00D92DE0"/>
    <w:rsid w:val="00D92FEF"/>
    <w:rsid w:val="00D93A0F"/>
    <w:rsid w:val="00D97581"/>
    <w:rsid w:val="00D97F8D"/>
    <w:rsid w:val="00DA0F8E"/>
    <w:rsid w:val="00DA1630"/>
    <w:rsid w:val="00DA1BCA"/>
    <w:rsid w:val="00DA2325"/>
    <w:rsid w:val="00DA33F3"/>
    <w:rsid w:val="00DA5D66"/>
    <w:rsid w:val="00DA5F41"/>
    <w:rsid w:val="00DB004B"/>
    <w:rsid w:val="00DB1328"/>
    <w:rsid w:val="00DB13FA"/>
    <w:rsid w:val="00DB2061"/>
    <w:rsid w:val="00DB278B"/>
    <w:rsid w:val="00DB38D0"/>
    <w:rsid w:val="00DB47F0"/>
    <w:rsid w:val="00DB4FAA"/>
    <w:rsid w:val="00DB5270"/>
    <w:rsid w:val="00DC04A4"/>
    <w:rsid w:val="00DC1F5C"/>
    <w:rsid w:val="00DC4546"/>
    <w:rsid w:val="00DC46FF"/>
    <w:rsid w:val="00DC509D"/>
    <w:rsid w:val="00DC5254"/>
    <w:rsid w:val="00DC5257"/>
    <w:rsid w:val="00DC569D"/>
    <w:rsid w:val="00DC5841"/>
    <w:rsid w:val="00DD1A4F"/>
    <w:rsid w:val="00DD3107"/>
    <w:rsid w:val="00DD431C"/>
    <w:rsid w:val="00DD49A4"/>
    <w:rsid w:val="00DD5DF8"/>
    <w:rsid w:val="00DD6E80"/>
    <w:rsid w:val="00DD7C2C"/>
    <w:rsid w:val="00DE03C3"/>
    <w:rsid w:val="00DE265F"/>
    <w:rsid w:val="00DE5BDA"/>
    <w:rsid w:val="00DE6006"/>
    <w:rsid w:val="00DF23BC"/>
    <w:rsid w:val="00DF433C"/>
    <w:rsid w:val="00DF768A"/>
    <w:rsid w:val="00DF7E29"/>
    <w:rsid w:val="00E0035A"/>
    <w:rsid w:val="00E016D8"/>
    <w:rsid w:val="00E05E58"/>
    <w:rsid w:val="00E060D7"/>
    <w:rsid w:val="00E06797"/>
    <w:rsid w:val="00E12361"/>
    <w:rsid w:val="00E1265B"/>
    <w:rsid w:val="00E13B48"/>
    <w:rsid w:val="00E1404F"/>
    <w:rsid w:val="00E141C8"/>
    <w:rsid w:val="00E152B7"/>
    <w:rsid w:val="00E15DF7"/>
    <w:rsid w:val="00E16C65"/>
    <w:rsid w:val="00E20196"/>
    <w:rsid w:val="00E21C83"/>
    <w:rsid w:val="00E21E54"/>
    <w:rsid w:val="00E22FDD"/>
    <w:rsid w:val="00E24ADA"/>
    <w:rsid w:val="00E305F1"/>
    <w:rsid w:val="00E32F59"/>
    <w:rsid w:val="00E34D33"/>
    <w:rsid w:val="00E3729A"/>
    <w:rsid w:val="00E41908"/>
    <w:rsid w:val="00E430A4"/>
    <w:rsid w:val="00E45719"/>
    <w:rsid w:val="00E46078"/>
    <w:rsid w:val="00E46585"/>
    <w:rsid w:val="00E46D9A"/>
    <w:rsid w:val="00E50AEC"/>
    <w:rsid w:val="00E52A58"/>
    <w:rsid w:val="00E53E0F"/>
    <w:rsid w:val="00E54144"/>
    <w:rsid w:val="00E55CD8"/>
    <w:rsid w:val="00E565FF"/>
    <w:rsid w:val="00E5689E"/>
    <w:rsid w:val="00E6378B"/>
    <w:rsid w:val="00E63DD4"/>
    <w:rsid w:val="00E65388"/>
    <w:rsid w:val="00E65ADB"/>
    <w:rsid w:val="00E734B3"/>
    <w:rsid w:val="00E7490E"/>
    <w:rsid w:val="00E74AF6"/>
    <w:rsid w:val="00E75AFC"/>
    <w:rsid w:val="00E7741D"/>
    <w:rsid w:val="00E808CD"/>
    <w:rsid w:val="00E81067"/>
    <w:rsid w:val="00E81B10"/>
    <w:rsid w:val="00E8348F"/>
    <w:rsid w:val="00E85B7D"/>
    <w:rsid w:val="00E879BF"/>
    <w:rsid w:val="00E90A76"/>
    <w:rsid w:val="00E9121B"/>
    <w:rsid w:val="00E9302E"/>
    <w:rsid w:val="00E938A2"/>
    <w:rsid w:val="00E94ACC"/>
    <w:rsid w:val="00E976AB"/>
    <w:rsid w:val="00E97D2F"/>
    <w:rsid w:val="00EA0AE2"/>
    <w:rsid w:val="00EA13F8"/>
    <w:rsid w:val="00EA157A"/>
    <w:rsid w:val="00EA24D3"/>
    <w:rsid w:val="00EA291A"/>
    <w:rsid w:val="00EA39E5"/>
    <w:rsid w:val="00EA46DB"/>
    <w:rsid w:val="00EA4CC1"/>
    <w:rsid w:val="00EA4F39"/>
    <w:rsid w:val="00EA57A3"/>
    <w:rsid w:val="00EA798B"/>
    <w:rsid w:val="00EB0F30"/>
    <w:rsid w:val="00EB3269"/>
    <w:rsid w:val="00EB4CF0"/>
    <w:rsid w:val="00EB546B"/>
    <w:rsid w:val="00EB6E75"/>
    <w:rsid w:val="00EB7F13"/>
    <w:rsid w:val="00EC2813"/>
    <w:rsid w:val="00EC3208"/>
    <w:rsid w:val="00EC5A46"/>
    <w:rsid w:val="00EC63E2"/>
    <w:rsid w:val="00ED23A1"/>
    <w:rsid w:val="00ED366A"/>
    <w:rsid w:val="00ED6BB7"/>
    <w:rsid w:val="00ED77CF"/>
    <w:rsid w:val="00EE1723"/>
    <w:rsid w:val="00EE204B"/>
    <w:rsid w:val="00EE48A1"/>
    <w:rsid w:val="00EE4FF7"/>
    <w:rsid w:val="00EF0092"/>
    <w:rsid w:val="00EF22B3"/>
    <w:rsid w:val="00EF3121"/>
    <w:rsid w:val="00F00314"/>
    <w:rsid w:val="00F00840"/>
    <w:rsid w:val="00F014A2"/>
    <w:rsid w:val="00F03B69"/>
    <w:rsid w:val="00F045FE"/>
    <w:rsid w:val="00F052AF"/>
    <w:rsid w:val="00F07A50"/>
    <w:rsid w:val="00F10F3E"/>
    <w:rsid w:val="00F111C9"/>
    <w:rsid w:val="00F113DA"/>
    <w:rsid w:val="00F20541"/>
    <w:rsid w:val="00F21D9E"/>
    <w:rsid w:val="00F266FC"/>
    <w:rsid w:val="00F3037A"/>
    <w:rsid w:val="00F3337C"/>
    <w:rsid w:val="00F3465A"/>
    <w:rsid w:val="00F37DC8"/>
    <w:rsid w:val="00F40F4B"/>
    <w:rsid w:val="00F41B03"/>
    <w:rsid w:val="00F4388B"/>
    <w:rsid w:val="00F439B3"/>
    <w:rsid w:val="00F47133"/>
    <w:rsid w:val="00F51856"/>
    <w:rsid w:val="00F52E11"/>
    <w:rsid w:val="00F547CA"/>
    <w:rsid w:val="00F5785A"/>
    <w:rsid w:val="00F60465"/>
    <w:rsid w:val="00F62473"/>
    <w:rsid w:val="00F6323C"/>
    <w:rsid w:val="00F650C3"/>
    <w:rsid w:val="00F65D85"/>
    <w:rsid w:val="00F6700B"/>
    <w:rsid w:val="00F727B0"/>
    <w:rsid w:val="00F728BC"/>
    <w:rsid w:val="00F74CE9"/>
    <w:rsid w:val="00F76F6C"/>
    <w:rsid w:val="00F8091E"/>
    <w:rsid w:val="00F809C0"/>
    <w:rsid w:val="00F80B1B"/>
    <w:rsid w:val="00F811DB"/>
    <w:rsid w:val="00F82906"/>
    <w:rsid w:val="00F84EEE"/>
    <w:rsid w:val="00F85B53"/>
    <w:rsid w:val="00F85F21"/>
    <w:rsid w:val="00F8615C"/>
    <w:rsid w:val="00F862D2"/>
    <w:rsid w:val="00F90FEB"/>
    <w:rsid w:val="00F94D5C"/>
    <w:rsid w:val="00F969E5"/>
    <w:rsid w:val="00FA0122"/>
    <w:rsid w:val="00FA1164"/>
    <w:rsid w:val="00FA4972"/>
    <w:rsid w:val="00FA4F71"/>
    <w:rsid w:val="00FA6BB0"/>
    <w:rsid w:val="00FB0444"/>
    <w:rsid w:val="00FB2C77"/>
    <w:rsid w:val="00FB2DBD"/>
    <w:rsid w:val="00FB2FB5"/>
    <w:rsid w:val="00FB53D9"/>
    <w:rsid w:val="00FB5616"/>
    <w:rsid w:val="00FC30DC"/>
    <w:rsid w:val="00FC60B6"/>
    <w:rsid w:val="00FC7DFA"/>
    <w:rsid w:val="00FD0124"/>
    <w:rsid w:val="00FD0CA1"/>
    <w:rsid w:val="00FD48DF"/>
    <w:rsid w:val="00FD5860"/>
    <w:rsid w:val="00FE1DD5"/>
    <w:rsid w:val="00FE352D"/>
    <w:rsid w:val="00FE40EB"/>
    <w:rsid w:val="00FE489F"/>
    <w:rsid w:val="00FE4D02"/>
    <w:rsid w:val="00FE6B5B"/>
    <w:rsid w:val="00FE7D62"/>
    <w:rsid w:val="00FF05A4"/>
    <w:rsid w:val="00FF2734"/>
    <w:rsid w:val="00FF2866"/>
    <w:rsid w:val="00FF33A3"/>
    <w:rsid w:val="00FF3819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C2AD3BF"/>
  <w15:docId w15:val="{13C0BA2C-64B6-44CD-93C7-8176AA43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Normal-poolChar">
    <w:name w:val="Normal-pool Char"/>
    <w:link w:val="Normal-pool"/>
    <w:rsid w:val="00573D02"/>
    <w:rPr>
      <w:lang w:eastAsia="en-US"/>
    </w:rPr>
  </w:style>
  <w:style w:type="character" w:customStyle="1" w:styleId="Inget">
    <w:name w:val="Inget"/>
    <w:rsid w:val="00573D02"/>
  </w:style>
  <w:style w:type="numbering" w:customStyle="1" w:styleId="Importeradestilen4">
    <w:name w:val="Importerade stilen 4"/>
    <w:rsid w:val="00573D02"/>
    <w:pPr>
      <w:numPr>
        <w:numId w:val="16"/>
      </w:numPr>
    </w:pPr>
  </w:style>
  <w:style w:type="numbering" w:customStyle="1" w:styleId="Importeradestilen9">
    <w:name w:val="Importerade stilen 9"/>
    <w:rsid w:val="00573D02"/>
    <w:pPr>
      <w:numPr>
        <w:numId w:val="28"/>
      </w:numPr>
    </w:pPr>
  </w:style>
  <w:style w:type="numbering" w:customStyle="1" w:styleId="Importeradestilen5">
    <w:name w:val="Importerade stilen 5"/>
    <w:rsid w:val="00573D02"/>
    <w:pPr>
      <w:numPr>
        <w:numId w:val="18"/>
      </w:numPr>
    </w:pPr>
  </w:style>
  <w:style w:type="numbering" w:customStyle="1" w:styleId="Importeradestilen6">
    <w:name w:val="Importerade stilen 6"/>
    <w:rsid w:val="00573D02"/>
    <w:pPr>
      <w:numPr>
        <w:numId w:val="20"/>
      </w:numPr>
    </w:pPr>
  </w:style>
  <w:style w:type="numbering" w:customStyle="1" w:styleId="Importeradestilen8">
    <w:name w:val="Importerade stilen 8"/>
    <w:rsid w:val="00573D02"/>
    <w:pPr>
      <w:numPr>
        <w:numId w:val="25"/>
      </w:numPr>
    </w:pPr>
  </w:style>
  <w:style w:type="numbering" w:customStyle="1" w:styleId="Importeradestilen7">
    <w:name w:val="Importerade stilen 7"/>
    <w:rsid w:val="00573D02"/>
    <w:pPr>
      <w:numPr>
        <w:numId w:val="22"/>
      </w:numPr>
    </w:pPr>
  </w:style>
  <w:style w:type="numbering" w:customStyle="1" w:styleId="Importeradestilen3">
    <w:name w:val="Importerade stilen 3"/>
    <w:rsid w:val="00573D02"/>
    <w:pPr>
      <w:numPr>
        <w:numId w:val="14"/>
      </w:numPr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customStyle="1" w:styleId="Brdtext">
    <w:name w:val="Brödtext"/>
    <w:rsid w:val="003C46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3C46FB"/>
    <w:rPr>
      <w:rFonts w:cs="Times New Roman"/>
      <w:lang w:val="en-US" w:eastAsia="x-none"/>
    </w:rPr>
  </w:style>
  <w:style w:type="character" w:customStyle="1" w:styleId="HeaderChar">
    <w:name w:val="Header Char"/>
    <w:basedOn w:val="DefaultParagraphFont"/>
    <w:link w:val="Header"/>
    <w:rsid w:val="006A6E23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B63100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350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E24E-E33A-4279-A59F-46046543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3905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26699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ten Have</dc:creator>
  <cp:lastModifiedBy>Eliane Rakoto</cp:lastModifiedBy>
  <cp:revision>2</cp:revision>
  <cp:lastPrinted>2017-08-09T06:54:00Z</cp:lastPrinted>
  <dcterms:created xsi:type="dcterms:W3CDTF">2017-08-09T08:59:00Z</dcterms:created>
  <dcterms:modified xsi:type="dcterms:W3CDTF">2017-08-09T08:59:00Z</dcterms:modified>
</cp:coreProperties>
</file>