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550"/>
        <w:gridCol w:w="4751"/>
        <w:gridCol w:w="3411"/>
      </w:tblGrid>
      <w:tr w:rsidR="00BF67F3" w:rsidTr="00AE7840">
        <w:trPr>
          <w:cantSplit/>
          <w:trHeight w:val="850"/>
          <w:jc w:val="right"/>
        </w:trPr>
        <w:tc>
          <w:tcPr>
            <w:tcW w:w="1550" w:type="dxa"/>
            <w:hideMark/>
          </w:tcPr>
          <w:p w:rsidR="00BF67F3" w:rsidRDefault="00BF67F3">
            <w:pPr>
              <w:rPr>
                <w:rFonts w:ascii="Univers" w:hAnsi="Univers"/>
                <w:b/>
                <w:noProof/>
                <w:sz w:val="27"/>
                <w:szCs w:val="27"/>
                <w:lang w:val="fr-FR" w:eastAsia="zh-CN"/>
              </w:rPr>
            </w:pPr>
            <w:r>
              <w:rPr>
                <w:rFonts w:ascii="Arial" w:hAnsi="Arial" w:cs="Arial"/>
                <w:b/>
                <w:noProof/>
                <w:sz w:val="27"/>
                <w:szCs w:val="27"/>
                <w:lang w:val="fr-FR" w:eastAsia="zh-CN"/>
              </w:rPr>
              <w:t>NATIONS</w:t>
            </w:r>
            <w:r>
              <w:rPr>
                <w:rFonts w:ascii="Arial" w:hAnsi="Arial" w:cs="Arial"/>
                <w:b/>
                <w:noProof/>
                <w:sz w:val="27"/>
                <w:szCs w:val="27"/>
                <w:lang w:val="fr-FR" w:eastAsia="zh-CN"/>
              </w:rPr>
              <w:br/>
              <w:t>UNIES</w:t>
            </w:r>
          </w:p>
        </w:tc>
        <w:tc>
          <w:tcPr>
            <w:tcW w:w="4751" w:type="dxa"/>
          </w:tcPr>
          <w:p w:rsidR="00BF67F3" w:rsidRDefault="00BF67F3">
            <w:pPr>
              <w:rPr>
                <w:rFonts w:ascii="Univers" w:hAnsi="Univers"/>
                <w:b/>
                <w:sz w:val="27"/>
                <w:szCs w:val="27"/>
                <w:lang w:val="fr-FR" w:eastAsia="zh-CN"/>
              </w:rPr>
            </w:pPr>
          </w:p>
        </w:tc>
        <w:tc>
          <w:tcPr>
            <w:tcW w:w="3411" w:type="dxa"/>
            <w:hideMark/>
          </w:tcPr>
          <w:p w:rsidR="00BF67F3" w:rsidRDefault="00BF67F3">
            <w:pPr>
              <w:jc w:val="right"/>
              <w:rPr>
                <w:rFonts w:ascii="Arial" w:hAnsi="Arial" w:cs="Arial"/>
                <w:b/>
                <w:sz w:val="64"/>
                <w:szCs w:val="64"/>
                <w:lang w:val="fr-FR" w:eastAsia="zh-CN"/>
              </w:rPr>
            </w:pPr>
            <w:r>
              <w:rPr>
                <w:rFonts w:ascii="Arial" w:hAnsi="Arial" w:cs="Arial"/>
                <w:b/>
                <w:sz w:val="64"/>
                <w:szCs w:val="64"/>
                <w:lang w:val="fr-FR" w:eastAsia="zh-CN"/>
              </w:rPr>
              <w:t>MC</w:t>
            </w:r>
          </w:p>
        </w:tc>
      </w:tr>
      <w:tr w:rsidR="00BF67F3" w:rsidTr="00AE7840">
        <w:trPr>
          <w:cantSplit/>
          <w:trHeight w:val="281"/>
          <w:jc w:val="right"/>
        </w:trPr>
        <w:tc>
          <w:tcPr>
            <w:tcW w:w="1550" w:type="dxa"/>
            <w:tcBorders>
              <w:top w:val="nil"/>
              <w:left w:val="nil"/>
              <w:bottom w:val="single" w:sz="4" w:space="0" w:color="auto"/>
              <w:right w:val="nil"/>
            </w:tcBorders>
          </w:tcPr>
          <w:p w:rsidR="00BF67F3" w:rsidRDefault="00BF67F3">
            <w:pPr>
              <w:rPr>
                <w:noProof/>
                <w:sz w:val="18"/>
                <w:szCs w:val="18"/>
                <w:lang w:val="fr-FR" w:eastAsia="zh-CN"/>
              </w:rPr>
            </w:pPr>
          </w:p>
        </w:tc>
        <w:tc>
          <w:tcPr>
            <w:tcW w:w="4751" w:type="dxa"/>
            <w:tcBorders>
              <w:top w:val="nil"/>
              <w:left w:val="nil"/>
              <w:bottom w:val="single" w:sz="4" w:space="0" w:color="auto"/>
              <w:right w:val="nil"/>
            </w:tcBorders>
          </w:tcPr>
          <w:p w:rsidR="00BF67F3" w:rsidRDefault="00BF67F3">
            <w:pPr>
              <w:rPr>
                <w:rFonts w:ascii="Univers" w:hAnsi="Univers"/>
                <w:b/>
                <w:sz w:val="18"/>
                <w:szCs w:val="18"/>
                <w:lang w:val="fr-FR" w:eastAsia="zh-CN"/>
              </w:rPr>
            </w:pPr>
          </w:p>
        </w:tc>
        <w:tc>
          <w:tcPr>
            <w:tcW w:w="3411" w:type="dxa"/>
            <w:tcBorders>
              <w:top w:val="nil"/>
              <w:left w:val="nil"/>
              <w:bottom w:val="single" w:sz="4" w:space="0" w:color="auto"/>
              <w:right w:val="nil"/>
            </w:tcBorders>
            <w:hideMark/>
          </w:tcPr>
          <w:p w:rsidR="00BF67F3" w:rsidRDefault="00BF67F3" w:rsidP="00BF67F3">
            <w:pPr>
              <w:rPr>
                <w:noProof/>
                <w:sz w:val="18"/>
                <w:szCs w:val="18"/>
                <w:lang w:val="fr-FR" w:eastAsia="zh-CN"/>
              </w:rPr>
            </w:pPr>
            <w:r>
              <w:rPr>
                <w:b/>
                <w:bCs/>
                <w:sz w:val="28"/>
                <w:lang w:val="fr-FR" w:eastAsia="zh-CN"/>
              </w:rPr>
              <w:t>UNEP</w:t>
            </w:r>
            <w:bookmarkStart w:id="0" w:name="OLE_LINK1"/>
            <w:bookmarkStart w:id="1" w:name="OLE_LINK2"/>
            <w:r>
              <w:rPr>
                <w:b/>
                <w:bCs/>
                <w:sz w:val="28"/>
                <w:lang w:val="fr-FR" w:eastAsia="zh-CN"/>
              </w:rPr>
              <w:t>/</w:t>
            </w:r>
            <w:r>
              <w:rPr>
                <w:lang w:val="fr-FR" w:eastAsia="zh-CN"/>
              </w:rPr>
              <w:t>MC/</w:t>
            </w:r>
            <w:bookmarkEnd w:id="0"/>
            <w:bookmarkEnd w:id="1"/>
            <w:r>
              <w:rPr>
                <w:lang w:val="fr-FR" w:eastAsia="zh-CN"/>
              </w:rPr>
              <w:t>COP.1/6</w:t>
            </w:r>
          </w:p>
        </w:tc>
      </w:tr>
      <w:bookmarkStart w:id="2" w:name="_MON_1021710482"/>
      <w:bookmarkEnd w:id="2"/>
      <w:tr w:rsidR="00BF67F3" w:rsidRPr="003317D7" w:rsidTr="00AE7840">
        <w:trPr>
          <w:cantSplit/>
          <w:trHeight w:val="2549"/>
          <w:jc w:val="right"/>
        </w:trPr>
        <w:tc>
          <w:tcPr>
            <w:tcW w:w="1550" w:type="dxa"/>
            <w:tcBorders>
              <w:top w:val="single" w:sz="4" w:space="0" w:color="auto"/>
              <w:left w:val="nil"/>
              <w:bottom w:val="single" w:sz="24" w:space="0" w:color="auto"/>
              <w:right w:val="nil"/>
            </w:tcBorders>
            <w:hideMark/>
          </w:tcPr>
          <w:p w:rsidR="00BF67F3" w:rsidRDefault="00BF67F3">
            <w:pPr>
              <w:rPr>
                <w:noProof/>
                <w:lang w:val="fr-FR" w:eastAsia="zh-CN"/>
              </w:rPr>
            </w:pPr>
            <w:r>
              <w:rPr>
                <w:noProof/>
                <w:lang w:val="fr-FR" w:eastAsia="zh-CN"/>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59.85pt" o:ole="" fillcolor="window">
                  <v:imagedata r:id="rId9" o:title=""/>
                </v:shape>
                <o:OLEObject Type="Embed" ProgID="Word.Picture.8" ShapeID="_x0000_i1025" DrawAspect="Content" ObjectID="_1558513061" r:id="rId10"/>
              </w:object>
            </w:r>
            <w:r>
              <w:rPr>
                <w:noProof/>
                <w:lang w:val="en-US"/>
              </w:rPr>
              <w:drawing>
                <wp:inline distT="0" distB="0" distL="0" distR="0" wp14:anchorId="5CCF7410" wp14:editId="1DA47EC7">
                  <wp:extent cx="723265" cy="770890"/>
                  <wp:effectExtent l="0" t="0" r="635"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0890"/>
                          </a:xfrm>
                          <a:prstGeom prst="rect">
                            <a:avLst/>
                          </a:prstGeom>
                          <a:noFill/>
                          <a:ln>
                            <a:noFill/>
                          </a:ln>
                        </pic:spPr>
                      </pic:pic>
                    </a:graphicData>
                  </a:graphic>
                </wp:inline>
              </w:drawing>
            </w:r>
          </w:p>
        </w:tc>
        <w:tc>
          <w:tcPr>
            <w:tcW w:w="4751" w:type="dxa"/>
            <w:tcBorders>
              <w:top w:val="single" w:sz="4" w:space="0" w:color="auto"/>
              <w:left w:val="nil"/>
              <w:bottom w:val="single" w:sz="24" w:space="0" w:color="auto"/>
              <w:right w:val="nil"/>
            </w:tcBorders>
            <w:hideMark/>
          </w:tcPr>
          <w:p w:rsidR="00BF67F3" w:rsidRDefault="00BF67F3">
            <w:pPr>
              <w:spacing w:before="1200"/>
              <w:rPr>
                <w:rFonts w:ascii="Arial" w:hAnsi="Arial" w:cs="Arial"/>
                <w:b/>
                <w:sz w:val="28"/>
                <w:lang w:val="fr-FR" w:eastAsia="zh-CN"/>
              </w:rPr>
            </w:pPr>
            <w:r>
              <w:rPr>
                <w:rFonts w:ascii="Arial" w:hAnsi="Arial" w:cs="Arial"/>
                <w:b/>
                <w:sz w:val="32"/>
                <w:szCs w:val="32"/>
                <w:lang w:val="fr-FR" w:eastAsia="zh-CN"/>
              </w:rPr>
              <w:t>Programme</w:t>
            </w:r>
            <w:r>
              <w:rPr>
                <w:rFonts w:ascii="Arial" w:hAnsi="Arial" w:cs="Arial"/>
                <w:b/>
                <w:sz w:val="32"/>
                <w:szCs w:val="32"/>
                <w:lang w:val="fr-FR" w:eastAsia="zh-CN"/>
              </w:rPr>
              <w:br/>
              <w:t>des Nations Unies</w:t>
            </w:r>
            <w:r>
              <w:rPr>
                <w:rFonts w:ascii="Arial" w:hAnsi="Arial" w:cs="Arial"/>
                <w:b/>
                <w:sz w:val="32"/>
                <w:szCs w:val="32"/>
                <w:lang w:val="fr-FR" w:eastAsia="zh-CN"/>
              </w:rPr>
              <w:br/>
              <w:t>pour l’environnement</w:t>
            </w:r>
          </w:p>
        </w:tc>
        <w:tc>
          <w:tcPr>
            <w:tcW w:w="3411" w:type="dxa"/>
            <w:tcBorders>
              <w:top w:val="single" w:sz="4" w:space="0" w:color="auto"/>
              <w:left w:val="nil"/>
              <w:bottom w:val="single" w:sz="24" w:space="0" w:color="auto"/>
              <w:right w:val="nil"/>
            </w:tcBorders>
            <w:hideMark/>
          </w:tcPr>
          <w:p w:rsidR="00BF67F3" w:rsidRDefault="00BF67F3">
            <w:pPr>
              <w:spacing w:before="120"/>
              <w:rPr>
                <w:lang w:val="fr-FR" w:eastAsia="zh-CN"/>
              </w:rPr>
            </w:pPr>
            <w:proofErr w:type="spellStart"/>
            <w:r>
              <w:rPr>
                <w:lang w:val="fr-FR" w:eastAsia="zh-CN"/>
              </w:rPr>
              <w:t>Distr</w:t>
            </w:r>
            <w:proofErr w:type="spellEnd"/>
            <w:r>
              <w:rPr>
                <w:lang w:val="fr-FR" w:eastAsia="zh-CN"/>
              </w:rPr>
              <w:t>. générale</w:t>
            </w:r>
            <w:r>
              <w:rPr>
                <w:lang w:val="fr-FR" w:eastAsia="zh-CN"/>
              </w:rPr>
              <w:br w:type="textWrapping" w:clear="all"/>
              <w:t>9 mars 2017</w:t>
            </w:r>
          </w:p>
          <w:p w:rsidR="00BF67F3" w:rsidRDefault="00BF67F3">
            <w:pPr>
              <w:spacing w:before="240"/>
              <w:rPr>
                <w:lang w:val="fr-FR" w:eastAsia="zh-CN"/>
              </w:rPr>
            </w:pPr>
            <w:r>
              <w:rPr>
                <w:lang w:val="fr-FR" w:eastAsia="zh-CN"/>
              </w:rPr>
              <w:t>Français</w:t>
            </w:r>
            <w:r>
              <w:rPr>
                <w:lang w:val="fr-FR" w:eastAsia="zh-CN"/>
              </w:rPr>
              <w:br/>
              <w:t>Original : anglais</w:t>
            </w:r>
          </w:p>
        </w:tc>
      </w:tr>
    </w:tbl>
    <w:p w:rsidR="00BF67F3" w:rsidRDefault="00AE7840" w:rsidP="00440628">
      <w:pPr>
        <w:pStyle w:val="AATitle"/>
        <w:keepNext w:val="0"/>
        <w:keepLines w:val="0"/>
        <w:ind w:right="4534"/>
        <w:rPr>
          <w:lang w:val="fr-FR"/>
        </w:rPr>
      </w:pPr>
      <w:r>
        <w:rPr>
          <w:lang w:val="fr-FR"/>
        </w:rPr>
        <w:t>Conférence des Parties</w:t>
      </w:r>
      <w:r>
        <w:rPr>
          <w:lang w:val="fr-FR"/>
        </w:rPr>
        <w:t xml:space="preserve"> à la </w:t>
      </w:r>
      <w:r w:rsidR="00BF67F3">
        <w:rPr>
          <w:lang w:val="fr-FR"/>
        </w:rPr>
        <w:t>Convention de</w:t>
      </w:r>
      <w:r>
        <w:rPr>
          <w:lang w:val="fr-FR"/>
        </w:rPr>
        <w:t> </w:t>
      </w:r>
      <w:r w:rsidR="00BF67F3">
        <w:rPr>
          <w:lang w:val="fr-FR"/>
        </w:rPr>
        <w:t>Minamata</w:t>
      </w:r>
      <w:r w:rsidR="00440628">
        <w:rPr>
          <w:lang w:val="fr-FR"/>
        </w:rPr>
        <w:br/>
      </w:r>
      <w:r w:rsidR="00BF67F3">
        <w:rPr>
          <w:lang w:val="fr-FR"/>
        </w:rPr>
        <w:t>sur le mercure</w:t>
      </w:r>
    </w:p>
    <w:p w:rsidR="00BF67F3" w:rsidRDefault="00BF67F3" w:rsidP="00BF67F3">
      <w:pPr>
        <w:pStyle w:val="AATitle"/>
        <w:keepNext w:val="0"/>
        <w:keepLines w:val="0"/>
        <w:rPr>
          <w:lang w:val="fr-FR"/>
        </w:rPr>
      </w:pPr>
      <w:r>
        <w:rPr>
          <w:lang w:val="fr-FR"/>
        </w:rPr>
        <w:t>Première réunion</w:t>
      </w:r>
    </w:p>
    <w:p w:rsidR="00E976AB" w:rsidRPr="00BF67F3" w:rsidRDefault="00BF67F3" w:rsidP="00BF67F3">
      <w:pPr>
        <w:pStyle w:val="AATitle"/>
        <w:rPr>
          <w:b w:val="0"/>
          <w:lang w:val="fr-FR"/>
        </w:rPr>
      </w:pPr>
      <w:r w:rsidRPr="00BF67F3">
        <w:rPr>
          <w:b w:val="0"/>
          <w:lang w:val="fr-FR"/>
        </w:rPr>
        <w:t>Genève, 24–29 septembre 2017</w:t>
      </w:r>
    </w:p>
    <w:p w:rsidR="00312543" w:rsidRPr="00BF67F3" w:rsidRDefault="00312543" w:rsidP="001A04AA">
      <w:pPr>
        <w:pStyle w:val="AATitle"/>
        <w:keepNext w:val="0"/>
        <w:keepLines w:val="0"/>
        <w:rPr>
          <w:b w:val="0"/>
          <w:lang w:val="fr-FR"/>
        </w:rPr>
      </w:pPr>
      <w:r w:rsidRPr="00BF67F3">
        <w:rPr>
          <w:b w:val="0"/>
          <w:lang w:val="fr-FR"/>
        </w:rPr>
        <w:t>Point 5 a) ii) de l’ordre du jour provisoire</w:t>
      </w:r>
      <w:r w:rsidRPr="00BF67F3">
        <w:rPr>
          <w:b w:val="0"/>
          <w:lang w:val="fr-FR"/>
        </w:rPr>
        <w:footnoteReference w:customMarkFollows="1" w:id="1"/>
        <w:t>*</w:t>
      </w:r>
    </w:p>
    <w:p w:rsidR="00787688" w:rsidRPr="00BF67F3" w:rsidRDefault="008F1FE0" w:rsidP="000832C7">
      <w:pPr>
        <w:pStyle w:val="AATitle2"/>
        <w:spacing w:before="60"/>
        <w:rPr>
          <w:lang w:val="fr-FR"/>
        </w:rPr>
      </w:pPr>
      <w:r w:rsidRPr="008F1FE0">
        <w:rPr>
          <w:lang w:val="fr-FR"/>
        </w:rPr>
        <w:t>Questions appelant un</w:t>
      </w:r>
      <w:r w:rsidR="00440628">
        <w:rPr>
          <w:lang w:val="fr-FR"/>
        </w:rPr>
        <w:t>e décision de la Conférence des </w:t>
      </w:r>
      <w:r w:rsidRPr="008F1FE0">
        <w:rPr>
          <w:lang w:val="fr-FR"/>
        </w:rPr>
        <w:t>Parties à sa première réunion : questions prévues dans la Convention :</w:t>
      </w:r>
      <w:r w:rsidR="001A04AA">
        <w:rPr>
          <w:lang w:val="fr-FR"/>
        </w:rPr>
        <w:t xml:space="preserve"> </w:t>
      </w:r>
      <w:r w:rsidR="00440628">
        <w:rPr>
          <w:lang w:val="fr-FR"/>
        </w:rPr>
        <w:t>é</w:t>
      </w:r>
      <w:r w:rsidRPr="008F1FE0">
        <w:rPr>
          <w:lang w:val="fr-FR"/>
        </w:rPr>
        <w:t xml:space="preserve">léments requis de l’attestation </w:t>
      </w:r>
      <w:r w:rsidR="00440628">
        <w:rPr>
          <w:lang w:val="fr-FR"/>
        </w:rPr>
        <w:br/>
        <w:t>(art. </w:t>
      </w:r>
      <w:r w:rsidRPr="008F1FE0">
        <w:rPr>
          <w:lang w:val="fr-FR"/>
        </w:rPr>
        <w:t>3, par.</w:t>
      </w:r>
      <w:r w:rsidR="00440628">
        <w:rPr>
          <w:lang w:val="fr-FR"/>
        </w:rPr>
        <w:t> </w:t>
      </w:r>
      <w:r w:rsidRPr="008F1FE0">
        <w:rPr>
          <w:lang w:val="fr-FR"/>
        </w:rPr>
        <w:t>6 b) et 8)</w:t>
      </w:r>
    </w:p>
    <w:p w:rsidR="001A04AA" w:rsidRPr="00BF67F3" w:rsidRDefault="001A04AA" w:rsidP="000832C7">
      <w:pPr>
        <w:pStyle w:val="BBTitle"/>
        <w:rPr>
          <w:lang w:val="fr-FR"/>
        </w:rPr>
      </w:pPr>
      <w:r>
        <w:rPr>
          <w:lang w:val="fr-FR"/>
        </w:rPr>
        <w:t>Éléments requis de l</w:t>
      </w:r>
      <w:r w:rsidR="00AE397A">
        <w:rPr>
          <w:lang w:val="fr-FR"/>
        </w:rPr>
        <w:t>’</w:t>
      </w:r>
      <w:r>
        <w:rPr>
          <w:lang w:val="fr-FR"/>
        </w:rPr>
        <w:t xml:space="preserve">attestation nécessaire </w:t>
      </w:r>
      <w:r w:rsidR="008F1FE0">
        <w:rPr>
          <w:lang w:val="fr-FR"/>
        </w:rPr>
        <w:t>pour</w:t>
      </w:r>
      <w:r>
        <w:rPr>
          <w:lang w:val="fr-FR"/>
        </w:rPr>
        <w:t xml:space="preserve"> l</w:t>
      </w:r>
      <w:r w:rsidR="00AE397A">
        <w:rPr>
          <w:lang w:val="fr-FR"/>
        </w:rPr>
        <w:t>’</w:t>
      </w:r>
      <w:r>
        <w:rPr>
          <w:lang w:val="fr-FR"/>
        </w:rPr>
        <w:t>importation de mercure en provenance d</w:t>
      </w:r>
      <w:r w:rsidR="00AE397A">
        <w:rPr>
          <w:lang w:val="fr-FR"/>
        </w:rPr>
        <w:t>’</w:t>
      </w:r>
      <w:r>
        <w:rPr>
          <w:lang w:val="fr-FR"/>
        </w:rPr>
        <w:t>un État non partie conformément au</w:t>
      </w:r>
      <w:r w:rsidR="008F1FE0">
        <w:rPr>
          <w:lang w:val="fr-FR"/>
        </w:rPr>
        <w:t>x</w:t>
      </w:r>
      <w:r>
        <w:rPr>
          <w:lang w:val="fr-FR"/>
        </w:rPr>
        <w:t xml:space="preserve"> paragraphe</w:t>
      </w:r>
      <w:r w:rsidR="008F1FE0">
        <w:rPr>
          <w:lang w:val="fr-FR"/>
        </w:rPr>
        <w:t>s</w:t>
      </w:r>
      <w:r w:rsidR="00AE7840">
        <w:rPr>
          <w:lang w:val="fr-FR"/>
        </w:rPr>
        <w:t> </w:t>
      </w:r>
      <w:r>
        <w:rPr>
          <w:lang w:val="fr-FR"/>
        </w:rPr>
        <w:t>6</w:t>
      </w:r>
      <w:r w:rsidR="00AE7840">
        <w:rPr>
          <w:lang w:val="fr-FR"/>
        </w:rPr>
        <w:t> </w:t>
      </w:r>
      <w:r w:rsidR="00440628">
        <w:rPr>
          <w:lang w:val="fr-FR"/>
        </w:rPr>
        <w:t>b</w:t>
      </w:r>
      <w:r>
        <w:rPr>
          <w:lang w:val="fr-FR"/>
        </w:rPr>
        <w:t>) et 8 de l</w:t>
      </w:r>
      <w:r w:rsidR="00AE397A">
        <w:rPr>
          <w:lang w:val="fr-FR"/>
        </w:rPr>
        <w:t>’</w:t>
      </w:r>
      <w:r>
        <w:rPr>
          <w:lang w:val="fr-FR"/>
        </w:rPr>
        <w:t>article</w:t>
      </w:r>
      <w:r w:rsidR="00AE7840">
        <w:rPr>
          <w:lang w:val="fr-FR"/>
        </w:rPr>
        <w:t> </w:t>
      </w:r>
      <w:r>
        <w:rPr>
          <w:lang w:val="fr-FR"/>
        </w:rPr>
        <w:t>3</w:t>
      </w:r>
    </w:p>
    <w:p w:rsidR="00312543" w:rsidRPr="00C6062B" w:rsidRDefault="001A04AA" w:rsidP="000832C7">
      <w:pPr>
        <w:pStyle w:val="CH2"/>
      </w:pPr>
      <w:r>
        <w:rPr>
          <w:lang w:val="fr-FR"/>
        </w:rPr>
        <w:tab/>
      </w:r>
      <w:r>
        <w:rPr>
          <w:lang w:val="fr-FR"/>
        </w:rPr>
        <w:tab/>
        <w:t>Note du secrétariat</w:t>
      </w:r>
    </w:p>
    <w:p w:rsidR="00312543" w:rsidRPr="00BF67F3" w:rsidRDefault="001A04AA" w:rsidP="00DB5925">
      <w:pPr>
        <w:pStyle w:val="Normalnumber"/>
        <w:ind w:left="1247" w:firstLine="0"/>
        <w:rPr>
          <w:lang w:val="fr-FR"/>
        </w:rPr>
      </w:pPr>
      <w:r>
        <w:rPr>
          <w:lang w:val="fr-FR"/>
        </w:rPr>
        <w:t>L</w:t>
      </w:r>
      <w:r w:rsidR="00AE397A">
        <w:rPr>
          <w:lang w:val="fr-FR"/>
        </w:rPr>
        <w:t>’</w:t>
      </w:r>
      <w:r>
        <w:rPr>
          <w:lang w:val="fr-FR"/>
        </w:rPr>
        <w:t>article 3 de la Convention de Minamata sur le mercure, relatif aux sources d</w:t>
      </w:r>
      <w:r w:rsidR="00AE397A">
        <w:rPr>
          <w:lang w:val="fr-FR"/>
        </w:rPr>
        <w:t>’</w:t>
      </w:r>
      <w:r>
        <w:rPr>
          <w:lang w:val="fr-FR"/>
        </w:rPr>
        <w:t xml:space="preserve">approvisionnement en mercure et </w:t>
      </w:r>
      <w:r w:rsidR="008F1FE0">
        <w:rPr>
          <w:lang w:val="fr-FR"/>
        </w:rPr>
        <w:t xml:space="preserve">à </w:t>
      </w:r>
      <w:r>
        <w:rPr>
          <w:lang w:val="fr-FR"/>
        </w:rPr>
        <w:t>son com</w:t>
      </w:r>
      <w:r w:rsidR="0039519C">
        <w:rPr>
          <w:lang w:val="fr-FR"/>
        </w:rPr>
        <w:t>merce, dispose à son paragraphe </w:t>
      </w:r>
      <w:r>
        <w:rPr>
          <w:lang w:val="fr-FR"/>
        </w:rPr>
        <w:t>12 que la Conférence des Parties énoncera « à sa première réunion, des orientations supplémentaires concernant le présent article, en particulier l</w:t>
      </w:r>
      <w:r w:rsidR="00AE397A">
        <w:rPr>
          <w:lang w:val="fr-FR"/>
        </w:rPr>
        <w:t>’</w:t>
      </w:r>
      <w:r w:rsidR="0039519C">
        <w:rPr>
          <w:lang w:val="fr-FR"/>
        </w:rPr>
        <w:t>alinéa a) du paragraphe </w:t>
      </w:r>
      <w:r>
        <w:rPr>
          <w:lang w:val="fr-FR"/>
        </w:rPr>
        <w:t>5, le paragraphe</w:t>
      </w:r>
      <w:r w:rsidR="0039519C">
        <w:rPr>
          <w:lang w:val="fr-FR"/>
        </w:rPr>
        <w:t> 6 et le paragraphe </w:t>
      </w:r>
      <w:r>
        <w:rPr>
          <w:lang w:val="fr-FR"/>
        </w:rPr>
        <w:t>8</w:t>
      </w:r>
      <w:r w:rsidR="00FB5617">
        <w:rPr>
          <w:lang w:val="fr-FR"/>
        </w:rPr>
        <w:t> »</w:t>
      </w:r>
      <w:r>
        <w:rPr>
          <w:lang w:val="fr-FR"/>
        </w:rPr>
        <w:t xml:space="preserve"> et élaborera et adoptera</w:t>
      </w:r>
      <w:r w:rsidR="00FB5617">
        <w:rPr>
          <w:lang w:val="fr-FR"/>
        </w:rPr>
        <w:t xml:space="preserve"> « </w:t>
      </w:r>
      <w:r>
        <w:rPr>
          <w:lang w:val="fr-FR"/>
        </w:rPr>
        <w:t>les éléments requis de l</w:t>
      </w:r>
      <w:r w:rsidR="00AE397A">
        <w:rPr>
          <w:lang w:val="fr-FR"/>
        </w:rPr>
        <w:t>’</w:t>
      </w:r>
      <w:r>
        <w:rPr>
          <w:lang w:val="fr-FR"/>
        </w:rPr>
        <w:t>attestation visée à l</w:t>
      </w:r>
      <w:r w:rsidR="00AE397A">
        <w:rPr>
          <w:lang w:val="fr-FR"/>
        </w:rPr>
        <w:t>’</w:t>
      </w:r>
      <w:r w:rsidR="0039519C">
        <w:rPr>
          <w:lang w:val="fr-FR"/>
        </w:rPr>
        <w:t>alinéa </w:t>
      </w:r>
      <w:r>
        <w:rPr>
          <w:lang w:val="fr-FR"/>
        </w:rPr>
        <w:t>b) du paragraphe 6 et a</w:t>
      </w:r>
      <w:r w:rsidR="0039519C">
        <w:rPr>
          <w:lang w:val="fr-FR"/>
        </w:rPr>
        <w:t>u paragraphe 8 ». Le paragraphe </w:t>
      </w:r>
      <w:r>
        <w:rPr>
          <w:lang w:val="fr-FR"/>
        </w:rPr>
        <w:t>6</w:t>
      </w:r>
      <w:r w:rsidR="0039519C">
        <w:rPr>
          <w:lang w:val="fr-FR"/>
        </w:rPr>
        <w:t> </w:t>
      </w:r>
      <w:r>
        <w:rPr>
          <w:lang w:val="fr-FR"/>
        </w:rPr>
        <w:t>b) de l</w:t>
      </w:r>
      <w:r w:rsidR="00AE397A">
        <w:rPr>
          <w:lang w:val="fr-FR"/>
        </w:rPr>
        <w:t>’</w:t>
      </w:r>
      <w:r>
        <w:rPr>
          <w:lang w:val="fr-FR"/>
        </w:rPr>
        <w:t>article</w:t>
      </w:r>
      <w:r w:rsidR="0039519C">
        <w:rPr>
          <w:lang w:val="fr-FR"/>
        </w:rPr>
        <w:t> </w:t>
      </w:r>
      <w:r>
        <w:rPr>
          <w:lang w:val="fr-FR"/>
        </w:rPr>
        <w:t>3 exige d</w:t>
      </w:r>
      <w:r w:rsidR="00AE397A">
        <w:rPr>
          <w:lang w:val="fr-FR"/>
        </w:rPr>
        <w:t>’</w:t>
      </w:r>
      <w:r>
        <w:rPr>
          <w:lang w:val="fr-FR"/>
        </w:rPr>
        <w:t>un État non partie souhaitant importer du mercure en provenance d</w:t>
      </w:r>
      <w:r w:rsidR="00AE397A">
        <w:rPr>
          <w:lang w:val="fr-FR"/>
        </w:rPr>
        <w:t>’</w:t>
      </w:r>
      <w:r>
        <w:rPr>
          <w:lang w:val="fr-FR"/>
        </w:rPr>
        <w:t>une Partie qu</w:t>
      </w:r>
      <w:r w:rsidR="00AE397A">
        <w:rPr>
          <w:lang w:val="fr-FR"/>
        </w:rPr>
        <w:t>’</w:t>
      </w:r>
      <w:r>
        <w:rPr>
          <w:lang w:val="fr-FR"/>
        </w:rPr>
        <w:t>il fournisse une attestation du fait que l</w:t>
      </w:r>
      <w:r w:rsidR="00AE397A">
        <w:rPr>
          <w:lang w:val="fr-FR"/>
        </w:rPr>
        <w:t>’</w:t>
      </w:r>
      <w:r>
        <w:rPr>
          <w:lang w:val="fr-FR"/>
        </w:rPr>
        <w:t xml:space="preserve">État non </w:t>
      </w:r>
      <w:r w:rsidR="00991E9A">
        <w:rPr>
          <w:lang w:val="fr-FR"/>
        </w:rPr>
        <w:t>p</w:t>
      </w:r>
      <w:r>
        <w:rPr>
          <w:lang w:val="fr-FR"/>
        </w:rPr>
        <w:t>artie concerné a pris des mesures pour garantir l</w:t>
      </w:r>
      <w:bookmarkStart w:id="3" w:name="_GoBack"/>
      <w:bookmarkEnd w:id="3"/>
      <w:r>
        <w:rPr>
          <w:lang w:val="fr-FR"/>
        </w:rPr>
        <w:t>a protection de la santé humaine et de l</w:t>
      </w:r>
      <w:r w:rsidR="00AE397A">
        <w:rPr>
          <w:lang w:val="fr-FR"/>
        </w:rPr>
        <w:t>’</w:t>
      </w:r>
      <w:r>
        <w:rPr>
          <w:lang w:val="fr-FR"/>
        </w:rPr>
        <w:t>environnement et l</w:t>
      </w:r>
      <w:r w:rsidR="00AE397A">
        <w:rPr>
          <w:lang w:val="fr-FR"/>
        </w:rPr>
        <w:t>’</w:t>
      </w:r>
      <w:r>
        <w:rPr>
          <w:lang w:val="fr-FR"/>
        </w:rPr>
        <w:t>applicatio</w:t>
      </w:r>
      <w:r w:rsidR="0039519C">
        <w:rPr>
          <w:lang w:val="fr-FR"/>
        </w:rPr>
        <w:t>n des dispositions des articles </w:t>
      </w:r>
      <w:r>
        <w:rPr>
          <w:lang w:val="fr-FR"/>
        </w:rPr>
        <w:t>10 et 11 de la Convention, et une attestation du fait que le mercure dont il est question sera uniquement destiné à une utilisation permise à une Partie au titre de la Convention ou à un stockage provisoire écologiquement rationnel, comme indiqué à l</w:t>
      </w:r>
      <w:r w:rsidR="00AE397A">
        <w:rPr>
          <w:lang w:val="fr-FR"/>
        </w:rPr>
        <w:t>’</w:t>
      </w:r>
      <w:r w:rsidR="0039519C">
        <w:rPr>
          <w:lang w:val="fr-FR"/>
        </w:rPr>
        <w:t>article </w:t>
      </w:r>
      <w:r w:rsidR="00440628">
        <w:rPr>
          <w:lang w:val="fr-FR"/>
        </w:rPr>
        <w:t>10 de la Convention. Le </w:t>
      </w:r>
      <w:r>
        <w:rPr>
          <w:lang w:val="fr-FR"/>
        </w:rPr>
        <w:t>paragraphe</w:t>
      </w:r>
      <w:r w:rsidR="0039519C">
        <w:rPr>
          <w:lang w:val="fr-FR"/>
        </w:rPr>
        <w:t> </w:t>
      </w:r>
      <w:r>
        <w:rPr>
          <w:lang w:val="fr-FR"/>
        </w:rPr>
        <w:t>8 de l</w:t>
      </w:r>
      <w:r w:rsidR="00AE397A">
        <w:rPr>
          <w:lang w:val="fr-FR"/>
        </w:rPr>
        <w:t>’</w:t>
      </w:r>
      <w:r w:rsidR="0039519C">
        <w:rPr>
          <w:lang w:val="fr-FR"/>
        </w:rPr>
        <w:t>article </w:t>
      </w:r>
      <w:r w:rsidR="00440628">
        <w:rPr>
          <w:lang w:val="fr-FR"/>
        </w:rPr>
        <w:t>3 dispose que chaque p</w:t>
      </w:r>
      <w:r w:rsidR="0039519C">
        <w:rPr>
          <w:lang w:val="fr-FR"/>
        </w:rPr>
        <w:t>artie « </w:t>
      </w:r>
      <w:r>
        <w:rPr>
          <w:lang w:val="fr-FR"/>
        </w:rPr>
        <w:t>fait en sorte qu</w:t>
      </w:r>
      <w:r w:rsidR="00AE397A">
        <w:rPr>
          <w:lang w:val="fr-FR"/>
        </w:rPr>
        <w:t>’</w:t>
      </w:r>
      <w:r>
        <w:rPr>
          <w:lang w:val="fr-FR"/>
        </w:rPr>
        <w:t>il n</w:t>
      </w:r>
      <w:r w:rsidR="00AE397A">
        <w:rPr>
          <w:lang w:val="fr-FR"/>
        </w:rPr>
        <w:t>’</w:t>
      </w:r>
      <w:r>
        <w:rPr>
          <w:lang w:val="fr-FR"/>
        </w:rPr>
        <w:t>y ait aucune importation de mercure en provenance d</w:t>
      </w:r>
      <w:r w:rsidR="00AE397A">
        <w:rPr>
          <w:lang w:val="fr-FR"/>
        </w:rPr>
        <w:t>’</w:t>
      </w:r>
      <w:r w:rsidR="00440628">
        <w:rPr>
          <w:lang w:val="fr-FR"/>
        </w:rPr>
        <w:t>un État non p</w:t>
      </w:r>
      <w:r>
        <w:rPr>
          <w:lang w:val="fr-FR"/>
        </w:rPr>
        <w:t>artie auquel elle donnera son consentement écrit à moins que l</w:t>
      </w:r>
      <w:r w:rsidR="00AE397A">
        <w:rPr>
          <w:lang w:val="fr-FR"/>
        </w:rPr>
        <w:t>’</w:t>
      </w:r>
      <w:r>
        <w:rPr>
          <w:lang w:val="fr-FR"/>
        </w:rPr>
        <w:t>État non Partie lui ait certifié que le mercure ne provient pas de sources identifiées comme non autorisées au titre du paragraphe</w:t>
      </w:r>
      <w:r w:rsidR="0039519C">
        <w:rPr>
          <w:lang w:val="fr-FR"/>
        </w:rPr>
        <w:t> </w:t>
      </w:r>
      <w:r>
        <w:rPr>
          <w:lang w:val="fr-FR"/>
        </w:rPr>
        <w:t>3 ou de l</w:t>
      </w:r>
      <w:r w:rsidR="00AE397A">
        <w:rPr>
          <w:lang w:val="fr-FR"/>
        </w:rPr>
        <w:t>’</w:t>
      </w:r>
      <w:r w:rsidR="0039519C">
        <w:rPr>
          <w:lang w:val="fr-FR"/>
        </w:rPr>
        <w:t>alinéa </w:t>
      </w:r>
      <w:r>
        <w:rPr>
          <w:lang w:val="fr-FR"/>
        </w:rPr>
        <w:t>b) du paragraphe</w:t>
      </w:r>
      <w:r w:rsidR="0039519C">
        <w:rPr>
          <w:lang w:val="fr-FR"/>
        </w:rPr>
        <w:t> </w:t>
      </w:r>
      <w:r>
        <w:rPr>
          <w:lang w:val="fr-FR"/>
        </w:rPr>
        <w:t>5</w:t>
      </w:r>
      <w:r w:rsidR="0039519C">
        <w:rPr>
          <w:lang w:val="fr-FR"/>
        </w:rPr>
        <w:t> </w:t>
      </w:r>
      <w:r>
        <w:rPr>
          <w:lang w:val="fr-FR"/>
        </w:rPr>
        <w:t>» de l</w:t>
      </w:r>
      <w:r w:rsidR="00AE397A">
        <w:rPr>
          <w:lang w:val="fr-FR"/>
        </w:rPr>
        <w:t>’</w:t>
      </w:r>
      <w:r>
        <w:rPr>
          <w:lang w:val="fr-FR"/>
        </w:rPr>
        <w:t>article</w:t>
      </w:r>
      <w:r w:rsidR="0039519C">
        <w:rPr>
          <w:lang w:val="fr-FR"/>
        </w:rPr>
        <w:t> </w:t>
      </w:r>
      <w:r>
        <w:rPr>
          <w:lang w:val="fr-FR"/>
        </w:rPr>
        <w:t xml:space="preserve">3. </w:t>
      </w:r>
    </w:p>
    <w:p w:rsidR="00312543" w:rsidRPr="00BF67F3" w:rsidRDefault="00312543" w:rsidP="000832C7">
      <w:pPr>
        <w:pStyle w:val="Normalnumber"/>
        <w:ind w:left="1247" w:firstLine="0"/>
        <w:rPr>
          <w:lang w:val="fr-FR"/>
        </w:rPr>
      </w:pPr>
      <w:r>
        <w:rPr>
          <w:lang w:val="fr-FR"/>
        </w:rPr>
        <w:t>À sa sixième session, le Comité de négociation intergouvernemental chargé d</w:t>
      </w:r>
      <w:r w:rsidR="00AE397A">
        <w:rPr>
          <w:lang w:val="fr-FR"/>
        </w:rPr>
        <w:t>’</w:t>
      </w:r>
      <w:r>
        <w:rPr>
          <w:lang w:val="fr-FR"/>
        </w:rPr>
        <w:t xml:space="preserve">élaborer un instrument international juridiquement contraignant sur le mercure a examiné les </w:t>
      </w:r>
      <w:r w:rsidR="00CA2605">
        <w:rPr>
          <w:lang w:val="fr-FR"/>
        </w:rPr>
        <w:t>exigences de</w:t>
      </w:r>
      <w:r>
        <w:rPr>
          <w:lang w:val="fr-FR"/>
        </w:rPr>
        <w:t xml:space="preserve"> l</w:t>
      </w:r>
      <w:r w:rsidR="00AE397A">
        <w:rPr>
          <w:lang w:val="fr-FR"/>
        </w:rPr>
        <w:t>’</w:t>
      </w:r>
      <w:r w:rsidR="0039519C">
        <w:rPr>
          <w:lang w:val="fr-FR"/>
        </w:rPr>
        <w:t>article </w:t>
      </w:r>
      <w:r>
        <w:rPr>
          <w:lang w:val="fr-FR"/>
        </w:rPr>
        <w:t>3 de la Convention et adopté à titre provisoire, en attendant leur adoption éventuelle par la Conférence des Parties à sa première réunion, les fo</w:t>
      </w:r>
      <w:r w:rsidR="0039519C">
        <w:rPr>
          <w:lang w:val="fr-FR"/>
        </w:rPr>
        <w:t>rmulaires visés aux paragraphes </w:t>
      </w:r>
      <w:r>
        <w:rPr>
          <w:lang w:val="fr-FR"/>
        </w:rPr>
        <w:t>6 et 8 ainsi que les éléments requis de l</w:t>
      </w:r>
      <w:r w:rsidR="00AE397A">
        <w:rPr>
          <w:lang w:val="fr-FR"/>
        </w:rPr>
        <w:t>’</w:t>
      </w:r>
      <w:r>
        <w:rPr>
          <w:lang w:val="fr-FR"/>
        </w:rPr>
        <w:t>attestation visée à ces mêmes paragraphes. Les formulaires, y compris les éléments requis de l</w:t>
      </w:r>
      <w:r w:rsidR="00AE397A">
        <w:rPr>
          <w:lang w:val="fr-FR"/>
        </w:rPr>
        <w:t>’</w:t>
      </w:r>
      <w:r>
        <w:rPr>
          <w:lang w:val="fr-FR"/>
        </w:rPr>
        <w:t>attestation, figurent dans l</w:t>
      </w:r>
      <w:r w:rsidR="00AE397A">
        <w:rPr>
          <w:lang w:val="fr-FR"/>
        </w:rPr>
        <w:t>’</w:t>
      </w:r>
      <w:r>
        <w:rPr>
          <w:lang w:val="fr-FR"/>
        </w:rPr>
        <w:t xml:space="preserve">annexe II </w:t>
      </w:r>
      <w:r w:rsidR="00FB5617">
        <w:rPr>
          <w:lang w:val="fr-FR"/>
        </w:rPr>
        <w:t>à</w:t>
      </w:r>
      <w:r>
        <w:rPr>
          <w:lang w:val="fr-FR"/>
        </w:rPr>
        <w:t xml:space="preserve"> la note du secrétariat sur les orientations relatives aux sources d</w:t>
      </w:r>
      <w:r w:rsidR="00AE397A">
        <w:rPr>
          <w:lang w:val="fr-FR"/>
        </w:rPr>
        <w:t>’</w:t>
      </w:r>
      <w:r>
        <w:rPr>
          <w:lang w:val="fr-FR"/>
        </w:rPr>
        <w:t>approvisionnement en mercure et son commerce (article</w:t>
      </w:r>
      <w:r w:rsidR="0039519C">
        <w:rPr>
          <w:lang w:val="fr-FR"/>
        </w:rPr>
        <w:t> </w:t>
      </w:r>
      <w:r>
        <w:rPr>
          <w:lang w:val="fr-FR"/>
        </w:rPr>
        <w:t xml:space="preserve">3), </w:t>
      </w:r>
      <w:r w:rsidR="00CA2605">
        <w:rPr>
          <w:lang w:val="fr-FR"/>
        </w:rPr>
        <w:t>en particulier le</w:t>
      </w:r>
      <w:r>
        <w:rPr>
          <w:lang w:val="fr-FR"/>
        </w:rPr>
        <w:t xml:space="preserve"> recensement des stocks et des sources d</w:t>
      </w:r>
      <w:r w:rsidR="00AE397A">
        <w:rPr>
          <w:lang w:val="fr-FR"/>
        </w:rPr>
        <w:t>’</w:t>
      </w:r>
      <w:r w:rsidR="0039519C">
        <w:rPr>
          <w:lang w:val="fr-FR"/>
        </w:rPr>
        <w:t>approvisionnement (alinéa a) du paragraphe </w:t>
      </w:r>
      <w:r>
        <w:rPr>
          <w:lang w:val="fr-FR"/>
        </w:rPr>
        <w:t>5), et formulaires et orientations pour obtenir le consentement à l</w:t>
      </w:r>
      <w:r w:rsidR="00AE397A">
        <w:rPr>
          <w:lang w:val="fr-FR"/>
        </w:rPr>
        <w:t>’</w:t>
      </w:r>
      <w:r>
        <w:rPr>
          <w:lang w:val="fr-FR"/>
        </w:rPr>
        <w:t>impo</w:t>
      </w:r>
      <w:r w:rsidR="0039519C">
        <w:rPr>
          <w:lang w:val="fr-FR"/>
        </w:rPr>
        <w:t>rtation de mercure (paragraphes </w:t>
      </w:r>
      <w:r>
        <w:rPr>
          <w:lang w:val="fr-FR"/>
        </w:rPr>
        <w:t>6 et 8) (UNEP/MC/COP.1/5). Les sections relatives aux éléments de l</w:t>
      </w:r>
      <w:r w:rsidR="00AE397A">
        <w:rPr>
          <w:lang w:val="fr-FR"/>
        </w:rPr>
        <w:t>’</w:t>
      </w:r>
      <w:r>
        <w:rPr>
          <w:lang w:val="fr-FR"/>
        </w:rPr>
        <w:t xml:space="preserve">attestation sont reproduites dans </w:t>
      </w:r>
      <w:r>
        <w:rPr>
          <w:lang w:val="fr-FR"/>
        </w:rPr>
        <w:lastRenderedPageBreak/>
        <w:t>l</w:t>
      </w:r>
      <w:r w:rsidR="00AE397A">
        <w:rPr>
          <w:lang w:val="fr-FR"/>
        </w:rPr>
        <w:t>’</w:t>
      </w:r>
      <w:r>
        <w:rPr>
          <w:lang w:val="fr-FR"/>
        </w:rPr>
        <w:t>annexe II à la présente note. Un projet de décision visant à l</w:t>
      </w:r>
      <w:r w:rsidR="00AE397A">
        <w:rPr>
          <w:lang w:val="fr-FR"/>
        </w:rPr>
        <w:t>’</w:t>
      </w:r>
      <w:r>
        <w:rPr>
          <w:lang w:val="fr-FR"/>
        </w:rPr>
        <w:t>adoption des éléments de l</w:t>
      </w:r>
      <w:r w:rsidR="00AE397A">
        <w:rPr>
          <w:lang w:val="fr-FR"/>
        </w:rPr>
        <w:t>’</w:t>
      </w:r>
      <w:r>
        <w:rPr>
          <w:lang w:val="fr-FR"/>
        </w:rPr>
        <w:t>attestation figure dans l</w:t>
      </w:r>
      <w:r w:rsidR="00AE397A">
        <w:rPr>
          <w:lang w:val="fr-FR"/>
        </w:rPr>
        <w:t>’</w:t>
      </w:r>
      <w:r w:rsidR="00334EE0">
        <w:rPr>
          <w:lang w:val="fr-FR"/>
        </w:rPr>
        <w:t>annexe </w:t>
      </w:r>
      <w:r>
        <w:rPr>
          <w:lang w:val="fr-FR"/>
        </w:rPr>
        <w:t>I à la présente note.</w:t>
      </w:r>
    </w:p>
    <w:p w:rsidR="00312543" w:rsidRPr="00BF67F3" w:rsidRDefault="00B45A38" w:rsidP="00B45A38">
      <w:pPr>
        <w:pStyle w:val="CH3"/>
        <w:rPr>
          <w:lang w:val="fr-FR"/>
        </w:rPr>
      </w:pPr>
      <w:r>
        <w:rPr>
          <w:lang w:val="fr-FR"/>
        </w:rPr>
        <w:tab/>
      </w:r>
      <w:r>
        <w:rPr>
          <w:lang w:val="fr-FR"/>
        </w:rPr>
        <w:tab/>
        <w:t>Mesures que pourrait prendre la Conférence des Parties</w:t>
      </w:r>
    </w:p>
    <w:p w:rsidR="00312543" w:rsidRPr="00BF67F3" w:rsidRDefault="00312543" w:rsidP="00B45A38">
      <w:pPr>
        <w:pStyle w:val="Normalnumber"/>
        <w:ind w:left="1247" w:firstLine="0"/>
        <w:rPr>
          <w:lang w:val="fr-FR"/>
        </w:rPr>
      </w:pPr>
      <w:r>
        <w:rPr>
          <w:lang w:val="fr-FR"/>
        </w:rPr>
        <w:t>La Conférence souhaitera peut-être adopter les éléments de l</w:t>
      </w:r>
      <w:r w:rsidR="00AE397A">
        <w:rPr>
          <w:lang w:val="fr-FR"/>
        </w:rPr>
        <w:t>’</w:t>
      </w:r>
      <w:r>
        <w:rPr>
          <w:lang w:val="fr-FR"/>
        </w:rPr>
        <w:t xml:space="preserve">attestation </w:t>
      </w:r>
      <w:r w:rsidR="00CA2605">
        <w:rPr>
          <w:lang w:val="fr-FR"/>
        </w:rPr>
        <w:t>visée à</w:t>
      </w:r>
      <w:r>
        <w:rPr>
          <w:lang w:val="fr-FR"/>
        </w:rPr>
        <w:t xml:space="preserve"> l</w:t>
      </w:r>
      <w:r w:rsidR="00AE397A">
        <w:rPr>
          <w:lang w:val="fr-FR"/>
        </w:rPr>
        <w:t>’</w:t>
      </w:r>
      <w:r w:rsidR="00334EE0">
        <w:rPr>
          <w:lang w:val="fr-FR"/>
        </w:rPr>
        <w:t>article </w:t>
      </w:r>
      <w:r>
        <w:rPr>
          <w:lang w:val="fr-FR"/>
        </w:rPr>
        <w:t>3 de la Convention tels qu</w:t>
      </w:r>
      <w:r w:rsidR="00AE397A">
        <w:rPr>
          <w:lang w:val="fr-FR"/>
        </w:rPr>
        <w:t>’</w:t>
      </w:r>
      <w:r>
        <w:rPr>
          <w:lang w:val="fr-FR"/>
        </w:rPr>
        <w:t>adoptés à titre provisoire par le Comité de négociation intergouvernemental à sa sixième session.</w:t>
      </w:r>
    </w:p>
    <w:p w:rsidR="00B25493" w:rsidRDefault="00312543" w:rsidP="00440628">
      <w:pPr>
        <w:pStyle w:val="ZZAnxheader"/>
        <w:rPr>
          <w:b w:val="0"/>
          <w:bCs w:val="0"/>
          <w:lang w:val="fr-FR"/>
        </w:rPr>
      </w:pPr>
      <w:r>
        <w:rPr>
          <w:lang w:val="fr-FR"/>
        </w:rPr>
        <w:t xml:space="preserve"> </w:t>
      </w:r>
      <w:r w:rsidR="00B25493">
        <w:rPr>
          <w:lang w:val="fr-FR"/>
        </w:rPr>
        <w:br w:type="page"/>
      </w:r>
    </w:p>
    <w:p w:rsidR="00312543" w:rsidRPr="00BF67F3" w:rsidRDefault="0064317E" w:rsidP="000832C7">
      <w:pPr>
        <w:pStyle w:val="ZZAnxheader"/>
        <w:rPr>
          <w:lang w:val="fr-FR"/>
        </w:rPr>
      </w:pPr>
      <w:r>
        <w:rPr>
          <w:lang w:val="fr-FR"/>
        </w:rPr>
        <w:lastRenderedPageBreak/>
        <w:t>Annexe </w:t>
      </w:r>
      <w:r w:rsidR="00312543">
        <w:rPr>
          <w:lang w:val="fr-FR"/>
        </w:rPr>
        <w:t xml:space="preserve">I </w:t>
      </w:r>
    </w:p>
    <w:p w:rsidR="00684BE1" w:rsidRPr="00BF67F3" w:rsidRDefault="003317D7" w:rsidP="000832C7">
      <w:pPr>
        <w:pStyle w:val="ZZAnxtitle"/>
        <w:rPr>
          <w:i/>
          <w:iCs/>
          <w:lang w:val="fr-FR"/>
        </w:rPr>
      </w:pPr>
      <w:r>
        <w:rPr>
          <w:lang w:val="fr-FR"/>
        </w:rPr>
        <w:t>Projet de décision </w:t>
      </w:r>
      <w:r w:rsidR="00684BE1">
        <w:rPr>
          <w:lang w:val="fr-FR"/>
        </w:rPr>
        <w:t>MC-1</w:t>
      </w:r>
      <w:proofErr w:type="gramStart"/>
      <w:r w:rsidR="00684BE1">
        <w:rPr>
          <w:lang w:val="fr-FR"/>
        </w:rPr>
        <w:t>/</w:t>
      </w:r>
      <w:r>
        <w:rPr>
          <w:lang w:val="fr-FR"/>
        </w:rPr>
        <w:t>[</w:t>
      </w:r>
      <w:proofErr w:type="gramEnd"/>
      <w:r w:rsidR="00684BE1">
        <w:rPr>
          <w:lang w:val="fr-FR"/>
        </w:rPr>
        <w:t>X</w:t>
      </w:r>
      <w:r>
        <w:rPr>
          <w:lang w:val="fr-FR"/>
        </w:rPr>
        <w:t>X]</w:t>
      </w:r>
      <w:r w:rsidR="00684BE1">
        <w:rPr>
          <w:lang w:val="fr-FR"/>
        </w:rPr>
        <w:t xml:space="preserve"> : Orientations </w:t>
      </w:r>
      <w:r w:rsidR="00AE7840">
        <w:rPr>
          <w:lang w:val="fr-FR"/>
        </w:rPr>
        <w:t>relatives à l’attestation</w:t>
      </w:r>
      <w:r w:rsidR="00AE7840">
        <w:rPr>
          <w:lang w:val="fr-FR"/>
        </w:rPr>
        <w:t xml:space="preserve"> </w:t>
      </w:r>
      <w:r w:rsidR="00CA2605">
        <w:rPr>
          <w:lang w:val="fr-FR"/>
        </w:rPr>
        <w:t>concernant les</w:t>
      </w:r>
      <w:r w:rsidR="00684BE1">
        <w:rPr>
          <w:lang w:val="fr-FR"/>
        </w:rPr>
        <w:t xml:space="preserve"> sources d</w:t>
      </w:r>
      <w:r w:rsidR="00AE397A">
        <w:rPr>
          <w:lang w:val="fr-FR"/>
        </w:rPr>
        <w:t>’</w:t>
      </w:r>
      <w:r w:rsidR="00684BE1">
        <w:rPr>
          <w:lang w:val="fr-FR"/>
        </w:rPr>
        <w:t>approvisionne</w:t>
      </w:r>
      <w:r w:rsidR="00CA2605">
        <w:rPr>
          <w:lang w:val="fr-FR"/>
        </w:rPr>
        <w:t xml:space="preserve">ment en mercure </w:t>
      </w:r>
      <w:r w:rsidR="00AE7840">
        <w:rPr>
          <w:lang w:val="fr-FR"/>
        </w:rPr>
        <w:br/>
      </w:r>
      <w:r w:rsidR="00CA2605">
        <w:rPr>
          <w:lang w:val="fr-FR"/>
        </w:rPr>
        <w:t>et son commerce</w:t>
      </w:r>
      <w:r>
        <w:rPr>
          <w:lang w:val="fr-FR"/>
        </w:rPr>
        <w:t xml:space="preserve"> </w:t>
      </w:r>
    </w:p>
    <w:p w:rsidR="00684BE1" w:rsidRPr="00B15FA1" w:rsidRDefault="00684BE1" w:rsidP="000832C7">
      <w:pPr>
        <w:pStyle w:val="Normal-pool"/>
        <w:tabs>
          <w:tab w:val="clear" w:pos="1247"/>
          <w:tab w:val="clear" w:pos="1814"/>
          <w:tab w:val="clear" w:pos="2381"/>
          <w:tab w:val="clear" w:pos="2948"/>
          <w:tab w:val="clear" w:pos="3515"/>
          <w:tab w:val="clear" w:pos="4082"/>
          <w:tab w:val="left" w:pos="624"/>
        </w:tabs>
        <w:spacing w:after="120"/>
        <w:ind w:left="1871" w:firstLine="624"/>
        <w:rPr>
          <w:i/>
          <w:lang w:val="fr-FR"/>
        </w:rPr>
      </w:pPr>
      <w:r w:rsidRPr="00B15FA1">
        <w:rPr>
          <w:i/>
          <w:lang w:val="fr-FR"/>
        </w:rPr>
        <w:t>La Conférence des Parties</w:t>
      </w:r>
    </w:p>
    <w:p w:rsidR="00312543" w:rsidRPr="00BF67F3" w:rsidRDefault="00684BE1" w:rsidP="000832C7">
      <w:pPr>
        <w:pStyle w:val="Normal-pool"/>
        <w:tabs>
          <w:tab w:val="clear" w:pos="1247"/>
          <w:tab w:val="clear" w:pos="1814"/>
          <w:tab w:val="clear" w:pos="2381"/>
          <w:tab w:val="clear" w:pos="2948"/>
          <w:tab w:val="clear" w:pos="3515"/>
          <w:tab w:val="clear" w:pos="4082"/>
          <w:tab w:val="left" w:pos="624"/>
        </w:tabs>
        <w:spacing w:after="120"/>
        <w:ind w:left="1871" w:firstLine="624"/>
        <w:rPr>
          <w:lang w:val="fr-FR"/>
        </w:rPr>
      </w:pPr>
      <w:r w:rsidRPr="00B15FA1">
        <w:rPr>
          <w:i/>
          <w:lang w:val="fr-FR"/>
        </w:rPr>
        <w:t>Décide</w:t>
      </w:r>
      <w:r>
        <w:rPr>
          <w:lang w:val="fr-FR"/>
        </w:rPr>
        <w:t xml:space="preserve"> d</w:t>
      </w:r>
      <w:r w:rsidR="00AE397A">
        <w:rPr>
          <w:lang w:val="fr-FR"/>
        </w:rPr>
        <w:t>’</w:t>
      </w:r>
      <w:r>
        <w:rPr>
          <w:lang w:val="fr-FR"/>
        </w:rPr>
        <w:t>adopter les éléments requis de l</w:t>
      </w:r>
      <w:r w:rsidR="00AE397A">
        <w:rPr>
          <w:lang w:val="fr-FR"/>
        </w:rPr>
        <w:t>’</w:t>
      </w:r>
      <w:r>
        <w:rPr>
          <w:lang w:val="fr-FR"/>
        </w:rPr>
        <w:t>attestation à utiliser conjointement avec les formulaires de consentement à l</w:t>
      </w:r>
      <w:r w:rsidR="00AE397A">
        <w:rPr>
          <w:lang w:val="fr-FR"/>
        </w:rPr>
        <w:t>’</w:t>
      </w:r>
      <w:r>
        <w:rPr>
          <w:lang w:val="fr-FR"/>
        </w:rPr>
        <w:t>importation de mercure en provenance de Parties et d</w:t>
      </w:r>
      <w:r w:rsidR="00AE397A">
        <w:rPr>
          <w:lang w:val="fr-FR"/>
        </w:rPr>
        <w:t>’</w:t>
      </w:r>
      <w:r>
        <w:rPr>
          <w:lang w:val="fr-FR"/>
        </w:rPr>
        <w:t>États non parties.</w:t>
      </w:r>
    </w:p>
    <w:p w:rsidR="00312543" w:rsidRPr="008F1FE0" w:rsidRDefault="00312543" w:rsidP="000832C7">
      <w:pPr>
        <w:pStyle w:val="ZZAnxheader"/>
        <w:rPr>
          <w:lang w:val="fr-CA"/>
        </w:rPr>
      </w:pPr>
      <w:r w:rsidRPr="008F1FE0">
        <w:rPr>
          <w:lang w:val="fr-CA"/>
        </w:rPr>
        <w:br w:type="page"/>
      </w:r>
      <w:r w:rsidRPr="008F1FE0">
        <w:rPr>
          <w:lang w:val="fr-CA"/>
        </w:rPr>
        <w:lastRenderedPageBreak/>
        <w:t>Annex</w:t>
      </w:r>
      <w:r w:rsidR="00525378" w:rsidRPr="008F1FE0">
        <w:rPr>
          <w:lang w:val="fr-CA"/>
        </w:rPr>
        <w:t>e</w:t>
      </w:r>
      <w:r w:rsidR="009F612F">
        <w:rPr>
          <w:lang w:val="fr-CA"/>
        </w:rPr>
        <w:t> </w:t>
      </w:r>
      <w:r w:rsidR="00255632" w:rsidRPr="008F1FE0">
        <w:rPr>
          <w:lang w:val="fr-CA"/>
        </w:rPr>
        <w:t>II</w:t>
      </w:r>
    </w:p>
    <w:p w:rsidR="00AD4326" w:rsidRPr="00525378" w:rsidRDefault="00AD4326" w:rsidP="000832C7">
      <w:pPr>
        <w:pStyle w:val="ZZAnxtitle"/>
        <w:rPr>
          <w:b w:val="0"/>
          <w:lang w:val="fr-FR"/>
        </w:rPr>
      </w:pPr>
      <w:r w:rsidRPr="00525378">
        <w:rPr>
          <w:lang w:val="fr-FR"/>
        </w:rPr>
        <w:t>Conten</w:t>
      </w:r>
      <w:r w:rsidR="00525378" w:rsidRPr="00525378">
        <w:rPr>
          <w:lang w:val="fr-FR"/>
        </w:rPr>
        <w:t>u de l’attestation requise de la part d</w:t>
      </w:r>
      <w:r w:rsidR="00CA2605">
        <w:rPr>
          <w:lang w:val="fr-FR"/>
        </w:rPr>
        <w:t>es</w:t>
      </w:r>
      <w:r w:rsidR="00525378" w:rsidRPr="00525378">
        <w:rPr>
          <w:lang w:val="fr-FR"/>
        </w:rPr>
        <w:t xml:space="preserve"> État</w:t>
      </w:r>
      <w:r w:rsidR="00CA2605">
        <w:rPr>
          <w:lang w:val="fr-FR"/>
        </w:rPr>
        <w:t>s</w:t>
      </w:r>
      <w:r w:rsidR="00525378" w:rsidRPr="00525378">
        <w:rPr>
          <w:lang w:val="fr-FR"/>
        </w:rPr>
        <w:t xml:space="preserve"> non </w:t>
      </w:r>
      <w:r w:rsidR="00CA2605">
        <w:rPr>
          <w:lang w:val="fr-FR"/>
        </w:rPr>
        <w:t>p</w:t>
      </w:r>
      <w:r w:rsidR="00525378" w:rsidRPr="00525378">
        <w:rPr>
          <w:lang w:val="fr-FR"/>
        </w:rPr>
        <w:t>artie</w:t>
      </w:r>
      <w:r w:rsidR="00CA2605">
        <w:rPr>
          <w:lang w:val="fr-FR"/>
        </w:rPr>
        <w:t>s</w:t>
      </w:r>
      <w:r w:rsidR="00F6181F">
        <w:rPr>
          <w:lang w:val="fr-FR"/>
        </w:rPr>
        <w:t xml:space="preserve"> au titre de l’article </w:t>
      </w:r>
      <w:r w:rsidR="00525378" w:rsidRPr="00525378">
        <w:rPr>
          <w:lang w:val="fr-FR"/>
        </w:rPr>
        <w:t>3 de la Convention de Minamata</w:t>
      </w:r>
      <w:r w:rsidR="003F5F95" w:rsidRPr="00525378">
        <w:rPr>
          <w:rStyle w:val="CommentReference"/>
          <w:b w:val="0"/>
          <w:bCs w:val="0"/>
          <w:lang w:val="fr-FR"/>
        </w:rPr>
        <w:t xml:space="preserve"> </w:t>
      </w:r>
    </w:p>
    <w:p w:rsidR="00F83855" w:rsidRPr="009B35CF" w:rsidRDefault="00CA2605" w:rsidP="009F612F">
      <w:pPr>
        <w:pStyle w:val="Normalnumber"/>
        <w:numPr>
          <w:ilvl w:val="0"/>
          <w:numId w:val="24"/>
        </w:numPr>
        <w:tabs>
          <w:tab w:val="left" w:pos="1701"/>
        </w:tabs>
        <w:ind w:left="1248" w:hanging="1"/>
        <w:rPr>
          <w:bCs/>
          <w:lang w:val="fr-FR"/>
        </w:rPr>
      </w:pPr>
      <w:r w:rsidRPr="009B35CF">
        <w:rPr>
          <w:lang w:val="fr-FR"/>
        </w:rPr>
        <w:t>L</w:t>
      </w:r>
      <w:r w:rsidR="00525378" w:rsidRPr="009B35CF">
        <w:rPr>
          <w:lang w:val="fr-FR"/>
        </w:rPr>
        <w:t>’attestation requise de la part d</w:t>
      </w:r>
      <w:r w:rsidRPr="009B35CF">
        <w:rPr>
          <w:lang w:val="fr-FR"/>
        </w:rPr>
        <w:t>es</w:t>
      </w:r>
      <w:r w:rsidR="00525378" w:rsidRPr="009B35CF">
        <w:rPr>
          <w:lang w:val="fr-FR"/>
        </w:rPr>
        <w:t xml:space="preserve"> État</w:t>
      </w:r>
      <w:r w:rsidRPr="009B35CF">
        <w:rPr>
          <w:lang w:val="fr-FR"/>
        </w:rPr>
        <w:t>s</w:t>
      </w:r>
      <w:r w:rsidR="00525378" w:rsidRPr="009B35CF">
        <w:rPr>
          <w:lang w:val="fr-FR"/>
        </w:rPr>
        <w:t xml:space="preserve"> non </w:t>
      </w:r>
      <w:r w:rsidRPr="009B35CF">
        <w:rPr>
          <w:lang w:val="fr-FR"/>
        </w:rPr>
        <w:t>p</w:t>
      </w:r>
      <w:r w:rsidR="00525378" w:rsidRPr="009B35CF">
        <w:rPr>
          <w:lang w:val="fr-FR"/>
        </w:rPr>
        <w:t>artie</w:t>
      </w:r>
      <w:r w:rsidRPr="009B35CF">
        <w:rPr>
          <w:lang w:val="fr-FR"/>
        </w:rPr>
        <w:t>s</w:t>
      </w:r>
      <w:r w:rsidR="00525378" w:rsidRPr="009B35CF">
        <w:rPr>
          <w:lang w:val="fr-FR"/>
        </w:rPr>
        <w:t xml:space="preserve"> </w:t>
      </w:r>
      <w:r w:rsidRPr="009B35CF">
        <w:rPr>
          <w:lang w:val="fr-FR"/>
        </w:rPr>
        <w:t xml:space="preserve">est mentionnée à trois reprises </w:t>
      </w:r>
      <w:r w:rsidR="00525378" w:rsidRPr="009B35CF">
        <w:rPr>
          <w:lang w:val="fr-FR"/>
        </w:rPr>
        <w:t xml:space="preserve">dans les </w:t>
      </w:r>
      <w:r w:rsidR="00525378" w:rsidRPr="009B35CF">
        <w:rPr>
          <w:bCs/>
          <w:lang w:val="fr-FR"/>
        </w:rPr>
        <w:t xml:space="preserve">formulaires et orientations </w:t>
      </w:r>
      <w:r w:rsidR="000E78C5" w:rsidRPr="009B35CF">
        <w:rPr>
          <w:bCs/>
          <w:lang w:val="fr-FR"/>
        </w:rPr>
        <w:t>applicables au titre de l’article 3 de la Convention</w:t>
      </w:r>
      <w:r w:rsidR="00304499" w:rsidRPr="009B35CF">
        <w:rPr>
          <w:bCs/>
          <w:lang w:val="fr-FR"/>
        </w:rPr>
        <w:t xml:space="preserve">. </w:t>
      </w:r>
    </w:p>
    <w:p w:rsidR="00304499" w:rsidRPr="009B35CF" w:rsidRDefault="000E78C5" w:rsidP="009F612F">
      <w:pPr>
        <w:pStyle w:val="Normalnumber"/>
        <w:numPr>
          <w:ilvl w:val="0"/>
          <w:numId w:val="24"/>
        </w:numPr>
        <w:tabs>
          <w:tab w:val="left" w:pos="1701"/>
        </w:tabs>
        <w:ind w:left="1248" w:hanging="1"/>
        <w:rPr>
          <w:bCs/>
          <w:lang w:val="fr-FR"/>
        </w:rPr>
      </w:pPr>
      <w:r w:rsidRPr="009B35CF">
        <w:rPr>
          <w:bCs/>
          <w:lang w:val="fr-FR"/>
        </w:rPr>
        <w:t xml:space="preserve">Le formulaire </w:t>
      </w:r>
      <w:r w:rsidR="00304499" w:rsidRPr="009B35CF">
        <w:rPr>
          <w:bCs/>
          <w:lang w:val="fr-FR"/>
        </w:rPr>
        <w:t>B</w:t>
      </w:r>
      <w:r w:rsidR="009B35CF">
        <w:rPr>
          <w:bCs/>
          <w:lang w:val="fr-FR"/>
        </w:rPr>
        <w:t xml:space="preserve"> de</w:t>
      </w:r>
      <w:r w:rsidRPr="009B35CF">
        <w:rPr>
          <w:bCs/>
          <w:lang w:val="fr-FR"/>
        </w:rPr>
        <w:t xml:space="preserve"> consentement écrit d’un État non Partie à l</w:t>
      </w:r>
      <w:r w:rsidR="00CA2605" w:rsidRPr="009B35CF">
        <w:rPr>
          <w:bCs/>
          <w:lang w:val="fr-FR"/>
        </w:rPr>
        <w:t>’importation</w:t>
      </w:r>
      <w:r w:rsidRPr="009B35CF">
        <w:rPr>
          <w:bCs/>
          <w:lang w:val="fr-FR"/>
        </w:rPr>
        <w:t xml:space="preserve"> de mercure comprend </w:t>
      </w:r>
      <w:r w:rsidR="00CA2605" w:rsidRPr="009B35CF">
        <w:rPr>
          <w:bCs/>
          <w:lang w:val="fr-FR"/>
        </w:rPr>
        <w:t>la</w:t>
      </w:r>
      <w:r w:rsidRPr="009B35CF">
        <w:rPr>
          <w:bCs/>
          <w:lang w:val="fr-FR"/>
        </w:rPr>
        <w:t xml:space="preserve"> section </w:t>
      </w:r>
      <w:r w:rsidR="00CA2605" w:rsidRPr="009B35CF">
        <w:rPr>
          <w:bCs/>
          <w:lang w:val="fr-FR"/>
        </w:rPr>
        <w:t xml:space="preserve">suivante </w:t>
      </w:r>
      <w:r w:rsidR="009B35CF">
        <w:rPr>
          <w:bCs/>
          <w:lang w:val="fr-FR"/>
        </w:rPr>
        <w:t>sur</w:t>
      </w:r>
      <w:r w:rsidRPr="009B35CF">
        <w:rPr>
          <w:bCs/>
          <w:lang w:val="fr-FR"/>
        </w:rPr>
        <w:t xml:space="preserve"> l’attestation en question :</w:t>
      </w:r>
      <w:r w:rsidR="00304499" w:rsidRPr="009B35CF">
        <w:rPr>
          <w:bCs/>
          <w:lang w:val="fr-FR"/>
        </w:rPr>
        <w:t xml:space="preserve"> </w:t>
      </w:r>
    </w:p>
    <w:p w:rsidR="00864C64" w:rsidRPr="00864C64" w:rsidRDefault="00864C64" w:rsidP="009F612F">
      <w:pPr>
        <w:tabs>
          <w:tab w:val="clear" w:pos="1247"/>
          <w:tab w:val="left" w:pos="1260"/>
        </w:tabs>
        <w:spacing w:before="120"/>
        <w:ind w:left="1259" w:firstLine="17"/>
        <w:rPr>
          <w:b/>
          <w:i/>
          <w:lang w:val="fr-FR"/>
        </w:rPr>
      </w:pPr>
      <w:r w:rsidRPr="00864C64">
        <w:rPr>
          <w:b/>
          <w:i/>
          <w:lang w:val="fr-FR"/>
        </w:rPr>
        <w:t>Section D :</w:t>
      </w:r>
      <w:r w:rsidRPr="00864C64">
        <w:rPr>
          <w:b/>
          <w:i/>
          <w:lang w:val="fr-FR"/>
        </w:rPr>
        <w:tab/>
        <w:t>Attestation et informations requises de la part d’un État non-Partie importateur</w:t>
      </w:r>
    </w:p>
    <w:p w:rsidR="00864C64" w:rsidRPr="00864C64" w:rsidRDefault="00864C64" w:rsidP="009F612F">
      <w:pPr>
        <w:pStyle w:val="Normalnumber"/>
        <w:numPr>
          <w:ilvl w:val="0"/>
          <w:numId w:val="0"/>
        </w:numPr>
        <w:spacing w:before="120"/>
        <w:ind w:left="1247"/>
        <w:rPr>
          <w:i/>
          <w:lang w:val="fr-FR"/>
        </w:rPr>
      </w:pPr>
      <w:r w:rsidRPr="00864C64">
        <w:rPr>
          <w:i/>
          <w:lang w:val="fr-FR"/>
        </w:rPr>
        <w:t xml:space="preserve">Le paragraphe 6 b) i) de </w:t>
      </w:r>
      <w:r w:rsidRPr="009F612F">
        <w:rPr>
          <w:bCs/>
          <w:lang w:val="fr-FR"/>
        </w:rPr>
        <w:t>l’article</w:t>
      </w:r>
      <w:r w:rsidRPr="00864C64">
        <w:rPr>
          <w:i/>
          <w:lang w:val="fr-FR"/>
        </w:rPr>
        <w:t xml:space="preserve"> 3 exige des États non Parties qu’ils attestent avoir pris des mesures pour garantir la protection de la santé humaine et de l’environnement et l’application des dispositions des articles 10 et 11 de la Convention. </w:t>
      </w:r>
    </w:p>
    <w:p w:rsidR="00864C64" w:rsidRPr="00525378" w:rsidRDefault="00864C64" w:rsidP="009F612F">
      <w:pPr>
        <w:pStyle w:val="Normalnumber"/>
        <w:numPr>
          <w:ilvl w:val="0"/>
          <w:numId w:val="0"/>
        </w:numPr>
        <w:spacing w:before="120"/>
        <w:ind w:left="1247"/>
        <w:rPr>
          <w:i/>
          <w:lang w:val="fr-FR"/>
        </w:rPr>
      </w:pPr>
      <w:r w:rsidRPr="00864C64">
        <w:rPr>
          <w:i/>
          <w:lang w:val="fr-FR"/>
        </w:rPr>
        <w:t xml:space="preserve">Votre pays </w:t>
      </w:r>
      <w:proofErr w:type="spellStart"/>
      <w:r w:rsidRPr="00864C64">
        <w:rPr>
          <w:i/>
          <w:lang w:val="fr-FR"/>
        </w:rPr>
        <w:t>a-t-il</w:t>
      </w:r>
      <w:proofErr w:type="spellEnd"/>
      <w:r w:rsidRPr="00864C64">
        <w:rPr>
          <w:i/>
          <w:lang w:val="fr-FR"/>
        </w:rPr>
        <w:t xml:space="preserve"> mis en place de telles mesures? </w:t>
      </w:r>
      <w:r w:rsidRPr="00525378">
        <w:rPr>
          <w:i/>
          <w:lang w:val="fr-FR"/>
        </w:rPr>
        <w:t>(entourer la réponse) :</w:t>
      </w:r>
      <w:r w:rsidR="009F612F">
        <w:rPr>
          <w:i/>
          <w:lang w:val="fr-FR"/>
        </w:rPr>
        <w:tab/>
      </w:r>
      <w:r w:rsidRPr="00525378">
        <w:rPr>
          <w:i/>
          <w:lang w:val="fr-FR"/>
        </w:rPr>
        <w:t>OUI</w:t>
      </w:r>
      <w:r w:rsidRPr="00525378">
        <w:rPr>
          <w:i/>
          <w:lang w:val="fr-FR"/>
        </w:rPr>
        <w:tab/>
      </w:r>
      <w:r w:rsidRPr="00525378">
        <w:rPr>
          <w:i/>
          <w:lang w:val="fr-FR"/>
        </w:rPr>
        <w:tab/>
        <w:t>NON</w:t>
      </w:r>
    </w:p>
    <w:p w:rsidR="00864C64" w:rsidRPr="00864C64" w:rsidRDefault="00864C64" w:rsidP="009F612F">
      <w:pPr>
        <w:pStyle w:val="Normalnumber"/>
        <w:numPr>
          <w:ilvl w:val="0"/>
          <w:numId w:val="0"/>
        </w:numPr>
        <w:ind w:left="2127"/>
        <w:rPr>
          <w:i/>
          <w:lang w:val="fr-FR"/>
        </w:rPr>
      </w:pPr>
      <w:r w:rsidRPr="00864C64">
        <w:rPr>
          <w:i/>
          <w:lang w:val="fr-FR"/>
        </w:rPr>
        <w:t xml:space="preserve">Si oui, veuillez en fournir des preuves documentaires appropriées. La documentation à l’appui peut </w:t>
      </w:r>
      <w:r w:rsidRPr="009F612F">
        <w:rPr>
          <w:bCs/>
          <w:lang w:val="fr-FR"/>
        </w:rPr>
        <w:t>concerner</w:t>
      </w:r>
      <w:r w:rsidRPr="00864C64">
        <w:rPr>
          <w:i/>
          <w:lang w:val="fr-FR"/>
        </w:rPr>
        <w:t xml:space="preserve"> des procédures, législations, règlements et autres mesures mis en place au niveau national et doit comporter suffisamment de détails montrant l’efficacité de ces mesures. </w:t>
      </w:r>
    </w:p>
    <w:p w:rsidR="009F612F" w:rsidRDefault="00864C64" w:rsidP="009F612F">
      <w:pPr>
        <w:pStyle w:val="Normalnumber"/>
        <w:numPr>
          <w:ilvl w:val="0"/>
          <w:numId w:val="0"/>
        </w:numPr>
        <w:spacing w:before="120"/>
        <w:ind w:left="1247"/>
        <w:rPr>
          <w:i/>
          <w:lang w:val="fr-FR"/>
        </w:rPr>
      </w:pPr>
      <w:r w:rsidRPr="00864C64">
        <w:rPr>
          <w:i/>
          <w:lang w:val="fr-FR"/>
        </w:rPr>
        <w:t xml:space="preserve">Par ailleurs, une Partie ne peut exporter du mercure vers un État non Partie que pour une utilisation permise à une Partie au titre de la Convention ou aux fins de stockage provisoire écologiquement rationnel comme indiqué à l’article 10. </w:t>
      </w:r>
    </w:p>
    <w:p w:rsidR="00864C64" w:rsidRPr="00864C64" w:rsidRDefault="00864C64" w:rsidP="009F612F">
      <w:pPr>
        <w:pStyle w:val="Normalnumber"/>
        <w:numPr>
          <w:ilvl w:val="0"/>
          <w:numId w:val="0"/>
        </w:numPr>
        <w:spacing w:before="120"/>
        <w:ind w:left="1247"/>
        <w:rPr>
          <w:i/>
          <w:lang w:val="fr-FR"/>
        </w:rPr>
      </w:pPr>
      <w:r w:rsidRPr="00864C64">
        <w:rPr>
          <w:i/>
          <w:lang w:val="fr-FR"/>
        </w:rPr>
        <w:t>À quelle fin le mercure est-il importé? Veuillez entourer la réponse :</w:t>
      </w:r>
    </w:p>
    <w:p w:rsidR="00864C64" w:rsidRPr="00864C64" w:rsidRDefault="00864C64" w:rsidP="009F612F">
      <w:pPr>
        <w:numPr>
          <w:ilvl w:val="0"/>
          <w:numId w:val="11"/>
        </w:numPr>
        <w:tabs>
          <w:tab w:val="clear" w:pos="1247"/>
          <w:tab w:val="clear" w:pos="1814"/>
          <w:tab w:val="left" w:pos="1260"/>
        </w:tabs>
        <w:ind w:left="2268" w:hanging="408"/>
        <w:rPr>
          <w:i/>
          <w:lang w:val="fr-FR"/>
        </w:rPr>
      </w:pPr>
      <w:r w:rsidRPr="00864C64">
        <w:rPr>
          <w:i/>
          <w:lang w:val="fr-FR"/>
        </w:rPr>
        <w:t xml:space="preserve">Stockage provisoire écologiquement rationnelle, </w:t>
      </w:r>
      <w:r w:rsidR="009F612F">
        <w:rPr>
          <w:i/>
          <w:lang w:val="fr-FR"/>
        </w:rPr>
        <w:t xml:space="preserve">comme indiqué à l’article 10 </w:t>
      </w:r>
      <w:proofErr w:type="gramStart"/>
      <w:r w:rsidR="009F612F">
        <w:rPr>
          <w:i/>
          <w:lang w:val="fr-FR"/>
        </w:rPr>
        <w:t>:</w:t>
      </w:r>
      <w:proofErr w:type="gramEnd"/>
      <w:r w:rsidR="009F612F">
        <w:rPr>
          <w:i/>
          <w:lang w:val="fr-FR"/>
        </w:rPr>
        <w:br/>
      </w:r>
      <w:r w:rsidRPr="00864C64">
        <w:rPr>
          <w:i/>
          <w:lang w:val="fr-FR"/>
        </w:rPr>
        <w:t>OUI</w:t>
      </w:r>
      <w:r w:rsidRPr="00864C64">
        <w:rPr>
          <w:i/>
          <w:lang w:val="fr-FR"/>
        </w:rPr>
        <w:tab/>
      </w:r>
      <w:r w:rsidRPr="00864C64">
        <w:rPr>
          <w:i/>
          <w:lang w:val="fr-FR"/>
        </w:rPr>
        <w:tab/>
        <w:t>NON</w:t>
      </w:r>
    </w:p>
    <w:p w:rsidR="00864C64" w:rsidRPr="00864C64" w:rsidRDefault="00864C64" w:rsidP="009F612F">
      <w:pPr>
        <w:tabs>
          <w:tab w:val="clear" w:pos="1247"/>
        </w:tabs>
        <w:ind w:left="2268" w:firstLine="28"/>
        <w:rPr>
          <w:i/>
          <w:lang w:val="fr-FR"/>
        </w:rPr>
      </w:pPr>
      <w:r w:rsidRPr="00864C64">
        <w:rPr>
          <w:i/>
          <w:lang w:val="fr-FR"/>
        </w:rPr>
        <w:t>Si oui, veuillez préciser l’utilisation prévue, si elle est connue.</w:t>
      </w:r>
    </w:p>
    <w:p w:rsidR="00864C64" w:rsidRDefault="00864C64" w:rsidP="009F612F">
      <w:pPr>
        <w:tabs>
          <w:tab w:val="clear" w:pos="1247"/>
          <w:tab w:val="left" w:pos="1260"/>
        </w:tabs>
        <w:ind w:left="2268" w:firstLine="17"/>
        <w:rPr>
          <w:i/>
        </w:rPr>
      </w:pPr>
      <w:proofErr w:type="spellStart"/>
      <w:proofErr w:type="gramStart"/>
      <w:r w:rsidRPr="00D76EAA">
        <w:rPr>
          <w:i/>
        </w:rPr>
        <w:t>Téléphone</w:t>
      </w:r>
      <w:proofErr w:type="spellEnd"/>
      <w:r w:rsidRPr="00D76EAA">
        <w:rPr>
          <w:i/>
        </w:rPr>
        <w:t> :</w:t>
      </w:r>
      <w:proofErr w:type="gramEnd"/>
      <w:r w:rsidRPr="00D76EAA">
        <w:rPr>
          <w:i/>
        </w:rPr>
        <w:t xml:space="preserve"> </w:t>
      </w:r>
    </w:p>
    <w:p w:rsidR="00864C64" w:rsidRPr="00864C64" w:rsidRDefault="00864C64" w:rsidP="009F612F">
      <w:pPr>
        <w:tabs>
          <w:tab w:val="clear" w:pos="1247"/>
          <w:tab w:val="left" w:pos="1260"/>
        </w:tabs>
        <w:ind w:left="2268" w:firstLine="17"/>
        <w:rPr>
          <w:i/>
          <w:lang w:val="fr-FR"/>
        </w:rPr>
      </w:pPr>
      <w:r w:rsidRPr="00864C64">
        <w:rPr>
          <w:i/>
          <w:lang w:val="fr-FR"/>
        </w:rPr>
        <w:t>____________________________________________________________________________________________________________________________________________________________________________________________</w:t>
      </w:r>
      <w:r w:rsidR="009F612F">
        <w:rPr>
          <w:i/>
          <w:lang w:val="fr-FR"/>
        </w:rPr>
        <w:t>____________________________</w:t>
      </w:r>
    </w:p>
    <w:p w:rsidR="00864C64" w:rsidRPr="00D76EAA" w:rsidRDefault="00864C64" w:rsidP="009F612F">
      <w:pPr>
        <w:tabs>
          <w:tab w:val="clear" w:pos="1247"/>
          <w:tab w:val="left" w:pos="1260"/>
        </w:tabs>
        <w:ind w:firstLine="17"/>
        <w:rPr>
          <w:i/>
        </w:rPr>
      </w:pPr>
    </w:p>
    <w:p w:rsidR="00864C64" w:rsidRPr="00864C64" w:rsidRDefault="00864C64" w:rsidP="009F612F">
      <w:pPr>
        <w:numPr>
          <w:ilvl w:val="0"/>
          <w:numId w:val="11"/>
        </w:numPr>
        <w:tabs>
          <w:tab w:val="clear" w:pos="1247"/>
          <w:tab w:val="clear" w:pos="1814"/>
          <w:tab w:val="left" w:pos="1260"/>
        </w:tabs>
        <w:ind w:left="2268" w:hanging="408"/>
        <w:rPr>
          <w:i/>
          <w:lang w:val="fr-FR"/>
        </w:rPr>
      </w:pPr>
      <w:r w:rsidRPr="00864C64">
        <w:rPr>
          <w:i/>
          <w:lang w:val="fr-FR"/>
        </w:rPr>
        <w:t>Utilisation permise à une Partie dans le cadre de la Convention :</w:t>
      </w:r>
      <w:r w:rsidR="009F612F">
        <w:rPr>
          <w:i/>
          <w:lang w:val="fr-FR"/>
        </w:rPr>
        <w:t xml:space="preserve"> </w:t>
      </w:r>
      <w:r w:rsidRPr="00864C64">
        <w:rPr>
          <w:i/>
          <w:lang w:val="fr-FR"/>
        </w:rPr>
        <w:t>OUI</w:t>
      </w:r>
      <w:r w:rsidRPr="00864C64">
        <w:rPr>
          <w:i/>
          <w:lang w:val="fr-FR"/>
        </w:rPr>
        <w:tab/>
      </w:r>
      <w:r w:rsidRPr="00864C64">
        <w:rPr>
          <w:i/>
          <w:lang w:val="fr-FR"/>
        </w:rPr>
        <w:tab/>
        <w:t>NON</w:t>
      </w:r>
    </w:p>
    <w:p w:rsidR="00864C64" w:rsidRPr="00864C64" w:rsidRDefault="00864C64" w:rsidP="009F612F">
      <w:pPr>
        <w:tabs>
          <w:tab w:val="clear" w:pos="1247"/>
        </w:tabs>
        <w:spacing w:before="120"/>
        <w:ind w:left="2268" w:firstLine="28"/>
        <w:rPr>
          <w:i/>
          <w:lang w:val="fr-FR"/>
        </w:rPr>
      </w:pPr>
      <w:r w:rsidRPr="00864C64">
        <w:rPr>
          <w:i/>
          <w:lang w:val="fr-FR"/>
        </w:rPr>
        <w:t>Si oui, veuillez donner des précisions supplémentaires sur l’utilisation prévue :</w:t>
      </w:r>
    </w:p>
    <w:p w:rsidR="00864C64" w:rsidRPr="00864C64" w:rsidRDefault="00864C64" w:rsidP="009F612F">
      <w:pPr>
        <w:tabs>
          <w:tab w:val="clear" w:pos="1247"/>
          <w:tab w:val="left" w:pos="1260"/>
        </w:tabs>
        <w:ind w:left="2268" w:firstLine="17"/>
        <w:rPr>
          <w:i/>
          <w:lang w:val="fr-FR"/>
        </w:rPr>
      </w:pPr>
      <w:r w:rsidRPr="00864C64">
        <w:rPr>
          <w:i/>
          <w:lang w:val="fr-FR"/>
        </w:rPr>
        <w:t>____________________________________________________________________________________________________________________________________________________________________________________________</w:t>
      </w:r>
      <w:r w:rsidR="009F612F">
        <w:rPr>
          <w:i/>
          <w:lang w:val="fr-FR"/>
        </w:rPr>
        <w:t>____________________________</w:t>
      </w:r>
    </w:p>
    <w:p w:rsidR="00F83855" w:rsidRPr="00416F27" w:rsidRDefault="009F612F" w:rsidP="009F612F">
      <w:pPr>
        <w:pStyle w:val="Normalnumber"/>
        <w:spacing w:before="120"/>
        <w:ind w:left="1247" w:firstLine="0"/>
        <w:rPr>
          <w:bCs/>
          <w:lang w:val="fr-FR"/>
        </w:rPr>
      </w:pPr>
      <w:r>
        <w:rPr>
          <w:bCs/>
          <w:lang w:val="fr-FR"/>
        </w:rPr>
        <w:t>Le formulaire </w:t>
      </w:r>
      <w:r w:rsidR="00014696" w:rsidRPr="00416F27">
        <w:rPr>
          <w:bCs/>
          <w:lang w:val="fr-FR"/>
        </w:rPr>
        <w:t xml:space="preserve">C </w:t>
      </w:r>
      <w:r w:rsidR="009B35CF">
        <w:rPr>
          <w:bCs/>
          <w:lang w:val="fr-FR"/>
        </w:rPr>
        <w:t>d</w:t>
      </w:r>
      <w:r w:rsidR="00014696" w:rsidRPr="00416F27">
        <w:rPr>
          <w:bCs/>
          <w:lang w:val="fr-FR"/>
        </w:rPr>
        <w:t xml:space="preserve">’attestation </w:t>
      </w:r>
      <w:r w:rsidR="009B35CF">
        <w:rPr>
          <w:bCs/>
          <w:lang w:val="fr-FR"/>
        </w:rPr>
        <w:t xml:space="preserve">par </w:t>
      </w:r>
      <w:r w:rsidR="00416F27" w:rsidRPr="00416F27">
        <w:rPr>
          <w:bCs/>
          <w:lang w:val="fr-FR"/>
        </w:rPr>
        <w:t xml:space="preserve">un État non Partie </w:t>
      </w:r>
      <w:r w:rsidR="009B35CF">
        <w:rPr>
          <w:bCs/>
          <w:lang w:val="fr-FR"/>
        </w:rPr>
        <w:t xml:space="preserve">exportateur de </w:t>
      </w:r>
      <w:r w:rsidR="00416F27">
        <w:rPr>
          <w:bCs/>
          <w:lang w:val="fr-FR"/>
        </w:rPr>
        <w:t>l’origine</w:t>
      </w:r>
      <w:r w:rsidR="00416F27" w:rsidRPr="00416F27">
        <w:rPr>
          <w:bCs/>
          <w:lang w:val="fr-FR"/>
        </w:rPr>
        <w:t xml:space="preserve"> </w:t>
      </w:r>
      <w:r w:rsidR="00416F27">
        <w:rPr>
          <w:bCs/>
          <w:lang w:val="fr-FR"/>
        </w:rPr>
        <w:t>du mercure</w:t>
      </w:r>
      <w:r w:rsidR="009B47C1">
        <w:rPr>
          <w:bCs/>
          <w:lang w:val="fr-FR"/>
        </w:rPr>
        <w:t xml:space="preserve"> exporté vers un </w:t>
      </w:r>
      <w:r w:rsidR="009B35CF">
        <w:rPr>
          <w:bCs/>
          <w:lang w:val="fr-FR"/>
        </w:rPr>
        <w:t xml:space="preserve">État </w:t>
      </w:r>
      <w:r w:rsidR="009B47C1">
        <w:rPr>
          <w:bCs/>
          <w:lang w:val="fr-FR"/>
        </w:rPr>
        <w:t xml:space="preserve">Partie, </w:t>
      </w:r>
      <w:r w:rsidR="009B35CF">
        <w:rPr>
          <w:bCs/>
          <w:lang w:val="fr-FR"/>
        </w:rPr>
        <w:t xml:space="preserve">qui est destiné </w:t>
      </w:r>
      <w:r w:rsidR="009B47C1">
        <w:rPr>
          <w:bCs/>
          <w:lang w:val="fr-FR"/>
        </w:rPr>
        <w:t xml:space="preserve">à </w:t>
      </w:r>
      <w:r w:rsidR="009B35CF">
        <w:rPr>
          <w:bCs/>
          <w:lang w:val="fr-FR"/>
        </w:rPr>
        <w:t xml:space="preserve">être </w:t>
      </w:r>
      <w:r w:rsidR="009B47C1">
        <w:rPr>
          <w:bCs/>
          <w:lang w:val="fr-FR"/>
        </w:rPr>
        <w:t>utilis</w:t>
      </w:r>
      <w:r w:rsidR="009B35CF">
        <w:rPr>
          <w:bCs/>
          <w:lang w:val="fr-FR"/>
        </w:rPr>
        <w:t>é</w:t>
      </w:r>
      <w:r w:rsidR="009B47C1">
        <w:rPr>
          <w:bCs/>
          <w:lang w:val="fr-FR"/>
        </w:rPr>
        <w:t xml:space="preserve"> </w:t>
      </w:r>
      <w:r w:rsidR="00416F27">
        <w:rPr>
          <w:bCs/>
          <w:lang w:val="fr-FR"/>
        </w:rPr>
        <w:t>avec les formulaires</w:t>
      </w:r>
      <w:r>
        <w:rPr>
          <w:bCs/>
          <w:lang w:val="fr-FR"/>
        </w:rPr>
        <w:t> </w:t>
      </w:r>
      <w:r w:rsidR="00416F27">
        <w:rPr>
          <w:bCs/>
          <w:lang w:val="fr-FR"/>
        </w:rPr>
        <w:t xml:space="preserve">A ou D selon les besoins, </w:t>
      </w:r>
      <w:r w:rsidR="00416F27">
        <w:rPr>
          <w:lang w:val="fr-FR"/>
        </w:rPr>
        <w:t xml:space="preserve">comprend </w:t>
      </w:r>
      <w:r w:rsidR="009B35CF">
        <w:rPr>
          <w:lang w:val="fr-FR"/>
        </w:rPr>
        <w:t>la</w:t>
      </w:r>
      <w:r w:rsidR="00416F27">
        <w:rPr>
          <w:lang w:val="fr-FR"/>
        </w:rPr>
        <w:t xml:space="preserve"> section </w:t>
      </w:r>
      <w:r w:rsidR="009B35CF">
        <w:rPr>
          <w:lang w:val="fr-FR"/>
        </w:rPr>
        <w:t>suivante</w:t>
      </w:r>
      <w:r w:rsidR="00416F27">
        <w:rPr>
          <w:lang w:val="fr-FR"/>
        </w:rPr>
        <w:t xml:space="preserve"> sur l’attestation en question :</w:t>
      </w:r>
    </w:p>
    <w:p w:rsidR="00864C64" w:rsidRPr="00864C64" w:rsidRDefault="00864C64" w:rsidP="00864C64">
      <w:pPr>
        <w:tabs>
          <w:tab w:val="clear" w:pos="1247"/>
          <w:tab w:val="left" w:pos="1260"/>
        </w:tabs>
        <w:spacing w:before="120"/>
        <w:ind w:left="1260"/>
        <w:rPr>
          <w:b/>
          <w:i/>
          <w:lang w:val="fr-FR"/>
        </w:rPr>
      </w:pPr>
      <w:r w:rsidRPr="008F1FE0">
        <w:rPr>
          <w:b/>
          <w:i/>
          <w:lang w:val="fr-CA"/>
        </w:rPr>
        <w:t>Section C :</w:t>
      </w:r>
      <w:r w:rsidRPr="008F1FE0">
        <w:rPr>
          <w:b/>
          <w:i/>
          <w:lang w:val="fr-CA"/>
        </w:rPr>
        <w:tab/>
        <w:t>Attesta</w:t>
      </w:r>
      <w:proofErr w:type="spellStart"/>
      <w:r w:rsidRPr="00864C64">
        <w:rPr>
          <w:b/>
          <w:i/>
          <w:lang w:val="fr-FR"/>
        </w:rPr>
        <w:t>tion</w:t>
      </w:r>
      <w:proofErr w:type="spellEnd"/>
    </w:p>
    <w:p w:rsidR="00864C64" w:rsidRPr="00864C64" w:rsidRDefault="00864C64" w:rsidP="009F612F">
      <w:pPr>
        <w:tabs>
          <w:tab w:val="clear" w:pos="1247"/>
          <w:tab w:val="left" w:pos="1260"/>
        </w:tabs>
        <w:spacing w:before="120"/>
        <w:ind w:left="1259"/>
        <w:rPr>
          <w:i/>
          <w:lang w:val="fr-FR"/>
        </w:rPr>
      </w:pPr>
      <w:r w:rsidRPr="00864C64">
        <w:rPr>
          <w:i/>
          <w:lang w:val="fr-FR"/>
        </w:rPr>
        <w:t xml:space="preserve">Conformément au paragraphe 8 de l’article 3 de la Convention, le Gouvernement de mon pays atteste que le mercure contenu dans la cargaison susvisée n’est pas : </w:t>
      </w:r>
    </w:p>
    <w:p w:rsidR="00864C64" w:rsidRPr="00864C64" w:rsidRDefault="00864C64" w:rsidP="009F612F">
      <w:pPr>
        <w:numPr>
          <w:ilvl w:val="0"/>
          <w:numId w:val="29"/>
        </w:numPr>
        <w:tabs>
          <w:tab w:val="clear" w:pos="1814"/>
          <w:tab w:val="clear" w:pos="2381"/>
          <w:tab w:val="left" w:pos="2268"/>
        </w:tabs>
        <w:spacing w:before="120"/>
        <w:ind w:left="1843" w:firstLine="6"/>
        <w:rPr>
          <w:i/>
          <w:lang w:val="fr-FR"/>
        </w:rPr>
      </w:pPr>
      <w:r w:rsidRPr="00864C64">
        <w:rPr>
          <w:i/>
          <w:lang w:val="fr-FR"/>
        </w:rPr>
        <w:t xml:space="preserve">Du mercure primaire obtenu par extraction minière; </w:t>
      </w:r>
    </w:p>
    <w:p w:rsidR="00864C64" w:rsidRPr="00864C64" w:rsidRDefault="00864C64" w:rsidP="009F612F">
      <w:pPr>
        <w:numPr>
          <w:ilvl w:val="0"/>
          <w:numId w:val="29"/>
        </w:numPr>
        <w:tabs>
          <w:tab w:val="clear" w:pos="1814"/>
          <w:tab w:val="clear" w:pos="2381"/>
          <w:tab w:val="left" w:pos="2268"/>
        </w:tabs>
        <w:spacing w:before="120"/>
        <w:ind w:left="1843" w:firstLine="0"/>
        <w:rPr>
          <w:i/>
          <w:lang w:val="fr-FR"/>
        </w:rPr>
      </w:pPr>
      <w:r w:rsidRPr="009F612F">
        <w:rPr>
          <w:i/>
          <w:lang w:val="fr-FR"/>
        </w:rPr>
        <w:t>Du</w:t>
      </w:r>
      <w:r w:rsidRPr="00864C64">
        <w:rPr>
          <w:bCs/>
          <w:i/>
          <w:lang w:val="fr-FR"/>
        </w:rPr>
        <w:t xml:space="preserve"> mercure excédentaire provenant de la mise hors service d’usines de chlore-alcali.</w:t>
      </w:r>
      <w:r w:rsidRPr="00864C64">
        <w:rPr>
          <w:i/>
          <w:lang w:val="fr-FR"/>
        </w:rPr>
        <w:t xml:space="preserve"> </w:t>
      </w:r>
    </w:p>
    <w:p w:rsidR="00864C64" w:rsidRPr="00864C64" w:rsidRDefault="00864C64" w:rsidP="009F612F">
      <w:pPr>
        <w:tabs>
          <w:tab w:val="clear" w:pos="1247"/>
          <w:tab w:val="left" w:pos="1260"/>
        </w:tabs>
        <w:spacing w:before="120"/>
        <w:ind w:left="1259"/>
        <w:rPr>
          <w:bCs/>
          <w:i/>
          <w:lang w:val="fr-FR"/>
        </w:rPr>
      </w:pPr>
      <w:r w:rsidRPr="00864C64">
        <w:rPr>
          <w:bCs/>
          <w:i/>
          <w:lang w:val="fr-FR"/>
        </w:rPr>
        <w:t>Informations à l’appui : ______________________________________________________________</w:t>
      </w:r>
    </w:p>
    <w:p w:rsidR="00864C64" w:rsidRPr="00864C64" w:rsidRDefault="00864C64" w:rsidP="009F612F">
      <w:pPr>
        <w:tabs>
          <w:tab w:val="clear" w:pos="1247"/>
          <w:tab w:val="left" w:pos="1260"/>
        </w:tabs>
        <w:spacing w:before="120"/>
        <w:ind w:left="1259"/>
        <w:rPr>
          <w:b/>
          <w:i/>
          <w:lang w:val="fr-FR"/>
        </w:rPr>
      </w:pPr>
      <w:r w:rsidRPr="00864C64">
        <w:rPr>
          <w:bCs/>
          <w:i/>
          <w:lang w:val="fr-FR"/>
        </w:rPr>
        <w:t>Signature du responsable gouvernemental et date</w:t>
      </w:r>
    </w:p>
    <w:p w:rsidR="00864C64" w:rsidRPr="00D76EAA" w:rsidRDefault="00864C64" w:rsidP="009F612F">
      <w:pPr>
        <w:tabs>
          <w:tab w:val="clear" w:pos="1247"/>
        </w:tabs>
        <w:spacing w:before="120"/>
        <w:ind w:left="2268"/>
        <w:rPr>
          <w:i/>
        </w:rPr>
      </w:pPr>
      <w:proofErr w:type="gramStart"/>
      <w:r w:rsidRPr="00D76EAA">
        <w:rPr>
          <w:i/>
        </w:rPr>
        <w:t>Nom :</w:t>
      </w:r>
      <w:proofErr w:type="gramEnd"/>
    </w:p>
    <w:p w:rsidR="00864C64" w:rsidRPr="00D76EAA" w:rsidRDefault="00864C64" w:rsidP="009F612F">
      <w:pPr>
        <w:tabs>
          <w:tab w:val="clear" w:pos="1247"/>
        </w:tabs>
        <w:spacing w:before="120"/>
        <w:ind w:left="2268"/>
        <w:rPr>
          <w:i/>
        </w:rPr>
      </w:pPr>
      <w:proofErr w:type="spellStart"/>
      <w:proofErr w:type="gramStart"/>
      <w:r w:rsidRPr="00D76EAA">
        <w:rPr>
          <w:i/>
        </w:rPr>
        <w:t>Fonction</w:t>
      </w:r>
      <w:proofErr w:type="spellEnd"/>
      <w:r w:rsidRPr="00D76EAA">
        <w:rPr>
          <w:i/>
        </w:rPr>
        <w:t> :</w:t>
      </w:r>
      <w:proofErr w:type="gramEnd"/>
    </w:p>
    <w:p w:rsidR="00864C64" w:rsidRPr="00D76EAA" w:rsidRDefault="00864C64" w:rsidP="009F612F">
      <w:pPr>
        <w:tabs>
          <w:tab w:val="clear" w:pos="1247"/>
        </w:tabs>
        <w:spacing w:before="120"/>
        <w:ind w:left="2268"/>
        <w:rPr>
          <w:i/>
        </w:rPr>
      </w:pPr>
      <w:proofErr w:type="gramStart"/>
      <w:r w:rsidRPr="00D76EAA">
        <w:rPr>
          <w:i/>
        </w:rPr>
        <w:t>Signature :</w:t>
      </w:r>
      <w:proofErr w:type="gramEnd"/>
    </w:p>
    <w:p w:rsidR="00864C64" w:rsidRPr="00D76EAA" w:rsidRDefault="00864C64" w:rsidP="009F612F">
      <w:pPr>
        <w:tabs>
          <w:tab w:val="clear" w:pos="1247"/>
        </w:tabs>
        <w:spacing w:before="120"/>
        <w:ind w:left="2268"/>
        <w:rPr>
          <w:i/>
        </w:rPr>
      </w:pPr>
      <w:proofErr w:type="gramStart"/>
      <w:r w:rsidRPr="00D76EAA">
        <w:rPr>
          <w:i/>
        </w:rPr>
        <w:t>Date :</w:t>
      </w:r>
      <w:proofErr w:type="gramEnd"/>
    </w:p>
    <w:p w:rsidR="00F83855" w:rsidRPr="00B7598A" w:rsidRDefault="00864C64" w:rsidP="00864C64">
      <w:pPr>
        <w:pStyle w:val="Normalnumber"/>
        <w:rPr>
          <w:bCs/>
          <w:lang w:val="fr-FR"/>
        </w:rPr>
      </w:pPr>
      <w:r w:rsidRPr="00B7598A">
        <w:rPr>
          <w:i/>
          <w:lang w:val="fr-FR"/>
        </w:rPr>
        <w:br w:type="page"/>
      </w:r>
      <w:r w:rsidR="00DB353E">
        <w:rPr>
          <w:bCs/>
          <w:lang w:val="fr-FR"/>
        </w:rPr>
        <w:t>Le formulaire </w:t>
      </w:r>
      <w:r w:rsidR="00B7598A" w:rsidRPr="00B7598A">
        <w:rPr>
          <w:bCs/>
          <w:lang w:val="fr-FR"/>
        </w:rPr>
        <w:t>D</w:t>
      </w:r>
      <w:r w:rsidR="009B35CF">
        <w:rPr>
          <w:bCs/>
          <w:lang w:val="fr-FR"/>
        </w:rPr>
        <w:t xml:space="preserve"> de</w:t>
      </w:r>
      <w:r w:rsidR="00B7598A" w:rsidRPr="00B7598A">
        <w:rPr>
          <w:bCs/>
          <w:lang w:val="fr-FR"/>
        </w:rPr>
        <w:t xml:space="preserve"> notification générale de consentement à l’importation de mercure, </w:t>
      </w:r>
      <w:r w:rsidR="00B7598A">
        <w:rPr>
          <w:lang w:val="fr-FR"/>
        </w:rPr>
        <w:t xml:space="preserve">comprend </w:t>
      </w:r>
      <w:r w:rsidR="009B35CF">
        <w:rPr>
          <w:lang w:val="fr-FR"/>
        </w:rPr>
        <w:t>la</w:t>
      </w:r>
      <w:r w:rsidR="00B7598A">
        <w:rPr>
          <w:lang w:val="fr-FR"/>
        </w:rPr>
        <w:t xml:space="preserve"> section </w:t>
      </w:r>
      <w:r w:rsidR="009B35CF">
        <w:rPr>
          <w:lang w:val="fr-FR"/>
        </w:rPr>
        <w:t>suivante</w:t>
      </w:r>
      <w:r w:rsidR="00B7598A">
        <w:rPr>
          <w:lang w:val="fr-FR"/>
        </w:rPr>
        <w:t xml:space="preserve"> sur l’attestation </w:t>
      </w:r>
      <w:r w:rsidR="009B35CF">
        <w:rPr>
          <w:lang w:val="fr-FR"/>
        </w:rPr>
        <w:t>en question</w:t>
      </w:r>
      <w:r w:rsidR="00B7598A">
        <w:rPr>
          <w:lang w:val="fr-FR"/>
        </w:rPr>
        <w:t> :</w:t>
      </w:r>
      <w:r w:rsidR="00304499" w:rsidRPr="00B7598A">
        <w:rPr>
          <w:bCs/>
          <w:lang w:val="fr-FR"/>
        </w:rPr>
        <w:t xml:space="preserve"> </w:t>
      </w:r>
    </w:p>
    <w:p w:rsidR="00864C64" w:rsidRPr="00864C64" w:rsidRDefault="00864C64" w:rsidP="00864C64">
      <w:pPr>
        <w:tabs>
          <w:tab w:val="clear" w:pos="1247"/>
          <w:tab w:val="left" w:pos="1260"/>
        </w:tabs>
        <w:rPr>
          <w:b/>
          <w:i/>
          <w:lang w:val="fr-FR"/>
        </w:rPr>
      </w:pPr>
      <w:r w:rsidRPr="00B7598A">
        <w:rPr>
          <w:b/>
          <w:i/>
          <w:lang w:val="fr-FR"/>
        </w:rPr>
        <w:tab/>
      </w:r>
      <w:r w:rsidRPr="00864C64">
        <w:rPr>
          <w:b/>
          <w:i/>
          <w:lang w:val="fr-FR"/>
        </w:rPr>
        <w:t>Section D :</w:t>
      </w:r>
      <w:r w:rsidRPr="00864C64">
        <w:rPr>
          <w:b/>
          <w:i/>
          <w:lang w:val="fr-FR"/>
        </w:rPr>
        <w:tab/>
        <w:t>Attestation</w:t>
      </w:r>
      <w:r w:rsidR="004F7F98">
        <w:rPr>
          <w:b/>
          <w:i/>
          <w:lang w:val="fr-FR"/>
        </w:rPr>
        <w:t>s</w:t>
      </w:r>
      <w:r w:rsidRPr="00864C64">
        <w:rPr>
          <w:b/>
          <w:i/>
          <w:lang w:val="fr-FR"/>
        </w:rPr>
        <w:t xml:space="preserve"> (cette section ne s’applique pas aux Parties) </w:t>
      </w:r>
    </w:p>
    <w:p w:rsidR="00864C64" w:rsidRPr="00864C64" w:rsidRDefault="00864C64" w:rsidP="00864C64">
      <w:pPr>
        <w:tabs>
          <w:tab w:val="left" w:pos="0"/>
        </w:tabs>
        <w:ind w:left="1247"/>
        <w:rPr>
          <w:i/>
          <w:lang w:val="fr-FR"/>
        </w:rPr>
      </w:pPr>
      <w:r w:rsidRPr="00864C64">
        <w:rPr>
          <w:i/>
          <w:lang w:val="fr-FR"/>
        </w:rPr>
        <w:t xml:space="preserve">Conformément au paragraphe 6 de l’article 3 de la Convention, le Gouvernement de mon pays atteste : </w:t>
      </w:r>
    </w:p>
    <w:p w:rsidR="004F7F98" w:rsidRDefault="004F7F98" w:rsidP="00677573">
      <w:pPr>
        <w:tabs>
          <w:tab w:val="clear" w:pos="1814"/>
          <w:tab w:val="left" w:pos="0"/>
          <w:tab w:val="left" w:pos="2127"/>
        </w:tabs>
        <w:spacing w:after="120"/>
        <w:ind w:left="2127"/>
        <w:rPr>
          <w:i/>
          <w:lang w:val="fr-CA"/>
        </w:rPr>
      </w:pPr>
      <w:r>
        <w:rPr>
          <w:i/>
          <w:lang w:val="fr-CA"/>
        </w:rPr>
        <w:t>Qu’il a pris des mesures pour garantir la protection de la santé humaine et de l’environnement et l’application des dispositions des articles 10 et 11 (prière de fournir des preuves documentaires appropriées. La documentation à l’appui peut concerner des procédures, législations, règlements et autres mesures mis en place au niveau national et doit comporter suffisamment de détails montrant l’efficacité de ces mesures); et</w:t>
      </w:r>
    </w:p>
    <w:p w:rsidR="004F7F98" w:rsidRDefault="004F7F98" w:rsidP="00677573">
      <w:pPr>
        <w:tabs>
          <w:tab w:val="clear" w:pos="1814"/>
          <w:tab w:val="left" w:pos="0"/>
          <w:tab w:val="left" w:pos="2127"/>
        </w:tabs>
        <w:spacing w:after="120"/>
        <w:ind w:left="2127"/>
        <w:rPr>
          <w:i/>
          <w:lang w:val="fr-CA"/>
        </w:rPr>
      </w:pPr>
      <w:r>
        <w:rPr>
          <w:i/>
          <w:lang w:val="fr-CA"/>
        </w:rPr>
        <w:t>Que le mercure importé visé par la présente notification générale sera uniquement destiné à une utilisation permise à une Partie dans le cadre de la Convention ou à un stockage provisoire écologiquement rationnel comme indiqué à l’article 10.</w:t>
      </w:r>
    </w:p>
    <w:p w:rsidR="00864C64" w:rsidRPr="00864C64" w:rsidRDefault="004F7F98" w:rsidP="00677573">
      <w:pPr>
        <w:tabs>
          <w:tab w:val="clear" w:pos="1247"/>
          <w:tab w:val="clear" w:pos="1814"/>
          <w:tab w:val="left" w:pos="1260"/>
          <w:tab w:val="left" w:pos="2127"/>
        </w:tabs>
        <w:ind w:left="2127"/>
        <w:rPr>
          <w:i/>
          <w:lang w:val="fr-FR"/>
        </w:rPr>
      </w:pPr>
      <w:r>
        <w:rPr>
          <w:i/>
          <w:lang w:val="fr-FR"/>
        </w:rPr>
        <w:t>(</w:t>
      </w:r>
      <w:r w:rsidR="00864C64" w:rsidRPr="00864C64">
        <w:rPr>
          <w:i/>
          <w:lang w:val="fr-FR"/>
        </w:rPr>
        <w:t>Prière de fournir, si possible, des informatio</w:t>
      </w:r>
      <w:r>
        <w:rPr>
          <w:i/>
          <w:lang w:val="fr-FR"/>
        </w:rPr>
        <w:t>ns sur les utilisations prévues)</w:t>
      </w:r>
    </w:p>
    <w:p w:rsidR="00864C64" w:rsidRPr="00D76EAA" w:rsidRDefault="00864C64" w:rsidP="00677573">
      <w:pPr>
        <w:tabs>
          <w:tab w:val="clear" w:pos="1247"/>
          <w:tab w:val="clear" w:pos="1814"/>
          <w:tab w:val="left" w:pos="1260"/>
          <w:tab w:val="left" w:pos="2127"/>
        </w:tabs>
        <w:ind w:left="2127"/>
        <w:rPr>
          <w:i/>
        </w:rPr>
      </w:pPr>
      <w:r w:rsidRPr="00D76EAA">
        <w:rPr>
          <w:i/>
        </w:rPr>
        <w:t>______________________________________________________________________________________________________________________________________________________________________________________________________________________</w:t>
      </w:r>
      <w:r w:rsidR="00677573">
        <w:rPr>
          <w:i/>
        </w:rPr>
        <w:t>_____</w:t>
      </w:r>
    </w:p>
    <w:p w:rsidR="00483E03" w:rsidRPr="00C6062B" w:rsidRDefault="00483E03" w:rsidP="00C6062B">
      <w:pPr>
        <w:tabs>
          <w:tab w:val="clear" w:pos="1814"/>
          <w:tab w:val="clear" w:pos="2381"/>
          <w:tab w:val="clear" w:pos="2948"/>
          <w:tab w:val="clear" w:pos="3515"/>
          <w:tab w:val="left" w:pos="2410"/>
        </w:tabs>
        <w:spacing w:before="120" w:after="120"/>
        <w:ind w:left="241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0832C7" w:rsidRPr="00C6062B" w:rsidTr="000832C7">
        <w:tc>
          <w:tcPr>
            <w:tcW w:w="1942" w:type="dxa"/>
          </w:tcPr>
          <w:p w:rsidR="000832C7" w:rsidRPr="00C6062B" w:rsidRDefault="000832C7" w:rsidP="000832C7">
            <w:pPr>
              <w:pStyle w:val="Normal-pool"/>
              <w:spacing w:before="520"/>
            </w:pPr>
          </w:p>
        </w:tc>
        <w:tc>
          <w:tcPr>
            <w:tcW w:w="1942" w:type="dxa"/>
          </w:tcPr>
          <w:p w:rsidR="000832C7" w:rsidRPr="00C6062B" w:rsidRDefault="000832C7" w:rsidP="000832C7">
            <w:pPr>
              <w:pStyle w:val="Normal-pool"/>
              <w:spacing w:before="520"/>
            </w:pPr>
          </w:p>
        </w:tc>
        <w:tc>
          <w:tcPr>
            <w:tcW w:w="1942" w:type="dxa"/>
            <w:tcBorders>
              <w:bottom w:val="single" w:sz="4" w:space="0" w:color="auto"/>
            </w:tcBorders>
          </w:tcPr>
          <w:p w:rsidR="000832C7" w:rsidRPr="00C6062B" w:rsidRDefault="000832C7" w:rsidP="000832C7">
            <w:pPr>
              <w:pStyle w:val="Normal-pool"/>
              <w:spacing w:before="520"/>
            </w:pPr>
          </w:p>
        </w:tc>
        <w:tc>
          <w:tcPr>
            <w:tcW w:w="1943" w:type="dxa"/>
          </w:tcPr>
          <w:p w:rsidR="000832C7" w:rsidRPr="00C6062B" w:rsidRDefault="000832C7" w:rsidP="000832C7">
            <w:pPr>
              <w:pStyle w:val="Normal-pool"/>
              <w:spacing w:before="520"/>
            </w:pPr>
          </w:p>
        </w:tc>
        <w:tc>
          <w:tcPr>
            <w:tcW w:w="1943" w:type="dxa"/>
          </w:tcPr>
          <w:p w:rsidR="000832C7" w:rsidRPr="00C6062B" w:rsidRDefault="000832C7" w:rsidP="000832C7">
            <w:pPr>
              <w:pStyle w:val="Normal-pool"/>
              <w:spacing w:before="520"/>
            </w:pPr>
          </w:p>
        </w:tc>
      </w:tr>
    </w:tbl>
    <w:p w:rsidR="00F83855" w:rsidRPr="00C6062B" w:rsidRDefault="00F83855" w:rsidP="000832C7">
      <w:pPr>
        <w:pStyle w:val="Normal-pool"/>
      </w:pPr>
    </w:p>
    <w:sectPr w:rsidR="00F83855" w:rsidRPr="00C6062B" w:rsidSect="00C6062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27" w:rsidRDefault="00240627">
      <w:r>
        <w:separator/>
      </w:r>
    </w:p>
  </w:endnote>
  <w:endnote w:type="continuationSeparator" w:id="0">
    <w:p w:rsidR="00240627" w:rsidRDefault="0024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7" w:rsidRDefault="00240627">
    <w:pPr>
      <w:pStyle w:val="Footer"/>
    </w:pPr>
    <w:r>
      <w:rPr>
        <w:rStyle w:val="PageNumber"/>
      </w:rPr>
      <w:fldChar w:fldCharType="begin"/>
    </w:r>
    <w:r>
      <w:rPr>
        <w:rStyle w:val="PageNumber"/>
      </w:rPr>
      <w:instrText xml:space="preserve"> PAGE </w:instrText>
    </w:r>
    <w:r>
      <w:rPr>
        <w:rStyle w:val="PageNumber"/>
      </w:rPr>
      <w:fldChar w:fldCharType="separate"/>
    </w:r>
    <w:r w:rsidR="00334EE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7" w:rsidRDefault="00240627"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21064">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7" w:rsidRDefault="003317D7">
    <w:pPr>
      <w:pStyle w:val="Footer"/>
    </w:pPr>
    <w:r>
      <w:rPr>
        <w:lang w:val="fr-FR"/>
      </w:rPr>
      <w:t>K1701874</w:t>
    </w:r>
    <w:r>
      <w:rPr>
        <w:lang w:val="fr-FR"/>
      </w:rPr>
      <w:tab/>
      <w:t>0906</w:t>
    </w:r>
    <w:r w:rsidR="00240627">
      <w:rPr>
        <w:lang w:val="fr-FR"/>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27" w:rsidRDefault="00240627" w:rsidP="00851756">
      <w:pPr>
        <w:spacing w:before="60"/>
        <w:ind w:left="624"/>
      </w:pPr>
      <w:r>
        <w:separator/>
      </w:r>
    </w:p>
  </w:footnote>
  <w:footnote w:type="continuationSeparator" w:id="0">
    <w:p w:rsidR="00240627" w:rsidRDefault="00240627">
      <w:r>
        <w:continuationSeparator/>
      </w:r>
    </w:p>
  </w:footnote>
  <w:footnote w:id="1">
    <w:p w:rsidR="00240627" w:rsidRPr="0039519C" w:rsidRDefault="00240627" w:rsidP="00312543">
      <w:pPr>
        <w:tabs>
          <w:tab w:val="left" w:pos="624"/>
        </w:tabs>
        <w:spacing w:before="20" w:after="40"/>
        <w:ind w:left="1247"/>
        <w:rPr>
          <w:sz w:val="18"/>
          <w:szCs w:val="18"/>
        </w:rPr>
      </w:pPr>
      <w:r w:rsidRPr="0039519C">
        <w:rPr>
          <w:sz w:val="18"/>
          <w:szCs w:val="18"/>
          <w:lang w:val="fr-FR"/>
        </w:rPr>
        <w:t xml:space="preserve">* </w:t>
      </w:r>
      <w:r w:rsidR="008F1FE0" w:rsidRPr="0039519C">
        <w:rPr>
          <w:sz w:val="18"/>
          <w:szCs w:val="18"/>
          <w:lang w:val="fr-FR"/>
        </w:rPr>
        <w:t>UNEP/MC/COP.1/1</w:t>
      </w:r>
      <w:r w:rsidRPr="0039519C">
        <w:rPr>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7" w:rsidRPr="00CA5CA9" w:rsidRDefault="00240627" w:rsidP="001A04A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7" w:rsidRPr="00CA5CA9" w:rsidRDefault="00240627" w:rsidP="001A04AA">
    <w:pPr>
      <w:pStyle w:val="Header"/>
      <w:jc w:val="right"/>
      <w:rPr>
        <w:szCs w:val="18"/>
      </w:rPr>
    </w:pPr>
    <w:r w:rsidRPr="00312543">
      <w:rPr>
        <w:bCs/>
        <w:szCs w:val="18"/>
      </w:rPr>
      <w:t>UNEP/MC/COP.1/</w:t>
    </w:r>
    <w:r>
      <w:rPr>
        <w:bCs/>
        <w:szCs w:val="18"/>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7" w:rsidRDefault="00240627"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152"/>
    <w:multiLevelType w:val="hybridMultilevel"/>
    <w:tmpl w:val="6D7A7752"/>
    <w:lvl w:ilvl="0" w:tplc="F3CC64C2">
      <w:start w:val="1"/>
      <w:numFmt w:val="lowerRoman"/>
      <w:lvlText w:val="%1."/>
      <w:lvlJc w:val="right"/>
      <w:pPr>
        <w:ind w:left="1620" w:hanging="360"/>
      </w:pPr>
      <w:rPr>
        <w:rFonts w:hint="default"/>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31C3085"/>
    <w:multiLevelType w:val="singleLevel"/>
    <w:tmpl w:val="BFA0F994"/>
    <w:lvl w:ilvl="0">
      <w:start w:val="1"/>
      <w:numFmt w:val="lowerLetter"/>
      <w:pStyle w:val="Paralevel2"/>
      <w:lvlText w:val="(%1)"/>
      <w:lvlJc w:val="left"/>
      <w:pPr>
        <w:tabs>
          <w:tab w:val="num" w:pos="938"/>
        </w:tabs>
        <w:ind w:left="0" w:firstLine="578"/>
      </w:pPr>
    </w:lvl>
  </w:abstractNum>
  <w:abstractNum w:abstractNumId="4">
    <w:nsid w:val="27A061DD"/>
    <w:multiLevelType w:val="multilevel"/>
    <w:tmpl w:val="D2C0C8A2"/>
    <w:styleLink w:val="CurrentList1"/>
    <w:lvl w:ilvl="0">
      <w:start w:val="1"/>
      <w:numFmt w:val="decimal"/>
      <w:pStyle w:val="ArticleHeading"/>
      <w:lvlText w:val="%1."/>
      <w:lvlJc w:val="left"/>
      <w:pPr>
        <w:ind w:left="720" w:hanging="72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2291BF8"/>
    <w:multiLevelType w:val="multilevel"/>
    <w:tmpl w:val="F4ACF36E"/>
    <w:lvl w:ilvl="0">
      <w:start w:val="1"/>
      <w:numFmt w:val="decimal"/>
      <w:pStyle w:val="Articleheading0"/>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74651013"/>
    <w:multiLevelType w:val="multilevel"/>
    <w:tmpl w:val="D2C0C8A2"/>
    <w:numStyleLink w:val="CurrentList1"/>
  </w:abstractNum>
  <w:abstractNum w:abstractNumId="12">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2"/>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3"/>
  </w:num>
  <w:num w:numId="20">
    <w:abstractNumId w:val="4"/>
  </w:num>
  <w:num w:numId="21">
    <w:abstractNumId w:val="11"/>
  </w:num>
  <w:num w:numId="22">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696"/>
    <w:rsid w:val="000149E6"/>
    <w:rsid w:val="00023DA9"/>
    <w:rsid w:val="000247B0"/>
    <w:rsid w:val="0002502C"/>
    <w:rsid w:val="00026997"/>
    <w:rsid w:val="00026A08"/>
    <w:rsid w:val="00032E4E"/>
    <w:rsid w:val="00033E0B"/>
    <w:rsid w:val="00035EDE"/>
    <w:rsid w:val="000509B4"/>
    <w:rsid w:val="0006035B"/>
    <w:rsid w:val="0006096F"/>
    <w:rsid w:val="000649C5"/>
    <w:rsid w:val="00071886"/>
    <w:rsid w:val="000742BC"/>
    <w:rsid w:val="00076CC6"/>
    <w:rsid w:val="00082A0C"/>
    <w:rsid w:val="000832C7"/>
    <w:rsid w:val="00083504"/>
    <w:rsid w:val="000849CA"/>
    <w:rsid w:val="0009640C"/>
    <w:rsid w:val="000B22A2"/>
    <w:rsid w:val="000B73F9"/>
    <w:rsid w:val="000C2A52"/>
    <w:rsid w:val="000D33C0"/>
    <w:rsid w:val="000D4CF6"/>
    <w:rsid w:val="000D6941"/>
    <w:rsid w:val="000E78C5"/>
    <w:rsid w:val="000F1B80"/>
    <w:rsid w:val="000F4829"/>
    <w:rsid w:val="001202E3"/>
    <w:rsid w:val="00123699"/>
    <w:rsid w:val="001241FB"/>
    <w:rsid w:val="0013059D"/>
    <w:rsid w:val="00136187"/>
    <w:rsid w:val="00141A55"/>
    <w:rsid w:val="0014293F"/>
    <w:rsid w:val="0014397D"/>
    <w:rsid w:val="001446A3"/>
    <w:rsid w:val="00152B6B"/>
    <w:rsid w:val="00155395"/>
    <w:rsid w:val="00156B6B"/>
    <w:rsid w:val="00160D74"/>
    <w:rsid w:val="001646EA"/>
    <w:rsid w:val="00167D02"/>
    <w:rsid w:val="001759D8"/>
    <w:rsid w:val="00177D7F"/>
    <w:rsid w:val="00180C3F"/>
    <w:rsid w:val="00181EC8"/>
    <w:rsid w:val="00184349"/>
    <w:rsid w:val="00195F33"/>
    <w:rsid w:val="001A04AA"/>
    <w:rsid w:val="001B1617"/>
    <w:rsid w:val="001B504B"/>
    <w:rsid w:val="001B6F98"/>
    <w:rsid w:val="001C191A"/>
    <w:rsid w:val="001D3874"/>
    <w:rsid w:val="001D7E75"/>
    <w:rsid w:val="001E0D73"/>
    <w:rsid w:val="001E4028"/>
    <w:rsid w:val="001E45BD"/>
    <w:rsid w:val="001E56D2"/>
    <w:rsid w:val="001E7D56"/>
    <w:rsid w:val="001F0FBB"/>
    <w:rsid w:val="001F75DE"/>
    <w:rsid w:val="00200D58"/>
    <w:rsid w:val="002011C1"/>
    <w:rsid w:val="002013BE"/>
    <w:rsid w:val="00201EDC"/>
    <w:rsid w:val="002063A4"/>
    <w:rsid w:val="0021145B"/>
    <w:rsid w:val="00220C23"/>
    <w:rsid w:val="002247F6"/>
    <w:rsid w:val="00225E21"/>
    <w:rsid w:val="00234E78"/>
    <w:rsid w:val="00240627"/>
    <w:rsid w:val="00243D36"/>
    <w:rsid w:val="00246151"/>
    <w:rsid w:val="00247707"/>
    <w:rsid w:val="00255632"/>
    <w:rsid w:val="0026018E"/>
    <w:rsid w:val="002769EA"/>
    <w:rsid w:val="00277CE2"/>
    <w:rsid w:val="00286740"/>
    <w:rsid w:val="00291EAE"/>
    <w:rsid w:val="002929D8"/>
    <w:rsid w:val="0029570E"/>
    <w:rsid w:val="002A237D"/>
    <w:rsid w:val="002A4C53"/>
    <w:rsid w:val="002B0672"/>
    <w:rsid w:val="002B247F"/>
    <w:rsid w:val="002B50D4"/>
    <w:rsid w:val="002C145D"/>
    <w:rsid w:val="002C2C3E"/>
    <w:rsid w:val="002C533E"/>
    <w:rsid w:val="002D027F"/>
    <w:rsid w:val="002D3E15"/>
    <w:rsid w:val="002D7A85"/>
    <w:rsid w:val="002D7B60"/>
    <w:rsid w:val="002F4761"/>
    <w:rsid w:val="002F5C79"/>
    <w:rsid w:val="002F68EE"/>
    <w:rsid w:val="003019E2"/>
    <w:rsid w:val="00304499"/>
    <w:rsid w:val="00310B4B"/>
    <w:rsid w:val="00310BEB"/>
    <w:rsid w:val="00312543"/>
    <w:rsid w:val="0031413F"/>
    <w:rsid w:val="00314854"/>
    <w:rsid w:val="003148BB"/>
    <w:rsid w:val="00317976"/>
    <w:rsid w:val="00320F2F"/>
    <w:rsid w:val="003317D7"/>
    <w:rsid w:val="003338F7"/>
    <w:rsid w:val="00334EE0"/>
    <w:rsid w:val="00355EA9"/>
    <w:rsid w:val="003578DE"/>
    <w:rsid w:val="00361688"/>
    <w:rsid w:val="003616AB"/>
    <w:rsid w:val="00377FD5"/>
    <w:rsid w:val="003877D5"/>
    <w:rsid w:val="003929B8"/>
    <w:rsid w:val="0039519C"/>
    <w:rsid w:val="00396257"/>
    <w:rsid w:val="00397EB8"/>
    <w:rsid w:val="003A4FD0"/>
    <w:rsid w:val="003A69D1"/>
    <w:rsid w:val="003A7705"/>
    <w:rsid w:val="003A77F1"/>
    <w:rsid w:val="003B1545"/>
    <w:rsid w:val="003C3219"/>
    <w:rsid w:val="003C34B1"/>
    <w:rsid w:val="003C409D"/>
    <w:rsid w:val="003C5583"/>
    <w:rsid w:val="003C5BA6"/>
    <w:rsid w:val="003C74CF"/>
    <w:rsid w:val="003D3752"/>
    <w:rsid w:val="003E35DA"/>
    <w:rsid w:val="003E455D"/>
    <w:rsid w:val="003F0E85"/>
    <w:rsid w:val="003F5F95"/>
    <w:rsid w:val="00403A63"/>
    <w:rsid w:val="00410C55"/>
    <w:rsid w:val="00416854"/>
    <w:rsid w:val="00416F27"/>
    <w:rsid w:val="00417725"/>
    <w:rsid w:val="00421064"/>
    <w:rsid w:val="00437F26"/>
    <w:rsid w:val="00440628"/>
    <w:rsid w:val="00444097"/>
    <w:rsid w:val="00445487"/>
    <w:rsid w:val="0044713F"/>
    <w:rsid w:val="00447E0D"/>
    <w:rsid w:val="00453A68"/>
    <w:rsid w:val="00454769"/>
    <w:rsid w:val="00465D27"/>
    <w:rsid w:val="00466991"/>
    <w:rsid w:val="0047064C"/>
    <w:rsid w:val="004822B7"/>
    <w:rsid w:val="00483E03"/>
    <w:rsid w:val="004844FA"/>
    <w:rsid w:val="0049469E"/>
    <w:rsid w:val="004A2217"/>
    <w:rsid w:val="004A24F9"/>
    <w:rsid w:val="004A42E1"/>
    <w:rsid w:val="004B162C"/>
    <w:rsid w:val="004B2ABE"/>
    <w:rsid w:val="004C3DBE"/>
    <w:rsid w:val="004C5C96"/>
    <w:rsid w:val="004D06A4"/>
    <w:rsid w:val="004F1A81"/>
    <w:rsid w:val="004F3976"/>
    <w:rsid w:val="004F7F98"/>
    <w:rsid w:val="005050D2"/>
    <w:rsid w:val="0051272E"/>
    <w:rsid w:val="00516D71"/>
    <w:rsid w:val="005218D9"/>
    <w:rsid w:val="00525378"/>
    <w:rsid w:val="00536186"/>
    <w:rsid w:val="00544CBB"/>
    <w:rsid w:val="005656D7"/>
    <w:rsid w:val="0057315F"/>
    <w:rsid w:val="00576104"/>
    <w:rsid w:val="00584860"/>
    <w:rsid w:val="0059038D"/>
    <w:rsid w:val="00592B21"/>
    <w:rsid w:val="005B44BF"/>
    <w:rsid w:val="005C67C8"/>
    <w:rsid w:val="005D0249"/>
    <w:rsid w:val="005D18FA"/>
    <w:rsid w:val="005D2120"/>
    <w:rsid w:val="005D4FD4"/>
    <w:rsid w:val="005D6E8C"/>
    <w:rsid w:val="005E3004"/>
    <w:rsid w:val="005F100C"/>
    <w:rsid w:val="005F68DA"/>
    <w:rsid w:val="00601BC9"/>
    <w:rsid w:val="0060773B"/>
    <w:rsid w:val="00613FD6"/>
    <w:rsid w:val="006157B5"/>
    <w:rsid w:val="00617224"/>
    <w:rsid w:val="00626FC6"/>
    <w:rsid w:val="006303B4"/>
    <w:rsid w:val="00630ADC"/>
    <w:rsid w:val="00633D3D"/>
    <w:rsid w:val="006343C4"/>
    <w:rsid w:val="006368F1"/>
    <w:rsid w:val="00641703"/>
    <w:rsid w:val="0064317E"/>
    <w:rsid w:val="006431A6"/>
    <w:rsid w:val="00643E3A"/>
    <w:rsid w:val="006459F6"/>
    <w:rsid w:val="006501AD"/>
    <w:rsid w:val="00651BFA"/>
    <w:rsid w:val="00654475"/>
    <w:rsid w:val="00655560"/>
    <w:rsid w:val="00656DF0"/>
    <w:rsid w:val="00665A4B"/>
    <w:rsid w:val="00677573"/>
    <w:rsid w:val="00684BE1"/>
    <w:rsid w:val="006850A1"/>
    <w:rsid w:val="00692E2A"/>
    <w:rsid w:val="006A76F2"/>
    <w:rsid w:val="006A7DE0"/>
    <w:rsid w:val="006D19D4"/>
    <w:rsid w:val="006D7EFB"/>
    <w:rsid w:val="006E6672"/>
    <w:rsid w:val="006E6722"/>
    <w:rsid w:val="006F7AFF"/>
    <w:rsid w:val="007027B9"/>
    <w:rsid w:val="007066B5"/>
    <w:rsid w:val="007145DA"/>
    <w:rsid w:val="00715E88"/>
    <w:rsid w:val="00734CAA"/>
    <w:rsid w:val="00741552"/>
    <w:rsid w:val="00742680"/>
    <w:rsid w:val="007551E2"/>
    <w:rsid w:val="0075533C"/>
    <w:rsid w:val="00757581"/>
    <w:rsid w:val="007602F5"/>
    <w:rsid w:val="00760D36"/>
    <w:rsid w:val="007611A0"/>
    <w:rsid w:val="00773E54"/>
    <w:rsid w:val="0078489D"/>
    <w:rsid w:val="00787688"/>
    <w:rsid w:val="007935E6"/>
    <w:rsid w:val="00796D3F"/>
    <w:rsid w:val="007A1683"/>
    <w:rsid w:val="007A5C12"/>
    <w:rsid w:val="007A7CB0"/>
    <w:rsid w:val="007B68A3"/>
    <w:rsid w:val="007C2541"/>
    <w:rsid w:val="007D66A8"/>
    <w:rsid w:val="007E003F"/>
    <w:rsid w:val="007F0CF8"/>
    <w:rsid w:val="007F62CB"/>
    <w:rsid w:val="00805335"/>
    <w:rsid w:val="008142EC"/>
    <w:rsid w:val="008164F2"/>
    <w:rsid w:val="00821395"/>
    <w:rsid w:val="00830E26"/>
    <w:rsid w:val="00843576"/>
    <w:rsid w:val="00843B64"/>
    <w:rsid w:val="008478FC"/>
    <w:rsid w:val="00851756"/>
    <w:rsid w:val="00851C51"/>
    <w:rsid w:val="00856CDB"/>
    <w:rsid w:val="00864C64"/>
    <w:rsid w:val="00867BFF"/>
    <w:rsid w:val="00871542"/>
    <w:rsid w:val="00871E08"/>
    <w:rsid w:val="00872BF6"/>
    <w:rsid w:val="0088480A"/>
    <w:rsid w:val="0088757A"/>
    <w:rsid w:val="0089431B"/>
    <w:rsid w:val="00894479"/>
    <w:rsid w:val="00895668"/>
    <w:rsid w:val="008957DD"/>
    <w:rsid w:val="00897D98"/>
    <w:rsid w:val="008A2F23"/>
    <w:rsid w:val="008A6DF2"/>
    <w:rsid w:val="008A7807"/>
    <w:rsid w:val="008B0CED"/>
    <w:rsid w:val="008B4CC9"/>
    <w:rsid w:val="008D75E4"/>
    <w:rsid w:val="008D7C99"/>
    <w:rsid w:val="008E0FCB"/>
    <w:rsid w:val="008F1FE0"/>
    <w:rsid w:val="008F6DFE"/>
    <w:rsid w:val="009038DD"/>
    <w:rsid w:val="0090529F"/>
    <w:rsid w:val="009055CA"/>
    <w:rsid w:val="00905742"/>
    <w:rsid w:val="00917EEE"/>
    <w:rsid w:val="0092178C"/>
    <w:rsid w:val="00930B88"/>
    <w:rsid w:val="00940DCC"/>
    <w:rsid w:val="0094179A"/>
    <w:rsid w:val="0094459E"/>
    <w:rsid w:val="00944DBC"/>
    <w:rsid w:val="00950977"/>
    <w:rsid w:val="00951A7B"/>
    <w:rsid w:val="009541FC"/>
    <w:rsid w:val="009564A6"/>
    <w:rsid w:val="00960425"/>
    <w:rsid w:val="00966A53"/>
    <w:rsid w:val="00967621"/>
    <w:rsid w:val="00967E6A"/>
    <w:rsid w:val="009907B9"/>
    <w:rsid w:val="00990918"/>
    <w:rsid w:val="00991E9A"/>
    <w:rsid w:val="009A3A83"/>
    <w:rsid w:val="009B35CF"/>
    <w:rsid w:val="009B47C1"/>
    <w:rsid w:val="009B4A0F"/>
    <w:rsid w:val="009C11D2"/>
    <w:rsid w:val="009C3362"/>
    <w:rsid w:val="009C6C70"/>
    <w:rsid w:val="009C7B0A"/>
    <w:rsid w:val="009D0B63"/>
    <w:rsid w:val="009D5CB8"/>
    <w:rsid w:val="009E307E"/>
    <w:rsid w:val="009F612F"/>
    <w:rsid w:val="00A07870"/>
    <w:rsid w:val="00A07C54"/>
    <w:rsid w:val="00A07F19"/>
    <w:rsid w:val="00A1348D"/>
    <w:rsid w:val="00A13C99"/>
    <w:rsid w:val="00A232EE"/>
    <w:rsid w:val="00A414F6"/>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C0A89"/>
    <w:rsid w:val="00AC7C96"/>
    <w:rsid w:val="00AD4326"/>
    <w:rsid w:val="00AE237D"/>
    <w:rsid w:val="00AE397A"/>
    <w:rsid w:val="00AE502A"/>
    <w:rsid w:val="00AE7840"/>
    <w:rsid w:val="00AF0010"/>
    <w:rsid w:val="00AF2C1F"/>
    <w:rsid w:val="00AF7A9F"/>
    <w:rsid w:val="00AF7C07"/>
    <w:rsid w:val="00B03E98"/>
    <w:rsid w:val="00B06C64"/>
    <w:rsid w:val="00B11CAC"/>
    <w:rsid w:val="00B14FAA"/>
    <w:rsid w:val="00B15A29"/>
    <w:rsid w:val="00B15FA1"/>
    <w:rsid w:val="00B17A26"/>
    <w:rsid w:val="00B22C93"/>
    <w:rsid w:val="00B25493"/>
    <w:rsid w:val="00B27589"/>
    <w:rsid w:val="00B405B7"/>
    <w:rsid w:val="00B45A38"/>
    <w:rsid w:val="00B52222"/>
    <w:rsid w:val="00B531DA"/>
    <w:rsid w:val="00B54895"/>
    <w:rsid w:val="00B54FE7"/>
    <w:rsid w:val="00B647C6"/>
    <w:rsid w:val="00B655F9"/>
    <w:rsid w:val="00B66901"/>
    <w:rsid w:val="00B70F47"/>
    <w:rsid w:val="00B71E6D"/>
    <w:rsid w:val="00B72070"/>
    <w:rsid w:val="00B7598A"/>
    <w:rsid w:val="00B779E1"/>
    <w:rsid w:val="00B81E3A"/>
    <w:rsid w:val="00B85CFB"/>
    <w:rsid w:val="00B91EE1"/>
    <w:rsid w:val="00B94602"/>
    <w:rsid w:val="00BA0090"/>
    <w:rsid w:val="00BA1A67"/>
    <w:rsid w:val="00BA6A80"/>
    <w:rsid w:val="00BB4ABB"/>
    <w:rsid w:val="00BE5B5F"/>
    <w:rsid w:val="00BE7993"/>
    <w:rsid w:val="00BF67F3"/>
    <w:rsid w:val="00C116AA"/>
    <w:rsid w:val="00C168A7"/>
    <w:rsid w:val="00C20A2D"/>
    <w:rsid w:val="00C26F55"/>
    <w:rsid w:val="00C27DCA"/>
    <w:rsid w:val="00C30C63"/>
    <w:rsid w:val="00C30FF3"/>
    <w:rsid w:val="00C36B8B"/>
    <w:rsid w:val="00C415C1"/>
    <w:rsid w:val="00C47DBF"/>
    <w:rsid w:val="00C552FF"/>
    <w:rsid w:val="00C558DA"/>
    <w:rsid w:val="00C55AF3"/>
    <w:rsid w:val="00C6062B"/>
    <w:rsid w:val="00C724EE"/>
    <w:rsid w:val="00C771A9"/>
    <w:rsid w:val="00C84759"/>
    <w:rsid w:val="00C854BD"/>
    <w:rsid w:val="00CA2605"/>
    <w:rsid w:val="00CA5CA9"/>
    <w:rsid w:val="00CA6C7F"/>
    <w:rsid w:val="00CB6B35"/>
    <w:rsid w:val="00CC0FC7"/>
    <w:rsid w:val="00CC10A6"/>
    <w:rsid w:val="00CD2011"/>
    <w:rsid w:val="00CD5EB8"/>
    <w:rsid w:val="00CD7044"/>
    <w:rsid w:val="00CE08B9"/>
    <w:rsid w:val="00CE524C"/>
    <w:rsid w:val="00CF141F"/>
    <w:rsid w:val="00CF4777"/>
    <w:rsid w:val="00CF65C8"/>
    <w:rsid w:val="00D013F5"/>
    <w:rsid w:val="00D05E3F"/>
    <w:rsid w:val="00D067BB"/>
    <w:rsid w:val="00D1352A"/>
    <w:rsid w:val="00D169AF"/>
    <w:rsid w:val="00D25249"/>
    <w:rsid w:val="00D44172"/>
    <w:rsid w:val="00D47BE3"/>
    <w:rsid w:val="00D63B8C"/>
    <w:rsid w:val="00D739CC"/>
    <w:rsid w:val="00D8093D"/>
    <w:rsid w:val="00D8108C"/>
    <w:rsid w:val="00D842AE"/>
    <w:rsid w:val="00D90F14"/>
    <w:rsid w:val="00D9211C"/>
    <w:rsid w:val="00D92DE0"/>
    <w:rsid w:val="00D92FEF"/>
    <w:rsid w:val="00D93A0F"/>
    <w:rsid w:val="00DA1BCA"/>
    <w:rsid w:val="00DB353E"/>
    <w:rsid w:val="00DB5925"/>
    <w:rsid w:val="00DC46FF"/>
    <w:rsid w:val="00DC5254"/>
    <w:rsid w:val="00DC569D"/>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2F59"/>
    <w:rsid w:val="00E41908"/>
    <w:rsid w:val="00E46D9A"/>
    <w:rsid w:val="00E565FF"/>
    <w:rsid w:val="00E65388"/>
    <w:rsid w:val="00E7741D"/>
    <w:rsid w:val="00E808CD"/>
    <w:rsid w:val="00E82928"/>
    <w:rsid w:val="00E8348F"/>
    <w:rsid w:val="00E85B7D"/>
    <w:rsid w:val="00E9121B"/>
    <w:rsid w:val="00E9302E"/>
    <w:rsid w:val="00E976AB"/>
    <w:rsid w:val="00EA0AE2"/>
    <w:rsid w:val="00EA1159"/>
    <w:rsid w:val="00EA39E5"/>
    <w:rsid w:val="00EA57A3"/>
    <w:rsid w:val="00EC27AF"/>
    <w:rsid w:val="00EC2813"/>
    <w:rsid w:val="00EC5A46"/>
    <w:rsid w:val="00EC63E2"/>
    <w:rsid w:val="00EC7AAA"/>
    <w:rsid w:val="00ED366A"/>
    <w:rsid w:val="00ED6BB7"/>
    <w:rsid w:val="00EE1723"/>
    <w:rsid w:val="00EF22B3"/>
    <w:rsid w:val="00F0049B"/>
    <w:rsid w:val="00F03B69"/>
    <w:rsid w:val="00F07A50"/>
    <w:rsid w:val="00F113DA"/>
    <w:rsid w:val="00F12DA4"/>
    <w:rsid w:val="00F1495C"/>
    <w:rsid w:val="00F266FC"/>
    <w:rsid w:val="00F3037A"/>
    <w:rsid w:val="00F3465A"/>
    <w:rsid w:val="00F37DC8"/>
    <w:rsid w:val="00F439B3"/>
    <w:rsid w:val="00F6181F"/>
    <w:rsid w:val="00F650C3"/>
    <w:rsid w:val="00F65D85"/>
    <w:rsid w:val="00F6700B"/>
    <w:rsid w:val="00F8091E"/>
    <w:rsid w:val="00F83855"/>
    <w:rsid w:val="00F8615C"/>
    <w:rsid w:val="00F8673E"/>
    <w:rsid w:val="00F969E5"/>
    <w:rsid w:val="00FA4972"/>
    <w:rsid w:val="00FA6BB0"/>
    <w:rsid w:val="00FB2DBD"/>
    <w:rsid w:val="00FB53D9"/>
    <w:rsid w:val="00FB5617"/>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0">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paragraph" w:customStyle="1" w:styleId="Paralevel2">
    <w:name w:val="Para level2"/>
    <w:basedOn w:val="Normal"/>
    <w:autoRedefine/>
    <w:rsid w:val="00864C64"/>
    <w:pPr>
      <w:numPr>
        <w:numId w:val="19"/>
      </w:numPr>
      <w:tabs>
        <w:tab w:val="clear" w:pos="1247"/>
        <w:tab w:val="clear" w:pos="1814"/>
        <w:tab w:val="clear" w:pos="2381"/>
        <w:tab w:val="clear" w:pos="2948"/>
        <w:tab w:val="clear" w:pos="3515"/>
      </w:tabs>
      <w:suppressAutoHyphens/>
      <w:spacing w:after="120"/>
    </w:pPr>
    <w:rPr>
      <w:lang w:eastAsia="x-none"/>
    </w:rPr>
  </w:style>
  <w:style w:type="numbering" w:customStyle="1" w:styleId="CurrentList1">
    <w:name w:val="Current List1"/>
    <w:rsid w:val="00864C64"/>
    <w:pPr>
      <w:numPr>
        <w:numId w:val="20"/>
      </w:numPr>
    </w:pPr>
  </w:style>
  <w:style w:type="paragraph" w:customStyle="1" w:styleId="ArticleHeading">
    <w:name w:val="Article Heading"/>
    <w:basedOn w:val="Normal"/>
    <w:rsid w:val="00864C64"/>
    <w:pPr>
      <w:keepNext/>
      <w:numPr>
        <w:numId w:val="21"/>
      </w:numPr>
      <w:tabs>
        <w:tab w:val="clear" w:pos="1247"/>
        <w:tab w:val="clear" w:pos="1814"/>
        <w:tab w:val="clear" w:pos="2381"/>
        <w:tab w:val="clear" w:pos="2948"/>
        <w:tab w:val="clear" w:pos="3515"/>
      </w:tabs>
      <w:spacing w:after="240"/>
    </w:pPr>
    <w:rPr>
      <w:b/>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0">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paragraph" w:customStyle="1" w:styleId="Paralevel2">
    <w:name w:val="Para level2"/>
    <w:basedOn w:val="Normal"/>
    <w:autoRedefine/>
    <w:rsid w:val="00864C64"/>
    <w:pPr>
      <w:numPr>
        <w:numId w:val="19"/>
      </w:numPr>
      <w:tabs>
        <w:tab w:val="clear" w:pos="1247"/>
        <w:tab w:val="clear" w:pos="1814"/>
        <w:tab w:val="clear" w:pos="2381"/>
        <w:tab w:val="clear" w:pos="2948"/>
        <w:tab w:val="clear" w:pos="3515"/>
      </w:tabs>
      <w:suppressAutoHyphens/>
      <w:spacing w:after="120"/>
    </w:pPr>
    <w:rPr>
      <w:lang w:eastAsia="x-none"/>
    </w:rPr>
  </w:style>
  <w:style w:type="numbering" w:customStyle="1" w:styleId="CurrentList1">
    <w:name w:val="Current List1"/>
    <w:rsid w:val="00864C64"/>
    <w:pPr>
      <w:numPr>
        <w:numId w:val="20"/>
      </w:numPr>
    </w:pPr>
  </w:style>
  <w:style w:type="paragraph" w:customStyle="1" w:styleId="ArticleHeading">
    <w:name w:val="Article Heading"/>
    <w:basedOn w:val="Normal"/>
    <w:rsid w:val="00864C64"/>
    <w:pPr>
      <w:keepNext/>
      <w:numPr>
        <w:numId w:val="21"/>
      </w:numPr>
      <w:tabs>
        <w:tab w:val="clear" w:pos="1247"/>
        <w:tab w:val="clear" w:pos="1814"/>
        <w:tab w:val="clear" w:pos="2381"/>
        <w:tab w:val="clear" w:pos="2948"/>
        <w:tab w:val="clear" w:pos="3515"/>
      </w:tabs>
      <w:spacing w:after="240"/>
    </w:pPr>
    <w:rPr>
      <w:b/>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7748633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81694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89924371">
      <w:bodyDiv w:val="1"/>
      <w:marLeft w:val="0"/>
      <w:marRight w:val="0"/>
      <w:marTop w:val="0"/>
      <w:marBottom w:val="0"/>
      <w:divBdr>
        <w:top w:val="none" w:sz="0" w:space="0" w:color="auto"/>
        <w:left w:val="none" w:sz="0" w:space="0" w:color="auto"/>
        <w:bottom w:val="none" w:sz="0" w:space="0" w:color="auto"/>
        <w:right w:val="none" w:sz="0" w:space="0" w:color="auto"/>
      </w:divBdr>
    </w:div>
    <w:div w:id="17758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F540-C708-4DD7-9D91-8A5B2060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Tina Rakoto</cp:lastModifiedBy>
  <cp:revision>2</cp:revision>
  <cp:lastPrinted>2017-06-09T07:51:00Z</cp:lastPrinted>
  <dcterms:created xsi:type="dcterms:W3CDTF">2017-06-09T08:31:00Z</dcterms:created>
  <dcterms:modified xsi:type="dcterms:W3CDTF">2017-06-09T08:31:00Z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4/13/2017 12:02:48 PM</vt:lpwstr>
  </property>
  <property fmtid="{D5CDD505-2E9C-101B-9397-08002B2CF9AE}" pid="5" name="OriginalDocID">
    <vt:lpwstr>a71f8c9c-38bd-4298-a873-c440908e0611</vt:lpwstr>
  </property>
</Properties>
</file>