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0"/>
        <w:gridCol w:w="4751"/>
        <w:gridCol w:w="3411"/>
      </w:tblGrid>
      <w:tr w:rsidR="00032E4E" w:rsidRPr="001C3B22" w14:paraId="0B0C9BA2" w14:textId="77777777" w:rsidTr="00E976AB">
        <w:trPr>
          <w:cantSplit/>
          <w:trHeight w:val="850"/>
          <w:jc w:val="right"/>
        </w:trPr>
        <w:tc>
          <w:tcPr>
            <w:tcW w:w="1560" w:type="dxa"/>
          </w:tcPr>
          <w:p w14:paraId="20663D6B" w14:textId="77777777" w:rsidR="00032E4E" w:rsidRPr="001C3B22" w:rsidRDefault="00032E4E" w:rsidP="00023DA9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r w:rsidRPr="001C3B22">
              <w:rPr>
                <w:rFonts w:ascii="Arial" w:hAnsi="Arial"/>
                <w:b/>
                <w:sz w:val="27"/>
                <w:szCs w:val="27"/>
              </w:rPr>
              <w:t>NATIONS</w:t>
            </w:r>
            <w:r w:rsidRPr="001C3B22">
              <w:rPr>
                <w:rFonts w:ascii="Arial" w:hAnsi="Arial"/>
                <w:b/>
                <w:sz w:val="27"/>
                <w:szCs w:val="27"/>
              </w:rPr>
              <w:br/>
              <w:t>UNIES</w:t>
            </w:r>
          </w:p>
        </w:tc>
        <w:tc>
          <w:tcPr>
            <w:tcW w:w="4785" w:type="dxa"/>
          </w:tcPr>
          <w:p w14:paraId="0D4F05A5" w14:textId="77777777" w:rsidR="00032E4E" w:rsidRPr="001C3B22" w:rsidRDefault="00032E4E" w:rsidP="008544ED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35" w:type="dxa"/>
          </w:tcPr>
          <w:p w14:paraId="2B984144" w14:textId="77777777" w:rsidR="00032E4E" w:rsidRPr="001C3B22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1C3B22"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1C3B22" w14:paraId="5E12003F" w14:textId="77777777" w:rsidTr="00E976AB">
        <w:trPr>
          <w:cantSplit/>
          <w:trHeight w:val="281"/>
          <w:jc w:val="right"/>
        </w:trPr>
        <w:tc>
          <w:tcPr>
            <w:tcW w:w="1560" w:type="dxa"/>
            <w:tcBorders>
              <w:bottom w:val="single" w:sz="4" w:space="0" w:color="auto"/>
            </w:tcBorders>
          </w:tcPr>
          <w:p w14:paraId="7DBB45BA" w14:textId="77777777" w:rsidR="00032E4E" w:rsidRPr="001C3B22" w:rsidRDefault="00032E4E" w:rsidP="00023DA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146EF366" w14:textId="77777777" w:rsidR="00032E4E" w:rsidRPr="001C3B22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7F7C4939" w14:textId="77777777" w:rsidR="00032E4E" w:rsidRPr="001C3B22" w:rsidRDefault="00032E4E" w:rsidP="000F35D8">
            <w:pPr>
              <w:rPr>
                <w:noProof/>
                <w:sz w:val="18"/>
                <w:szCs w:val="18"/>
              </w:rPr>
            </w:pPr>
            <w:r w:rsidRPr="001C3B22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Pr="001C3B22">
              <w:rPr>
                <w:b/>
                <w:bCs/>
                <w:sz w:val="28"/>
              </w:rPr>
              <w:t>/</w:t>
            </w:r>
            <w:r w:rsidRPr="001C3B22">
              <w:t>MC/</w:t>
            </w:r>
            <w:bookmarkEnd w:id="0"/>
            <w:bookmarkEnd w:id="1"/>
            <w:r w:rsidRPr="001C3B22">
              <w:t>COP.1/4</w:t>
            </w:r>
          </w:p>
        </w:tc>
      </w:tr>
      <w:bookmarkStart w:id="2" w:name="_MON_1021710510"/>
      <w:bookmarkStart w:id="3" w:name="_MON_1021710482"/>
      <w:bookmarkEnd w:id="2"/>
      <w:bookmarkEnd w:id="3"/>
      <w:tr w:rsidR="00032E4E" w:rsidRPr="001C3B22" w14:paraId="7F768EBA" w14:textId="77777777" w:rsidTr="00E976AB">
        <w:trPr>
          <w:cantSplit/>
          <w:trHeight w:val="2549"/>
          <w:jc w:val="right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14:paraId="73A06A7E" w14:textId="77777777" w:rsidR="00032E4E" w:rsidRPr="001C3B22" w:rsidRDefault="00032E4E" w:rsidP="00023DA9">
            <w:pPr>
              <w:rPr>
                <w:noProof/>
              </w:rPr>
            </w:pPr>
            <w:r w:rsidRPr="001C3B22">
              <w:object w:dxaOrig="1831" w:dyaOrig="1726" w14:anchorId="2A8F10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pt;height:62.65pt" o:ole="" fillcolor="window">
                  <v:imagedata r:id="rId9" o:title=""/>
                </v:shape>
                <o:OLEObject Type="Embed" ProgID="Word.Picture.8" ShapeID="_x0000_i1025" DrawAspect="Content" ObjectID="_1561208395" r:id="rId10"/>
              </w:object>
            </w:r>
            <w:r w:rsidRPr="001C3B22">
              <w:rPr>
                <w:noProof/>
                <w:lang w:val="en-US"/>
              </w:rPr>
              <w:drawing>
                <wp:inline distT="0" distB="0" distL="0" distR="0" wp14:anchorId="4D7AA2F9" wp14:editId="74CB1BAC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bottom w:val="single" w:sz="24" w:space="0" w:color="auto"/>
            </w:tcBorders>
          </w:tcPr>
          <w:p w14:paraId="6C225C68" w14:textId="77777777" w:rsidR="00032E4E" w:rsidRPr="001C3B22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1C3B22">
              <w:rPr>
                <w:rFonts w:ascii="Arial" w:hAnsi="Arial"/>
                <w:b/>
                <w:sz w:val="32"/>
                <w:szCs w:val="32"/>
              </w:rPr>
              <w:t>Programme</w:t>
            </w:r>
            <w:r w:rsidRPr="001C3B22">
              <w:rPr>
                <w:rFonts w:ascii="Arial" w:hAnsi="Arial"/>
                <w:b/>
                <w:sz w:val="32"/>
                <w:szCs w:val="32"/>
              </w:rPr>
              <w:br w:type="textWrapping" w:clear="all"/>
              <w:t>des Nations Unies</w:t>
            </w:r>
            <w:r w:rsidRPr="001C3B22">
              <w:rPr>
                <w:rFonts w:ascii="Arial" w:hAnsi="Arial"/>
                <w:b/>
                <w:sz w:val="32"/>
                <w:szCs w:val="32"/>
              </w:rPr>
              <w:br w:type="textWrapping" w:clear="all"/>
              <w:t>pour l’environnement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14:paraId="7D3FECB3" w14:textId="0C34AE61" w:rsidR="00032E4E" w:rsidRPr="001C3B22" w:rsidRDefault="005C256B" w:rsidP="00787688">
            <w:pPr>
              <w:spacing w:before="120"/>
            </w:pPr>
            <w:proofErr w:type="spellStart"/>
            <w:r w:rsidRPr="001C3B22">
              <w:t>Distr</w:t>
            </w:r>
            <w:proofErr w:type="spellEnd"/>
            <w:r w:rsidRPr="001C3B22">
              <w:t>. </w:t>
            </w:r>
            <w:r w:rsidR="00032E4E" w:rsidRPr="001C3B22">
              <w:t>générale</w:t>
            </w:r>
            <w:r w:rsidR="00032E4E" w:rsidRPr="001C3B22">
              <w:br w:type="textWrapping" w:clear="all"/>
            </w:r>
            <w:r w:rsidRPr="001C3B22">
              <w:t>9 </w:t>
            </w:r>
            <w:r w:rsidR="00032E4E" w:rsidRPr="001C3B22">
              <w:t>juin 2017</w:t>
            </w:r>
          </w:p>
          <w:p w14:paraId="18689706" w14:textId="5C126500" w:rsidR="00032E4E" w:rsidRPr="001C3B22" w:rsidRDefault="005C256B" w:rsidP="00023DA9">
            <w:pPr>
              <w:spacing w:before="240"/>
              <w:rPr>
                <w:color w:val="000000" w:themeColor="text1"/>
              </w:rPr>
            </w:pPr>
            <w:r w:rsidRPr="001C3B22">
              <w:t>Français</w:t>
            </w:r>
            <w:r w:rsidRPr="001C3B22">
              <w:br/>
            </w:r>
            <w:r w:rsidR="00032E4E" w:rsidRPr="001C3B22">
              <w:t>Original : anglais</w:t>
            </w:r>
          </w:p>
        </w:tc>
      </w:tr>
    </w:tbl>
    <w:p w14:paraId="17061EE2" w14:textId="51701C11" w:rsidR="00C1728F" w:rsidRPr="001C3B22" w:rsidRDefault="00787688" w:rsidP="005C256B">
      <w:pPr>
        <w:pStyle w:val="AATitle"/>
        <w:keepNext w:val="0"/>
        <w:keepLines w:val="0"/>
        <w:ind w:right="4534"/>
      </w:pPr>
      <w:r w:rsidRPr="001C3B22">
        <w:t>Conférence des Parties à la</w:t>
      </w:r>
      <w:r w:rsidR="005C256B" w:rsidRPr="001C3B22">
        <w:t xml:space="preserve"> </w:t>
      </w:r>
      <w:r w:rsidRPr="001C3B22">
        <w:t>Convention de Minamata</w:t>
      </w:r>
      <w:r w:rsidR="005C256B" w:rsidRPr="001C3B22">
        <w:br/>
      </w:r>
      <w:r w:rsidRPr="001C3B22">
        <w:t xml:space="preserve"> sur le mercure</w:t>
      </w:r>
    </w:p>
    <w:p w14:paraId="612AD30C" w14:textId="77777777" w:rsidR="00E976AB" w:rsidRPr="001C3B22" w:rsidRDefault="00787688" w:rsidP="00E976AB">
      <w:pPr>
        <w:pStyle w:val="AATitle"/>
        <w:keepNext w:val="0"/>
        <w:keepLines w:val="0"/>
      </w:pPr>
      <w:r w:rsidRPr="001C3B22">
        <w:t>Première réunion</w:t>
      </w:r>
    </w:p>
    <w:p w14:paraId="42EF60AE" w14:textId="18128FDB" w:rsidR="00E976AB" w:rsidRPr="001C3B22" w:rsidRDefault="005C256B" w:rsidP="00787688">
      <w:pPr>
        <w:pStyle w:val="AATitle"/>
        <w:rPr>
          <w:b w:val="0"/>
        </w:rPr>
      </w:pPr>
      <w:r w:rsidRPr="001C3B22">
        <w:rPr>
          <w:b w:val="0"/>
        </w:rPr>
        <w:t>Genève, 24-29 </w:t>
      </w:r>
      <w:r w:rsidR="00787688" w:rsidRPr="001C3B22">
        <w:rPr>
          <w:b w:val="0"/>
        </w:rPr>
        <w:t>septembre 2017</w:t>
      </w:r>
    </w:p>
    <w:p w14:paraId="745CCD92" w14:textId="77777777" w:rsidR="009431CE" w:rsidRPr="001C3B22" w:rsidRDefault="009431CE" w:rsidP="00A54FD2">
      <w:pPr>
        <w:pStyle w:val="AATitle"/>
        <w:rPr>
          <w:b w:val="0"/>
        </w:rPr>
      </w:pPr>
      <w:r w:rsidRPr="001C3B22">
        <w:rPr>
          <w:b w:val="0"/>
        </w:rPr>
        <w:t>Point 4 de l’ordre du jour provisoire</w:t>
      </w:r>
      <w:r w:rsidRPr="001C3B22">
        <w:rPr>
          <w:b w:val="0"/>
        </w:rPr>
        <w:footnoteReference w:customMarkFollows="1" w:id="1"/>
        <w:t>*</w:t>
      </w:r>
    </w:p>
    <w:p w14:paraId="27475C7E" w14:textId="2B3AD508" w:rsidR="009431CE" w:rsidRPr="001C3B22" w:rsidRDefault="009431CE" w:rsidP="00A54FD2">
      <w:pPr>
        <w:pStyle w:val="AATitle"/>
        <w:spacing w:before="60" w:after="60"/>
      </w:pPr>
      <w:r w:rsidRPr="001C3B22">
        <w:t>Rapport sur les avan</w:t>
      </w:r>
      <w:r w:rsidR="005C256B" w:rsidRPr="001C3B22">
        <w:t>cées réalisées par le Comité de </w:t>
      </w:r>
      <w:r w:rsidRPr="001C3B22">
        <w:t>négociation intergouvernemental chargé d’élaborer un instrument international juridiquement contraignant sur le mercure</w:t>
      </w:r>
    </w:p>
    <w:p w14:paraId="77B40A63" w14:textId="77777777" w:rsidR="009431CE" w:rsidRPr="001C3B22" w:rsidRDefault="009431CE" w:rsidP="00171BF4">
      <w:pPr>
        <w:pStyle w:val="BBTitle"/>
      </w:pPr>
      <w:r w:rsidRPr="001C3B22">
        <w:t>Avancées réalisées par le Comité de négociation intergouvernemental chargé d’élaborer un instrument international juridiquement contraignant sur le mercure</w:t>
      </w:r>
    </w:p>
    <w:p w14:paraId="50FF7625" w14:textId="2719D3E7" w:rsidR="009431CE" w:rsidRPr="001C3B22" w:rsidRDefault="009431CE" w:rsidP="00A54FD2">
      <w:pPr>
        <w:pStyle w:val="CH2"/>
      </w:pPr>
      <w:r w:rsidRPr="001C3B22">
        <w:tab/>
      </w:r>
      <w:r w:rsidRPr="001C3B22">
        <w:tab/>
        <w:t>Note du secrétariat</w:t>
      </w:r>
    </w:p>
    <w:p w14:paraId="73643EC8" w14:textId="3EAB9699" w:rsidR="009431CE" w:rsidRPr="001C3B22" w:rsidRDefault="009431CE" w:rsidP="00A54FD2">
      <w:pPr>
        <w:pStyle w:val="Normalnumber"/>
        <w:numPr>
          <w:ilvl w:val="0"/>
          <w:numId w:val="4"/>
        </w:numPr>
        <w:tabs>
          <w:tab w:val="clear" w:pos="1305"/>
        </w:tabs>
        <w:ind w:left="1247"/>
      </w:pPr>
      <w:r w:rsidRPr="001C3B22">
        <w:t xml:space="preserve">Le secrétariat </w:t>
      </w:r>
      <w:proofErr w:type="spellStart"/>
      <w:r w:rsidRPr="001C3B22">
        <w:t>a</w:t>
      </w:r>
      <w:proofErr w:type="spellEnd"/>
      <w:r w:rsidRPr="001C3B22">
        <w:t xml:space="preserve"> l’honneur de proposer, en annexe à la présente note, un résumé des travaux menés par le Comité de négociation intergouvernemental chargé d’élaborer un instrument international juridiquement contraignant sur le mercure, </w:t>
      </w:r>
      <w:r w:rsidR="00751257" w:rsidRPr="001C3B22">
        <w:t xml:space="preserve">lequel a été créé comme suite à </w:t>
      </w:r>
      <w:r w:rsidRPr="001C3B22">
        <w:t xml:space="preserve">la décision 25/5 du Conseil d’administration du Programme des Nations Unies pour l’environnement. Ce rapport couvre la période qui s’étend de la première session du Comité, </w:t>
      </w:r>
      <w:r w:rsidR="00751257" w:rsidRPr="001C3B22">
        <w:t xml:space="preserve">tenue </w:t>
      </w:r>
      <w:r w:rsidRPr="001C3B22">
        <w:t xml:space="preserve">en juin 2010, à la première réunion de la Conférence des Parties à la Convention de Minamata sur le mercure, </w:t>
      </w:r>
      <w:r w:rsidR="00751257" w:rsidRPr="001C3B22">
        <w:t xml:space="preserve">tenue </w:t>
      </w:r>
      <w:r w:rsidRPr="001C3B22">
        <w:t xml:space="preserve">en septembre 2017. </w:t>
      </w:r>
    </w:p>
    <w:p w14:paraId="67C97A96" w14:textId="5F62227F" w:rsidR="009431CE" w:rsidRPr="001C3B22" w:rsidRDefault="009431CE" w:rsidP="00B5723A">
      <w:pPr>
        <w:pStyle w:val="Normalnumber"/>
        <w:numPr>
          <w:ilvl w:val="0"/>
          <w:numId w:val="4"/>
        </w:numPr>
        <w:tabs>
          <w:tab w:val="clear" w:pos="1305"/>
        </w:tabs>
        <w:ind w:left="1247"/>
      </w:pPr>
      <w:r w:rsidRPr="001C3B22">
        <w:t>La Conférence des Parties souhaiter</w:t>
      </w:r>
      <w:r w:rsidR="00751257" w:rsidRPr="001C3B22">
        <w:t>a peut-être</w:t>
      </w:r>
      <w:r w:rsidRPr="001C3B22">
        <w:t xml:space="preserve"> prendre note de ce rapport et </w:t>
      </w:r>
      <w:r w:rsidR="00751257" w:rsidRPr="001C3B22">
        <w:t xml:space="preserve">remercier le </w:t>
      </w:r>
      <w:r w:rsidRPr="001C3B22">
        <w:t xml:space="preserve">Comité de négociation intergouvernemental </w:t>
      </w:r>
      <w:r w:rsidR="00751257" w:rsidRPr="001C3B22">
        <w:t>de toutes les</w:t>
      </w:r>
      <w:r w:rsidRPr="001C3B22">
        <w:t xml:space="preserve"> avancées</w:t>
      </w:r>
      <w:r w:rsidR="00751257" w:rsidRPr="001C3B22">
        <w:t xml:space="preserve"> qu’il a réalisées</w:t>
      </w:r>
      <w:r w:rsidRPr="001C3B22">
        <w:t>.</w:t>
      </w:r>
    </w:p>
    <w:p w14:paraId="3770B71E" w14:textId="77777777" w:rsidR="009431CE" w:rsidRPr="001C3B22" w:rsidRDefault="009431CE" w:rsidP="00171BF4">
      <w:pPr>
        <w:pStyle w:val="ZZAnxheader"/>
      </w:pPr>
      <w:r w:rsidRPr="001C3B22">
        <w:br w:type="page"/>
      </w:r>
      <w:r w:rsidRPr="001C3B22">
        <w:lastRenderedPageBreak/>
        <w:t>Annexe</w:t>
      </w:r>
    </w:p>
    <w:p w14:paraId="7A2DBF94" w14:textId="480DCFAB" w:rsidR="009431CE" w:rsidRPr="001C3B22" w:rsidRDefault="009431CE" w:rsidP="00171BF4">
      <w:pPr>
        <w:pStyle w:val="ZZAnxtitle"/>
      </w:pPr>
      <w:r w:rsidRPr="001C3B22">
        <w:t xml:space="preserve">Avancées réalisées par le Comité de négociation intergouvernemental chargé d’élaborer un instrument </w:t>
      </w:r>
      <w:r w:rsidR="00402E92" w:rsidRPr="001C3B22">
        <w:br/>
      </w:r>
      <w:r w:rsidRPr="001C3B22">
        <w:t>international juridiquement contraignant sur le mercure</w:t>
      </w:r>
    </w:p>
    <w:p w14:paraId="481B8E1F" w14:textId="6A094F6E" w:rsidR="009431CE" w:rsidRPr="001C3B22" w:rsidRDefault="00275E4A" w:rsidP="00B5723A">
      <w:pPr>
        <w:pStyle w:val="CH1"/>
        <w:ind w:left="0" w:firstLine="0"/>
        <w:rPr>
          <w:sz w:val="24"/>
          <w:szCs w:val="24"/>
        </w:rPr>
      </w:pPr>
      <w:r w:rsidRPr="001C3B22">
        <w:tab/>
        <w:t>I.</w:t>
      </w:r>
      <w:r w:rsidRPr="001C3B22">
        <w:tab/>
        <w:t>Introduction</w:t>
      </w:r>
    </w:p>
    <w:p w14:paraId="642810C1" w14:textId="762FB438" w:rsidR="009431CE" w:rsidRPr="001C3B22" w:rsidRDefault="009431CE" w:rsidP="00204C46">
      <w:pPr>
        <w:pStyle w:val="Normalnumber"/>
        <w:numPr>
          <w:ilvl w:val="0"/>
          <w:numId w:val="45"/>
        </w:numPr>
      </w:pPr>
      <w:r w:rsidRPr="001C3B22">
        <w:t xml:space="preserve">Une réflexion </w:t>
      </w:r>
      <w:r w:rsidR="00FB7B6E" w:rsidRPr="001C3B22">
        <w:t xml:space="preserve">a été menée entre 2007 et 2009 pour déterminer quel </w:t>
      </w:r>
      <w:r w:rsidRPr="001C3B22">
        <w:t xml:space="preserve">dispositif </w:t>
      </w:r>
      <w:r w:rsidR="00FB7B6E" w:rsidRPr="001C3B22">
        <w:t xml:space="preserve">serait </w:t>
      </w:r>
      <w:r w:rsidRPr="001C3B22">
        <w:t xml:space="preserve">le </w:t>
      </w:r>
      <w:r w:rsidR="00FB7B6E" w:rsidRPr="001C3B22">
        <w:t xml:space="preserve">plus approprié pour faire face au problème mondial qu’est le </w:t>
      </w:r>
      <w:r w:rsidRPr="001C3B22">
        <w:t xml:space="preserve">mercure, </w:t>
      </w:r>
      <w:r w:rsidR="00FB7B6E" w:rsidRPr="001C3B22">
        <w:t xml:space="preserve">au cours de laquelle </w:t>
      </w:r>
      <w:r w:rsidRPr="001C3B22">
        <w:t>des approches volontaires et juridiquement contraignantes</w:t>
      </w:r>
      <w:r w:rsidR="00FB7B6E" w:rsidRPr="001C3B22">
        <w:t xml:space="preserve"> ont été envisagées</w:t>
      </w:r>
      <w:r w:rsidRPr="001C3B22">
        <w:t xml:space="preserve">. En février 2009, le Conseil d’administration du Programme des Nations Unies pour l’environnement (PNUE) a </w:t>
      </w:r>
      <w:r w:rsidR="00FB7B6E" w:rsidRPr="001C3B22">
        <w:t>prié le</w:t>
      </w:r>
      <w:r w:rsidR="00CF147F">
        <w:t> </w:t>
      </w:r>
      <w:r w:rsidRPr="001C3B22">
        <w:t>Directeur</w:t>
      </w:r>
      <w:r w:rsidR="00CF147F">
        <w:t> </w:t>
      </w:r>
      <w:r w:rsidRPr="001C3B22">
        <w:t xml:space="preserve">exécutif du PNUE de mettre en place un comité de négociation intergouvernemental chargé d’élaborer un instrument international juridiquement contraignant sur le mercure. Le mandat </w:t>
      </w:r>
      <w:r w:rsidR="00FB7B6E" w:rsidRPr="001C3B22">
        <w:t>du C</w:t>
      </w:r>
      <w:r w:rsidRPr="001C3B22">
        <w:t xml:space="preserve">omité, </w:t>
      </w:r>
      <w:r w:rsidR="00FB7B6E" w:rsidRPr="001C3B22">
        <w:t xml:space="preserve">qui est </w:t>
      </w:r>
      <w:r w:rsidRPr="001C3B22">
        <w:t>défini dans la troisième partie de la décision 25/5 du Conseil d’administration, a été réaffirmé par le Conseil dans sa décision 26/3</w:t>
      </w:r>
      <w:r w:rsidR="00FB7B6E" w:rsidRPr="001C3B22">
        <w:t>, du 24 février 2011; des décisions antérieures, en</w:t>
      </w:r>
      <w:r w:rsidR="00CF147F">
        <w:t> </w:t>
      </w:r>
      <w:r w:rsidR="00FB7B6E" w:rsidRPr="001C3B22">
        <w:t xml:space="preserve">l’occurrence les décisions 23/9 et 24/3, avaient posé les jalons du </w:t>
      </w:r>
      <w:r w:rsidRPr="001C3B22">
        <w:t>processus de négociation.</w:t>
      </w:r>
    </w:p>
    <w:p w14:paraId="70179F9E" w14:textId="6854E032" w:rsidR="009431CE" w:rsidRPr="001C3B22" w:rsidRDefault="009431CE" w:rsidP="000A546D">
      <w:pPr>
        <w:pStyle w:val="Normalnumber"/>
        <w:numPr>
          <w:ilvl w:val="0"/>
          <w:numId w:val="45"/>
        </w:numPr>
      </w:pPr>
      <w:r w:rsidRPr="001C3B22">
        <w:t xml:space="preserve">La décision 25/5 proposait que le Comité achève ses travaux avant la vingt-septième session ordinaire du Conseil d’administration, en 2013. </w:t>
      </w:r>
      <w:r w:rsidR="00FB7B6E" w:rsidRPr="001C3B22">
        <w:t>Dans le cadre de</w:t>
      </w:r>
      <w:r w:rsidRPr="001C3B22">
        <w:t xml:space="preserve"> ce mandat, le Comité de négociation intergouvernemental </w:t>
      </w:r>
      <w:r w:rsidR="00FB7B6E" w:rsidRPr="001C3B22">
        <w:t xml:space="preserve">a tenu </w:t>
      </w:r>
      <w:r w:rsidRPr="001C3B22">
        <w:t xml:space="preserve">cinq sessions. </w:t>
      </w:r>
      <w:r w:rsidR="00FB7B6E" w:rsidRPr="001C3B22">
        <w:t xml:space="preserve">À </w:t>
      </w:r>
      <w:r w:rsidRPr="001C3B22">
        <w:t xml:space="preserve">sa cinquième session, le Comité </w:t>
      </w:r>
      <w:r w:rsidR="00FB7B6E" w:rsidRPr="001C3B22">
        <w:t>s’</w:t>
      </w:r>
      <w:r w:rsidRPr="001C3B22">
        <w:t>est accord</w:t>
      </w:r>
      <w:r w:rsidR="00FB7B6E" w:rsidRPr="001C3B22">
        <w:t>é</w:t>
      </w:r>
      <w:r w:rsidRPr="001C3B22">
        <w:t xml:space="preserve"> sur </w:t>
      </w:r>
      <w:r w:rsidR="00FB7B6E" w:rsidRPr="001C3B22">
        <w:t>le projet final</w:t>
      </w:r>
      <w:r w:rsidRPr="001C3B22">
        <w:t xml:space="preserve"> de </w:t>
      </w:r>
      <w:r w:rsidR="00FB7B6E" w:rsidRPr="001C3B22">
        <w:t xml:space="preserve">texte de </w:t>
      </w:r>
      <w:r w:rsidRPr="001C3B22">
        <w:t xml:space="preserve">la Convention de Minamata sur le mercure, </w:t>
      </w:r>
      <w:r w:rsidR="00FB7B6E" w:rsidRPr="001C3B22">
        <w:t xml:space="preserve">laquelle </w:t>
      </w:r>
      <w:r w:rsidRPr="001C3B22">
        <w:t xml:space="preserve">a été adoptée et ouverte à la signature à l’occasion d’une conférence diplomatique organisée à Kumamoto </w:t>
      </w:r>
      <w:r w:rsidR="00FB7B6E" w:rsidRPr="001C3B22">
        <w:t>(</w:t>
      </w:r>
      <w:r w:rsidRPr="001C3B22">
        <w:t>Japon</w:t>
      </w:r>
      <w:r w:rsidR="00FB7B6E" w:rsidRPr="001C3B22">
        <w:t>) en octobre </w:t>
      </w:r>
      <w:r w:rsidRPr="001C3B22">
        <w:t xml:space="preserve">2013. Le Comité s’est ensuite réuni à deux autres reprises, à Bangkok en novembre 2014 et au bord de la </w:t>
      </w:r>
      <w:r w:rsidR="00FB7B6E" w:rsidRPr="001C3B22">
        <w:t>m</w:t>
      </w:r>
      <w:r w:rsidRPr="001C3B22">
        <w:t xml:space="preserve">er Morte, en Jordanie, en mars 2016, afin de faciliter l’entrée en vigueur rapide de la Convention et </w:t>
      </w:r>
      <w:r w:rsidR="009D6B7E" w:rsidRPr="001C3B22">
        <w:t>son application effective</w:t>
      </w:r>
      <w:r w:rsidRPr="001C3B22">
        <w:t xml:space="preserve"> dès </w:t>
      </w:r>
      <w:r w:rsidR="00FB7B6E" w:rsidRPr="001C3B22">
        <w:t>son</w:t>
      </w:r>
      <w:r w:rsidRPr="001C3B22">
        <w:t xml:space="preserve"> entrée en vigueur.</w:t>
      </w:r>
    </w:p>
    <w:p w14:paraId="555352A1" w14:textId="09282E5C" w:rsidR="009431CE" w:rsidRPr="001C3B22" w:rsidRDefault="00275E4A" w:rsidP="000E0D33">
      <w:pPr>
        <w:pStyle w:val="CH1"/>
      </w:pPr>
      <w:r w:rsidRPr="001C3B22">
        <w:tab/>
        <w:t>II.</w:t>
      </w:r>
      <w:r w:rsidRPr="001C3B22">
        <w:tab/>
        <w:t>Élaboration d’un instrument ju</w:t>
      </w:r>
      <w:r w:rsidR="00D43995" w:rsidRPr="001C3B22">
        <w:t>ridiquement contraignant sur le </w:t>
      </w:r>
      <w:r w:rsidRPr="001C3B22">
        <w:t>mercure</w:t>
      </w:r>
    </w:p>
    <w:p w14:paraId="7895C96B" w14:textId="4928F06B" w:rsidR="009431CE" w:rsidRPr="001C3B22" w:rsidRDefault="009431CE" w:rsidP="000A546D">
      <w:pPr>
        <w:pStyle w:val="Normalnumber"/>
        <w:numPr>
          <w:ilvl w:val="0"/>
          <w:numId w:val="45"/>
        </w:numPr>
      </w:pPr>
      <w:r w:rsidRPr="001C3B22">
        <w:t xml:space="preserve">La première session du Comité, qui s’est tenue à Stockholm du 7 au 11 juin 2010, a </w:t>
      </w:r>
      <w:r w:rsidR="00FB7B6E" w:rsidRPr="001C3B22">
        <w:t>marqué l’ouverture officielle d</w:t>
      </w:r>
      <w:r w:rsidRPr="001C3B22">
        <w:t>es négociations</w:t>
      </w:r>
      <w:r w:rsidR="00FB7B6E" w:rsidRPr="001C3B22">
        <w:t xml:space="preserve">. À cette occasion, le </w:t>
      </w:r>
      <w:r w:rsidRPr="001C3B22">
        <w:t xml:space="preserve">règlement intérieur </w:t>
      </w:r>
      <w:r w:rsidR="00FB7B6E" w:rsidRPr="001C3B22">
        <w:t xml:space="preserve">a été adopté </w:t>
      </w:r>
      <w:r w:rsidRPr="001C3B22">
        <w:t xml:space="preserve">et son Président, </w:t>
      </w:r>
      <w:r w:rsidR="00FB7B6E" w:rsidRPr="001C3B22">
        <w:t xml:space="preserve">M. Fernando </w:t>
      </w:r>
      <w:proofErr w:type="spellStart"/>
      <w:r w:rsidR="00FB7B6E" w:rsidRPr="001C3B22">
        <w:t>Lugris</w:t>
      </w:r>
      <w:proofErr w:type="spellEnd"/>
      <w:r w:rsidR="00FB7B6E" w:rsidRPr="001C3B22">
        <w:t xml:space="preserve"> (Uruguay)</w:t>
      </w:r>
      <w:r w:rsidRPr="001C3B22">
        <w:t xml:space="preserve"> et neuf vice-présidents, qui constituent le Bureau du Comité</w:t>
      </w:r>
      <w:r w:rsidR="00FB7B6E" w:rsidRPr="001C3B22">
        <w:t>, ont été élus</w:t>
      </w:r>
      <w:r w:rsidRPr="001C3B22">
        <w:t xml:space="preserve">. Les représentants ont ensuite eu la possibilité de présenter leur point de vue sur chacune des dispositions mentionnées dans le </w:t>
      </w:r>
      <w:r w:rsidR="00913F28" w:rsidRPr="001C3B22">
        <w:t xml:space="preserve">cadre </w:t>
      </w:r>
      <w:r w:rsidRPr="001C3B22">
        <w:t xml:space="preserve">de négociation. En conclusion, le Comité a </w:t>
      </w:r>
      <w:r w:rsidR="00913F28" w:rsidRPr="001C3B22">
        <w:t xml:space="preserve">prié le </w:t>
      </w:r>
      <w:r w:rsidRPr="001C3B22">
        <w:t xml:space="preserve">secrétariat </w:t>
      </w:r>
      <w:r w:rsidR="00913F28" w:rsidRPr="001C3B22">
        <w:t xml:space="preserve">d’élaborer </w:t>
      </w:r>
      <w:r w:rsidRPr="001C3B22">
        <w:t>des documents supplémentaires afin d’alimenter les débats de sa</w:t>
      </w:r>
      <w:r w:rsidR="00CF147F">
        <w:t> </w:t>
      </w:r>
      <w:r w:rsidRPr="001C3B22">
        <w:t>deuxième</w:t>
      </w:r>
      <w:r w:rsidR="00CF147F">
        <w:t> </w:t>
      </w:r>
      <w:r w:rsidRPr="001C3B22">
        <w:t xml:space="preserve">session, notamment un document </w:t>
      </w:r>
      <w:r w:rsidR="00A26E48" w:rsidRPr="001C3B22">
        <w:t xml:space="preserve">proposant </w:t>
      </w:r>
      <w:r w:rsidRPr="001C3B22">
        <w:t xml:space="preserve">des éléments </w:t>
      </w:r>
      <w:r w:rsidR="00A26E48" w:rsidRPr="001C3B22">
        <w:t xml:space="preserve">pouvant être inclus dans </w:t>
      </w:r>
      <w:r w:rsidRPr="001C3B22">
        <w:t xml:space="preserve">l’approche </w:t>
      </w:r>
      <w:r w:rsidR="00A26E48" w:rsidRPr="001C3B22">
        <w:t xml:space="preserve">complète et appropriée </w:t>
      </w:r>
      <w:r w:rsidRPr="001C3B22">
        <w:t xml:space="preserve">de la question du mercure </w:t>
      </w:r>
      <w:r w:rsidR="00A26E48" w:rsidRPr="001C3B22">
        <w:t xml:space="preserve">préconisée </w:t>
      </w:r>
      <w:r w:rsidRPr="001C3B22">
        <w:t xml:space="preserve">dans la décision 25/5. </w:t>
      </w:r>
    </w:p>
    <w:p w14:paraId="255D1365" w14:textId="72260FA2" w:rsidR="009431CE" w:rsidRPr="001C3B22" w:rsidRDefault="00A26E48">
      <w:pPr>
        <w:pStyle w:val="Normalnumber"/>
        <w:numPr>
          <w:ilvl w:val="0"/>
          <w:numId w:val="45"/>
        </w:numPr>
      </w:pPr>
      <w:r w:rsidRPr="001C3B22">
        <w:t>À</w:t>
      </w:r>
      <w:r w:rsidR="009431CE" w:rsidRPr="001C3B22">
        <w:t xml:space="preserve"> ses deuxième, troisième et quatrième sessions, qui se sont déroulées à Chiba (Japon) du</w:t>
      </w:r>
      <w:r w:rsidR="00CF147F">
        <w:t> </w:t>
      </w:r>
      <w:r w:rsidR="009431CE" w:rsidRPr="001C3B22">
        <w:t>24</w:t>
      </w:r>
      <w:r w:rsidR="00CF147F">
        <w:t> </w:t>
      </w:r>
      <w:r w:rsidR="009431CE" w:rsidRPr="001C3B22">
        <w:t xml:space="preserve">au 28 janvier 2011, à Nairobi du 31 octobre au 4 novembre 2011 et à </w:t>
      </w:r>
      <w:proofErr w:type="spellStart"/>
      <w:r w:rsidR="009431CE" w:rsidRPr="001C3B22">
        <w:t>Punta</w:t>
      </w:r>
      <w:proofErr w:type="spellEnd"/>
      <w:r w:rsidR="009431CE" w:rsidRPr="001C3B22">
        <w:t xml:space="preserve"> </w:t>
      </w:r>
      <w:proofErr w:type="spellStart"/>
      <w:r w:rsidR="009431CE" w:rsidRPr="001C3B22">
        <w:t>del</w:t>
      </w:r>
      <w:proofErr w:type="spellEnd"/>
      <w:r w:rsidR="009431CE" w:rsidRPr="001C3B22">
        <w:t xml:space="preserve"> Este (Uruguay) du 27 juin au 2 juillet 2012, le Comité a examiné en détail les versions successives des éléments proposés et du projet de texte pour une approche </w:t>
      </w:r>
      <w:r w:rsidRPr="001C3B22">
        <w:t xml:space="preserve">complète et appropriée </w:t>
      </w:r>
      <w:r w:rsidR="009431CE" w:rsidRPr="001C3B22">
        <w:t xml:space="preserve">visant à mettre en place un instrument international juridiquement contraignant sur le mercure (voir UNEP(DTIE)/Hg/INC.2/3, UNEP(DTIE)/Hg/INC.3/3 et UNEP(DTIE)/Hg/INC.4/3) </w:t>
      </w:r>
      <w:r w:rsidRPr="001C3B22">
        <w:t>établis</w:t>
      </w:r>
      <w:r w:rsidR="009431CE" w:rsidRPr="001C3B22">
        <w:t xml:space="preserve"> par le secrétariat pour chaque session </w:t>
      </w:r>
      <w:r w:rsidRPr="001C3B22">
        <w:t xml:space="preserve">à la lumière </w:t>
      </w:r>
      <w:r w:rsidR="009431CE" w:rsidRPr="001C3B22">
        <w:t xml:space="preserve">des </w:t>
      </w:r>
      <w:r w:rsidRPr="001C3B22">
        <w:t xml:space="preserve">observations </w:t>
      </w:r>
      <w:r w:rsidR="009431CE" w:rsidRPr="001C3B22">
        <w:t>exprimé</w:t>
      </w:r>
      <w:r w:rsidRPr="001C3B22">
        <w:t>e</w:t>
      </w:r>
      <w:r w:rsidR="009431CE" w:rsidRPr="001C3B22">
        <w:t xml:space="preserve">s au cours des </w:t>
      </w:r>
      <w:r w:rsidRPr="001C3B22">
        <w:t xml:space="preserve">débats </w:t>
      </w:r>
      <w:r w:rsidR="009431CE" w:rsidRPr="001C3B22">
        <w:t>et soumis</w:t>
      </w:r>
      <w:r w:rsidRPr="001C3B22">
        <w:t>es</w:t>
      </w:r>
      <w:r w:rsidR="009431CE" w:rsidRPr="001C3B22">
        <w:t xml:space="preserve"> par écrit. Le Comité a clôturé sa quatrième session en </w:t>
      </w:r>
      <w:r w:rsidRPr="001C3B22">
        <w:t xml:space="preserve">priant le </w:t>
      </w:r>
      <w:r w:rsidR="009431CE" w:rsidRPr="001C3B22">
        <w:t xml:space="preserve">Président d’élaborer, en vue de sa cinquième session, un projet de texte </w:t>
      </w:r>
      <w:r w:rsidRPr="001C3B22">
        <w:t>de la présidence</w:t>
      </w:r>
      <w:r w:rsidR="009431CE" w:rsidRPr="001C3B22">
        <w:t xml:space="preserve">, à savoir une version du projet d’instrument sur le mercure dans laquelle </w:t>
      </w:r>
      <w:r w:rsidRPr="001C3B22">
        <w:t xml:space="preserve">figurerait </w:t>
      </w:r>
      <w:r w:rsidR="009431CE" w:rsidRPr="001C3B22">
        <w:t xml:space="preserve">un texte de compromis </w:t>
      </w:r>
      <w:r w:rsidR="00E71961" w:rsidRPr="001C3B22">
        <w:t xml:space="preserve">tendant à concilier </w:t>
      </w:r>
      <w:r w:rsidR="009431CE" w:rsidRPr="001C3B22">
        <w:t xml:space="preserve">les diverses positions adoptées par les </w:t>
      </w:r>
      <w:r w:rsidR="00E71961" w:rsidRPr="001C3B22">
        <w:t>P</w:t>
      </w:r>
      <w:r w:rsidR="009431CE" w:rsidRPr="001C3B22">
        <w:t xml:space="preserve">arties. </w:t>
      </w:r>
      <w:r w:rsidR="00E71961" w:rsidRPr="001C3B22">
        <w:t>À</w:t>
      </w:r>
      <w:r w:rsidR="00CF147F">
        <w:t> </w:t>
      </w:r>
      <w:r w:rsidR="00E71961" w:rsidRPr="001C3B22">
        <w:t xml:space="preserve">la </w:t>
      </w:r>
      <w:r w:rsidR="009431CE" w:rsidRPr="001C3B22">
        <w:t xml:space="preserve">même session, le Comité a chargé le secrétariat </w:t>
      </w:r>
      <w:r w:rsidR="00E71961" w:rsidRPr="001C3B22">
        <w:t xml:space="preserve">d’élaborer </w:t>
      </w:r>
      <w:r w:rsidR="009431CE" w:rsidRPr="001C3B22">
        <w:t xml:space="preserve">des propositions d’éléments pour l’Acte final devant être adopté </w:t>
      </w:r>
      <w:r w:rsidR="00E71961" w:rsidRPr="001C3B22">
        <w:t xml:space="preserve">à </w:t>
      </w:r>
      <w:r w:rsidR="009431CE" w:rsidRPr="001C3B22">
        <w:t>la Conférence de plénipotentiaires durant laquelle la Convention sera</w:t>
      </w:r>
      <w:r w:rsidR="00E71961" w:rsidRPr="001C3B22">
        <w:t>it</w:t>
      </w:r>
      <w:r w:rsidR="009431CE" w:rsidRPr="001C3B22">
        <w:t xml:space="preserve"> adoptée et ouverte à la signature. Ces éléments devaient porter, entre autres, sur </w:t>
      </w:r>
      <w:r w:rsidR="00E71961" w:rsidRPr="001C3B22">
        <w:t xml:space="preserve">les moyens </w:t>
      </w:r>
      <w:r w:rsidR="009431CE" w:rsidRPr="001C3B22">
        <w:t xml:space="preserve">de favoriser et de préparer la mise en œuvre rapide de l’instrument sur le mercure, sur les </w:t>
      </w:r>
      <w:r w:rsidR="00E71961" w:rsidRPr="001C3B22">
        <w:t xml:space="preserve">dispositions concernant </w:t>
      </w:r>
      <w:r w:rsidR="009431CE" w:rsidRPr="001C3B22">
        <w:t xml:space="preserve">la période </w:t>
      </w:r>
      <w:r w:rsidR="00E71961" w:rsidRPr="001C3B22">
        <w:t xml:space="preserve">courant </w:t>
      </w:r>
      <w:r w:rsidR="009431CE" w:rsidRPr="001C3B22">
        <w:t xml:space="preserve">entre la signature de l’instrument et son entrée en vigueur, notamment les modalités d’assistance financière et technique au cours de cette période, et sur les </w:t>
      </w:r>
      <w:r w:rsidR="00E71961" w:rsidRPr="001C3B22">
        <w:t xml:space="preserve">dispositions </w:t>
      </w:r>
      <w:r w:rsidR="009431CE" w:rsidRPr="001C3B22">
        <w:t xml:space="preserve">concernant le secrétariat. </w:t>
      </w:r>
    </w:p>
    <w:p w14:paraId="7EBDD78A" w14:textId="73177D5A" w:rsidR="009431CE" w:rsidRPr="001C3B22" w:rsidRDefault="00E71961" w:rsidP="00D43995">
      <w:pPr>
        <w:pStyle w:val="Normalnumber"/>
        <w:keepNext/>
        <w:keepLines/>
        <w:numPr>
          <w:ilvl w:val="0"/>
          <w:numId w:val="45"/>
        </w:numPr>
      </w:pPr>
      <w:r w:rsidRPr="001C3B22">
        <w:lastRenderedPageBreak/>
        <w:t xml:space="preserve">À </w:t>
      </w:r>
      <w:r w:rsidR="00136E25" w:rsidRPr="001C3B22">
        <w:t xml:space="preserve">sa cinquième session, </w:t>
      </w:r>
      <w:r w:rsidRPr="001C3B22">
        <w:t xml:space="preserve">tenue </w:t>
      </w:r>
      <w:r w:rsidR="00136E25" w:rsidRPr="001C3B22">
        <w:t xml:space="preserve">à Genève du 13 au 18 janvier 2013, le Comité a utilisé le projet de texte </w:t>
      </w:r>
      <w:r w:rsidRPr="001C3B22">
        <w:t xml:space="preserve">de la présidence </w:t>
      </w:r>
      <w:r w:rsidR="00136E25" w:rsidRPr="001C3B22">
        <w:t xml:space="preserve">(voir UNEP(DTIE)/Hg/INC.5/3) </w:t>
      </w:r>
      <w:r w:rsidRPr="001C3B22">
        <w:t>pour orienter les débats</w:t>
      </w:r>
      <w:r w:rsidR="00136E25" w:rsidRPr="001C3B22">
        <w:t xml:space="preserve">. Ce texte, qui comblait plusieurs lacunes, a permis de progresser rapidement dans certains domaines et d’aboutir, après de longues heures de négociation, à un accord sur le texte relatif à un instrument international juridiquement contraignant sur le mercure, donnant ainsi naissance à la Convention de Minamata sur le mercure. Le Comité a également </w:t>
      </w:r>
      <w:r w:rsidRPr="001C3B22">
        <w:t xml:space="preserve">prié le </w:t>
      </w:r>
      <w:r w:rsidR="00136E25" w:rsidRPr="001C3B22">
        <w:t xml:space="preserve">secrétariat de mettre à jour les éléments du projet d’Acte final qu’il avait </w:t>
      </w:r>
      <w:r w:rsidRPr="001C3B22">
        <w:t xml:space="preserve">établi </w:t>
      </w:r>
      <w:r w:rsidR="00136E25" w:rsidRPr="001C3B22">
        <w:t xml:space="preserve">à la suite de la quatrième session (voir UNEP(DTIE)/Hg/INC.5/6). </w:t>
      </w:r>
    </w:p>
    <w:p w14:paraId="5402BEC5" w14:textId="09698DD2" w:rsidR="009431CE" w:rsidRPr="001C3B22" w:rsidRDefault="00816C40" w:rsidP="00275E4A">
      <w:pPr>
        <w:pStyle w:val="Normalnumber"/>
        <w:keepNext/>
        <w:keepLines/>
        <w:numPr>
          <w:ilvl w:val="0"/>
          <w:numId w:val="45"/>
        </w:numPr>
      </w:pPr>
      <w:r w:rsidRPr="001C3B22">
        <w:t>Pendant les</w:t>
      </w:r>
      <w:r w:rsidR="009431CE" w:rsidRPr="001C3B22">
        <w:t xml:space="preserve"> sessions</w:t>
      </w:r>
      <w:r w:rsidRPr="001C3B22">
        <w:t>, le</w:t>
      </w:r>
      <w:r w:rsidR="009431CE" w:rsidRPr="001C3B22">
        <w:t xml:space="preserve"> Comité</w:t>
      </w:r>
      <w:r w:rsidRPr="001C3B22">
        <w:t xml:space="preserve"> a mené s</w:t>
      </w:r>
      <w:r w:rsidR="009431CE" w:rsidRPr="001C3B22">
        <w:t xml:space="preserve">es travaux </w:t>
      </w:r>
      <w:r w:rsidRPr="001C3B22">
        <w:t xml:space="preserve">en </w:t>
      </w:r>
      <w:r w:rsidR="009431CE" w:rsidRPr="001C3B22">
        <w:t>plénière et dans des cadres plus restreints, notamment au sein de groupes de contacts, de rédaction et d’autres types de groupes. Un</w:t>
      </w:r>
      <w:r w:rsidR="00CF147F">
        <w:t> </w:t>
      </w:r>
      <w:r w:rsidR="009431CE" w:rsidRPr="001C3B22">
        <w:t xml:space="preserve">groupe juridique a été </w:t>
      </w:r>
      <w:r w:rsidRPr="001C3B22">
        <w:t xml:space="preserve">créé à </w:t>
      </w:r>
      <w:r w:rsidR="009431CE" w:rsidRPr="001C3B22">
        <w:t xml:space="preserve">la deuxième session du Comité, sous la présidence de </w:t>
      </w:r>
      <w:r w:rsidRPr="001C3B22">
        <w:t>Mme Susan </w:t>
      </w:r>
      <w:proofErr w:type="spellStart"/>
      <w:r w:rsidR="009431CE" w:rsidRPr="001C3B22">
        <w:t>Biniaz</w:t>
      </w:r>
      <w:proofErr w:type="spellEnd"/>
      <w:r w:rsidR="009431CE" w:rsidRPr="001C3B22">
        <w:t xml:space="preserve"> (États-Unis d’Amérique), afin d’examiner les éléments </w:t>
      </w:r>
      <w:r w:rsidRPr="001C3B22">
        <w:t>ayant fait l’objet d’</w:t>
      </w:r>
      <w:r w:rsidR="009431CE" w:rsidRPr="001C3B22">
        <w:t xml:space="preserve">un accord de fond </w:t>
      </w:r>
      <w:r w:rsidRPr="001C3B22">
        <w:t xml:space="preserve">et </w:t>
      </w:r>
      <w:r w:rsidR="009431CE" w:rsidRPr="001C3B22">
        <w:t>de s’assurer que le texte des différents éléments</w:t>
      </w:r>
      <w:r w:rsidRPr="001C3B22">
        <w:t xml:space="preserve"> et leur effet conjugué </w:t>
      </w:r>
      <w:r w:rsidR="009431CE" w:rsidRPr="001C3B22">
        <w:t>reflètent les</w:t>
      </w:r>
      <w:r w:rsidR="00CF147F">
        <w:t> </w:t>
      </w:r>
      <w:r w:rsidR="009431CE" w:rsidRPr="001C3B22">
        <w:t>intentions du Comité de manière rigoureuse du point de vue juridique</w:t>
      </w:r>
      <w:r w:rsidRPr="001C3B22">
        <w:t xml:space="preserve"> et leur donnent effet</w:t>
      </w:r>
      <w:r w:rsidR="009431CE" w:rsidRPr="001C3B22">
        <w:t xml:space="preserve">, mettant en lumière les ambiguïtés ou conflits potentiels devant être réexaminés par le Comité. Avant et pendant la cinquième session du Comité, le groupe juridique a élaboré un projet de dispositions pour l’instrument sur la base des </w:t>
      </w:r>
      <w:r w:rsidRPr="001C3B22">
        <w:t xml:space="preserve">stratégies approuvées </w:t>
      </w:r>
      <w:r w:rsidR="009431CE" w:rsidRPr="001C3B22">
        <w:t xml:space="preserve">par le Comité, examiné le projet de dispositions </w:t>
      </w:r>
      <w:r w:rsidRPr="001C3B22">
        <w:t xml:space="preserve">établi </w:t>
      </w:r>
      <w:r w:rsidR="009431CE" w:rsidRPr="001C3B22">
        <w:t xml:space="preserve">par le Comité et les autres groupes, </w:t>
      </w:r>
      <w:r w:rsidRPr="001C3B22">
        <w:t xml:space="preserve">analysé les </w:t>
      </w:r>
      <w:r w:rsidR="009431CE" w:rsidRPr="001C3B22">
        <w:t>différentes dispositions proposées</w:t>
      </w:r>
      <w:r w:rsidRPr="001C3B22">
        <w:t xml:space="preserve"> du point de vue de la cohérence</w:t>
      </w:r>
      <w:r w:rsidR="009431CE" w:rsidRPr="001C3B22">
        <w:t xml:space="preserve">, les harmonisant si nécessaire, et enfin </w:t>
      </w:r>
      <w:r w:rsidRPr="001C3B22">
        <w:t xml:space="preserve">donné au </w:t>
      </w:r>
      <w:r w:rsidR="009431CE" w:rsidRPr="001C3B22">
        <w:t xml:space="preserve">Comité ou </w:t>
      </w:r>
      <w:r w:rsidRPr="001C3B22">
        <w:t xml:space="preserve">aux </w:t>
      </w:r>
      <w:r w:rsidR="009431CE" w:rsidRPr="001C3B22">
        <w:t xml:space="preserve">autres groupes </w:t>
      </w:r>
      <w:r w:rsidRPr="001C3B22">
        <w:t xml:space="preserve">des conseils concernant </w:t>
      </w:r>
      <w:r w:rsidR="009431CE" w:rsidRPr="001C3B22">
        <w:t xml:space="preserve">les éventuelles questions d’ordre juridique. </w:t>
      </w:r>
      <w:r w:rsidRPr="001C3B22">
        <w:t xml:space="preserve">À </w:t>
      </w:r>
      <w:r w:rsidR="009431CE" w:rsidRPr="001C3B22">
        <w:t xml:space="preserve">la cinquième session du Comité, le groupe juridique a examiné l’ensemble des textes </w:t>
      </w:r>
      <w:r w:rsidRPr="001C3B22">
        <w:t xml:space="preserve">établis </w:t>
      </w:r>
      <w:r w:rsidR="009431CE" w:rsidRPr="001C3B22">
        <w:t xml:space="preserve">par les groupes de contacts et </w:t>
      </w:r>
      <w:r w:rsidRPr="001C3B22">
        <w:t xml:space="preserve">communiqué </w:t>
      </w:r>
      <w:r w:rsidR="009431CE" w:rsidRPr="001C3B22">
        <w:t xml:space="preserve">des observations </w:t>
      </w:r>
      <w:r w:rsidRPr="001C3B22">
        <w:t xml:space="preserve">d’ordre </w:t>
      </w:r>
      <w:r w:rsidR="009431CE" w:rsidRPr="001C3B22">
        <w:t xml:space="preserve">juridique avant de les transmettre au Comité pour adoption. </w:t>
      </w:r>
    </w:p>
    <w:p w14:paraId="085D6C4D" w14:textId="1C4132DB" w:rsidR="009431CE" w:rsidRPr="001C3B22" w:rsidRDefault="009431CE" w:rsidP="00CF147F">
      <w:pPr>
        <w:pStyle w:val="Normalnumber"/>
        <w:numPr>
          <w:ilvl w:val="0"/>
          <w:numId w:val="45"/>
        </w:numPr>
        <w:spacing w:after="60"/>
        <w:ind w:left="1253"/>
      </w:pPr>
      <w:r w:rsidRPr="001C3B22">
        <w:t xml:space="preserve">Par ailleurs, </w:t>
      </w:r>
      <w:r w:rsidR="00816C40" w:rsidRPr="001C3B22">
        <w:t xml:space="preserve">un volume considérable de travail </w:t>
      </w:r>
      <w:r w:rsidRPr="001C3B22">
        <w:t xml:space="preserve">intersessions </w:t>
      </w:r>
      <w:r w:rsidR="00816C40" w:rsidRPr="001C3B22">
        <w:t>a été accompli</w:t>
      </w:r>
      <w:r w:rsidRPr="001C3B22">
        <w:t xml:space="preserve"> entre la première et la cinquième session. Les gouvernements ont été invités à </w:t>
      </w:r>
      <w:r w:rsidR="00816C40" w:rsidRPr="001C3B22">
        <w:t xml:space="preserve">faire part de leurs observations par écrit </w:t>
      </w:r>
      <w:r w:rsidRPr="001C3B22">
        <w:t>et à participer à plusieurs consultations régionales et autres consultations. Une réunion d’experts intersession</w:t>
      </w:r>
      <w:r w:rsidR="004A577C" w:rsidRPr="001C3B22">
        <w:t>s</w:t>
      </w:r>
      <w:r w:rsidRPr="001C3B22">
        <w:t xml:space="preserve"> consacrée aux ressources financières et à l’assistance technique et à la mise en œuvre a été organisée lors de la troisième session, sous la présidence d</w:t>
      </w:r>
      <w:r w:rsidR="004A577C" w:rsidRPr="001C3B22">
        <w:t>e M. </w:t>
      </w:r>
      <w:proofErr w:type="spellStart"/>
      <w:r w:rsidRPr="001C3B22">
        <w:t>Adel</w:t>
      </w:r>
      <w:proofErr w:type="spellEnd"/>
      <w:r w:rsidRPr="001C3B22">
        <w:t xml:space="preserve"> </w:t>
      </w:r>
      <w:proofErr w:type="spellStart"/>
      <w:r w:rsidRPr="001C3B22">
        <w:t>Shafei</w:t>
      </w:r>
      <w:proofErr w:type="spellEnd"/>
      <w:r w:rsidRPr="001C3B22">
        <w:t xml:space="preserve"> Osman (Égypte) et de </w:t>
      </w:r>
      <w:r w:rsidR="004A577C" w:rsidRPr="001C3B22">
        <w:t>Mme </w:t>
      </w:r>
      <w:r w:rsidRPr="001C3B22">
        <w:t xml:space="preserve">Johanna </w:t>
      </w:r>
      <w:proofErr w:type="spellStart"/>
      <w:r w:rsidRPr="001C3B22">
        <w:t>Lissinger</w:t>
      </w:r>
      <w:proofErr w:type="spellEnd"/>
      <w:r w:rsidRPr="001C3B22">
        <w:t xml:space="preserve"> </w:t>
      </w:r>
      <w:proofErr w:type="spellStart"/>
      <w:r w:rsidRPr="001C3B22">
        <w:t>Peitz</w:t>
      </w:r>
      <w:proofErr w:type="spellEnd"/>
      <w:r w:rsidRPr="001C3B22">
        <w:t xml:space="preserve"> (Suède). Un grand nombre de documents ont également été mis à disposition pour étayer les débats du Comité</w:t>
      </w:r>
      <w:r w:rsidR="004A577C" w:rsidRPr="001C3B22">
        <w:t> :</w:t>
      </w:r>
      <w:r w:rsidRPr="001C3B22">
        <w:t xml:space="preserve"> au total</w:t>
      </w:r>
      <w:r w:rsidR="004A577C" w:rsidRPr="001C3B22">
        <w:t>,</w:t>
      </w:r>
      <w:r w:rsidRPr="001C3B22">
        <w:t xml:space="preserve"> 64 documents </w:t>
      </w:r>
      <w:r w:rsidR="004A577C" w:rsidRPr="001C3B22">
        <w:t>de séance</w:t>
      </w:r>
      <w:r w:rsidRPr="001C3B22">
        <w:t xml:space="preserve"> et 29 documents d’information </w:t>
      </w:r>
      <w:r w:rsidR="004A577C" w:rsidRPr="001C3B22">
        <w:t xml:space="preserve">ont été publiés </w:t>
      </w:r>
      <w:r w:rsidRPr="001C3B22">
        <w:t xml:space="preserve">entre la première et la cinquième session. </w:t>
      </w:r>
    </w:p>
    <w:p w14:paraId="03108C8F" w14:textId="646E5280" w:rsidR="009431CE" w:rsidRPr="001C3B22" w:rsidRDefault="00275E4A" w:rsidP="00CF147F">
      <w:pPr>
        <w:pStyle w:val="CH1"/>
        <w:spacing w:after="60"/>
        <w:ind w:left="1253"/>
      </w:pPr>
      <w:r w:rsidRPr="001C3B22">
        <w:tab/>
        <w:t>III.</w:t>
      </w:r>
      <w:r w:rsidRPr="001C3B22">
        <w:tab/>
        <w:t>Adoption et ouverture à l</w:t>
      </w:r>
      <w:r w:rsidR="000E0D33" w:rsidRPr="001C3B22">
        <w:t>a signature de la Convention de </w:t>
      </w:r>
      <w:r w:rsidRPr="001C3B22">
        <w:t xml:space="preserve">Minamata et de l’Acte final </w:t>
      </w:r>
    </w:p>
    <w:p w14:paraId="2CED0179" w14:textId="3EFE0E39" w:rsidR="009431CE" w:rsidRPr="001C3B22" w:rsidRDefault="009431CE" w:rsidP="00CF147F">
      <w:pPr>
        <w:pStyle w:val="Normalnumber"/>
        <w:numPr>
          <w:ilvl w:val="0"/>
          <w:numId w:val="45"/>
        </w:numPr>
        <w:spacing w:after="60"/>
        <w:ind w:left="1253"/>
      </w:pPr>
      <w:r w:rsidRPr="001C3B22">
        <w:t xml:space="preserve">La Conférence de plénipotentiaires </w:t>
      </w:r>
      <w:r w:rsidR="004A577C" w:rsidRPr="001C3B22">
        <w:t xml:space="preserve">relative à </w:t>
      </w:r>
      <w:r w:rsidRPr="001C3B22">
        <w:t xml:space="preserve">la Convention de Minamata s’est </w:t>
      </w:r>
      <w:r w:rsidR="004A577C" w:rsidRPr="001C3B22">
        <w:t>déroulée</w:t>
      </w:r>
      <w:r w:rsidRPr="001C3B22">
        <w:t xml:space="preserve"> à Kumamoto </w:t>
      </w:r>
      <w:r w:rsidR="004A577C" w:rsidRPr="001C3B22">
        <w:t>(</w:t>
      </w:r>
      <w:r w:rsidRPr="001C3B22">
        <w:t>Japon</w:t>
      </w:r>
      <w:r w:rsidR="004A577C" w:rsidRPr="001C3B22">
        <w:t>)</w:t>
      </w:r>
      <w:r w:rsidRPr="001C3B22">
        <w:t xml:space="preserve"> les 10 et 11 octobre 2013, après une cérémonie d’ouverture organisée le 9 octobre à Minamata et une réunion préparatoire</w:t>
      </w:r>
      <w:r w:rsidR="004A577C" w:rsidRPr="001C3B22">
        <w:t xml:space="preserve"> tenue</w:t>
      </w:r>
      <w:r w:rsidRPr="001C3B22">
        <w:t xml:space="preserve"> les 7 et 8 octobre à Kumamoto. La Conférence a adopté le texte de la Convention ainsi que l’Acte final et ses résolutions</w:t>
      </w:r>
      <w:r w:rsidR="00BB13B4">
        <w:t xml:space="preserve">. La Convention et l’Acte final </w:t>
      </w:r>
      <w:r w:rsidRPr="001C3B22">
        <w:t xml:space="preserve">ont ensuite été ouverts à la signature. </w:t>
      </w:r>
      <w:r w:rsidR="004A577C" w:rsidRPr="001C3B22">
        <w:t xml:space="preserve">En tout, </w:t>
      </w:r>
      <w:r w:rsidRPr="001C3B22">
        <w:t xml:space="preserve">92 États et </w:t>
      </w:r>
      <w:r w:rsidR="004A577C" w:rsidRPr="001C3B22">
        <w:t>1</w:t>
      </w:r>
      <w:r w:rsidRPr="001C3B22">
        <w:t xml:space="preserve"> organisation régionale d’intégration économique ont signé la Convention et 112 États et </w:t>
      </w:r>
      <w:r w:rsidR="004A577C" w:rsidRPr="001C3B22">
        <w:t>1</w:t>
      </w:r>
      <w:r w:rsidRPr="001C3B22">
        <w:t xml:space="preserve"> organisation régionale d’intégration économique ont signé l’Acte final au cours de la Conférence. </w:t>
      </w:r>
    </w:p>
    <w:p w14:paraId="1B5E494A" w14:textId="7A00ABC7" w:rsidR="0089369F" w:rsidRPr="001C3B22" w:rsidRDefault="004A577C" w:rsidP="00CF147F">
      <w:pPr>
        <w:pStyle w:val="CH1"/>
        <w:spacing w:after="60"/>
        <w:ind w:left="1253"/>
      </w:pPr>
      <w:r w:rsidRPr="001C3B22">
        <w:tab/>
        <w:t>IV.</w:t>
      </w:r>
      <w:r w:rsidRPr="001C3B22">
        <w:tab/>
        <w:t>Préparatifs en vue</w:t>
      </w:r>
      <w:r w:rsidR="00275E4A" w:rsidRPr="001C3B22">
        <w:t xml:space="preserve"> de l’entrée en vigue</w:t>
      </w:r>
      <w:r w:rsidRPr="001C3B22">
        <w:t>ur de la Convention et de</w:t>
      </w:r>
      <w:r w:rsidR="00CF147F">
        <w:t> </w:t>
      </w:r>
      <w:r w:rsidRPr="001C3B22">
        <w:t>la</w:t>
      </w:r>
      <w:r w:rsidR="00CF147F">
        <w:t> </w:t>
      </w:r>
      <w:r w:rsidR="00116A77" w:rsidRPr="001C3B22">
        <w:t>première</w:t>
      </w:r>
      <w:r w:rsidRPr="001C3B22">
        <w:t xml:space="preserve"> </w:t>
      </w:r>
      <w:r w:rsidR="00275E4A" w:rsidRPr="001C3B22">
        <w:t>réuni</w:t>
      </w:r>
      <w:r w:rsidRPr="001C3B22">
        <w:t>on de la Conférence des Parties</w:t>
      </w:r>
    </w:p>
    <w:p w14:paraId="0F2DB9FB" w14:textId="33747455" w:rsidR="009431CE" w:rsidRPr="001C3B22" w:rsidRDefault="009431CE" w:rsidP="00CF147F">
      <w:pPr>
        <w:pStyle w:val="Normalnumber"/>
        <w:numPr>
          <w:ilvl w:val="0"/>
          <w:numId w:val="45"/>
        </w:numPr>
        <w:spacing w:after="60"/>
        <w:ind w:left="1253"/>
      </w:pPr>
      <w:r w:rsidRPr="001C3B22">
        <w:t xml:space="preserve">Pour favoriser </w:t>
      </w:r>
      <w:r w:rsidR="004A577C" w:rsidRPr="001C3B22">
        <w:t>l’</w:t>
      </w:r>
      <w:r w:rsidRPr="001C3B22">
        <w:t xml:space="preserve">entrée en vigueur rapide de la Convention et </w:t>
      </w:r>
      <w:r w:rsidR="009D6B7E" w:rsidRPr="001C3B22">
        <w:t>son application effective</w:t>
      </w:r>
      <w:r w:rsidRPr="001C3B22">
        <w:t xml:space="preserve"> dès son entrée en vigueur, la Conférence de plénipotentiaires</w:t>
      </w:r>
      <w:r w:rsidR="004A577C" w:rsidRPr="001C3B22">
        <w:t xml:space="preserve"> a</w:t>
      </w:r>
      <w:r w:rsidRPr="001C3B22">
        <w:t xml:space="preserve">, dans sa résolution </w:t>
      </w:r>
      <w:r w:rsidR="00AC4F84" w:rsidRPr="001C3B22">
        <w:t>relative aux dispositions provisoires</w:t>
      </w:r>
      <w:r w:rsidRPr="001C3B22">
        <w:t>, invité le Directeur exécutif du PNUE à convoquer</w:t>
      </w:r>
      <w:r w:rsidR="00AC4F84" w:rsidRPr="001C3B22">
        <w:t>, entre le moment où la Convention a été ouverte à la signature et la date d’ouverture de la première réunion de la Conférence des Parties à la Convention, des sessions supplémentaires du</w:t>
      </w:r>
      <w:r w:rsidRPr="001C3B22">
        <w:t xml:space="preserve"> Comité de négociation </w:t>
      </w:r>
      <w:r w:rsidR="00AC4F84" w:rsidRPr="001C3B22">
        <w:t>i</w:t>
      </w:r>
      <w:r w:rsidRPr="001C3B22">
        <w:t>ntergouvernemental</w:t>
      </w:r>
      <w:r w:rsidR="00AC4F84" w:rsidRPr="001C3B22">
        <w:t>.</w:t>
      </w:r>
    </w:p>
    <w:p w14:paraId="260AEA1D" w14:textId="159FA045" w:rsidR="009431CE" w:rsidRPr="001C3B22" w:rsidRDefault="009431CE">
      <w:pPr>
        <w:pStyle w:val="Normalnumber"/>
        <w:numPr>
          <w:ilvl w:val="0"/>
          <w:numId w:val="45"/>
        </w:numPr>
      </w:pPr>
      <w:r w:rsidRPr="001C3B22">
        <w:t xml:space="preserve">Ainsi, le Comité s’est réuni à deux reprises durant cette période, </w:t>
      </w:r>
      <w:r w:rsidR="009D6B7E" w:rsidRPr="001C3B22">
        <w:t>à l’occasion de</w:t>
      </w:r>
      <w:r w:rsidR="008E5895" w:rsidRPr="001C3B22">
        <w:t xml:space="preserve"> sa</w:t>
      </w:r>
      <w:r w:rsidR="00CF147F">
        <w:t> </w:t>
      </w:r>
      <w:r w:rsidRPr="001C3B22">
        <w:t>sixième</w:t>
      </w:r>
      <w:r w:rsidR="00CF147F">
        <w:t> </w:t>
      </w:r>
      <w:r w:rsidRPr="001C3B22">
        <w:t>sessi</w:t>
      </w:r>
      <w:r w:rsidR="00AC4F84" w:rsidRPr="001C3B22">
        <w:t xml:space="preserve">on </w:t>
      </w:r>
      <w:r w:rsidR="009D6B7E" w:rsidRPr="001C3B22">
        <w:t xml:space="preserve">tenue </w:t>
      </w:r>
      <w:r w:rsidR="00AC4F84" w:rsidRPr="001C3B22">
        <w:t xml:space="preserve">à Bangkok du 3 au 7 novembre </w:t>
      </w:r>
      <w:r w:rsidRPr="001C3B22">
        <w:t xml:space="preserve">2014 et </w:t>
      </w:r>
      <w:r w:rsidR="009D6B7E" w:rsidRPr="001C3B22">
        <w:t xml:space="preserve">de </w:t>
      </w:r>
      <w:r w:rsidR="008E5895" w:rsidRPr="001C3B22">
        <w:t xml:space="preserve">sa </w:t>
      </w:r>
      <w:r w:rsidR="000E0D33" w:rsidRPr="001C3B22">
        <w:t xml:space="preserve">septième session </w:t>
      </w:r>
      <w:r w:rsidR="009D6B7E" w:rsidRPr="001C3B22">
        <w:t xml:space="preserve">tenue </w:t>
      </w:r>
      <w:r w:rsidR="000E0D33" w:rsidRPr="001C3B22">
        <w:t>au bord de la m</w:t>
      </w:r>
      <w:r w:rsidRPr="001C3B22">
        <w:t>er Morte, en Jordanie, du 10 au 15 mars</w:t>
      </w:r>
      <w:r w:rsidR="00AC4F84" w:rsidRPr="001C3B22">
        <w:t xml:space="preserve"> </w:t>
      </w:r>
      <w:r w:rsidRPr="001C3B22">
        <w:t xml:space="preserve">2016. Il a mené ses travaux en s’inspirant des tâches définies par la Conférence de plénipotentiaires aux paragraphes 5 à 8 de sa </w:t>
      </w:r>
      <w:r w:rsidR="00AC4F84" w:rsidRPr="001C3B22">
        <w:t>résolution relative aux dispositions provisoires</w:t>
      </w:r>
      <w:r w:rsidR="009D6B7E" w:rsidRPr="001C3B22">
        <w:t xml:space="preserve"> concernant l’élaboration </w:t>
      </w:r>
      <w:r w:rsidRPr="001C3B22">
        <w:t xml:space="preserve">et l’adoption </w:t>
      </w:r>
      <w:r w:rsidR="00BB13B4">
        <w:t xml:space="preserve">provisoire </w:t>
      </w:r>
      <w:r w:rsidR="009D6B7E" w:rsidRPr="001C3B22">
        <w:t>d</w:t>
      </w:r>
      <w:r w:rsidRPr="001C3B22">
        <w:t xml:space="preserve">es éléments nécessaires à </w:t>
      </w:r>
      <w:r w:rsidR="009D6B7E" w:rsidRPr="001C3B22">
        <w:t>l’application effective</w:t>
      </w:r>
      <w:r w:rsidRPr="001C3B22">
        <w:t xml:space="preserve"> de la Convention dès son entrée en vigueur (par</w:t>
      </w:r>
      <w:r w:rsidR="009D6B7E" w:rsidRPr="001C3B22">
        <w:t>. </w:t>
      </w:r>
      <w:r w:rsidRPr="001C3B22">
        <w:t>5),</w:t>
      </w:r>
      <w:r w:rsidR="009D6B7E" w:rsidRPr="001C3B22">
        <w:t xml:space="preserve"> les questions qui, en vertu de la Convention, doivent faire l’objet d’une décision de la Conférence des Parties à sa première réunion</w:t>
      </w:r>
      <w:r w:rsidRPr="001C3B22">
        <w:t xml:space="preserve"> (par</w:t>
      </w:r>
      <w:r w:rsidR="00AC4F84" w:rsidRPr="001C3B22">
        <w:t>. </w:t>
      </w:r>
      <w:r w:rsidRPr="001C3B22">
        <w:t>6), l’adoption provisoire des orientations et procédures dans l’attente de l’adoption formelle par la Conférence des P</w:t>
      </w:r>
      <w:r w:rsidR="003644C2" w:rsidRPr="001C3B22">
        <w:t>arties (par</w:t>
      </w:r>
      <w:r w:rsidR="00AC4F84" w:rsidRPr="001C3B22">
        <w:t>. </w:t>
      </w:r>
      <w:r w:rsidR="009D6B7E" w:rsidRPr="001C3B22">
        <w:t xml:space="preserve">7) ainsi que l’appui aux </w:t>
      </w:r>
      <w:r w:rsidRPr="001C3B22">
        <w:t xml:space="preserve">activités </w:t>
      </w:r>
      <w:r w:rsidR="009D6B7E" w:rsidRPr="001C3B22">
        <w:t>exigées ou encouragées par la Convention qui sont de nature à faciliter son entrée rapide en vigueur et son application effective dès son entrée en vigueur</w:t>
      </w:r>
      <w:r w:rsidRPr="001C3B22">
        <w:t xml:space="preserve"> (par</w:t>
      </w:r>
      <w:r w:rsidR="00AC4F84" w:rsidRPr="001C3B22">
        <w:t>. </w:t>
      </w:r>
      <w:r w:rsidRPr="001C3B22">
        <w:t>8).</w:t>
      </w:r>
    </w:p>
    <w:p w14:paraId="0BC42684" w14:textId="5CDC9061" w:rsidR="009431CE" w:rsidRPr="001C3B22" w:rsidRDefault="009431CE" w:rsidP="00171BF4">
      <w:pPr>
        <w:pStyle w:val="Normalnumber"/>
        <w:numPr>
          <w:ilvl w:val="0"/>
          <w:numId w:val="45"/>
        </w:numPr>
      </w:pPr>
      <w:r w:rsidRPr="001C3B22">
        <w:t xml:space="preserve">Au cours de ces sessions, le Comité a </w:t>
      </w:r>
      <w:r w:rsidR="00C749AD" w:rsidRPr="001C3B22">
        <w:t xml:space="preserve">bien avancé </w:t>
      </w:r>
      <w:r w:rsidRPr="001C3B22">
        <w:t>dans plusieurs domaines, adoptant à titre provisoire</w:t>
      </w:r>
      <w:r w:rsidR="00C749AD" w:rsidRPr="001C3B22">
        <w:t xml:space="preserve">, en attendant que </w:t>
      </w:r>
      <w:r w:rsidRPr="001C3B22">
        <w:t>la Conférence des Parties</w:t>
      </w:r>
      <w:r w:rsidR="00C749AD" w:rsidRPr="001C3B22">
        <w:t xml:space="preserve"> les adopte officiellement</w:t>
      </w:r>
      <w:r w:rsidRPr="001C3B22">
        <w:t>, des formulaires et orientations</w:t>
      </w:r>
      <w:r w:rsidR="00C749AD" w:rsidRPr="001C3B22">
        <w:t xml:space="preserve"> à utiliser</w:t>
      </w:r>
      <w:r w:rsidRPr="001C3B22">
        <w:t xml:space="preserve"> dans le cadre de l’article 3 de la Convention</w:t>
      </w:r>
      <w:r w:rsidR="00C749AD" w:rsidRPr="001C3B22">
        <w:t xml:space="preserve"> </w:t>
      </w:r>
      <w:r w:rsidR="00B74773" w:rsidRPr="001C3B22">
        <w:t xml:space="preserve">(Sources d’approvisionnement en mercure et commerce) </w:t>
      </w:r>
      <w:r w:rsidRPr="001C3B22">
        <w:t xml:space="preserve">et de l’article 6 </w:t>
      </w:r>
      <w:r w:rsidR="00B74773" w:rsidRPr="001C3B22">
        <w:t>(D</w:t>
      </w:r>
      <w:r w:rsidRPr="001C3B22">
        <w:t>érogations accessibles aux Parties sur demande</w:t>
      </w:r>
      <w:r w:rsidR="00B74773" w:rsidRPr="001C3B22">
        <w:t>)</w:t>
      </w:r>
      <w:r w:rsidRPr="001C3B22">
        <w:t xml:space="preserve">, ainsi que des orientations </w:t>
      </w:r>
      <w:r w:rsidR="00B74773" w:rsidRPr="001C3B22">
        <w:t xml:space="preserve">à utiliser </w:t>
      </w:r>
      <w:r w:rsidRPr="001C3B22">
        <w:t xml:space="preserve">dans le cadre de l’article 8 </w:t>
      </w:r>
      <w:r w:rsidR="00B74773" w:rsidRPr="001C3B22">
        <w:t>(É</w:t>
      </w:r>
      <w:r w:rsidRPr="001C3B22">
        <w:t>missions</w:t>
      </w:r>
      <w:r w:rsidR="00B74773" w:rsidRPr="001C3B22">
        <w:t>)</w:t>
      </w:r>
      <w:r w:rsidRPr="001C3B22">
        <w:t xml:space="preserve">. </w:t>
      </w:r>
      <w:r w:rsidR="00B74773" w:rsidRPr="001C3B22">
        <w:t xml:space="preserve">À </w:t>
      </w:r>
      <w:r w:rsidRPr="001C3B22">
        <w:t xml:space="preserve">sa septième session, le Comité a aussi </w:t>
      </w:r>
      <w:r w:rsidR="00B74773" w:rsidRPr="001C3B22">
        <w:t xml:space="preserve">approuvé </w:t>
      </w:r>
      <w:r w:rsidRPr="001C3B22">
        <w:t>l’utilisation, à titre provisoire, des orientations pour l’article 7 sur l’élaboration d’un plan d’action national visant à réduire et</w:t>
      </w:r>
      <w:r w:rsidR="00B74773" w:rsidRPr="001C3B22">
        <w:t>,</w:t>
      </w:r>
      <w:r w:rsidRPr="001C3B22">
        <w:t xml:space="preserve"> si possible</w:t>
      </w:r>
      <w:r w:rsidR="00B74773" w:rsidRPr="001C3B22">
        <w:t>,</w:t>
      </w:r>
      <w:r w:rsidRPr="001C3B22">
        <w:t xml:space="preserve"> éliminer l’utilisation du mercure dans l’extraction minière artisanale et à petite échelle de l’or, dans leur forme actuelle, afin d’aider les pays au cours de la période </w:t>
      </w:r>
      <w:r w:rsidR="00B74773" w:rsidRPr="001C3B22">
        <w:t xml:space="preserve">courant </w:t>
      </w:r>
      <w:r w:rsidRPr="001C3B22">
        <w:t xml:space="preserve">entre cette session et la première réunion de la Conférence des Parties. </w:t>
      </w:r>
    </w:p>
    <w:p w14:paraId="7F065078" w14:textId="54B5A5D0" w:rsidR="009431CE" w:rsidRPr="001C3B22" w:rsidRDefault="009431CE" w:rsidP="00A37C1E">
      <w:pPr>
        <w:pStyle w:val="Normalnumber"/>
        <w:keepNext/>
        <w:keepLines/>
        <w:numPr>
          <w:ilvl w:val="0"/>
          <w:numId w:val="45"/>
        </w:numPr>
      </w:pPr>
      <w:r w:rsidRPr="001C3B22">
        <w:t xml:space="preserve">Les bons résultats obtenus dans le cadre de l’article 8 sont le fruit des travaux intensifs menés par le groupe d’experts techniques </w:t>
      </w:r>
      <w:r w:rsidR="004F7BB8" w:rsidRPr="001C3B22">
        <w:t>créé</w:t>
      </w:r>
      <w:r w:rsidRPr="001C3B22">
        <w:t xml:space="preserve"> par la Conférence de plénipotentiaires en qualité d’organe subsidiaire dépendant du Comité afin d’élaborer les orientations </w:t>
      </w:r>
      <w:r w:rsidR="004F7BB8" w:rsidRPr="001C3B22">
        <w:t>prévues à</w:t>
      </w:r>
      <w:r w:rsidRPr="001C3B22">
        <w:t xml:space="preserve"> l’article 8 de la Convention. En pa</w:t>
      </w:r>
      <w:r w:rsidR="004F7BB8" w:rsidRPr="001C3B22">
        <w:t>rticulier, sous la présidence de M. </w:t>
      </w:r>
      <w:proofErr w:type="spellStart"/>
      <w:r w:rsidRPr="001C3B22">
        <w:t>Adel</w:t>
      </w:r>
      <w:proofErr w:type="spellEnd"/>
      <w:r w:rsidRPr="001C3B22">
        <w:t xml:space="preserve"> </w:t>
      </w:r>
      <w:proofErr w:type="spellStart"/>
      <w:r w:rsidRPr="001C3B22">
        <w:t>Shafei</w:t>
      </w:r>
      <w:proofErr w:type="spellEnd"/>
      <w:r w:rsidRPr="001C3B22">
        <w:t xml:space="preserve"> Osman (Égypte) et de </w:t>
      </w:r>
      <w:r w:rsidR="004F7BB8" w:rsidRPr="001C3B22">
        <w:t>M. </w:t>
      </w:r>
      <w:r w:rsidRPr="001C3B22">
        <w:t>John Roberts (Royaume</w:t>
      </w:r>
      <w:r w:rsidR="004F7BB8" w:rsidRPr="001C3B22">
        <w:noBreakHyphen/>
      </w:r>
      <w:r w:rsidRPr="001C3B22">
        <w:t>Uni de Grande</w:t>
      </w:r>
      <w:r w:rsidR="004F7BB8" w:rsidRPr="001C3B22">
        <w:noBreakHyphen/>
      </w:r>
      <w:r w:rsidRPr="001C3B22">
        <w:t xml:space="preserve">Bretagne et d’Irlande du Nord), le groupe a </w:t>
      </w:r>
      <w:r w:rsidR="004F7BB8" w:rsidRPr="001C3B22">
        <w:t>établi</w:t>
      </w:r>
      <w:r w:rsidRPr="001C3B22">
        <w:t xml:space="preserve"> et transmis à la</w:t>
      </w:r>
      <w:r w:rsidR="00CF147F">
        <w:t> </w:t>
      </w:r>
      <w:r w:rsidRPr="001C3B22">
        <w:t>septième</w:t>
      </w:r>
      <w:r w:rsidR="00CF147F">
        <w:t> </w:t>
      </w:r>
      <w:r w:rsidRPr="001C3B22">
        <w:t xml:space="preserve">session du Comité un projet d’orientations relatives aux meilleures techniques disponibles et aux meilleures pratiques environnementales, aux critères que </w:t>
      </w:r>
      <w:r w:rsidR="004F7BB8" w:rsidRPr="001C3B22">
        <w:t xml:space="preserve">les Parties </w:t>
      </w:r>
      <w:r w:rsidRPr="001C3B22">
        <w:t xml:space="preserve">pourraient </w:t>
      </w:r>
      <w:r w:rsidR="004F7BB8" w:rsidRPr="001C3B22">
        <w:t xml:space="preserve">définir </w:t>
      </w:r>
      <w:r w:rsidR="00116A77" w:rsidRPr="001C3B22">
        <w:t>conformément au paragraphe 2 </w:t>
      </w:r>
      <w:r w:rsidRPr="001C3B22">
        <w:t xml:space="preserve">b) de l’article 8, à la préparation d’inventaires des émissions, ainsi </w:t>
      </w:r>
      <w:r w:rsidR="004F7BB8" w:rsidRPr="001C3B22">
        <w:t xml:space="preserve">qu’à l’appui </w:t>
      </w:r>
      <w:r w:rsidRPr="001C3B22">
        <w:t xml:space="preserve">à apporter aux </w:t>
      </w:r>
      <w:r w:rsidR="004F7BB8" w:rsidRPr="001C3B22">
        <w:t>P</w:t>
      </w:r>
      <w:r w:rsidRPr="001C3B22">
        <w:t xml:space="preserve">arties </w:t>
      </w:r>
      <w:r w:rsidR="004F7BB8" w:rsidRPr="001C3B22">
        <w:t xml:space="preserve">aux fins de </w:t>
      </w:r>
      <w:r w:rsidRPr="001C3B22">
        <w:t>la mise en œuvre des mesures définies au paragraphe 5 de l’article 8, en particulier pour la détermination des objectifs et des valeurs limites d’émission.</w:t>
      </w:r>
    </w:p>
    <w:p w14:paraId="304A067A" w14:textId="419E6A00" w:rsidR="009431CE" w:rsidRPr="001C3B22" w:rsidRDefault="009431CE">
      <w:pPr>
        <w:pStyle w:val="Normalnumber"/>
        <w:numPr>
          <w:ilvl w:val="0"/>
          <w:numId w:val="45"/>
        </w:numPr>
      </w:pPr>
      <w:r w:rsidRPr="001C3B22">
        <w:t>Des progrès ont aussi été réalisés dans le cadre de l’article 13</w:t>
      </w:r>
      <w:r w:rsidR="00954D5B" w:rsidRPr="001C3B22">
        <w:t>, qui porte</w:t>
      </w:r>
      <w:r w:rsidRPr="001C3B22">
        <w:t xml:space="preserve"> sur le mécanisme de financement de la Convention, notamment </w:t>
      </w:r>
      <w:r w:rsidR="00954D5B" w:rsidRPr="001C3B22">
        <w:t xml:space="preserve">grâce à </w:t>
      </w:r>
      <w:r w:rsidRPr="001C3B22">
        <w:t xml:space="preserve">la </w:t>
      </w:r>
      <w:r w:rsidR="00954D5B" w:rsidRPr="001C3B22">
        <w:t xml:space="preserve">création, à </w:t>
      </w:r>
      <w:r w:rsidRPr="001C3B22">
        <w:t>la sixième session du Comité</w:t>
      </w:r>
      <w:r w:rsidR="00954D5B" w:rsidRPr="001C3B22">
        <w:t>,</w:t>
      </w:r>
      <w:r w:rsidRPr="001C3B22">
        <w:t xml:space="preserve"> d’un groupe spécial d’experts </w:t>
      </w:r>
      <w:r w:rsidR="00954D5B" w:rsidRPr="001C3B22">
        <w:t xml:space="preserve">sur le </w:t>
      </w:r>
      <w:r w:rsidRPr="001C3B22">
        <w:t>financement</w:t>
      </w:r>
      <w:r w:rsidR="00954D5B" w:rsidRPr="001C3B22">
        <w:t>,</w:t>
      </w:r>
      <w:r w:rsidRPr="001C3B22">
        <w:t xml:space="preserve"> coprésidé par </w:t>
      </w:r>
      <w:r w:rsidR="00954D5B" w:rsidRPr="001C3B22">
        <w:t>Mme </w:t>
      </w:r>
      <w:r w:rsidRPr="001C3B22">
        <w:t xml:space="preserve">Gillian </w:t>
      </w:r>
      <w:proofErr w:type="spellStart"/>
      <w:r w:rsidRPr="001C3B22">
        <w:t>Guthrie</w:t>
      </w:r>
      <w:proofErr w:type="spellEnd"/>
      <w:r w:rsidRPr="001C3B22">
        <w:t xml:space="preserve"> (Jamaïque) et </w:t>
      </w:r>
      <w:r w:rsidR="00954D5B" w:rsidRPr="001C3B22">
        <w:t>M. </w:t>
      </w:r>
      <w:r w:rsidRPr="001C3B22">
        <w:t xml:space="preserve">Greg </w:t>
      </w:r>
      <w:proofErr w:type="spellStart"/>
      <w:r w:rsidRPr="001C3B22">
        <w:t>Filyk</w:t>
      </w:r>
      <w:proofErr w:type="spellEnd"/>
      <w:r w:rsidRPr="001C3B22">
        <w:t xml:space="preserve"> (Cana</w:t>
      </w:r>
      <w:r w:rsidR="00954D5B" w:rsidRPr="001C3B22">
        <w:t>da) et</w:t>
      </w:r>
      <w:r w:rsidRPr="001C3B22">
        <w:t xml:space="preserve"> chargé de fournir des contributions à la septième session pour la mise en œuvre de la décision de la Conférence de plénipotentiaires relative au </w:t>
      </w:r>
      <w:r w:rsidR="00954D5B" w:rsidRPr="001C3B22">
        <w:t>programme international spécifique visant à soutenir le renforcement des capacités et l’assistance technique</w:t>
      </w:r>
      <w:r w:rsidRPr="001C3B22">
        <w:t xml:space="preserve">. Bien que </w:t>
      </w:r>
      <w:r w:rsidR="00954D5B" w:rsidRPr="001C3B22">
        <w:t xml:space="preserve">la </w:t>
      </w:r>
      <w:r w:rsidRPr="001C3B22">
        <w:t>Conférence des Parties</w:t>
      </w:r>
      <w:r w:rsidR="00954D5B" w:rsidRPr="001C3B22">
        <w:t xml:space="preserve"> doive encore arrêter quelques éléments</w:t>
      </w:r>
      <w:r w:rsidRPr="001C3B22">
        <w:t>, le Comité a</w:t>
      </w:r>
      <w:r w:rsidR="00954D5B" w:rsidRPr="001C3B22">
        <w:t xml:space="preserve">, à </w:t>
      </w:r>
      <w:r w:rsidRPr="001C3B22">
        <w:t xml:space="preserve">sa septième session, </w:t>
      </w:r>
      <w:r w:rsidR="008A649E" w:rsidRPr="001C3B22">
        <w:t xml:space="preserve">décidé, </w:t>
      </w:r>
      <w:r w:rsidRPr="001C3B22">
        <w:t xml:space="preserve">sur la base des travaux de ce groupe, que le PNUE </w:t>
      </w:r>
      <w:r w:rsidR="008A649E" w:rsidRPr="001C3B22">
        <w:t xml:space="preserve">accueillerait </w:t>
      </w:r>
      <w:r w:rsidRPr="001C3B22">
        <w:t xml:space="preserve">le programme international </w:t>
      </w:r>
      <w:r w:rsidR="008A649E" w:rsidRPr="001C3B22">
        <w:t>spécifique</w:t>
      </w:r>
      <w:r w:rsidRPr="001C3B22">
        <w:t xml:space="preserve">. Enfin, toujours </w:t>
      </w:r>
      <w:r w:rsidR="008A649E" w:rsidRPr="001C3B22">
        <w:t xml:space="preserve">à </w:t>
      </w:r>
      <w:r w:rsidRPr="001C3B22">
        <w:t>sa septième session, le Comité a adopté provisoirement et transmis au Conseil du Fonds pour l’environnement mondial</w:t>
      </w:r>
      <w:r w:rsidR="008A649E" w:rsidRPr="001C3B22">
        <w:t xml:space="preserve">, </w:t>
      </w:r>
      <w:r w:rsidRPr="001C3B22">
        <w:t xml:space="preserve">afin </w:t>
      </w:r>
      <w:r w:rsidR="008A649E" w:rsidRPr="001C3B22">
        <w:t>que celui</w:t>
      </w:r>
      <w:r w:rsidR="008A649E" w:rsidRPr="001C3B22">
        <w:noBreakHyphen/>
        <w:t xml:space="preserve">ci </w:t>
      </w:r>
      <w:r w:rsidRPr="001C3B22">
        <w:t>les examine</w:t>
      </w:r>
      <w:r w:rsidR="008A649E" w:rsidRPr="001C3B22">
        <w:t>,</w:t>
      </w:r>
      <w:r w:rsidRPr="001C3B22">
        <w:t xml:space="preserve"> le projet d’orientations ainsi qu’un mémorandum d’accord révisé entre la Conférence des Parties et le Conseil du </w:t>
      </w:r>
      <w:r w:rsidR="008A649E" w:rsidRPr="001C3B22">
        <w:t>Fonds</w:t>
      </w:r>
      <w:r w:rsidRPr="001C3B22">
        <w:t xml:space="preserve">. </w:t>
      </w:r>
    </w:p>
    <w:p w14:paraId="22E74BF7" w14:textId="3A608CEC" w:rsidR="009431CE" w:rsidRPr="001C3B22" w:rsidRDefault="009431CE" w:rsidP="00F93B83">
      <w:pPr>
        <w:pStyle w:val="Normalnumber"/>
        <w:numPr>
          <w:ilvl w:val="0"/>
          <w:numId w:val="45"/>
        </w:numPr>
        <w:tabs>
          <w:tab w:val="clear" w:pos="1134"/>
        </w:tabs>
      </w:pPr>
      <w:r w:rsidRPr="001C3B22">
        <w:t xml:space="preserve">Le Comité a également mené des discussions fructueuses </w:t>
      </w:r>
      <w:r w:rsidR="008A649E" w:rsidRPr="001C3B22">
        <w:t>concernant</w:t>
      </w:r>
      <w:r w:rsidRPr="001C3B22">
        <w:t xml:space="preserve"> d’autres </w:t>
      </w:r>
      <w:r w:rsidR="008A649E" w:rsidRPr="001C3B22">
        <w:t>questions</w:t>
      </w:r>
      <w:r w:rsidRPr="001C3B22">
        <w:t xml:space="preserve">, notamment l’article 21, à propos de la périodicité et de la présentation des rapports, </w:t>
      </w:r>
      <w:r w:rsidR="008A649E" w:rsidRPr="001C3B22">
        <w:t>et l’article </w:t>
      </w:r>
      <w:r w:rsidRPr="001C3B22">
        <w:t xml:space="preserve">23, </w:t>
      </w:r>
      <w:r w:rsidR="008A649E" w:rsidRPr="001C3B22">
        <w:t xml:space="preserve">concernant son règlement intérieur et ses règles de gestion financière et ceux de tout organe subsidiaire </w:t>
      </w:r>
      <w:r w:rsidRPr="001C3B22">
        <w:t xml:space="preserve">que la Conférence des Parties </w:t>
      </w:r>
      <w:r w:rsidR="008A649E" w:rsidRPr="001C3B22">
        <w:t>doit adopter</w:t>
      </w:r>
      <w:r w:rsidRPr="001C3B22">
        <w:t xml:space="preserve"> </w:t>
      </w:r>
      <w:r w:rsidR="008A649E" w:rsidRPr="001C3B22">
        <w:t xml:space="preserve">à </w:t>
      </w:r>
      <w:r w:rsidRPr="001C3B22">
        <w:t xml:space="preserve">sa première réunion. Un grand nombre de </w:t>
      </w:r>
      <w:r w:rsidR="008A649E" w:rsidRPr="001C3B22">
        <w:t>questions</w:t>
      </w:r>
      <w:r w:rsidRPr="001C3B22">
        <w:t xml:space="preserve"> ont été </w:t>
      </w:r>
      <w:r w:rsidR="008A649E" w:rsidRPr="001C3B22">
        <w:t xml:space="preserve">réglées </w:t>
      </w:r>
      <w:r w:rsidRPr="001C3B22">
        <w:t xml:space="preserve">mais certaines doivent encore </w:t>
      </w:r>
      <w:r w:rsidR="008A649E" w:rsidRPr="001C3B22">
        <w:t>l’</w:t>
      </w:r>
      <w:r w:rsidRPr="001C3B22">
        <w:t xml:space="preserve">être </w:t>
      </w:r>
      <w:r w:rsidR="008A649E" w:rsidRPr="001C3B22">
        <w:t xml:space="preserve">à </w:t>
      </w:r>
      <w:r w:rsidRPr="001C3B22">
        <w:t xml:space="preserve">la réunion de la Conférence des Parties. </w:t>
      </w:r>
    </w:p>
    <w:p w14:paraId="1E5A0DD0" w14:textId="3F44112E" w:rsidR="009431CE" w:rsidRPr="001C3B22" w:rsidRDefault="009431CE" w:rsidP="00A54FD2">
      <w:pPr>
        <w:pStyle w:val="Normalnumber"/>
        <w:numPr>
          <w:ilvl w:val="0"/>
          <w:numId w:val="45"/>
        </w:numPr>
      </w:pPr>
      <w:r w:rsidRPr="001C3B22">
        <w:t xml:space="preserve">Pour certaines autres </w:t>
      </w:r>
      <w:r w:rsidR="008A649E" w:rsidRPr="001C3B22">
        <w:t>questions</w:t>
      </w:r>
      <w:r w:rsidRPr="001C3B22">
        <w:t xml:space="preserve">, </w:t>
      </w:r>
      <w:r w:rsidR="008A649E" w:rsidRPr="001C3B22">
        <w:t xml:space="preserve">ainsi que l’a demandé le </w:t>
      </w:r>
      <w:r w:rsidRPr="001C3B22">
        <w:t xml:space="preserve">Comité </w:t>
      </w:r>
      <w:r w:rsidR="008A649E" w:rsidRPr="001C3B22">
        <w:t xml:space="preserve">à </w:t>
      </w:r>
      <w:r w:rsidRPr="001C3B22">
        <w:t>ses sixième et septième</w:t>
      </w:r>
      <w:r w:rsidR="00CF147F">
        <w:t> </w:t>
      </w:r>
      <w:r w:rsidRPr="001C3B22">
        <w:t xml:space="preserve">sessions, les gouvernements et les parties prenantes intéressées ont </w:t>
      </w:r>
      <w:r w:rsidR="008A649E" w:rsidRPr="001C3B22">
        <w:t xml:space="preserve">envoyé </w:t>
      </w:r>
      <w:r w:rsidRPr="001C3B22">
        <w:t xml:space="preserve">des communications écrites afin de faciliter encore les travaux. À l’issue des sixième et septième sessions du Comité, le secrétariat a entrepris des travaux techniques dont les résultats, concernant l’article 7 </w:t>
      </w:r>
      <w:r w:rsidR="008A649E" w:rsidRPr="001C3B22">
        <w:t>(E</w:t>
      </w:r>
      <w:r w:rsidRPr="001C3B22">
        <w:t>xtraction minière artisanale et à petite échelle d’or</w:t>
      </w:r>
      <w:r w:rsidR="008A649E" w:rsidRPr="001C3B22">
        <w:t>)</w:t>
      </w:r>
      <w:r w:rsidRPr="001C3B22">
        <w:t xml:space="preserve">, l’article 10 </w:t>
      </w:r>
      <w:r w:rsidR="008A649E" w:rsidRPr="001C3B22">
        <w:t>(Stockage provisoire écologiqueme</w:t>
      </w:r>
      <w:bookmarkStart w:id="4" w:name="_GoBack"/>
      <w:bookmarkEnd w:id="4"/>
      <w:r w:rsidR="008A649E" w:rsidRPr="001C3B22">
        <w:t>nt rationnel du mercure, à l’exclusion des déchets de mercure)</w:t>
      </w:r>
      <w:r w:rsidRPr="001C3B22">
        <w:t xml:space="preserve">, l’article 11 </w:t>
      </w:r>
      <w:r w:rsidR="008A649E" w:rsidRPr="001C3B22">
        <w:t>(D</w:t>
      </w:r>
      <w:r w:rsidRPr="001C3B22">
        <w:t>échets de mercure</w:t>
      </w:r>
      <w:r w:rsidR="008A649E" w:rsidRPr="001C3B22">
        <w:t>)</w:t>
      </w:r>
      <w:r w:rsidRPr="001C3B22">
        <w:t xml:space="preserve">, l’article 12 </w:t>
      </w:r>
      <w:r w:rsidR="008A649E" w:rsidRPr="001C3B22">
        <w:t>(S</w:t>
      </w:r>
      <w:r w:rsidRPr="001C3B22">
        <w:t>ites contaminés</w:t>
      </w:r>
      <w:r w:rsidR="008A649E" w:rsidRPr="001C3B22">
        <w:t>)</w:t>
      </w:r>
      <w:r w:rsidRPr="001C3B22">
        <w:t xml:space="preserve"> et l’article 22 </w:t>
      </w:r>
      <w:r w:rsidR="008A649E" w:rsidRPr="001C3B22">
        <w:t>(É</w:t>
      </w:r>
      <w:r w:rsidRPr="001C3B22">
        <w:t>valuation de l’efficacité</w:t>
      </w:r>
      <w:r w:rsidR="008A649E" w:rsidRPr="001C3B22">
        <w:t>),</w:t>
      </w:r>
      <w:r w:rsidRPr="001C3B22">
        <w:t xml:space="preserve"> sont </w:t>
      </w:r>
      <w:r w:rsidR="008A649E" w:rsidRPr="001C3B22">
        <w:t xml:space="preserve">transmis </w:t>
      </w:r>
      <w:r w:rsidRPr="001C3B22">
        <w:t xml:space="preserve">à la Conférence des Parties afin qu’elle </w:t>
      </w:r>
      <w:r w:rsidR="008A649E" w:rsidRPr="001C3B22">
        <w:t xml:space="preserve">les examine à </w:t>
      </w:r>
      <w:r w:rsidRPr="001C3B22">
        <w:t xml:space="preserve">sa première réunion. Pour ce qui concerne l’article 11, le Comité a </w:t>
      </w:r>
      <w:r w:rsidR="008A649E" w:rsidRPr="001C3B22">
        <w:t>également</w:t>
      </w:r>
      <w:r w:rsidRPr="001C3B22">
        <w:t xml:space="preserve"> décidé </w:t>
      </w:r>
      <w:r w:rsidR="008A649E" w:rsidRPr="001C3B22">
        <w:t>à</w:t>
      </w:r>
      <w:r w:rsidRPr="001C3B22">
        <w:t xml:space="preserve"> sa septième session que les </w:t>
      </w:r>
      <w:r w:rsidR="00CF6B31" w:rsidRPr="001C3B22">
        <w:t xml:space="preserve">spécialistes </w:t>
      </w:r>
      <w:r w:rsidRPr="001C3B22">
        <w:t xml:space="preserve">devraient poursuivre leurs efforts informels </w:t>
      </w:r>
      <w:r w:rsidR="00CF6B31" w:rsidRPr="001C3B22">
        <w:t xml:space="preserve">en vue de </w:t>
      </w:r>
      <w:r w:rsidRPr="001C3B22">
        <w:t xml:space="preserve">proposer des seuils </w:t>
      </w:r>
      <w:r w:rsidR="00CF6B31" w:rsidRPr="001C3B22">
        <w:t>adaptés</w:t>
      </w:r>
      <w:r w:rsidRPr="001C3B22">
        <w:t>. Enfin, à sa première réunion, la Conférence des Parties sera invitée à examiner un rapport révisé sur les dispositions relatives aux fonctions d</w:t>
      </w:r>
      <w:r w:rsidR="00CF6B31" w:rsidRPr="001C3B22">
        <w:t>u</w:t>
      </w:r>
      <w:r w:rsidRPr="001C3B22">
        <w:t xml:space="preserve"> secrétariat permanent, ainsi que l’offre du Gouvernement suisse concernant </w:t>
      </w:r>
      <w:r w:rsidR="00CF6B31" w:rsidRPr="001C3B22">
        <w:t xml:space="preserve">la localisation </w:t>
      </w:r>
      <w:r w:rsidRPr="001C3B22">
        <w:t xml:space="preserve">du secrétariat. </w:t>
      </w:r>
    </w:p>
    <w:p w14:paraId="7FD0982F" w14:textId="0EC4E1A0" w:rsidR="009431CE" w:rsidRDefault="00CF6B31" w:rsidP="00116A77">
      <w:pPr>
        <w:pStyle w:val="Normalnumber"/>
        <w:keepNext/>
        <w:keepLines/>
        <w:numPr>
          <w:ilvl w:val="0"/>
          <w:numId w:val="45"/>
        </w:numPr>
        <w:tabs>
          <w:tab w:val="clear" w:pos="1134"/>
        </w:tabs>
      </w:pPr>
      <w:r w:rsidRPr="001C3B22">
        <w:t>Grâce aux</w:t>
      </w:r>
      <w:r w:rsidR="009431CE" w:rsidRPr="001C3B22">
        <w:t xml:space="preserve"> travaux </w:t>
      </w:r>
      <w:r w:rsidRPr="001C3B22">
        <w:t xml:space="preserve">menés </w:t>
      </w:r>
      <w:r w:rsidR="009431CE" w:rsidRPr="001C3B22">
        <w:t>pendant ses deux dernières sessions</w:t>
      </w:r>
      <w:r w:rsidRPr="001C3B22">
        <w:t xml:space="preserve"> –</w:t>
      </w:r>
      <w:r w:rsidR="009431CE" w:rsidRPr="001C3B22">
        <w:t xml:space="preserve"> qui se sont appuyés sur des travaux intersessions </w:t>
      </w:r>
      <w:r w:rsidRPr="001C3B22">
        <w:t>importants</w:t>
      </w:r>
      <w:r w:rsidR="009431CE" w:rsidRPr="001C3B22">
        <w:t xml:space="preserve">, notamment les communications demandées aux gouvernements et autres acteurs concernés </w:t>
      </w:r>
      <w:r w:rsidRPr="001C3B22">
        <w:t>sur un certain nombre de questions</w:t>
      </w:r>
      <w:r w:rsidR="009431CE" w:rsidRPr="001C3B22">
        <w:t xml:space="preserve">, l’élaboration </w:t>
      </w:r>
      <w:r w:rsidRPr="001C3B22">
        <w:t xml:space="preserve">de </w:t>
      </w:r>
      <w:r w:rsidR="009431CE" w:rsidRPr="001C3B22">
        <w:t>document</w:t>
      </w:r>
      <w:r w:rsidRPr="001C3B22">
        <w:t>s</w:t>
      </w:r>
      <w:r w:rsidR="009431CE" w:rsidRPr="001C3B22">
        <w:t xml:space="preserve"> de référence</w:t>
      </w:r>
      <w:r w:rsidRPr="001C3B22">
        <w:t xml:space="preserve"> (</w:t>
      </w:r>
      <w:r w:rsidR="009431CE" w:rsidRPr="001C3B22">
        <w:t xml:space="preserve">45 documents </w:t>
      </w:r>
      <w:r w:rsidRPr="001C3B22">
        <w:t>de séance</w:t>
      </w:r>
      <w:r w:rsidR="009431CE" w:rsidRPr="001C3B22">
        <w:t xml:space="preserve"> et 21 documents d’information </w:t>
      </w:r>
      <w:r w:rsidRPr="001C3B22">
        <w:t xml:space="preserve">établis </w:t>
      </w:r>
      <w:r w:rsidR="009431CE" w:rsidRPr="001C3B22">
        <w:t>pour les sixième et septième sessions</w:t>
      </w:r>
      <w:r w:rsidRPr="001C3B22">
        <w:t>;</w:t>
      </w:r>
      <w:r w:rsidR="009431CE" w:rsidRPr="001C3B22">
        <w:t xml:space="preserve"> organisation de consultations régionales et d’autres consultations</w:t>
      </w:r>
      <w:r w:rsidRPr="001C3B22">
        <w:t>;</w:t>
      </w:r>
      <w:r w:rsidR="009431CE" w:rsidRPr="001C3B22">
        <w:t xml:space="preserve"> réunions d’experts intersessions sur le financement et les émissions</w:t>
      </w:r>
      <w:r w:rsidRPr="001C3B22">
        <w:t>)</w:t>
      </w:r>
      <w:r w:rsidR="009431CE" w:rsidRPr="001C3B22">
        <w:t xml:space="preserve">, le Comité a indéniablement tout mis en place pour garantir le succès de la première réunion de la Conférence des Parties ainsi que l’entrée en vigueur rapide et </w:t>
      </w:r>
      <w:r w:rsidRPr="001C3B22">
        <w:t>l’application effective</w:t>
      </w:r>
      <w:r w:rsidR="009431CE" w:rsidRPr="001C3B22">
        <w:t xml:space="preserve"> de la Convention de Minamata. </w:t>
      </w:r>
    </w:p>
    <w:p w14:paraId="289E3F23" w14:textId="77777777" w:rsidR="00CF147F" w:rsidRDefault="00CF147F" w:rsidP="00CF147F">
      <w:pPr>
        <w:pStyle w:val="Normalnumber"/>
        <w:keepNext/>
        <w:keepLines/>
        <w:numPr>
          <w:ilvl w:val="0"/>
          <w:numId w:val="0"/>
        </w:numPr>
        <w:ind w:left="1247"/>
        <w:jc w:val="center"/>
      </w:pPr>
    </w:p>
    <w:p w14:paraId="550E1797" w14:textId="18ABD46C" w:rsidR="00CF147F" w:rsidRPr="001C3B22" w:rsidRDefault="00CF147F" w:rsidP="00CF147F">
      <w:pPr>
        <w:pStyle w:val="Normalnumber"/>
        <w:keepNext/>
        <w:keepLines/>
        <w:numPr>
          <w:ilvl w:val="0"/>
          <w:numId w:val="0"/>
        </w:numPr>
        <w:ind w:left="1247"/>
        <w:jc w:val="center"/>
      </w:pPr>
      <w:r>
        <w:t>__________________________</w:t>
      </w:r>
    </w:p>
    <w:sectPr w:rsidR="00CF147F" w:rsidRPr="001C3B22" w:rsidSect="00C771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1F1CB" w14:textId="77777777" w:rsidR="006A6391" w:rsidRDefault="006A6391">
      <w:r>
        <w:separator/>
      </w:r>
    </w:p>
  </w:endnote>
  <w:endnote w:type="continuationSeparator" w:id="0">
    <w:p w14:paraId="4ACAF584" w14:textId="77777777" w:rsidR="006A6391" w:rsidRDefault="006A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CA4A0" w14:textId="77777777" w:rsidR="006A6391" w:rsidRDefault="006A639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375A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2C758" w14:textId="77777777" w:rsidR="006A6391" w:rsidRDefault="006A6391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375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625133"/>
      <w:docPartObj>
        <w:docPartGallery w:val="Page Numbers (Bottom of Page)"/>
        <w:docPartUnique/>
      </w:docPartObj>
    </w:sdtPr>
    <w:sdtEndPr/>
    <w:sdtContent>
      <w:p w14:paraId="547BFDE4" w14:textId="58860619" w:rsidR="006A6391" w:rsidRPr="009431CE" w:rsidRDefault="006A6391" w:rsidP="009431CE">
        <w:pPr>
          <w:pStyle w:val="Normal-pool"/>
        </w:pPr>
        <w:r>
          <w:t>K1706954</w:t>
        </w:r>
        <w:r>
          <w:tab/>
          <w:t>100717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38D8A" w14:textId="77777777" w:rsidR="006A6391" w:rsidRPr="009431CE" w:rsidRDefault="006A6391" w:rsidP="009431CE">
      <w:pPr>
        <w:spacing w:before="60"/>
        <w:ind w:left="624"/>
        <w:rPr>
          <w:sz w:val="18"/>
          <w:szCs w:val="18"/>
        </w:rPr>
      </w:pPr>
      <w:r w:rsidRPr="009431CE">
        <w:rPr>
          <w:sz w:val="18"/>
          <w:szCs w:val="18"/>
        </w:rPr>
        <w:separator/>
      </w:r>
    </w:p>
  </w:footnote>
  <w:footnote w:type="continuationSeparator" w:id="0">
    <w:p w14:paraId="02611C2F" w14:textId="77777777" w:rsidR="006A6391" w:rsidRDefault="006A6391">
      <w:r>
        <w:continuationSeparator/>
      </w:r>
    </w:p>
  </w:footnote>
  <w:footnote w:id="1">
    <w:p w14:paraId="63287513" w14:textId="7D5C62D0" w:rsidR="006A6391" w:rsidRPr="00067B00" w:rsidRDefault="006A6391" w:rsidP="009431CE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>
        <w:rPr>
          <w:sz w:val="18"/>
          <w:szCs w:val="18"/>
        </w:rPr>
        <w:t>* 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E56B1" w14:textId="16B19801" w:rsidR="006A6391" w:rsidRPr="00CA5CA9" w:rsidRDefault="006A6391" w:rsidP="001646EA">
    <w:pPr>
      <w:pStyle w:val="Header"/>
      <w:rPr>
        <w:szCs w:val="18"/>
      </w:rPr>
    </w:pPr>
    <w:r>
      <w:t>UNEP/MC/COP.1/4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511C" w14:textId="36212DA3" w:rsidR="006A6391" w:rsidRPr="00CA5CA9" w:rsidRDefault="006A6391" w:rsidP="00035EDE">
    <w:pPr>
      <w:pStyle w:val="Header"/>
      <w:jc w:val="right"/>
      <w:rPr>
        <w:szCs w:val="18"/>
      </w:rPr>
    </w:pPr>
    <w:r>
      <w:t>UNEP/MC/COP.1/4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997F8" w14:textId="68802252" w:rsidR="006A6391" w:rsidRDefault="006A6391" w:rsidP="009431C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D5F"/>
    <w:multiLevelType w:val="hybridMultilevel"/>
    <w:tmpl w:val="686C86F4"/>
    <w:styleLink w:val="Importeradestilen4"/>
    <w:lvl w:ilvl="0" w:tplc="A948DB4A">
      <w:start w:val="1"/>
      <w:numFmt w:val="lowerRoman"/>
      <w:lvlText w:val="%1."/>
      <w:lvlJc w:val="left"/>
      <w:pPr>
        <w:tabs>
          <w:tab w:val="left" w:pos="1247"/>
          <w:tab w:val="left" w:pos="1814"/>
          <w:tab w:val="num" w:pos="2381"/>
          <w:tab w:val="left" w:pos="2410"/>
          <w:tab w:val="left" w:pos="3515"/>
        </w:tabs>
        <w:ind w:left="2405" w:hanging="66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2038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125"/>
          <w:tab w:val="left" w:pos="3515"/>
        </w:tabs>
        <w:ind w:left="31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E0EE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515"/>
        </w:tabs>
        <w:ind w:left="3539" w:hanging="17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E08DD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4565"/>
        </w:tabs>
        <w:ind w:left="458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50AE04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5285"/>
        </w:tabs>
        <w:ind w:left="530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22CE6A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005"/>
        </w:tabs>
        <w:ind w:left="602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68D452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725"/>
        </w:tabs>
        <w:ind w:left="67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96AE96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7445"/>
        </w:tabs>
        <w:ind w:left="746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D8BC1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8165"/>
        </w:tabs>
        <w:ind w:left="818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73D51BA"/>
    <w:multiLevelType w:val="hybridMultilevel"/>
    <w:tmpl w:val="29B2D844"/>
    <w:numStyleLink w:val="Importeradestilen6"/>
  </w:abstractNum>
  <w:abstractNum w:abstractNumId="2">
    <w:nsid w:val="0B96391C"/>
    <w:multiLevelType w:val="hybridMultilevel"/>
    <w:tmpl w:val="81E0EFB8"/>
    <w:numStyleLink w:val="Importeradestilen5"/>
  </w:abstractNum>
  <w:abstractNum w:abstractNumId="3">
    <w:nsid w:val="19D95965"/>
    <w:multiLevelType w:val="hybridMultilevel"/>
    <w:tmpl w:val="F044000E"/>
    <w:numStyleLink w:val="Importeradestilen8"/>
  </w:abstractNum>
  <w:abstractNum w:abstractNumId="4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DD51BB8"/>
    <w:multiLevelType w:val="hybridMultilevel"/>
    <w:tmpl w:val="0B422B62"/>
    <w:styleLink w:val="Importeradestilen9"/>
    <w:lvl w:ilvl="0" w:tplc="AB18604A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FDCE6AC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206CC5C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32FDC6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B4C744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42CA6C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5EE9F1C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CA9F60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AE376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21BB3DBA"/>
    <w:multiLevelType w:val="hybridMultilevel"/>
    <w:tmpl w:val="81E0EFB8"/>
    <w:styleLink w:val="Importeradestilen5"/>
    <w:lvl w:ilvl="0" w:tplc="14CC428C">
      <w:start w:val="1"/>
      <w:numFmt w:val="lowerRoman"/>
      <w:lvlText w:val="(%1)"/>
      <w:lvlJc w:val="left"/>
      <w:pPr>
        <w:tabs>
          <w:tab w:val="left" w:pos="1247"/>
        </w:tabs>
        <w:ind w:left="241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500BD6">
      <w:start w:val="1"/>
      <w:numFmt w:val="lowerLetter"/>
      <w:lvlText w:val="%2."/>
      <w:lvlJc w:val="left"/>
      <w:pPr>
        <w:tabs>
          <w:tab w:val="left" w:pos="1247"/>
        </w:tabs>
        <w:ind w:left="27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C21258">
      <w:start w:val="1"/>
      <w:numFmt w:val="lowerRoman"/>
      <w:lvlText w:val="%3."/>
      <w:lvlJc w:val="left"/>
      <w:pPr>
        <w:tabs>
          <w:tab w:val="left" w:pos="1247"/>
        </w:tabs>
        <w:ind w:left="349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5A3474">
      <w:start w:val="1"/>
      <w:numFmt w:val="decimal"/>
      <w:lvlText w:val="%4."/>
      <w:lvlJc w:val="left"/>
      <w:pPr>
        <w:tabs>
          <w:tab w:val="left" w:pos="1247"/>
        </w:tabs>
        <w:ind w:left="421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72CBB2">
      <w:start w:val="1"/>
      <w:numFmt w:val="lowerLetter"/>
      <w:lvlText w:val="%5."/>
      <w:lvlJc w:val="left"/>
      <w:pPr>
        <w:tabs>
          <w:tab w:val="left" w:pos="1247"/>
        </w:tabs>
        <w:ind w:left="493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C4E8F2">
      <w:start w:val="1"/>
      <w:numFmt w:val="lowerRoman"/>
      <w:lvlText w:val="%6."/>
      <w:lvlJc w:val="left"/>
      <w:pPr>
        <w:tabs>
          <w:tab w:val="left" w:pos="1247"/>
        </w:tabs>
        <w:ind w:left="565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C276FA">
      <w:start w:val="1"/>
      <w:numFmt w:val="decimal"/>
      <w:lvlText w:val="%7."/>
      <w:lvlJc w:val="left"/>
      <w:pPr>
        <w:tabs>
          <w:tab w:val="left" w:pos="1247"/>
        </w:tabs>
        <w:ind w:left="63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AA22FF2">
      <w:start w:val="1"/>
      <w:numFmt w:val="lowerLetter"/>
      <w:lvlText w:val="%8."/>
      <w:lvlJc w:val="left"/>
      <w:pPr>
        <w:tabs>
          <w:tab w:val="left" w:pos="1247"/>
        </w:tabs>
        <w:ind w:left="709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2C83F0">
      <w:start w:val="1"/>
      <w:numFmt w:val="lowerRoman"/>
      <w:lvlText w:val="%9."/>
      <w:lvlJc w:val="left"/>
      <w:pPr>
        <w:tabs>
          <w:tab w:val="left" w:pos="1247"/>
        </w:tabs>
        <w:ind w:left="781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4E5D14"/>
    <w:multiLevelType w:val="hybridMultilevel"/>
    <w:tmpl w:val="29B2D844"/>
    <w:styleLink w:val="Importeradestilen6"/>
    <w:lvl w:ilvl="0" w:tplc="5192BC10">
      <w:start w:val="1"/>
      <w:numFmt w:val="decimal"/>
      <w:lvlText w:val="%1."/>
      <w:lvlJc w:val="left"/>
      <w:pPr>
        <w:tabs>
          <w:tab w:val="left" w:pos="624"/>
          <w:tab w:val="num" w:pos="187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1AF0">
      <w:start w:val="1"/>
      <w:numFmt w:val="lowerLetter"/>
      <w:lvlText w:val="%2."/>
      <w:lvlJc w:val="left"/>
      <w:pPr>
        <w:tabs>
          <w:tab w:val="left" w:pos="624"/>
          <w:tab w:val="num" w:pos="2592"/>
        </w:tabs>
        <w:ind w:left="1967" w:firstLine="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F6DCCA">
      <w:start w:val="1"/>
      <w:numFmt w:val="lowerRoman"/>
      <w:lvlText w:val="%3."/>
      <w:lvlJc w:val="left"/>
      <w:pPr>
        <w:tabs>
          <w:tab w:val="left" w:pos="624"/>
          <w:tab w:val="num" w:pos="3312"/>
        </w:tabs>
        <w:ind w:left="2687" w:firstLine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B6A152">
      <w:start w:val="1"/>
      <w:numFmt w:val="decimal"/>
      <w:lvlText w:val="%4."/>
      <w:lvlJc w:val="left"/>
      <w:pPr>
        <w:tabs>
          <w:tab w:val="left" w:pos="624"/>
          <w:tab w:val="num" w:pos="4032"/>
        </w:tabs>
        <w:ind w:left="3407" w:firstLine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1A4934">
      <w:start w:val="1"/>
      <w:numFmt w:val="lowerLetter"/>
      <w:lvlText w:val="%5."/>
      <w:lvlJc w:val="left"/>
      <w:pPr>
        <w:tabs>
          <w:tab w:val="left" w:pos="624"/>
          <w:tab w:val="num" w:pos="4752"/>
        </w:tabs>
        <w:ind w:left="4127" w:firstLine="3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636BAB8">
      <w:start w:val="1"/>
      <w:numFmt w:val="lowerRoman"/>
      <w:lvlText w:val="%6."/>
      <w:lvlJc w:val="left"/>
      <w:pPr>
        <w:tabs>
          <w:tab w:val="left" w:pos="624"/>
          <w:tab w:val="num" w:pos="5472"/>
        </w:tabs>
        <w:ind w:left="4847" w:hanging="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DA2A78">
      <w:start w:val="1"/>
      <w:numFmt w:val="decimal"/>
      <w:lvlText w:val="%7."/>
      <w:lvlJc w:val="left"/>
      <w:pPr>
        <w:tabs>
          <w:tab w:val="left" w:pos="624"/>
          <w:tab w:val="num" w:pos="6192"/>
        </w:tabs>
        <w:ind w:left="5567" w:hanging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623B32">
      <w:start w:val="1"/>
      <w:numFmt w:val="lowerLetter"/>
      <w:lvlText w:val="%8."/>
      <w:lvlJc w:val="left"/>
      <w:pPr>
        <w:tabs>
          <w:tab w:val="left" w:pos="624"/>
          <w:tab w:val="num" w:pos="6912"/>
        </w:tabs>
        <w:ind w:left="6287" w:firstLine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4018E6">
      <w:start w:val="1"/>
      <w:numFmt w:val="lowerRoman"/>
      <w:lvlText w:val="%9."/>
      <w:lvlJc w:val="left"/>
      <w:pPr>
        <w:tabs>
          <w:tab w:val="left" w:pos="624"/>
          <w:tab w:val="num" w:pos="7632"/>
        </w:tabs>
        <w:ind w:left="7007" w:firstLine="2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>
    <w:nsid w:val="47E322D5"/>
    <w:multiLevelType w:val="hybridMultilevel"/>
    <w:tmpl w:val="F044000E"/>
    <w:styleLink w:val="Importeradestilen8"/>
    <w:lvl w:ilvl="0" w:tplc="518860AE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EF6AE9E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84ED090">
      <w:start w:val="1"/>
      <w:numFmt w:val="lowerRoman"/>
      <w:lvlText w:val="%3."/>
      <w:lvlJc w:val="left"/>
      <w:pPr>
        <w:tabs>
          <w:tab w:val="left" w:pos="624"/>
          <w:tab w:val="num" w:pos="3383"/>
        </w:tabs>
        <w:ind w:left="2134" w:firstLine="9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F14D68C">
      <w:start w:val="1"/>
      <w:numFmt w:val="decimal"/>
      <w:lvlText w:val="%4."/>
      <w:lvlJc w:val="left"/>
      <w:pPr>
        <w:tabs>
          <w:tab w:val="left" w:pos="624"/>
          <w:tab w:val="num" w:pos="4103"/>
        </w:tabs>
        <w:ind w:left="2854" w:firstLine="9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CC82438">
      <w:start w:val="1"/>
      <w:numFmt w:val="lowerLetter"/>
      <w:lvlText w:val="%5."/>
      <w:lvlJc w:val="left"/>
      <w:pPr>
        <w:tabs>
          <w:tab w:val="left" w:pos="624"/>
          <w:tab w:val="num" w:pos="4823"/>
        </w:tabs>
        <w:ind w:left="3574" w:firstLine="107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E4E9C60">
      <w:start w:val="1"/>
      <w:numFmt w:val="lowerRoman"/>
      <w:lvlText w:val="%6."/>
      <w:lvlJc w:val="left"/>
      <w:pPr>
        <w:tabs>
          <w:tab w:val="left" w:pos="624"/>
          <w:tab w:val="num" w:pos="5543"/>
        </w:tabs>
        <w:ind w:left="4294" w:firstLine="6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906F734">
      <w:start w:val="1"/>
      <w:numFmt w:val="decimal"/>
      <w:lvlText w:val="%7."/>
      <w:lvlJc w:val="left"/>
      <w:pPr>
        <w:tabs>
          <w:tab w:val="left" w:pos="624"/>
          <w:tab w:val="num" w:pos="6263"/>
        </w:tabs>
        <w:ind w:left="5014" w:firstLine="6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18AE5D0">
      <w:start w:val="1"/>
      <w:numFmt w:val="lowerLetter"/>
      <w:lvlText w:val="%8."/>
      <w:lvlJc w:val="left"/>
      <w:pPr>
        <w:tabs>
          <w:tab w:val="left" w:pos="624"/>
          <w:tab w:val="num" w:pos="6983"/>
        </w:tabs>
        <w:ind w:left="5734" w:firstLine="74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DC6DFAE">
      <w:start w:val="1"/>
      <w:numFmt w:val="lowerRoman"/>
      <w:lvlText w:val="%9."/>
      <w:lvlJc w:val="left"/>
      <w:pPr>
        <w:tabs>
          <w:tab w:val="left" w:pos="624"/>
          <w:tab w:val="num" w:pos="7703"/>
        </w:tabs>
        <w:ind w:left="6454" w:firstLine="9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4A0608AF"/>
    <w:multiLevelType w:val="hybridMultilevel"/>
    <w:tmpl w:val="156885FC"/>
    <w:numStyleLink w:val="Importeradestilen3"/>
  </w:abstractNum>
  <w:abstractNum w:abstractNumId="12">
    <w:nsid w:val="4BC03B25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2A66A9D"/>
    <w:multiLevelType w:val="multilevel"/>
    <w:tmpl w:val="8056C3C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>
    <w:nsid w:val="58AA3667"/>
    <w:multiLevelType w:val="hybridMultilevel"/>
    <w:tmpl w:val="A72A60C0"/>
    <w:numStyleLink w:val="Importeradestilen7"/>
  </w:abstractNum>
  <w:abstractNum w:abstractNumId="15">
    <w:nsid w:val="5B807CFF"/>
    <w:multiLevelType w:val="hybridMultilevel"/>
    <w:tmpl w:val="F40C1E4E"/>
    <w:lvl w:ilvl="0" w:tplc="3D64714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BF5183E"/>
    <w:multiLevelType w:val="hybridMultilevel"/>
    <w:tmpl w:val="686C86F4"/>
    <w:numStyleLink w:val="Importeradestilen4"/>
  </w:abstractNum>
  <w:abstractNum w:abstractNumId="17">
    <w:nsid w:val="5E216D7B"/>
    <w:multiLevelType w:val="hybridMultilevel"/>
    <w:tmpl w:val="0B422B62"/>
    <w:numStyleLink w:val="Importeradestilen9"/>
  </w:abstractNum>
  <w:abstractNum w:abstractNumId="18">
    <w:nsid w:val="636C7C8C"/>
    <w:multiLevelType w:val="multilevel"/>
    <w:tmpl w:val="BAF61738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9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CF3645A"/>
    <w:multiLevelType w:val="multilevel"/>
    <w:tmpl w:val="52029FEA"/>
    <w:lvl w:ilvl="0">
      <w:start w:val="1"/>
      <w:numFmt w:val="lowerLetter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1">
    <w:nsid w:val="712E4442"/>
    <w:multiLevelType w:val="hybridMultilevel"/>
    <w:tmpl w:val="A72A60C0"/>
    <w:styleLink w:val="Importeradestilen7"/>
    <w:lvl w:ilvl="0" w:tplc="3AECE516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3A6E32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3EAC60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52579C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42B46C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B24B91E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D8721A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CA511E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19ABA7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716636F5"/>
    <w:multiLevelType w:val="multilevel"/>
    <w:tmpl w:val="3EE67F08"/>
    <w:lvl w:ilvl="0">
      <w:start w:val="1"/>
      <w:numFmt w:val="lowerLetter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3">
    <w:nsid w:val="75436F1A"/>
    <w:multiLevelType w:val="hybridMultilevel"/>
    <w:tmpl w:val="156885FC"/>
    <w:styleLink w:val="Importeradestilen3"/>
    <w:lvl w:ilvl="0" w:tplc="755A5C66">
      <w:start w:val="1"/>
      <w:numFmt w:val="lowerRoman"/>
      <w:lvlText w:val="%1."/>
      <w:lvlJc w:val="left"/>
      <w:pPr>
        <w:tabs>
          <w:tab w:val="left" w:pos="3969"/>
        </w:tabs>
        <w:ind w:left="2410" w:hanging="65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208E1C">
      <w:start w:val="1"/>
      <w:numFmt w:val="lowerLetter"/>
      <w:lvlText w:val="%2."/>
      <w:lvlJc w:val="left"/>
      <w:pPr>
        <w:tabs>
          <w:tab w:val="left" w:pos="2410"/>
          <w:tab w:val="left" w:pos="3969"/>
        </w:tabs>
        <w:ind w:left="31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0C4956">
      <w:start w:val="1"/>
      <w:numFmt w:val="lowerRoman"/>
      <w:lvlText w:val="%3."/>
      <w:lvlJc w:val="left"/>
      <w:pPr>
        <w:tabs>
          <w:tab w:val="left" w:pos="2410"/>
          <w:tab w:val="left" w:pos="3969"/>
        </w:tabs>
        <w:ind w:left="385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CED5BA">
      <w:start w:val="1"/>
      <w:numFmt w:val="decimal"/>
      <w:lvlText w:val="%4."/>
      <w:lvlJc w:val="left"/>
      <w:pPr>
        <w:tabs>
          <w:tab w:val="left" w:pos="2410"/>
          <w:tab w:val="left" w:pos="3969"/>
        </w:tabs>
        <w:ind w:left="457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CA4012">
      <w:start w:val="1"/>
      <w:numFmt w:val="lowerLetter"/>
      <w:lvlText w:val="%5."/>
      <w:lvlJc w:val="left"/>
      <w:pPr>
        <w:tabs>
          <w:tab w:val="left" w:pos="2410"/>
          <w:tab w:val="left" w:pos="3969"/>
        </w:tabs>
        <w:ind w:left="529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D22708">
      <w:start w:val="1"/>
      <w:numFmt w:val="lowerRoman"/>
      <w:lvlText w:val="%6."/>
      <w:lvlJc w:val="left"/>
      <w:pPr>
        <w:tabs>
          <w:tab w:val="left" w:pos="2410"/>
          <w:tab w:val="left" w:pos="3969"/>
        </w:tabs>
        <w:ind w:left="601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F274A6">
      <w:start w:val="1"/>
      <w:numFmt w:val="decimal"/>
      <w:lvlText w:val="%7."/>
      <w:lvlJc w:val="left"/>
      <w:pPr>
        <w:tabs>
          <w:tab w:val="left" w:pos="2410"/>
          <w:tab w:val="left" w:pos="3969"/>
        </w:tabs>
        <w:ind w:left="67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3A71C2">
      <w:start w:val="1"/>
      <w:numFmt w:val="lowerLetter"/>
      <w:lvlText w:val="%8."/>
      <w:lvlJc w:val="left"/>
      <w:pPr>
        <w:tabs>
          <w:tab w:val="left" w:pos="2410"/>
          <w:tab w:val="left" w:pos="3969"/>
        </w:tabs>
        <w:ind w:left="745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7A808A">
      <w:start w:val="1"/>
      <w:numFmt w:val="lowerRoman"/>
      <w:lvlText w:val="%9."/>
      <w:lvlJc w:val="left"/>
      <w:pPr>
        <w:tabs>
          <w:tab w:val="left" w:pos="2410"/>
          <w:tab w:val="left" w:pos="3969"/>
        </w:tabs>
        <w:ind w:left="817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">
    <w:abstractNumId w:val="4"/>
  </w:num>
  <w:num w:numId="3">
    <w:abstractNumId w:val="8"/>
  </w:num>
  <w:num w:numId="4">
    <w:abstractNumId w:val="1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305"/>
          </w:tabs>
          <w:ind w:left="1418" w:firstLine="0"/>
        </w:pPr>
        <w:rPr>
          <w:rFonts w:hint="default"/>
        </w:rPr>
      </w:lvl>
    </w:lvlOverride>
  </w:num>
  <w:num w:numId="5">
    <w:abstractNumId w:val="1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6">
    <w:abstractNumId w:val="7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24"/>
  </w:num>
  <w:num w:numId="23">
    <w:abstractNumId w:val="12"/>
  </w:num>
  <w:num w:numId="24">
    <w:abstractNumId w:val="19"/>
  </w:num>
  <w:num w:numId="25">
    <w:abstractNumId w:val="23"/>
  </w:num>
  <w:num w:numId="26">
    <w:abstractNumId w:val="11"/>
  </w:num>
  <w:num w:numId="27">
    <w:abstractNumId w:val="0"/>
  </w:num>
  <w:num w:numId="28">
    <w:abstractNumId w:val="16"/>
  </w:num>
  <w:num w:numId="29">
    <w:abstractNumId w:val="6"/>
  </w:num>
  <w:num w:numId="30">
    <w:abstractNumId w:val="2"/>
  </w:num>
  <w:num w:numId="31">
    <w:abstractNumId w:val="9"/>
  </w:num>
  <w:num w:numId="32">
    <w:abstractNumId w:val="1"/>
  </w:num>
  <w:num w:numId="33">
    <w:abstractNumId w:val="21"/>
  </w:num>
  <w:num w:numId="34">
    <w:abstractNumId w:val="14"/>
  </w:num>
  <w:num w:numId="35">
    <w:abstractNumId w:val="1"/>
    <w:lvlOverride w:ilvl="0">
      <w:startOverride w:val="10"/>
      <w:lvl w:ilvl="0" w:tplc="47260B30">
        <w:start w:val="10"/>
        <w:numFmt w:val="decimal"/>
        <w:lvlText w:val="%1."/>
        <w:lvlJc w:val="left"/>
        <w:pPr>
          <w:tabs>
            <w:tab w:val="left" w:pos="624"/>
            <w:tab w:val="num" w:pos="1872"/>
          </w:tabs>
          <w:ind w:left="1247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F70BE60">
        <w:start w:val="1"/>
        <w:numFmt w:val="lowerLetter"/>
        <w:lvlText w:val="%2."/>
        <w:lvlJc w:val="left"/>
        <w:pPr>
          <w:tabs>
            <w:tab w:val="left" w:pos="624"/>
            <w:tab w:val="num" w:pos="2592"/>
          </w:tabs>
          <w:ind w:left="1967" w:firstLine="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1C845E36">
        <w:start w:val="1"/>
        <w:numFmt w:val="lowerRoman"/>
        <w:lvlText w:val="%3."/>
        <w:lvlJc w:val="left"/>
        <w:pPr>
          <w:tabs>
            <w:tab w:val="left" w:pos="624"/>
            <w:tab w:val="num" w:pos="3312"/>
          </w:tabs>
          <w:ind w:left="2687" w:firstLine="287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D9613D4">
        <w:start w:val="1"/>
        <w:numFmt w:val="decimal"/>
        <w:lvlText w:val="%4."/>
        <w:lvlJc w:val="left"/>
        <w:pPr>
          <w:tabs>
            <w:tab w:val="left" w:pos="624"/>
            <w:tab w:val="num" w:pos="4032"/>
          </w:tabs>
          <w:ind w:left="3407" w:firstLine="28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340C986">
        <w:start w:val="1"/>
        <w:numFmt w:val="lowerLetter"/>
        <w:lvlText w:val="%5."/>
        <w:lvlJc w:val="left"/>
        <w:pPr>
          <w:tabs>
            <w:tab w:val="left" w:pos="624"/>
            <w:tab w:val="num" w:pos="4752"/>
          </w:tabs>
          <w:ind w:left="4127" w:firstLine="3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1002BCA">
        <w:start w:val="1"/>
        <w:numFmt w:val="lowerRoman"/>
        <w:lvlText w:val="%6."/>
        <w:lvlJc w:val="left"/>
        <w:pPr>
          <w:tabs>
            <w:tab w:val="left" w:pos="624"/>
            <w:tab w:val="num" w:pos="5472"/>
          </w:tabs>
          <w:ind w:left="4847" w:hanging="4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9D22AB4">
        <w:start w:val="1"/>
        <w:numFmt w:val="decimal"/>
        <w:lvlText w:val="%7."/>
        <w:lvlJc w:val="left"/>
        <w:pPr>
          <w:tabs>
            <w:tab w:val="left" w:pos="624"/>
            <w:tab w:val="num" w:pos="6192"/>
          </w:tabs>
          <w:ind w:left="5567" w:hanging="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818EBDE0">
        <w:start w:val="1"/>
        <w:numFmt w:val="lowerLetter"/>
        <w:lvlText w:val="%8."/>
        <w:lvlJc w:val="left"/>
        <w:pPr>
          <w:tabs>
            <w:tab w:val="left" w:pos="624"/>
            <w:tab w:val="num" w:pos="6912"/>
          </w:tabs>
          <w:ind w:left="6287" w:firstLine="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BFE1FF2">
        <w:start w:val="1"/>
        <w:numFmt w:val="lowerRoman"/>
        <w:lvlText w:val="%9."/>
        <w:lvlJc w:val="left"/>
        <w:pPr>
          <w:tabs>
            <w:tab w:val="left" w:pos="624"/>
            <w:tab w:val="num" w:pos="7632"/>
          </w:tabs>
          <w:ind w:left="7007" w:firstLine="2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6">
    <w:abstractNumId w:val="10"/>
  </w:num>
  <w:num w:numId="37">
    <w:abstractNumId w:val="3"/>
  </w:num>
  <w:num w:numId="38">
    <w:abstractNumId w:val="1"/>
    <w:lvlOverride w:ilvl="0">
      <w:startOverride w:val="12"/>
    </w:lvlOverride>
  </w:num>
  <w:num w:numId="39">
    <w:abstractNumId w:val="5"/>
  </w:num>
  <w:num w:numId="40">
    <w:abstractNumId w:val="17"/>
  </w:num>
  <w:num w:numId="41">
    <w:abstractNumId w:val="13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2">
    <w:abstractNumId w:val="18"/>
  </w:num>
  <w:num w:numId="43">
    <w:abstractNumId w:val="22"/>
  </w:num>
  <w:num w:numId="44">
    <w:abstractNumId w:val="20"/>
  </w:num>
  <w:num w:numId="45">
    <w:abstractNumId w:val="13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6">
    <w:abstractNumId w:val="1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47">
    <w:abstractNumId w:val="1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48">
    <w:abstractNumId w:val="1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49">
    <w:abstractNumId w:val="1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5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efaultTabStop w:val="624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78D6A7D-E6C8-44BA-B27C-92A9E4B1903A}"/>
    <w:docVar w:name="dgnword-eventsink" w:val="790591960"/>
  </w:docVars>
  <w:rsids>
    <w:rsidRoot w:val="000D05A2"/>
    <w:rsid w:val="00000E4A"/>
    <w:rsid w:val="000024A3"/>
    <w:rsid w:val="00004C2E"/>
    <w:rsid w:val="00011A16"/>
    <w:rsid w:val="000149E6"/>
    <w:rsid w:val="00023DA9"/>
    <w:rsid w:val="000247B0"/>
    <w:rsid w:val="00026997"/>
    <w:rsid w:val="00026A08"/>
    <w:rsid w:val="00032E4E"/>
    <w:rsid w:val="00033E0B"/>
    <w:rsid w:val="00034F89"/>
    <w:rsid w:val="00035EDE"/>
    <w:rsid w:val="000505F1"/>
    <w:rsid w:val="000509B4"/>
    <w:rsid w:val="0006035B"/>
    <w:rsid w:val="0006096F"/>
    <w:rsid w:val="000649C5"/>
    <w:rsid w:val="00071886"/>
    <w:rsid w:val="000742BC"/>
    <w:rsid w:val="00076CC6"/>
    <w:rsid w:val="00076D15"/>
    <w:rsid w:val="00082A0C"/>
    <w:rsid w:val="00083504"/>
    <w:rsid w:val="00086516"/>
    <w:rsid w:val="0008768B"/>
    <w:rsid w:val="0009640C"/>
    <w:rsid w:val="000A546D"/>
    <w:rsid w:val="000B22A2"/>
    <w:rsid w:val="000B73F9"/>
    <w:rsid w:val="000C10FC"/>
    <w:rsid w:val="000C2A52"/>
    <w:rsid w:val="000D05A2"/>
    <w:rsid w:val="000D33C0"/>
    <w:rsid w:val="000D4CF6"/>
    <w:rsid w:val="000D6941"/>
    <w:rsid w:val="000E0D33"/>
    <w:rsid w:val="000F35D8"/>
    <w:rsid w:val="000F4829"/>
    <w:rsid w:val="000F4C00"/>
    <w:rsid w:val="000F5535"/>
    <w:rsid w:val="000F6E6F"/>
    <w:rsid w:val="00104AF7"/>
    <w:rsid w:val="00116A77"/>
    <w:rsid w:val="001176CB"/>
    <w:rsid w:val="001202E3"/>
    <w:rsid w:val="00121FDA"/>
    <w:rsid w:val="00123699"/>
    <w:rsid w:val="001241FB"/>
    <w:rsid w:val="0013059D"/>
    <w:rsid w:val="00136187"/>
    <w:rsid w:val="00136E25"/>
    <w:rsid w:val="00141A55"/>
    <w:rsid w:val="0014293F"/>
    <w:rsid w:val="0014397D"/>
    <w:rsid w:val="001446A3"/>
    <w:rsid w:val="00150667"/>
    <w:rsid w:val="00152B6B"/>
    <w:rsid w:val="00155395"/>
    <w:rsid w:val="00156B6B"/>
    <w:rsid w:val="00160D74"/>
    <w:rsid w:val="001646EA"/>
    <w:rsid w:val="00167D02"/>
    <w:rsid w:val="00171BF4"/>
    <w:rsid w:val="001740C3"/>
    <w:rsid w:val="001759D8"/>
    <w:rsid w:val="00177D7F"/>
    <w:rsid w:val="00180C3F"/>
    <w:rsid w:val="00181EC8"/>
    <w:rsid w:val="00184349"/>
    <w:rsid w:val="00195F33"/>
    <w:rsid w:val="001A1000"/>
    <w:rsid w:val="001B00AC"/>
    <w:rsid w:val="001B1617"/>
    <w:rsid w:val="001B504B"/>
    <w:rsid w:val="001B6F98"/>
    <w:rsid w:val="001C191A"/>
    <w:rsid w:val="001C3B22"/>
    <w:rsid w:val="001D3874"/>
    <w:rsid w:val="001D7E75"/>
    <w:rsid w:val="001E0D73"/>
    <w:rsid w:val="001E45BD"/>
    <w:rsid w:val="001E56D2"/>
    <w:rsid w:val="001E7D56"/>
    <w:rsid w:val="001F3629"/>
    <w:rsid w:val="001F75DE"/>
    <w:rsid w:val="00200D58"/>
    <w:rsid w:val="002011C1"/>
    <w:rsid w:val="002013BE"/>
    <w:rsid w:val="00201EDC"/>
    <w:rsid w:val="00204C46"/>
    <w:rsid w:val="002063A4"/>
    <w:rsid w:val="0021145B"/>
    <w:rsid w:val="00220C23"/>
    <w:rsid w:val="002247F6"/>
    <w:rsid w:val="00225E21"/>
    <w:rsid w:val="00234E78"/>
    <w:rsid w:val="00241304"/>
    <w:rsid w:val="00243D36"/>
    <w:rsid w:val="00246151"/>
    <w:rsid w:val="00247707"/>
    <w:rsid w:val="002511F6"/>
    <w:rsid w:val="0026018E"/>
    <w:rsid w:val="0026297A"/>
    <w:rsid w:val="002728B4"/>
    <w:rsid w:val="00275E4A"/>
    <w:rsid w:val="0028260A"/>
    <w:rsid w:val="00282895"/>
    <w:rsid w:val="00286740"/>
    <w:rsid w:val="00291EAE"/>
    <w:rsid w:val="002929D8"/>
    <w:rsid w:val="002A237D"/>
    <w:rsid w:val="002A4C53"/>
    <w:rsid w:val="002B0672"/>
    <w:rsid w:val="002B247F"/>
    <w:rsid w:val="002B50D4"/>
    <w:rsid w:val="002B58BF"/>
    <w:rsid w:val="002B7FC2"/>
    <w:rsid w:val="002C145D"/>
    <w:rsid w:val="002C2C3E"/>
    <w:rsid w:val="002C533E"/>
    <w:rsid w:val="002D027F"/>
    <w:rsid w:val="002D37EE"/>
    <w:rsid w:val="002D3E15"/>
    <w:rsid w:val="002D7A85"/>
    <w:rsid w:val="002D7B60"/>
    <w:rsid w:val="002F4761"/>
    <w:rsid w:val="002F5C79"/>
    <w:rsid w:val="002F67E3"/>
    <w:rsid w:val="002F68EE"/>
    <w:rsid w:val="002F6A9F"/>
    <w:rsid w:val="003019E2"/>
    <w:rsid w:val="00301F6E"/>
    <w:rsid w:val="0030460E"/>
    <w:rsid w:val="0030588E"/>
    <w:rsid w:val="00310BEB"/>
    <w:rsid w:val="00313550"/>
    <w:rsid w:val="00313E0F"/>
    <w:rsid w:val="0031413F"/>
    <w:rsid w:val="00314854"/>
    <w:rsid w:val="003148BB"/>
    <w:rsid w:val="0031708C"/>
    <w:rsid w:val="00317976"/>
    <w:rsid w:val="00320F2F"/>
    <w:rsid w:val="00325D38"/>
    <w:rsid w:val="00326F43"/>
    <w:rsid w:val="00327925"/>
    <w:rsid w:val="00334EFB"/>
    <w:rsid w:val="00343D01"/>
    <w:rsid w:val="00355EA9"/>
    <w:rsid w:val="003578DE"/>
    <w:rsid w:val="00361688"/>
    <w:rsid w:val="003644C2"/>
    <w:rsid w:val="00367B82"/>
    <w:rsid w:val="00373E7E"/>
    <w:rsid w:val="00376ED9"/>
    <w:rsid w:val="0038258F"/>
    <w:rsid w:val="00385D1E"/>
    <w:rsid w:val="003877D5"/>
    <w:rsid w:val="003913E6"/>
    <w:rsid w:val="003929B8"/>
    <w:rsid w:val="00396257"/>
    <w:rsid w:val="00397EB8"/>
    <w:rsid w:val="003A4FD0"/>
    <w:rsid w:val="003A69D1"/>
    <w:rsid w:val="003A7705"/>
    <w:rsid w:val="003A77F1"/>
    <w:rsid w:val="003B05A4"/>
    <w:rsid w:val="003B1545"/>
    <w:rsid w:val="003C2DD7"/>
    <w:rsid w:val="003C3219"/>
    <w:rsid w:val="003C409D"/>
    <w:rsid w:val="003C5583"/>
    <w:rsid w:val="003C5BA6"/>
    <w:rsid w:val="003C74CF"/>
    <w:rsid w:val="003D3752"/>
    <w:rsid w:val="003E04EA"/>
    <w:rsid w:val="003E35DA"/>
    <w:rsid w:val="003E455D"/>
    <w:rsid w:val="003E5103"/>
    <w:rsid w:val="003E7B6F"/>
    <w:rsid w:val="003F0E85"/>
    <w:rsid w:val="003F423C"/>
    <w:rsid w:val="003F66FF"/>
    <w:rsid w:val="00402E92"/>
    <w:rsid w:val="00403EE1"/>
    <w:rsid w:val="00410C55"/>
    <w:rsid w:val="00416854"/>
    <w:rsid w:val="00417725"/>
    <w:rsid w:val="0042266F"/>
    <w:rsid w:val="0042794F"/>
    <w:rsid w:val="00437CFE"/>
    <w:rsid w:val="00437F26"/>
    <w:rsid w:val="00441957"/>
    <w:rsid w:val="00444097"/>
    <w:rsid w:val="00445487"/>
    <w:rsid w:val="00447E0D"/>
    <w:rsid w:val="00454769"/>
    <w:rsid w:val="00466991"/>
    <w:rsid w:val="0047064C"/>
    <w:rsid w:val="004757B9"/>
    <w:rsid w:val="004816E9"/>
    <w:rsid w:val="004822B7"/>
    <w:rsid w:val="0049469E"/>
    <w:rsid w:val="004A2217"/>
    <w:rsid w:val="004A24F9"/>
    <w:rsid w:val="004A42E1"/>
    <w:rsid w:val="004A577C"/>
    <w:rsid w:val="004B162C"/>
    <w:rsid w:val="004B251A"/>
    <w:rsid w:val="004B2ABE"/>
    <w:rsid w:val="004B64DE"/>
    <w:rsid w:val="004C35D0"/>
    <w:rsid w:val="004C3DBE"/>
    <w:rsid w:val="004C5C96"/>
    <w:rsid w:val="004D06A4"/>
    <w:rsid w:val="004F07F1"/>
    <w:rsid w:val="004F12DA"/>
    <w:rsid w:val="004F1A81"/>
    <w:rsid w:val="004F7BB8"/>
    <w:rsid w:val="005050D2"/>
    <w:rsid w:val="00513856"/>
    <w:rsid w:val="005218D9"/>
    <w:rsid w:val="00536186"/>
    <w:rsid w:val="00544CBB"/>
    <w:rsid w:val="00556981"/>
    <w:rsid w:val="005656D7"/>
    <w:rsid w:val="0057315F"/>
    <w:rsid w:val="00576104"/>
    <w:rsid w:val="005836EB"/>
    <w:rsid w:val="00592B21"/>
    <w:rsid w:val="005B44BF"/>
    <w:rsid w:val="005C256B"/>
    <w:rsid w:val="005C67C8"/>
    <w:rsid w:val="005D0249"/>
    <w:rsid w:val="005D18FA"/>
    <w:rsid w:val="005D4FD4"/>
    <w:rsid w:val="005D6E8C"/>
    <w:rsid w:val="005E1997"/>
    <w:rsid w:val="005E3004"/>
    <w:rsid w:val="005F100C"/>
    <w:rsid w:val="005F435B"/>
    <w:rsid w:val="005F68DA"/>
    <w:rsid w:val="006000AE"/>
    <w:rsid w:val="00601BC9"/>
    <w:rsid w:val="0060773B"/>
    <w:rsid w:val="00613FD6"/>
    <w:rsid w:val="006157B5"/>
    <w:rsid w:val="00617224"/>
    <w:rsid w:val="00626FC6"/>
    <w:rsid w:val="006303A4"/>
    <w:rsid w:val="006303B4"/>
    <w:rsid w:val="00630ADC"/>
    <w:rsid w:val="00633D3D"/>
    <w:rsid w:val="006350AA"/>
    <w:rsid w:val="006369D0"/>
    <w:rsid w:val="00641703"/>
    <w:rsid w:val="006431A6"/>
    <w:rsid w:val="00643E3A"/>
    <w:rsid w:val="006459F6"/>
    <w:rsid w:val="006501AD"/>
    <w:rsid w:val="00651BFA"/>
    <w:rsid w:val="00654475"/>
    <w:rsid w:val="00656DF0"/>
    <w:rsid w:val="00662D40"/>
    <w:rsid w:val="00665A4B"/>
    <w:rsid w:val="00670543"/>
    <w:rsid w:val="006801E2"/>
    <w:rsid w:val="006863D5"/>
    <w:rsid w:val="00692E2A"/>
    <w:rsid w:val="006A6391"/>
    <w:rsid w:val="006A76F2"/>
    <w:rsid w:val="006D19D4"/>
    <w:rsid w:val="006D448E"/>
    <w:rsid w:val="006D7EFB"/>
    <w:rsid w:val="006E1C83"/>
    <w:rsid w:val="006E549D"/>
    <w:rsid w:val="006E6672"/>
    <w:rsid w:val="006E6722"/>
    <w:rsid w:val="006F7AFF"/>
    <w:rsid w:val="007027B9"/>
    <w:rsid w:val="007066B5"/>
    <w:rsid w:val="007145DA"/>
    <w:rsid w:val="00715E88"/>
    <w:rsid w:val="00726BB3"/>
    <w:rsid w:val="00734CAA"/>
    <w:rsid w:val="00742680"/>
    <w:rsid w:val="00751257"/>
    <w:rsid w:val="0075533C"/>
    <w:rsid w:val="00757581"/>
    <w:rsid w:val="007602F5"/>
    <w:rsid w:val="00760D36"/>
    <w:rsid w:val="007611A0"/>
    <w:rsid w:val="00762B9E"/>
    <w:rsid w:val="00773E54"/>
    <w:rsid w:val="00787188"/>
    <w:rsid w:val="00787688"/>
    <w:rsid w:val="007935E6"/>
    <w:rsid w:val="00796D3F"/>
    <w:rsid w:val="00797350"/>
    <w:rsid w:val="007A1683"/>
    <w:rsid w:val="007A5C12"/>
    <w:rsid w:val="007A66CE"/>
    <w:rsid w:val="007A7CB0"/>
    <w:rsid w:val="007B68A3"/>
    <w:rsid w:val="007B695C"/>
    <w:rsid w:val="007B78B5"/>
    <w:rsid w:val="007C2541"/>
    <w:rsid w:val="007D66A8"/>
    <w:rsid w:val="007E003F"/>
    <w:rsid w:val="007F0CF8"/>
    <w:rsid w:val="007F5E20"/>
    <w:rsid w:val="007F62CB"/>
    <w:rsid w:val="00802727"/>
    <w:rsid w:val="00802A00"/>
    <w:rsid w:val="008142EC"/>
    <w:rsid w:val="008164F2"/>
    <w:rsid w:val="00816C40"/>
    <w:rsid w:val="00821395"/>
    <w:rsid w:val="00830E26"/>
    <w:rsid w:val="00843576"/>
    <w:rsid w:val="00843B64"/>
    <w:rsid w:val="00843BA1"/>
    <w:rsid w:val="008478FC"/>
    <w:rsid w:val="00851C51"/>
    <w:rsid w:val="00852780"/>
    <w:rsid w:val="008544ED"/>
    <w:rsid w:val="00867BFF"/>
    <w:rsid w:val="00871542"/>
    <w:rsid w:val="00871F87"/>
    <w:rsid w:val="00872BF6"/>
    <w:rsid w:val="00872C0D"/>
    <w:rsid w:val="00873473"/>
    <w:rsid w:val="0088480A"/>
    <w:rsid w:val="0088757A"/>
    <w:rsid w:val="0089369F"/>
    <w:rsid w:val="0089431B"/>
    <w:rsid w:val="00895668"/>
    <w:rsid w:val="008957DD"/>
    <w:rsid w:val="00897D98"/>
    <w:rsid w:val="00897E12"/>
    <w:rsid w:val="008A1FD3"/>
    <w:rsid w:val="008A2F30"/>
    <w:rsid w:val="008A649E"/>
    <w:rsid w:val="008A6DF2"/>
    <w:rsid w:val="008A7807"/>
    <w:rsid w:val="008B3F8B"/>
    <w:rsid w:val="008B4CC9"/>
    <w:rsid w:val="008B4FFB"/>
    <w:rsid w:val="008D75E4"/>
    <w:rsid w:val="008D7C99"/>
    <w:rsid w:val="008E0141"/>
    <w:rsid w:val="008E0FCB"/>
    <w:rsid w:val="008E40C6"/>
    <w:rsid w:val="008E5895"/>
    <w:rsid w:val="008F54DF"/>
    <w:rsid w:val="008F6DFE"/>
    <w:rsid w:val="0090529F"/>
    <w:rsid w:val="0091058A"/>
    <w:rsid w:val="00913F28"/>
    <w:rsid w:val="0091479A"/>
    <w:rsid w:val="00916353"/>
    <w:rsid w:val="0092178C"/>
    <w:rsid w:val="00930B88"/>
    <w:rsid w:val="00931D8C"/>
    <w:rsid w:val="00940DCC"/>
    <w:rsid w:val="009414C1"/>
    <w:rsid w:val="0094179A"/>
    <w:rsid w:val="009431CE"/>
    <w:rsid w:val="0094459E"/>
    <w:rsid w:val="00944DBC"/>
    <w:rsid w:val="00950977"/>
    <w:rsid w:val="00951A7B"/>
    <w:rsid w:val="00954193"/>
    <w:rsid w:val="00954D5B"/>
    <w:rsid w:val="009564A6"/>
    <w:rsid w:val="00966A53"/>
    <w:rsid w:val="00967621"/>
    <w:rsid w:val="0096773D"/>
    <w:rsid w:val="00967E6A"/>
    <w:rsid w:val="00974976"/>
    <w:rsid w:val="009758BB"/>
    <w:rsid w:val="009907B9"/>
    <w:rsid w:val="00990918"/>
    <w:rsid w:val="00990D55"/>
    <w:rsid w:val="009A040F"/>
    <w:rsid w:val="009A0830"/>
    <w:rsid w:val="009A101B"/>
    <w:rsid w:val="009A2F0D"/>
    <w:rsid w:val="009A3A83"/>
    <w:rsid w:val="009B3470"/>
    <w:rsid w:val="009B4A0F"/>
    <w:rsid w:val="009B5EB2"/>
    <w:rsid w:val="009C11D2"/>
    <w:rsid w:val="009C378A"/>
    <w:rsid w:val="009C6C70"/>
    <w:rsid w:val="009C7B0A"/>
    <w:rsid w:val="009D0B63"/>
    <w:rsid w:val="009D191B"/>
    <w:rsid w:val="009D56EE"/>
    <w:rsid w:val="009D5CB8"/>
    <w:rsid w:val="009D6B7E"/>
    <w:rsid w:val="009E19DF"/>
    <w:rsid w:val="009E307E"/>
    <w:rsid w:val="00A03336"/>
    <w:rsid w:val="00A07870"/>
    <w:rsid w:val="00A07C54"/>
    <w:rsid w:val="00A07F19"/>
    <w:rsid w:val="00A1348D"/>
    <w:rsid w:val="00A13C99"/>
    <w:rsid w:val="00A155C6"/>
    <w:rsid w:val="00A232EE"/>
    <w:rsid w:val="00A26E48"/>
    <w:rsid w:val="00A37C1E"/>
    <w:rsid w:val="00A4175F"/>
    <w:rsid w:val="00A436E6"/>
    <w:rsid w:val="00A44411"/>
    <w:rsid w:val="00A469FA"/>
    <w:rsid w:val="00A53662"/>
    <w:rsid w:val="00A54FD2"/>
    <w:rsid w:val="00A55B01"/>
    <w:rsid w:val="00A56B5B"/>
    <w:rsid w:val="00A603FF"/>
    <w:rsid w:val="00A619B6"/>
    <w:rsid w:val="00A62499"/>
    <w:rsid w:val="00A648CA"/>
    <w:rsid w:val="00A657DD"/>
    <w:rsid w:val="00A666A6"/>
    <w:rsid w:val="00A675FD"/>
    <w:rsid w:val="00A72437"/>
    <w:rsid w:val="00A8048B"/>
    <w:rsid w:val="00A80611"/>
    <w:rsid w:val="00A81763"/>
    <w:rsid w:val="00AA187D"/>
    <w:rsid w:val="00AA5BF4"/>
    <w:rsid w:val="00AB5340"/>
    <w:rsid w:val="00AC04F4"/>
    <w:rsid w:val="00AC0A89"/>
    <w:rsid w:val="00AC4F84"/>
    <w:rsid w:val="00AC7C96"/>
    <w:rsid w:val="00AE2281"/>
    <w:rsid w:val="00AE237D"/>
    <w:rsid w:val="00AE502A"/>
    <w:rsid w:val="00AF0010"/>
    <w:rsid w:val="00AF2C1F"/>
    <w:rsid w:val="00AF4318"/>
    <w:rsid w:val="00AF7C07"/>
    <w:rsid w:val="00B00F60"/>
    <w:rsid w:val="00B06C64"/>
    <w:rsid w:val="00B11CAC"/>
    <w:rsid w:val="00B15A29"/>
    <w:rsid w:val="00B22C93"/>
    <w:rsid w:val="00B24C77"/>
    <w:rsid w:val="00B27589"/>
    <w:rsid w:val="00B309C4"/>
    <w:rsid w:val="00B405B7"/>
    <w:rsid w:val="00B52222"/>
    <w:rsid w:val="00B531DA"/>
    <w:rsid w:val="00B54895"/>
    <w:rsid w:val="00B54FE7"/>
    <w:rsid w:val="00B5723A"/>
    <w:rsid w:val="00B647C6"/>
    <w:rsid w:val="00B655F9"/>
    <w:rsid w:val="00B66901"/>
    <w:rsid w:val="00B71E6D"/>
    <w:rsid w:val="00B72070"/>
    <w:rsid w:val="00B74773"/>
    <w:rsid w:val="00B779E1"/>
    <w:rsid w:val="00B81E3A"/>
    <w:rsid w:val="00B85CFB"/>
    <w:rsid w:val="00B91EE1"/>
    <w:rsid w:val="00B94602"/>
    <w:rsid w:val="00BA0090"/>
    <w:rsid w:val="00BA1A67"/>
    <w:rsid w:val="00BA527B"/>
    <w:rsid w:val="00BA6A80"/>
    <w:rsid w:val="00BB13B4"/>
    <w:rsid w:val="00BB1FC4"/>
    <w:rsid w:val="00BB4ABB"/>
    <w:rsid w:val="00BD3EF4"/>
    <w:rsid w:val="00BE38A0"/>
    <w:rsid w:val="00BE5B5F"/>
    <w:rsid w:val="00BE7662"/>
    <w:rsid w:val="00BE7993"/>
    <w:rsid w:val="00C0400D"/>
    <w:rsid w:val="00C11650"/>
    <w:rsid w:val="00C13B68"/>
    <w:rsid w:val="00C1728F"/>
    <w:rsid w:val="00C26F55"/>
    <w:rsid w:val="00C27765"/>
    <w:rsid w:val="00C3020E"/>
    <w:rsid w:val="00C30C63"/>
    <w:rsid w:val="00C30FF3"/>
    <w:rsid w:val="00C329D6"/>
    <w:rsid w:val="00C32A44"/>
    <w:rsid w:val="00C36B8B"/>
    <w:rsid w:val="00C415C1"/>
    <w:rsid w:val="00C43075"/>
    <w:rsid w:val="00C439D1"/>
    <w:rsid w:val="00C47DBF"/>
    <w:rsid w:val="00C552FF"/>
    <w:rsid w:val="00C558DA"/>
    <w:rsid w:val="00C55AF3"/>
    <w:rsid w:val="00C65AEC"/>
    <w:rsid w:val="00C749AD"/>
    <w:rsid w:val="00C771A9"/>
    <w:rsid w:val="00C83C15"/>
    <w:rsid w:val="00C84759"/>
    <w:rsid w:val="00C86A43"/>
    <w:rsid w:val="00C906F0"/>
    <w:rsid w:val="00CA5CA9"/>
    <w:rsid w:val="00CA6C7F"/>
    <w:rsid w:val="00CB4387"/>
    <w:rsid w:val="00CC0FC7"/>
    <w:rsid w:val="00CC10A6"/>
    <w:rsid w:val="00CD5EB8"/>
    <w:rsid w:val="00CD7044"/>
    <w:rsid w:val="00CE08B9"/>
    <w:rsid w:val="00CE524C"/>
    <w:rsid w:val="00CF141F"/>
    <w:rsid w:val="00CF1439"/>
    <w:rsid w:val="00CF147F"/>
    <w:rsid w:val="00CF212B"/>
    <w:rsid w:val="00CF4777"/>
    <w:rsid w:val="00CF65C8"/>
    <w:rsid w:val="00CF6B31"/>
    <w:rsid w:val="00D013F5"/>
    <w:rsid w:val="00D02114"/>
    <w:rsid w:val="00D05E3F"/>
    <w:rsid w:val="00D067BB"/>
    <w:rsid w:val="00D11C43"/>
    <w:rsid w:val="00D1352A"/>
    <w:rsid w:val="00D169AF"/>
    <w:rsid w:val="00D25249"/>
    <w:rsid w:val="00D319B2"/>
    <w:rsid w:val="00D43995"/>
    <w:rsid w:val="00D440E4"/>
    <w:rsid w:val="00D44172"/>
    <w:rsid w:val="00D47BE3"/>
    <w:rsid w:val="00D63B8C"/>
    <w:rsid w:val="00D739CC"/>
    <w:rsid w:val="00D804F8"/>
    <w:rsid w:val="00D8093D"/>
    <w:rsid w:val="00D8106E"/>
    <w:rsid w:val="00D8108C"/>
    <w:rsid w:val="00D842AE"/>
    <w:rsid w:val="00D86F3D"/>
    <w:rsid w:val="00D9211C"/>
    <w:rsid w:val="00D92DE0"/>
    <w:rsid w:val="00D92FEF"/>
    <w:rsid w:val="00D93A0F"/>
    <w:rsid w:val="00DA1BCA"/>
    <w:rsid w:val="00DA5B6B"/>
    <w:rsid w:val="00DA7527"/>
    <w:rsid w:val="00DB4290"/>
    <w:rsid w:val="00DC46FF"/>
    <w:rsid w:val="00DC5254"/>
    <w:rsid w:val="00DC569D"/>
    <w:rsid w:val="00DD1A4F"/>
    <w:rsid w:val="00DD3107"/>
    <w:rsid w:val="00DD7C2C"/>
    <w:rsid w:val="00DE0DB5"/>
    <w:rsid w:val="00DE2E33"/>
    <w:rsid w:val="00DE4BF2"/>
    <w:rsid w:val="00DE5BDA"/>
    <w:rsid w:val="00DF3A9F"/>
    <w:rsid w:val="00DF433C"/>
    <w:rsid w:val="00DF519F"/>
    <w:rsid w:val="00E0035A"/>
    <w:rsid w:val="00E01F6F"/>
    <w:rsid w:val="00E06797"/>
    <w:rsid w:val="00E1265B"/>
    <w:rsid w:val="00E13B48"/>
    <w:rsid w:val="00E1404F"/>
    <w:rsid w:val="00E21C83"/>
    <w:rsid w:val="00E24ADA"/>
    <w:rsid w:val="00E32F59"/>
    <w:rsid w:val="00E41908"/>
    <w:rsid w:val="00E4217A"/>
    <w:rsid w:val="00E46D9A"/>
    <w:rsid w:val="00E50C62"/>
    <w:rsid w:val="00E565FF"/>
    <w:rsid w:val="00E60FDF"/>
    <w:rsid w:val="00E65388"/>
    <w:rsid w:val="00E67437"/>
    <w:rsid w:val="00E71961"/>
    <w:rsid w:val="00E7741D"/>
    <w:rsid w:val="00E808CD"/>
    <w:rsid w:val="00E8348F"/>
    <w:rsid w:val="00E84D15"/>
    <w:rsid w:val="00E85B7D"/>
    <w:rsid w:val="00E9121B"/>
    <w:rsid w:val="00E9302E"/>
    <w:rsid w:val="00E931B3"/>
    <w:rsid w:val="00E976AB"/>
    <w:rsid w:val="00E97804"/>
    <w:rsid w:val="00EA0AE2"/>
    <w:rsid w:val="00EA1B36"/>
    <w:rsid w:val="00EA39E5"/>
    <w:rsid w:val="00EA57A3"/>
    <w:rsid w:val="00EC2813"/>
    <w:rsid w:val="00EC546B"/>
    <w:rsid w:val="00EC5A46"/>
    <w:rsid w:val="00EC63E2"/>
    <w:rsid w:val="00ED366A"/>
    <w:rsid w:val="00ED6BB7"/>
    <w:rsid w:val="00EE02D2"/>
    <w:rsid w:val="00EE51F4"/>
    <w:rsid w:val="00EF1D50"/>
    <w:rsid w:val="00EF22B3"/>
    <w:rsid w:val="00EF7D88"/>
    <w:rsid w:val="00F03B69"/>
    <w:rsid w:val="00F044B5"/>
    <w:rsid w:val="00F07A50"/>
    <w:rsid w:val="00F108F9"/>
    <w:rsid w:val="00F113DA"/>
    <w:rsid w:val="00F210A2"/>
    <w:rsid w:val="00F266FC"/>
    <w:rsid w:val="00F3037A"/>
    <w:rsid w:val="00F3465A"/>
    <w:rsid w:val="00F37DC8"/>
    <w:rsid w:val="00F439B3"/>
    <w:rsid w:val="00F6085A"/>
    <w:rsid w:val="00F64711"/>
    <w:rsid w:val="00F650C3"/>
    <w:rsid w:val="00F65D85"/>
    <w:rsid w:val="00F6700B"/>
    <w:rsid w:val="00F8091E"/>
    <w:rsid w:val="00F8615C"/>
    <w:rsid w:val="00F93B83"/>
    <w:rsid w:val="00F969E5"/>
    <w:rsid w:val="00FA1F79"/>
    <w:rsid w:val="00FA375A"/>
    <w:rsid w:val="00FA4972"/>
    <w:rsid w:val="00FA4BDA"/>
    <w:rsid w:val="00FA6BB0"/>
    <w:rsid w:val="00FB2DBD"/>
    <w:rsid w:val="00FB7B6E"/>
    <w:rsid w:val="00FD2941"/>
    <w:rsid w:val="00FD29BA"/>
    <w:rsid w:val="00FD48DF"/>
    <w:rsid w:val="00FD5860"/>
    <w:rsid w:val="00FE352D"/>
    <w:rsid w:val="00FE40EB"/>
    <w:rsid w:val="00FE4B71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F69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93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rsid w:val="00171BF4"/>
    <w:pPr>
      <w:spacing w:before="60" w:after="60"/>
    </w:pPr>
    <w:rPr>
      <w:b/>
    </w:r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7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DF3A9F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character" w:customStyle="1" w:styleId="BBTitleChar">
    <w:name w:val="BB_Title Char"/>
    <w:link w:val="BBTitle"/>
    <w:rsid w:val="008E0141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8E0141"/>
    <w:rPr>
      <w:b/>
      <w:sz w:val="24"/>
      <w:szCs w:val="24"/>
      <w:lang w:eastAsia="en-US"/>
    </w:rPr>
  </w:style>
  <w:style w:type="character" w:customStyle="1" w:styleId="ZZAnxtitleChar">
    <w:name w:val="ZZ_Anx_title Char"/>
    <w:link w:val="ZZAnxtitle"/>
    <w:rsid w:val="008E0141"/>
    <w:rPr>
      <w:b/>
      <w:bCs/>
      <w:sz w:val="28"/>
      <w:szCs w:val="26"/>
      <w:lang w:eastAsia="en-US"/>
    </w:rPr>
  </w:style>
  <w:style w:type="character" w:customStyle="1" w:styleId="ZZAnxheaderChar">
    <w:name w:val="ZZ_Anx_header Char"/>
    <w:link w:val="ZZAnxheader"/>
    <w:rsid w:val="008E0141"/>
    <w:rPr>
      <w:b/>
      <w:bCs/>
      <w:sz w:val="28"/>
      <w:szCs w:val="22"/>
      <w:lang w:eastAsia="en-US"/>
    </w:rPr>
  </w:style>
  <w:style w:type="character" w:customStyle="1" w:styleId="Normal-poolChar">
    <w:name w:val="Normal-pool Char"/>
    <w:link w:val="Normal-pool"/>
    <w:rsid w:val="008E0141"/>
    <w:rPr>
      <w:lang w:eastAsia="en-US"/>
    </w:rPr>
  </w:style>
  <w:style w:type="character" w:customStyle="1" w:styleId="Inget">
    <w:name w:val="Inget"/>
    <w:rsid w:val="008E0141"/>
  </w:style>
  <w:style w:type="numbering" w:customStyle="1" w:styleId="Importeradestilen4">
    <w:name w:val="Importerade stilen 4"/>
    <w:rsid w:val="008E0141"/>
    <w:pPr>
      <w:numPr>
        <w:numId w:val="27"/>
      </w:numPr>
    </w:pPr>
  </w:style>
  <w:style w:type="numbering" w:customStyle="1" w:styleId="Importeradestilen9">
    <w:name w:val="Importerade stilen 9"/>
    <w:rsid w:val="008E0141"/>
    <w:pPr>
      <w:numPr>
        <w:numId w:val="39"/>
      </w:numPr>
    </w:pPr>
  </w:style>
  <w:style w:type="numbering" w:customStyle="1" w:styleId="Importeradestilen5">
    <w:name w:val="Importerade stilen 5"/>
    <w:rsid w:val="008E0141"/>
    <w:pPr>
      <w:numPr>
        <w:numId w:val="29"/>
      </w:numPr>
    </w:pPr>
  </w:style>
  <w:style w:type="numbering" w:customStyle="1" w:styleId="Importeradestilen6">
    <w:name w:val="Importerade stilen 6"/>
    <w:rsid w:val="008E0141"/>
    <w:pPr>
      <w:numPr>
        <w:numId w:val="31"/>
      </w:numPr>
    </w:pPr>
  </w:style>
  <w:style w:type="numbering" w:customStyle="1" w:styleId="Importeradestilen8">
    <w:name w:val="Importerade stilen 8"/>
    <w:rsid w:val="008E0141"/>
    <w:pPr>
      <w:numPr>
        <w:numId w:val="36"/>
      </w:numPr>
    </w:pPr>
  </w:style>
  <w:style w:type="numbering" w:customStyle="1" w:styleId="Importeradestilen7">
    <w:name w:val="Importerade stilen 7"/>
    <w:rsid w:val="008E0141"/>
    <w:pPr>
      <w:numPr>
        <w:numId w:val="33"/>
      </w:numPr>
    </w:pPr>
  </w:style>
  <w:style w:type="numbering" w:customStyle="1" w:styleId="Importeradestilen3">
    <w:name w:val="Importerade stilen 3"/>
    <w:rsid w:val="008E0141"/>
    <w:pPr>
      <w:numPr>
        <w:numId w:val="25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34F89"/>
    <w:rPr>
      <w:sz w:val="18"/>
      <w:lang w:eastAsia="en-US"/>
    </w:rPr>
  </w:style>
  <w:style w:type="paragraph" w:styleId="Revision">
    <w:name w:val="Revision"/>
    <w:hidden/>
    <w:uiPriority w:val="99"/>
    <w:semiHidden/>
    <w:rsid w:val="00931D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93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rsid w:val="00171BF4"/>
    <w:pPr>
      <w:spacing w:before="60" w:after="60"/>
    </w:pPr>
    <w:rPr>
      <w:b/>
    </w:r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7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DF3A9F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character" w:customStyle="1" w:styleId="BBTitleChar">
    <w:name w:val="BB_Title Char"/>
    <w:link w:val="BBTitle"/>
    <w:rsid w:val="008E0141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8E0141"/>
    <w:rPr>
      <w:b/>
      <w:sz w:val="24"/>
      <w:szCs w:val="24"/>
      <w:lang w:eastAsia="en-US"/>
    </w:rPr>
  </w:style>
  <w:style w:type="character" w:customStyle="1" w:styleId="ZZAnxtitleChar">
    <w:name w:val="ZZ_Anx_title Char"/>
    <w:link w:val="ZZAnxtitle"/>
    <w:rsid w:val="008E0141"/>
    <w:rPr>
      <w:b/>
      <w:bCs/>
      <w:sz w:val="28"/>
      <w:szCs w:val="26"/>
      <w:lang w:eastAsia="en-US"/>
    </w:rPr>
  </w:style>
  <w:style w:type="character" w:customStyle="1" w:styleId="ZZAnxheaderChar">
    <w:name w:val="ZZ_Anx_header Char"/>
    <w:link w:val="ZZAnxheader"/>
    <w:rsid w:val="008E0141"/>
    <w:rPr>
      <w:b/>
      <w:bCs/>
      <w:sz w:val="28"/>
      <w:szCs w:val="22"/>
      <w:lang w:eastAsia="en-US"/>
    </w:rPr>
  </w:style>
  <w:style w:type="character" w:customStyle="1" w:styleId="Normal-poolChar">
    <w:name w:val="Normal-pool Char"/>
    <w:link w:val="Normal-pool"/>
    <w:rsid w:val="008E0141"/>
    <w:rPr>
      <w:lang w:eastAsia="en-US"/>
    </w:rPr>
  </w:style>
  <w:style w:type="character" w:customStyle="1" w:styleId="Inget">
    <w:name w:val="Inget"/>
    <w:rsid w:val="008E0141"/>
  </w:style>
  <w:style w:type="numbering" w:customStyle="1" w:styleId="Importeradestilen4">
    <w:name w:val="Importerade stilen 4"/>
    <w:rsid w:val="008E0141"/>
    <w:pPr>
      <w:numPr>
        <w:numId w:val="27"/>
      </w:numPr>
    </w:pPr>
  </w:style>
  <w:style w:type="numbering" w:customStyle="1" w:styleId="Importeradestilen9">
    <w:name w:val="Importerade stilen 9"/>
    <w:rsid w:val="008E0141"/>
    <w:pPr>
      <w:numPr>
        <w:numId w:val="39"/>
      </w:numPr>
    </w:pPr>
  </w:style>
  <w:style w:type="numbering" w:customStyle="1" w:styleId="Importeradestilen5">
    <w:name w:val="Importerade stilen 5"/>
    <w:rsid w:val="008E0141"/>
    <w:pPr>
      <w:numPr>
        <w:numId w:val="29"/>
      </w:numPr>
    </w:pPr>
  </w:style>
  <w:style w:type="numbering" w:customStyle="1" w:styleId="Importeradestilen6">
    <w:name w:val="Importerade stilen 6"/>
    <w:rsid w:val="008E0141"/>
    <w:pPr>
      <w:numPr>
        <w:numId w:val="31"/>
      </w:numPr>
    </w:pPr>
  </w:style>
  <w:style w:type="numbering" w:customStyle="1" w:styleId="Importeradestilen8">
    <w:name w:val="Importerade stilen 8"/>
    <w:rsid w:val="008E0141"/>
    <w:pPr>
      <w:numPr>
        <w:numId w:val="36"/>
      </w:numPr>
    </w:pPr>
  </w:style>
  <w:style w:type="numbering" w:customStyle="1" w:styleId="Importeradestilen7">
    <w:name w:val="Importerade stilen 7"/>
    <w:rsid w:val="008E0141"/>
    <w:pPr>
      <w:numPr>
        <w:numId w:val="33"/>
      </w:numPr>
    </w:pPr>
  </w:style>
  <w:style w:type="numbering" w:customStyle="1" w:styleId="Importeradestilen3">
    <w:name w:val="Importerade stilen 3"/>
    <w:rsid w:val="008E0141"/>
    <w:pPr>
      <w:numPr>
        <w:numId w:val="25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34F89"/>
    <w:rPr>
      <w:sz w:val="18"/>
      <w:lang w:eastAsia="en-US"/>
    </w:rPr>
  </w:style>
  <w:style w:type="paragraph" w:styleId="Revision">
    <w:name w:val="Revision"/>
    <w:hidden/>
    <w:uiPriority w:val="99"/>
    <w:semiHidden/>
    <w:rsid w:val="00931D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56D1-3930-43C5-A2BB-3500FD70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2429</Words>
  <Characters>13847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Veronica Gathu</dc:creator>
  <cp:lastModifiedBy>Herimalala Raveloarinjato</cp:lastModifiedBy>
  <cp:revision>2</cp:revision>
  <cp:lastPrinted>2017-07-10T05:33:00Z</cp:lastPrinted>
  <dcterms:created xsi:type="dcterms:W3CDTF">2017-07-10T13:13:00Z</dcterms:created>
  <dcterms:modified xsi:type="dcterms:W3CDTF">2017-07-10T13:13:00Z</dcterms:modified>
</cp:coreProperties>
</file>