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4A0" w:firstRow="1" w:lastRow="0" w:firstColumn="1" w:lastColumn="0" w:noHBand="0" w:noVBand="1"/>
      </w:tblPr>
      <w:tblGrid>
        <w:gridCol w:w="1550"/>
        <w:gridCol w:w="4751"/>
        <w:gridCol w:w="3411"/>
      </w:tblGrid>
      <w:tr w:rsidR="008A479B" w:rsidRPr="00927CD8" w:rsidTr="008A479B">
        <w:trPr>
          <w:cantSplit/>
          <w:trHeight w:val="850"/>
          <w:jc w:val="right"/>
        </w:trPr>
        <w:tc>
          <w:tcPr>
            <w:tcW w:w="1560" w:type="dxa"/>
            <w:hideMark/>
          </w:tcPr>
          <w:p w:rsidR="008A479B" w:rsidRPr="00927CD8" w:rsidRDefault="008A479B">
            <w:pPr>
              <w:rPr>
                <w:rFonts w:ascii="Univers" w:hAnsi="Univers"/>
                <w:b/>
                <w:noProof/>
                <w:sz w:val="27"/>
                <w:szCs w:val="27"/>
                <w:lang w:val="fr-FR" w:eastAsia="zh-CN"/>
              </w:rPr>
            </w:pPr>
            <w:bookmarkStart w:id="0" w:name="_GoBack"/>
            <w:bookmarkEnd w:id="0"/>
            <w:r w:rsidRPr="00927CD8">
              <w:rPr>
                <w:rFonts w:ascii="Arial" w:hAnsi="Arial" w:cs="Arial"/>
                <w:b/>
                <w:noProof/>
                <w:sz w:val="27"/>
                <w:szCs w:val="27"/>
                <w:lang w:val="fr-FR" w:eastAsia="zh-CN"/>
              </w:rPr>
              <w:t>NATIONS</w:t>
            </w:r>
            <w:r w:rsidRPr="00927CD8">
              <w:rPr>
                <w:rFonts w:ascii="Arial" w:hAnsi="Arial" w:cs="Arial"/>
                <w:b/>
                <w:noProof/>
                <w:sz w:val="27"/>
                <w:szCs w:val="27"/>
                <w:lang w:val="fr-FR" w:eastAsia="zh-CN"/>
              </w:rPr>
              <w:br/>
              <w:t>UNIES</w:t>
            </w:r>
          </w:p>
        </w:tc>
        <w:tc>
          <w:tcPr>
            <w:tcW w:w="4785" w:type="dxa"/>
          </w:tcPr>
          <w:p w:rsidR="008A479B" w:rsidRPr="00927CD8" w:rsidRDefault="008A479B">
            <w:pPr>
              <w:rPr>
                <w:rFonts w:ascii="Univers" w:hAnsi="Univers"/>
                <w:b/>
                <w:sz w:val="27"/>
                <w:szCs w:val="27"/>
                <w:lang w:val="fr-FR" w:eastAsia="zh-CN"/>
              </w:rPr>
            </w:pPr>
          </w:p>
        </w:tc>
        <w:tc>
          <w:tcPr>
            <w:tcW w:w="3435" w:type="dxa"/>
            <w:hideMark/>
          </w:tcPr>
          <w:p w:rsidR="008A479B" w:rsidRPr="00927CD8" w:rsidRDefault="008A479B">
            <w:pPr>
              <w:jc w:val="right"/>
              <w:rPr>
                <w:rFonts w:ascii="Arial" w:hAnsi="Arial" w:cs="Arial"/>
                <w:b/>
                <w:sz w:val="64"/>
                <w:szCs w:val="64"/>
                <w:lang w:val="fr-FR" w:eastAsia="zh-CN"/>
              </w:rPr>
            </w:pPr>
            <w:r w:rsidRPr="00927CD8">
              <w:rPr>
                <w:rFonts w:ascii="Arial" w:hAnsi="Arial" w:cs="Arial"/>
                <w:b/>
                <w:sz w:val="64"/>
                <w:szCs w:val="64"/>
                <w:lang w:val="fr-FR" w:eastAsia="zh-CN"/>
              </w:rPr>
              <w:t>MC</w:t>
            </w:r>
          </w:p>
        </w:tc>
      </w:tr>
      <w:tr w:rsidR="008A479B" w:rsidRPr="00927CD8" w:rsidTr="008A479B">
        <w:trPr>
          <w:cantSplit/>
          <w:trHeight w:val="281"/>
          <w:jc w:val="right"/>
        </w:trPr>
        <w:tc>
          <w:tcPr>
            <w:tcW w:w="1560" w:type="dxa"/>
            <w:tcBorders>
              <w:top w:val="nil"/>
              <w:left w:val="nil"/>
              <w:bottom w:val="single" w:sz="4" w:space="0" w:color="auto"/>
              <w:right w:val="nil"/>
            </w:tcBorders>
          </w:tcPr>
          <w:p w:rsidR="008A479B" w:rsidRPr="00927CD8" w:rsidRDefault="008A479B">
            <w:pPr>
              <w:rPr>
                <w:noProof/>
                <w:sz w:val="18"/>
                <w:szCs w:val="18"/>
                <w:lang w:val="fr-FR" w:eastAsia="zh-CN"/>
              </w:rPr>
            </w:pPr>
          </w:p>
        </w:tc>
        <w:tc>
          <w:tcPr>
            <w:tcW w:w="4785" w:type="dxa"/>
            <w:tcBorders>
              <w:top w:val="nil"/>
              <w:left w:val="nil"/>
              <w:bottom w:val="single" w:sz="4" w:space="0" w:color="auto"/>
              <w:right w:val="nil"/>
            </w:tcBorders>
          </w:tcPr>
          <w:p w:rsidR="008A479B" w:rsidRPr="00927CD8" w:rsidRDefault="008A479B">
            <w:pPr>
              <w:rPr>
                <w:rFonts w:ascii="Univers" w:hAnsi="Univers"/>
                <w:b/>
                <w:sz w:val="18"/>
                <w:szCs w:val="18"/>
                <w:lang w:val="fr-FR" w:eastAsia="zh-CN"/>
              </w:rPr>
            </w:pPr>
          </w:p>
        </w:tc>
        <w:tc>
          <w:tcPr>
            <w:tcW w:w="3435" w:type="dxa"/>
            <w:tcBorders>
              <w:top w:val="nil"/>
              <w:left w:val="nil"/>
              <w:bottom w:val="single" w:sz="4" w:space="0" w:color="auto"/>
              <w:right w:val="nil"/>
            </w:tcBorders>
            <w:hideMark/>
          </w:tcPr>
          <w:p w:rsidR="008A479B" w:rsidRPr="00927CD8" w:rsidRDefault="008A479B">
            <w:pPr>
              <w:rPr>
                <w:noProof/>
                <w:sz w:val="18"/>
                <w:szCs w:val="18"/>
                <w:lang w:val="fr-FR" w:eastAsia="zh-CN"/>
              </w:rPr>
            </w:pPr>
            <w:r w:rsidRPr="00927CD8">
              <w:rPr>
                <w:b/>
                <w:bCs/>
                <w:sz w:val="28"/>
                <w:lang w:val="fr-FR" w:eastAsia="zh-CN"/>
              </w:rPr>
              <w:t>UNEP</w:t>
            </w:r>
            <w:bookmarkStart w:id="1" w:name="OLE_LINK1"/>
            <w:bookmarkStart w:id="2" w:name="OLE_LINK2"/>
            <w:r w:rsidRPr="00927CD8">
              <w:rPr>
                <w:b/>
                <w:bCs/>
                <w:sz w:val="28"/>
                <w:lang w:val="fr-FR" w:eastAsia="zh-CN"/>
              </w:rPr>
              <w:t>/</w:t>
            </w:r>
            <w:r w:rsidRPr="00927CD8">
              <w:rPr>
                <w:lang w:val="fr-FR" w:eastAsia="zh-CN"/>
              </w:rPr>
              <w:t>MC/</w:t>
            </w:r>
            <w:bookmarkEnd w:id="1"/>
            <w:bookmarkEnd w:id="2"/>
            <w:r w:rsidR="001B58E8">
              <w:rPr>
                <w:lang w:val="fr-FR" w:eastAsia="zh-CN"/>
              </w:rPr>
              <w:t>COP.1/2</w:t>
            </w:r>
          </w:p>
        </w:tc>
      </w:tr>
      <w:bookmarkStart w:id="3" w:name="_MON_1021710510"/>
      <w:bookmarkEnd w:id="3"/>
      <w:tr w:rsidR="008A479B" w:rsidRPr="000B68E0" w:rsidTr="008A479B">
        <w:trPr>
          <w:cantSplit/>
          <w:trHeight w:val="2549"/>
          <w:jc w:val="right"/>
        </w:trPr>
        <w:tc>
          <w:tcPr>
            <w:tcW w:w="1560" w:type="dxa"/>
            <w:tcBorders>
              <w:top w:val="single" w:sz="4" w:space="0" w:color="auto"/>
              <w:left w:val="nil"/>
              <w:bottom w:val="single" w:sz="24" w:space="0" w:color="auto"/>
              <w:right w:val="nil"/>
            </w:tcBorders>
            <w:hideMark/>
          </w:tcPr>
          <w:p w:rsidR="008A479B" w:rsidRPr="00927CD8" w:rsidRDefault="008A479B">
            <w:pPr>
              <w:rPr>
                <w:noProof/>
                <w:lang w:val="fr-FR" w:eastAsia="zh-CN"/>
              </w:rPr>
            </w:pPr>
            <w:r w:rsidRPr="00927CD8">
              <w:rPr>
                <w:noProof/>
                <w:lang w:val="fr-FR" w:eastAsia="zh-CN"/>
              </w:rPr>
              <w:object w:dxaOrig="1305"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5pt;height:60.3pt" o:ole="" fillcolor="window">
                  <v:imagedata r:id="rId9" o:title=""/>
                </v:shape>
                <o:OLEObject Type="Embed" ProgID="Word.Picture.8" ShapeID="_x0000_i1025" DrawAspect="Content" ObjectID="_1558507403" r:id="rId10"/>
              </w:object>
            </w:r>
            <w:r w:rsidRPr="00927CD8">
              <w:rPr>
                <w:noProof/>
                <w:lang w:val="en-US"/>
              </w:rPr>
              <w:drawing>
                <wp:inline distT="0" distB="0" distL="0" distR="0" wp14:anchorId="1E22B86D" wp14:editId="3509F18F">
                  <wp:extent cx="723265" cy="775970"/>
                  <wp:effectExtent l="0" t="0" r="635" b="5080"/>
                  <wp:docPr id="3" name="Picture 3"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265" cy="775970"/>
                          </a:xfrm>
                          <a:prstGeom prst="rect">
                            <a:avLst/>
                          </a:prstGeom>
                          <a:noFill/>
                          <a:ln>
                            <a:noFill/>
                          </a:ln>
                        </pic:spPr>
                      </pic:pic>
                    </a:graphicData>
                  </a:graphic>
                </wp:inline>
              </w:drawing>
            </w:r>
          </w:p>
        </w:tc>
        <w:tc>
          <w:tcPr>
            <w:tcW w:w="4785" w:type="dxa"/>
            <w:tcBorders>
              <w:top w:val="single" w:sz="4" w:space="0" w:color="auto"/>
              <w:left w:val="nil"/>
              <w:bottom w:val="single" w:sz="24" w:space="0" w:color="auto"/>
              <w:right w:val="nil"/>
            </w:tcBorders>
            <w:hideMark/>
          </w:tcPr>
          <w:p w:rsidR="008A479B" w:rsidRPr="00927CD8" w:rsidRDefault="008A479B">
            <w:pPr>
              <w:spacing w:before="1200"/>
              <w:rPr>
                <w:rFonts w:ascii="Arial" w:hAnsi="Arial" w:cs="Arial"/>
                <w:b/>
                <w:sz w:val="28"/>
                <w:lang w:val="fr-FR" w:eastAsia="zh-CN"/>
              </w:rPr>
            </w:pPr>
            <w:r w:rsidRPr="00927CD8">
              <w:rPr>
                <w:rFonts w:ascii="Arial" w:hAnsi="Arial" w:cs="Arial"/>
                <w:b/>
                <w:sz w:val="32"/>
                <w:szCs w:val="32"/>
                <w:lang w:val="fr-FR" w:eastAsia="zh-CN"/>
              </w:rPr>
              <w:t>Programme</w:t>
            </w:r>
            <w:r w:rsidRPr="00927CD8">
              <w:rPr>
                <w:rFonts w:ascii="Arial" w:hAnsi="Arial" w:cs="Arial"/>
                <w:b/>
                <w:sz w:val="32"/>
                <w:szCs w:val="32"/>
                <w:lang w:val="fr-FR" w:eastAsia="zh-CN"/>
              </w:rPr>
              <w:br/>
              <w:t>des Nations Unies</w:t>
            </w:r>
            <w:r w:rsidRPr="00927CD8">
              <w:rPr>
                <w:rFonts w:ascii="Arial" w:hAnsi="Arial" w:cs="Arial"/>
                <w:b/>
                <w:sz w:val="32"/>
                <w:szCs w:val="32"/>
                <w:lang w:val="fr-FR" w:eastAsia="zh-CN"/>
              </w:rPr>
              <w:br/>
              <w:t>pour l</w:t>
            </w:r>
            <w:r w:rsidR="000B68E0">
              <w:rPr>
                <w:rFonts w:ascii="Arial" w:hAnsi="Arial" w:cs="Arial"/>
                <w:b/>
                <w:sz w:val="32"/>
                <w:szCs w:val="32"/>
                <w:lang w:val="fr-FR" w:eastAsia="zh-CN"/>
              </w:rPr>
              <w:t>’</w:t>
            </w:r>
            <w:r w:rsidRPr="00927CD8">
              <w:rPr>
                <w:rFonts w:ascii="Arial" w:hAnsi="Arial" w:cs="Arial"/>
                <w:b/>
                <w:sz w:val="32"/>
                <w:szCs w:val="32"/>
                <w:lang w:val="fr-FR" w:eastAsia="zh-CN"/>
              </w:rPr>
              <w:t>environnement</w:t>
            </w:r>
          </w:p>
        </w:tc>
        <w:tc>
          <w:tcPr>
            <w:tcW w:w="3435" w:type="dxa"/>
            <w:tcBorders>
              <w:top w:val="single" w:sz="4" w:space="0" w:color="auto"/>
              <w:left w:val="nil"/>
              <w:bottom w:val="single" w:sz="24" w:space="0" w:color="auto"/>
              <w:right w:val="nil"/>
            </w:tcBorders>
            <w:hideMark/>
          </w:tcPr>
          <w:p w:rsidR="008A479B" w:rsidRPr="00927CD8" w:rsidRDefault="008A479B">
            <w:pPr>
              <w:spacing w:before="120"/>
              <w:rPr>
                <w:lang w:val="fr-FR" w:eastAsia="zh-CN"/>
              </w:rPr>
            </w:pPr>
            <w:r w:rsidRPr="00927CD8">
              <w:rPr>
                <w:lang w:val="fr-FR" w:eastAsia="zh-CN"/>
              </w:rPr>
              <w:t>Distr. </w:t>
            </w:r>
            <w:r w:rsidR="00C85EDB">
              <w:rPr>
                <w:lang w:val="fr-FR" w:eastAsia="zh-CN"/>
              </w:rPr>
              <w:t>g</w:t>
            </w:r>
            <w:r w:rsidRPr="00927CD8">
              <w:rPr>
                <w:lang w:val="fr-FR" w:eastAsia="zh-CN"/>
              </w:rPr>
              <w:t xml:space="preserve">énérale </w:t>
            </w:r>
            <w:r w:rsidRPr="00927CD8">
              <w:rPr>
                <w:lang w:val="fr-FR" w:eastAsia="zh-CN"/>
              </w:rPr>
              <w:br/>
              <w:t>2</w:t>
            </w:r>
            <w:r w:rsidR="001B58E8">
              <w:rPr>
                <w:lang w:val="fr-FR" w:eastAsia="zh-CN"/>
              </w:rPr>
              <w:t>8 mars</w:t>
            </w:r>
            <w:r w:rsidRPr="00927CD8">
              <w:rPr>
                <w:lang w:val="fr-FR" w:eastAsia="zh-CN"/>
              </w:rPr>
              <w:t xml:space="preserve"> 2017</w:t>
            </w:r>
          </w:p>
          <w:p w:rsidR="008A479B" w:rsidRPr="00927CD8" w:rsidRDefault="008A479B">
            <w:pPr>
              <w:spacing w:before="240"/>
              <w:rPr>
                <w:lang w:val="fr-FR" w:eastAsia="zh-CN"/>
              </w:rPr>
            </w:pPr>
            <w:r w:rsidRPr="00927CD8">
              <w:rPr>
                <w:lang w:val="fr-FR" w:eastAsia="zh-CN"/>
              </w:rPr>
              <w:t>Français</w:t>
            </w:r>
            <w:r w:rsidRPr="00927CD8">
              <w:rPr>
                <w:lang w:val="fr-FR" w:eastAsia="zh-CN"/>
              </w:rPr>
              <w:br/>
              <w:t>Original : anglais</w:t>
            </w:r>
          </w:p>
        </w:tc>
      </w:tr>
    </w:tbl>
    <w:p w:rsidR="008A479B" w:rsidRPr="00927CD8" w:rsidRDefault="008A479B" w:rsidP="008A479B">
      <w:pPr>
        <w:pStyle w:val="AATitle"/>
        <w:rPr>
          <w:lang w:val="fr-FR"/>
        </w:rPr>
      </w:pPr>
      <w:r w:rsidRPr="00927CD8">
        <w:rPr>
          <w:lang w:val="fr-FR"/>
        </w:rPr>
        <w:t xml:space="preserve">Conférence des Parties à la </w:t>
      </w:r>
      <w:r w:rsidRPr="00927CD8">
        <w:rPr>
          <w:lang w:val="fr-FR"/>
        </w:rPr>
        <w:br/>
        <w:t>Convention de Minamata sur le mercure</w:t>
      </w:r>
    </w:p>
    <w:p w:rsidR="008A479B" w:rsidRPr="00C85EDB" w:rsidRDefault="008A479B" w:rsidP="008A479B">
      <w:pPr>
        <w:pStyle w:val="AATitle"/>
        <w:rPr>
          <w:lang w:val="fr-FR"/>
        </w:rPr>
      </w:pPr>
      <w:r w:rsidRPr="00C85EDB">
        <w:rPr>
          <w:lang w:val="fr-FR"/>
        </w:rPr>
        <w:t>Première réunion</w:t>
      </w:r>
    </w:p>
    <w:p w:rsidR="00E976AB" w:rsidRPr="00927CD8" w:rsidRDefault="008A479B" w:rsidP="008A479B">
      <w:pPr>
        <w:pStyle w:val="AATitle"/>
        <w:rPr>
          <w:b w:val="0"/>
          <w:lang w:val="fr-FR"/>
        </w:rPr>
      </w:pPr>
      <w:r w:rsidRPr="00927CD8">
        <w:rPr>
          <w:b w:val="0"/>
          <w:lang w:val="fr-FR"/>
        </w:rPr>
        <w:t>Genève, 24–29 septembre 2017</w:t>
      </w:r>
    </w:p>
    <w:p w:rsidR="00775D8D" w:rsidRPr="00C85EDB" w:rsidRDefault="00775D8D" w:rsidP="00775D8D">
      <w:pPr>
        <w:pStyle w:val="AATitle"/>
        <w:keepNext w:val="0"/>
        <w:keepLines w:val="0"/>
        <w:rPr>
          <w:b w:val="0"/>
          <w:lang w:val="fr-FR"/>
        </w:rPr>
      </w:pPr>
      <w:r w:rsidRPr="00C85EDB">
        <w:rPr>
          <w:b w:val="0"/>
          <w:lang w:val="fr-FR"/>
        </w:rPr>
        <w:t>Point 2 e) de l</w:t>
      </w:r>
      <w:r w:rsidR="000B68E0">
        <w:rPr>
          <w:b w:val="0"/>
          <w:lang w:val="fr-FR"/>
        </w:rPr>
        <w:t>’</w:t>
      </w:r>
      <w:r w:rsidRPr="00C85EDB">
        <w:rPr>
          <w:b w:val="0"/>
          <w:lang w:val="fr-FR"/>
        </w:rPr>
        <w:t>ordre du jour provisoire</w:t>
      </w:r>
      <w:r w:rsidRPr="00C85EDB">
        <w:rPr>
          <w:b w:val="0"/>
          <w:lang w:val="fr-FR"/>
        </w:rPr>
        <w:footnoteReference w:customMarkFollows="1" w:id="1"/>
        <w:t>*</w:t>
      </w:r>
    </w:p>
    <w:p w:rsidR="00775D8D" w:rsidRPr="00927CD8" w:rsidRDefault="00775D8D" w:rsidP="000832C7">
      <w:pPr>
        <w:pStyle w:val="AATitle2"/>
        <w:spacing w:before="60"/>
        <w:rPr>
          <w:lang w:val="fr-FR"/>
        </w:rPr>
      </w:pPr>
      <w:r w:rsidRPr="00927CD8">
        <w:rPr>
          <w:lang w:val="fr-FR"/>
        </w:rPr>
        <w:t>Questions d</w:t>
      </w:r>
      <w:r w:rsidR="000B68E0">
        <w:rPr>
          <w:lang w:val="fr-FR"/>
        </w:rPr>
        <w:t>’</w:t>
      </w:r>
      <w:r w:rsidRPr="00927CD8">
        <w:rPr>
          <w:lang w:val="fr-FR"/>
        </w:rPr>
        <w:t>organisation : organisation des travaux</w:t>
      </w:r>
    </w:p>
    <w:p w:rsidR="00775D8D" w:rsidRPr="00927CD8" w:rsidRDefault="00775D8D" w:rsidP="00775D8D">
      <w:pPr>
        <w:pStyle w:val="BBTitle"/>
        <w:rPr>
          <w:lang w:val="fr-FR"/>
        </w:rPr>
      </w:pPr>
      <w:r w:rsidRPr="00927CD8">
        <w:rPr>
          <w:lang w:val="fr-FR"/>
        </w:rPr>
        <w:t xml:space="preserve">Note de </w:t>
      </w:r>
      <w:r w:rsidR="00876181">
        <w:rPr>
          <w:lang w:val="fr-FR"/>
        </w:rPr>
        <w:t xml:space="preserve">scénario pour </w:t>
      </w:r>
      <w:r w:rsidRPr="00927CD8">
        <w:rPr>
          <w:lang w:val="fr-FR"/>
        </w:rPr>
        <w:t>la première réunion de la Conférence des</w:t>
      </w:r>
      <w:r w:rsidR="000B68E0">
        <w:rPr>
          <w:lang w:val="fr-FR"/>
        </w:rPr>
        <w:t> </w:t>
      </w:r>
      <w:r w:rsidRPr="00927CD8">
        <w:rPr>
          <w:lang w:val="fr-FR"/>
        </w:rPr>
        <w:t>Parties à la Convention de Minamata sur le mercure</w:t>
      </w:r>
    </w:p>
    <w:p w:rsidR="00775D8D" w:rsidRPr="00927CD8" w:rsidRDefault="00775D8D" w:rsidP="00775D8D">
      <w:pPr>
        <w:pStyle w:val="CH2"/>
        <w:keepNext w:val="0"/>
        <w:keepLines w:val="0"/>
        <w:rPr>
          <w:lang w:val="fr-FR"/>
        </w:rPr>
      </w:pPr>
      <w:r w:rsidRPr="00927CD8">
        <w:rPr>
          <w:lang w:val="fr-FR"/>
        </w:rPr>
        <w:tab/>
      </w:r>
      <w:r w:rsidRPr="00927CD8">
        <w:rPr>
          <w:lang w:val="fr-FR"/>
        </w:rPr>
        <w:tab/>
        <w:t>Note du Président du Comité de négociation intergouvernemental chargé d</w:t>
      </w:r>
      <w:r w:rsidR="000B68E0">
        <w:rPr>
          <w:lang w:val="fr-FR"/>
        </w:rPr>
        <w:t>’</w:t>
      </w:r>
      <w:r w:rsidRPr="00927CD8">
        <w:rPr>
          <w:lang w:val="fr-FR"/>
        </w:rPr>
        <w:t>élaborer un instrument international juridiquement contraignant sur le</w:t>
      </w:r>
      <w:r w:rsidR="000B68E0">
        <w:rPr>
          <w:lang w:val="fr-FR"/>
        </w:rPr>
        <w:t> </w:t>
      </w:r>
      <w:r w:rsidRPr="00927CD8">
        <w:rPr>
          <w:lang w:val="fr-FR"/>
        </w:rPr>
        <w:t>mercure</w:t>
      </w:r>
    </w:p>
    <w:p w:rsidR="00775D8D" w:rsidRPr="00927CD8" w:rsidRDefault="00775D8D" w:rsidP="00775D8D">
      <w:pPr>
        <w:pStyle w:val="Normalnumber"/>
        <w:numPr>
          <w:ilvl w:val="0"/>
          <w:numId w:val="7"/>
        </w:numPr>
        <w:tabs>
          <w:tab w:val="clear" w:pos="624"/>
          <w:tab w:val="left" w:pos="1247"/>
          <w:tab w:val="left" w:pos="1814"/>
          <w:tab w:val="left" w:pos="2381"/>
          <w:tab w:val="left" w:pos="2948"/>
          <w:tab w:val="left" w:pos="3515"/>
        </w:tabs>
        <w:rPr>
          <w:lang w:val="fr-FR"/>
        </w:rPr>
      </w:pPr>
      <w:r w:rsidRPr="00927CD8">
        <w:rPr>
          <w:lang w:val="fr-FR"/>
        </w:rPr>
        <w:t>La présente note définit quelques attentes générales concernant le déroulement de la</w:t>
      </w:r>
      <w:r w:rsidR="00E26085">
        <w:rPr>
          <w:lang w:val="fr-FR"/>
        </w:rPr>
        <w:t> </w:t>
      </w:r>
      <w:r w:rsidRPr="00927CD8">
        <w:rPr>
          <w:lang w:val="fr-FR"/>
        </w:rPr>
        <w:t>première</w:t>
      </w:r>
      <w:r w:rsidR="00E26085">
        <w:rPr>
          <w:lang w:val="fr-FR"/>
        </w:rPr>
        <w:t> </w:t>
      </w:r>
      <w:r w:rsidRPr="00927CD8">
        <w:rPr>
          <w:lang w:val="fr-FR"/>
        </w:rPr>
        <w:t>réunion de la Conférence des Parties à la Convention de Minamata sur le mercure. Je</w:t>
      </w:r>
      <w:r w:rsidR="00E26085">
        <w:rPr>
          <w:lang w:val="fr-FR"/>
        </w:rPr>
        <w:t> </w:t>
      </w:r>
      <w:r w:rsidRPr="00927CD8">
        <w:rPr>
          <w:lang w:val="fr-FR"/>
        </w:rPr>
        <w:t>l</w:t>
      </w:r>
      <w:r w:rsidR="000B68E0">
        <w:rPr>
          <w:lang w:val="fr-FR"/>
        </w:rPr>
        <w:t>’</w:t>
      </w:r>
      <w:r w:rsidRPr="00927CD8">
        <w:rPr>
          <w:lang w:val="fr-FR"/>
        </w:rPr>
        <w:t>ai</w:t>
      </w:r>
      <w:r w:rsidR="00E26085">
        <w:rPr>
          <w:lang w:val="fr-FR"/>
        </w:rPr>
        <w:t> </w:t>
      </w:r>
      <w:r w:rsidRPr="00927CD8">
        <w:rPr>
          <w:lang w:val="fr-FR"/>
        </w:rPr>
        <w:t>établie en consultation avec le Bureau du Comité de négociation intergouvernemental chargé d</w:t>
      </w:r>
      <w:r w:rsidR="000B68E0">
        <w:rPr>
          <w:lang w:val="fr-FR"/>
        </w:rPr>
        <w:t>’</w:t>
      </w:r>
      <w:r w:rsidRPr="00927CD8">
        <w:rPr>
          <w:lang w:val="fr-FR"/>
        </w:rPr>
        <w:t>élaborer un instrument international juridiquement contraignant sur le mercure, ainsi que le représentant de la Suisse (un observateur aux réunions du Bureau du Comité), qui a généreusement accepté d</w:t>
      </w:r>
      <w:r w:rsidR="000B68E0">
        <w:rPr>
          <w:lang w:val="fr-FR"/>
        </w:rPr>
        <w:t>’</w:t>
      </w:r>
      <w:r w:rsidRPr="00927CD8">
        <w:rPr>
          <w:lang w:val="fr-FR"/>
        </w:rPr>
        <w:t>être le pays hôte de la réunion. L</w:t>
      </w:r>
      <w:r w:rsidR="000B68E0">
        <w:rPr>
          <w:lang w:val="fr-FR"/>
        </w:rPr>
        <w:t>’</w:t>
      </w:r>
      <w:r w:rsidRPr="00927CD8">
        <w:rPr>
          <w:lang w:val="fr-FR"/>
        </w:rPr>
        <w:t>objectif principal de la présente note est d</w:t>
      </w:r>
      <w:r w:rsidR="000B68E0">
        <w:rPr>
          <w:lang w:val="fr-FR"/>
        </w:rPr>
        <w:t>’</w:t>
      </w:r>
      <w:r w:rsidRPr="00927CD8">
        <w:rPr>
          <w:lang w:val="fr-FR"/>
        </w:rPr>
        <w:t>aider les Parties et autres participants à se préparer à la réunion afin qu</w:t>
      </w:r>
      <w:r w:rsidR="000B68E0">
        <w:rPr>
          <w:lang w:val="fr-FR"/>
        </w:rPr>
        <w:t>’</w:t>
      </w:r>
      <w:r w:rsidRPr="00927CD8">
        <w:rPr>
          <w:lang w:val="fr-FR"/>
        </w:rPr>
        <w:t>elle soit couronnée de succès, y compris en veillant à ce que toutes les questions que la Convention souhaite voir examinées et résolues par la Conférence des Parties à sa première réunion le soient effectivement.</w:t>
      </w:r>
    </w:p>
    <w:p w:rsidR="00775D8D" w:rsidRPr="00927CD8" w:rsidRDefault="00775D8D" w:rsidP="00775D8D">
      <w:pPr>
        <w:pStyle w:val="Normalnumber"/>
        <w:numPr>
          <w:ilvl w:val="0"/>
          <w:numId w:val="7"/>
        </w:numPr>
        <w:tabs>
          <w:tab w:val="clear" w:pos="624"/>
          <w:tab w:val="left" w:pos="1247"/>
          <w:tab w:val="left" w:pos="1814"/>
          <w:tab w:val="left" w:pos="2381"/>
          <w:tab w:val="left" w:pos="2948"/>
          <w:tab w:val="left" w:pos="3515"/>
        </w:tabs>
        <w:rPr>
          <w:lang w:val="fr-FR"/>
        </w:rPr>
      </w:pPr>
      <w:r w:rsidRPr="00927CD8">
        <w:rPr>
          <w:lang w:val="fr-FR"/>
        </w:rPr>
        <w:t>Le Comité de négociation intergouvernemental a élaboré et présenté une quantité importante de documents qui seront soumis à l</w:t>
      </w:r>
      <w:r w:rsidR="000B68E0">
        <w:rPr>
          <w:lang w:val="fr-FR"/>
        </w:rPr>
        <w:t>’</w:t>
      </w:r>
      <w:r w:rsidRPr="00927CD8">
        <w:rPr>
          <w:lang w:val="fr-FR"/>
        </w:rPr>
        <w:t>examen de la Conférence des Parties à sa première réunion dans la perspective d</w:t>
      </w:r>
      <w:r w:rsidR="000B68E0">
        <w:rPr>
          <w:lang w:val="fr-FR"/>
        </w:rPr>
        <w:t>’</w:t>
      </w:r>
      <w:r w:rsidRPr="00927CD8">
        <w:rPr>
          <w:lang w:val="fr-FR"/>
        </w:rPr>
        <w:t xml:space="preserve">une adoption </w:t>
      </w:r>
      <w:r w:rsidR="002C0FDA">
        <w:rPr>
          <w:lang w:val="fr-FR"/>
        </w:rPr>
        <w:t>offici</w:t>
      </w:r>
      <w:r w:rsidRPr="00927CD8">
        <w:rPr>
          <w:lang w:val="fr-FR"/>
        </w:rPr>
        <w:t xml:space="preserve">elle. Tout au long du processus de négociation, les gouvernements ont collaboré pour atteindre un consensus dans de nombreux domaines et veiller à ce que toutes les questions soulevées </w:t>
      </w:r>
      <w:r w:rsidR="00927CD8">
        <w:rPr>
          <w:lang w:val="fr-FR"/>
        </w:rPr>
        <w:t>soient</w:t>
      </w:r>
      <w:r w:rsidRPr="00927CD8">
        <w:rPr>
          <w:lang w:val="fr-FR"/>
        </w:rPr>
        <w:t xml:space="preserve"> traitées. Avec l</w:t>
      </w:r>
      <w:r w:rsidR="000B68E0">
        <w:rPr>
          <w:lang w:val="fr-FR"/>
        </w:rPr>
        <w:t>’</w:t>
      </w:r>
      <w:r w:rsidRPr="00927CD8">
        <w:rPr>
          <w:lang w:val="fr-FR"/>
        </w:rPr>
        <w:t>entrée en vigueur de la Convention et l</w:t>
      </w:r>
      <w:r w:rsidR="000B68E0">
        <w:rPr>
          <w:lang w:val="fr-FR"/>
        </w:rPr>
        <w:t>’</w:t>
      </w:r>
      <w:r w:rsidRPr="00927CD8">
        <w:rPr>
          <w:lang w:val="fr-FR"/>
        </w:rPr>
        <w:t>organisation de la première réunion de la Conférence des Parties, le Bureau sortant entretient l</w:t>
      </w:r>
      <w:r w:rsidR="000B68E0">
        <w:rPr>
          <w:lang w:val="fr-FR"/>
        </w:rPr>
        <w:t>’</w:t>
      </w:r>
      <w:r w:rsidRPr="00927CD8">
        <w:rPr>
          <w:lang w:val="fr-FR"/>
        </w:rPr>
        <w:t>espoir que l</w:t>
      </w:r>
      <w:r w:rsidR="000B68E0">
        <w:rPr>
          <w:lang w:val="fr-FR"/>
        </w:rPr>
        <w:t>’</w:t>
      </w:r>
      <w:r w:rsidRPr="00927CD8">
        <w:rPr>
          <w:lang w:val="fr-FR"/>
        </w:rPr>
        <w:t>esprit de coopération et d</w:t>
      </w:r>
      <w:r w:rsidR="000B68E0">
        <w:rPr>
          <w:lang w:val="fr-FR"/>
        </w:rPr>
        <w:t>’</w:t>
      </w:r>
      <w:r w:rsidRPr="00927CD8">
        <w:rPr>
          <w:lang w:val="fr-FR"/>
        </w:rPr>
        <w:t>inclusion qui a caractérisé les travaux menés jusqu</w:t>
      </w:r>
      <w:r w:rsidR="000B68E0">
        <w:rPr>
          <w:lang w:val="fr-FR"/>
        </w:rPr>
        <w:t>’</w:t>
      </w:r>
      <w:r w:rsidRPr="00927CD8">
        <w:rPr>
          <w:lang w:val="fr-FR"/>
        </w:rPr>
        <w:t>à ce jour se maintiendra, confirmant que l</w:t>
      </w:r>
      <w:r w:rsidR="000B68E0">
        <w:rPr>
          <w:lang w:val="fr-FR"/>
        </w:rPr>
        <w:t>’</w:t>
      </w:r>
      <w:r w:rsidRPr="00927CD8">
        <w:rPr>
          <w:lang w:val="fr-FR"/>
        </w:rPr>
        <w:t xml:space="preserve">aspiration générale de tous ceux ayant participé aux négociations est de faire de la Convention un instrument universel </w:t>
      </w:r>
      <w:r w:rsidR="002C0FDA">
        <w:rPr>
          <w:lang w:val="fr-FR"/>
        </w:rPr>
        <w:t>de</w:t>
      </w:r>
      <w:r w:rsidRPr="00927CD8">
        <w:rPr>
          <w:lang w:val="fr-FR"/>
        </w:rPr>
        <w:t xml:space="preserve"> portée mondiale. </w:t>
      </w:r>
    </w:p>
    <w:p w:rsidR="00775D8D" w:rsidRPr="00E26085" w:rsidRDefault="00775D8D" w:rsidP="00FA6617">
      <w:pPr>
        <w:pStyle w:val="CH2"/>
        <w:keepLines w:val="0"/>
        <w:outlineLvl w:val="0"/>
        <w:rPr>
          <w:sz w:val="20"/>
          <w:szCs w:val="20"/>
          <w:lang w:val="fr-FR"/>
        </w:rPr>
      </w:pPr>
      <w:r w:rsidRPr="00927CD8">
        <w:rPr>
          <w:lang w:val="fr-FR"/>
        </w:rPr>
        <w:tab/>
      </w:r>
      <w:r w:rsidRPr="00927CD8">
        <w:rPr>
          <w:lang w:val="fr-FR"/>
        </w:rPr>
        <w:tab/>
      </w:r>
      <w:r w:rsidRPr="00E26085">
        <w:rPr>
          <w:sz w:val="20"/>
          <w:szCs w:val="20"/>
          <w:lang w:val="fr-FR"/>
        </w:rPr>
        <w:t>Objectifs de la première réunion de la Conférence des Parties</w:t>
      </w:r>
    </w:p>
    <w:p w:rsidR="00775D8D" w:rsidRPr="005F4BE8" w:rsidRDefault="00775D8D" w:rsidP="00775D8D">
      <w:pPr>
        <w:pStyle w:val="Normalnumber"/>
        <w:numPr>
          <w:ilvl w:val="0"/>
          <w:numId w:val="7"/>
        </w:numPr>
        <w:tabs>
          <w:tab w:val="clear" w:pos="624"/>
          <w:tab w:val="left" w:pos="1247"/>
          <w:tab w:val="left" w:pos="1814"/>
          <w:tab w:val="left" w:pos="2381"/>
          <w:tab w:val="left" w:pos="2948"/>
          <w:tab w:val="left" w:pos="3515"/>
        </w:tabs>
        <w:rPr>
          <w:lang w:val="fr-FR"/>
        </w:rPr>
      </w:pPr>
      <w:r w:rsidRPr="005F4BE8">
        <w:rPr>
          <w:lang w:val="fr-FR"/>
        </w:rPr>
        <w:t>L</w:t>
      </w:r>
      <w:r w:rsidR="00572D7B">
        <w:rPr>
          <w:lang w:val="fr-FR"/>
        </w:rPr>
        <w:t>a finalité</w:t>
      </w:r>
      <w:r w:rsidR="001F7BE3">
        <w:rPr>
          <w:lang w:val="fr-FR"/>
        </w:rPr>
        <w:t xml:space="preserve"> de la</w:t>
      </w:r>
      <w:r w:rsidRPr="005F4BE8">
        <w:rPr>
          <w:lang w:val="fr-FR"/>
        </w:rPr>
        <w:t xml:space="preserve"> première réunion de la Conférence des Parties </w:t>
      </w:r>
      <w:r w:rsidR="00572D7B">
        <w:rPr>
          <w:lang w:val="fr-FR"/>
        </w:rPr>
        <w:t xml:space="preserve">est multiple : elle va servir non seulement à définir des </w:t>
      </w:r>
      <w:r w:rsidR="00572D7B" w:rsidRPr="005F4BE8">
        <w:rPr>
          <w:lang w:val="fr-FR"/>
        </w:rPr>
        <w:t>procédures et d</w:t>
      </w:r>
      <w:r w:rsidR="00572D7B">
        <w:rPr>
          <w:lang w:val="fr-FR"/>
        </w:rPr>
        <w:t xml:space="preserve">es </w:t>
      </w:r>
      <w:r w:rsidR="00572D7B" w:rsidRPr="005F4BE8">
        <w:rPr>
          <w:lang w:val="fr-FR"/>
        </w:rPr>
        <w:t>orientations générales</w:t>
      </w:r>
      <w:r w:rsidRPr="005F4BE8">
        <w:rPr>
          <w:lang w:val="fr-FR"/>
        </w:rPr>
        <w:t xml:space="preserve">, mais </w:t>
      </w:r>
      <w:r w:rsidR="00572D7B">
        <w:rPr>
          <w:lang w:val="fr-FR"/>
        </w:rPr>
        <w:t>aussi</w:t>
      </w:r>
      <w:r w:rsidRPr="005F4BE8">
        <w:rPr>
          <w:lang w:val="fr-FR"/>
        </w:rPr>
        <w:t xml:space="preserve"> à célébrer les progrès accomplis jusqu</w:t>
      </w:r>
      <w:r w:rsidR="000B68E0">
        <w:rPr>
          <w:lang w:val="fr-FR"/>
        </w:rPr>
        <w:t>’</w:t>
      </w:r>
      <w:r w:rsidRPr="005F4BE8">
        <w:rPr>
          <w:lang w:val="fr-FR"/>
        </w:rPr>
        <w:t>ici</w:t>
      </w:r>
      <w:r w:rsidR="00572D7B">
        <w:rPr>
          <w:lang w:val="fr-FR"/>
        </w:rPr>
        <w:t>, entre autres.</w:t>
      </w:r>
    </w:p>
    <w:p w:rsidR="00C87EEF" w:rsidRPr="00927CD8" w:rsidRDefault="00775D8D" w:rsidP="00E26085">
      <w:pPr>
        <w:pStyle w:val="Normalnumber"/>
        <w:numPr>
          <w:ilvl w:val="0"/>
          <w:numId w:val="7"/>
        </w:numPr>
        <w:tabs>
          <w:tab w:val="clear" w:pos="624"/>
          <w:tab w:val="left" w:pos="1247"/>
          <w:tab w:val="left" w:pos="1814"/>
          <w:tab w:val="left" w:pos="2381"/>
          <w:tab w:val="left" w:pos="2948"/>
          <w:tab w:val="left" w:pos="3515"/>
        </w:tabs>
        <w:rPr>
          <w:lang w:val="fr-FR"/>
        </w:rPr>
      </w:pPr>
      <w:r w:rsidRPr="00927CD8">
        <w:rPr>
          <w:lang w:val="fr-FR"/>
        </w:rPr>
        <w:t xml:space="preserve">La Convention </w:t>
      </w:r>
      <w:r w:rsidR="004E1315">
        <w:rPr>
          <w:lang w:val="fr-FR"/>
        </w:rPr>
        <w:t xml:space="preserve">mentionne </w:t>
      </w:r>
      <w:r w:rsidRPr="00927CD8">
        <w:rPr>
          <w:lang w:val="fr-FR"/>
        </w:rPr>
        <w:t>un certain nombre de domaines dans lesquels la Conférence des Parties doit adopter des décisions à sa première réunion. Dans nombre de ces domaines, le Comité de négociation intergouvernemental a bien avancé et adopté des orientations ou autres documents connexes à titre provisoire en vue d</w:t>
      </w:r>
      <w:r w:rsidR="000B68E0">
        <w:rPr>
          <w:lang w:val="fr-FR"/>
        </w:rPr>
        <w:t>’</w:t>
      </w:r>
      <w:r w:rsidRPr="00927CD8">
        <w:rPr>
          <w:lang w:val="fr-FR"/>
        </w:rPr>
        <w:t xml:space="preserve">une adoption </w:t>
      </w:r>
      <w:r w:rsidR="00235EA5">
        <w:rPr>
          <w:lang w:val="fr-FR"/>
        </w:rPr>
        <w:t>officiel</w:t>
      </w:r>
      <w:r w:rsidRPr="00927CD8">
        <w:rPr>
          <w:lang w:val="fr-FR"/>
        </w:rPr>
        <w:t xml:space="preserve">le ultérieure par la Conférence des Parties. </w:t>
      </w:r>
      <w:r w:rsidRPr="00927CD8">
        <w:rPr>
          <w:lang w:val="fr-FR"/>
        </w:rPr>
        <w:lastRenderedPageBreak/>
        <w:t>Étant donné que ces domaines ont fait l</w:t>
      </w:r>
      <w:r w:rsidR="000B68E0">
        <w:rPr>
          <w:lang w:val="fr-FR"/>
        </w:rPr>
        <w:t>’</w:t>
      </w:r>
      <w:r w:rsidRPr="00927CD8">
        <w:rPr>
          <w:lang w:val="fr-FR"/>
        </w:rPr>
        <w:t>objet d</w:t>
      </w:r>
      <w:r w:rsidR="000B68E0">
        <w:rPr>
          <w:lang w:val="fr-FR"/>
        </w:rPr>
        <w:t>’</w:t>
      </w:r>
      <w:r w:rsidRPr="00927CD8">
        <w:rPr>
          <w:lang w:val="fr-FR"/>
        </w:rPr>
        <w:t>un examen approfondi par le Comité, il n</w:t>
      </w:r>
      <w:r w:rsidR="000B68E0">
        <w:rPr>
          <w:lang w:val="fr-FR"/>
        </w:rPr>
        <w:t>’</w:t>
      </w:r>
      <w:r w:rsidRPr="00927CD8">
        <w:rPr>
          <w:lang w:val="fr-FR"/>
        </w:rPr>
        <w:t>est</w:t>
      </w:r>
      <w:r w:rsidR="004E1315">
        <w:rPr>
          <w:lang w:val="fr-FR"/>
        </w:rPr>
        <w:t>,</w:t>
      </w:r>
      <w:r w:rsidRPr="00927CD8">
        <w:rPr>
          <w:lang w:val="fr-FR"/>
        </w:rPr>
        <w:t xml:space="preserve"> de mon point de vue</w:t>
      </w:r>
      <w:r w:rsidR="004E1315">
        <w:rPr>
          <w:lang w:val="fr-FR"/>
        </w:rPr>
        <w:t>,</w:t>
      </w:r>
      <w:r w:rsidRPr="00927CD8">
        <w:rPr>
          <w:lang w:val="fr-FR"/>
        </w:rPr>
        <w:t xml:space="preserve"> pas nécessaire qu</w:t>
      </w:r>
      <w:r w:rsidR="000B68E0">
        <w:rPr>
          <w:lang w:val="fr-FR"/>
        </w:rPr>
        <w:t>’</w:t>
      </w:r>
      <w:r w:rsidRPr="00927CD8">
        <w:rPr>
          <w:lang w:val="fr-FR"/>
        </w:rPr>
        <w:t xml:space="preserve">ils soient de nouveau examinés par la Conférence des Parties. En ce qui concerne les autres domaines, en revanche, des informations supplémentaires seront présentées pour la première fois à la réunion. </w:t>
      </w:r>
    </w:p>
    <w:p w:rsidR="00775D8D" w:rsidRPr="00927CD8" w:rsidRDefault="00775D8D" w:rsidP="00E26085">
      <w:pPr>
        <w:pStyle w:val="Normalnumber"/>
        <w:numPr>
          <w:ilvl w:val="0"/>
          <w:numId w:val="7"/>
        </w:numPr>
        <w:tabs>
          <w:tab w:val="clear" w:pos="624"/>
          <w:tab w:val="left" w:pos="1247"/>
          <w:tab w:val="left" w:pos="1814"/>
          <w:tab w:val="left" w:pos="2381"/>
          <w:tab w:val="left" w:pos="2948"/>
          <w:tab w:val="left" w:pos="3515"/>
        </w:tabs>
        <w:rPr>
          <w:lang w:val="fr-FR"/>
        </w:rPr>
      </w:pPr>
      <w:r w:rsidRPr="00927CD8">
        <w:rPr>
          <w:lang w:val="fr-FR"/>
        </w:rPr>
        <w:t xml:space="preserve">La Convention </w:t>
      </w:r>
      <w:r w:rsidR="004E1315">
        <w:rPr>
          <w:lang w:val="fr-FR"/>
        </w:rPr>
        <w:t xml:space="preserve">exige </w:t>
      </w:r>
      <w:r w:rsidRPr="00927CD8">
        <w:rPr>
          <w:lang w:val="fr-FR"/>
        </w:rPr>
        <w:t>également que la Conférence des Parties adopte des décisions relatives à d</w:t>
      </w:r>
      <w:r w:rsidR="000B68E0">
        <w:rPr>
          <w:lang w:val="fr-FR"/>
        </w:rPr>
        <w:t>’</w:t>
      </w:r>
      <w:r w:rsidRPr="00927CD8">
        <w:rPr>
          <w:lang w:val="fr-FR"/>
        </w:rPr>
        <w:t>autres questions à une date non précisée. Ces questions seront présentées à la première réunion, mais il faut espérer qu</w:t>
      </w:r>
      <w:r w:rsidR="000B68E0">
        <w:rPr>
          <w:lang w:val="fr-FR"/>
        </w:rPr>
        <w:t>’</w:t>
      </w:r>
      <w:r w:rsidRPr="00927CD8">
        <w:rPr>
          <w:lang w:val="fr-FR"/>
        </w:rPr>
        <w:t>un ordre de priorité sera clairement établi concernant les sujets sur lesquels une décision devra être adoptée à la première réunion et que l</w:t>
      </w:r>
      <w:r w:rsidR="000B68E0">
        <w:rPr>
          <w:lang w:val="fr-FR"/>
        </w:rPr>
        <w:t>’</w:t>
      </w:r>
      <w:r w:rsidRPr="00927CD8">
        <w:rPr>
          <w:lang w:val="fr-FR"/>
        </w:rPr>
        <w:t xml:space="preserve">organisation des travaux </w:t>
      </w:r>
      <w:r w:rsidR="004E1315">
        <w:rPr>
          <w:lang w:val="fr-FR"/>
        </w:rPr>
        <w:t>en tiendra compte</w:t>
      </w:r>
      <w:r w:rsidRPr="00927CD8">
        <w:rPr>
          <w:lang w:val="fr-FR"/>
        </w:rPr>
        <w:t xml:space="preserve">. </w:t>
      </w:r>
    </w:p>
    <w:p w:rsidR="00775D8D" w:rsidRPr="00927CD8" w:rsidRDefault="00775D8D" w:rsidP="00E26085">
      <w:pPr>
        <w:pStyle w:val="Normalnumber"/>
        <w:numPr>
          <w:ilvl w:val="0"/>
          <w:numId w:val="7"/>
        </w:numPr>
        <w:tabs>
          <w:tab w:val="clear" w:pos="624"/>
          <w:tab w:val="left" w:pos="1247"/>
          <w:tab w:val="left" w:pos="1814"/>
          <w:tab w:val="left" w:pos="2381"/>
          <w:tab w:val="left" w:pos="2948"/>
          <w:tab w:val="left" w:pos="3515"/>
        </w:tabs>
        <w:rPr>
          <w:lang w:val="fr-FR"/>
        </w:rPr>
      </w:pPr>
      <w:r w:rsidRPr="00927CD8">
        <w:rPr>
          <w:lang w:val="fr-FR"/>
        </w:rPr>
        <w:t>La Conférence des plénipotentiaires de la Convention de Minamata, qui s</w:t>
      </w:r>
      <w:r w:rsidR="000B68E0">
        <w:rPr>
          <w:lang w:val="fr-FR"/>
        </w:rPr>
        <w:t>’</w:t>
      </w:r>
      <w:r w:rsidR="00E26085">
        <w:rPr>
          <w:lang w:val="fr-FR"/>
        </w:rPr>
        <w:t>est tenue en </w:t>
      </w:r>
      <w:r w:rsidRPr="00927CD8">
        <w:rPr>
          <w:lang w:val="fr-FR"/>
        </w:rPr>
        <w:t>octobre</w:t>
      </w:r>
      <w:r w:rsidR="00E26085">
        <w:rPr>
          <w:lang w:val="fr-FR"/>
        </w:rPr>
        <w:t> </w:t>
      </w:r>
      <w:r w:rsidRPr="00927CD8">
        <w:rPr>
          <w:lang w:val="fr-FR"/>
        </w:rPr>
        <w:t xml:space="preserve">2013, a </w:t>
      </w:r>
      <w:r w:rsidR="004E1315">
        <w:rPr>
          <w:lang w:val="fr-FR"/>
        </w:rPr>
        <w:t xml:space="preserve">par ailleurs </w:t>
      </w:r>
      <w:r w:rsidRPr="00927CD8">
        <w:rPr>
          <w:lang w:val="fr-FR"/>
        </w:rPr>
        <w:t>chargé la Conférence des Parties d</w:t>
      </w:r>
      <w:r w:rsidR="000B68E0">
        <w:rPr>
          <w:lang w:val="fr-FR"/>
        </w:rPr>
        <w:t>’</w:t>
      </w:r>
      <w:r w:rsidRPr="00927CD8">
        <w:rPr>
          <w:lang w:val="fr-FR"/>
        </w:rPr>
        <w:t>examiner à sa première réunion quelques questions que le texte de la Convention</w:t>
      </w:r>
      <w:r w:rsidR="004E1315">
        <w:rPr>
          <w:lang w:val="fr-FR"/>
        </w:rPr>
        <w:t xml:space="preserve"> </w:t>
      </w:r>
      <w:r w:rsidR="004E1315" w:rsidRPr="00927CD8">
        <w:rPr>
          <w:lang w:val="fr-FR"/>
        </w:rPr>
        <w:t>ne</w:t>
      </w:r>
      <w:r w:rsidR="004E1315">
        <w:rPr>
          <w:lang w:val="fr-FR"/>
        </w:rPr>
        <w:t xml:space="preserve"> mentionne pas</w:t>
      </w:r>
      <w:r w:rsidRPr="00927CD8">
        <w:rPr>
          <w:lang w:val="fr-FR"/>
        </w:rPr>
        <w:t xml:space="preserve">. En outre, le Comité de négociation intergouvernemental </w:t>
      </w:r>
      <w:r w:rsidR="004E1315">
        <w:rPr>
          <w:lang w:val="fr-FR"/>
        </w:rPr>
        <w:t>a</w:t>
      </w:r>
      <w:r w:rsidRPr="00927CD8">
        <w:rPr>
          <w:lang w:val="fr-FR"/>
        </w:rPr>
        <w:t xml:space="preserve"> convenu de trans</w:t>
      </w:r>
      <w:r w:rsidR="004E1315">
        <w:rPr>
          <w:lang w:val="fr-FR"/>
        </w:rPr>
        <w:t>mettre</w:t>
      </w:r>
      <w:r w:rsidRPr="00927CD8">
        <w:rPr>
          <w:lang w:val="fr-FR"/>
        </w:rPr>
        <w:t xml:space="preserve"> certains autres sujets à la Conférence afin qu</w:t>
      </w:r>
      <w:r w:rsidR="000B68E0">
        <w:rPr>
          <w:lang w:val="fr-FR"/>
        </w:rPr>
        <w:t>’</w:t>
      </w:r>
      <w:r w:rsidRPr="00927CD8">
        <w:rPr>
          <w:lang w:val="fr-FR"/>
        </w:rPr>
        <w:t xml:space="preserve">elle les examine. </w:t>
      </w:r>
    </w:p>
    <w:p w:rsidR="00775D8D" w:rsidRPr="00927CD8" w:rsidRDefault="00514C13" w:rsidP="00E26085">
      <w:pPr>
        <w:pStyle w:val="Normalnumber"/>
        <w:numPr>
          <w:ilvl w:val="0"/>
          <w:numId w:val="7"/>
        </w:numPr>
        <w:tabs>
          <w:tab w:val="clear" w:pos="624"/>
          <w:tab w:val="left" w:pos="1247"/>
          <w:tab w:val="left" w:pos="1814"/>
          <w:tab w:val="left" w:pos="2381"/>
          <w:tab w:val="left" w:pos="2948"/>
          <w:tab w:val="left" w:pos="3515"/>
        </w:tabs>
        <w:rPr>
          <w:lang w:val="fr-FR"/>
        </w:rPr>
      </w:pPr>
      <w:r w:rsidRPr="00927CD8">
        <w:rPr>
          <w:lang w:val="fr-FR"/>
        </w:rPr>
        <w:t>Enfin, parce qu</w:t>
      </w:r>
      <w:r w:rsidR="000B68E0">
        <w:rPr>
          <w:lang w:val="fr-FR"/>
        </w:rPr>
        <w:t>’</w:t>
      </w:r>
      <w:r w:rsidRPr="00927CD8">
        <w:rPr>
          <w:lang w:val="fr-FR"/>
        </w:rPr>
        <w:t xml:space="preserve">elle </w:t>
      </w:r>
      <w:r w:rsidR="00EB511A">
        <w:rPr>
          <w:lang w:val="fr-FR"/>
        </w:rPr>
        <w:t xml:space="preserve">marque </w:t>
      </w:r>
      <w:r w:rsidRPr="00927CD8">
        <w:rPr>
          <w:lang w:val="fr-FR"/>
        </w:rPr>
        <w:t xml:space="preserve">une </w:t>
      </w:r>
      <w:r w:rsidR="00436742">
        <w:rPr>
          <w:lang w:val="fr-FR"/>
        </w:rPr>
        <w:t xml:space="preserve">grande </w:t>
      </w:r>
      <w:r w:rsidRPr="00927CD8">
        <w:rPr>
          <w:lang w:val="fr-FR"/>
        </w:rPr>
        <w:t xml:space="preserve">étape </w:t>
      </w:r>
      <w:r w:rsidRPr="00436742">
        <w:rPr>
          <w:lang w:val="fr-FR"/>
        </w:rPr>
        <w:t xml:space="preserve">dans le </w:t>
      </w:r>
      <w:r w:rsidR="00436742">
        <w:rPr>
          <w:lang w:val="fr-FR"/>
        </w:rPr>
        <w:t>parcours de la Convention</w:t>
      </w:r>
      <w:r w:rsidRPr="00927CD8">
        <w:rPr>
          <w:lang w:val="fr-FR"/>
        </w:rPr>
        <w:t xml:space="preserve">, </w:t>
      </w:r>
      <w:r w:rsidR="00436742" w:rsidRPr="00927CD8">
        <w:rPr>
          <w:lang w:val="fr-FR"/>
        </w:rPr>
        <w:t>cette</w:t>
      </w:r>
      <w:r w:rsidR="00E26085">
        <w:rPr>
          <w:lang w:val="fr-FR"/>
        </w:rPr>
        <w:t> </w:t>
      </w:r>
      <w:r w:rsidR="00436742" w:rsidRPr="00927CD8">
        <w:rPr>
          <w:lang w:val="fr-FR"/>
        </w:rPr>
        <w:t>première</w:t>
      </w:r>
      <w:r w:rsidR="00E26085">
        <w:rPr>
          <w:lang w:val="fr-FR"/>
        </w:rPr>
        <w:t> </w:t>
      </w:r>
      <w:r w:rsidR="00436742" w:rsidRPr="00927CD8">
        <w:rPr>
          <w:lang w:val="fr-FR"/>
        </w:rPr>
        <w:t>réunion</w:t>
      </w:r>
      <w:r w:rsidR="00436742">
        <w:rPr>
          <w:lang w:val="fr-FR"/>
        </w:rPr>
        <w:t xml:space="preserve"> </w:t>
      </w:r>
      <w:r w:rsidRPr="00927CD8">
        <w:rPr>
          <w:lang w:val="fr-FR"/>
        </w:rPr>
        <w:t xml:space="preserve">constitue une occasion </w:t>
      </w:r>
      <w:r w:rsidR="00436742">
        <w:rPr>
          <w:lang w:val="fr-FR"/>
        </w:rPr>
        <w:t>exceptionnelle</w:t>
      </w:r>
      <w:r w:rsidRPr="00927CD8">
        <w:rPr>
          <w:lang w:val="fr-FR"/>
        </w:rPr>
        <w:t xml:space="preserve"> de </w:t>
      </w:r>
      <w:r w:rsidR="00436742">
        <w:rPr>
          <w:lang w:val="fr-FR"/>
        </w:rPr>
        <w:t>faire connaître</w:t>
      </w:r>
      <w:r w:rsidRPr="00927CD8">
        <w:rPr>
          <w:lang w:val="fr-FR"/>
        </w:rPr>
        <w:t xml:space="preserve"> la Convention</w:t>
      </w:r>
      <w:r w:rsidR="00436742">
        <w:rPr>
          <w:lang w:val="fr-FR"/>
        </w:rPr>
        <w:t xml:space="preserve"> dans le monde</w:t>
      </w:r>
      <w:r w:rsidRPr="00927CD8">
        <w:rPr>
          <w:lang w:val="fr-FR"/>
        </w:rPr>
        <w:t xml:space="preserve">, notamment aux niveaux </w:t>
      </w:r>
      <w:r w:rsidR="00436742">
        <w:rPr>
          <w:lang w:val="fr-FR"/>
        </w:rPr>
        <w:t>des dirigeants</w:t>
      </w:r>
      <w:r w:rsidRPr="00927CD8">
        <w:rPr>
          <w:lang w:val="fr-FR"/>
        </w:rPr>
        <w:t>, et d</w:t>
      </w:r>
      <w:r w:rsidR="000B68E0">
        <w:rPr>
          <w:lang w:val="fr-FR"/>
        </w:rPr>
        <w:t>’</w:t>
      </w:r>
      <w:r w:rsidRPr="00927CD8">
        <w:rPr>
          <w:lang w:val="fr-FR"/>
        </w:rPr>
        <w:t>attirer l</w:t>
      </w:r>
      <w:r w:rsidR="000B68E0">
        <w:rPr>
          <w:lang w:val="fr-FR"/>
        </w:rPr>
        <w:t>’</w:t>
      </w:r>
      <w:r w:rsidRPr="00927CD8">
        <w:rPr>
          <w:lang w:val="fr-FR"/>
        </w:rPr>
        <w:t xml:space="preserve">attention sur les effets </w:t>
      </w:r>
      <w:r w:rsidR="001B58E8">
        <w:rPr>
          <w:lang w:val="fr-FR"/>
        </w:rPr>
        <w:t xml:space="preserve">très étendus </w:t>
      </w:r>
      <w:r w:rsidRPr="00927CD8">
        <w:rPr>
          <w:lang w:val="fr-FR"/>
        </w:rPr>
        <w:t xml:space="preserve">que sa mise en œuvre efficace </w:t>
      </w:r>
      <w:r w:rsidR="00A4550B">
        <w:rPr>
          <w:lang w:val="fr-FR"/>
        </w:rPr>
        <w:t>produi</w:t>
      </w:r>
      <w:r w:rsidRPr="00927CD8">
        <w:rPr>
          <w:lang w:val="fr-FR"/>
        </w:rPr>
        <w:t>ra. Il s</w:t>
      </w:r>
      <w:r w:rsidR="000B68E0">
        <w:rPr>
          <w:lang w:val="fr-FR"/>
        </w:rPr>
        <w:t>’</w:t>
      </w:r>
      <w:r w:rsidRPr="00927CD8">
        <w:rPr>
          <w:lang w:val="fr-FR"/>
        </w:rPr>
        <w:t>agit d</w:t>
      </w:r>
      <w:r w:rsidR="000B68E0">
        <w:rPr>
          <w:lang w:val="fr-FR"/>
        </w:rPr>
        <w:t>’</w:t>
      </w:r>
      <w:r w:rsidRPr="00927CD8">
        <w:rPr>
          <w:lang w:val="fr-FR"/>
        </w:rPr>
        <w:t xml:space="preserve">une </w:t>
      </w:r>
      <w:r w:rsidR="004E1315">
        <w:rPr>
          <w:lang w:val="fr-FR"/>
        </w:rPr>
        <w:t>occasion</w:t>
      </w:r>
      <w:r w:rsidRPr="00927CD8">
        <w:rPr>
          <w:lang w:val="fr-FR"/>
        </w:rPr>
        <w:t xml:space="preserve"> historique de célébrer la Convention et les progrès accomplis jusqu</w:t>
      </w:r>
      <w:r w:rsidR="000B68E0">
        <w:rPr>
          <w:lang w:val="fr-FR"/>
        </w:rPr>
        <w:t>’</w:t>
      </w:r>
      <w:r w:rsidRPr="00927CD8">
        <w:rPr>
          <w:lang w:val="fr-FR"/>
        </w:rPr>
        <w:t>ici, motiver toutes les parties prenantes et leur donner l</w:t>
      </w:r>
      <w:r w:rsidR="000B68E0">
        <w:rPr>
          <w:lang w:val="fr-FR"/>
        </w:rPr>
        <w:t>’</w:t>
      </w:r>
      <w:r w:rsidRPr="00927CD8">
        <w:rPr>
          <w:lang w:val="fr-FR"/>
        </w:rPr>
        <w:t>élan nécessaire pour poursuivre leurs efforts en vue d</w:t>
      </w:r>
      <w:r w:rsidR="000B68E0">
        <w:rPr>
          <w:lang w:val="fr-FR"/>
        </w:rPr>
        <w:t>’</w:t>
      </w:r>
      <w:r w:rsidRPr="00927CD8">
        <w:rPr>
          <w:lang w:val="fr-FR"/>
        </w:rPr>
        <w:t xml:space="preserve">une </w:t>
      </w:r>
      <w:r w:rsidR="004E1315">
        <w:rPr>
          <w:lang w:val="fr-FR"/>
        </w:rPr>
        <w:t>mise en œuvre intégrale</w:t>
      </w:r>
      <w:r w:rsidRPr="00927CD8">
        <w:rPr>
          <w:lang w:val="fr-FR"/>
        </w:rPr>
        <w:t xml:space="preserve">. </w:t>
      </w:r>
    </w:p>
    <w:p w:rsidR="00775D8D" w:rsidRPr="00E26085" w:rsidRDefault="00775D8D" w:rsidP="00E26085">
      <w:pPr>
        <w:pStyle w:val="CH2"/>
        <w:keepNext w:val="0"/>
        <w:keepLines w:val="0"/>
        <w:ind w:left="1248" w:hanging="624"/>
        <w:outlineLvl w:val="0"/>
        <w:rPr>
          <w:sz w:val="20"/>
          <w:szCs w:val="20"/>
          <w:lang w:val="fr-FR"/>
        </w:rPr>
      </w:pPr>
      <w:r w:rsidRPr="00927CD8">
        <w:rPr>
          <w:lang w:val="fr-FR"/>
        </w:rPr>
        <w:tab/>
      </w:r>
      <w:r w:rsidRPr="00927CD8">
        <w:rPr>
          <w:lang w:val="fr-FR"/>
        </w:rPr>
        <w:tab/>
      </w:r>
      <w:r w:rsidRPr="00E26085">
        <w:rPr>
          <w:sz w:val="20"/>
          <w:szCs w:val="20"/>
          <w:lang w:val="fr-FR"/>
        </w:rPr>
        <w:t>Calendrier et organisation de la première réunion de la Conférence des Parties</w:t>
      </w:r>
    </w:p>
    <w:p w:rsidR="00775D8D" w:rsidRPr="00927CD8" w:rsidRDefault="00775D8D" w:rsidP="00E26085">
      <w:pPr>
        <w:pStyle w:val="Normalnumber"/>
        <w:numPr>
          <w:ilvl w:val="0"/>
          <w:numId w:val="7"/>
        </w:numPr>
        <w:tabs>
          <w:tab w:val="clear" w:pos="624"/>
          <w:tab w:val="left" w:pos="1247"/>
          <w:tab w:val="left" w:pos="1814"/>
          <w:tab w:val="left" w:pos="2381"/>
          <w:tab w:val="left" w:pos="2948"/>
          <w:tab w:val="left" w:pos="3515"/>
        </w:tabs>
        <w:rPr>
          <w:lang w:val="fr-FR"/>
        </w:rPr>
      </w:pPr>
      <w:r w:rsidRPr="00927CD8">
        <w:rPr>
          <w:lang w:val="fr-FR"/>
        </w:rPr>
        <w:t>Au vu d</w:t>
      </w:r>
      <w:r w:rsidR="004E1315">
        <w:rPr>
          <w:lang w:val="fr-FR"/>
        </w:rPr>
        <w:t>u nombre des</w:t>
      </w:r>
      <w:r w:rsidRPr="00927CD8">
        <w:rPr>
          <w:lang w:val="fr-FR"/>
        </w:rPr>
        <w:t xml:space="preserve"> questions qui devront être examinées par la Conférence des Parties à sa première réunion, il a été décidé que cette dernière se tiendrait pendant cinq jours et demi. En</w:t>
      </w:r>
      <w:r w:rsidR="00E26085">
        <w:rPr>
          <w:lang w:val="fr-FR"/>
        </w:rPr>
        <w:t> </w:t>
      </w:r>
      <w:r w:rsidRPr="00927CD8">
        <w:rPr>
          <w:lang w:val="fr-FR"/>
        </w:rPr>
        <w:t>conséquence, la réunion débutera le dimanche 24 septembre 2017 à 15 heures et se terminera le</w:t>
      </w:r>
      <w:r w:rsidR="00E26085">
        <w:rPr>
          <w:lang w:val="fr-FR"/>
        </w:rPr>
        <w:t> </w:t>
      </w:r>
      <w:r w:rsidRPr="00927CD8">
        <w:rPr>
          <w:lang w:val="fr-FR"/>
        </w:rPr>
        <w:t xml:space="preserve">vendredi 29 septembre 2017 à 18 heures. </w:t>
      </w:r>
      <w:r w:rsidR="004C62AA">
        <w:rPr>
          <w:lang w:val="fr-FR"/>
        </w:rPr>
        <w:t xml:space="preserve">Selon le modèle </w:t>
      </w:r>
      <w:r w:rsidRPr="00927CD8">
        <w:rPr>
          <w:lang w:val="fr-FR"/>
        </w:rPr>
        <w:t xml:space="preserve">utilisé avec succès </w:t>
      </w:r>
      <w:r w:rsidR="004C62AA">
        <w:rPr>
          <w:lang w:val="fr-FR"/>
        </w:rPr>
        <w:t>pour l</w:t>
      </w:r>
      <w:r w:rsidRPr="00927CD8">
        <w:rPr>
          <w:lang w:val="fr-FR"/>
        </w:rPr>
        <w:t>es</w:t>
      </w:r>
      <w:r w:rsidR="00E26085">
        <w:rPr>
          <w:lang w:val="fr-FR"/>
        </w:rPr>
        <w:t> </w:t>
      </w:r>
      <w:r w:rsidRPr="00927CD8">
        <w:rPr>
          <w:lang w:val="fr-FR"/>
        </w:rPr>
        <w:t>premières</w:t>
      </w:r>
      <w:r w:rsidR="00E26085">
        <w:rPr>
          <w:lang w:val="fr-FR"/>
        </w:rPr>
        <w:t> </w:t>
      </w:r>
      <w:r w:rsidRPr="00927CD8">
        <w:rPr>
          <w:lang w:val="fr-FR"/>
        </w:rPr>
        <w:t>réunions d</w:t>
      </w:r>
      <w:r w:rsidR="000B68E0">
        <w:rPr>
          <w:lang w:val="fr-FR"/>
        </w:rPr>
        <w:t>’</w:t>
      </w:r>
      <w:r w:rsidRPr="00927CD8">
        <w:rPr>
          <w:lang w:val="fr-FR"/>
        </w:rPr>
        <w:t>autres conférences des Parties à des accords multilatéraux sur l</w:t>
      </w:r>
      <w:r w:rsidR="000B68E0">
        <w:rPr>
          <w:lang w:val="fr-FR"/>
        </w:rPr>
        <w:t>’</w:t>
      </w:r>
      <w:r w:rsidRPr="00927CD8">
        <w:rPr>
          <w:lang w:val="fr-FR"/>
        </w:rPr>
        <w:t>environnement dans le domaine des produits chimiques et des déchets, il est prévu que la Conférence des Parties se réunisse à la fois en séance plénière et en comité de session plénier, ce dernier étant chargé d</w:t>
      </w:r>
      <w:r w:rsidR="000B68E0">
        <w:rPr>
          <w:lang w:val="fr-FR"/>
        </w:rPr>
        <w:t>’</w:t>
      </w:r>
      <w:r w:rsidRPr="00927CD8">
        <w:rPr>
          <w:lang w:val="fr-FR"/>
        </w:rPr>
        <w:t xml:space="preserve">examiner plus particulièrement les questions techniques. Des débats pourront également être organisés en groupes plus restreints, selon les besoins. </w:t>
      </w:r>
    </w:p>
    <w:p w:rsidR="00775D8D" w:rsidRPr="00927CD8" w:rsidRDefault="00F86A02" w:rsidP="00E26085">
      <w:pPr>
        <w:pStyle w:val="Normalnumber"/>
        <w:numPr>
          <w:ilvl w:val="0"/>
          <w:numId w:val="7"/>
        </w:numPr>
        <w:tabs>
          <w:tab w:val="clear" w:pos="624"/>
          <w:tab w:val="left" w:pos="1247"/>
          <w:tab w:val="left" w:pos="1814"/>
          <w:tab w:val="left" w:pos="2381"/>
          <w:tab w:val="left" w:pos="2948"/>
          <w:tab w:val="left" w:pos="3515"/>
        </w:tabs>
        <w:rPr>
          <w:lang w:val="fr-FR"/>
        </w:rPr>
      </w:pPr>
      <w:r>
        <w:rPr>
          <w:lang w:val="fr-FR"/>
        </w:rPr>
        <w:t>Diverses</w:t>
      </w:r>
      <w:r w:rsidR="002856C8">
        <w:rPr>
          <w:lang w:val="fr-FR"/>
        </w:rPr>
        <w:t xml:space="preserve"> manifestations</w:t>
      </w:r>
      <w:r w:rsidR="00775D8D" w:rsidRPr="00927CD8">
        <w:rPr>
          <w:lang w:val="fr-FR"/>
        </w:rPr>
        <w:t xml:space="preserve"> spécia</w:t>
      </w:r>
      <w:r w:rsidR="002856C8">
        <w:rPr>
          <w:lang w:val="fr-FR"/>
        </w:rPr>
        <w:t>les</w:t>
      </w:r>
      <w:r w:rsidR="00775D8D" w:rsidRPr="00927CD8">
        <w:rPr>
          <w:lang w:val="fr-FR"/>
        </w:rPr>
        <w:t xml:space="preserve"> se</w:t>
      </w:r>
      <w:r>
        <w:rPr>
          <w:lang w:val="fr-FR"/>
        </w:rPr>
        <w:t>ront organisées</w:t>
      </w:r>
      <w:r w:rsidR="00F13928">
        <w:rPr>
          <w:lang w:val="fr-FR"/>
        </w:rPr>
        <w:t xml:space="preserve"> </w:t>
      </w:r>
      <w:r w:rsidR="00775D8D" w:rsidRPr="00927CD8">
        <w:rPr>
          <w:lang w:val="fr-FR"/>
        </w:rPr>
        <w:t xml:space="preserve">tout au long de la semaine </w:t>
      </w:r>
      <w:r w:rsidR="00F13928">
        <w:rPr>
          <w:lang w:val="fr-FR"/>
        </w:rPr>
        <w:t>pour</w:t>
      </w:r>
      <w:r w:rsidR="00775D8D" w:rsidRPr="00927CD8">
        <w:rPr>
          <w:lang w:val="fr-FR"/>
        </w:rPr>
        <w:t xml:space="preserve"> célébrer les </w:t>
      </w:r>
      <w:r w:rsidR="00553B66">
        <w:rPr>
          <w:lang w:val="fr-FR"/>
        </w:rPr>
        <w:t>succès enregistrés à ce jour</w:t>
      </w:r>
      <w:r w:rsidR="00775D8D" w:rsidRPr="00927CD8">
        <w:rPr>
          <w:lang w:val="fr-FR"/>
        </w:rPr>
        <w:t xml:space="preserve"> dans </w:t>
      </w:r>
      <w:r w:rsidR="00553B66">
        <w:rPr>
          <w:lang w:val="fr-FR"/>
        </w:rPr>
        <w:t>l</w:t>
      </w:r>
      <w:r w:rsidR="000B68E0">
        <w:rPr>
          <w:lang w:val="fr-FR"/>
        </w:rPr>
        <w:t>’</w:t>
      </w:r>
      <w:r w:rsidR="00553B66">
        <w:rPr>
          <w:lang w:val="fr-FR"/>
        </w:rPr>
        <w:t>action menée pour parvenir à</w:t>
      </w:r>
      <w:r w:rsidR="00775D8D" w:rsidRPr="00927CD8">
        <w:rPr>
          <w:lang w:val="fr-FR"/>
        </w:rPr>
        <w:t xml:space="preserve"> la Convention de Minamata et illustrer le chemin qui reste à parcourir. </w:t>
      </w:r>
      <w:r>
        <w:rPr>
          <w:lang w:val="fr-FR"/>
        </w:rPr>
        <w:t>Ces manifestations couvriront</w:t>
      </w:r>
      <w:r w:rsidR="00775D8D" w:rsidRPr="00927CD8">
        <w:rPr>
          <w:lang w:val="fr-FR"/>
        </w:rPr>
        <w:t xml:space="preserve"> tous les domaines de la Convention et </w:t>
      </w:r>
      <w:r w:rsidR="002856C8">
        <w:rPr>
          <w:lang w:val="fr-FR"/>
        </w:rPr>
        <w:t>le</w:t>
      </w:r>
      <w:r w:rsidR="00775D8D" w:rsidRPr="00927CD8">
        <w:rPr>
          <w:lang w:val="fr-FR"/>
        </w:rPr>
        <w:t xml:space="preserve"> cycle de vie du mercure</w:t>
      </w:r>
      <w:r w:rsidR="002856C8">
        <w:rPr>
          <w:lang w:val="fr-FR"/>
        </w:rPr>
        <w:t xml:space="preserve"> et </w:t>
      </w:r>
      <w:r>
        <w:rPr>
          <w:lang w:val="fr-FR"/>
        </w:rPr>
        <w:t xml:space="preserve">seront conjuguées à </w:t>
      </w:r>
      <w:r w:rsidR="00775D8D" w:rsidRPr="00927CD8">
        <w:rPr>
          <w:lang w:val="fr-FR"/>
        </w:rPr>
        <w:t xml:space="preserve">une </w:t>
      </w:r>
      <w:r>
        <w:rPr>
          <w:lang w:val="fr-FR"/>
        </w:rPr>
        <w:t xml:space="preserve">grande </w:t>
      </w:r>
      <w:r w:rsidR="00775D8D" w:rsidRPr="00927CD8">
        <w:rPr>
          <w:lang w:val="fr-FR"/>
        </w:rPr>
        <w:t xml:space="preserve">exposition qui comprendra des </w:t>
      </w:r>
      <w:r w:rsidR="002856C8">
        <w:rPr>
          <w:lang w:val="fr-FR"/>
        </w:rPr>
        <w:t xml:space="preserve">stands </w:t>
      </w:r>
      <w:r w:rsidR="00775D8D" w:rsidRPr="00927CD8">
        <w:rPr>
          <w:lang w:val="fr-FR"/>
        </w:rPr>
        <w:t>interacti</w:t>
      </w:r>
      <w:r w:rsidR="002856C8">
        <w:rPr>
          <w:lang w:val="fr-FR"/>
        </w:rPr>
        <w:t>f</w:t>
      </w:r>
      <w:r w:rsidR="00775D8D" w:rsidRPr="00927CD8">
        <w:rPr>
          <w:lang w:val="fr-FR"/>
        </w:rPr>
        <w:t xml:space="preserve">s. En outre, un segment de haut niveau sur le thème « Dire adieu au mercure » aura lieu au cours des deux derniers jours de la réunion, les jeudi 28 et vendredi 29 septembre. </w:t>
      </w:r>
      <w:r w:rsidR="00A4550B">
        <w:rPr>
          <w:lang w:val="fr-FR"/>
        </w:rPr>
        <w:t>O</w:t>
      </w:r>
      <w:r w:rsidR="00775D8D" w:rsidRPr="00927CD8">
        <w:rPr>
          <w:lang w:val="fr-FR"/>
        </w:rPr>
        <w:t xml:space="preserve">rganisé par le Président de la Confédération suisse, </w:t>
      </w:r>
      <w:r w:rsidR="00A4550B">
        <w:rPr>
          <w:lang w:val="fr-FR"/>
        </w:rPr>
        <w:t xml:space="preserve">ce segment </w:t>
      </w:r>
      <w:r w:rsidR="00775D8D" w:rsidRPr="00927CD8">
        <w:rPr>
          <w:lang w:val="fr-FR"/>
        </w:rPr>
        <w:t>sera l</w:t>
      </w:r>
      <w:r w:rsidR="000B68E0">
        <w:rPr>
          <w:lang w:val="fr-FR"/>
        </w:rPr>
        <w:t>’</w:t>
      </w:r>
      <w:r w:rsidR="00775D8D" w:rsidRPr="00927CD8">
        <w:rPr>
          <w:lang w:val="fr-FR"/>
        </w:rPr>
        <w:t xml:space="preserve">occasion pour les dignitaires et ministres de haut rang de célébrer et </w:t>
      </w:r>
      <w:r w:rsidR="002856C8">
        <w:rPr>
          <w:lang w:val="fr-FR"/>
        </w:rPr>
        <w:t>d</w:t>
      </w:r>
      <w:r w:rsidR="000B68E0">
        <w:rPr>
          <w:lang w:val="fr-FR"/>
        </w:rPr>
        <w:t>’</w:t>
      </w:r>
      <w:r w:rsidR="00775D8D" w:rsidRPr="00927CD8">
        <w:rPr>
          <w:lang w:val="fr-FR"/>
        </w:rPr>
        <w:t xml:space="preserve">examiner les progrès accomplis à ce jour et de réfléchir à la direction à prendre dans le futur, y compris les priorités essentielles pour réaliser les objectifs de la Convention. </w:t>
      </w:r>
    </w:p>
    <w:p w:rsidR="00775D8D" w:rsidRPr="00927CD8" w:rsidRDefault="00775D8D" w:rsidP="00E26085">
      <w:pPr>
        <w:pStyle w:val="Normalnumber"/>
        <w:numPr>
          <w:ilvl w:val="0"/>
          <w:numId w:val="7"/>
        </w:numPr>
        <w:tabs>
          <w:tab w:val="clear" w:pos="624"/>
          <w:tab w:val="left" w:pos="1247"/>
          <w:tab w:val="left" w:pos="1814"/>
          <w:tab w:val="left" w:pos="2381"/>
          <w:tab w:val="left" w:pos="2948"/>
          <w:tab w:val="left" w:pos="3515"/>
        </w:tabs>
        <w:rPr>
          <w:lang w:val="fr-FR"/>
        </w:rPr>
      </w:pPr>
      <w:r w:rsidRPr="00927CD8">
        <w:rPr>
          <w:lang w:val="fr-FR"/>
        </w:rPr>
        <w:t>Les représentants sont invités à profiter de l</w:t>
      </w:r>
      <w:r w:rsidR="000B68E0">
        <w:rPr>
          <w:lang w:val="fr-FR"/>
        </w:rPr>
        <w:t>’</w:t>
      </w:r>
      <w:r w:rsidRPr="00927CD8">
        <w:rPr>
          <w:lang w:val="fr-FR"/>
        </w:rPr>
        <w:t xml:space="preserve">après-midi du samedi 23 et de la matinée du dimanche 24 septembre pour tenir des </w:t>
      </w:r>
      <w:r w:rsidR="007321A9">
        <w:rPr>
          <w:lang w:val="fr-FR"/>
        </w:rPr>
        <w:t>concertat</w:t>
      </w:r>
      <w:r w:rsidRPr="00927CD8">
        <w:rPr>
          <w:lang w:val="fr-FR"/>
        </w:rPr>
        <w:t>ions régionales</w:t>
      </w:r>
      <w:r w:rsidR="007321A9">
        <w:rPr>
          <w:lang w:val="fr-FR"/>
        </w:rPr>
        <w:t xml:space="preserve"> et, éventuellement,</w:t>
      </w:r>
      <w:r w:rsidRPr="00927CD8">
        <w:rPr>
          <w:lang w:val="fr-FR"/>
        </w:rPr>
        <w:t xml:space="preserve"> interrégionales</w:t>
      </w:r>
      <w:r w:rsidR="007321A9">
        <w:rPr>
          <w:lang w:val="fr-FR"/>
        </w:rPr>
        <w:t xml:space="preserve"> en vue de</w:t>
      </w:r>
      <w:r w:rsidRPr="00927CD8">
        <w:rPr>
          <w:lang w:val="fr-FR"/>
        </w:rPr>
        <w:t xml:space="preserve"> préparer l</w:t>
      </w:r>
      <w:r w:rsidR="000B68E0">
        <w:rPr>
          <w:lang w:val="fr-FR"/>
        </w:rPr>
        <w:t>’</w:t>
      </w:r>
      <w:r w:rsidRPr="00927CD8">
        <w:rPr>
          <w:lang w:val="fr-FR"/>
        </w:rPr>
        <w:t>ouverture de la réunion dans l</w:t>
      </w:r>
      <w:r w:rsidR="000B68E0">
        <w:rPr>
          <w:lang w:val="fr-FR"/>
        </w:rPr>
        <w:t>’</w:t>
      </w:r>
      <w:r w:rsidRPr="00927CD8">
        <w:rPr>
          <w:lang w:val="fr-FR"/>
        </w:rPr>
        <w:t>après-midi du dimanche 24. Cette possibilité d</w:t>
      </w:r>
      <w:r w:rsidR="000B68E0">
        <w:rPr>
          <w:lang w:val="fr-FR"/>
        </w:rPr>
        <w:t>’</w:t>
      </w:r>
      <w:r w:rsidR="007321A9">
        <w:rPr>
          <w:lang w:val="fr-FR"/>
        </w:rPr>
        <w:t>avo</w:t>
      </w:r>
      <w:r w:rsidRPr="00927CD8">
        <w:rPr>
          <w:lang w:val="fr-FR"/>
        </w:rPr>
        <w:t xml:space="preserve">ir des </w:t>
      </w:r>
      <w:r w:rsidR="007321A9">
        <w:rPr>
          <w:lang w:val="fr-FR"/>
        </w:rPr>
        <w:t xml:space="preserve">échanges de vues </w:t>
      </w:r>
      <w:r w:rsidRPr="00927CD8">
        <w:rPr>
          <w:lang w:val="fr-FR"/>
        </w:rPr>
        <w:t>supplémentaires permettra aux régions d</w:t>
      </w:r>
      <w:r w:rsidR="000B68E0">
        <w:rPr>
          <w:lang w:val="fr-FR"/>
        </w:rPr>
        <w:t>’</w:t>
      </w:r>
      <w:r w:rsidRPr="00927CD8">
        <w:rPr>
          <w:lang w:val="fr-FR"/>
        </w:rPr>
        <w:t>examiner des questions cruciales et se placera dans l</w:t>
      </w:r>
      <w:r w:rsidR="006473BF">
        <w:rPr>
          <w:lang w:val="fr-FR"/>
        </w:rPr>
        <w:t xml:space="preserve">e prolongement </w:t>
      </w:r>
      <w:r w:rsidRPr="00927CD8">
        <w:rPr>
          <w:lang w:val="fr-FR"/>
        </w:rPr>
        <w:t xml:space="preserve">des consultations régionales </w:t>
      </w:r>
      <w:r w:rsidR="006473BF">
        <w:rPr>
          <w:lang w:val="fr-FR"/>
        </w:rPr>
        <w:t xml:space="preserve">plénières </w:t>
      </w:r>
      <w:r w:rsidR="004449DF">
        <w:rPr>
          <w:lang w:val="fr-FR"/>
        </w:rPr>
        <w:t>prév</w:t>
      </w:r>
      <w:r w:rsidRPr="00927CD8">
        <w:rPr>
          <w:lang w:val="fr-FR"/>
        </w:rPr>
        <w:t>ues en juillet</w:t>
      </w:r>
      <w:r w:rsidR="004449DF">
        <w:rPr>
          <w:lang w:val="fr-FR"/>
        </w:rPr>
        <w:t>,</w:t>
      </w:r>
      <w:r w:rsidRPr="00927CD8">
        <w:rPr>
          <w:lang w:val="fr-FR"/>
        </w:rPr>
        <w:t xml:space="preserve"> en amont de la première réunion. </w:t>
      </w:r>
      <w:r w:rsidR="00F9716C">
        <w:rPr>
          <w:lang w:val="fr-FR"/>
        </w:rPr>
        <w:t>Ces concertations</w:t>
      </w:r>
      <w:r w:rsidRPr="00927CD8">
        <w:rPr>
          <w:lang w:val="fr-FR"/>
        </w:rPr>
        <w:t xml:space="preserve"> </w:t>
      </w:r>
      <w:r w:rsidR="006473BF">
        <w:rPr>
          <w:lang w:val="fr-FR"/>
        </w:rPr>
        <w:t>sont jugées</w:t>
      </w:r>
      <w:r w:rsidR="00250C4A">
        <w:rPr>
          <w:lang w:val="fr-FR"/>
        </w:rPr>
        <w:t xml:space="preserve"> essentiel</w:t>
      </w:r>
      <w:r w:rsidR="006473BF">
        <w:rPr>
          <w:lang w:val="fr-FR"/>
        </w:rPr>
        <w:t>les</w:t>
      </w:r>
      <w:r w:rsidRPr="00927CD8">
        <w:rPr>
          <w:lang w:val="fr-FR"/>
        </w:rPr>
        <w:t>, notamment dans le cadre de la</w:t>
      </w:r>
      <w:r w:rsidR="00E26085">
        <w:rPr>
          <w:lang w:val="fr-FR"/>
        </w:rPr>
        <w:t> </w:t>
      </w:r>
      <w:r w:rsidRPr="00927CD8">
        <w:rPr>
          <w:lang w:val="fr-FR"/>
        </w:rPr>
        <w:t>première</w:t>
      </w:r>
      <w:r w:rsidR="00E26085">
        <w:rPr>
          <w:lang w:val="fr-FR"/>
        </w:rPr>
        <w:t> </w:t>
      </w:r>
      <w:r w:rsidRPr="00927CD8">
        <w:rPr>
          <w:lang w:val="fr-FR"/>
        </w:rPr>
        <w:t xml:space="preserve">réunion de la Conférence des Parties, pour </w:t>
      </w:r>
      <w:r w:rsidR="006473BF">
        <w:rPr>
          <w:lang w:val="fr-FR"/>
        </w:rPr>
        <w:t xml:space="preserve">faire en sorte </w:t>
      </w:r>
      <w:r w:rsidRPr="00927CD8">
        <w:rPr>
          <w:lang w:val="fr-FR"/>
        </w:rPr>
        <w:t xml:space="preserve">que les points de vue de tous les pays soient entendus </w:t>
      </w:r>
      <w:r w:rsidR="00F9716C">
        <w:rPr>
          <w:lang w:val="fr-FR"/>
        </w:rPr>
        <w:t>préalablement à</w:t>
      </w:r>
      <w:r w:rsidRPr="00927CD8">
        <w:rPr>
          <w:lang w:val="fr-FR"/>
        </w:rPr>
        <w:t xml:space="preserve"> l</w:t>
      </w:r>
      <w:r w:rsidR="000B68E0">
        <w:rPr>
          <w:lang w:val="fr-FR"/>
        </w:rPr>
        <w:t>’</w:t>
      </w:r>
      <w:r w:rsidRPr="00927CD8">
        <w:rPr>
          <w:lang w:val="fr-FR"/>
        </w:rPr>
        <w:t>adoption de décisions par la Conférence des Parties. Des salles de conférence seront mises à disposition</w:t>
      </w:r>
      <w:r w:rsidR="00F9716C">
        <w:rPr>
          <w:lang w:val="fr-FR"/>
        </w:rPr>
        <w:t xml:space="preserve"> à cet effet</w:t>
      </w:r>
      <w:r w:rsidRPr="00927CD8">
        <w:rPr>
          <w:lang w:val="fr-FR"/>
        </w:rPr>
        <w:t xml:space="preserve">, selon les besoins. </w:t>
      </w:r>
    </w:p>
    <w:p w:rsidR="00775D8D" w:rsidRPr="00E26085" w:rsidRDefault="00775D8D" w:rsidP="00E26085">
      <w:pPr>
        <w:pStyle w:val="CH2"/>
        <w:keepLines w:val="0"/>
        <w:ind w:firstLine="0"/>
        <w:outlineLvl w:val="0"/>
        <w:rPr>
          <w:sz w:val="20"/>
          <w:szCs w:val="20"/>
          <w:lang w:val="fr-FR"/>
        </w:rPr>
      </w:pPr>
      <w:r w:rsidRPr="00E26085">
        <w:rPr>
          <w:sz w:val="20"/>
          <w:szCs w:val="20"/>
          <w:lang w:val="fr-FR"/>
        </w:rPr>
        <w:t xml:space="preserve">Progrès accomplis </w:t>
      </w:r>
      <w:proofErr w:type="gramStart"/>
      <w:r w:rsidRPr="00E26085">
        <w:rPr>
          <w:sz w:val="20"/>
          <w:szCs w:val="20"/>
          <w:lang w:val="fr-FR"/>
        </w:rPr>
        <w:t>aux sixième</w:t>
      </w:r>
      <w:proofErr w:type="gramEnd"/>
      <w:r w:rsidRPr="00E26085">
        <w:rPr>
          <w:sz w:val="20"/>
          <w:szCs w:val="20"/>
          <w:lang w:val="fr-FR"/>
        </w:rPr>
        <w:t xml:space="preserve"> et septième sessions du Comité de négociation intergouvernemental et décisions adoptées par la C</w:t>
      </w:r>
      <w:r w:rsidR="00250C4A" w:rsidRPr="00E26085">
        <w:rPr>
          <w:sz w:val="20"/>
          <w:szCs w:val="20"/>
          <w:lang w:val="fr-FR"/>
        </w:rPr>
        <w:t>onférence des plénipotentiaires</w:t>
      </w:r>
    </w:p>
    <w:p w:rsidR="00775D8D" w:rsidRPr="00927CD8" w:rsidRDefault="00775D8D" w:rsidP="00E26085">
      <w:pPr>
        <w:pStyle w:val="Normalnumber"/>
        <w:numPr>
          <w:ilvl w:val="0"/>
          <w:numId w:val="7"/>
        </w:numPr>
        <w:tabs>
          <w:tab w:val="clear" w:pos="624"/>
          <w:tab w:val="left" w:pos="1247"/>
          <w:tab w:val="left" w:pos="1814"/>
          <w:tab w:val="left" w:pos="2381"/>
          <w:tab w:val="left" w:pos="2948"/>
          <w:tab w:val="left" w:pos="3515"/>
        </w:tabs>
        <w:rPr>
          <w:lang w:val="fr-FR"/>
        </w:rPr>
      </w:pPr>
      <w:r w:rsidRPr="00927CD8">
        <w:rPr>
          <w:lang w:val="fr-FR"/>
        </w:rPr>
        <w:t>Le Comité de négociation intergouvernemental a bien progressé dans un certain nombre de domaines qui seront examinés plus avant à la première réunion de la Conférence des Parties. Le Comité a adopté, à titre provisoire, les formulaires conçus au titre de l</w:t>
      </w:r>
      <w:r w:rsidR="000B68E0">
        <w:rPr>
          <w:lang w:val="fr-FR"/>
        </w:rPr>
        <w:t>’</w:t>
      </w:r>
      <w:r w:rsidRPr="00927CD8">
        <w:rPr>
          <w:lang w:val="fr-FR"/>
        </w:rPr>
        <w:t>article 3 de la Convention sur les sources d</w:t>
      </w:r>
      <w:r w:rsidR="000B68E0">
        <w:rPr>
          <w:lang w:val="fr-FR"/>
        </w:rPr>
        <w:t>’</w:t>
      </w:r>
      <w:r w:rsidRPr="00927CD8">
        <w:rPr>
          <w:lang w:val="fr-FR"/>
        </w:rPr>
        <w:t>approvisionnement en mercure et le commerce, et de l</w:t>
      </w:r>
      <w:r w:rsidR="000B68E0">
        <w:rPr>
          <w:lang w:val="fr-FR"/>
        </w:rPr>
        <w:t>’</w:t>
      </w:r>
      <w:r w:rsidRPr="00927CD8">
        <w:rPr>
          <w:lang w:val="fr-FR"/>
        </w:rPr>
        <w:t>article 6 sur les dérogations accessibles aux Parties sur demande. Le Comité a également adopté, à titre provisoire, les orientations prévues par l</w:t>
      </w:r>
      <w:r w:rsidR="000B68E0">
        <w:rPr>
          <w:lang w:val="fr-FR"/>
        </w:rPr>
        <w:t>’</w:t>
      </w:r>
      <w:r w:rsidRPr="00927CD8">
        <w:rPr>
          <w:lang w:val="fr-FR"/>
        </w:rPr>
        <w:t xml:space="preserve">article 3 de la Convention </w:t>
      </w:r>
      <w:r w:rsidR="00B1317E">
        <w:rPr>
          <w:lang w:val="fr-FR"/>
        </w:rPr>
        <w:t>au sujet d</w:t>
      </w:r>
      <w:r w:rsidRPr="00927CD8">
        <w:rPr>
          <w:lang w:val="fr-FR"/>
        </w:rPr>
        <w:t>es sources d</w:t>
      </w:r>
      <w:r w:rsidR="000B68E0">
        <w:rPr>
          <w:lang w:val="fr-FR"/>
        </w:rPr>
        <w:t>’</w:t>
      </w:r>
      <w:r w:rsidRPr="00927CD8">
        <w:rPr>
          <w:lang w:val="fr-FR"/>
        </w:rPr>
        <w:t xml:space="preserve">approvisionnement en mercure et </w:t>
      </w:r>
      <w:r w:rsidR="00B1317E">
        <w:rPr>
          <w:lang w:val="fr-FR"/>
        </w:rPr>
        <w:t>du</w:t>
      </w:r>
      <w:r w:rsidRPr="00927CD8">
        <w:rPr>
          <w:lang w:val="fr-FR"/>
        </w:rPr>
        <w:t xml:space="preserve"> commerce</w:t>
      </w:r>
      <w:r w:rsidR="00B1317E">
        <w:rPr>
          <w:lang w:val="fr-FR"/>
        </w:rPr>
        <w:t xml:space="preserve"> de ce dernier</w:t>
      </w:r>
      <w:r w:rsidRPr="00927CD8">
        <w:rPr>
          <w:lang w:val="fr-FR"/>
        </w:rPr>
        <w:t xml:space="preserve">, et </w:t>
      </w:r>
      <w:r w:rsidR="00B1317E">
        <w:rPr>
          <w:lang w:val="fr-FR"/>
        </w:rPr>
        <w:t xml:space="preserve">par </w:t>
      </w:r>
      <w:r w:rsidRPr="00927CD8">
        <w:rPr>
          <w:lang w:val="fr-FR"/>
        </w:rPr>
        <w:t>l</w:t>
      </w:r>
      <w:r w:rsidR="000B68E0">
        <w:rPr>
          <w:lang w:val="fr-FR"/>
        </w:rPr>
        <w:t>’</w:t>
      </w:r>
      <w:r w:rsidRPr="00927CD8">
        <w:rPr>
          <w:lang w:val="fr-FR"/>
        </w:rPr>
        <w:t xml:space="preserve">article 8 </w:t>
      </w:r>
      <w:r w:rsidR="00B1317E">
        <w:rPr>
          <w:lang w:val="fr-FR"/>
        </w:rPr>
        <w:t>au sujet d</w:t>
      </w:r>
      <w:r w:rsidRPr="00927CD8">
        <w:rPr>
          <w:lang w:val="fr-FR"/>
        </w:rPr>
        <w:t>es émissions. Quelques questions techniques sur lesquelles le Comité n</w:t>
      </w:r>
      <w:r w:rsidR="000B68E0">
        <w:rPr>
          <w:lang w:val="fr-FR"/>
        </w:rPr>
        <w:t>’</w:t>
      </w:r>
      <w:r w:rsidRPr="00927CD8">
        <w:rPr>
          <w:lang w:val="fr-FR"/>
        </w:rPr>
        <w:t>a pas pu se prononcer, telles que la communication d</w:t>
      </w:r>
      <w:r w:rsidR="000B68E0">
        <w:rPr>
          <w:lang w:val="fr-FR"/>
        </w:rPr>
        <w:t>’</w:t>
      </w:r>
      <w:r w:rsidRPr="00927CD8">
        <w:rPr>
          <w:lang w:val="fr-FR"/>
        </w:rPr>
        <w:t xml:space="preserve">informations, appellent des travaux supplémentaires, tandis que les travaux intersessions demandés par le Comité sur le </w:t>
      </w:r>
      <w:r w:rsidRPr="00927CD8">
        <w:rPr>
          <w:lang w:val="fr-FR"/>
        </w:rPr>
        <w:lastRenderedPageBreak/>
        <w:t>stockage provisoire, les déchets, les sites contaminés et l</w:t>
      </w:r>
      <w:r w:rsidR="000B68E0">
        <w:rPr>
          <w:lang w:val="fr-FR"/>
        </w:rPr>
        <w:t>’</w:t>
      </w:r>
      <w:r w:rsidRPr="00927CD8">
        <w:rPr>
          <w:lang w:val="fr-FR"/>
        </w:rPr>
        <w:t>évaluation de l</w:t>
      </w:r>
      <w:r w:rsidR="000B68E0">
        <w:rPr>
          <w:lang w:val="fr-FR"/>
        </w:rPr>
        <w:t>’</w:t>
      </w:r>
      <w:r w:rsidRPr="00927CD8">
        <w:rPr>
          <w:lang w:val="fr-FR"/>
        </w:rPr>
        <w:t>efficacité seront examinés par la Conférence des Parties à sa première réunion. S</w:t>
      </w:r>
      <w:r w:rsidR="000B68E0">
        <w:rPr>
          <w:lang w:val="fr-FR"/>
        </w:rPr>
        <w:t>’</w:t>
      </w:r>
      <w:r w:rsidRPr="00927CD8">
        <w:rPr>
          <w:lang w:val="fr-FR"/>
        </w:rPr>
        <w:t xml:space="preserve">agissant des questions financières, le Comité a </w:t>
      </w:r>
      <w:r w:rsidR="00666DAE">
        <w:rPr>
          <w:lang w:val="fr-FR"/>
        </w:rPr>
        <w:t xml:space="preserve">fait parvenir </w:t>
      </w:r>
      <w:r w:rsidRPr="00927CD8">
        <w:rPr>
          <w:lang w:val="fr-FR"/>
        </w:rPr>
        <w:t>au Conseil du Fonds pour l</w:t>
      </w:r>
      <w:r w:rsidR="000B68E0">
        <w:rPr>
          <w:lang w:val="fr-FR"/>
        </w:rPr>
        <w:t>’</w:t>
      </w:r>
      <w:r w:rsidRPr="00927CD8">
        <w:rPr>
          <w:lang w:val="fr-FR"/>
        </w:rPr>
        <w:t>environnement mondial (FEM)</w:t>
      </w:r>
      <w:r w:rsidR="00666DAE">
        <w:rPr>
          <w:lang w:val="fr-FR"/>
        </w:rPr>
        <w:t>,</w:t>
      </w:r>
      <w:r w:rsidRPr="00927CD8">
        <w:rPr>
          <w:lang w:val="fr-FR"/>
        </w:rPr>
        <w:t xml:space="preserve"> </w:t>
      </w:r>
      <w:r w:rsidR="00666DAE">
        <w:rPr>
          <w:lang w:val="fr-FR"/>
        </w:rPr>
        <w:t>aux fins d</w:t>
      </w:r>
      <w:r w:rsidR="000B68E0">
        <w:rPr>
          <w:lang w:val="fr-FR"/>
        </w:rPr>
        <w:t>’</w:t>
      </w:r>
      <w:r w:rsidRPr="00927CD8">
        <w:rPr>
          <w:lang w:val="fr-FR"/>
        </w:rPr>
        <w:t>exam</w:t>
      </w:r>
      <w:r w:rsidR="00666DAE">
        <w:rPr>
          <w:lang w:val="fr-FR"/>
        </w:rPr>
        <w:t>en,</w:t>
      </w:r>
      <w:r w:rsidRPr="00927CD8">
        <w:rPr>
          <w:lang w:val="fr-FR"/>
        </w:rPr>
        <w:t xml:space="preserve"> un mémorandum d</w:t>
      </w:r>
      <w:r w:rsidR="000B68E0">
        <w:rPr>
          <w:lang w:val="fr-FR"/>
        </w:rPr>
        <w:t>’</w:t>
      </w:r>
      <w:r w:rsidRPr="00927CD8">
        <w:rPr>
          <w:lang w:val="fr-FR"/>
        </w:rPr>
        <w:t>accord entre la Conférence des Parties à la Convention de Minamata et le FEM, ainsi qu</w:t>
      </w:r>
      <w:r w:rsidR="000B68E0">
        <w:rPr>
          <w:lang w:val="fr-FR"/>
        </w:rPr>
        <w:t>’</w:t>
      </w:r>
      <w:r w:rsidR="00666DAE">
        <w:rPr>
          <w:lang w:val="fr-FR"/>
        </w:rPr>
        <w:t>un</w:t>
      </w:r>
      <w:r w:rsidRPr="00927CD8">
        <w:rPr>
          <w:lang w:val="fr-FR"/>
        </w:rPr>
        <w:t xml:space="preserve"> projet d</w:t>
      </w:r>
      <w:r w:rsidR="000B68E0">
        <w:rPr>
          <w:lang w:val="fr-FR"/>
        </w:rPr>
        <w:t>’</w:t>
      </w:r>
      <w:r w:rsidRPr="00927CD8">
        <w:rPr>
          <w:lang w:val="fr-FR"/>
        </w:rPr>
        <w:t xml:space="preserve">orientations </w:t>
      </w:r>
      <w:r w:rsidR="00666DAE">
        <w:rPr>
          <w:lang w:val="fr-FR"/>
        </w:rPr>
        <w:t>à l</w:t>
      </w:r>
      <w:r w:rsidR="000B68E0">
        <w:rPr>
          <w:lang w:val="fr-FR"/>
        </w:rPr>
        <w:t>’</w:t>
      </w:r>
      <w:r w:rsidR="00666DAE">
        <w:rPr>
          <w:lang w:val="fr-FR"/>
        </w:rPr>
        <w:t>intention du</w:t>
      </w:r>
      <w:r w:rsidRPr="00927CD8">
        <w:rPr>
          <w:lang w:val="fr-FR"/>
        </w:rPr>
        <w:t xml:space="preserve"> FEM. Le Comité a également fait des progrès notables concernant le programme international spécifique visant à soutenir le renforcement des capacités et l</w:t>
      </w:r>
      <w:r w:rsidR="000B68E0">
        <w:rPr>
          <w:lang w:val="fr-FR"/>
        </w:rPr>
        <w:t>’</w:t>
      </w:r>
      <w:r w:rsidRPr="00927CD8">
        <w:rPr>
          <w:lang w:val="fr-FR"/>
        </w:rPr>
        <w:t xml:space="preserve">assistance technique, dont quelques détails restent encore à régler à la première réunion de la Conférence des Parties. Des avancées sont également à noter concernant </w:t>
      </w:r>
      <w:r w:rsidR="00666DAE">
        <w:rPr>
          <w:lang w:val="fr-FR"/>
        </w:rPr>
        <w:t>certains aspects de l</w:t>
      </w:r>
      <w:r w:rsidR="000B68E0">
        <w:rPr>
          <w:lang w:val="fr-FR"/>
        </w:rPr>
        <w:t>’</w:t>
      </w:r>
      <w:r w:rsidRPr="00927CD8">
        <w:rPr>
          <w:lang w:val="fr-FR"/>
        </w:rPr>
        <w:t>administrati</w:t>
      </w:r>
      <w:r w:rsidR="00666DAE">
        <w:rPr>
          <w:lang w:val="fr-FR"/>
        </w:rPr>
        <w:t>on</w:t>
      </w:r>
      <w:r w:rsidRPr="00927CD8">
        <w:rPr>
          <w:lang w:val="fr-FR"/>
        </w:rPr>
        <w:t xml:space="preserve"> de la Conférence des Parties, </w:t>
      </w:r>
      <w:r w:rsidR="00666DAE">
        <w:rPr>
          <w:lang w:val="fr-FR"/>
        </w:rPr>
        <w:t>en particulier</w:t>
      </w:r>
      <w:r w:rsidRPr="00927CD8">
        <w:rPr>
          <w:lang w:val="fr-FR"/>
        </w:rPr>
        <w:t xml:space="preserve"> le </w:t>
      </w:r>
      <w:r w:rsidR="00927CD8" w:rsidRPr="00927CD8">
        <w:rPr>
          <w:lang w:val="fr-FR"/>
        </w:rPr>
        <w:t>règlement</w:t>
      </w:r>
      <w:r w:rsidRPr="00927CD8">
        <w:rPr>
          <w:lang w:val="fr-FR"/>
        </w:rPr>
        <w:t xml:space="preserve"> intérieur et les règles de gestion financière, qu</w:t>
      </w:r>
      <w:r w:rsidR="00DA24BB">
        <w:rPr>
          <w:lang w:val="fr-FR"/>
        </w:rPr>
        <w:t xml:space="preserve">e </w:t>
      </w:r>
      <w:r w:rsidRPr="00927CD8">
        <w:rPr>
          <w:lang w:val="fr-FR"/>
        </w:rPr>
        <w:t xml:space="preserve">la Conférence des Parties </w:t>
      </w:r>
      <w:r w:rsidR="00DA24BB">
        <w:rPr>
          <w:lang w:val="fr-FR"/>
        </w:rPr>
        <w:t>est censée a</w:t>
      </w:r>
      <w:r w:rsidR="0073122B">
        <w:rPr>
          <w:lang w:val="fr-FR"/>
        </w:rPr>
        <w:t>rrê</w:t>
      </w:r>
      <w:r w:rsidR="00DA24BB">
        <w:rPr>
          <w:lang w:val="fr-FR"/>
        </w:rPr>
        <w:t xml:space="preserve">ter </w:t>
      </w:r>
      <w:r w:rsidRPr="00927CD8">
        <w:rPr>
          <w:lang w:val="fr-FR"/>
        </w:rPr>
        <w:t xml:space="preserve">à sa première réunion. </w:t>
      </w:r>
    </w:p>
    <w:p w:rsidR="00775D8D" w:rsidRPr="00927CD8" w:rsidRDefault="00A018C0" w:rsidP="00E26085">
      <w:pPr>
        <w:pStyle w:val="Normalnumber"/>
        <w:numPr>
          <w:ilvl w:val="0"/>
          <w:numId w:val="7"/>
        </w:numPr>
        <w:tabs>
          <w:tab w:val="clear" w:pos="624"/>
          <w:tab w:val="left" w:pos="1247"/>
          <w:tab w:val="left" w:pos="1814"/>
          <w:tab w:val="left" w:pos="2381"/>
          <w:tab w:val="left" w:pos="2948"/>
          <w:tab w:val="left" w:pos="3515"/>
        </w:tabs>
        <w:rPr>
          <w:lang w:val="fr-FR"/>
        </w:rPr>
      </w:pPr>
      <w:r w:rsidRPr="00927CD8">
        <w:rPr>
          <w:lang w:val="fr-FR"/>
        </w:rPr>
        <w:t xml:space="preserve">À sa septième session, le Comité a </w:t>
      </w:r>
      <w:r w:rsidR="007F5ABF">
        <w:rPr>
          <w:lang w:val="fr-FR"/>
        </w:rPr>
        <w:t xml:space="preserve">pu </w:t>
      </w:r>
      <w:r w:rsidRPr="00927CD8">
        <w:rPr>
          <w:lang w:val="fr-FR"/>
        </w:rPr>
        <w:t>progress</w:t>
      </w:r>
      <w:r w:rsidR="007F5ABF">
        <w:rPr>
          <w:lang w:val="fr-FR"/>
        </w:rPr>
        <w:t>er</w:t>
      </w:r>
      <w:r w:rsidRPr="00927CD8">
        <w:rPr>
          <w:lang w:val="fr-FR"/>
        </w:rPr>
        <w:t xml:space="preserve"> sur </w:t>
      </w:r>
      <w:r w:rsidR="007F5ABF">
        <w:rPr>
          <w:lang w:val="fr-FR"/>
        </w:rPr>
        <w:t>l</w:t>
      </w:r>
      <w:r w:rsidRPr="00927CD8">
        <w:rPr>
          <w:lang w:val="fr-FR"/>
        </w:rPr>
        <w:t>es questions mises en lumière dans l</w:t>
      </w:r>
      <w:r w:rsidR="000B68E0">
        <w:rPr>
          <w:lang w:val="fr-FR"/>
        </w:rPr>
        <w:t>’</w:t>
      </w:r>
      <w:r w:rsidRPr="00927CD8">
        <w:rPr>
          <w:lang w:val="fr-FR"/>
        </w:rPr>
        <w:t>Acte final adopté par la Conférence des plénipotentiaires</w:t>
      </w:r>
      <w:r w:rsidR="007F5ABF">
        <w:rPr>
          <w:lang w:val="fr-FR"/>
        </w:rPr>
        <w:t>.</w:t>
      </w:r>
      <w:r w:rsidRPr="00927CD8">
        <w:rPr>
          <w:lang w:val="fr-FR"/>
        </w:rPr>
        <w:t xml:space="preserve"> </w:t>
      </w:r>
      <w:r w:rsidR="007F5ABF">
        <w:rPr>
          <w:lang w:val="fr-FR"/>
        </w:rPr>
        <w:t>Il a</w:t>
      </w:r>
      <w:r w:rsidRPr="00927CD8">
        <w:rPr>
          <w:lang w:val="fr-FR"/>
        </w:rPr>
        <w:t xml:space="preserve"> examin</w:t>
      </w:r>
      <w:r w:rsidR="007F5ABF">
        <w:rPr>
          <w:lang w:val="fr-FR"/>
        </w:rPr>
        <w:t>é</w:t>
      </w:r>
      <w:r w:rsidRPr="00927CD8">
        <w:rPr>
          <w:lang w:val="fr-FR"/>
        </w:rPr>
        <w:t xml:space="preserve"> le rapport du Directeur exécutif </w:t>
      </w:r>
      <w:r w:rsidR="004449DF">
        <w:rPr>
          <w:lang w:val="fr-FR"/>
        </w:rPr>
        <w:t>du Programme des Nations Unies pour l</w:t>
      </w:r>
      <w:r w:rsidR="000B68E0">
        <w:rPr>
          <w:lang w:val="fr-FR"/>
        </w:rPr>
        <w:t>’</w:t>
      </w:r>
      <w:r w:rsidR="004449DF">
        <w:rPr>
          <w:lang w:val="fr-FR"/>
        </w:rPr>
        <w:t xml:space="preserve">environnement (PNUE) </w:t>
      </w:r>
      <w:r w:rsidRPr="00927CD8">
        <w:rPr>
          <w:lang w:val="fr-FR"/>
        </w:rPr>
        <w:t>sur l</w:t>
      </w:r>
      <w:r w:rsidR="000B68E0">
        <w:rPr>
          <w:lang w:val="fr-FR"/>
        </w:rPr>
        <w:t>’</w:t>
      </w:r>
      <w:r w:rsidRPr="00927CD8">
        <w:rPr>
          <w:lang w:val="fr-FR"/>
        </w:rPr>
        <w:t>exécution des fonctions du secrétariat et décid</w:t>
      </w:r>
      <w:r w:rsidR="007F5ABF">
        <w:rPr>
          <w:lang w:val="fr-FR"/>
        </w:rPr>
        <w:t>é</w:t>
      </w:r>
      <w:r w:rsidRPr="00927CD8">
        <w:rPr>
          <w:lang w:val="fr-FR"/>
        </w:rPr>
        <w:t xml:space="preserve"> de </w:t>
      </w:r>
      <w:r w:rsidR="007F5ABF">
        <w:rPr>
          <w:lang w:val="fr-FR"/>
        </w:rPr>
        <w:t xml:space="preserve">le </w:t>
      </w:r>
      <w:r w:rsidRPr="00927CD8">
        <w:rPr>
          <w:lang w:val="fr-FR"/>
        </w:rPr>
        <w:t>trans</w:t>
      </w:r>
      <w:r w:rsidR="00DA24BB">
        <w:rPr>
          <w:lang w:val="fr-FR"/>
        </w:rPr>
        <w:t>mettre</w:t>
      </w:r>
      <w:r w:rsidRPr="00927CD8">
        <w:rPr>
          <w:lang w:val="fr-FR"/>
        </w:rPr>
        <w:t>, tel qu</w:t>
      </w:r>
      <w:r w:rsidR="00DA24BB">
        <w:rPr>
          <w:lang w:val="fr-FR"/>
        </w:rPr>
        <w:t xml:space="preserve">e modifié </w:t>
      </w:r>
      <w:r w:rsidR="007F5ABF">
        <w:rPr>
          <w:lang w:val="fr-FR"/>
        </w:rPr>
        <w:t>lors</w:t>
      </w:r>
      <w:r w:rsidRPr="00927CD8">
        <w:rPr>
          <w:lang w:val="fr-FR"/>
        </w:rPr>
        <w:t xml:space="preserve"> </w:t>
      </w:r>
      <w:r w:rsidR="00DA24BB">
        <w:rPr>
          <w:lang w:val="fr-FR"/>
        </w:rPr>
        <w:t>d</w:t>
      </w:r>
      <w:r w:rsidRPr="00927CD8">
        <w:rPr>
          <w:lang w:val="fr-FR"/>
        </w:rPr>
        <w:t xml:space="preserve">es </w:t>
      </w:r>
      <w:r w:rsidR="00DA24BB">
        <w:rPr>
          <w:lang w:val="fr-FR"/>
        </w:rPr>
        <w:t>débats</w:t>
      </w:r>
      <w:r w:rsidRPr="00927CD8">
        <w:rPr>
          <w:lang w:val="fr-FR"/>
        </w:rPr>
        <w:t xml:space="preserve">, </w:t>
      </w:r>
      <w:r w:rsidR="0073122B">
        <w:rPr>
          <w:lang w:val="fr-FR"/>
        </w:rPr>
        <w:t>à</w:t>
      </w:r>
      <w:r w:rsidRPr="00927CD8">
        <w:rPr>
          <w:lang w:val="fr-FR"/>
        </w:rPr>
        <w:t xml:space="preserve"> la Conférence des Parties </w:t>
      </w:r>
      <w:r w:rsidR="0073122B">
        <w:rPr>
          <w:lang w:val="fr-FR"/>
        </w:rPr>
        <w:t xml:space="preserve">pour examen </w:t>
      </w:r>
      <w:r w:rsidRPr="00927CD8">
        <w:rPr>
          <w:lang w:val="fr-FR"/>
        </w:rPr>
        <w:t>à sa première réunion.</w:t>
      </w:r>
    </w:p>
    <w:p w:rsidR="00775D8D" w:rsidRPr="00E26085" w:rsidRDefault="00775D8D" w:rsidP="00E26085">
      <w:pPr>
        <w:pStyle w:val="CH2"/>
        <w:keepNext w:val="0"/>
        <w:keepLines w:val="0"/>
        <w:outlineLvl w:val="0"/>
        <w:rPr>
          <w:sz w:val="20"/>
          <w:szCs w:val="20"/>
          <w:lang w:val="fr-FR"/>
        </w:rPr>
      </w:pPr>
      <w:r w:rsidRPr="00927CD8">
        <w:rPr>
          <w:lang w:val="fr-FR"/>
        </w:rPr>
        <w:tab/>
      </w:r>
      <w:r w:rsidRPr="00927CD8">
        <w:rPr>
          <w:lang w:val="fr-FR"/>
        </w:rPr>
        <w:tab/>
      </w:r>
      <w:r w:rsidRPr="00E26085">
        <w:rPr>
          <w:sz w:val="20"/>
          <w:szCs w:val="20"/>
          <w:lang w:val="fr-FR"/>
        </w:rPr>
        <w:t>Préparation de la première réunion de la Conférence des Parties</w:t>
      </w:r>
    </w:p>
    <w:p w:rsidR="00775D8D" w:rsidRPr="00927CD8" w:rsidRDefault="00775D8D" w:rsidP="00E26085">
      <w:pPr>
        <w:pStyle w:val="Normalnumber"/>
        <w:numPr>
          <w:ilvl w:val="0"/>
          <w:numId w:val="7"/>
        </w:numPr>
        <w:tabs>
          <w:tab w:val="clear" w:pos="624"/>
          <w:tab w:val="left" w:pos="1247"/>
          <w:tab w:val="left" w:pos="1814"/>
          <w:tab w:val="left" w:pos="2381"/>
          <w:tab w:val="left" w:pos="2948"/>
          <w:tab w:val="left" w:pos="3515"/>
        </w:tabs>
        <w:rPr>
          <w:lang w:val="fr-FR"/>
        </w:rPr>
      </w:pPr>
      <w:r w:rsidRPr="00927CD8">
        <w:rPr>
          <w:lang w:val="fr-FR"/>
        </w:rPr>
        <w:t>Les délégations devront se préparer avec grand soin à la première réunion de la Conférence des Parties. Cette réunion verra l</w:t>
      </w:r>
      <w:r w:rsidR="000B68E0">
        <w:rPr>
          <w:lang w:val="fr-FR"/>
        </w:rPr>
        <w:t>’</w:t>
      </w:r>
      <w:r w:rsidRPr="00927CD8">
        <w:rPr>
          <w:lang w:val="fr-FR"/>
        </w:rPr>
        <w:t>adoption d</w:t>
      </w:r>
      <w:r w:rsidR="000B68E0">
        <w:rPr>
          <w:lang w:val="fr-FR"/>
        </w:rPr>
        <w:t>’</w:t>
      </w:r>
      <w:r w:rsidRPr="00927CD8">
        <w:rPr>
          <w:lang w:val="fr-FR"/>
        </w:rPr>
        <w:t>un certain nombre de décisions ayant trait à la poursuite de la mise en œuvre de la Convention. Bien que beaucoup de ces décisions aient déjà fait l</w:t>
      </w:r>
      <w:r w:rsidR="000B68E0">
        <w:rPr>
          <w:lang w:val="fr-FR"/>
        </w:rPr>
        <w:t>’</w:t>
      </w:r>
      <w:r w:rsidRPr="00927CD8">
        <w:rPr>
          <w:lang w:val="fr-FR"/>
        </w:rPr>
        <w:t>objet de discussions approfondies par le Comité de négociation intergouvernemental, certaines questions seront examinées en détail pour la première fois. Les délégations devront être prêtes à adopter des décisions compatibles avec les politiques nationales. Concernant les pays qui ne sont pas encore Parties à la Convention, il est important qu</w:t>
      </w:r>
      <w:r w:rsidR="000B68E0">
        <w:rPr>
          <w:lang w:val="fr-FR"/>
        </w:rPr>
        <w:t>’</w:t>
      </w:r>
      <w:r w:rsidRPr="00927CD8">
        <w:rPr>
          <w:lang w:val="fr-FR"/>
        </w:rPr>
        <w:t>ils examinent les décisions avec soin et, s</w:t>
      </w:r>
      <w:r w:rsidR="000B68E0">
        <w:rPr>
          <w:lang w:val="fr-FR"/>
        </w:rPr>
        <w:t>’</w:t>
      </w:r>
      <w:r w:rsidRPr="00927CD8">
        <w:rPr>
          <w:lang w:val="fr-FR"/>
        </w:rPr>
        <w:t>ils devaient en conclure qu</w:t>
      </w:r>
      <w:r w:rsidR="000B68E0">
        <w:rPr>
          <w:lang w:val="fr-FR"/>
        </w:rPr>
        <w:t>’</w:t>
      </w:r>
      <w:r w:rsidRPr="00927CD8">
        <w:rPr>
          <w:lang w:val="fr-FR"/>
        </w:rPr>
        <w:t>une décision pourrait s</w:t>
      </w:r>
      <w:r w:rsidR="000B68E0">
        <w:rPr>
          <w:lang w:val="fr-FR"/>
        </w:rPr>
        <w:t>’</w:t>
      </w:r>
      <w:r w:rsidRPr="00927CD8">
        <w:rPr>
          <w:lang w:val="fr-FR"/>
        </w:rPr>
        <w:t>avérer problématique, qu</w:t>
      </w:r>
      <w:r w:rsidR="000B68E0">
        <w:rPr>
          <w:lang w:val="fr-FR"/>
        </w:rPr>
        <w:t>’</w:t>
      </w:r>
      <w:r w:rsidRPr="00927CD8">
        <w:rPr>
          <w:lang w:val="fr-FR"/>
        </w:rPr>
        <w:t xml:space="preserve">ils collaborent avec les Parties à la Convention afin de </w:t>
      </w:r>
      <w:r w:rsidR="0073122B">
        <w:rPr>
          <w:lang w:val="fr-FR"/>
        </w:rPr>
        <w:t xml:space="preserve">faire en sorte </w:t>
      </w:r>
      <w:r w:rsidRPr="00927CD8">
        <w:rPr>
          <w:lang w:val="fr-FR"/>
        </w:rPr>
        <w:t xml:space="preserve">que toutes les décisions adoptées </w:t>
      </w:r>
      <w:r w:rsidR="0073122B">
        <w:rPr>
          <w:lang w:val="fr-FR"/>
        </w:rPr>
        <w:t xml:space="preserve">par celles-ci </w:t>
      </w:r>
      <w:r w:rsidRPr="00927CD8">
        <w:rPr>
          <w:lang w:val="fr-FR"/>
        </w:rPr>
        <w:t xml:space="preserve">puissent être appliquées. </w:t>
      </w:r>
    </w:p>
    <w:p w:rsidR="00775D8D" w:rsidRPr="00927CD8" w:rsidRDefault="00775D8D" w:rsidP="00E26085">
      <w:pPr>
        <w:pStyle w:val="Normalnumber"/>
        <w:numPr>
          <w:ilvl w:val="0"/>
          <w:numId w:val="7"/>
        </w:numPr>
        <w:tabs>
          <w:tab w:val="clear" w:pos="624"/>
          <w:tab w:val="left" w:pos="1247"/>
          <w:tab w:val="left" w:pos="1814"/>
          <w:tab w:val="left" w:pos="2381"/>
          <w:tab w:val="left" w:pos="2948"/>
          <w:tab w:val="left" w:pos="3515"/>
        </w:tabs>
        <w:rPr>
          <w:lang w:val="fr-FR"/>
        </w:rPr>
      </w:pPr>
      <w:r w:rsidRPr="00927CD8">
        <w:rPr>
          <w:lang w:val="fr-FR"/>
        </w:rPr>
        <w:t>En raison de la tenue d</w:t>
      </w:r>
      <w:r w:rsidR="000B68E0">
        <w:rPr>
          <w:lang w:val="fr-FR"/>
        </w:rPr>
        <w:t>’</w:t>
      </w:r>
      <w:r w:rsidRPr="00927CD8">
        <w:rPr>
          <w:lang w:val="fr-FR"/>
        </w:rPr>
        <w:t xml:space="preserve">un segment de haut niveau au cours de la première réunion, de nombreuses délégations comprendront des ministres et autres représentants de haut rang. Afin que la discussion de haut niveau se déroule avec succès, il est essentiel de veiller à ce que les participants de haut rang soient bien informés et pleinement mobilisés. Les informations et les documents relatifs au segment de haut niveau devront être examinés avec attention et les délégations souhaiteront peut-être se </w:t>
      </w:r>
      <w:r w:rsidR="007A7CF6">
        <w:rPr>
          <w:lang w:val="fr-FR"/>
        </w:rPr>
        <w:t xml:space="preserve">mettre en rapport avec le </w:t>
      </w:r>
      <w:r w:rsidRPr="00927CD8">
        <w:rPr>
          <w:lang w:val="fr-FR"/>
        </w:rPr>
        <w:t>secrétariat provisoire pour toute question présentant un intérêt particulier ou constituant un sujet d</w:t>
      </w:r>
      <w:r w:rsidR="000B68E0">
        <w:rPr>
          <w:lang w:val="fr-FR"/>
        </w:rPr>
        <w:t>’</w:t>
      </w:r>
      <w:r w:rsidRPr="00927CD8">
        <w:rPr>
          <w:lang w:val="fr-FR"/>
        </w:rPr>
        <w:t xml:space="preserve">inquiétude aux yeux de leur représentant de haut rang. </w:t>
      </w:r>
    </w:p>
    <w:p w:rsidR="00775D8D" w:rsidRPr="00927CD8" w:rsidRDefault="00775D8D" w:rsidP="00E26085">
      <w:pPr>
        <w:pStyle w:val="Normalnumber"/>
        <w:numPr>
          <w:ilvl w:val="0"/>
          <w:numId w:val="7"/>
        </w:numPr>
        <w:tabs>
          <w:tab w:val="clear" w:pos="624"/>
          <w:tab w:val="left" w:pos="1247"/>
          <w:tab w:val="left" w:pos="1814"/>
          <w:tab w:val="left" w:pos="2381"/>
          <w:tab w:val="left" w:pos="2948"/>
          <w:tab w:val="left" w:pos="3515"/>
        </w:tabs>
        <w:rPr>
          <w:lang w:val="fr-FR"/>
        </w:rPr>
      </w:pPr>
      <w:r w:rsidRPr="00927CD8">
        <w:rPr>
          <w:lang w:val="fr-FR"/>
        </w:rPr>
        <w:t>La Conférence des Parties sera saisie d</w:t>
      </w:r>
      <w:r w:rsidR="000B68E0">
        <w:rPr>
          <w:lang w:val="fr-FR"/>
        </w:rPr>
        <w:t>’</w:t>
      </w:r>
      <w:r w:rsidRPr="00927CD8">
        <w:rPr>
          <w:lang w:val="fr-FR"/>
        </w:rPr>
        <w:t>un grand nombre de do</w:t>
      </w:r>
      <w:r w:rsidR="007A7CF6">
        <w:rPr>
          <w:lang w:val="fr-FR"/>
        </w:rPr>
        <w:t>cuments, portant notamment sur d</w:t>
      </w:r>
      <w:r w:rsidRPr="00927CD8">
        <w:rPr>
          <w:lang w:val="fr-FR"/>
        </w:rPr>
        <w:t>es questions administratives liées au fonctionnement futur de la Conférence d</w:t>
      </w:r>
      <w:r w:rsidR="007A7CF6">
        <w:rPr>
          <w:lang w:val="fr-FR"/>
        </w:rPr>
        <w:t>es Parties et son financement, d</w:t>
      </w:r>
      <w:r w:rsidRPr="00927CD8">
        <w:rPr>
          <w:lang w:val="fr-FR"/>
        </w:rPr>
        <w:t>es questions opérationnelles liées aux activités prévues d</w:t>
      </w:r>
      <w:r w:rsidR="007A7CF6">
        <w:rPr>
          <w:lang w:val="fr-FR"/>
        </w:rPr>
        <w:t>ans le cadre de la Convention, d</w:t>
      </w:r>
      <w:r w:rsidRPr="00927CD8">
        <w:rPr>
          <w:lang w:val="fr-FR"/>
        </w:rPr>
        <w:t>es questions techniques liées aux activités nationales prévues dans le cadre la Convention, ains</w:t>
      </w:r>
      <w:r w:rsidR="007A7CF6">
        <w:rPr>
          <w:lang w:val="fr-FR"/>
        </w:rPr>
        <w:t>i que d</w:t>
      </w:r>
      <w:r w:rsidRPr="00927CD8">
        <w:rPr>
          <w:lang w:val="fr-FR"/>
        </w:rPr>
        <w:t>es questions de politique générale telles que le financement après l</w:t>
      </w:r>
      <w:r w:rsidR="000B68E0">
        <w:rPr>
          <w:lang w:val="fr-FR"/>
        </w:rPr>
        <w:t>’</w:t>
      </w:r>
      <w:r w:rsidRPr="00927CD8">
        <w:rPr>
          <w:lang w:val="fr-FR"/>
        </w:rPr>
        <w:t>entrée en vigueur de la Convention.</w:t>
      </w:r>
    </w:p>
    <w:p w:rsidR="00775D8D" w:rsidRPr="00927CD8" w:rsidRDefault="00775D8D" w:rsidP="00E26085">
      <w:pPr>
        <w:pStyle w:val="Normalnumber"/>
        <w:numPr>
          <w:ilvl w:val="0"/>
          <w:numId w:val="7"/>
        </w:numPr>
        <w:tabs>
          <w:tab w:val="clear" w:pos="624"/>
          <w:tab w:val="left" w:pos="1247"/>
          <w:tab w:val="left" w:pos="1814"/>
          <w:tab w:val="left" w:pos="2381"/>
          <w:tab w:val="left" w:pos="2948"/>
          <w:tab w:val="left" w:pos="3515"/>
        </w:tabs>
        <w:rPr>
          <w:lang w:val="fr-FR"/>
        </w:rPr>
      </w:pPr>
      <w:r w:rsidRPr="00927CD8">
        <w:rPr>
          <w:lang w:val="fr-FR"/>
        </w:rPr>
        <w:t>J</w:t>
      </w:r>
      <w:r w:rsidR="000B68E0">
        <w:rPr>
          <w:lang w:val="fr-FR"/>
        </w:rPr>
        <w:t>’</w:t>
      </w:r>
      <w:r w:rsidRPr="00927CD8">
        <w:rPr>
          <w:lang w:val="fr-FR"/>
        </w:rPr>
        <w:t xml:space="preserve">engage vivement toutes les Parties à se présenter à la première réunion en étant parfaitement au fait de ces questions, y compris des sections de la Convention qui leur sont consacrées et des besoins propres à leur pays en ce qui concerne certaines structures et certains processus et en ayant compris en détail les documents de la réunion. Les discussions des réunions régionales tenues en amont de la session contribueront dans une certaine mesure à cette préparation. </w:t>
      </w:r>
    </w:p>
    <w:p w:rsidR="00775D8D" w:rsidRPr="00927CD8" w:rsidRDefault="00775D8D" w:rsidP="00E26085">
      <w:pPr>
        <w:pStyle w:val="Normalnumber"/>
        <w:numPr>
          <w:ilvl w:val="0"/>
          <w:numId w:val="7"/>
        </w:numPr>
        <w:tabs>
          <w:tab w:val="clear" w:pos="624"/>
          <w:tab w:val="left" w:pos="1247"/>
          <w:tab w:val="left" w:pos="1814"/>
          <w:tab w:val="left" w:pos="2381"/>
          <w:tab w:val="left" w:pos="2948"/>
          <w:tab w:val="left" w:pos="3515"/>
        </w:tabs>
        <w:rPr>
          <w:lang w:val="fr-FR"/>
        </w:rPr>
      </w:pPr>
      <w:r w:rsidRPr="00927CD8">
        <w:rPr>
          <w:lang w:val="fr-FR"/>
        </w:rPr>
        <w:t>Je pense que nous pourrons nous inspirer, s</w:t>
      </w:r>
      <w:r w:rsidR="000B68E0">
        <w:rPr>
          <w:lang w:val="fr-FR"/>
        </w:rPr>
        <w:t>’</w:t>
      </w:r>
      <w:r w:rsidRPr="00927CD8">
        <w:rPr>
          <w:lang w:val="fr-FR"/>
        </w:rPr>
        <w:t>il y a lieu, des exemples et structures présentés par d</w:t>
      </w:r>
      <w:r w:rsidR="000B68E0">
        <w:rPr>
          <w:lang w:val="fr-FR"/>
        </w:rPr>
        <w:t>’</w:t>
      </w:r>
      <w:r w:rsidRPr="00927CD8">
        <w:rPr>
          <w:lang w:val="fr-FR"/>
        </w:rPr>
        <w:t>autres accords multilatéraux sur l</w:t>
      </w:r>
      <w:r w:rsidR="000B68E0">
        <w:rPr>
          <w:lang w:val="fr-FR"/>
        </w:rPr>
        <w:t>’</w:t>
      </w:r>
      <w:r w:rsidRPr="00927CD8">
        <w:rPr>
          <w:lang w:val="fr-FR"/>
        </w:rPr>
        <w:t>environnement existants dans le domaine des produits chimiques et des déchets, tout en tenant compte des exigences spécifiques de la Convention de Minamata. J</w:t>
      </w:r>
      <w:r w:rsidR="000B68E0">
        <w:rPr>
          <w:lang w:val="fr-FR"/>
        </w:rPr>
        <w:t>’</w:t>
      </w:r>
      <w:r w:rsidRPr="00927CD8">
        <w:rPr>
          <w:lang w:val="fr-FR"/>
        </w:rPr>
        <w:t xml:space="preserve">ai pleinement conscience des contributions apportées par le </w:t>
      </w:r>
      <w:r w:rsidR="00E26085">
        <w:rPr>
          <w:lang w:val="fr-FR"/>
        </w:rPr>
        <w:t>s</w:t>
      </w:r>
      <w:r w:rsidRPr="00927CD8">
        <w:rPr>
          <w:lang w:val="fr-FR"/>
        </w:rPr>
        <w:t>ecrétariat de la Convention de Bâle sur le contrôle des mouvements transfrontières de déchets dangereux et de leur élimination, de la Convention de Rotterdam sur la procédure de consentement préalable en connaissance de cause applicable à certains produits chimiques et pesticides dangereux qui font l</w:t>
      </w:r>
      <w:r w:rsidR="000B68E0">
        <w:rPr>
          <w:lang w:val="fr-FR"/>
        </w:rPr>
        <w:t>’</w:t>
      </w:r>
      <w:r w:rsidRPr="00927CD8">
        <w:rPr>
          <w:lang w:val="fr-FR"/>
        </w:rPr>
        <w:t>objet d</w:t>
      </w:r>
      <w:r w:rsidR="000B68E0">
        <w:rPr>
          <w:lang w:val="fr-FR"/>
        </w:rPr>
        <w:t>’</w:t>
      </w:r>
      <w:r w:rsidRPr="00927CD8">
        <w:rPr>
          <w:lang w:val="fr-FR"/>
        </w:rPr>
        <w:t xml:space="preserve">un commerce international et de la Convention de Stockholm sur les polluants organiques persistants </w:t>
      </w:r>
      <w:r w:rsidR="000F636C" w:rsidRPr="00927CD8">
        <w:rPr>
          <w:lang w:val="fr-FR"/>
        </w:rPr>
        <w:t>et du fait qu</w:t>
      </w:r>
      <w:r w:rsidR="000B68E0">
        <w:rPr>
          <w:lang w:val="fr-FR"/>
        </w:rPr>
        <w:t>’</w:t>
      </w:r>
      <w:r w:rsidR="000F636C" w:rsidRPr="00927CD8">
        <w:rPr>
          <w:lang w:val="fr-FR"/>
        </w:rPr>
        <w:t xml:space="preserve">il a collaboré étroitement avec le secrétariat provisoire </w:t>
      </w:r>
      <w:r w:rsidRPr="00927CD8">
        <w:rPr>
          <w:lang w:val="fr-FR"/>
        </w:rPr>
        <w:t>à la préparation des documents dont sera saisie la Conférence des Parties à sa première réunion. D</w:t>
      </w:r>
      <w:r w:rsidR="000B68E0">
        <w:rPr>
          <w:lang w:val="fr-FR"/>
        </w:rPr>
        <w:t>’</w:t>
      </w:r>
      <w:r w:rsidRPr="00927CD8">
        <w:rPr>
          <w:lang w:val="fr-FR"/>
        </w:rPr>
        <w:t>autres organisations, notamment l</w:t>
      </w:r>
      <w:r w:rsidR="000B68E0">
        <w:rPr>
          <w:lang w:val="fr-FR"/>
        </w:rPr>
        <w:t>’</w:t>
      </w:r>
      <w:r w:rsidRPr="00927CD8">
        <w:rPr>
          <w:lang w:val="fr-FR"/>
        </w:rPr>
        <w:t xml:space="preserve">Organisation mondiale de la </w:t>
      </w:r>
      <w:r w:rsidR="00E26085">
        <w:rPr>
          <w:lang w:val="fr-FR"/>
        </w:rPr>
        <w:t>S</w:t>
      </w:r>
      <w:r w:rsidRPr="00927CD8">
        <w:rPr>
          <w:lang w:val="fr-FR"/>
        </w:rPr>
        <w:t>anté et le secrétariat du FEM, ont également contribué à ces documents, selon que de besoin.</w:t>
      </w:r>
    </w:p>
    <w:p w:rsidR="00775D8D" w:rsidRPr="00927CD8" w:rsidRDefault="00775D8D" w:rsidP="00E26085">
      <w:pPr>
        <w:pStyle w:val="Normalnumber"/>
        <w:numPr>
          <w:ilvl w:val="0"/>
          <w:numId w:val="7"/>
        </w:numPr>
        <w:tabs>
          <w:tab w:val="clear" w:pos="624"/>
          <w:tab w:val="left" w:pos="1247"/>
          <w:tab w:val="left" w:pos="1814"/>
          <w:tab w:val="left" w:pos="2381"/>
          <w:tab w:val="left" w:pos="2948"/>
          <w:tab w:val="left" w:pos="3515"/>
        </w:tabs>
        <w:rPr>
          <w:lang w:val="fr-FR"/>
        </w:rPr>
      </w:pPr>
      <w:r w:rsidRPr="00927CD8">
        <w:rPr>
          <w:lang w:val="fr-FR"/>
        </w:rPr>
        <w:t>Je vous engage vivement à procéder aux consultations nationales et régionales nécessaires, ainsi qu</w:t>
      </w:r>
      <w:r w:rsidR="000B68E0">
        <w:rPr>
          <w:lang w:val="fr-FR"/>
        </w:rPr>
        <w:t>’</w:t>
      </w:r>
      <w:r w:rsidRPr="00927CD8">
        <w:rPr>
          <w:lang w:val="fr-FR"/>
        </w:rPr>
        <w:t>à saisir l</w:t>
      </w:r>
      <w:r w:rsidR="000B68E0">
        <w:rPr>
          <w:lang w:val="fr-FR"/>
        </w:rPr>
        <w:t>’</w:t>
      </w:r>
      <w:r w:rsidRPr="00927CD8">
        <w:rPr>
          <w:lang w:val="fr-FR"/>
        </w:rPr>
        <w:t>occasion de tenir des consultations avec d</w:t>
      </w:r>
      <w:r w:rsidR="000B68E0">
        <w:rPr>
          <w:lang w:val="fr-FR"/>
        </w:rPr>
        <w:t>’</w:t>
      </w:r>
      <w:r w:rsidRPr="00927CD8">
        <w:rPr>
          <w:lang w:val="fr-FR"/>
        </w:rPr>
        <w:t xml:space="preserve">autres régions et délégations, selon que vous le jugerez approprié, à la fois avant et pendant la réunion. Être bien préparés pour la réunion nous permettra de maximiser les progrès. </w:t>
      </w:r>
    </w:p>
    <w:p w:rsidR="00775D8D" w:rsidRPr="004449DF" w:rsidRDefault="00E26085" w:rsidP="004449DF">
      <w:pPr>
        <w:tabs>
          <w:tab w:val="clear" w:pos="1247"/>
          <w:tab w:val="clear" w:pos="1814"/>
          <w:tab w:val="clear" w:pos="2381"/>
          <w:tab w:val="clear" w:pos="2948"/>
          <w:tab w:val="clear" w:pos="3515"/>
        </w:tabs>
        <w:spacing w:before="240"/>
        <w:rPr>
          <w:b/>
          <w:lang w:val="fr-FR"/>
        </w:rPr>
      </w:pPr>
      <w:r w:rsidRPr="004449DF">
        <w:rPr>
          <w:b/>
          <w:lang w:val="fr-FR"/>
        </w:rPr>
        <w:tab/>
      </w:r>
      <w:r w:rsidRPr="004449DF">
        <w:rPr>
          <w:b/>
          <w:lang w:val="fr-FR"/>
        </w:rPr>
        <w:tab/>
      </w:r>
      <w:r w:rsidR="00775D8D" w:rsidRPr="004449DF">
        <w:rPr>
          <w:b/>
          <w:lang w:val="fr-FR"/>
        </w:rPr>
        <w:t>Organisation des travaux de la première réunion de la Conférence des Parties</w:t>
      </w:r>
    </w:p>
    <w:p w:rsidR="00775D8D" w:rsidRPr="00927CD8" w:rsidRDefault="00775D8D" w:rsidP="004449DF">
      <w:pPr>
        <w:pStyle w:val="Normalnumber"/>
        <w:numPr>
          <w:ilvl w:val="0"/>
          <w:numId w:val="7"/>
        </w:numPr>
        <w:tabs>
          <w:tab w:val="clear" w:pos="624"/>
          <w:tab w:val="left" w:pos="1247"/>
          <w:tab w:val="left" w:pos="1814"/>
          <w:tab w:val="left" w:pos="2381"/>
          <w:tab w:val="left" w:pos="2948"/>
          <w:tab w:val="left" w:pos="3515"/>
        </w:tabs>
        <w:spacing w:before="240"/>
        <w:rPr>
          <w:lang w:val="fr-FR"/>
        </w:rPr>
      </w:pPr>
      <w:r w:rsidRPr="00927CD8">
        <w:rPr>
          <w:lang w:val="fr-FR"/>
        </w:rPr>
        <w:t>Puisqu</w:t>
      </w:r>
      <w:r w:rsidR="000B68E0">
        <w:rPr>
          <w:lang w:val="fr-FR"/>
        </w:rPr>
        <w:t>’</w:t>
      </w:r>
      <w:r w:rsidRPr="00927CD8">
        <w:rPr>
          <w:lang w:val="fr-FR"/>
        </w:rPr>
        <w:t>il s</w:t>
      </w:r>
      <w:r w:rsidR="000B68E0">
        <w:rPr>
          <w:lang w:val="fr-FR"/>
        </w:rPr>
        <w:t>’</w:t>
      </w:r>
      <w:r w:rsidRPr="00927CD8">
        <w:rPr>
          <w:lang w:val="fr-FR"/>
        </w:rPr>
        <w:t>agira de la réunion inaugurale de la Conférence des Parties et que nombre de ratifications supplémentaires de la Convention sont attendues dans les mois qui suivront son entrée en vigueur, certaines dispositions spéciales ont été prévues à l</w:t>
      </w:r>
      <w:r w:rsidR="000B68E0">
        <w:rPr>
          <w:lang w:val="fr-FR"/>
        </w:rPr>
        <w:t>’</w:t>
      </w:r>
      <w:r w:rsidRPr="00927CD8">
        <w:rPr>
          <w:lang w:val="fr-FR"/>
        </w:rPr>
        <w:t>occasion de cette réunion afin d</w:t>
      </w:r>
      <w:r w:rsidR="000B68E0">
        <w:rPr>
          <w:lang w:val="fr-FR"/>
        </w:rPr>
        <w:t>’</w:t>
      </w:r>
      <w:r w:rsidRPr="00927CD8">
        <w:rPr>
          <w:lang w:val="fr-FR"/>
        </w:rPr>
        <w:t>entretenir l</w:t>
      </w:r>
      <w:r w:rsidR="000B68E0">
        <w:rPr>
          <w:lang w:val="fr-FR"/>
        </w:rPr>
        <w:t>’</w:t>
      </w:r>
      <w:r w:rsidRPr="00927CD8">
        <w:rPr>
          <w:lang w:val="fr-FR"/>
        </w:rPr>
        <w:t>esprit inclusif de la Convention et de son processus d</w:t>
      </w:r>
      <w:r w:rsidR="000B68E0">
        <w:rPr>
          <w:lang w:val="fr-FR"/>
        </w:rPr>
        <w:t>’</w:t>
      </w:r>
      <w:r w:rsidRPr="00927CD8">
        <w:rPr>
          <w:lang w:val="fr-FR"/>
        </w:rPr>
        <w:t xml:space="preserve">élaboration, bien que les futures réunions de la Conférence des Parties puissent se dérouler de façon plus </w:t>
      </w:r>
      <w:r w:rsidR="00927CD8" w:rsidRPr="00927CD8">
        <w:rPr>
          <w:lang w:val="fr-FR"/>
        </w:rPr>
        <w:t>conventionnelle</w:t>
      </w:r>
      <w:r w:rsidRPr="00927CD8">
        <w:rPr>
          <w:lang w:val="fr-FR"/>
        </w:rPr>
        <w:t>. Par exemple, il sera possible de débattre à différents niveaux tout au long de la réunion. C</w:t>
      </w:r>
      <w:r w:rsidR="000B68E0">
        <w:rPr>
          <w:lang w:val="fr-FR"/>
        </w:rPr>
        <w:t>’</w:t>
      </w:r>
      <w:r w:rsidRPr="00927CD8">
        <w:rPr>
          <w:lang w:val="fr-FR"/>
        </w:rPr>
        <w:t>est dans le cadre de la plénière de la réunion de la Conférence des Parties que s</w:t>
      </w:r>
      <w:r w:rsidR="000B68E0">
        <w:rPr>
          <w:lang w:val="fr-FR"/>
        </w:rPr>
        <w:t>’</w:t>
      </w:r>
      <w:r w:rsidRPr="00927CD8">
        <w:rPr>
          <w:lang w:val="fr-FR"/>
        </w:rPr>
        <w:t xml:space="preserve">ouvriront </w:t>
      </w:r>
      <w:r w:rsidR="00235EA5">
        <w:rPr>
          <w:lang w:val="fr-FR"/>
        </w:rPr>
        <w:t>officiel</w:t>
      </w:r>
      <w:r w:rsidRPr="00927CD8">
        <w:rPr>
          <w:lang w:val="fr-FR"/>
        </w:rPr>
        <w:t>lement les discussions, mais il est prévu de créer un comité de session plénier pour fournir un environnement plus adapté à la tenue de débats sur de grandes questions de politique générale. Les participants au segment de haut niveau de la réunion se pencheront sur d</w:t>
      </w:r>
      <w:r w:rsidR="000B68E0">
        <w:rPr>
          <w:lang w:val="fr-FR"/>
        </w:rPr>
        <w:t>’</w:t>
      </w:r>
      <w:r w:rsidR="000F636C">
        <w:rPr>
          <w:lang w:val="fr-FR"/>
        </w:rPr>
        <w:t>importante</w:t>
      </w:r>
      <w:r w:rsidRPr="00927CD8">
        <w:rPr>
          <w:lang w:val="fr-FR"/>
        </w:rPr>
        <w:t>s questions interdisciplinaires et relevant de la politique générale, en examinant notamment l</w:t>
      </w:r>
      <w:r w:rsidR="000B68E0">
        <w:rPr>
          <w:lang w:val="fr-FR"/>
        </w:rPr>
        <w:t>’</w:t>
      </w:r>
      <w:r w:rsidRPr="00927CD8">
        <w:rPr>
          <w:lang w:val="fr-FR"/>
        </w:rPr>
        <w:t>incidence de la mise en œuvre de la Convention sur d</w:t>
      </w:r>
      <w:r w:rsidR="000B68E0">
        <w:rPr>
          <w:lang w:val="fr-FR"/>
        </w:rPr>
        <w:t>’</w:t>
      </w:r>
      <w:r w:rsidRPr="00927CD8">
        <w:rPr>
          <w:lang w:val="fr-FR"/>
        </w:rPr>
        <w:t>autres questions du domaine de l</w:t>
      </w:r>
      <w:r w:rsidR="000B68E0">
        <w:rPr>
          <w:lang w:val="fr-FR"/>
        </w:rPr>
        <w:t>’</w:t>
      </w:r>
      <w:r w:rsidRPr="00927CD8">
        <w:rPr>
          <w:lang w:val="fr-FR"/>
        </w:rPr>
        <w:t>environnement, de la santé et du développement durable, ainsi que l</w:t>
      </w:r>
      <w:r w:rsidR="000B68E0">
        <w:rPr>
          <w:lang w:val="fr-FR"/>
        </w:rPr>
        <w:t>’</w:t>
      </w:r>
      <w:r w:rsidRPr="00927CD8">
        <w:rPr>
          <w:lang w:val="fr-FR"/>
        </w:rPr>
        <w:t>incidence d</w:t>
      </w:r>
      <w:r w:rsidR="000B68E0">
        <w:rPr>
          <w:lang w:val="fr-FR"/>
        </w:rPr>
        <w:t>’</w:t>
      </w:r>
      <w:r w:rsidRPr="00927CD8">
        <w:rPr>
          <w:lang w:val="fr-FR"/>
        </w:rPr>
        <w:t>autres questions à la fois sur la mise en œuvre efficace de la Convention et sur ses résultats attendus en termes de réduction des concentrations de mercure dans l</w:t>
      </w:r>
      <w:r w:rsidR="000B68E0">
        <w:rPr>
          <w:lang w:val="fr-FR"/>
        </w:rPr>
        <w:t>’</w:t>
      </w:r>
      <w:r w:rsidRPr="00927CD8">
        <w:rPr>
          <w:lang w:val="fr-FR"/>
        </w:rPr>
        <w:t>environnement.</w:t>
      </w:r>
    </w:p>
    <w:p w:rsidR="00775D8D" w:rsidRPr="00927CD8" w:rsidRDefault="008A2570" w:rsidP="00E26085">
      <w:pPr>
        <w:pStyle w:val="Normalnumber"/>
        <w:numPr>
          <w:ilvl w:val="0"/>
          <w:numId w:val="7"/>
        </w:numPr>
        <w:tabs>
          <w:tab w:val="clear" w:pos="624"/>
          <w:tab w:val="left" w:pos="1247"/>
          <w:tab w:val="left" w:pos="1814"/>
          <w:tab w:val="left" w:pos="2381"/>
          <w:tab w:val="left" w:pos="2948"/>
          <w:tab w:val="left" w:pos="3515"/>
        </w:tabs>
        <w:rPr>
          <w:lang w:val="fr-FR"/>
        </w:rPr>
      </w:pPr>
      <w:r w:rsidRPr="00927CD8">
        <w:rPr>
          <w:lang w:val="fr-FR"/>
        </w:rPr>
        <w:t xml:space="preserve">Un comité de session plénier est perçu comme un </w:t>
      </w:r>
      <w:r w:rsidR="000F636C">
        <w:rPr>
          <w:lang w:val="fr-FR"/>
        </w:rPr>
        <w:t>espace</w:t>
      </w:r>
      <w:r w:rsidRPr="00927CD8">
        <w:rPr>
          <w:lang w:val="fr-FR"/>
        </w:rPr>
        <w:t xml:space="preserve"> de d</w:t>
      </w:r>
      <w:r w:rsidR="000F636C">
        <w:rPr>
          <w:lang w:val="fr-FR"/>
        </w:rPr>
        <w:t>ébat</w:t>
      </w:r>
      <w:r w:rsidRPr="00927CD8">
        <w:rPr>
          <w:lang w:val="fr-FR"/>
        </w:rPr>
        <w:t xml:space="preserve"> particulièrement adapté en raison de ses caractéristiques </w:t>
      </w:r>
      <w:r w:rsidR="000F636C">
        <w:rPr>
          <w:lang w:val="fr-FR"/>
        </w:rPr>
        <w:t>comparabl</w:t>
      </w:r>
      <w:r w:rsidRPr="00927CD8">
        <w:rPr>
          <w:lang w:val="fr-FR"/>
        </w:rPr>
        <w:t>es à celles du Comité de négociation intergouvernemental, qui lui permettr</w:t>
      </w:r>
      <w:r w:rsidR="000F636C">
        <w:rPr>
          <w:lang w:val="fr-FR"/>
        </w:rPr>
        <w:t>ont</w:t>
      </w:r>
      <w:r w:rsidRPr="00927CD8">
        <w:rPr>
          <w:lang w:val="fr-FR"/>
        </w:rPr>
        <w:t xml:space="preserve"> de favoriser la tenue de discussions sur des questions spécifiques touchant par exemple à l</w:t>
      </w:r>
      <w:r w:rsidR="000B68E0">
        <w:rPr>
          <w:lang w:val="fr-FR"/>
        </w:rPr>
        <w:t>’</w:t>
      </w:r>
      <w:r w:rsidRPr="00927CD8">
        <w:rPr>
          <w:lang w:val="fr-FR"/>
        </w:rPr>
        <w:t>application technique ou au financement. Un mécanisme semblable a été mis en place avec succès au cours de sessions de l</w:t>
      </w:r>
      <w:r w:rsidR="000B68E0">
        <w:rPr>
          <w:lang w:val="fr-FR"/>
        </w:rPr>
        <w:t>’</w:t>
      </w:r>
      <w:r w:rsidRPr="00927CD8">
        <w:rPr>
          <w:lang w:val="fr-FR"/>
        </w:rPr>
        <w:t>Assemblée des Nations Unies pour l</w:t>
      </w:r>
      <w:r w:rsidR="000B68E0">
        <w:rPr>
          <w:lang w:val="fr-FR"/>
        </w:rPr>
        <w:t>’</w:t>
      </w:r>
      <w:r w:rsidRPr="00927CD8">
        <w:rPr>
          <w:lang w:val="fr-FR"/>
        </w:rPr>
        <w:t>environnement du Programme des Nations Unies pour l</w:t>
      </w:r>
      <w:r w:rsidR="000B68E0">
        <w:rPr>
          <w:lang w:val="fr-FR"/>
        </w:rPr>
        <w:t>’</w:t>
      </w:r>
      <w:r w:rsidRPr="00927CD8">
        <w:rPr>
          <w:lang w:val="fr-FR"/>
        </w:rPr>
        <w:t>environnement (PNUE) et de son prédécesseur, le Conseil d</w:t>
      </w:r>
      <w:r w:rsidR="000B68E0">
        <w:rPr>
          <w:lang w:val="fr-FR"/>
        </w:rPr>
        <w:t>’</w:t>
      </w:r>
      <w:r w:rsidRPr="00927CD8">
        <w:rPr>
          <w:lang w:val="fr-FR"/>
        </w:rPr>
        <w:t>administration du PNUE, ainsi que pour les premières réunions des conférences des Parties à d</w:t>
      </w:r>
      <w:r w:rsidR="000B68E0">
        <w:rPr>
          <w:lang w:val="fr-FR"/>
        </w:rPr>
        <w:t>’</w:t>
      </w:r>
      <w:r w:rsidRPr="00927CD8">
        <w:rPr>
          <w:lang w:val="fr-FR"/>
        </w:rPr>
        <w:t>autres accords multilatéraux sur l</w:t>
      </w:r>
      <w:r w:rsidR="000B68E0">
        <w:rPr>
          <w:lang w:val="fr-FR"/>
        </w:rPr>
        <w:t>’</w:t>
      </w:r>
      <w:r w:rsidRPr="00927CD8">
        <w:rPr>
          <w:lang w:val="fr-FR"/>
        </w:rPr>
        <w:t xml:space="preserve">environnement. </w:t>
      </w:r>
    </w:p>
    <w:p w:rsidR="00775D8D" w:rsidRPr="00927CD8" w:rsidRDefault="00775D8D" w:rsidP="00E26085">
      <w:pPr>
        <w:pStyle w:val="Normalnumber"/>
        <w:numPr>
          <w:ilvl w:val="0"/>
          <w:numId w:val="7"/>
        </w:numPr>
        <w:tabs>
          <w:tab w:val="clear" w:pos="624"/>
          <w:tab w:val="left" w:pos="1247"/>
          <w:tab w:val="left" w:pos="1814"/>
          <w:tab w:val="left" w:pos="2381"/>
          <w:tab w:val="left" w:pos="2948"/>
          <w:tab w:val="left" w:pos="3515"/>
        </w:tabs>
        <w:rPr>
          <w:lang w:val="fr-FR"/>
        </w:rPr>
      </w:pPr>
      <w:r w:rsidRPr="00927CD8">
        <w:rPr>
          <w:lang w:val="fr-FR"/>
        </w:rPr>
        <w:t xml:space="preserve">Il nous faudra </w:t>
      </w:r>
      <w:r w:rsidR="00D2772A">
        <w:rPr>
          <w:lang w:val="fr-FR"/>
        </w:rPr>
        <w:t xml:space="preserve">trouver un équilibre entre </w:t>
      </w:r>
      <w:r w:rsidRPr="00927CD8">
        <w:rPr>
          <w:lang w:val="fr-FR"/>
        </w:rPr>
        <w:t xml:space="preserve">le temps consacré aux travaux du comité plénier </w:t>
      </w:r>
      <w:r w:rsidR="00D2772A">
        <w:rPr>
          <w:lang w:val="fr-FR"/>
        </w:rPr>
        <w:t>et celui imparti pour les débats</w:t>
      </w:r>
      <w:r w:rsidRPr="00927CD8">
        <w:rPr>
          <w:lang w:val="fr-FR"/>
        </w:rPr>
        <w:t xml:space="preserve"> </w:t>
      </w:r>
      <w:r w:rsidR="00D2772A">
        <w:rPr>
          <w:lang w:val="fr-FR"/>
        </w:rPr>
        <w:t>au sein des</w:t>
      </w:r>
      <w:r w:rsidRPr="00927CD8">
        <w:rPr>
          <w:lang w:val="fr-FR"/>
        </w:rPr>
        <w:t xml:space="preserve"> groupes plus restreints </w:t>
      </w:r>
      <w:r w:rsidR="00D2772A">
        <w:rPr>
          <w:lang w:val="fr-FR"/>
        </w:rPr>
        <w:t>qui peuvent être mis en place.</w:t>
      </w:r>
      <w:r w:rsidRPr="00927CD8">
        <w:rPr>
          <w:lang w:val="fr-FR"/>
        </w:rPr>
        <w:t xml:space="preserve"> Cette démarche favorisera l</w:t>
      </w:r>
      <w:r w:rsidR="000B68E0">
        <w:rPr>
          <w:lang w:val="fr-FR"/>
        </w:rPr>
        <w:t>’</w:t>
      </w:r>
      <w:r w:rsidRPr="00927CD8">
        <w:rPr>
          <w:lang w:val="fr-FR"/>
        </w:rPr>
        <w:t>expression de toutes les opinions et permettra l</w:t>
      </w:r>
      <w:r w:rsidR="000B68E0">
        <w:rPr>
          <w:lang w:val="fr-FR"/>
        </w:rPr>
        <w:t>’</w:t>
      </w:r>
      <w:r w:rsidRPr="00927CD8">
        <w:rPr>
          <w:lang w:val="fr-FR"/>
        </w:rPr>
        <w:t xml:space="preserve">examen plus détaillé et approfondi de questions spécifiques par les groupes plus restreints. Ces deux types de discussion seront nécessaires </w:t>
      </w:r>
      <w:r w:rsidR="00D2772A">
        <w:rPr>
          <w:lang w:val="fr-FR"/>
        </w:rPr>
        <w:t xml:space="preserve">pour </w:t>
      </w:r>
      <w:r w:rsidRPr="00927CD8">
        <w:rPr>
          <w:lang w:val="fr-FR"/>
        </w:rPr>
        <w:t xml:space="preserve">parvenir à un consensus. </w:t>
      </w:r>
    </w:p>
    <w:p w:rsidR="00775D8D" w:rsidRPr="00E26085" w:rsidRDefault="00775D8D" w:rsidP="00E26085">
      <w:pPr>
        <w:pStyle w:val="CH2"/>
        <w:outlineLvl w:val="0"/>
        <w:rPr>
          <w:sz w:val="20"/>
          <w:szCs w:val="20"/>
          <w:lang w:val="fr-FR"/>
        </w:rPr>
      </w:pPr>
      <w:r w:rsidRPr="00927CD8">
        <w:rPr>
          <w:lang w:val="fr-FR"/>
        </w:rPr>
        <w:tab/>
      </w:r>
      <w:r w:rsidRPr="00927CD8">
        <w:rPr>
          <w:lang w:val="fr-FR"/>
        </w:rPr>
        <w:tab/>
      </w:r>
      <w:r w:rsidRPr="00E26085">
        <w:rPr>
          <w:sz w:val="20"/>
          <w:szCs w:val="20"/>
          <w:lang w:val="fr-FR"/>
        </w:rPr>
        <w:t xml:space="preserve">Recours à des groupes restreints </w:t>
      </w:r>
    </w:p>
    <w:p w:rsidR="00775D8D" w:rsidRPr="00927CD8" w:rsidRDefault="00775D8D" w:rsidP="00E26085">
      <w:pPr>
        <w:pStyle w:val="Normalnumber"/>
        <w:keepNext/>
        <w:keepLines/>
        <w:numPr>
          <w:ilvl w:val="0"/>
          <w:numId w:val="7"/>
        </w:numPr>
        <w:tabs>
          <w:tab w:val="clear" w:pos="624"/>
          <w:tab w:val="left" w:pos="1247"/>
          <w:tab w:val="left" w:pos="1814"/>
          <w:tab w:val="left" w:pos="2381"/>
          <w:tab w:val="left" w:pos="2948"/>
          <w:tab w:val="left" w:pos="3515"/>
        </w:tabs>
        <w:rPr>
          <w:lang w:val="fr-FR"/>
        </w:rPr>
      </w:pPr>
      <w:r w:rsidRPr="00927CD8">
        <w:rPr>
          <w:lang w:val="fr-FR"/>
        </w:rPr>
        <w:t xml:space="preserve"> Bien que la création de groupes restreints puisse s</w:t>
      </w:r>
      <w:r w:rsidR="000B68E0">
        <w:rPr>
          <w:lang w:val="fr-FR"/>
        </w:rPr>
        <w:t>’</w:t>
      </w:r>
      <w:r w:rsidR="00927CD8" w:rsidRPr="00927CD8">
        <w:rPr>
          <w:lang w:val="fr-FR"/>
        </w:rPr>
        <w:t>avérer</w:t>
      </w:r>
      <w:r w:rsidRPr="00927CD8">
        <w:rPr>
          <w:lang w:val="fr-FR"/>
        </w:rPr>
        <w:t xml:space="preserve"> nécessaire </w:t>
      </w:r>
      <w:r w:rsidR="00D2772A">
        <w:rPr>
          <w:lang w:val="fr-FR"/>
        </w:rPr>
        <w:t>pour</w:t>
      </w:r>
      <w:r w:rsidRPr="00927CD8">
        <w:rPr>
          <w:lang w:val="fr-FR"/>
        </w:rPr>
        <w:t xml:space="preserve"> l</w:t>
      </w:r>
      <w:r w:rsidR="000B68E0">
        <w:rPr>
          <w:lang w:val="fr-FR"/>
        </w:rPr>
        <w:t>’</w:t>
      </w:r>
      <w:r w:rsidRPr="00927CD8">
        <w:rPr>
          <w:lang w:val="fr-FR"/>
        </w:rPr>
        <w:t>examen plus approfondi de certaines questions, j</w:t>
      </w:r>
      <w:r w:rsidR="000B68E0">
        <w:rPr>
          <w:lang w:val="fr-FR"/>
        </w:rPr>
        <w:t>’</w:t>
      </w:r>
      <w:r w:rsidRPr="00927CD8">
        <w:rPr>
          <w:lang w:val="fr-FR"/>
        </w:rPr>
        <w:t>espère que le recours à ces groupes sera aussi limité que possible et que nous pourrons maximiser le nombre de questions qui seront résolues en comité plénier avant d</w:t>
      </w:r>
      <w:r w:rsidR="000B68E0">
        <w:rPr>
          <w:lang w:val="fr-FR"/>
        </w:rPr>
        <w:t>’</w:t>
      </w:r>
      <w:r w:rsidRPr="00927CD8">
        <w:rPr>
          <w:lang w:val="fr-FR"/>
        </w:rPr>
        <w:t xml:space="preserve">être renvoyées à la Conférence des Parties pour adoption </w:t>
      </w:r>
      <w:r w:rsidR="00235EA5">
        <w:rPr>
          <w:lang w:val="fr-FR"/>
        </w:rPr>
        <w:t>officiel</w:t>
      </w:r>
      <w:r w:rsidRPr="00927CD8">
        <w:rPr>
          <w:lang w:val="fr-FR"/>
        </w:rPr>
        <w:t>le en plénière. J</w:t>
      </w:r>
      <w:r w:rsidR="000B68E0">
        <w:rPr>
          <w:lang w:val="fr-FR"/>
        </w:rPr>
        <w:t>’</w:t>
      </w:r>
      <w:r w:rsidRPr="00927CD8">
        <w:rPr>
          <w:lang w:val="fr-FR"/>
        </w:rPr>
        <w:t xml:space="preserve">espère en particulier que toutes les questions de politique générale seront résolues en comité plénier et que les groupes plus restreints de représentants gouvernementaux feront ensuite en sorte que les choix politiques faits au sein de groupes plus larges soient fidèlement rendus. Les résultats des délibérations des groupes plus restreints seront présentés au comité pour examen et adoption éventuelle. </w:t>
      </w:r>
    </w:p>
    <w:p w:rsidR="00775D8D" w:rsidRPr="00927CD8" w:rsidRDefault="00775D8D" w:rsidP="00E26085">
      <w:pPr>
        <w:pStyle w:val="Normalnumber"/>
        <w:numPr>
          <w:ilvl w:val="0"/>
          <w:numId w:val="7"/>
        </w:numPr>
        <w:tabs>
          <w:tab w:val="clear" w:pos="624"/>
          <w:tab w:val="left" w:pos="1247"/>
          <w:tab w:val="left" w:pos="1814"/>
          <w:tab w:val="left" w:pos="2381"/>
          <w:tab w:val="left" w:pos="2948"/>
          <w:tab w:val="left" w:pos="3515"/>
        </w:tabs>
        <w:rPr>
          <w:lang w:val="fr-FR"/>
        </w:rPr>
      </w:pPr>
      <w:r w:rsidRPr="00927CD8">
        <w:rPr>
          <w:lang w:val="fr-FR"/>
        </w:rPr>
        <w:t>Le Bureau et moi-même sommes parfaitement conscients des difficultés rencontrées par de nombreuses délégations qui doivent prendre part à un large éventail de débats parallèles; c</w:t>
      </w:r>
      <w:r w:rsidR="000B68E0">
        <w:rPr>
          <w:lang w:val="fr-FR"/>
        </w:rPr>
        <w:t>’</w:t>
      </w:r>
      <w:r w:rsidRPr="00927CD8">
        <w:rPr>
          <w:lang w:val="fr-FR"/>
        </w:rPr>
        <w:t>est pourquoi nous nous emploierons à limiter le nombre de groupes se réunissant simultanément. Les décisions concernant le nombre et la nature des groupes nécessaires, ainsi que l</w:t>
      </w:r>
      <w:r w:rsidR="000B68E0">
        <w:rPr>
          <w:lang w:val="fr-FR"/>
        </w:rPr>
        <w:t>’</w:t>
      </w:r>
      <w:r w:rsidRPr="00927CD8">
        <w:rPr>
          <w:lang w:val="fr-FR"/>
        </w:rPr>
        <w:t xml:space="preserve">organisation de leurs travaux, seront prises en consultation avec le Bureau tout au long de la réunion. </w:t>
      </w:r>
    </w:p>
    <w:p w:rsidR="00775D8D" w:rsidRPr="00E26085" w:rsidRDefault="00775D8D" w:rsidP="00E26085">
      <w:pPr>
        <w:pStyle w:val="CH2"/>
        <w:outlineLvl w:val="0"/>
        <w:rPr>
          <w:sz w:val="20"/>
          <w:szCs w:val="20"/>
          <w:lang w:val="fr-FR"/>
        </w:rPr>
      </w:pPr>
      <w:r w:rsidRPr="00927CD8">
        <w:rPr>
          <w:lang w:val="fr-FR"/>
        </w:rPr>
        <w:tab/>
      </w:r>
      <w:r w:rsidRPr="00927CD8">
        <w:rPr>
          <w:lang w:val="fr-FR"/>
        </w:rPr>
        <w:tab/>
      </w:r>
      <w:r w:rsidRPr="00E26085">
        <w:rPr>
          <w:sz w:val="20"/>
          <w:szCs w:val="20"/>
          <w:lang w:val="fr-FR"/>
        </w:rPr>
        <w:t>Résultat escompté de la première réunion de la Conférence des Parties</w:t>
      </w:r>
    </w:p>
    <w:p w:rsidR="00775D8D" w:rsidRPr="00927CD8" w:rsidRDefault="00315C55" w:rsidP="00E26085">
      <w:pPr>
        <w:pStyle w:val="Normalnumber"/>
        <w:keepNext/>
        <w:keepLines/>
        <w:numPr>
          <w:ilvl w:val="0"/>
          <w:numId w:val="7"/>
        </w:numPr>
        <w:tabs>
          <w:tab w:val="clear" w:pos="624"/>
          <w:tab w:val="left" w:pos="1247"/>
          <w:tab w:val="left" w:pos="1814"/>
          <w:tab w:val="left" w:pos="2381"/>
          <w:tab w:val="left" w:pos="2948"/>
          <w:tab w:val="left" w:pos="3515"/>
        </w:tabs>
        <w:rPr>
          <w:lang w:val="fr-FR"/>
        </w:rPr>
      </w:pPr>
      <w:r>
        <w:rPr>
          <w:lang w:val="fr-FR"/>
        </w:rPr>
        <w:t xml:space="preserve">Notre principal souhait en ce qui concerne les résultats est </w:t>
      </w:r>
      <w:r w:rsidR="00775D8D" w:rsidRPr="00927CD8">
        <w:rPr>
          <w:lang w:val="fr-FR"/>
        </w:rPr>
        <w:t xml:space="preserve">que toutes les questions </w:t>
      </w:r>
      <w:r>
        <w:rPr>
          <w:lang w:val="fr-FR"/>
        </w:rPr>
        <w:t>dont</w:t>
      </w:r>
      <w:r w:rsidR="00775D8D" w:rsidRPr="00927CD8">
        <w:rPr>
          <w:lang w:val="fr-FR"/>
        </w:rPr>
        <w:t xml:space="preserve"> la Convention </w:t>
      </w:r>
      <w:r>
        <w:rPr>
          <w:lang w:val="fr-FR"/>
        </w:rPr>
        <w:t>demande l</w:t>
      </w:r>
      <w:r w:rsidR="000B68E0">
        <w:rPr>
          <w:lang w:val="fr-FR"/>
        </w:rPr>
        <w:t>’</w:t>
      </w:r>
      <w:r w:rsidR="00775D8D" w:rsidRPr="00927CD8">
        <w:rPr>
          <w:lang w:val="fr-FR"/>
        </w:rPr>
        <w:t>exam</w:t>
      </w:r>
      <w:r>
        <w:rPr>
          <w:lang w:val="fr-FR"/>
        </w:rPr>
        <w:t>en</w:t>
      </w:r>
      <w:r w:rsidR="00775D8D" w:rsidRPr="00927CD8">
        <w:rPr>
          <w:lang w:val="fr-FR"/>
        </w:rPr>
        <w:t xml:space="preserve"> ou </w:t>
      </w:r>
      <w:r>
        <w:rPr>
          <w:lang w:val="fr-FR"/>
        </w:rPr>
        <w:t>l</w:t>
      </w:r>
      <w:r w:rsidR="000B68E0">
        <w:rPr>
          <w:lang w:val="fr-FR"/>
        </w:rPr>
        <w:t>’</w:t>
      </w:r>
      <w:r w:rsidR="00775D8D" w:rsidRPr="00927CD8">
        <w:rPr>
          <w:lang w:val="fr-FR"/>
        </w:rPr>
        <w:t>adopt</w:t>
      </w:r>
      <w:r>
        <w:rPr>
          <w:lang w:val="fr-FR"/>
        </w:rPr>
        <w:t>ion</w:t>
      </w:r>
      <w:r w:rsidR="00775D8D" w:rsidRPr="00927CD8">
        <w:rPr>
          <w:lang w:val="fr-FR"/>
        </w:rPr>
        <w:t xml:space="preserve"> par la Conférence des Parties à sa première réunion soient</w:t>
      </w:r>
      <w:r>
        <w:rPr>
          <w:lang w:val="fr-FR"/>
        </w:rPr>
        <w:t xml:space="preserve"> réglées</w:t>
      </w:r>
      <w:r w:rsidR="00775D8D" w:rsidRPr="00927CD8">
        <w:rPr>
          <w:lang w:val="fr-FR"/>
        </w:rPr>
        <w:t>. L</w:t>
      </w:r>
      <w:r w:rsidR="000B68E0">
        <w:rPr>
          <w:lang w:val="fr-FR"/>
        </w:rPr>
        <w:t>’</w:t>
      </w:r>
      <w:r w:rsidR="00775D8D" w:rsidRPr="00927CD8">
        <w:rPr>
          <w:lang w:val="fr-FR"/>
        </w:rPr>
        <w:t>a</w:t>
      </w:r>
      <w:r>
        <w:rPr>
          <w:lang w:val="fr-FR"/>
        </w:rPr>
        <w:t>pproba</w:t>
      </w:r>
      <w:r w:rsidR="00775D8D" w:rsidRPr="00927CD8">
        <w:rPr>
          <w:lang w:val="fr-FR"/>
        </w:rPr>
        <w:t xml:space="preserve">tion à titre provisoire de </w:t>
      </w:r>
      <w:r>
        <w:rPr>
          <w:lang w:val="fr-FR"/>
        </w:rPr>
        <w:t xml:space="preserve">la réalisation de </w:t>
      </w:r>
      <w:r w:rsidR="00775D8D" w:rsidRPr="00927CD8">
        <w:rPr>
          <w:lang w:val="fr-FR"/>
        </w:rPr>
        <w:t xml:space="preserve">travaux </w:t>
      </w:r>
      <w:r w:rsidR="00540685">
        <w:rPr>
          <w:lang w:val="fr-FR"/>
        </w:rPr>
        <w:t>sur</w:t>
      </w:r>
      <w:r w:rsidR="00775D8D" w:rsidRPr="00927CD8">
        <w:rPr>
          <w:lang w:val="fr-FR"/>
        </w:rPr>
        <w:t xml:space="preserve"> un certain nombre de questions par le Comité de négociation intergouvernemental devrait faciliter l</w:t>
      </w:r>
      <w:r w:rsidR="000B68E0">
        <w:rPr>
          <w:lang w:val="fr-FR"/>
        </w:rPr>
        <w:t>’</w:t>
      </w:r>
      <w:r w:rsidR="00775D8D" w:rsidRPr="00927CD8">
        <w:rPr>
          <w:lang w:val="fr-FR"/>
        </w:rPr>
        <w:t xml:space="preserve">obtention de ce résultat, mais certaines questions </w:t>
      </w:r>
      <w:r>
        <w:rPr>
          <w:lang w:val="fr-FR"/>
        </w:rPr>
        <w:t>essentiel</w:t>
      </w:r>
      <w:r w:rsidR="00775D8D" w:rsidRPr="00927CD8">
        <w:rPr>
          <w:lang w:val="fr-FR"/>
        </w:rPr>
        <w:t xml:space="preserve">les devront être résolues au cours de la réunion. En outre, </w:t>
      </w:r>
      <w:r w:rsidR="00540685">
        <w:rPr>
          <w:lang w:val="fr-FR"/>
        </w:rPr>
        <w:t>une convergence des vues</w:t>
      </w:r>
      <w:r w:rsidR="00775D8D" w:rsidRPr="00927CD8">
        <w:rPr>
          <w:lang w:val="fr-FR"/>
        </w:rPr>
        <w:t xml:space="preserve"> sur un certain nombre d</w:t>
      </w:r>
      <w:r w:rsidR="000B68E0">
        <w:rPr>
          <w:lang w:val="fr-FR"/>
        </w:rPr>
        <w:t>’</w:t>
      </w:r>
      <w:r w:rsidR="00775D8D" w:rsidRPr="00927CD8">
        <w:rPr>
          <w:lang w:val="fr-FR"/>
        </w:rPr>
        <w:t xml:space="preserve">autres questions </w:t>
      </w:r>
      <w:r w:rsidR="00540685">
        <w:rPr>
          <w:lang w:val="fr-FR"/>
        </w:rPr>
        <w:t xml:space="preserve">qui ne nécessitent pas </w:t>
      </w:r>
      <w:r w:rsidR="00775D8D" w:rsidRPr="00927CD8">
        <w:rPr>
          <w:lang w:val="fr-FR"/>
        </w:rPr>
        <w:t>l</w:t>
      </w:r>
      <w:r w:rsidR="000B68E0">
        <w:rPr>
          <w:lang w:val="fr-FR"/>
        </w:rPr>
        <w:t>’</w:t>
      </w:r>
      <w:r w:rsidR="00775D8D" w:rsidRPr="00927CD8">
        <w:rPr>
          <w:lang w:val="fr-FR"/>
        </w:rPr>
        <w:t>adoption d</w:t>
      </w:r>
      <w:r w:rsidR="000B68E0">
        <w:rPr>
          <w:lang w:val="fr-FR"/>
        </w:rPr>
        <w:t>’</w:t>
      </w:r>
      <w:r w:rsidR="00775D8D" w:rsidRPr="00927CD8">
        <w:rPr>
          <w:lang w:val="fr-FR"/>
        </w:rPr>
        <w:t xml:space="preserve">une décision à la première réunion aiderait à poursuivre la mise en œuvre de la Convention par les Parties et à orienter la suite des travaux concernant les questions qui seront traitées </w:t>
      </w:r>
      <w:r w:rsidR="006A4899">
        <w:rPr>
          <w:lang w:val="fr-FR"/>
        </w:rPr>
        <w:t xml:space="preserve">à la deuxième </w:t>
      </w:r>
      <w:r w:rsidR="00775D8D" w:rsidRPr="00927CD8">
        <w:rPr>
          <w:lang w:val="fr-FR"/>
        </w:rPr>
        <w:t>réunion</w:t>
      </w:r>
      <w:r w:rsidR="006A4899">
        <w:rPr>
          <w:lang w:val="fr-FR"/>
        </w:rPr>
        <w:t xml:space="preserve"> et à celles qui suivent</w:t>
      </w:r>
      <w:r w:rsidR="00775D8D" w:rsidRPr="00927CD8">
        <w:rPr>
          <w:lang w:val="fr-FR"/>
        </w:rPr>
        <w:t>.</w:t>
      </w:r>
    </w:p>
    <w:p w:rsidR="00775D8D" w:rsidRPr="00927CD8" w:rsidRDefault="00775D8D" w:rsidP="00E26085">
      <w:pPr>
        <w:pStyle w:val="Normalnumber"/>
        <w:numPr>
          <w:ilvl w:val="0"/>
          <w:numId w:val="7"/>
        </w:numPr>
        <w:tabs>
          <w:tab w:val="clear" w:pos="624"/>
          <w:tab w:val="left" w:pos="1247"/>
          <w:tab w:val="left" w:pos="1814"/>
          <w:tab w:val="left" w:pos="2381"/>
          <w:tab w:val="left" w:pos="2948"/>
          <w:tab w:val="left" w:pos="3515"/>
        </w:tabs>
        <w:rPr>
          <w:lang w:val="fr-FR"/>
        </w:rPr>
      </w:pPr>
      <w:r w:rsidRPr="00927CD8">
        <w:rPr>
          <w:lang w:val="fr-FR"/>
        </w:rPr>
        <w:t>En conclusion, j</w:t>
      </w:r>
      <w:r w:rsidR="000B68E0">
        <w:rPr>
          <w:lang w:val="fr-FR"/>
        </w:rPr>
        <w:t>’</w:t>
      </w:r>
      <w:r w:rsidRPr="00927CD8">
        <w:rPr>
          <w:lang w:val="fr-FR"/>
        </w:rPr>
        <w:t>engage vivement tous les représentants à se préparer à l</w:t>
      </w:r>
      <w:r w:rsidR="000B68E0">
        <w:rPr>
          <w:lang w:val="fr-FR"/>
        </w:rPr>
        <w:t>’</w:t>
      </w:r>
      <w:r w:rsidRPr="00927CD8">
        <w:rPr>
          <w:lang w:val="fr-FR"/>
        </w:rPr>
        <w:t xml:space="preserve">ouverture de ce nouveau chapitre de nos travaux dans le cadre de la Convention dans un esprit de coopération et avec une vision claire de nos objectifs. Bien que notre cheminement </w:t>
      </w:r>
      <w:r w:rsidR="00250C4A">
        <w:rPr>
          <w:lang w:val="fr-FR"/>
        </w:rPr>
        <w:t>commun</w:t>
      </w:r>
      <w:r w:rsidRPr="00927CD8">
        <w:rPr>
          <w:lang w:val="fr-FR"/>
        </w:rPr>
        <w:t xml:space="preserve"> au sein du Comité de négociation intergouvernemental ait parfois </w:t>
      </w:r>
      <w:r w:rsidR="00540685">
        <w:rPr>
          <w:lang w:val="fr-FR"/>
        </w:rPr>
        <w:t>été</w:t>
      </w:r>
      <w:r w:rsidRPr="00927CD8">
        <w:rPr>
          <w:lang w:val="fr-FR"/>
        </w:rPr>
        <w:t xml:space="preserve"> mouvementé, il a également été source de motivation, notamment en termes de prise de conscience de ce qui peut être réalisé par un groupe de personnes dévouées et enthousiastes réunies autour de l</w:t>
      </w:r>
      <w:r w:rsidR="000B68E0">
        <w:rPr>
          <w:lang w:val="fr-FR"/>
        </w:rPr>
        <w:t>’</w:t>
      </w:r>
      <w:r w:rsidRPr="00927CD8">
        <w:rPr>
          <w:lang w:val="fr-FR"/>
        </w:rPr>
        <w:t xml:space="preserve">objectif commun de protection de notre héritage et des générations futures. Je me félicite de vous retrouver à Genève pour marquer cet événement historique visant à « Dire adieu au mercure », au moment où nous nous attaquerons au noyau dur des travaux prévus par la Convention pour faire face au défi mondial que représente le mercure. </w:t>
      </w:r>
    </w:p>
    <w:p w:rsidR="00956800" w:rsidRDefault="00956800" w:rsidP="00E26085">
      <w:pPr>
        <w:pStyle w:val="Normalnumber"/>
        <w:numPr>
          <w:ilvl w:val="0"/>
          <w:numId w:val="0"/>
        </w:numPr>
        <w:spacing w:after="0"/>
        <w:ind w:left="1247"/>
        <w:jc w:val="right"/>
        <w:rPr>
          <w:lang w:val="fr-FR"/>
        </w:rPr>
      </w:pPr>
    </w:p>
    <w:p w:rsidR="00956800" w:rsidRDefault="00956800" w:rsidP="00E26085">
      <w:pPr>
        <w:pStyle w:val="Normalnumber"/>
        <w:numPr>
          <w:ilvl w:val="0"/>
          <w:numId w:val="0"/>
        </w:numPr>
        <w:spacing w:after="0"/>
        <w:ind w:left="1247"/>
        <w:jc w:val="right"/>
        <w:rPr>
          <w:lang w:val="fr-FR"/>
        </w:rPr>
      </w:pPr>
    </w:p>
    <w:p w:rsidR="00775D8D" w:rsidRPr="00927CD8" w:rsidRDefault="00775D8D" w:rsidP="00E26085">
      <w:pPr>
        <w:pStyle w:val="Normalnumber"/>
        <w:numPr>
          <w:ilvl w:val="0"/>
          <w:numId w:val="0"/>
        </w:numPr>
        <w:spacing w:after="0"/>
        <w:ind w:left="1247"/>
        <w:jc w:val="right"/>
        <w:rPr>
          <w:lang w:val="fr-FR"/>
        </w:rPr>
      </w:pPr>
      <w:r w:rsidRPr="00927CD8">
        <w:rPr>
          <w:lang w:val="fr-FR"/>
        </w:rPr>
        <w:t xml:space="preserve">Fernando </w:t>
      </w:r>
      <w:proofErr w:type="spellStart"/>
      <w:r w:rsidRPr="00927CD8">
        <w:rPr>
          <w:lang w:val="fr-FR"/>
        </w:rPr>
        <w:t>Lugris</w:t>
      </w:r>
      <w:proofErr w:type="spellEnd"/>
      <w:r w:rsidRPr="00927CD8">
        <w:rPr>
          <w:lang w:val="fr-FR"/>
        </w:rPr>
        <w:t xml:space="preserve"> </w:t>
      </w:r>
    </w:p>
    <w:p w:rsidR="00775D8D" w:rsidRPr="00927CD8" w:rsidRDefault="00775D8D" w:rsidP="00E26085">
      <w:pPr>
        <w:pStyle w:val="Normalnumber"/>
        <w:numPr>
          <w:ilvl w:val="0"/>
          <w:numId w:val="0"/>
        </w:numPr>
        <w:spacing w:after="0"/>
        <w:ind w:left="1247"/>
        <w:jc w:val="right"/>
        <w:rPr>
          <w:lang w:val="fr-FR"/>
        </w:rPr>
      </w:pPr>
      <w:r w:rsidRPr="00927CD8">
        <w:rPr>
          <w:lang w:val="fr-FR"/>
        </w:rPr>
        <w:t>Président du Comité de négociation intergouvernemental</w:t>
      </w:r>
    </w:p>
    <w:p w:rsidR="00483E03" w:rsidRPr="00927CD8" w:rsidRDefault="00483E03" w:rsidP="00E26085">
      <w:pPr>
        <w:pStyle w:val="Normal-pool"/>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2"/>
        <w:gridCol w:w="1942"/>
        <w:gridCol w:w="1942"/>
        <w:gridCol w:w="1943"/>
        <w:gridCol w:w="1943"/>
      </w:tblGrid>
      <w:tr w:rsidR="000832C7" w:rsidRPr="000B68E0" w:rsidTr="000832C7">
        <w:tc>
          <w:tcPr>
            <w:tcW w:w="1942" w:type="dxa"/>
          </w:tcPr>
          <w:p w:rsidR="000832C7" w:rsidRPr="00927CD8" w:rsidRDefault="000832C7" w:rsidP="00E26085">
            <w:pPr>
              <w:pStyle w:val="Normal-pool"/>
              <w:spacing w:before="520"/>
              <w:rPr>
                <w:lang w:val="fr-FR"/>
              </w:rPr>
            </w:pPr>
          </w:p>
        </w:tc>
        <w:tc>
          <w:tcPr>
            <w:tcW w:w="1942" w:type="dxa"/>
          </w:tcPr>
          <w:p w:rsidR="000832C7" w:rsidRPr="00927CD8" w:rsidRDefault="000832C7" w:rsidP="00E26085">
            <w:pPr>
              <w:pStyle w:val="Normal-pool"/>
              <w:spacing w:before="520"/>
              <w:rPr>
                <w:lang w:val="fr-FR"/>
              </w:rPr>
            </w:pPr>
          </w:p>
        </w:tc>
        <w:tc>
          <w:tcPr>
            <w:tcW w:w="1942" w:type="dxa"/>
            <w:tcBorders>
              <w:bottom w:val="single" w:sz="4" w:space="0" w:color="auto"/>
            </w:tcBorders>
          </w:tcPr>
          <w:p w:rsidR="000832C7" w:rsidRPr="00927CD8" w:rsidRDefault="000832C7" w:rsidP="00E26085">
            <w:pPr>
              <w:pStyle w:val="Normal-pool"/>
              <w:spacing w:before="520"/>
              <w:rPr>
                <w:lang w:val="fr-FR"/>
              </w:rPr>
            </w:pPr>
          </w:p>
        </w:tc>
        <w:tc>
          <w:tcPr>
            <w:tcW w:w="1943" w:type="dxa"/>
          </w:tcPr>
          <w:p w:rsidR="000832C7" w:rsidRPr="00927CD8" w:rsidRDefault="000832C7" w:rsidP="00E26085">
            <w:pPr>
              <w:pStyle w:val="Normal-pool"/>
              <w:spacing w:before="520"/>
              <w:rPr>
                <w:lang w:val="fr-FR"/>
              </w:rPr>
            </w:pPr>
          </w:p>
        </w:tc>
        <w:tc>
          <w:tcPr>
            <w:tcW w:w="1943" w:type="dxa"/>
          </w:tcPr>
          <w:p w:rsidR="000832C7" w:rsidRPr="00927CD8" w:rsidRDefault="000832C7" w:rsidP="00E26085">
            <w:pPr>
              <w:pStyle w:val="Normal-pool"/>
              <w:spacing w:before="520"/>
              <w:rPr>
                <w:lang w:val="fr-FR"/>
              </w:rPr>
            </w:pPr>
          </w:p>
        </w:tc>
      </w:tr>
    </w:tbl>
    <w:p w:rsidR="00F83855" w:rsidRPr="00927CD8" w:rsidRDefault="00F83855" w:rsidP="00E26085">
      <w:pPr>
        <w:pStyle w:val="Normal-pool"/>
        <w:rPr>
          <w:lang w:val="fr-FR"/>
        </w:rPr>
      </w:pPr>
    </w:p>
    <w:sectPr w:rsidR="00F83855" w:rsidRPr="00927CD8" w:rsidSect="00C6062B">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2C12AD" w15:done="0"/>
  <w15:commentEx w15:paraId="37228E53" w15:done="0"/>
  <w15:commentEx w15:paraId="39809848" w15:done="0"/>
  <w15:commentEx w15:paraId="791E2084" w15:done="0"/>
  <w15:commentEx w15:paraId="2BB64BB6" w15:done="0"/>
  <w15:commentEx w15:paraId="1F8525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956" w:rsidRDefault="00135956">
      <w:r>
        <w:separator/>
      </w:r>
    </w:p>
  </w:endnote>
  <w:endnote w:type="continuationSeparator" w:id="0">
    <w:p w:rsidR="00135956" w:rsidRDefault="0013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8" w:rsidRDefault="00C870D8">
    <w:pPr>
      <w:pStyle w:val="Footer"/>
    </w:pPr>
    <w:r>
      <w:rPr>
        <w:rStyle w:val="PageNumber"/>
      </w:rPr>
      <w:fldChar w:fldCharType="begin"/>
    </w:r>
    <w:r>
      <w:rPr>
        <w:rStyle w:val="PageNumber"/>
      </w:rPr>
      <w:instrText xml:space="preserve"> PAGE </w:instrText>
    </w:r>
    <w:r>
      <w:rPr>
        <w:rStyle w:val="PageNumber"/>
      </w:rPr>
      <w:fldChar w:fldCharType="separate"/>
    </w:r>
    <w:r w:rsidR="00F63C00">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8" w:rsidRDefault="00C870D8"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1D58DE">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8" w:rsidRPr="00E26085" w:rsidRDefault="002C0FDA">
    <w:pPr>
      <w:pStyle w:val="Footer"/>
      <w:rPr>
        <w:sz w:val="20"/>
      </w:rPr>
    </w:pPr>
    <w:r w:rsidRPr="00E26085">
      <w:rPr>
        <w:sz w:val="20"/>
        <w:lang w:val="fr-FR"/>
      </w:rPr>
      <w:t>K1702578</w:t>
    </w:r>
    <w:r w:rsidR="00C870D8" w:rsidRPr="00E26085">
      <w:rPr>
        <w:sz w:val="20"/>
        <w:lang w:val="fr-FR"/>
      </w:rPr>
      <w:tab/>
    </w:r>
    <w:r w:rsidR="00C85EDB">
      <w:rPr>
        <w:sz w:val="20"/>
        <w:lang w:val="fr-FR"/>
      </w:rPr>
      <w:t>0</w:t>
    </w:r>
    <w:r w:rsidR="000B68E0">
      <w:rPr>
        <w:sz w:val="20"/>
        <w:lang w:val="fr-FR"/>
      </w:rPr>
      <w:t>9</w:t>
    </w:r>
    <w:r w:rsidR="00C85EDB">
      <w:rPr>
        <w:sz w:val="20"/>
        <w:lang w:val="fr-FR"/>
      </w:rPr>
      <w:t>06</w:t>
    </w:r>
    <w:r w:rsidR="00C870D8" w:rsidRPr="00E26085">
      <w:rPr>
        <w:sz w:val="20"/>
        <w:lang w:val="fr-FR"/>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956" w:rsidRDefault="00135956" w:rsidP="00851756">
      <w:pPr>
        <w:spacing w:before="60"/>
        <w:ind w:left="624"/>
      </w:pPr>
      <w:r>
        <w:separator/>
      </w:r>
    </w:p>
  </w:footnote>
  <w:footnote w:type="continuationSeparator" w:id="0">
    <w:p w:rsidR="00135956" w:rsidRDefault="00135956">
      <w:r>
        <w:continuationSeparator/>
      </w:r>
    </w:p>
  </w:footnote>
  <w:footnote w:id="1">
    <w:p w:rsidR="00C870D8" w:rsidRPr="00E26085" w:rsidRDefault="00C870D8" w:rsidP="00775D8D">
      <w:pPr>
        <w:tabs>
          <w:tab w:val="left" w:pos="624"/>
        </w:tabs>
        <w:spacing w:before="20" w:after="40"/>
        <w:ind w:left="1247"/>
        <w:rPr>
          <w:sz w:val="18"/>
          <w:szCs w:val="18"/>
        </w:rPr>
      </w:pPr>
      <w:r>
        <w:rPr>
          <w:lang w:val="fr-FR"/>
        </w:rPr>
        <w:t xml:space="preserve">* </w:t>
      </w:r>
      <w:r w:rsidRPr="00E26085">
        <w:rPr>
          <w:sz w:val="18"/>
          <w:szCs w:val="18"/>
          <w:lang w:val="fr-FR"/>
        </w:rPr>
        <w:t>UNEP/MC/COP.1/1.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8" w:rsidRPr="00CA5CA9" w:rsidRDefault="00C870D8" w:rsidP="001A04AA">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8" w:rsidRPr="00CA5CA9" w:rsidRDefault="00C870D8" w:rsidP="001A04AA">
    <w:pPr>
      <w:pStyle w:val="Header"/>
      <w:jc w:val="right"/>
      <w:rPr>
        <w:szCs w:val="18"/>
      </w:rPr>
    </w:pPr>
    <w:r w:rsidRPr="00312543">
      <w:rPr>
        <w:bCs/>
        <w:szCs w:val="18"/>
      </w:rPr>
      <w:t>UNEP/MC/COP.1/</w:t>
    </w:r>
    <w:r>
      <w:rPr>
        <w:bCs/>
        <w:szCs w:val="18"/>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8" w:rsidRDefault="00C870D8"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5">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5"/>
  </w:num>
  <w:num w:numId="2">
    <w:abstractNumId w:val="1"/>
  </w:num>
  <w:num w:numId="3">
    <w:abstractNumId w:val="3"/>
  </w:num>
  <w:num w:numId="4">
    <w:abstractNumId w:val="5"/>
  </w:num>
  <w:num w:numId="5">
    <w:abstractNumId w:val="5"/>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2"/>
  </w:num>
  <w:num w:numId="7">
    <w:abstractNumId w:val="0"/>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5"/>
  </w:num>
  <w:num w:numId="14">
    <w:abstractNumId w:val="5"/>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4"/>
  </w:num>
  <w:num w:numId="19">
    <w:abstractNumId w:val="5"/>
    <w:lvlOverride w:ilvl="1">
      <w:lvl w:ilvl="1">
        <w:start w:val="1"/>
        <w:numFmt w:val="lowerLetter"/>
        <w:lvlText w:val="(%2)"/>
        <w:lvlJc w:val="left"/>
        <w:pPr>
          <w:tabs>
            <w:tab w:val="num" w:pos="1134"/>
          </w:tabs>
          <w:ind w:left="1247" w:firstLine="567"/>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24"/>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16E8"/>
    <w:rsid w:val="000024A3"/>
    <w:rsid w:val="000149E6"/>
    <w:rsid w:val="00023DA9"/>
    <w:rsid w:val="000247B0"/>
    <w:rsid w:val="0002502C"/>
    <w:rsid w:val="00026997"/>
    <w:rsid w:val="00026A08"/>
    <w:rsid w:val="00032E4E"/>
    <w:rsid w:val="00033E0B"/>
    <w:rsid w:val="00035EDE"/>
    <w:rsid w:val="000509B4"/>
    <w:rsid w:val="000553F1"/>
    <w:rsid w:val="0006035B"/>
    <w:rsid w:val="0006096F"/>
    <w:rsid w:val="000649C5"/>
    <w:rsid w:val="00071886"/>
    <w:rsid w:val="000742BC"/>
    <w:rsid w:val="00075D5E"/>
    <w:rsid w:val="00076CC6"/>
    <w:rsid w:val="00082A0C"/>
    <w:rsid w:val="00082BFB"/>
    <w:rsid w:val="000832C7"/>
    <w:rsid w:val="00083504"/>
    <w:rsid w:val="000849CA"/>
    <w:rsid w:val="0009640C"/>
    <w:rsid w:val="000A035D"/>
    <w:rsid w:val="000A33DF"/>
    <w:rsid w:val="000A5627"/>
    <w:rsid w:val="000B22A2"/>
    <w:rsid w:val="000B5621"/>
    <w:rsid w:val="000B68E0"/>
    <w:rsid w:val="000B6C42"/>
    <w:rsid w:val="000B73F9"/>
    <w:rsid w:val="000C2A52"/>
    <w:rsid w:val="000C6105"/>
    <w:rsid w:val="000D24D3"/>
    <w:rsid w:val="000D33C0"/>
    <w:rsid w:val="000D4CF6"/>
    <w:rsid w:val="000D6941"/>
    <w:rsid w:val="000E04CD"/>
    <w:rsid w:val="000F1B80"/>
    <w:rsid w:val="000F4829"/>
    <w:rsid w:val="000F636C"/>
    <w:rsid w:val="000F6535"/>
    <w:rsid w:val="001143B8"/>
    <w:rsid w:val="001202E3"/>
    <w:rsid w:val="00123699"/>
    <w:rsid w:val="001241FB"/>
    <w:rsid w:val="00126CBE"/>
    <w:rsid w:val="0013059D"/>
    <w:rsid w:val="00135956"/>
    <w:rsid w:val="00136187"/>
    <w:rsid w:val="00141A55"/>
    <w:rsid w:val="0014293F"/>
    <w:rsid w:val="0014397D"/>
    <w:rsid w:val="001446A3"/>
    <w:rsid w:val="00152B6B"/>
    <w:rsid w:val="00155395"/>
    <w:rsid w:val="00156B6B"/>
    <w:rsid w:val="00160D74"/>
    <w:rsid w:val="0016251F"/>
    <w:rsid w:val="001646EA"/>
    <w:rsid w:val="00167D02"/>
    <w:rsid w:val="001759D8"/>
    <w:rsid w:val="00177D7F"/>
    <w:rsid w:val="00180C3F"/>
    <w:rsid w:val="00181EC8"/>
    <w:rsid w:val="00184349"/>
    <w:rsid w:val="00195F33"/>
    <w:rsid w:val="001A04AA"/>
    <w:rsid w:val="001B1617"/>
    <w:rsid w:val="001B504B"/>
    <w:rsid w:val="001B58E8"/>
    <w:rsid w:val="001B6F89"/>
    <w:rsid w:val="001B6F98"/>
    <w:rsid w:val="001C191A"/>
    <w:rsid w:val="001D3874"/>
    <w:rsid w:val="001D58DE"/>
    <w:rsid w:val="001D7E75"/>
    <w:rsid w:val="001E0D73"/>
    <w:rsid w:val="001E4028"/>
    <w:rsid w:val="001E45BD"/>
    <w:rsid w:val="001E56D2"/>
    <w:rsid w:val="001E7D56"/>
    <w:rsid w:val="001F0FBB"/>
    <w:rsid w:val="001F4EF3"/>
    <w:rsid w:val="001F75DE"/>
    <w:rsid w:val="001F7BE3"/>
    <w:rsid w:val="00200D58"/>
    <w:rsid w:val="002011C1"/>
    <w:rsid w:val="002013BE"/>
    <w:rsid w:val="00201EDC"/>
    <w:rsid w:val="002063A4"/>
    <w:rsid w:val="0021145B"/>
    <w:rsid w:val="00220C23"/>
    <w:rsid w:val="002247F6"/>
    <w:rsid w:val="00225E21"/>
    <w:rsid w:val="002274D8"/>
    <w:rsid w:val="00234E78"/>
    <w:rsid w:val="00235EA5"/>
    <w:rsid w:val="00243D36"/>
    <w:rsid w:val="00246151"/>
    <w:rsid w:val="0024616E"/>
    <w:rsid w:val="00247707"/>
    <w:rsid w:val="00250C4A"/>
    <w:rsid w:val="00255632"/>
    <w:rsid w:val="0026018E"/>
    <w:rsid w:val="002623CD"/>
    <w:rsid w:val="00277CE2"/>
    <w:rsid w:val="002856C8"/>
    <w:rsid w:val="0028635C"/>
    <w:rsid w:val="00286740"/>
    <w:rsid w:val="00291EAE"/>
    <w:rsid w:val="002929D8"/>
    <w:rsid w:val="0029570E"/>
    <w:rsid w:val="002A237D"/>
    <w:rsid w:val="002A4C53"/>
    <w:rsid w:val="002B0672"/>
    <w:rsid w:val="002B247F"/>
    <w:rsid w:val="002B50D4"/>
    <w:rsid w:val="002C0FDA"/>
    <w:rsid w:val="002C145D"/>
    <w:rsid w:val="002C2C3E"/>
    <w:rsid w:val="002C533E"/>
    <w:rsid w:val="002D027F"/>
    <w:rsid w:val="002D3E15"/>
    <w:rsid w:val="002D7A85"/>
    <w:rsid w:val="002D7B60"/>
    <w:rsid w:val="002E6C80"/>
    <w:rsid w:val="002F4761"/>
    <w:rsid w:val="002F5C79"/>
    <w:rsid w:val="002F68EE"/>
    <w:rsid w:val="003019E2"/>
    <w:rsid w:val="00304499"/>
    <w:rsid w:val="00310B4B"/>
    <w:rsid w:val="00310BEB"/>
    <w:rsid w:val="00312543"/>
    <w:rsid w:val="0031413F"/>
    <w:rsid w:val="00314854"/>
    <w:rsid w:val="003148BB"/>
    <w:rsid w:val="00315C55"/>
    <w:rsid w:val="00317976"/>
    <w:rsid w:val="00320F2F"/>
    <w:rsid w:val="00326E66"/>
    <w:rsid w:val="00332216"/>
    <w:rsid w:val="003338F7"/>
    <w:rsid w:val="00355EA9"/>
    <w:rsid w:val="003578DE"/>
    <w:rsid w:val="00361688"/>
    <w:rsid w:val="003616AB"/>
    <w:rsid w:val="00361855"/>
    <w:rsid w:val="00372443"/>
    <w:rsid w:val="00377FD5"/>
    <w:rsid w:val="003877D5"/>
    <w:rsid w:val="003929B8"/>
    <w:rsid w:val="00396257"/>
    <w:rsid w:val="00397EB8"/>
    <w:rsid w:val="003A4FD0"/>
    <w:rsid w:val="003A69D1"/>
    <w:rsid w:val="003A7705"/>
    <w:rsid w:val="003A77F1"/>
    <w:rsid w:val="003B1545"/>
    <w:rsid w:val="003C2885"/>
    <w:rsid w:val="003C3219"/>
    <w:rsid w:val="003C34B1"/>
    <w:rsid w:val="003C409D"/>
    <w:rsid w:val="003C5583"/>
    <w:rsid w:val="003C5BA6"/>
    <w:rsid w:val="003C74CF"/>
    <w:rsid w:val="003D2FCB"/>
    <w:rsid w:val="003D3752"/>
    <w:rsid w:val="003E35DA"/>
    <w:rsid w:val="003E455D"/>
    <w:rsid w:val="003F0E85"/>
    <w:rsid w:val="003F10BE"/>
    <w:rsid w:val="003F5F95"/>
    <w:rsid w:val="00410C55"/>
    <w:rsid w:val="00415FE6"/>
    <w:rsid w:val="00416854"/>
    <w:rsid w:val="00417725"/>
    <w:rsid w:val="00420709"/>
    <w:rsid w:val="00436742"/>
    <w:rsid w:val="004375DD"/>
    <w:rsid w:val="00437F26"/>
    <w:rsid w:val="00444097"/>
    <w:rsid w:val="004449DF"/>
    <w:rsid w:val="00445487"/>
    <w:rsid w:val="0044713F"/>
    <w:rsid w:val="00447E0D"/>
    <w:rsid w:val="00453A68"/>
    <w:rsid w:val="00454769"/>
    <w:rsid w:val="00465D27"/>
    <w:rsid w:val="00466991"/>
    <w:rsid w:val="0047064C"/>
    <w:rsid w:val="00480E9F"/>
    <w:rsid w:val="004822B7"/>
    <w:rsid w:val="00483E03"/>
    <w:rsid w:val="004844FA"/>
    <w:rsid w:val="0049469E"/>
    <w:rsid w:val="004A2217"/>
    <w:rsid w:val="004A24F9"/>
    <w:rsid w:val="004A42E1"/>
    <w:rsid w:val="004B162C"/>
    <w:rsid w:val="004B2ABE"/>
    <w:rsid w:val="004C3DBE"/>
    <w:rsid w:val="004C5C96"/>
    <w:rsid w:val="004C62AA"/>
    <w:rsid w:val="004D06A4"/>
    <w:rsid w:val="004E1315"/>
    <w:rsid w:val="004F1A81"/>
    <w:rsid w:val="004F3976"/>
    <w:rsid w:val="005050D2"/>
    <w:rsid w:val="00511D7B"/>
    <w:rsid w:val="0051272E"/>
    <w:rsid w:val="00514C13"/>
    <w:rsid w:val="00516D71"/>
    <w:rsid w:val="005218D9"/>
    <w:rsid w:val="00521EED"/>
    <w:rsid w:val="0052216E"/>
    <w:rsid w:val="005360CF"/>
    <w:rsid w:val="00536186"/>
    <w:rsid w:val="00540685"/>
    <w:rsid w:val="00544CBB"/>
    <w:rsid w:val="00545499"/>
    <w:rsid w:val="00553B66"/>
    <w:rsid w:val="005656D7"/>
    <w:rsid w:val="00567280"/>
    <w:rsid w:val="00571C42"/>
    <w:rsid w:val="00572D7B"/>
    <w:rsid w:val="0057315F"/>
    <w:rsid w:val="005738A4"/>
    <w:rsid w:val="00576104"/>
    <w:rsid w:val="00580923"/>
    <w:rsid w:val="00584860"/>
    <w:rsid w:val="00592B21"/>
    <w:rsid w:val="005939D8"/>
    <w:rsid w:val="005B44BF"/>
    <w:rsid w:val="005B66F5"/>
    <w:rsid w:val="005C4DFD"/>
    <w:rsid w:val="005C67C8"/>
    <w:rsid w:val="005D0249"/>
    <w:rsid w:val="005D18FA"/>
    <w:rsid w:val="005D2120"/>
    <w:rsid w:val="005D25CF"/>
    <w:rsid w:val="005D4FD4"/>
    <w:rsid w:val="005D6E8C"/>
    <w:rsid w:val="005E3004"/>
    <w:rsid w:val="005E3B2A"/>
    <w:rsid w:val="005E3C86"/>
    <w:rsid w:val="005F100C"/>
    <w:rsid w:val="005F4BE8"/>
    <w:rsid w:val="005F68DA"/>
    <w:rsid w:val="00601BC9"/>
    <w:rsid w:val="0060773B"/>
    <w:rsid w:val="00613FD6"/>
    <w:rsid w:val="00614E24"/>
    <w:rsid w:val="006157B5"/>
    <w:rsid w:val="00617224"/>
    <w:rsid w:val="00620222"/>
    <w:rsid w:val="006233C8"/>
    <w:rsid w:val="00624B58"/>
    <w:rsid w:val="00626FC6"/>
    <w:rsid w:val="006303B4"/>
    <w:rsid w:val="00630ADC"/>
    <w:rsid w:val="00633D3D"/>
    <w:rsid w:val="006343C4"/>
    <w:rsid w:val="006368F1"/>
    <w:rsid w:val="00641703"/>
    <w:rsid w:val="006431A6"/>
    <w:rsid w:val="00643B4C"/>
    <w:rsid w:val="00643E3A"/>
    <w:rsid w:val="006459F6"/>
    <w:rsid w:val="006473BF"/>
    <w:rsid w:val="006501AD"/>
    <w:rsid w:val="00651BFA"/>
    <w:rsid w:val="006534F9"/>
    <w:rsid w:val="00654475"/>
    <w:rsid w:val="00655560"/>
    <w:rsid w:val="00656DF0"/>
    <w:rsid w:val="00661446"/>
    <w:rsid w:val="00665A4B"/>
    <w:rsid w:val="00665D0D"/>
    <w:rsid w:val="00666DAE"/>
    <w:rsid w:val="00673C84"/>
    <w:rsid w:val="00684BE1"/>
    <w:rsid w:val="00692E2A"/>
    <w:rsid w:val="006A4899"/>
    <w:rsid w:val="006A76F2"/>
    <w:rsid w:val="006A7DE0"/>
    <w:rsid w:val="006B6333"/>
    <w:rsid w:val="006D19D4"/>
    <w:rsid w:val="006D7EFB"/>
    <w:rsid w:val="006E6672"/>
    <w:rsid w:val="006E6722"/>
    <w:rsid w:val="006E687F"/>
    <w:rsid w:val="006F0D46"/>
    <w:rsid w:val="006F7AFF"/>
    <w:rsid w:val="007027B9"/>
    <w:rsid w:val="007066B5"/>
    <w:rsid w:val="007145DA"/>
    <w:rsid w:val="00715E88"/>
    <w:rsid w:val="00721A6D"/>
    <w:rsid w:val="0073122B"/>
    <w:rsid w:val="007321A9"/>
    <w:rsid w:val="007334E8"/>
    <w:rsid w:val="00734CAA"/>
    <w:rsid w:val="00741552"/>
    <w:rsid w:val="00742680"/>
    <w:rsid w:val="007551E2"/>
    <w:rsid w:val="0075533C"/>
    <w:rsid w:val="00755A53"/>
    <w:rsid w:val="00757581"/>
    <w:rsid w:val="007602F5"/>
    <w:rsid w:val="00760D36"/>
    <w:rsid w:val="007611A0"/>
    <w:rsid w:val="00773E54"/>
    <w:rsid w:val="00774E34"/>
    <w:rsid w:val="00775D8D"/>
    <w:rsid w:val="0078489D"/>
    <w:rsid w:val="00787240"/>
    <w:rsid w:val="00787688"/>
    <w:rsid w:val="00787EFF"/>
    <w:rsid w:val="007935E6"/>
    <w:rsid w:val="00796D3F"/>
    <w:rsid w:val="007A1683"/>
    <w:rsid w:val="007A3DC0"/>
    <w:rsid w:val="007A5C12"/>
    <w:rsid w:val="007A7CB0"/>
    <w:rsid w:val="007A7CF6"/>
    <w:rsid w:val="007B68A3"/>
    <w:rsid w:val="007C2541"/>
    <w:rsid w:val="007D66A8"/>
    <w:rsid w:val="007E003F"/>
    <w:rsid w:val="007E5F07"/>
    <w:rsid w:val="007F0CF8"/>
    <w:rsid w:val="007F5ABF"/>
    <w:rsid w:val="007F62CB"/>
    <w:rsid w:val="00805335"/>
    <w:rsid w:val="008142EC"/>
    <w:rsid w:val="008164F2"/>
    <w:rsid w:val="00821395"/>
    <w:rsid w:val="00830E26"/>
    <w:rsid w:val="00833D15"/>
    <w:rsid w:val="00843576"/>
    <w:rsid w:val="00843B64"/>
    <w:rsid w:val="008473F4"/>
    <w:rsid w:val="008478FC"/>
    <w:rsid w:val="00851756"/>
    <w:rsid w:val="00851C51"/>
    <w:rsid w:val="00856CDB"/>
    <w:rsid w:val="00867A15"/>
    <w:rsid w:val="00867BFF"/>
    <w:rsid w:val="00871542"/>
    <w:rsid w:val="00871E08"/>
    <w:rsid w:val="00872BF6"/>
    <w:rsid w:val="00876181"/>
    <w:rsid w:val="0088480A"/>
    <w:rsid w:val="0088757A"/>
    <w:rsid w:val="0089431B"/>
    <w:rsid w:val="00894479"/>
    <w:rsid w:val="00894DA2"/>
    <w:rsid w:val="00895668"/>
    <w:rsid w:val="008957DD"/>
    <w:rsid w:val="00897D98"/>
    <w:rsid w:val="008A2570"/>
    <w:rsid w:val="008A2F23"/>
    <w:rsid w:val="008A479B"/>
    <w:rsid w:val="008A6DF2"/>
    <w:rsid w:val="008A7807"/>
    <w:rsid w:val="008B0CED"/>
    <w:rsid w:val="008B4120"/>
    <w:rsid w:val="008B4CC9"/>
    <w:rsid w:val="008C5FFF"/>
    <w:rsid w:val="008D4EF1"/>
    <w:rsid w:val="008D75E4"/>
    <w:rsid w:val="008D7C99"/>
    <w:rsid w:val="008E0FCB"/>
    <w:rsid w:val="008F6DFE"/>
    <w:rsid w:val="009008EA"/>
    <w:rsid w:val="00902758"/>
    <w:rsid w:val="0090529F"/>
    <w:rsid w:val="00905742"/>
    <w:rsid w:val="00917EEE"/>
    <w:rsid w:val="0092178C"/>
    <w:rsid w:val="00922BA1"/>
    <w:rsid w:val="00927CD8"/>
    <w:rsid w:val="00930B88"/>
    <w:rsid w:val="00934554"/>
    <w:rsid w:val="00940DCC"/>
    <w:rsid w:val="0094179A"/>
    <w:rsid w:val="0094459E"/>
    <w:rsid w:val="00944DBC"/>
    <w:rsid w:val="00950977"/>
    <w:rsid w:val="00951A7B"/>
    <w:rsid w:val="009541FC"/>
    <w:rsid w:val="009564A6"/>
    <w:rsid w:val="00956800"/>
    <w:rsid w:val="00960425"/>
    <w:rsid w:val="00966A53"/>
    <w:rsid w:val="00967621"/>
    <w:rsid w:val="00967E6A"/>
    <w:rsid w:val="009907B9"/>
    <w:rsid w:val="00990918"/>
    <w:rsid w:val="0099537A"/>
    <w:rsid w:val="009A3A83"/>
    <w:rsid w:val="009B0D04"/>
    <w:rsid w:val="009B1C44"/>
    <w:rsid w:val="009B30FD"/>
    <w:rsid w:val="009B4A0F"/>
    <w:rsid w:val="009C11D2"/>
    <w:rsid w:val="009C3362"/>
    <w:rsid w:val="009C69E8"/>
    <w:rsid w:val="009C6C70"/>
    <w:rsid w:val="009C7B0A"/>
    <w:rsid w:val="009D0B63"/>
    <w:rsid w:val="009D32CE"/>
    <w:rsid w:val="009D5CB8"/>
    <w:rsid w:val="009E307E"/>
    <w:rsid w:val="009F7611"/>
    <w:rsid w:val="00A018C0"/>
    <w:rsid w:val="00A056B5"/>
    <w:rsid w:val="00A07870"/>
    <w:rsid w:val="00A07C54"/>
    <w:rsid w:val="00A07F19"/>
    <w:rsid w:val="00A1348D"/>
    <w:rsid w:val="00A13C99"/>
    <w:rsid w:val="00A232EE"/>
    <w:rsid w:val="00A243E5"/>
    <w:rsid w:val="00A2589A"/>
    <w:rsid w:val="00A414F6"/>
    <w:rsid w:val="00A4175F"/>
    <w:rsid w:val="00A43A67"/>
    <w:rsid w:val="00A44411"/>
    <w:rsid w:val="00A4550B"/>
    <w:rsid w:val="00A469FA"/>
    <w:rsid w:val="00A53662"/>
    <w:rsid w:val="00A55B01"/>
    <w:rsid w:val="00A56158"/>
    <w:rsid w:val="00A56B5B"/>
    <w:rsid w:val="00A603FF"/>
    <w:rsid w:val="00A619B6"/>
    <w:rsid w:val="00A648CA"/>
    <w:rsid w:val="00A657DD"/>
    <w:rsid w:val="00A65D0C"/>
    <w:rsid w:val="00A666A6"/>
    <w:rsid w:val="00A675FD"/>
    <w:rsid w:val="00A72437"/>
    <w:rsid w:val="00A8048B"/>
    <w:rsid w:val="00A80611"/>
    <w:rsid w:val="00A91D38"/>
    <w:rsid w:val="00A92050"/>
    <w:rsid w:val="00AA5BF4"/>
    <w:rsid w:val="00AB5340"/>
    <w:rsid w:val="00AC0A89"/>
    <w:rsid w:val="00AC62F0"/>
    <w:rsid w:val="00AC7252"/>
    <w:rsid w:val="00AC7C96"/>
    <w:rsid w:val="00AD4326"/>
    <w:rsid w:val="00AE237D"/>
    <w:rsid w:val="00AE38EB"/>
    <w:rsid w:val="00AE502A"/>
    <w:rsid w:val="00AF0010"/>
    <w:rsid w:val="00AF2C1F"/>
    <w:rsid w:val="00AF5E0F"/>
    <w:rsid w:val="00AF7A9F"/>
    <w:rsid w:val="00AF7C07"/>
    <w:rsid w:val="00B03E98"/>
    <w:rsid w:val="00B06C64"/>
    <w:rsid w:val="00B11CAC"/>
    <w:rsid w:val="00B1317E"/>
    <w:rsid w:val="00B15A29"/>
    <w:rsid w:val="00B17A26"/>
    <w:rsid w:val="00B22C93"/>
    <w:rsid w:val="00B27589"/>
    <w:rsid w:val="00B405B7"/>
    <w:rsid w:val="00B45A38"/>
    <w:rsid w:val="00B52222"/>
    <w:rsid w:val="00B52581"/>
    <w:rsid w:val="00B531DA"/>
    <w:rsid w:val="00B54895"/>
    <w:rsid w:val="00B54FE7"/>
    <w:rsid w:val="00B62CB6"/>
    <w:rsid w:val="00B647C6"/>
    <w:rsid w:val="00B655F9"/>
    <w:rsid w:val="00B66901"/>
    <w:rsid w:val="00B70F47"/>
    <w:rsid w:val="00B71151"/>
    <w:rsid w:val="00B71E6D"/>
    <w:rsid w:val="00B72070"/>
    <w:rsid w:val="00B779E1"/>
    <w:rsid w:val="00B81E3A"/>
    <w:rsid w:val="00B85CFB"/>
    <w:rsid w:val="00B91EE1"/>
    <w:rsid w:val="00B94602"/>
    <w:rsid w:val="00BA0090"/>
    <w:rsid w:val="00BA1A67"/>
    <w:rsid w:val="00BA6A80"/>
    <w:rsid w:val="00BB3A5D"/>
    <w:rsid w:val="00BB4ABB"/>
    <w:rsid w:val="00BC041F"/>
    <w:rsid w:val="00BC5810"/>
    <w:rsid w:val="00BD506D"/>
    <w:rsid w:val="00BE5B5F"/>
    <w:rsid w:val="00BE7993"/>
    <w:rsid w:val="00BF5992"/>
    <w:rsid w:val="00C027FF"/>
    <w:rsid w:val="00C116AA"/>
    <w:rsid w:val="00C12FD1"/>
    <w:rsid w:val="00C168A7"/>
    <w:rsid w:val="00C172E3"/>
    <w:rsid w:val="00C20A2D"/>
    <w:rsid w:val="00C26F55"/>
    <w:rsid w:val="00C27DCA"/>
    <w:rsid w:val="00C30C63"/>
    <w:rsid w:val="00C30FF3"/>
    <w:rsid w:val="00C36B8B"/>
    <w:rsid w:val="00C415C1"/>
    <w:rsid w:val="00C47DBF"/>
    <w:rsid w:val="00C543FE"/>
    <w:rsid w:val="00C552FF"/>
    <w:rsid w:val="00C558DA"/>
    <w:rsid w:val="00C55AF3"/>
    <w:rsid w:val="00C57E56"/>
    <w:rsid w:val="00C6062B"/>
    <w:rsid w:val="00C724EE"/>
    <w:rsid w:val="00C75781"/>
    <w:rsid w:val="00C771A9"/>
    <w:rsid w:val="00C84759"/>
    <w:rsid w:val="00C854BD"/>
    <w:rsid w:val="00C85EDB"/>
    <w:rsid w:val="00C870D8"/>
    <w:rsid w:val="00C87AAA"/>
    <w:rsid w:val="00C87EEF"/>
    <w:rsid w:val="00CA2EA3"/>
    <w:rsid w:val="00CA5CA9"/>
    <w:rsid w:val="00CA6C7F"/>
    <w:rsid w:val="00CB5DE4"/>
    <w:rsid w:val="00CB6B35"/>
    <w:rsid w:val="00CC0FC7"/>
    <w:rsid w:val="00CC10A6"/>
    <w:rsid w:val="00CD2011"/>
    <w:rsid w:val="00CD46C5"/>
    <w:rsid w:val="00CD5EB8"/>
    <w:rsid w:val="00CD7044"/>
    <w:rsid w:val="00CE08B9"/>
    <w:rsid w:val="00CE524C"/>
    <w:rsid w:val="00CF141F"/>
    <w:rsid w:val="00CF4777"/>
    <w:rsid w:val="00CF65C8"/>
    <w:rsid w:val="00D013F5"/>
    <w:rsid w:val="00D05E3F"/>
    <w:rsid w:val="00D061F4"/>
    <w:rsid w:val="00D067BB"/>
    <w:rsid w:val="00D1226D"/>
    <w:rsid w:val="00D1352A"/>
    <w:rsid w:val="00D15EC4"/>
    <w:rsid w:val="00D169AF"/>
    <w:rsid w:val="00D25249"/>
    <w:rsid w:val="00D2772A"/>
    <w:rsid w:val="00D37EBA"/>
    <w:rsid w:val="00D411B5"/>
    <w:rsid w:val="00D44172"/>
    <w:rsid w:val="00D47BE3"/>
    <w:rsid w:val="00D63B8C"/>
    <w:rsid w:val="00D651E4"/>
    <w:rsid w:val="00D739CC"/>
    <w:rsid w:val="00D8093D"/>
    <w:rsid w:val="00D8108C"/>
    <w:rsid w:val="00D842AE"/>
    <w:rsid w:val="00D9211C"/>
    <w:rsid w:val="00D92DE0"/>
    <w:rsid w:val="00D92FEF"/>
    <w:rsid w:val="00D93A0F"/>
    <w:rsid w:val="00D9579D"/>
    <w:rsid w:val="00DA1BCA"/>
    <w:rsid w:val="00DA24BB"/>
    <w:rsid w:val="00DA4A45"/>
    <w:rsid w:val="00DB34E0"/>
    <w:rsid w:val="00DB5925"/>
    <w:rsid w:val="00DC46FF"/>
    <w:rsid w:val="00DC5254"/>
    <w:rsid w:val="00DC569D"/>
    <w:rsid w:val="00DC5AB5"/>
    <w:rsid w:val="00DD0B5A"/>
    <w:rsid w:val="00DD1A4F"/>
    <w:rsid w:val="00DD3107"/>
    <w:rsid w:val="00DD7C2C"/>
    <w:rsid w:val="00DE5BDA"/>
    <w:rsid w:val="00DF433C"/>
    <w:rsid w:val="00E0035A"/>
    <w:rsid w:val="00E06797"/>
    <w:rsid w:val="00E1265B"/>
    <w:rsid w:val="00E13B48"/>
    <w:rsid w:val="00E1404F"/>
    <w:rsid w:val="00E2042D"/>
    <w:rsid w:val="00E21C83"/>
    <w:rsid w:val="00E24ADA"/>
    <w:rsid w:val="00E26085"/>
    <w:rsid w:val="00E32F59"/>
    <w:rsid w:val="00E41908"/>
    <w:rsid w:val="00E46D9A"/>
    <w:rsid w:val="00E565FF"/>
    <w:rsid w:val="00E65388"/>
    <w:rsid w:val="00E70EA1"/>
    <w:rsid w:val="00E76752"/>
    <w:rsid w:val="00E7741D"/>
    <w:rsid w:val="00E808CD"/>
    <w:rsid w:val="00E82928"/>
    <w:rsid w:val="00E8348F"/>
    <w:rsid w:val="00E839ED"/>
    <w:rsid w:val="00E85B7D"/>
    <w:rsid w:val="00E9121B"/>
    <w:rsid w:val="00E9302E"/>
    <w:rsid w:val="00E94F86"/>
    <w:rsid w:val="00E9582E"/>
    <w:rsid w:val="00E96942"/>
    <w:rsid w:val="00E976AB"/>
    <w:rsid w:val="00EA0AE2"/>
    <w:rsid w:val="00EA1159"/>
    <w:rsid w:val="00EA39E5"/>
    <w:rsid w:val="00EA57A3"/>
    <w:rsid w:val="00EB511A"/>
    <w:rsid w:val="00EC2813"/>
    <w:rsid w:val="00EC4197"/>
    <w:rsid w:val="00EC5A46"/>
    <w:rsid w:val="00EC63E2"/>
    <w:rsid w:val="00EC7AAA"/>
    <w:rsid w:val="00ED366A"/>
    <w:rsid w:val="00ED6BB7"/>
    <w:rsid w:val="00EE1723"/>
    <w:rsid w:val="00EF22B3"/>
    <w:rsid w:val="00EF5D53"/>
    <w:rsid w:val="00F03B69"/>
    <w:rsid w:val="00F07A50"/>
    <w:rsid w:val="00F113DA"/>
    <w:rsid w:val="00F12DA4"/>
    <w:rsid w:val="00F13928"/>
    <w:rsid w:val="00F1495C"/>
    <w:rsid w:val="00F266FC"/>
    <w:rsid w:val="00F3037A"/>
    <w:rsid w:val="00F3465A"/>
    <w:rsid w:val="00F37DC8"/>
    <w:rsid w:val="00F439B3"/>
    <w:rsid w:val="00F63C00"/>
    <w:rsid w:val="00F650C3"/>
    <w:rsid w:val="00F65D85"/>
    <w:rsid w:val="00F6700B"/>
    <w:rsid w:val="00F8091E"/>
    <w:rsid w:val="00F83855"/>
    <w:rsid w:val="00F8615C"/>
    <w:rsid w:val="00F8673E"/>
    <w:rsid w:val="00F86A02"/>
    <w:rsid w:val="00F969E5"/>
    <w:rsid w:val="00F9716C"/>
    <w:rsid w:val="00FA1D9B"/>
    <w:rsid w:val="00FA4972"/>
    <w:rsid w:val="00FA6617"/>
    <w:rsid w:val="00FA6BB0"/>
    <w:rsid w:val="00FB2DBD"/>
    <w:rsid w:val="00FB53D9"/>
    <w:rsid w:val="00FC6DA0"/>
    <w:rsid w:val="00FD48DF"/>
    <w:rsid w:val="00FD5860"/>
    <w:rsid w:val="00FE352D"/>
    <w:rsid w:val="00FE40EB"/>
    <w:rsid w:val="00FE4D02"/>
    <w:rsid w:val="00FE7D62"/>
    <w:rsid w:val="00FF08D3"/>
    <w:rsid w:val="00FF3559"/>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25563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25563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56770">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03526-B312-4D27-99DB-09CEFE1B4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3024</Words>
  <Characters>16609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Herimalala Raveloarinjato</cp:lastModifiedBy>
  <cp:revision>2</cp:revision>
  <cp:lastPrinted>2017-05-31T07:33:00Z</cp:lastPrinted>
  <dcterms:created xsi:type="dcterms:W3CDTF">2017-06-09T06:57:00Z</dcterms:created>
  <dcterms:modified xsi:type="dcterms:W3CDTF">2017-06-09T06:57:00Z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diane.belud</vt:lpwstr>
  </property>
  <property fmtid="{D5CDD505-2E9C-101B-9397-08002B2CF9AE}" pid="4" name="GeneratedDate">
    <vt:lpwstr>5/25/2017 10:38:45 AM</vt:lpwstr>
  </property>
  <property fmtid="{D5CDD505-2E9C-101B-9397-08002B2CF9AE}" pid="5" name="OriginalDocID">
    <vt:lpwstr>e1ebe63e-ce6f-4f0d-9ec1-d2e9e1d17603</vt:lpwstr>
  </property>
</Properties>
</file>