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72"/>
        <w:gridCol w:w="4822"/>
        <w:gridCol w:w="3461"/>
      </w:tblGrid>
      <w:tr w:rsidR="00814FF3" w:rsidRPr="005E7732" w:rsidTr="00D2026F">
        <w:trPr>
          <w:cantSplit/>
          <w:trHeight w:val="850"/>
          <w:jc w:val="right"/>
        </w:trPr>
        <w:tc>
          <w:tcPr>
            <w:tcW w:w="1560" w:type="dxa"/>
            <w:hideMark/>
          </w:tcPr>
          <w:p w:rsidR="00814FF3" w:rsidRPr="005E7732" w:rsidRDefault="00814FF3" w:rsidP="00D2026F">
            <w:pPr>
              <w:rPr>
                <w:rFonts w:ascii="Univers" w:hAnsi="Univers"/>
                <w:b/>
                <w:noProof/>
                <w:sz w:val="27"/>
                <w:szCs w:val="27"/>
                <w:lang w:val="fr-FR" w:eastAsia="zh-CN"/>
              </w:rPr>
            </w:pPr>
            <w:r w:rsidRPr="005E7732">
              <w:rPr>
                <w:rFonts w:ascii="Arial" w:hAnsi="Arial" w:cs="Arial"/>
                <w:b/>
                <w:noProof/>
                <w:sz w:val="27"/>
                <w:szCs w:val="27"/>
                <w:lang w:val="fr-FR" w:eastAsia="zh-CN"/>
              </w:rPr>
              <w:t>NATIONS</w:t>
            </w:r>
            <w:r w:rsidRPr="005E7732">
              <w:rPr>
                <w:rFonts w:ascii="Arial" w:hAnsi="Arial" w:cs="Arial"/>
                <w:b/>
                <w:noProof/>
                <w:sz w:val="27"/>
                <w:szCs w:val="27"/>
                <w:lang w:val="fr-FR" w:eastAsia="zh-CN"/>
              </w:rPr>
              <w:br/>
              <w:t>UNIES</w:t>
            </w:r>
          </w:p>
        </w:tc>
        <w:tc>
          <w:tcPr>
            <w:tcW w:w="4785" w:type="dxa"/>
          </w:tcPr>
          <w:p w:rsidR="00814FF3" w:rsidRPr="005E7732" w:rsidRDefault="00814FF3" w:rsidP="00D2026F">
            <w:pPr>
              <w:rPr>
                <w:rFonts w:ascii="Univers" w:hAnsi="Univers"/>
                <w:b/>
                <w:sz w:val="27"/>
                <w:szCs w:val="27"/>
                <w:lang w:val="fr-FR" w:eastAsia="zh-CN"/>
              </w:rPr>
            </w:pPr>
          </w:p>
        </w:tc>
        <w:tc>
          <w:tcPr>
            <w:tcW w:w="3435" w:type="dxa"/>
            <w:hideMark/>
          </w:tcPr>
          <w:p w:rsidR="00814FF3" w:rsidRPr="005E7732" w:rsidRDefault="00814FF3" w:rsidP="00D2026F">
            <w:pPr>
              <w:jc w:val="right"/>
              <w:rPr>
                <w:rFonts w:ascii="Arial" w:hAnsi="Arial" w:cs="Arial"/>
                <w:b/>
                <w:sz w:val="64"/>
                <w:szCs w:val="64"/>
                <w:lang w:val="fr-FR" w:eastAsia="zh-CN"/>
              </w:rPr>
            </w:pPr>
            <w:r w:rsidRPr="005E7732">
              <w:rPr>
                <w:rFonts w:ascii="Arial" w:hAnsi="Arial" w:cs="Arial"/>
                <w:b/>
                <w:sz w:val="64"/>
                <w:szCs w:val="64"/>
                <w:lang w:val="fr-FR" w:eastAsia="zh-CN"/>
              </w:rPr>
              <w:t>MC</w:t>
            </w:r>
          </w:p>
        </w:tc>
      </w:tr>
      <w:tr w:rsidR="00814FF3" w:rsidRPr="005E7732" w:rsidTr="00D2026F">
        <w:trPr>
          <w:cantSplit/>
          <w:trHeight w:val="281"/>
          <w:jc w:val="right"/>
        </w:trPr>
        <w:tc>
          <w:tcPr>
            <w:tcW w:w="1560" w:type="dxa"/>
            <w:tcBorders>
              <w:top w:val="nil"/>
              <w:left w:val="nil"/>
              <w:bottom w:val="single" w:sz="4" w:space="0" w:color="auto"/>
              <w:right w:val="nil"/>
            </w:tcBorders>
          </w:tcPr>
          <w:p w:rsidR="00814FF3" w:rsidRPr="005E7732" w:rsidRDefault="00814FF3" w:rsidP="00D2026F">
            <w:pPr>
              <w:rPr>
                <w:noProof/>
                <w:sz w:val="18"/>
                <w:szCs w:val="18"/>
                <w:lang w:val="fr-FR" w:eastAsia="zh-CN"/>
              </w:rPr>
            </w:pPr>
          </w:p>
        </w:tc>
        <w:tc>
          <w:tcPr>
            <w:tcW w:w="4785" w:type="dxa"/>
            <w:tcBorders>
              <w:top w:val="nil"/>
              <w:left w:val="nil"/>
              <w:bottom w:val="single" w:sz="4" w:space="0" w:color="auto"/>
              <w:right w:val="nil"/>
            </w:tcBorders>
          </w:tcPr>
          <w:p w:rsidR="00814FF3" w:rsidRPr="005E7732" w:rsidRDefault="00814FF3" w:rsidP="00D2026F">
            <w:pPr>
              <w:rPr>
                <w:rFonts w:ascii="Univers" w:hAnsi="Univers"/>
                <w:b/>
                <w:sz w:val="18"/>
                <w:szCs w:val="18"/>
                <w:lang w:val="fr-FR" w:eastAsia="zh-CN"/>
              </w:rPr>
            </w:pPr>
          </w:p>
        </w:tc>
        <w:tc>
          <w:tcPr>
            <w:tcW w:w="3435" w:type="dxa"/>
            <w:tcBorders>
              <w:top w:val="nil"/>
              <w:left w:val="nil"/>
              <w:bottom w:val="single" w:sz="4" w:space="0" w:color="auto"/>
              <w:right w:val="nil"/>
            </w:tcBorders>
            <w:hideMark/>
          </w:tcPr>
          <w:p w:rsidR="00814FF3" w:rsidRPr="005E7732" w:rsidRDefault="00814FF3" w:rsidP="00D2026F">
            <w:pPr>
              <w:rPr>
                <w:noProof/>
                <w:sz w:val="18"/>
                <w:szCs w:val="18"/>
                <w:lang w:val="fr-FR" w:eastAsia="zh-CN"/>
              </w:rPr>
            </w:pPr>
            <w:r w:rsidRPr="005E7732">
              <w:rPr>
                <w:b/>
                <w:bCs/>
                <w:sz w:val="28"/>
                <w:lang w:val="fr-FR" w:eastAsia="zh-CN"/>
              </w:rPr>
              <w:t>UNEP</w:t>
            </w:r>
            <w:bookmarkStart w:id="0" w:name="OLE_LINK1"/>
            <w:bookmarkStart w:id="1" w:name="OLE_LINK2"/>
            <w:r w:rsidRPr="005E7732">
              <w:rPr>
                <w:b/>
                <w:bCs/>
                <w:sz w:val="28"/>
                <w:lang w:val="fr-FR" w:eastAsia="zh-CN"/>
              </w:rPr>
              <w:t>/</w:t>
            </w:r>
            <w:r w:rsidRPr="005E7732">
              <w:rPr>
                <w:lang w:val="fr-FR" w:eastAsia="zh-CN"/>
              </w:rPr>
              <w:t>MC/</w:t>
            </w:r>
            <w:bookmarkEnd w:id="0"/>
            <w:bookmarkEnd w:id="1"/>
            <w:r w:rsidRPr="005E7732">
              <w:rPr>
                <w:lang w:val="fr-FR" w:eastAsia="zh-CN"/>
              </w:rPr>
              <w:t>COP.1/</w:t>
            </w:r>
            <w:r>
              <w:rPr>
                <w:lang w:val="fr-FR" w:eastAsia="zh-CN"/>
              </w:rPr>
              <w:t>28</w:t>
            </w:r>
          </w:p>
        </w:tc>
      </w:tr>
      <w:bookmarkStart w:id="2" w:name="_MON_1021710510"/>
      <w:bookmarkEnd w:id="2"/>
      <w:tr w:rsidR="00814FF3" w:rsidRPr="00330B3C" w:rsidTr="00D2026F">
        <w:trPr>
          <w:cantSplit/>
          <w:trHeight w:val="2549"/>
          <w:jc w:val="right"/>
        </w:trPr>
        <w:tc>
          <w:tcPr>
            <w:tcW w:w="1560" w:type="dxa"/>
            <w:tcBorders>
              <w:top w:val="single" w:sz="4" w:space="0" w:color="auto"/>
              <w:left w:val="nil"/>
              <w:bottom w:val="single" w:sz="24" w:space="0" w:color="auto"/>
              <w:right w:val="nil"/>
            </w:tcBorders>
            <w:hideMark/>
          </w:tcPr>
          <w:p w:rsidR="00814FF3" w:rsidRPr="005E7732" w:rsidRDefault="00814FF3" w:rsidP="00D2026F">
            <w:pPr>
              <w:rPr>
                <w:noProof/>
                <w:lang w:val="fr-FR" w:eastAsia="zh-CN"/>
              </w:rPr>
            </w:pPr>
            <w:r w:rsidRPr="005E7732">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63776624" r:id="rId9"/>
              </w:object>
            </w:r>
            <w:r w:rsidRPr="00014F5B">
              <w:rPr>
                <w:noProof/>
              </w:rPr>
              <w:drawing>
                <wp:inline distT="0" distB="0" distL="0" distR="0" wp14:anchorId="6C6EB328" wp14:editId="6DDBFFE1">
                  <wp:extent cx="723900" cy="771525"/>
                  <wp:effectExtent l="0" t="0" r="0" b="0"/>
                  <wp:docPr id="46"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814FF3" w:rsidRPr="005E7732" w:rsidRDefault="00814FF3" w:rsidP="00D2026F">
            <w:pPr>
              <w:spacing w:before="1200"/>
              <w:rPr>
                <w:rFonts w:ascii="Arial" w:hAnsi="Arial" w:cs="Arial"/>
                <w:b/>
                <w:sz w:val="28"/>
                <w:lang w:val="fr-FR" w:eastAsia="zh-CN"/>
              </w:rPr>
            </w:pPr>
            <w:r w:rsidRPr="005E7732">
              <w:rPr>
                <w:rFonts w:ascii="Arial" w:hAnsi="Arial" w:cs="Arial"/>
                <w:b/>
                <w:sz w:val="32"/>
                <w:szCs w:val="32"/>
                <w:lang w:val="fr-FR" w:eastAsia="zh-CN"/>
              </w:rPr>
              <w:t>Programme</w:t>
            </w:r>
            <w:r w:rsidRPr="005E7732">
              <w:rPr>
                <w:rFonts w:ascii="Arial" w:hAnsi="Arial" w:cs="Arial"/>
                <w:b/>
                <w:sz w:val="32"/>
                <w:szCs w:val="32"/>
                <w:lang w:val="fr-FR" w:eastAsia="zh-CN"/>
              </w:rPr>
              <w:br/>
              <w:t>des Nations Unies</w:t>
            </w:r>
            <w:r w:rsidRPr="005E7732">
              <w:rPr>
                <w:rFonts w:ascii="Arial" w:hAnsi="Arial" w:cs="Arial"/>
                <w:b/>
                <w:sz w:val="32"/>
                <w:szCs w:val="32"/>
                <w:lang w:val="fr-FR" w:eastAsia="zh-CN"/>
              </w:rPr>
              <w:br/>
              <w:t>pour l</w:t>
            </w:r>
            <w:r w:rsidR="00BC5FE7">
              <w:rPr>
                <w:rFonts w:ascii="Arial" w:hAnsi="Arial" w:cs="Arial"/>
                <w:b/>
                <w:sz w:val="32"/>
                <w:szCs w:val="32"/>
                <w:lang w:val="fr-FR" w:eastAsia="zh-CN"/>
              </w:rPr>
              <w:t>’</w:t>
            </w:r>
            <w:r w:rsidRPr="005E7732">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rsidR="00814FF3" w:rsidRPr="00593D2A" w:rsidRDefault="00814FF3" w:rsidP="00D2026F">
            <w:pPr>
              <w:spacing w:before="120"/>
              <w:rPr>
                <w:sz w:val="20"/>
                <w:szCs w:val="20"/>
                <w:lang w:val="fr-FR" w:eastAsia="zh-CN"/>
              </w:rPr>
            </w:pPr>
            <w:proofErr w:type="spellStart"/>
            <w:r w:rsidRPr="00593D2A">
              <w:rPr>
                <w:sz w:val="20"/>
                <w:szCs w:val="20"/>
                <w:lang w:val="fr-FR" w:eastAsia="zh-CN"/>
              </w:rPr>
              <w:t>Distr</w:t>
            </w:r>
            <w:proofErr w:type="spellEnd"/>
            <w:r w:rsidRPr="00593D2A">
              <w:rPr>
                <w:sz w:val="20"/>
                <w:szCs w:val="20"/>
                <w:lang w:val="fr-FR" w:eastAsia="zh-CN"/>
              </w:rPr>
              <w:t>.</w:t>
            </w:r>
            <w:r w:rsidR="004A3EB5">
              <w:rPr>
                <w:sz w:val="20"/>
                <w:szCs w:val="20"/>
                <w:lang w:val="fr-FR" w:eastAsia="zh-CN"/>
              </w:rPr>
              <w:t> </w:t>
            </w:r>
            <w:proofErr w:type="gramStart"/>
            <w:r w:rsidRPr="00593D2A">
              <w:rPr>
                <w:sz w:val="20"/>
                <w:szCs w:val="20"/>
                <w:lang w:val="fr-FR" w:eastAsia="zh-CN"/>
              </w:rPr>
              <w:t>générale</w:t>
            </w:r>
            <w:proofErr w:type="gramEnd"/>
            <w:r w:rsidRPr="00593D2A">
              <w:rPr>
                <w:sz w:val="20"/>
                <w:szCs w:val="20"/>
                <w:lang w:val="fr-FR" w:eastAsia="zh-CN"/>
              </w:rPr>
              <w:t xml:space="preserve"> </w:t>
            </w:r>
            <w:r w:rsidRPr="00593D2A">
              <w:rPr>
                <w:sz w:val="20"/>
                <w:szCs w:val="20"/>
                <w:lang w:val="fr-FR" w:eastAsia="zh-CN"/>
              </w:rPr>
              <w:br/>
              <w:t>5 juillet 2017</w:t>
            </w:r>
          </w:p>
          <w:p w:rsidR="00814FF3" w:rsidRPr="005E7732" w:rsidRDefault="00814FF3" w:rsidP="00D2026F">
            <w:pPr>
              <w:spacing w:before="240"/>
              <w:rPr>
                <w:lang w:val="fr-FR" w:eastAsia="zh-CN"/>
              </w:rPr>
            </w:pPr>
            <w:r w:rsidRPr="00593D2A">
              <w:rPr>
                <w:sz w:val="20"/>
                <w:szCs w:val="20"/>
                <w:lang w:val="fr-FR" w:eastAsia="zh-CN"/>
              </w:rPr>
              <w:t>Français</w:t>
            </w:r>
            <w:r w:rsidRPr="00593D2A">
              <w:rPr>
                <w:sz w:val="20"/>
                <w:szCs w:val="20"/>
                <w:lang w:val="fr-FR" w:eastAsia="zh-CN"/>
              </w:rPr>
              <w:br/>
              <w:t>Original : anglais</w:t>
            </w:r>
          </w:p>
        </w:tc>
      </w:tr>
    </w:tbl>
    <w:p w:rsidR="00814FF3" w:rsidRPr="005E7732" w:rsidRDefault="00814FF3" w:rsidP="00814FF3">
      <w:pPr>
        <w:pStyle w:val="AATitle"/>
        <w:rPr>
          <w:lang w:val="fr-FR"/>
        </w:rPr>
      </w:pPr>
      <w:r w:rsidRPr="005E7732">
        <w:rPr>
          <w:lang w:val="fr-FR"/>
        </w:rPr>
        <w:t xml:space="preserve">Conférence des Parties </w:t>
      </w:r>
      <w:r w:rsidR="004A3EB5">
        <w:rPr>
          <w:lang w:val="fr-FR"/>
        </w:rPr>
        <w:br/>
      </w:r>
      <w:r w:rsidRPr="005E7732">
        <w:rPr>
          <w:lang w:val="fr-FR"/>
        </w:rPr>
        <w:t>à la Convention de Minamata sur le mercure</w:t>
      </w:r>
    </w:p>
    <w:p w:rsidR="00814FF3" w:rsidRPr="00814FF3" w:rsidRDefault="00814FF3" w:rsidP="00814FF3">
      <w:pPr>
        <w:pStyle w:val="AATitle"/>
        <w:rPr>
          <w:lang w:val="fr-FR"/>
        </w:rPr>
      </w:pPr>
      <w:r w:rsidRPr="00814FF3">
        <w:rPr>
          <w:lang w:val="fr-FR"/>
        </w:rPr>
        <w:t>Première réunion</w:t>
      </w:r>
    </w:p>
    <w:p w:rsidR="00814FF3" w:rsidRPr="005E7732" w:rsidRDefault="00814FF3" w:rsidP="00814FF3">
      <w:pPr>
        <w:pStyle w:val="AATitle"/>
        <w:rPr>
          <w:b w:val="0"/>
          <w:lang w:val="fr-FR"/>
        </w:rPr>
      </w:pPr>
      <w:r w:rsidRPr="005E7732">
        <w:rPr>
          <w:b w:val="0"/>
          <w:lang w:val="fr-FR"/>
        </w:rPr>
        <w:t>Genève, 24–29 septembre 2017</w:t>
      </w:r>
    </w:p>
    <w:p w:rsidR="006161DD" w:rsidRPr="00752756" w:rsidRDefault="0008203D" w:rsidP="001B418B">
      <w:pPr>
        <w:pStyle w:val="AATitle"/>
        <w:keepNext w:val="0"/>
        <w:keepLines w:val="0"/>
        <w:rPr>
          <w:b w:val="0"/>
          <w:bCs w:val="0"/>
          <w:lang w:val="fr-CA"/>
        </w:rPr>
      </w:pPr>
      <w:r>
        <w:rPr>
          <w:b w:val="0"/>
          <w:lang w:val="fr-FR"/>
        </w:rPr>
        <w:t>Point </w:t>
      </w:r>
      <w:r w:rsidR="008F39B2" w:rsidRPr="00752756">
        <w:rPr>
          <w:b w:val="0"/>
          <w:lang w:val="fr-FR"/>
        </w:rPr>
        <w:t>5</w:t>
      </w:r>
      <w:r>
        <w:rPr>
          <w:b w:val="0"/>
          <w:lang w:val="fr-FR"/>
        </w:rPr>
        <w:t> </w:t>
      </w:r>
      <w:r w:rsidR="008F39B2" w:rsidRPr="00752756">
        <w:rPr>
          <w:b w:val="0"/>
          <w:lang w:val="fr-FR"/>
        </w:rPr>
        <w:t>c)</w:t>
      </w:r>
      <w:r>
        <w:rPr>
          <w:b w:val="0"/>
          <w:lang w:val="fr-FR"/>
        </w:rPr>
        <w:t> </w:t>
      </w:r>
      <w:r w:rsidR="008F39B2" w:rsidRPr="00752756">
        <w:rPr>
          <w:b w:val="0"/>
          <w:lang w:val="fr-FR"/>
        </w:rPr>
        <w:t>iii) de l</w:t>
      </w:r>
      <w:r w:rsidR="00BC5FE7">
        <w:rPr>
          <w:b w:val="0"/>
          <w:lang w:val="fr-FR"/>
        </w:rPr>
        <w:t>’</w:t>
      </w:r>
      <w:r w:rsidR="008F39B2" w:rsidRPr="00752756">
        <w:rPr>
          <w:b w:val="0"/>
          <w:lang w:val="fr-FR"/>
        </w:rPr>
        <w:t>ordre du jour provisoire</w:t>
      </w:r>
      <w:r w:rsidR="008F39B2" w:rsidRPr="00752756">
        <w:rPr>
          <w:b w:val="0"/>
          <w:bCs w:val="0"/>
          <w:lang w:val="fr-FR"/>
        </w:rPr>
        <w:footnoteReference w:customMarkFollows="1" w:id="2"/>
        <w:t>*</w:t>
      </w:r>
    </w:p>
    <w:p w:rsidR="006161DD" w:rsidRPr="00752756" w:rsidRDefault="008F39B2" w:rsidP="001B418B">
      <w:pPr>
        <w:pStyle w:val="AATitle2"/>
        <w:spacing w:before="60"/>
        <w:rPr>
          <w:lang w:val="fr-CA"/>
        </w:rPr>
      </w:pPr>
      <w:r>
        <w:rPr>
          <w:lang w:val="fr-FR"/>
        </w:rPr>
        <w:t xml:space="preserve">Questions appelant une décision de la Conférence </w:t>
      </w:r>
      <w:r w:rsidR="0008203D">
        <w:rPr>
          <w:lang w:val="fr-FR"/>
        </w:rPr>
        <w:br/>
      </w:r>
      <w:r>
        <w:rPr>
          <w:lang w:val="fr-FR"/>
        </w:rPr>
        <w:t>de</w:t>
      </w:r>
      <w:r w:rsidR="0008203D">
        <w:rPr>
          <w:lang w:val="fr-FR"/>
        </w:rPr>
        <w:t>s Parties à sa première réunion </w:t>
      </w:r>
      <w:r>
        <w:rPr>
          <w:lang w:val="fr-FR"/>
        </w:rPr>
        <w:t>: questions recommandées par le Comité de négociation intergouvern</w:t>
      </w:r>
      <w:r w:rsidR="0008203D">
        <w:rPr>
          <w:lang w:val="fr-FR"/>
        </w:rPr>
        <w:t>emental </w:t>
      </w:r>
      <w:r w:rsidR="00814FF3">
        <w:rPr>
          <w:lang w:val="fr-FR"/>
        </w:rPr>
        <w:t xml:space="preserve">: emplacement physique </w:t>
      </w:r>
      <w:r w:rsidR="0008203D">
        <w:rPr>
          <w:lang w:val="fr-FR"/>
        </w:rPr>
        <w:br/>
      </w:r>
      <w:r>
        <w:rPr>
          <w:lang w:val="fr-FR"/>
        </w:rPr>
        <w:t>du secrétariat permanent</w:t>
      </w:r>
    </w:p>
    <w:p w:rsidR="006161DD" w:rsidRPr="00752756" w:rsidRDefault="008F39B2" w:rsidP="001B418B">
      <w:pPr>
        <w:pStyle w:val="BBTitle"/>
        <w:rPr>
          <w:lang w:val="fr-CA"/>
        </w:rPr>
      </w:pPr>
      <w:r>
        <w:rPr>
          <w:lang w:val="fr-FR"/>
        </w:rPr>
        <w:t>Analyse actualisée de l</w:t>
      </w:r>
      <w:r w:rsidR="00BC5FE7">
        <w:rPr>
          <w:lang w:val="fr-FR"/>
        </w:rPr>
        <w:t>’</w:t>
      </w:r>
      <w:r>
        <w:rPr>
          <w:lang w:val="fr-FR"/>
        </w:rPr>
        <w:t xml:space="preserve">offre du Gouvernement Suisse </w:t>
      </w:r>
      <w:r w:rsidR="00971A08">
        <w:rPr>
          <w:lang w:val="fr-FR"/>
        </w:rPr>
        <w:br/>
      </w:r>
      <w:r>
        <w:rPr>
          <w:lang w:val="fr-FR"/>
        </w:rPr>
        <w:t>pour l</w:t>
      </w:r>
      <w:r w:rsidR="00BC5FE7">
        <w:rPr>
          <w:lang w:val="fr-FR"/>
        </w:rPr>
        <w:t>’</w:t>
      </w:r>
      <w:r>
        <w:rPr>
          <w:lang w:val="fr-FR"/>
        </w:rPr>
        <w:t xml:space="preserve">accueil du secrétariat permanent de la Convention </w:t>
      </w:r>
      <w:r w:rsidR="00971A08">
        <w:rPr>
          <w:lang w:val="fr-FR"/>
        </w:rPr>
        <w:br/>
      </w:r>
      <w:r>
        <w:rPr>
          <w:lang w:val="fr-FR"/>
        </w:rPr>
        <w:t xml:space="preserve">de Minamata sur le mercure à Genève, sur la base </w:t>
      </w:r>
      <w:r w:rsidR="00971A08">
        <w:rPr>
          <w:lang w:val="fr-FR"/>
        </w:rPr>
        <w:br/>
      </w:r>
      <w:r>
        <w:rPr>
          <w:lang w:val="fr-FR"/>
        </w:rPr>
        <w:t>d</w:t>
      </w:r>
      <w:r w:rsidR="00971A08">
        <w:rPr>
          <w:lang w:val="fr-FR"/>
        </w:rPr>
        <w:t>es éclaircissements reçus le 27 </w:t>
      </w:r>
      <w:r>
        <w:rPr>
          <w:lang w:val="fr-FR"/>
        </w:rPr>
        <w:t>juin 2017</w:t>
      </w:r>
    </w:p>
    <w:p w:rsidR="006161DD" w:rsidRPr="001B418B" w:rsidRDefault="008F39B2" w:rsidP="001B418B">
      <w:pPr>
        <w:pStyle w:val="CH2"/>
      </w:pPr>
      <w:r>
        <w:rPr>
          <w:lang w:val="fr-FR"/>
        </w:rPr>
        <w:tab/>
      </w:r>
      <w:r>
        <w:rPr>
          <w:lang w:val="fr-FR"/>
        </w:rPr>
        <w:tab/>
        <w:t>Note du secrétariat</w:t>
      </w:r>
    </w:p>
    <w:p w:rsidR="006161DD" w:rsidRPr="00752756" w:rsidRDefault="008F39B2" w:rsidP="001B418B">
      <w:pPr>
        <w:pStyle w:val="Normalnumber"/>
        <w:numPr>
          <w:ilvl w:val="0"/>
          <w:numId w:val="2"/>
        </w:numPr>
        <w:rPr>
          <w:lang w:val="fr-CA"/>
        </w:rPr>
      </w:pPr>
      <w:r>
        <w:rPr>
          <w:lang w:val="fr-FR"/>
        </w:rPr>
        <w:t>À sa sixième se</w:t>
      </w:r>
      <w:r w:rsidR="008638FB">
        <w:rPr>
          <w:lang w:val="fr-FR"/>
        </w:rPr>
        <w:t>ssion tenue à Bangkok du 3 au 7 </w:t>
      </w:r>
      <w:r>
        <w:rPr>
          <w:lang w:val="fr-FR"/>
        </w:rPr>
        <w:t>novembre 2014, le Comité de négociation intergouvernemental chargé d</w:t>
      </w:r>
      <w:r w:rsidR="00BC5FE7">
        <w:rPr>
          <w:lang w:val="fr-FR"/>
        </w:rPr>
        <w:t>’</w:t>
      </w:r>
      <w:r>
        <w:rPr>
          <w:lang w:val="fr-FR"/>
        </w:rPr>
        <w:t xml:space="preserve">élaborer un instrument international juridiquement contraignant sur le mercure a demandé au secrétariat provisoire de la Convention de Minamata </w:t>
      </w:r>
      <w:bookmarkStart w:id="3" w:name="_GoBack"/>
      <w:bookmarkEnd w:id="3"/>
      <w:r>
        <w:rPr>
          <w:lang w:val="fr-FR"/>
        </w:rPr>
        <w:t>sur le mercure d</w:t>
      </w:r>
      <w:r w:rsidR="00BC5FE7">
        <w:rPr>
          <w:lang w:val="fr-FR"/>
        </w:rPr>
        <w:t>’</w:t>
      </w:r>
      <w:r>
        <w:rPr>
          <w:lang w:val="fr-FR"/>
        </w:rPr>
        <w:t>inviter les États intéressés à présenter des propositions concernant l</w:t>
      </w:r>
      <w:r w:rsidR="00BC5FE7">
        <w:rPr>
          <w:lang w:val="fr-FR"/>
        </w:rPr>
        <w:t>’</w:t>
      </w:r>
      <w:r>
        <w:rPr>
          <w:lang w:val="fr-FR"/>
        </w:rPr>
        <w:t>accueil du secrétariat permanent de la Convention et de compiler et analyser toutes les propositions afin que le C</w:t>
      </w:r>
      <w:r w:rsidR="008638FB">
        <w:rPr>
          <w:lang w:val="fr-FR"/>
        </w:rPr>
        <w:t>omité les examine à sa septième </w:t>
      </w:r>
      <w:r>
        <w:rPr>
          <w:lang w:val="fr-FR"/>
        </w:rPr>
        <w:t>session.</w:t>
      </w:r>
    </w:p>
    <w:p w:rsidR="006161DD" w:rsidRPr="00752756" w:rsidRDefault="008F39B2" w:rsidP="001B418B">
      <w:pPr>
        <w:pStyle w:val="Normalnumber"/>
        <w:numPr>
          <w:ilvl w:val="0"/>
          <w:numId w:val="2"/>
        </w:numPr>
        <w:rPr>
          <w:lang w:val="fr-CA"/>
        </w:rPr>
      </w:pPr>
      <w:r>
        <w:rPr>
          <w:lang w:val="fr-FR"/>
        </w:rPr>
        <w:t>Le Directeur exécutif du Programme des Nations Unies pour l</w:t>
      </w:r>
      <w:r w:rsidR="00BC5FE7">
        <w:rPr>
          <w:lang w:val="fr-FR"/>
        </w:rPr>
        <w:t>’</w:t>
      </w:r>
      <w:r>
        <w:rPr>
          <w:lang w:val="fr-FR"/>
        </w:rPr>
        <w:t>environnem</w:t>
      </w:r>
      <w:r w:rsidR="0056411A">
        <w:rPr>
          <w:lang w:val="fr-FR"/>
        </w:rPr>
        <w:t>ent (PNUE) a donc adressé, le 5 </w:t>
      </w:r>
      <w:r>
        <w:rPr>
          <w:lang w:val="fr-FR"/>
        </w:rPr>
        <w:t>décembre 2014, une lettre à tous les gouvernements les invitant à présenter des offres concernant l</w:t>
      </w:r>
      <w:r w:rsidR="00BC5FE7">
        <w:rPr>
          <w:lang w:val="fr-FR"/>
        </w:rPr>
        <w:t>’</w:t>
      </w:r>
      <w:r>
        <w:rPr>
          <w:lang w:val="fr-FR"/>
        </w:rPr>
        <w:t>accueil du secrétariat permanent de la Convention. La lettre était accompagnée d</w:t>
      </w:r>
      <w:r w:rsidR="00BC5FE7">
        <w:rPr>
          <w:lang w:val="fr-FR"/>
        </w:rPr>
        <w:t>’</w:t>
      </w:r>
      <w:r>
        <w:rPr>
          <w:lang w:val="fr-FR"/>
        </w:rPr>
        <w:t>une pièce jointe définissant les catégories d</w:t>
      </w:r>
      <w:r w:rsidR="00BC5FE7">
        <w:rPr>
          <w:lang w:val="fr-FR"/>
        </w:rPr>
        <w:t>’</w:t>
      </w:r>
      <w:r>
        <w:rPr>
          <w:lang w:val="fr-FR"/>
        </w:rPr>
        <w:t>informations qui pourraient figurer dans toute proposition faite par un gouvernement intéressé d</w:t>
      </w:r>
      <w:r w:rsidR="00BC5FE7">
        <w:rPr>
          <w:lang w:val="fr-FR"/>
        </w:rPr>
        <w:t>’</w:t>
      </w:r>
      <w:r>
        <w:rPr>
          <w:lang w:val="fr-FR"/>
        </w:rPr>
        <w:t xml:space="preserve">accueillir physiquement le secrétariat permanent de la Convention. </w:t>
      </w:r>
    </w:p>
    <w:p w:rsidR="006161DD" w:rsidRPr="00752756" w:rsidRDefault="008F39B2" w:rsidP="001B418B">
      <w:pPr>
        <w:pStyle w:val="Normalnumber"/>
        <w:numPr>
          <w:ilvl w:val="0"/>
          <w:numId w:val="2"/>
        </w:numPr>
        <w:rPr>
          <w:lang w:val="fr-CA"/>
        </w:rPr>
      </w:pPr>
      <w:r>
        <w:rPr>
          <w:lang w:val="fr-FR"/>
        </w:rPr>
        <w:t>Au bout du délai fixé, une offre d</w:t>
      </w:r>
      <w:r w:rsidR="00BC5FE7">
        <w:rPr>
          <w:lang w:val="fr-FR"/>
        </w:rPr>
        <w:t>’</w:t>
      </w:r>
      <w:r>
        <w:rPr>
          <w:lang w:val="fr-FR"/>
        </w:rPr>
        <w:t>héberger le secrétariat permanent de la Convention</w:t>
      </w:r>
      <w:r w:rsidR="0056411A">
        <w:rPr>
          <w:lang w:val="fr-FR"/>
        </w:rPr>
        <w:t xml:space="preserve"> de Minamata</w:t>
      </w:r>
      <w:r>
        <w:rPr>
          <w:lang w:val="fr-FR"/>
        </w:rPr>
        <w:t xml:space="preserve"> avait été reçue. Elle provenait du Gouvernement suisse, qui proposait de l</w:t>
      </w:r>
      <w:r w:rsidR="00BC5FE7">
        <w:rPr>
          <w:lang w:val="fr-FR"/>
        </w:rPr>
        <w:t>’</w:t>
      </w:r>
      <w:r>
        <w:rPr>
          <w:lang w:val="fr-FR"/>
        </w:rPr>
        <w:t>accueil</w:t>
      </w:r>
      <w:r w:rsidR="00F811DF">
        <w:rPr>
          <w:lang w:val="fr-FR"/>
        </w:rPr>
        <w:t>lir à Genève. Cette offre (UNEP</w:t>
      </w:r>
      <w:r>
        <w:rPr>
          <w:lang w:val="fr-FR"/>
        </w:rPr>
        <w:t xml:space="preserve">(DTIE)/Hg/INC.7/INF/5) et une analyse connexe établie par </w:t>
      </w:r>
      <w:r w:rsidR="00593D2A">
        <w:rPr>
          <w:lang w:val="fr-FR"/>
        </w:rPr>
        <w:t>le secrétariat provisoire (UNEP</w:t>
      </w:r>
      <w:r>
        <w:rPr>
          <w:lang w:val="fr-FR"/>
        </w:rPr>
        <w:t>(DTIE)/Hg/INC.7/16) ont été présentées au Comité à sa septi</w:t>
      </w:r>
      <w:r w:rsidR="00593D2A">
        <w:rPr>
          <w:lang w:val="fr-FR"/>
        </w:rPr>
        <w:t>ème session, qui a eu lieu à la </w:t>
      </w:r>
      <w:r>
        <w:rPr>
          <w:lang w:val="fr-FR"/>
        </w:rPr>
        <w:t>m</w:t>
      </w:r>
      <w:r w:rsidR="0056411A">
        <w:rPr>
          <w:lang w:val="fr-FR"/>
        </w:rPr>
        <w:t>er Morte (Jordanie) du 10 au 15 </w:t>
      </w:r>
      <w:r>
        <w:rPr>
          <w:lang w:val="fr-FR"/>
        </w:rPr>
        <w:t xml:space="preserve">mars 2017. </w:t>
      </w:r>
    </w:p>
    <w:p w:rsidR="006161DD" w:rsidRPr="00752756" w:rsidRDefault="008F39B2" w:rsidP="001B418B">
      <w:pPr>
        <w:pStyle w:val="Normalnumber"/>
        <w:numPr>
          <w:ilvl w:val="0"/>
          <w:numId w:val="2"/>
        </w:numPr>
        <w:rPr>
          <w:lang w:val="fr-CA"/>
        </w:rPr>
      </w:pPr>
      <w:r>
        <w:rPr>
          <w:lang w:val="fr-FR"/>
        </w:rPr>
        <w:t>Le Comité, à sa septième session, a examiné ladite offre et l</w:t>
      </w:r>
      <w:r w:rsidR="00BC5FE7">
        <w:rPr>
          <w:lang w:val="fr-FR"/>
        </w:rPr>
        <w:t>’</w:t>
      </w:r>
      <w:r>
        <w:rPr>
          <w:lang w:val="fr-FR"/>
        </w:rPr>
        <w:t>analyse de celle-ci faite par le secrétariat provisoire, à la suite de quoi il a demandé au Gouvernement suisse d</w:t>
      </w:r>
      <w:r w:rsidR="00BC5FE7">
        <w:rPr>
          <w:lang w:val="fr-FR"/>
        </w:rPr>
        <w:t>’</w:t>
      </w:r>
      <w:r>
        <w:rPr>
          <w:lang w:val="fr-FR"/>
        </w:rPr>
        <w:t>envisager de fournir des éclaircissements sur les conditions s</w:t>
      </w:r>
      <w:r w:rsidR="00BC5FE7">
        <w:rPr>
          <w:lang w:val="fr-FR"/>
        </w:rPr>
        <w:t>’</w:t>
      </w:r>
      <w:r>
        <w:rPr>
          <w:lang w:val="fr-FR"/>
        </w:rPr>
        <w:t xml:space="preserve">y rattachant, pour examen plus poussé par la Conférence des Parties à sa première réunion. </w:t>
      </w:r>
    </w:p>
    <w:p w:rsidR="006161DD" w:rsidRPr="00752756" w:rsidRDefault="008F39B2" w:rsidP="001B418B">
      <w:pPr>
        <w:pStyle w:val="Normalnumber"/>
        <w:numPr>
          <w:ilvl w:val="0"/>
          <w:numId w:val="2"/>
        </w:numPr>
        <w:rPr>
          <w:lang w:val="fr-CA"/>
        </w:rPr>
      </w:pPr>
      <w:r>
        <w:rPr>
          <w:lang w:val="fr-FR"/>
        </w:rPr>
        <w:lastRenderedPageBreak/>
        <w:t>Le Gouvernement suisse a, en conséquence, présenté un document clarifiant et, dans certains cas, élargissant son offre, qui a été reçu par le secrétariat provisoire le 27</w:t>
      </w:r>
      <w:r w:rsidR="00CA1E1C">
        <w:rPr>
          <w:lang w:val="fr-FR"/>
        </w:rPr>
        <w:t> </w:t>
      </w:r>
      <w:r>
        <w:rPr>
          <w:lang w:val="fr-FR"/>
        </w:rPr>
        <w:t>juin 2017. Ce document (UNEP/MC/COP.1/INF/8) et l</w:t>
      </w:r>
      <w:r w:rsidR="00BC5FE7">
        <w:rPr>
          <w:lang w:val="fr-FR"/>
        </w:rPr>
        <w:t>’</w:t>
      </w:r>
      <w:r>
        <w:rPr>
          <w:lang w:val="fr-FR"/>
        </w:rPr>
        <w:t>offre initiale (UNEP/MC/COP.1/INF/7) sont présentés pour information à la Confé</w:t>
      </w:r>
      <w:r w:rsidR="00CA1E1C">
        <w:rPr>
          <w:lang w:val="fr-FR"/>
        </w:rPr>
        <w:t>rence des Parties à sa première </w:t>
      </w:r>
      <w:r>
        <w:rPr>
          <w:lang w:val="fr-FR"/>
        </w:rPr>
        <w:t xml:space="preserve">réunion. </w:t>
      </w:r>
    </w:p>
    <w:p w:rsidR="006161DD" w:rsidRPr="00752756" w:rsidRDefault="008F39B2" w:rsidP="001B418B">
      <w:pPr>
        <w:pStyle w:val="Normalnumber"/>
        <w:numPr>
          <w:ilvl w:val="0"/>
          <w:numId w:val="2"/>
        </w:numPr>
        <w:rPr>
          <w:lang w:val="fr-CA"/>
        </w:rPr>
      </w:pPr>
      <w:r>
        <w:rPr>
          <w:lang w:val="fr-FR"/>
        </w:rPr>
        <w:t>Dans les paragraphes qui suivent, le secrétariat provisoire analyse de manière plus approfondie l</w:t>
      </w:r>
      <w:r w:rsidR="00BC5FE7">
        <w:rPr>
          <w:lang w:val="fr-FR"/>
        </w:rPr>
        <w:t>’</w:t>
      </w:r>
      <w:r>
        <w:rPr>
          <w:lang w:val="fr-FR"/>
        </w:rPr>
        <w:t xml:space="preserve">offre du Gouvernement suisse à la lumière des informations fournies dans le document de clarification. </w:t>
      </w:r>
    </w:p>
    <w:p w:rsidR="006161DD" w:rsidRPr="00752756" w:rsidRDefault="00CA1E1C" w:rsidP="00CA1E1C">
      <w:pPr>
        <w:pStyle w:val="CH2"/>
        <w:ind w:firstLine="0"/>
        <w:rPr>
          <w:lang w:val="fr-CA"/>
        </w:rPr>
      </w:pPr>
      <w:r>
        <w:rPr>
          <w:lang w:val="fr-FR"/>
        </w:rPr>
        <w:t>Option </w:t>
      </w:r>
      <w:r w:rsidR="008F39B2">
        <w:rPr>
          <w:lang w:val="fr-FR"/>
        </w:rPr>
        <w:t>1</w:t>
      </w:r>
      <w:r>
        <w:rPr>
          <w:lang w:val="fr-FR"/>
        </w:rPr>
        <w:t> </w:t>
      </w:r>
      <w:r w:rsidR="008F39B2">
        <w:rPr>
          <w:lang w:val="fr-FR"/>
        </w:rPr>
        <w:t>a)</w:t>
      </w:r>
      <w:r>
        <w:rPr>
          <w:lang w:val="fr-FR"/>
        </w:rPr>
        <w:t> </w:t>
      </w:r>
      <w:r w:rsidR="008F39B2">
        <w:rPr>
          <w:lang w:val="fr-FR"/>
        </w:rPr>
        <w:t>: Fusionnement avec la struct</w:t>
      </w:r>
      <w:r w:rsidR="00593D2A">
        <w:rPr>
          <w:lang w:val="fr-FR"/>
        </w:rPr>
        <w:t>ure actuelle du Secrétariat des </w:t>
      </w:r>
      <w:r w:rsidR="008F39B2">
        <w:rPr>
          <w:lang w:val="fr-FR"/>
        </w:rPr>
        <w:t>conventions de Bâle, de Rotterdam et de Stockholm</w:t>
      </w:r>
    </w:p>
    <w:p w:rsidR="006161DD" w:rsidRPr="00752756" w:rsidRDefault="008F39B2" w:rsidP="001B418B">
      <w:pPr>
        <w:pStyle w:val="Normalnumber"/>
        <w:numPr>
          <w:ilvl w:val="0"/>
          <w:numId w:val="2"/>
        </w:numPr>
        <w:rPr>
          <w:lang w:val="fr-CA"/>
        </w:rPr>
      </w:pPr>
      <w:r>
        <w:rPr>
          <w:lang w:val="fr-FR"/>
        </w:rPr>
        <w:t>Le document de clarification réitère la préférence du G</w:t>
      </w:r>
      <w:r w:rsidR="000D7632">
        <w:rPr>
          <w:lang w:val="fr-FR"/>
        </w:rPr>
        <w:t>ouvernement s</w:t>
      </w:r>
      <w:r>
        <w:rPr>
          <w:lang w:val="fr-FR"/>
        </w:rPr>
        <w:t>uisse pour une intégration du secrétariat permanent de la Convention de Minamata dans la structure actuelle du Secrétariat des conventions de Bâle, de Rotterdam et de Stockholm. Si cette optio</w:t>
      </w:r>
      <w:r w:rsidR="000D7632">
        <w:rPr>
          <w:lang w:val="fr-FR"/>
        </w:rPr>
        <w:t>n est adoptée, le Gouvernement s</w:t>
      </w:r>
      <w:r>
        <w:rPr>
          <w:lang w:val="fr-FR"/>
        </w:rPr>
        <w:t>uisse apportera, en tant que pays hôte, une contribution annuelle de 2,5</w:t>
      </w:r>
      <w:r w:rsidR="005118ED">
        <w:rPr>
          <w:lang w:val="fr-FR"/>
        </w:rPr>
        <w:t> </w:t>
      </w:r>
      <w:r w:rsidR="00593D2A">
        <w:rPr>
          <w:lang w:val="fr-FR"/>
        </w:rPr>
        <w:t>millions de francs suisses à la </w:t>
      </w:r>
      <w:r>
        <w:rPr>
          <w:lang w:val="fr-FR"/>
        </w:rPr>
        <w:t xml:space="preserve">Convention de Minamata. </w:t>
      </w:r>
    </w:p>
    <w:p w:rsidR="006161DD" w:rsidRPr="00752756" w:rsidRDefault="008F39B2" w:rsidP="001B418B">
      <w:pPr>
        <w:pStyle w:val="Normalnumber"/>
        <w:numPr>
          <w:ilvl w:val="0"/>
          <w:numId w:val="2"/>
        </w:numPr>
        <w:rPr>
          <w:rFonts w:eastAsia="Arial Unicode MS" w:cs="Arial Unicode MS"/>
          <w:lang w:val="fr-CA"/>
        </w:rPr>
      </w:pPr>
      <w:r>
        <w:rPr>
          <w:lang w:val="fr-FR"/>
        </w:rPr>
        <w:t>La Suisse a expliqué qu</w:t>
      </w:r>
      <w:r w:rsidR="00BC5FE7">
        <w:rPr>
          <w:lang w:val="fr-FR"/>
        </w:rPr>
        <w:t>’</w:t>
      </w:r>
      <w:r>
        <w:rPr>
          <w:lang w:val="fr-FR"/>
        </w:rPr>
        <w:t xml:space="preserve">au cas où </w:t>
      </w:r>
      <w:r w:rsidR="004679CF">
        <w:rPr>
          <w:lang w:val="fr-FR"/>
        </w:rPr>
        <w:t xml:space="preserve">cette </w:t>
      </w:r>
      <w:r>
        <w:rPr>
          <w:lang w:val="fr-FR"/>
        </w:rPr>
        <w:t>option de fusionnement serait retenue, sa contribution annuelle en tant que pays hôte se comprendrait deux parties, dont la première, s</w:t>
      </w:r>
      <w:r w:rsidR="00BC5FE7">
        <w:rPr>
          <w:lang w:val="fr-FR"/>
        </w:rPr>
        <w:t>’</w:t>
      </w:r>
      <w:r>
        <w:rPr>
          <w:lang w:val="fr-FR"/>
        </w:rPr>
        <w:t xml:space="preserve">élevant à </w:t>
      </w:r>
      <w:r w:rsidR="000D7632">
        <w:rPr>
          <w:lang w:val="fr-FR"/>
        </w:rPr>
        <w:t>2 </w:t>
      </w:r>
      <w:r w:rsidR="005118ED">
        <w:rPr>
          <w:lang w:val="fr-FR"/>
        </w:rPr>
        <w:t>millions de francs </w:t>
      </w:r>
      <w:r>
        <w:rPr>
          <w:lang w:val="fr-FR"/>
        </w:rPr>
        <w:t>suisses, ne s</w:t>
      </w:r>
      <w:r w:rsidR="00BC5FE7">
        <w:rPr>
          <w:lang w:val="fr-FR"/>
        </w:rPr>
        <w:t>’</w:t>
      </w:r>
      <w:r>
        <w:rPr>
          <w:lang w:val="fr-FR"/>
        </w:rPr>
        <w:t>accompagnerait d</w:t>
      </w:r>
      <w:r w:rsidR="00BC5FE7">
        <w:rPr>
          <w:lang w:val="fr-FR"/>
        </w:rPr>
        <w:t>’</w:t>
      </w:r>
      <w:r>
        <w:rPr>
          <w:lang w:val="fr-FR"/>
        </w:rPr>
        <w:t xml:space="preserve">aucune restriction quant à son </w:t>
      </w:r>
      <w:proofErr w:type="gramStart"/>
      <w:r>
        <w:rPr>
          <w:lang w:val="fr-FR"/>
        </w:rPr>
        <w:t>utilisation;</w:t>
      </w:r>
      <w:proofErr w:type="gramEnd"/>
      <w:r>
        <w:rPr>
          <w:lang w:val="fr-FR"/>
        </w:rPr>
        <w:t xml:space="preserve"> cette parti</w:t>
      </w:r>
      <w:r w:rsidR="000D7632">
        <w:rPr>
          <w:lang w:val="fr-FR"/>
        </w:rPr>
        <w:t>e pourrait, par </w:t>
      </w:r>
      <w:r>
        <w:rPr>
          <w:lang w:val="fr-FR"/>
        </w:rPr>
        <w:t>exemple, s</w:t>
      </w:r>
      <w:r w:rsidR="00BC5FE7">
        <w:rPr>
          <w:lang w:val="fr-FR"/>
        </w:rPr>
        <w:t>’</w:t>
      </w:r>
      <w:r>
        <w:rPr>
          <w:lang w:val="fr-FR"/>
        </w:rPr>
        <w:t>utiliser pour couvrir les coûts des réunions, où qu</w:t>
      </w:r>
      <w:r w:rsidR="00BC5FE7">
        <w:rPr>
          <w:lang w:val="fr-FR"/>
        </w:rPr>
        <w:t>’</w:t>
      </w:r>
      <w:r>
        <w:rPr>
          <w:lang w:val="fr-FR"/>
        </w:rPr>
        <w:t>elles se tiennent. Elle a précisé que cette partie non affectée de sa contribution annuelle inclurait sa contribution en tant que Partie à la Convention (à la première réunion de la Conférence des Parties, dans le cadre de la mise au point définitive des règles de gestion financière, il est prévu de décider de la répartition de la contribution du pays hôte entre le Fonds général d</w:t>
      </w:r>
      <w:r w:rsidR="00BC5FE7">
        <w:rPr>
          <w:lang w:val="fr-FR"/>
        </w:rPr>
        <w:t>’</w:t>
      </w:r>
      <w:r>
        <w:rPr>
          <w:lang w:val="fr-FR"/>
        </w:rPr>
        <w:t>affectation spéciale de la Convention de Minamata</w:t>
      </w:r>
      <w:r w:rsidR="00593D2A">
        <w:rPr>
          <w:lang w:val="fr-FR"/>
        </w:rPr>
        <w:t xml:space="preserve"> qui sera mis en </w:t>
      </w:r>
      <w:r>
        <w:rPr>
          <w:lang w:val="fr-FR"/>
        </w:rPr>
        <w:t>place pour les activités de base et le Fonds d</w:t>
      </w:r>
      <w:r w:rsidR="00BC5FE7">
        <w:rPr>
          <w:lang w:val="fr-FR"/>
        </w:rPr>
        <w:t>’</w:t>
      </w:r>
      <w:r>
        <w:rPr>
          <w:lang w:val="fr-FR"/>
        </w:rPr>
        <w:t xml:space="preserve">affectation spéciale à des fins déterminées alimenté par des contributions volontaires destiné à financer les activités supplémentaires). </w:t>
      </w:r>
    </w:p>
    <w:p w:rsidR="006161DD" w:rsidRPr="00752756" w:rsidRDefault="008F39B2" w:rsidP="001B418B">
      <w:pPr>
        <w:pStyle w:val="Normalnumber"/>
        <w:numPr>
          <w:ilvl w:val="0"/>
          <w:numId w:val="2"/>
        </w:numPr>
        <w:rPr>
          <w:rFonts w:eastAsia="Arial Unicode MS" w:cs="Arial Unicode MS"/>
          <w:lang w:val="fr-CA"/>
        </w:rPr>
      </w:pPr>
      <w:r>
        <w:rPr>
          <w:lang w:val="fr-FR"/>
        </w:rPr>
        <w:t>La deuxième partie de la contribution annuelle de la Suisse au cas où l</w:t>
      </w:r>
      <w:r w:rsidR="00BC5FE7">
        <w:rPr>
          <w:lang w:val="fr-FR"/>
        </w:rPr>
        <w:t>’</w:t>
      </w:r>
      <w:r>
        <w:rPr>
          <w:lang w:val="fr-FR"/>
        </w:rPr>
        <w:t>option de fusionnement complet serait adoptée se composerait d</w:t>
      </w:r>
      <w:r w:rsidR="00BC5FE7">
        <w:rPr>
          <w:lang w:val="fr-FR"/>
        </w:rPr>
        <w:t>’</w:t>
      </w:r>
      <w:r w:rsidR="005118ED">
        <w:rPr>
          <w:lang w:val="fr-FR"/>
        </w:rPr>
        <w:t>un montant de 500 000 </w:t>
      </w:r>
      <w:r>
        <w:rPr>
          <w:lang w:val="fr-FR"/>
        </w:rPr>
        <w:t>francs</w:t>
      </w:r>
      <w:r w:rsidR="005118ED">
        <w:rPr>
          <w:lang w:val="fr-FR"/>
        </w:rPr>
        <w:t> </w:t>
      </w:r>
      <w:r>
        <w:rPr>
          <w:lang w:val="fr-FR"/>
        </w:rPr>
        <w:t>suisses affecté au financement d</w:t>
      </w:r>
      <w:r w:rsidR="00BC5FE7">
        <w:rPr>
          <w:lang w:val="fr-FR"/>
        </w:rPr>
        <w:t>’</w:t>
      </w:r>
      <w:r>
        <w:rPr>
          <w:lang w:val="fr-FR"/>
        </w:rPr>
        <w:t>un poste devant servir à appuyer l</w:t>
      </w:r>
      <w:r w:rsidR="00BC5FE7">
        <w:rPr>
          <w:lang w:val="fr-FR"/>
        </w:rPr>
        <w:t>’</w:t>
      </w:r>
      <w:r w:rsidR="005118ED">
        <w:rPr>
          <w:lang w:val="fr-FR"/>
        </w:rPr>
        <w:t>intégration du s</w:t>
      </w:r>
      <w:r>
        <w:rPr>
          <w:lang w:val="fr-FR"/>
        </w:rPr>
        <w:t>ecrétariat</w:t>
      </w:r>
      <w:r w:rsidR="005118ED">
        <w:rPr>
          <w:lang w:val="fr-FR"/>
        </w:rPr>
        <w:t xml:space="preserve"> et les activités communes des c</w:t>
      </w:r>
      <w:r>
        <w:rPr>
          <w:lang w:val="fr-FR"/>
        </w:rPr>
        <w:t xml:space="preserve">onventions de Minamata, de Bâle, de Rotterdam et de Stockholm. </w:t>
      </w:r>
    </w:p>
    <w:p w:rsidR="006161DD" w:rsidRPr="00752756" w:rsidRDefault="008F39B2" w:rsidP="001B418B">
      <w:pPr>
        <w:pStyle w:val="Normalnumber"/>
        <w:numPr>
          <w:ilvl w:val="0"/>
          <w:numId w:val="2"/>
        </w:numPr>
        <w:rPr>
          <w:lang w:val="fr-CA"/>
        </w:rPr>
      </w:pPr>
      <w:r>
        <w:rPr>
          <w:lang w:val="fr-FR"/>
        </w:rPr>
        <w:t>Enfin, dans l</w:t>
      </w:r>
      <w:r w:rsidR="00BC5FE7">
        <w:rPr>
          <w:lang w:val="fr-FR"/>
        </w:rPr>
        <w:t>’</w:t>
      </w:r>
      <w:r>
        <w:rPr>
          <w:lang w:val="fr-FR"/>
        </w:rPr>
        <w:t>éventualité où l</w:t>
      </w:r>
      <w:r w:rsidR="00BC5FE7">
        <w:rPr>
          <w:lang w:val="fr-FR"/>
        </w:rPr>
        <w:t>’</w:t>
      </w:r>
      <w:r>
        <w:rPr>
          <w:lang w:val="fr-FR"/>
        </w:rPr>
        <w:t>option précitée serait retenue, la</w:t>
      </w:r>
      <w:r w:rsidR="000D7632">
        <w:rPr>
          <w:lang w:val="fr-FR"/>
        </w:rPr>
        <w:t xml:space="preserve"> Suisse verserait également une </w:t>
      </w:r>
      <w:r>
        <w:rPr>
          <w:lang w:val="fr-FR"/>
        </w:rPr>
        <w:t>c</w:t>
      </w:r>
      <w:r w:rsidR="00C62CA2">
        <w:rPr>
          <w:lang w:val="fr-FR"/>
        </w:rPr>
        <w:t>ontribution spéciale de 100 </w:t>
      </w:r>
      <w:r w:rsidR="005118ED">
        <w:rPr>
          <w:lang w:val="fr-FR"/>
        </w:rPr>
        <w:t>000 </w:t>
      </w:r>
      <w:r>
        <w:rPr>
          <w:lang w:val="fr-FR"/>
        </w:rPr>
        <w:t>francs</w:t>
      </w:r>
      <w:r w:rsidR="005118ED">
        <w:rPr>
          <w:lang w:val="fr-FR"/>
        </w:rPr>
        <w:t> </w:t>
      </w:r>
      <w:r>
        <w:rPr>
          <w:lang w:val="fr-FR"/>
        </w:rPr>
        <w:t xml:space="preserve">suisses pour compléter les infrastructures du </w:t>
      </w:r>
      <w:r w:rsidR="00C62CA2">
        <w:rPr>
          <w:lang w:val="fr-FR"/>
        </w:rPr>
        <w:t>s</w:t>
      </w:r>
      <w:r>
        <w:rPr>
          <w:lang w:val="fr-FR"/>
        </w:rPr>
        <w:t xml:space="preserve">ecrétariat. </w:t>
      </w:r>
    </w:p>
    <w:p w:rsidR="006161DD" w:rsidRPr="00752756" w:rsidRDefault="00973B15" w:rsidP="00973B15">
      <w:pPr>
        <w:pStyle w:val="CH2"/>
        <w:ind w:firstLine="0"/>
        <w:rPr>
          <w:lang w:val="fr-CA"/>
        </w:rPr>
      </w:pPr>
      <w:r>
        <w:rPr>
          <w:lang w:val="fr-FR"/>
        </w:rPr>
        <w:t>Option 1 </w:t>
      </w:r>
      <w:r w:rsidR="008F39B2">
        <w:rPr>
          <w:lang w:val="fr-FR"/>
        </w:rPr>
        <w:t>b)</w:t>
      </w:r>
      <w:r>
        <w:rPr>
          <w:lang w:val="fr-FR"/>
        </w:rPr>
        <w:t> </w:t>
      </w:r>
      <w:r w:rsidR="008F39B2">
        <w:rPr>
          <w:lang w:val="fr-FR"/>
        </w:rPr>
        <w:t>: Fusionnement avec le Secrétar</w:t>
      </w:r>
      <w:r w:rsidR="000D7632">
        <w:rPr>
          <w:lang w:val="fr-FR"/>
        </w:rPr>
        <w:t>iat des conventions de Bâle, de </w:t>
      </w:r>
      <w:r w:rsidR="008F39B2">
        <w:rPr>
          <w:lang w:val="fr-FR"/>
        </w:rPr>
        <w:t>Rotterdam et de Stockholm par la création au cours de la période intérimaire d</w:t>
      </w:r>
      <w:r w:rsidR="00BC5FE7">
        <w:rPr>
          <w:lang w:val="fr-FR"/>
        </w:rPr>
        <w:t>’</w:t>
      </w:r>
      <w:r w:rsidR="008F39B2">
        <w:rPr>
          <w:lang w:val="fr-FR"/>
        </w:rPr>
        <w:t>un quatrième service au sein de celui-ci</w:t>
      </w:r>
    </w:p>
    <w:p w:rsidR="006161DD" w:rsidRPr="00752756" w:rsidRDefault="008F39B2" w:rsidP="001B418B">
      <w:pPr>
        <w:pStyle w:val="Normalnumber"/>
        <w:numPr>
          <w:ilvl w:val="0"/>
          <w:numId w:val="2"/>
        </w:numPr>
        <w:rPr>
          <w:rFonts w:eastAsia="Arial Unicode MS" w:cs="Arial Unicode MS"/>
          <w:lang w:val="fr-CA"/>
        </w:rPr>
      </w:pPr>
      <w:r>
        <w:rPr>
          <w:lang w:val="fr-FR"/>
        </w:rPr>
        <w:t>Le document de clarification présenté par le Gouvernement suisse se pench</w:t>
      </w:r>
      <w:r w:rsidR="00593D2A">
        <w:rPr>
          <w:lang w:val="fr-FR"/>
        </w:rPr>
        <w:t>e également sur la </w:t>
      </w:r>
      <w:r>
        <w:rPr>
          <w:lang w:val="fr-FR"/>
        </w:rPr>
        <w:t>possibilité d</w:t>
      </w:r>
      <w:r w:rsidR="00BC5FE7">
        <w:rPr>
          <w:lang w:val="fr-FR"/>
        </w:rPr>
        <w:t>’</w:t>
      </w:r>
      <w:r>
        <w:rPr>
          <w:lang w:val="fr-FR"/>
        </w:rPr>
        <w:t xml:space="preserve">incorporer le secrétariat en tant </w:t>
      </w:r>
      <w:r w:rsidR="004679CF">
        <w:rPr>
          <w:lang w:val="fr-FR"/>
        </w:rPr>
        <w:t xml:space="preserve">que </w:t>
      </w:r>
      <w:r>
        <w:rPr>
          <w:lang w:val="fr-FR"/>
        </w:rPr>
        <w:t>quatrième service au sein du</w:t>
      </w:r>
      <w:r w:rsidR="00973B15">
        <w:rPr>
          <w:lang w:val="fr-FR"/>
        </w:rPr>
        <w:t xml:space="preserve"> Secrétariat des c</w:t>
      </w:r>
      <w:r>
        <w:rPr>
          <w:lang w:val="fr-FR"/>
        </w:rPr>
        <w:t>onventions de Bâle, de Rotterdam et de Stockholm. L</w:t>
      </w:r>
      <w:r w:rsidR="00BC5FE7">
        <w:rPr>
          <w:lang w:val="fr-FR"/>
        </w:rPr>
        <w:t>’</w:t>
      </w:r>
      <w:r>
        <w:rPr>
          <w:lang w:val="fr-FR"/>
        </w:rPr>
        <w:t>offre initiale de ce pays d</w:t>
      </w:r>
      <w:r w:rsidR="00BC5FE7">
        <w:rPr>
          <w:lang w:val="fr-FR"/>
        </w:rPr>
        <w:t>’</w:t>
      </w:r>
      <w:r>
        <w:rPr>
          <w:lang w:val="fr-FR"/>
        </w:rPr>
        <w:t xml:space="preserve">accueillir le secrétariat permanent ne comprenait pas cette option. </w:t>
      </w:r>
    </w:p>
    <w:p w:rsidR="006161DD" w:rsidRPr="00752756" w:rsidRDefault="008F39B2" w:rsidP="001B418B">
      <w:pPr>
        <w:pStyle w:val="Normalnumber"/>
        <w:numPr>
          <w:ilvl w:val="0"/>
          <w:numId w:val="2"/>
        </w:numPr>
        <w:rPr>
          <w:rFonts w:eastAsia="Arial Unicode MS" w:cs="Arial Unicode MS"/>
          <w:lang w:val="fr-CA"/>
        </w:rPr>
      </w:pPr>
      <w:r>
        <w:rPr>
          <w:lang w:val="fr-FR"/>
        </w:rPr>
        <w:t xml:space="preserve">La Suisse </w:t>
      </w:r>
      <w:r w:rsidR="00752756">
        <w:rPr>
          <w:lang w:val="fr-FR"/>
        </w:rPr>
        <w:t xml:space="preserve">a </w:t>
      </w:r>
      <w:r>
        <w:rPr>
          <w:lang w:val="fr-FR"/>
        </w:rPr>
        <w:t>indiqu</w:t>
      </w:r>
      <w:r w:rsidR="00752756">
        <w:rPr>
          <w:lang w:val="fr-FR"/>
        </w:rPr>
        <w:t>é</w:t>
      </w:r>
      <w:r>
        <w:rPr>
          <w:lang w:val="fr-FR"/>
        </w:rPr>
        <w:t xml:space="preserve"> que si cette option était retenue, elle fournirait une contribution annuelle à des fins non déterminées d</w:t>
      </w:r>
      <w:r w:rsidR="00BC5FE7">
        <w:rPr>
          <w:lang w:val="fr-FR"/>
        </w:rPr>
        <w:t>’</w:t>
      </w:r>
      <w:r>
        <w:rPr>
          <w:lang w:val="fr-FR"/>
        </w:rPr>
        <w:t xml:space="preserve">un montant de </w:t>
      </w:r>
      <w:r w:rsidR="000D7632">
        <w:rPr>
          <w:lang w:val="fr-FR"/>
        </w:rPr>
        <w:t>2 </w:t>
      </w:r>
      <w:r w:rsidR="00973B15">
        <w:rPr>
          <w:lang w:val="fr-FR"/>
        </w:rPr>
        <w:t>millions de francs </w:t>
      </w:r>
      <w:r>
        <w:rPr>
          <w:lang w:val="fr-FR"/>
        </w:rPr>
        <w:t>suisses. Comme dans le cas de l</w:t>
      </w:r>
      <w:r w:rsidR="00BC5FE7">
        <w:rPr>
          <w:lang w:val="fr-FR"/>
        </w:rPr>
        <w:t>’</w:t>
      </w:r>
      <w:r>
        <w:rPr>
          <w:lang w:val="fr-FR"/>
        </w:rPr>
        <w:t>option précédente, on peut supposer que cette contribution à des fins non déterminées ne s</w:t>
      </w:r>
      <w:r w:rsidR="00BC5FE7">
        <w:rPr>
          <w:lang w:val="fr-FR"/>
        </w:rPr>
        <w:t>’</w:t>
      </w:r>
      <w:r>
        <w:rPr>
          <w:lang w:val="fr-FR"/>
        </w:rPr>
        <w:t>accompagne d</w:t>
      </w:r>
      <w:r w:rsidR="00BC5FE7">
        <w:rPr>
          <w:lang w:val="fr-FR"/>
        </w:rPr>
        <w:t>’</w:t>
      </w:r>
      <w:r>
        <w:rPr>
          <w:lang w:val="fr-FR"/>
        </w:rPr>
        <w:t>aucune restriction concernant son utilisation, y compris pour des réunions tenues à d</w:t>
      </w:r>
      <w:r w:rsidR="00BC5FE7">
        <w:rPr>
          <w:lang w:val="fr-FR"/>
        </w:rPr>
        <w:t>’</w:t>
      </w:r>
      <w:r>
        <w:rPr>
          <w:lang w:val="fr-FR"/>
        </w:rPr>
        <w:t>autres endroits. On peut également supposer qu</w:t>
      </w:r>
      <w:r w:rsidR="00BC5FE7">
        <w:rPr>
          <w:lang w:val="fr-FR"/>
        </w:rPr>
        <w:t>’</w:t>
      </w:r>
      <w:r>
        <w:rPr>
          <w:lang w:val="fr-FR"/>
        </w:rPr>
        <w:t>elle inclut la contribution de la Suisse en tant que Partie à la Convention.</w:t>
      </w:r>
    </w:p>
    <w:p w:rsidR="006161DD" w:rsidRPr="00752756" w:rsidRDefault="008F39B2" w:rsidP="001B418B">
      <w:pPr>
        <w:pStyle w:val="Normalnumber"/>
        <w:numPr>
          <w:ilvl w:val="0"/>
          <w:numId w:val="2"/>
        </w:numPr>
        <w:rPr>
          <w:rFonts w:eastAsia="Arial Unicode MS" w:cs="Arial Unicode MS"/>
          <w:lang w:val="fr-CA"/>
        </w:rPr>
      </w:pPr>
      <w:r>
        <w:rPr>
          <w:lang w:val="fr-FR"/>
        </w:rPr>
        <w:t>Dans cette option, u</w:t>
      </w:r>
      <w:r w:rsidR="00330B3C">
        <w:rPr>
          <w:lang w:val="fr-FR"/>
        </w:rPr>
        <w:t>ne contribution spéciale de 100 000 francs </w:t>
      </w:r>
      <w:r>
        <w:rPr>
          <w:lang w:val="fr-FR"/>
        </w:rPr>
        <w:t>suisses serait également versée pour co</w:t>
      </w:r>
      <w:r w:rsidR="006D2380">
        <w:rPr>
          <w:lang w:val="fr-FR"/>
        </w:rPr>
        <w:t>mpléter les infrastructures du s</w:t>
      </w:r>
      <w:r>
        <w:rPr>
          <w:lang w:val="fr-FR"/>
        </w:rPr>
        <w:t>ecrétariat.</w:t>
      </w:r>
    </w:p>
    <w:p w:rsidR="006161DD" w:rsidRPr="004309DB" w:rsidRDefault="00973B15" w:rsidP="00973B15">
      <w:pPr>
        <w:pStyle w:val="CH2"/>
        <w:ind w:firstLine="0"/>
        <w:rPr>
          <w:lang w:val="fr-FR"/>
        </w:rPr>
      </w:pPr>
      <w:r>
        <w:rPr>
          <w:lang w:val="fr-FR"/>
        </w:rPr>
        <w:t>Option 2 </w:t>
      </w:r>
      <w:r w:rsidR="008F39B2">
        <w:rPr>
          <w:lang w:val="fr-FR"/>
        </w:rPr>
        <w:t>: Utilisation du secrétariat provisoire</w:t>
      </w:r>
    </w:p>
    <w:p w:rsidR="006161DD" w:rsidRPr="00752756" w:rsidRDefault="008F39B2" w:rsidP="001B418B">
      <w:pPr>
        <w:pStyle w:val="Normalnumber"/>
        <w:numPr>
          <w:ilvl w:val="0"/>
          <w:numId w:val="2"/>
        </w:numPr>
        <w:rPr>
          <w:rFonts w:eastAsia="Arial Unicode MS" w:cs="Arial Unicode MS"/>
          <w:lang w:val="fr-CA"/>
        </w:rPr>
      </w:pPr>
      <w:r>
        <w:rPr>
          <w:lang w:val="fr-FR"/>
        </w:rPr>
        <w:t>Dans l</w:t>
      </w:r>
      <w:r w:rsidR="00BC5FE7">
        <w:rPr>
          <w:lang w:val="fr-FR"/>
        </w:rPr>
        <w:t>’</w:t>
      </w:r>
      <w:r>
        <w:rPr>
          <w:lang w:val="fr-FR"/>
        </w:rPr>
        <w:t>option consistant à se servir du secrétariat provisoire comme point de départ pour un secrétariat permanent à Genève, la Suisse avait initialement limité son appui à sa contribution en tant que Partie à la Convention. Dans le document de clarification, elle indique toutefois qu</w:t>
      </w:r>
      <w:r w:rsidR="00BC5FE7">
        <w:rPr>
          <w:lang w:val="fr-FR"/>
        </w:rPr>
        <w:t>’</w:t>
      </w:r>
      <w:r>
        <w:rPr>
          <w:lang w:val="fr-FR"/>
        </w:rPr>
        <w:t>elle fournirait égalem</w:t>
      </w:r>
      <w:r w:rsidR="004309DB">
        <w:rPr>
          <w:lang w:val="fr-FR"/>
        </w:rPr>
        <w:t>ent une contribution de 100 000 francs </w:t>
      </w:r>
      <w:r>
        <w:rPr>
          <w:lang w:val="fr-FR"/>
        </w:rPr>
        <w:t>suisses pour compléter les infrastructures du secrétariat.</w:t>
      </w:r>
    </w:p>
    <w:p w:rsidR="006161DD" w:rsidRPr="001B418B" w:rsidRDefault="008F39B2" w:rsidP="001B418B">
      <w:pPr>
        <w:pStyle w:val="CH2"/>
      </w:pPr>
      <w:r>
        <w:rPr>
          <w:lang w:val="fr-FR"/>
        </w:rPr>
        <w:tab/>
      </w:r>
      <w:r>
        <w:rPr>
          <w:lang w:val="fr-FR"/>
        </w:rPr>
        <w:tab/>
        <w:t>Apports inconditionnels</w:t>
      </w:r>
    </w:p>
    <w:p w:rsidR="006161DD" w:rsidRPr="00752756" w:rsidRDefault="008F39B2" w:rsidP="001B418B">
      <w:pPr>
        <w:pStyle w:val="Normalnumber"/>
        <w:numPr>
          <w:ilvl w:val="0"/>
          <w:numId w:val="2"/>
        </w:numPr>
        <w:rPr>
          <w:lang w:val="fr-CA"/>
        </w:rPr>
      </w:pPr>
      <w:r>
        <w:rPr>
          <w:lang w:val="fr-FR"/>
        </w:rPr>
        <w:t>Quelle que soit l</w:t>
      </w:r>
      <w:r w:rsidR="00BC5FE7">
        <w:rPr>
          <w:lang w:val="fr-FR"/>
        </w:rPr>
        <w:t>’</w:t>
      </w:r>
      <w:r>
        <w:rPr>
          <w:lang w:val="fr-FR"/>
        </w:rPr>
        <w:t>option retenue, dès lors que le secrétariat perm</w:t>
      </w:r>
      <w:r w:rsidR="00593D2A">
        <w:rPr>
          <w:lang w:val="fr-FR"/>
        </w:rPr>
        <w:t>anent est implanté à Genève, le </w:t>
      </w:r>
      <w:r>
        <w:rPr>
          <w:lang w:val="fr-FR"/>
        </w:rPr>
        <w:t xml:space="preserve">Gouvernement suisse a promis de lui fournir gratuitement des locaux à usage de bureaux et de mettre à sa disposition, également à titre gracieux, le Centre International de conférences de Genève pour ses réunions. </w:t>
      </w:r>
    </w:p>
    <w:p w:rsidR="006161DD" w:rsidRPr="00752756" w:rsidRDefault="008F39B2" w:rsidP="001B418B">
      <w:pPr>
        <w:pStyle w:val="CH2"/>
        <w:rPr>
          <w:lang w:val="fr-CA"/>
        </w:rPr>
      </w:pPr>
      <w:r>
        <w:rPr>
          <w:lang w:val="fr-FR"/>
        </w:rPr>
        <w:lastRenderedPageBreak/>
        <w:tab/>
      </w:r>
      <w:r>
        <w:rPr>
          <w:lang w:val="fr-FR"/>
        </w:rPr>
        <w:tab/>
        <w:t>Mesures que pourrait prendre la Conférence des Parties</w:t>
      </w:r>
    </w:p>
    <w:p w:rsidR="006161DD" w:rsidRPr="00752756" w:rsidRDefault="008F39B2" w:rsidP="001B418B">
      <w:pPr>
        <w:pStyle w:val="Normalnumber"/>
        <w:numPr>
          <w:ilvl w:val="0"/>
          <w:numId w:val="2"/>
        </w:numPr>
        <w:rPr>
          <w:lang w:val="fr-CA"/>
        </w:rPr>
      </w:pPr>
      <w:r>
        <w:rPr>
          <w:lang w:val="fr-FR"/>
        </w:rPr>
        <w:t>La Conférence des Parties souhaitera peut-être examiner l</w:t>
      </w:r>
      <w:r w:rsidR="00BC5FE7">
        <w:rPr>
          <w:lang w:val="fr-FR"/>
        </w:rPr>
        <w:t>’</w:t>
      </w:r>
      <w:r w:rsidR="000D7632">
        <w:rPr>
          <w:lang w:val="fr-FR"/>
        </w:rPr>
        <w:t>offre du Gouvernement s</w:t>
      </w:r>
      <w:r>
        <w:rPr>
          <w:lang w:val="fr-FR"/>
        </w:rPr>
        <w:t>uisse dans le cadre de ses délibérations sur le lieu d</w:t>
      </w:r>
      <w:r w:rsidR="00BC5FE7">
        <w:rPr>
          <w:lang w:val="fr-FR"/>
        </w:rPr>
        <w:t>’</w:t>
      </w:r>
      <w:r>
        <w:rPr>
          <w:lang w:val="fr-FR"/>
        </w:rPr>
        <w:t xml:space="preserve">implantation du secrétariat permanent de la Convention de Minamata. </w:t>
      </w: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8"/>
        <w:gridCol w:w="1899"/>
        <w:gridCol w:w="1899"/>
        <w:gridCol w:w="1900"/>
        <w:gridCol w:w="1900"/>
      </w:tblGrid>
      <w:tr w:rsidR="006161DD" w:rsidRPr="00330B3C" w:rsidTr="001B418B">
        <w:trPr>
          <w:trHeight w:val="324"/>
        </w:trPr>
        <w:tc>
          <w:tcPr>
            <w:tcW w:w="1898" w:type="dxa"/>
            <w:tcBorders>
              <w:top w:val="nil"/>
              <w:left w:val="nil"/>
              <w:bottom w:val="nil"/>
              <w:right w:val="nil"/>
            </w:tcBorders>
            <w:shd w:val="clear" w:color="auto" w:fill="auto"/>
            <w:tcMar>
              <w:top w:w="80" w:type="dxa"/>
              <w:left w:w="80" w:type="dxa"/>
              <w:bottom w:w="80" w:type="dxa"/>
              <w:right w:w="80" w:type="dxa"/>
            </w:tcMar>
          </w:tcPr>
          <w:p w:rsidR="006161DD" w:rsidRPr="00752756" w:rsidRDefault="006161DD" w:rsidP="001B418B">
            <w:pPr>
              <w:spacing w:before="520"/>
              <w:rPr>
                <w:lang w:val="fr-CA"/>
              </w:rPr>
            </w:pPr>
          </w:p>
        </w:tc>
        <w:tc>
          <w:tcPr>
            <w:tcW w:w="1899" w:type="dxa"/>
            <w:tcBorders>
              <w:top w:val="nil"/>
              <w:left w:val="nil"/>
              <w:bottom w:val="nil"/>
              <w:right w:val="nil"/>
            </w:tcBorders>
            <w:shd w:val="clear" w:color="auto" w:fill="auto"/>
            <w:tcMar>
              <w:top w:w="80" w:type="dxa"/>
              <w:left w:w="80" w:type="dxa"/>
              <w:bottom w:w="80" w:type="dxa"/>
              <w:right w:w="80" w:type="dxa"/>
            </w:tcMar>
          </w:tcPr>
          <w:p w:rsidR="006161DD" w:rsidRPr="00752756" w:rsidRDefault="006161DD" w:rsidP="001B418B">
            <w:pPr>
              <w:spacing w:before="520"/>
              <w:rPr>
                <w:lang w:val="fr-CA"/>
              </w:rPr>
            </w:pPr>
          </w:p>
        </w:tc>
        <w:tc>
          <w:tcPr>
            <w:tcW w:w="1899"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752756" w:rsidRDefault="006161DD" w:rsidP="001B418B">
            <w:pPr>
              <w:spacing w:before="520"/>
              <w:rPr>
                <w:lang w:val="fr-CA"/>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Pr="00752756" w:rsidRDefault="006161DD" w:rsidP="001B418B">
            <w:pPr>
              <w:spacing w:before="520"/>
              <w:rPr>
                <w:lang w:val="fr-CA"/>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Pr="00752756" w:rsidRDefault="006161DD" w:rsidP="001B418B">
            <w:pPr>
              <w:spacing w:before="520"/>
              <w:rPr>
                <w:lang w:val="fr-CA"/>
              </w:rPr>
            </w:pPr>
          </w:p>
        </w:tc>
      </w:tr>
    </w:tbl>
    <w:p w:rsidR="006161DD" w:rsidRPr="00752756" w:rsidRDefault="006161DD" w:rsidP="001B418B">
      <w:pPr>
        <w:pStyle w:val="Normal-pool"/>
        <w:widowControl w:val="0"/>
        <w:rPr>
          <w:lang w:val="fr-CA"/>
        </w:rPr>
      </w:pPr>
    </w:p>
    <w:sectPr w:rsidR="006161DD" w:rsidRPr="00752756" w:rsidSect="00593D2A">
      <w:headerReference w:type="even" r:id="rId11"/>
      <w:headerReference w:type="default" r:id="rId12"/>
      <w:footerReference w:type="even" r:id="rId13"/>
      <w:footerReference w:type="default" r:id="rId14"/>
      <w:headerReference w:type="first" r:id="rId15"/>
      <w:footerReference w:type="first" r:id="rId16"/>
      <w:pgSz w:w="11900" w:h="16840"/>
      <w:pgMar w:top="907" w:right="843"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31" w:rsidRDefault="003B0E31">
      <w:r>
        <w:separator/>
      </w:r>
    </w:p>
  </w:endnote>
  <w:endnote w:type="continuationSeparator" w:id="0">
    <w:p w:rsidR="003B0E31" w:rsidRDefault="003B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DD" w:rsidRDefault="008F39B2">
    <w:pPr>
      <w:pStyle w:val="Footer"/>
    </w:pPr>
    <w:r>
      <w:rPr>
        <w:b/>
        <w:bCs/>
      </w:rPr>
      <w:fldChar w:fldCharType="begin"/>
    </w:r>
    <w:r>
      <w:rPr>
        <w:b/>
        <w:bCs/>
      </w:rPr>
      <w:instrText xml:space="preserve"> PAGE </w:instrText>
    </w:r>
    <w:r>
      <w:rPr>
        <w:b/>
        <w:bCs/>
      </w:rPr>
      <w:fldChar w:fldCharType="separate"/>
    </w:r>
    <w:r w:rsidR="00C14BDE">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DD" w:rsidRDefault="008F39B2">
    <w:pPr>
      <w:pStyle w:val="Footer"/>
      <w:jc w:val="right"/>
    </w:pPr>
    <w:r>
      <w:rPr>
        <w:b/>
        <w:bCs/>
      </w:rPr>
      <w:fldChar w:fldCharType="begin"/>
    </w:r>
    <w:r>
      <w:rPr>
        <w:b/>
        <w:bCs/>
      </w:rPr>
      <w:instrText xml:space="preserve"> PAGE </w:instrText>
    </w:r>
    <w:r>
      <w:rPr>
        <w:b/>
        <w:bCs/>
      </w:rPr>
      <w:fldChar w:fldCharType="separate"/>
    </w:r>
    <w:r w:rsidR="00C14BDE">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DD" w:rsidRDefault="004A3EB5">
    <w:pPr>
      <w:pStyle w:val="Footer"/>
    </w:pPr>
    <w:r>
      <w:rPr>
        <w:lang w:val="fr-FR"/>
      </w:rPr>
      <w:t>K1707153</w:t>
    </w:r>
    <w:r>
      <w:rPr>
        <w:lang w:val="fr-FR"/>
      </w:rPr>
      <w:tab/>
      <w:t>09</w:t>
    </w:r>
    <w:r w:rsidR="008F39B2">
      <w:rPr>
        <w:lang w:val="fr-FR"/>
      </w:rPr>
      <w:t>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31" w:rsidRPr="001B418B" w:rsidRDefault="003B0E31" w:rsidP="001B418B">
      <w:pPr>
        <w:spacing w:after="120"/>
        <w:ind w:left="624"/>
        <w:rPr>
          <w:sz w:val="20"/>
          <w:szCs w:val="20"/>
        </w:rPr>
      </w:pPr>
      <w:r w:rsidRPr="001B418B">
        <w:rPr>
          <w:sz w:val="20"/>
          <w:szCs w:val="20"/>
        </w:rPr>
        <w:separator/>
      </w:r>
    </w:p>
  </w:footnote>
  <w:footnote w:type="continuationSeparator" w:id="0">
    <w:p w:rsidR="003B0E31" w:rsidRDefault="003B0E31">
      <w:r>
        <w:continuationSeparator/>
      </w:r>
    </w:p>
  </w:footnote>
  <w:footnote w:type="continuationNotice" w:id="1">
    <w:p w:rsidR="003B0E31" w:rsidRDefault="003B0E31"/>
  </w:footnote>
  <w:footnote w:id="2">
    <w:p w:rsidR="006161DD" w:rsidRPr="00CA1E1C" w:rsidRDefault="008F39B2">
      <w:pPr>
        <w:pStyle w:val="Body"/>
        <w:tabs>
          <w:tab w:val="left" w:pos="624"/>
        </w:tabs>
        <w:spacing w:before="20" w:after="40"/>
        <w:ind w:left="1247"/>
        <w:rPr>
          <w:sz w:val="18"/>
          <w:szCs w:val="18"/>
        </w:rPr>
      </w:pPr>
      <w:r w:rsidRPr="00CA1E1C">
        <w:rPr>
          <w:sz w:val="18"/>
          <w:szCs w:val="18"/>
          <w:lang w:val="fr-FR"/>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DD" w:rsidRDefault="008F39B2">
    <w:pPr>
      <w:pStyle w:val="Header"/>
    </w:pPr>
    <w:r>
      <w:t>UNEP/MC/COP.1/28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DD" w:rsidRDefault="008F39B2">
    <w:pPr>
      <w:pStyle w:val="Header"/>
      <w:jc w:val="right"/>
    </w:pPr>
    <w:r>
      <w:t>UNEP/MC/COP.1/28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8B" w:rsidRDefault="001B418B" w:rsidP="001B418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992"/>
    <w:multiLevelType w:val="hybridMultilevel"/>
    <w:tmpl w:val="33D0F86E"/>
    <w:styleLink w:val="Normallist"/>
    <w:lvl w:ilvl="0" w:tplc="550C1774">
      <w:start w:val="1"/>
      <w:numFmt w:val="decimal"/>
      <w:lvlText w:val="%1."/>
      <w:lvlJc w:val="left"/>
      <w:pPr>
        <w:tabs>
          <w:tab w:val="num" w:pos="1814"/>
        </w:tabs>
        <w:ind w:left="124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568A74">
      <w:start w:val="1"/>
      <w:numFmt w:val="lowerLetter"/>
      <w:lvlText w:val="(%2)"/>
      <w:lvlJc w:val="left"/>
      <w:pPr>
        <w:tabs>
          <w:tab w:val="num" w:pos="1814"/>
        </w:tabs>
        <w:ind w:left="124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007572">
      <w:start w:val="1"/>
      <w:numFmt w:val="lowerRoman"/>
      <w:lvlText w:val="(%3)"/>
      <w:lvlJc w:val="left"/>
      <w:pPr>
        <w:tabs>
          <w:tab w:val="num" w:pos="3515"/>
        </w:tabs>
        <w:ind w:left="2948"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D69258">
      <w:start w:val="1"/>
      <w:numFmt w:val="lowerLetter"/>
      <w:lvlText w:val="%4."/>
      <w:lvlJc w:val="left"/>
      <w:pPr>
        <w:tabs>
          <w:tab w:val="num" w:pos="4082"/>
        </w:tabs>
        <w:ind w:left="3515"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C48B70">
      <w:start w:val="1"/>
      <w:numFmt w:val="lowerRoman"/>
      <w:lvlText w:val="%5."/>
      <w:lvlJc w:val="left"/>
      <w:pPr>
        <w:tabs>
          <w:tab w:val="num" w:pos="4649"/>
        </w:tabs>
        <w:ind w:left="4082"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648000">
      <w:start w:val="1"/>
      <w:numFmt w:val="lowerRoman"/>
      <w:lvlText w:val="%6."/>
      <w:lvlJc w:val="left"/>
      <w:pPr>
        <w:tabs>
          <w:tab w:val="num" w:pos="8402"/>
        </w:tabs>
        <w:ind w:left="7835" w:firstLine="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761978">
      <w:start w:val="1"/>
      <w:numFmt w:val="decimal"/>
      <w:lvlText w:val="%7."/>
      <w:lvlJc w:val="left"/>
      <w:pPr>
        <w:tabs>
          <w:tab w:val="num" w:pos="9122"/>
        </w:tabs>
        <w:ind w:left="8555" w:firstLine="2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928614">
      <w:start w:val="1"/>
      <w:numFmt w:val="lowerLetter"/>
      <w:lvlText w:val="%8."/>
      <w:lvlJc w:val="left"/>
      <w:pPr>
        <w:tabs>
          <w:tab w:val="num" w:pos="9842"/>
        </w:tabs>
        <w:ind w:left="9275" w:firstLine="2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18E4E6">
      <w:start w:val="1"/>
      <w:numFmt w:val="lowerRoman"/>
      <w:lvlText w:val="%9."/>
      <w:lvlJc w:val="left"/>
      <w:pPr>
        <w:tabs>
          <w:tab w:val="num" w:pos="10562"/>
        </w:tabs>
        <w:ind w:left="9995" w:firstLine="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EF64359"/>
    <w:multiLevelType w:val="hybridMultilevel"/>
    <w:tmpl w:val="33D0F86E"/>
    <w:numStyleLink w:val="Normal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DD"/>
    <w:rsid w:val="0004578A"/>
    <w:rsid w:val="0008203D"/>
    <w:rsid w:val="000D7632"/>
    <w:rsid w:val="001216DC"/>
    <w:rsid w:val="001B418B"/>
    <w:rsid w:val="00274ABF"/>
    <w:rsid w:val="00330B3C"/>
    <w:rsid w:val="003B0E31"/>
    <w:rsid w:val="003B2A85"/>
    <w:rsid w:val="003D3067"/>
    <w:rsid w:val="004309DB"/>
    <w:rsid w:val="00444CA0"/>
    <w:rsid w:val="004679CF"/>
    <w:rsid w:val="004A3EB5"/>
    <w:rsid w:val="004A48E4"/>
    <w:rsid w:val="005118ED"/>
    <w:rsid w:val="00547D8A"/>
    <w:rsid w:val="0056411A"/>
    <w:rsid w:val="00593D2A"/>
    <w:rsid w:val="005E3942"/>
    <w:rsid w:val="006161DD"/>
    <w:rsid w:val="00691B11"/>
    <w:rsid w:val="006D2380"/>
    <w:rsid w:val="00716BC7"/>
    <w:rsid w:val="00752756"/>
    <w:rsid w:val="007C557B"/>
    <w:rsid w:val="00814FF3"/>
    <w:rsid w:val="008638FB"/>
    <w:rsid w:val="008F39B2"/>
    <w:rsid w:val="00971A08"/>
    <w:rsid w:val="00973B15"/>
    <w:rsid w:val="009C4445"/>
    <w:rsid w:val="00BC5FE7"/>
    <w:rsid w:val="00BE0A00"/>
    <w:rsid w:val="00C14BDE"/>
    <w:rsid w:val="00C62CA2"/>
    <w:rsid w:val="00CA1E1C"/>
    <w:rsid w:val="00F811DF"/>
    <w:rsid w:val="00FD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5040"/>
  <w15:docId w15:val="{39D878EA-3DD0-4A82-A64D-A9CBC68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styleId="BalloonText">
    <w:name w:val="Balloon Text"/>
    <w:basedOn w:val="Normal"/>
    <w:link w:val="BalloonTextChar"/>
    <w:uiPriority w:val="99"/>
    <w:semiHidden/>
    <w:unhideWhenUsed/>
    <w:rsid w:val="00593D2A"/>
    <w:rPr>
      <w:rFonts w:ascii="Tahoma" w:hAnsi="Tahoma" w:cs="Tahoma"/>
      <w:sz w:val="16"/>
      <w:szCs w:val="16"/>
    </w:rPr>
  </w:style>
  <w:style w:type="character" w:customStyle="1" w:styleId="BalloonTextChar">
    <w:name w:val="Balloon Text Char"/>
    <w:basedOn w:val="DefaultParagraphFont"/>
    <w:link w:val="BalloonText"/>
    <w:uiPriority w:val="99"/>
    <w:semiHidden/>
    <w:rsid w:val="0059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897C-682E-4518-B8BA-C9DA39DE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Eliane Rakoto</cp:lastModifiedBy>
  <cp:revision>2</cp:revision>
  <cp:lastPrinted>2017-08-04T06:31:00Z</cp:lastPrinted>
  <dcterms:created xsi:type="dcterms:W3CDTF">2017-08-09T06:37:00Z</dcterms:created>
  <dcterms:modified xsi:type="dcterms:W3CDTF">2017-08-09T06:37:00Z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andriamamonjy.fiaferana</vt:lpwstr>
  </property>
  <property fmtid="{D5CDD505-2E9C-101B-9397-08002B2CF9AE}" pid="4" name="GeneratedDate">
    <vt:lpwstr>8/4/2017 7:31:51 AM</vt:lpwstr>
  </property>
  <property fmtid="{D5CDD505-2E9C-101B-9397-08002B2CF9AE}" pid="5" name="OriginalDocID">
    <vt:lpwstr>5f5b2df8-3412-4b4b-8c66-43c72b5e2a2f</vt:lpwstr>
  </property>
</Properties>
</file>