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550"/>
        <w:gridCol w:w="4654"/>
        <w:gridCol w:w="3508"/>
      </w:tblGrid>
      <w:tr w:rsidR="006F20A2" w:rsidRPr="00EC2DAC" w:rsidTr="00E374C8">
        <w:trPr>
          <w:cantSplit/>
          <w:trHeight w:val="850"/>
          <w:jc w:val="right"/>
        </w:trPr>
        <w:tc>
          <w:tcPr>
            <w:tcW w:w="1550" w:type="dxa"/>
            <w:hideMark/>
          </w:tcPr>
          <w:p w:rsidR="006F20A2" w:rsidRPr="00EC2DAC" w:rsidRDefault="006F20A2">
            <w:pPr>
              <w:rPr>
                <w:rFonts w:ascii="Univers" w:hAnsi="Univers"/>
                <w:b/>
                <w:noProof/>
                <w:sz w:val="27"/>
                <w:szCs w:val="27"/>
                <w:lang w:val="fr-FR" w:eastAsia="zh-CN"/>
              </w:rPr>
            </w:pPr>
            <w:r w:rsidRPr="00EC2DAC">
              <w:rPr>
                <w:rFonts w:ascii="Arial" w:hAnsi="Arial" w:cs="Arial"/>
                <w:b/>
                <w:noProof/>
                <w:sz w:val="27"/>
                <w:szCs w:val="27"/>
                <w:lang w:val="fr-FR" w:eastAsia="zh-CN"/>
              </w:rPr>
              <w:t>NATIONS</w:t>
            </w:r>
            <w:r w:rsidRPr="00EC2DAC">
              <w:rPr>
                <w:rFonts w:ascii="Arial" w:hAnsi="Arial" w:cs="Arial"/>
                <w:b/>
                <w:noProof/>
                <w:sz w:val="27"/>
                <w:szCs w:val="27"/>
                <w:lang w:val="fr-FR" w:eastAsia="zh-CN"/>
              </w:rPr>
              <w:br/>
              <w:t>UNIES</w:t>
            </w:r>
          </w:p>
        </w:tc>
        <w:tc>
          <w:tcPr>
            <w:tcW w:w="4654" w:type="dxa"/>
          </w:tcPr>
          <w:p w:rsidR="006F20A2" w:rsidRPr="00EC2DAC" w:rsidRDefault="006F20A2">
            <w:pPr>
              <w:rPr>
                <w:rFonts w:ascii="Univers" w:hAnsi="Univers"/>
                <w:b/>
                <w:sz w:val="27"/>
                <w:szCs w:val="27"/>
                <w:lang w:val="fr-FR" w:eastAsia="zh-CN"/>
              </w:rPr>
            </w:pPr>
          </w:p>
        </w:tc>
        <w:tc>
          <w:tcPr>
            <w:tcW w:w="3508" w:type="dxa"/>
            <w:hideMark/>
          </w:tcPr>
          <w:p w:rsidR="006F20A2" w:rsidRPr="00EC2DAC" w:rsidRDefault="006F20A2">
            <w:pPr>
              <w:jc w:val="right"/>
              <w:rPr>
                <w:rFonts w:ascii="Arial" w:hAnsi="Arial" w:cs="Arial"/>
                <w:b/>
                <w:sz w:val="64"/>
                <w:szCs w:val="64"/>
                <w:lang w:val="fr-FR" w:eastAsia="zh-CN"/>
              </w:rPr>
            </w:pPr>
            <w:r w:rsidRPr="00EC2DAC">
              <w:rPr>
                <w:rFonts w:ascii="Arial" w:hAnsi="Arial" w:cs="Arial"/>
                <w:b/>
                <w:sz w:val="64"/>
                <w:szCs w:val="64"/>
                <w:lang w:val="fr-FR" w:eastAsia="zh-CN"/>
              </w:rPr>
              <w:t>MC</w:t>
            </w:r>
          </w:p>
        </w:tc>
      </w:tr>
      <w:tr w:rsidR="006F20A2" w:rsidRPr="00EC2DAC" w:rsidTr="00E374C8">
        <w:trPr>
          <w:cantSplit/>
          <w:trHeight w:val="281"/>
          <w:jc w:val="right"/>
        </w:trPr>
        <w:tc>
          <w:tcPr>
            <w:tcW w:w="1550" w:type="dxa"/>
            <w:tcBorders>
              <w:top w:val="nil"/>
              <w:left w:val="nil"/>
              <w:bottom w:val="single" w:sz="4" w:space="0" w:color="auto"/>
              <w:right w:val="nil"/>
            </w:tcBorders>
          </w:tcPr>
          <w:p w:rsidR="006F20A2" w:rsidRPr="00EC2DAC" w:rsidRDefault="006F20A2">
            <w:pPr>
              <w:rPr>
                <w:noProof/>
                <w:sz w:val="18"/>
                <w:szCs w:val="18"/>
                <w:lang w:val="fr-FR" w:eastAsia="zh-CN"/>
              </w:rPr>
            </w:pPr>
          </w:p>
        </w:tc>
        <w:tc>
          <w:tcPr>
            <w:tcW w:w="4654" w:type="dxa"/>
            <w:tcBorders>
              <w:top w:val="nil"/>
              <w:left w:val="nil"/>
              <w:bottom w:val="single" w:sz="4" w:space="0" w:color="auto"/>
              <w:right w:val="nil"/>
            </w:tcBorders>
          </w:tcPr>
          <w:p w:rsidR="006F20A2" w:rsidRPr="00EC2DAC" w:rsidRDefault="006F20A2">
            <w:pPr>
              <w:rPr>
                <w:rFonts w:ascii="Univers" w:hAnsi="Univers"/>
                <w:b/>
                <w:sz w:val="18"/>
                <w:szCs w:val="18"/>
                <w:lang w:val="fr-FR" w:eastAsia="zh-CN"/>
              </w:rPr>
            </w:pPr>
          </w:p>
        </w:tc>
        <w:tc>
          <w:tcPr>
            <w:tcW w:w="3508" w:type="dxa"/>
            <w:tcBorders>
              <w:top w:val="nil"/>
              <w:left w:val="nil"/>
              <w:bottom w:val="single" w:sz="4" w:space="0" w:color="auto"/>
              <w:right w:val="nil"/>
            </w:tcBorders>
            <w:hideMark/>
          </w:tcPr>
          <w:p w:rsidR="006F20A2" w:rsidRPr="00EC2DAC" w:rsidRDefault="006F20A2">
            <w:pPr>
              <w:rPr>
                <w:noProof/>
                <w:sz w:val="18"/>
                <w:szCs w:val="18"/>
                <w:lang w:val="fr-FR" w:eastAsia="zh-CN"/>
              </w:rPr>
            </w:pPr>
            <w:r w:rsidRPr="00EC2DAC">
              <w:rPr>
                <w:b/>
                <w:bCs/>
                <w:sz w:val="28"/>
                <w:lang w:val="fr-FR" w:eastAsia="zh-CN"/>
              </w:rPr>
              <w:t>UNEP</w:t>
            </w:r>
            <w:bookmarkStart w:id="0" w:name="OLE_LINK1"/>
            <w:bookmarkStart w:id="1" w:name="OLE_LINK2"/>
            <w:r w:rsidRPr="00EC2DAC">
              <w:rPr>
                <w:b/>
                <w:bCs/>
                <w:sz w:val="28"/>
                <w:lang w:val="fr-FR" w:eastAsia="zh-CN"/>
              </w:rPr>
              <w:t>/</w:t>
            </w:r>
            <w:r w:rsidRPr="00EC2DAC">
              <w:rPr>
                <w:lang w:val="fr-FR" w:eastAsia="zh-CN"/>
              </w:rPr>
              <w:t>MC/</w:t>
            </w:r>
            <w:bookmarkEnd w:id="0"/>
            <w:bookmarkEnd w:id="1"/>
            <w:r w:rsidRPr="00EC2DAC">
              <w:rPr>
                <w:lang w:val="fr-FR" w:eastAsia="zh-CN"/>
              </w:rPr>
              <w:t>COP.1/</w:t>
            </w:r>
            <w:r w:rsidR="00F862B2">
              <w:rPr>
                <w:lang w:val="fr-FR" w:eastAsia="zh-CN"/>
              </w:rPr>
              <w:t>27</w:t>
            </w:r>
          </w:p>
        </w:tc>
      </w:tr>
      <w:bookmarkStart w:id="2" w:name="_MON_1021710510"/>
      <w:bookmarkEnd w:id="2"/>
      <w:tr w:rsidR="006F20A2" w:rsidRPr="00CD779D" w:rsidTr="00E374C8">
        <w:trPr>
          <w:cantSplit/>
          <w:trHeight w:val="2549"/>
          <w:jc w:val="right"/>
        </w:trPr>
        <w:tc>
          <w:tcPr>
            <w:tcW w:w="1550" w:type="dxa"/>
            <w:tcBorders>
              <w:top w:val="single" w:sz="4" w:space="0" w:color="auto"/>
              <w:left w:val="nil"/>
              <w:bottom w:val="single" w:sz="24" w:space="0" w:color="auto"/>
              <w:right w:val="nil"/>
            </w:tcBorders>
            <w:hideMark/>
          </w:tcPr>
          <w:p w:rsidR="006F20A2" w:rsidRPr="00EC2DAC" w:rsidRDefault="006F20A2">
            <w:pPr>
              <w:rPr>
                <w:noProof/>
                <w:lang w:val="fr-FR" w:eastAsia="zh-CN"/>
              </w:rPr>
            </w:pPr>
            <w:r w:rsidRPr="00EC2DAC">
              <w:rPr>
                <w:noProof/>
                <w:lang w:val="fr-FR" w:eastAsia="zh-CN"/>
              </w:rPr>
              <w:object w:dxaOrig="13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pt" o:ole="" fillcolor="window">
                  <v:imagedata r:id="rId9" o:title=""/>
                </v:shape>
                <o:OLEObject Type="Embed" ProgID="Word.Picture.8" ShapeID="_x0000_i1025" DrawAspect="Content" ObjectID="_1560315237" r:id="rId10"/>
              </w:object>
            </w:r>
            <w:r w:rsidRPr="00EC2DAC">
              <w:rPr>
                <w:noProof/>
                <w:lang w:val="en-US"/>
              </w:rPr>
              <w:drawing>
                <wp:inline distT="0" distB="0" distL="0" distR="0" wp14:anchorId="57C8323E" wp14:editId="363C660A">
                  <wp:extent cx="724535" cy="767715"/>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4535" cy="767715"/>
                          </a:xfrm>
                          <a:prstGeom prst="rect">
                            <a:avLst/>
                          </a:prstGeom>
                          <a:noFill/>
                          <a:ln>
                            <a:noFill/>
                          </a:ln>
                        </pic:spPr>
                      </pic:pic>
                    </a:graphicData>
                  </a:graphic>
                </wp:inline>
              </w:drawing>
            </w:r>
          </w:p>
        </w:tc>
        <w:tc>
          <w:tcPr>
            <w:tcW w:w="4654" w:type="dxa"/>
            <w:tcBorders>
              <w:top w:val="single" w:sz="4" w:space="0" w:color="auto"/>
              <w:left w:val="nil"/>
              <w:bottom w:val="single" w:sz="24" w:space="0" w:color="auto"/>
              <w:right w:val="nil"/>
            </w:tcBorders>
            <w:hideMark/>
          </w:tcPr>
          <w:p w:rsidR="006F20A2" w:rsidRPr="00EC2DAC" w:rsidRDefault="006F20A2">
            <w:pPr>
              <w:spacing w:before="1200"/>
              <w:rPr>
                <w:rFonts w:ascii="Arial" w:hAnsi="Arial" w:cs="Arial"/>
                <w:b/>
                <w:sz w:val="28"/>
                <w:lang w:val="fr-FR" w:eastAsia="zh-CN"/>
              </w:rPr>
            </w:pPr>
            <w:r w:rsidRPr="00EC2DAC">
              <w:rPr>
                <w:rFonts w:ascii="Arial" w:hAnsi="Arial" w:cs="Arial"/>
                <w:b/>
                <w:sz w:val="32"/>
                <w:szCs w:val="32"/>
                <w:lang w:val="fr-FR" w:eastAsia="zh-CN"/>
              </w:rPr>
              <w:t>Programme</w:t>
            </w:r>
            <w:r w:rsidRPr="00EC2DAC">
              <w:rPr>
                <w:rFonts w:ascii="Arial" w:hAnsi="Arial" w:cs="Arial"/>
                <w:b/>
                <w:sz w:val="32"/>
                <w:szCs w:val="32"/>
                <w:lang w:val="fr-FR" w:eastAsia="zh-CN"/>
              </w:rPr>
              <w:br/>
              <w:t>des Nations Unies</w:t>
            </w:r>
            <w:r w:rsidRPr="00EC2DAC">
              <w:rPr>
                <w:rFonts w:ascii="Arial" w:hAnsi="Arial" w:cs="Arial"/>
                <w:b/>
                <w:sz w:val="32"/>
                <w:szCs w:val="32"/>
                <w:lang w:val="fr-FR" w:eastAsia="zh-CN"/>
              </w:rPr>
              <w:br/>
              <w:t>pour l’environnement</w:t>
            </w:r>
          </w:p>
        </w:tc>
        <w:tc>
          <w:tcPr>
            <w:tcW w:w="3508" w:type="dxa"/>
            <w:tcBorders>
              <w:top w:val="single" w:sz="4" w:space="0" w:color="auto"/>
              <w:left w:val="nil"/>
              <w:bottom w:val="single" w:sz="24" w:space="0" w:color="auto"/>
              <w:right w:val="nil"/>
            </w:tcBorders>
            <w:hideMark/>
          </w:tcPr>
          <w:p w:rsidR="006F20A2" w:rsidRPr="00EC2DAC" w:rsidRDefault="00BD101A">
            <w:pPr>
              <w:spacing w:before="120"/>
              <w:rPr>
                <w:lang w:val="fr-FR" w:eastAsia="zh-CN"/>
              </w:rPr>
            </w:pPr>
            <w:r>
              <w:rPr>
                <w:lang w:val="fr-FR" w:eastAsia="zh-CN"/>
              </w:rPr>
              <w:t>Distr. g</w:t>
            </w:r>
            <w:r w:rsidR="006F20A2" w:rsidRPr="00EC2DAC">
              <w:rPr>
                <w:lang w:val="fr-FR" w:eastAsia="zh-CN"/>
              </w:rPr>
              <w:t xml:space="preserve">énérale </w:t>
            </w:r>
            <w:r w:rsidR="006F20A2" w:rsidRPr="00EC2DAC">
              <w:rPr>
                <w:lang w:val="fr-FR" w:eastAsia="zh-CN"/>
              </w:rPr>
              <w:br/>
              <w:t>27 </w:t>
            </w:r>
            <w:r w:rsidR="00F862B2">
              <w:rPr>
                <w:lang w:val="fr-FR" w:eastAsia="zh-CN"/>
              </w:rPr>
              <w:t>avril</w:t>
            </w:r>
            <w:r w:rsidR="00F862B2" w:rsidRPr="00EC2DAC">
              <w:rPr>
                <w:lang w:val="fr-FR" w:eastAsia="zh-CN"/>
              </w:rPr>
              <w:t xml:space="preserve"> </w:t>
            </w:r>
            <w:r w:rsidR="006F20A2" w:rsidRPr="00EC2DAC">
              <w:rPr>
                <w:lang w:val="fr-FR" w:eastAsia="zh-CN"/>
              </w:rPr>
              <w:t>2017</w:t>
            </w:r>
          </w:p>
          <w:p w:rsidR="006F20A2" w:rsidRPr="00EC2DAC" w:rsidRDefault="006F20A2">
            <w:pPr>
              <w:spacing w:before="240"/>
              <w:rPr>
                <w:lang w:val="fr-FR" w:eastAsia="zh-CN"/>
              </w:rPr>
            </w:pPr>
            <w:r w:rsidRPr="00EC2DAC">
              <w:rPr>
                <w:lang w:val="fr-FR" w:eastAsia="zh-CN"/>
              </w:rPr>
              <w:t>Français</w:t>
            </w:r>
            <w:r w:rsidRPr="00EC2DAC">
              <w:rPr>
                <w:lang w:val="fr-FR" w:eastAsia="zh-CN"/>
              </w:rPr>
              <w:br/>
              <w:t>Original : anglais</w:t>
            </w:r>
          </w:p>
        </w:tc>
      </w:tr>
    </w:tbl>
    <w:p w:rsidR="006F20A2" w:rsidRPr="00EC2DAC" w:rsidRDefault="006F20A2" w:rsidP="00BD101A">
      <w:pPr>
        <w:pStyle w:val="AATitle"/>
        <w:ind w:right="4534"/>
        <w:rPr>
          <w:lang w:val="fr-FR"/>
        </w:rPr>
      </w:pPr>
      <w:r w:rsidRPr="00EC2DAC">
        <w:rPr>
          <w:lang w:val="fr-FR"/>
        </w:rPr>
        <w:t xml:space="preserve">Conférence des Parties à la Convention de Minamata </w:t>
      </w:r>
      <w:r w:rsidR="00BD101A">
        <w:rPr>
          <w:lang w:val="fr-FR"/>
        </w:rPr>
        <w:br/>
      </w:r>
      <w:r w:rsidRPr="00EC2DAC">
        <w:rPr>
          <w:lang w:val="fr-FR"/>
        </w:rPr>
        <w:t>sur le mercure</w:t>
      </w:r>
    </w:p>
    <w:p w:rsidR="006F20A2" w:rsidRPr="00911BEF" w:rsidRDefault="006F20A2" w:rsidP="006F20A2">
      <w:pPr>
        <w:pStyle w:val="AATitle"/>
        <w:rPr>
          <w:lang w:val="fr-FR"/>
        </w:rPr>
      </w:pPr>
      <w:r w:rsidRPr="00911BEF">
        <w:rPr>
          <w:lang w:val="fr-FR"/>
        </w:rPr>
        <w:t>Première réunion</w:t>
      </w:r>
    </w:p>
    <w:p w:rsidR="00E976AB" w:rsidRPr="00EC2DAC" w:rsidRDefault="006F20A2" w:rsidP="006F20A2">
      <w:pPr>
        <w:pStyle w:val="AATitle"/>
        <w:rPr>
          <w:b w:val="0"/>
          <w:lang w:val="fr-FR"/>
        </w:rPr>
      </w:pPr>
      <w:r w:rsidRPr="00EC2DAC">
        <w:rPr>
          <w:b w:val="0"/>
          <w:lang w:val="fr-FR"/>
        </w:rPr>
        <w:t>Genève, 24–29 septembre 2017</w:t>
      </w:r>
    </w:p>
    <w:p w:rsidR="00312543" w:rsidRPr="00F862B2" w:rsidRDefault="00232696" w:rsidP="00323C25">
      <w:pPr>
        <w:pStyle w:val="AATitle"/>
        <w:keepNext w:val="0"/>
        <w:keepLines w:val="0"/>
        <w:rPr>
          <w:b w:val="0"/>
          <w:lang w:val="fr-FR"/>
        </w:rPr>
      </w:pPr>
      <w:r w:rsidRPr="00911BEF">
        <w:rPr>
          <w:b w:val="0"/>
          <w:lang w:val="fr-FR"/>
        </w:rPr>
        <w:t>Point 6 </w:t>
      </w:r>
      <w:r w:rsidR="00312543" w:rsidRPr="00911BEF">
        <w:rPr>
          <w:b w:val="0"/>
          <w:lang w:val="fr-FR"/>
        </w:rPr>
        <w:t>i) de l</w:t>
      </w:r>
      <w:r w:rsidR="008E104B" w:rsidRPr="00911BEF">
        <w:rPr>
          <w:b w:val="0"/>
          <w:lang w:val="fr-FR"/>
        </w:rPr>
        <w:t>’</w:t>
      </w:r>
      <w:r w:rsidR="00312543" w:rsidRPr="00911BEF">
        <w:rPr>
          <w:b w:val="0"/>
          <w:lang w:val="fr-FR"/>
        </w:rPr>
        <w:t>ordre du jour provisoire</w:t>
      </w:r>
      <w:r w:rsidR="00312543" w:rsidRPr="00F862B2">
        <w:rPr>
          <w:b w:val="0"/>
          <w:lang w:val="fr-FR"/>
        </w:rPr>
        <w:footnoteReference w:customMarkFollows="1" w:id="1"/>
        <w:t>*</w:t>
      </w:r>
    </w:p>
    <w:p w:rsidR="00787688" w:rsidRPr="00EC2DAC" w:rsidRDefault="00131DD4" w:rsidP="00DC6E45">
      <w:pPr>
        <w:pStyle w:val="AATitle2"/>
        <w:rPr>
          <w:lang w:val="fr-FR"/>
        </w:rPr>
      </w:pPr>
      <w:r w:rsidRPr="00EC2DAC">
        <w:rPr>
          <w:lang w:val="fr-FR"/>
        </w:rPr>
        <w:t>Questions que la Convent</w:t>
      </w:r>
      <w:r w:rsidR="00BD101A">
        <w:rPr>
          <w:lang w:val="fr-FR"/>
        </w:rPr>
        <w:t>ion renvoie à la Conférence des </w:t>
      </w:r>
      <w:r w:rsidRPr="00EC2DAC">
        <w:rPr>
          <w:lang w:val="fr-FR"/>
        </w:rPr>
        <w:t xml:space="preserve">Parties pour suite à donner : orientations </w:t>
      </w:r>
      <w:r w:rsidR="00BD101A">
        <w:rPr>
          <w:lang w:val="fr-FR"/>
        </w:rPr>
        <w:t>sur la </w:t>
      </w:r>
      <w:r w:rsidRPr="00EC2DAC">
        <w:rPr>
          <w:lang w:val="fr-FR"/>
        </w:rPr>
        <w:t>ges</w:t>
      </w:r>
      <w:r w:rsidR="004C383A">
        <w:rPr>
          <w:lang w:val="fr-FR"/>
        </w:rPr>
        <w:t>tion des sites contaminés (art. </w:t>
      </w:r>
      <w:r w:rsidRPr="00EC2DAC">
        <w:rPr>
          <w:lang w:val="fr-FR"/>
        </w:rPr>
        <w:t>12, par.</w:t>
      </w:r>
      <w:r w:rsidR="004C383A">
        <w:rPr>
          <w:lang w:val="fr-FR"/>
        </w:rPr>
        <w:t> </w:t>
      </w:r>
      <w:r w:rsidRPr="00EC2DAC">
        <w:rPr>
          <w:lang w:val="fr-FR"/>
        </w:rPr>
        <w:t>3)</w:t>
      </w:r>
    </w:p>
    <w:p w:rsidR="00312543" w:rsidRPr="00EC2DAC" w:rsidRDefault="00323C25">
      <w:pPr>
        <w:pStyle w:val="BBTitle"/>
        <w:rPr>
          <w:lang w:val="fr-FR"/>
        </w:rPr>
      </w:pPr>
      <w:r w:rsidRPr="00EC2DAC">
        <w:rPr>
          <w:lang w:val="fr-FR"/>
        </w:rPr>
        <w:t>Orientations sur la gestion</w:t>
      </w:r>
      <w:r w:rsidR="00BD101A">
        <w:rPr>
          <w:lang w:val="fr-FR"/>
        </w:rPr>
        <w:t xml:space="preserve"> des sites contaminés </w:t>
      </w:r>
      <w:r w:rsidR="00F862B2">
        <w:rPr>
          <w:lang w:val="fr-FR"/>
        </w:rPr>
        <w:t>(art. 12, par. </w:t>
      </w:r>
      <w:r w:rsidRPr="00EC2DAC">
        <w:rPr>
          <w:lang w:val="fr-FR"/>
        </w:rPr>
        <w:t>3</w:t>
      </w:r>
      <w:r w:rsidR="00F862B2">
        <w:rPr>
          <w:lang w:val="fr-FR"/>
        </w:rPr>
        <w:t>)</w:t>
      </w:r>
    </w:p>
    <w:p w:rsidR="00312543" w:rsidRPr="00EC2DAC" w:rsidRDefault="00312543" w:rsidP="00312543">
      <w:pPr>
        <w:pStyle w:val="CH2"/>
        <w:rPr>
          <w:lang w:val="fr-FR"/>
        </w:rPr>
      </w:pPr>
      <w:r w:rsidRPr="00EC2DAC">
        <w:rPr>
          <w:lang w:val="fr-FR"/>
        </w:rPr>
        <w:tab/>
      </w:r>
      <w:r w:rsidRPr="00EC2DAC">
        <w:rPr>
          <w:lang w:val="fr-FR"/>
        </w:rPr>
        <w:tab/>
        <w:t>Note du secrétariat</w:t>
      </w:r>
    </w:p>
    <w:p w:rsidR="00323C25" w:rsidRPr="00EC2DAC" w:rsidRDefault="006321A9" w:rsidP="00DC6E45">
      <w:pPr>
        <w:pStyle w:val="Normalnumber"/>
        <w:tabs>
          <w:tab w:val="clear" w:pos="1305"/>
        </w:tabs>
        <w:ind w:left="1247"/>
        <w:rPr>
          <w:lang w:val="fr-FR"/>
        </w:rPr>
      </w:pPr>
      <w:r w:rsidRPr="00EC2DAC">
        <w:rPr>
          <w:lang w:val="fr-FR"/>
        </w:rPr>
        <w:t>Le paragraphe</w:t>
      </w:r>
      <w:r w:rsidR="00B0353B">
        <w:rPr>
          <w:lang w:val="fr-FR"/>
        </w:rPr>
        <w:t> </w:t>
      </w:r>
      <w:r w:rsidRPr="00EC2DAC">
        <w:rPr>
          <w:lang w:val="fr-FR"/>
        </w:rPr>
        <w:t>3 de l</w:t>
      </w:r>
      <w:r w:rsidR="008E104B" w:rsidRPr="00EC2DAC">
        <w:rPr>
          <w:lang w:val="fr-FR"/>
        </w:rPr>
        <w:t>’</w:t>
      </w:r>
      <w:r w:rsidRPr="00EC2DAC">
        <w:rPr>
          <w:lang w:val="fr-FR"/>
        </w:rPr>
        <w:t>article</w:t>
      </w:r>
      <w:r w:rsidR="00B0353B">
        <w:rPr>
          <w:lang w:val="fr-FR"/>
        </w:rPr>
        <w:t> </w:t>
      </w:r>
      <w:r w:rsidRPr="00EC2DAC">
        <w:rPr>
          <w:lang w:val="fr-FR"/>
        </w:rPr>
        <w:t xml:space="preserve">12 de la Convention de Minamata sur le mercure prévoit que la Conférence des Parties adopte des orientations sur la gestion des sites contaminés qui peuvent inclure des méthodes et des approches pour : </w:t>
      </w:r>
    </w:p>
    <w:p w:rsidR="00323C25" w:rsidRPr="00EC2DAC" w:rsidRDefault="00323C25" w:rsidP="00232696">
      <w:pPr>
        <w:pStyle w:val="Normalnumber"/>
        <w:numPr>
          <w:ilvl w:val="1"/>
          <w:numId w:val="5"/>
        </w:numPr>
        <w:rPr>
          <w:lang w:val="fr-FR"/>
        </w:rPr>
      </w:pPr>
      <w:r w:rsidRPr="00EC2DAC">
        <w:rPr>
          <w:lang w:val="fr-FR"/>
        </w:rPr>
        <w:t>L</w:t>
      </w:r>
      <w:r w:rsidR="008E104B" w:rsidRPr="00EC2DAC">
        <w:rPr>
          <w:lang w:val="fr-FR"/>
        </w:rPr>
        <w:t>’</w:t>
      </w:r>
      <w:r w:rsidRPr="00EC2DAC">
        <w:rPr>
          <w:lang w:val="fr-FR"/>
        </w:rPr>
        <w:t>identification et la caractérisation des sites contaminés;</w:t>
      </w:r>
    </w:p>
    <w:p w:rsidR="00323C25" w:rsidRPr="00EC2DAC" w:rsidRDefault="00323C25" w:rsidP="00232696">
      <w:pPr>
        <w:pStyle w:val="Normalnumber"/>
        <w:numPr>
          <w:ilvl w:val="1"/>
          <w:numId w:val="5"/>
        </w:numPr>
        <w:rPr>
          <w:lang w:val="fr-FR"/>
        </w:rPr>
      </w:pPr>
      <w:r w:rsidRPr="00EC2DAC">
        <w:rPr>
          <w:lang w:val="fr-FR"/>
        </w:rPr>
        <w:t>La mobilisation du public;</w:t>
      </w:r>
    </w:p>
    <w:p w:rsidR="00323C25" w:rsidRPr="00EC2DAC" w:rsidRDefault="00323C25" w:rsidP="00232696">
      <w:pPr>
        <w:pStyle w:val="Normalnumber"/>
        <w:numPr>
          <w:ilvl w:val="1"/>
          <w:numId w:val="5"/>
        </w:numPr>
        <w:rPr>
          <w:lang w:val="fr-FR"/>
        </w:rPr>
      </w:pPr>
      <w:r w:rsidRPr="00EC2DAC">
        <w:rPr>
          <w:lang w:val="fr-FR"/>
        </w:rPr>
        <w:t>Les évaluations des risques pour la santé humaine et l</w:t>
      </w:r>
      <w:r w:rsidR="008E104B" w:rsidRPr="00EC2DAC">
        <w:rPr>
          <w:lang w:val="fr-FR"/>
        </w:rPr>
        <w:t>’</w:t>
      </w:r>
      <w:r w:rsidRPr="00EC2DAC">
        <w:rPr>
          <w:lang w:val="fr-FR"/>
        </w:rPr>
        <w:t>environnement;</w:t>
      </w:r>
    </w:p>
    <w:p w:rsidR="00323C25" w:rsidRPr="00EC2DAC" w:rsidRDefault="00323C25" w:rsidP="00232696">
      <w:pPr>
        <w:pStyle w:val="Normalnumber"/>
        <w:numPr>
          <w:ilvl w:val="1"/>
          <w:numId w:val="5"/>
        </w:numPr>
        <w:rPr>
          <w:lang w:val="fr-FR"/>
        </w:rPr>
      </w:pPr>
      <w:r w:rsidRPr="00EC2DAC">
        <w:rPr>
          <w:lang w:val="fr-FR"/>
        </w:rPr>
        <w:t>Les options de gestion des risques présentés par les sites contaminés;</w:t>
      </w:r>
    </w:p>
    <w:p w:rsidR="00323C25" w:rsidRPr="00EC2DAC" w:rsidRDefault="00323C25" w:rsidP="00232696">
      <w:pPr>
        <w:pStyle w:val="Normalnumber"/>
        <w:numPr>
          <w:ilvl w:val="1"/>
          <w:numId w:val="5"/>
        </w:numPr>
        <w:rPr>
          <w:lang w:val="fr-FR"/>
        </w:rPr>
      </w:pPr>
      <w:r w:rsidRPr="00EC2DAC">
        <w:rPr>
          <w:lang w:val="fr-FR"/>
        </w:rPr>
        <w:t>L</w:t>
      </w:r>
      <w:r w:rsidR="008E104B" w:rsidRPr="00EC2DAC">
        <w:rPr>
          <w:lang w:val="fr-FR"/>
        </w:rPr>
        <w:t>’</w:t>
      </w:r>
      <w:r w:rsidRPr="00EC2DAC">
        <w:rPr>
          <w:lang w:val="fr-FR"/>
        </w:rPr>
        <w:t>évaluation des avantages et des coûts;</w:t>
      </w:r>
    </w:p>
    <w:p w:rsidR="0046072B" w:rsidRPr="00EC2DAC" w:rsidRDefault="00323C25" w:rsidP="00232696">
      <w:pPr>
        <w:pStyle w:val="Normalnumber"/>
        <w:numPr>
          <w:ilvl w:val="1"/>
          <w:numId w:val="5"/>
        </w:numPr>
        <w:rPr>
          <w:lang w:val="fr-FR"/>
        </w:rPr>
      </w:pPr>
      <w:r w:rsidRPr="00EC2DAC">
        <w:rPr>
          <w:lang w:val="fr-FR"/>
        </w:rPr>
        <w:t xml:space="preserve">La validation des résultats. </w:t>
      </w:r>
    </w:p>
    <w:p w:rsidR="0046072B" w:rsidRPr="00EC2DAC" w:rsidRDefault="00E9338F" w:rsidP="00DC6E45">
      <w:pPr>
        <w:pStyle w:val="Normalnumber"/>
        <w:tabs>
          <w:tab w:val="clear" w:pos="1305"/>
        </w:tabs>
        <w:ind w:left="1247"/>
        <w:rPr>
          <w:lang w:val="fr-FR"/>
        </w:rPr>
      </w:pPr>
      <w:r w:rsidRPr="00EC2DAC">
        <w:rPr>
          <w:lang w:val="fr-FR"/>
        </w:rPr>
        <w:t>À sa sixième session, le Comité de négociation intergouvernemental chargé d</w:t>
      </w:r>
      <w:r w:rsidR="008E104B" w:rsidRPr="00EC2DAC">
        <w:rPr>
          <w:lang w:val="fr-FR"/>
        </w:rPr>
        <w:t>’</w:t>
      </w:r>
      <w:r w:rsidRPr="00EC2DAC">
        <w:rPr>
          <w:lang w:val="fr-FR"/>
        </w:rPr>
        <w:t>élaborer un instrument international juridiquement contraignant sur le mercure s</w:t>
      </w:r>
      <w:r w:rsidR="008E104B" w:rsidRPr="00EC2DAC">
        <w:rPr>
          <w:lang w:val="fr-FR"/>
        </w:rPr>
        <w:t>’</w:t>
      </w:r>
      <w:r w:rsidRPr="00EC2DAC">
        <w:rPr>
          <w:lang w:val="fr-FR"/>
        </w:rPr>
        <w:t>est penché sur la question des orientations relatives aux sites contaminés et en a ren</w:t>
      </w:r>
      <w:bookmarkStart w:id="3" w:name="_GoBack"/>
      <w:bookmarkEnd w:id="3"/>
      <w:r w:rsidRPr="00EC2DAC">
        <w:rPr>
          <w:lang w:val="fr-FR"/>
        </w:rPr>
        <w:t>voyé l</w:t>
      </w:r>
      <w:r w:rsidR="008E104B" w:rsidRPr="00EC2DAC">
        <w:rPr>
          <w:lang w:val="fr-FR"/>
        </w:rPr>
        <w:t>’</w:t>
      </w:r>
      <w:r w:rsidRPr="00EC2DAC">
        <w:rPr>
          <w:lang w:val="fr-FR"/>
        </w:rPr>
        <w:t>examen à sa septième session. À sa septième session, le Comité a prié le secrétariat de consulter les gouvernements, les secrétariats compétents dans le domaine des produits chimiques et des déchets et d</w:t>
      </w:r>
      <w:r w:rsidR="008E104B" w:rsidRPr="00EC2DAC">
        <w:rPr>
          <w:lang w:val="fr-FR"/>
        </w:rPr>
        <w:t>’</w:t>
      </w:r>
      <w:r w:rsidRPr="00EC2DAC">
        <w:rPr>
          <w:lang w:val="fr-FR"/>
        </w:rPr>
        <w:t>autres parties prenantes et de solliciter leur avis sur les documents d</w:t>
      </w:r>
      <w:r w:rsidR="008E104B" w:rsidRPr="00EC2DAC">
        <w:rPr>
          <w:lang w:val="fr-FR"/>
        </w:rPr>
        <w:t>’</w:t>
      </w:r>
      <w:r w:rsidRPr="00EC2DAC">
        <w:rPr>
          <w:lang w:val="fr-FR"/>
        </w:rPr>
        <w:t xml:space="preserve">orientation ou les recommandations ayant trait à la gestion des sites contaminés par le mercure. Le Comité a prié le secrétariat </w:t>
      </w:r>
      <w:r w:rsidR="00F862B2">
        <w:rPr>
          <w:lang w:val="fr-FR"/>
        </w:rPr>
        <w:t>d’établir</w:t>
      </w:r>
      <w:r w:rsidRPr="00EC2DAC">
        <w:rPr>
          <w:lang w:val="fr-FR"/>
        </w:rPr>
        <w:t xml:space="preserve"> une compilation </w:t>
      </w:r>
      <w:r w:rsidR="00F862B2">
        <w:rPr>
          <w:lang w:val="fr-FR"/>
        </w:rPr>
        <w:t xml:space="preserve">sur la base duquel serait élaboré </w:t>
      </w:r>
      <w:r w:rsidRPr="00EC2DAC">
        <w:rPr>
          <w:lang w:val="fr-FR"/>
        </w:rPr>
        <w:t>un projet de document d</w:t>
      </w:r>
      <w:r w:rsidR="008E104B" w:rsidRPr="00EC2DAC">
        <w:rPr>
          <w:lang w:val="fr-FR"/>
        </w:rPr>
        <w:t>’</w:t>
      </w:r>
      <w:r w:rsidRPr="00EC2DAC">
        <w:rPr>
          <w:lang w:val="fr-FR"/>
        </w:rPr>
        <w:t xml:space="preserve">orientation sur la gestion de ces sites et </w:t>
      </w:r>
      <w:r w:rsidR="00F862B2">
        <w:rPr>
          <w:lang w:val="fr-FR"/>
        </w:rPr>
        <w:t>de définir</w:t>
      </w:r>
      <w:r w:rsidR="00F862B2" w:rsidRPr="00EC2DAC">
        <w:rPr>
          <w:lang w:val="fr-FR"/>
        </w:rPr>
        <w:t xml:space="preserve"> </w:t>
      </w:r>
      <w:r w:rsidRPr="00EC2DAC">
        <w:rPr>
          <w:lang w:val="fr-FR"/>
        </w:rPr>
        <w:t>un</w:t>
      </w:r>
      <w:r w:rsidR="000A6C0A">
        <w:rPr>
          <w:lang w:val="fr-FR"/>
        </w:rPr>
        <w:t>e description générale de</w:t>
      </w:r>
      <w:r w:rsidRPr="00EC2DAC">
        <w:rPr>
          <w:lang w:val="fr-FR"/>
        </w:rPr>
        <w:t xml:space="preserve"> la structure et </w:t>
      </w:r>
      <w:r w:rsidR="000A6C0A">
        <w:rPr>
          <w:lang w:val="fr-FR"/>
        </w:rPr>
        <w:t xml:space="preserve">du </w:t>
      </w:r>
      <w:r w:rsidRPr="00EC2DAC">
        <w:rPr>
          <w:lang w:val="fr-FR"/>
        </w:rPr>
        <w:t>contenu du document envisagé, ainsi qu</w:t>
      </w:r>
      <w:r w:rsidR="008E104B" w:rsidRPr="00EC2DAC">
        <w:rPr>
          <w:lang w:val="fr-FR"/>
        </w:rPr>
        <w:t>’</w:t>
      </w:r>
      <w:r w:rsidRPr="00EC2DAC">
        <w:rPr>
          <w:lang w:val="fr-FR"/>
        </w:rPr>
        <w:t xml:space="preserve">une feuille de route, </w:t>
      </w:r>
      <w:r w:rsidR="00F862B2">
        <w:rPr>
          <w:lang w:val="fr-FR"/>
        </w:rPr>
        <w:t xml:space="preserve">que </w:t>
      </w:r>
      <w:r w:rsidRPr="00EC2DAC">
        <w:rPr>
          <w:lang w:val="fr-FR"/>
        </w:rPr>
        <w:t xml:space="preserve">la Conférence des Parties </w:t>
      </w:r>
      <w:r w:rsidR="00F862B2">
        <w:rPr>
          <w:lang w:val="fr-FR"/>
        </w:rPr>
        <w:t xml:space="preserve">examinerait </w:t>
      </w:r>
      <w:r w:rsidRPr="00EC2DAC">
        <w:rPr>
          <w:lang w:val="fr-FR"/>
        </w:rPr>
        <w:t>à sa première réunion, en se servant, pour ce faire, des documents mis à sa disposition et des éléments décrits dans le paragraphe</w:t>
      </w:r>
      <w:r w:rsidR="00232696">
        <w:rPr>
          <w:lang w:val="fr-FR"/>
        </w:rPr>
        <w:t> </w:t>
      </w:r>
      <w:r w:rsidRPr="00EC2DAC">
        <w:rPr>
          <w:lang w:val="fr-FR"/>
        </w:rPr>
        <w:t>3 de l</w:t>
      </w:r>
      <w:r w:rsidR="008E104B" w:rsidRPr="00EC2DAC">
        <w:rPr>
          <w:lang w:val="fr-FR"/>
        </w:rPr>
        <w:t>’</w:t>
      </w:r>
      <w:r w:rsidRPr="00EC2DAC">
        <w:rPr>
          <w:lang w:val="fr-FR"/>
        </w:rPr>
        <w:t>article</w:t>
      </w:r>
      <w:r w:rsidR="00232696">
        <w:rPr>
          <w:lang w:val="fr-FR"/>
        </w:rPr>
        <w:t> </w:t>
      </w:r>
      <w:r w:rsidRPr="00EC2DAC">
        <w:rPr>
          <w:lang w:val="fr-FR"/>
        </w:rPr>
        <w:t>12 et en prenant également en compte le paragraphe</w:t>
      </w:r>
      <w:r w:rsidR="00232696">
        <w:rPr>
          <w:lang w:val="fr-FR"/>
        </w:rPr>
        <w:t> </w:t>
      </w:r>
      <w:r w:rsidRPr="00EC2DAC">
        <w:rPr>
          <w:lang w:val="fr-FR"/>
        </w:rPr>
        <w:t>4 de l</w:t>
      </w:r>
      <w:r w:rsidR="008E104B" w:rsidRPr="00EC2DAC">
        <w:rPr>
          <w:lang w:val="fr-FR"/>
        </w:rPr>
        <w:t>’</w:t>
      </w:r>
      <w:r w:rsidRPr="00EC2DAC">
        <w:rPr>
          <w:lang w:val="fr-FR"/>
        </w:rPr>
        <w:t>article</w:t>
      </w:r>
      <w:r w:rsidR="00232696">
        <w:rPr>
          <w:lang w:val="fr-FR"/>
        </w:rPr>
        <w:t> </w:t>
      </w:r>
      <w:r w:rsidRPr="00EC2DAC">
        <w:rPr>
          <w:lang w:val="fr-FR"/>
        </w:rPr>
        <w:t>12.</w:t>
      </w:r>
    </w:p>
    <w:p w:rsidR="005F71EF" w:rsidRPr="00EC2DAC" w:rsidRDefault="00693583" w:rsidP="00DC6E45">
      <w:pPr>
        <w:pStyle w:val="Normalnumber"/>
        <w:tabs>
          <w:tab w:val="clear" w:pos="1305"/>
        </w:tabs>
        <w:ind w:left="1247"/>
        <w:rPr>
          <w:lang w:val="fr-FR"/>
        </w:rPr>
      </w:pPr>
      <w:r w:rsidRPr="00EC2DAC">
        <w:rPr>
          <w:lang w:val="fr-FR"/>
        </w:rPr>
        <w:t xml:space="preserve">Le secrétariat provisoire a invité les gouvernements et autres </w:t>
      </w:r>
      <w:r w:rsidR="001E2B0D">
        <w:rPr>
          <w:lang w:val="fr-FR"/>
        </w:rPr>
        <w:t>parties prenantes à communiquer </w:t>
      </w:r>
      <w:r w:rsidRPr="00EC2DAC">
        <w:rPr>
          <w:lang w:val="fr-FR"/>
        </w:rPr>
        <w:t>des informations sur le document d</w:t>
      </w:r>
      <w:r w:rsidR="008E104B" w:rsidRPr="00EC2DAC">
        <w:rPr>
          <w:lang w:val="fr-FR"/>
        </w:rPr>
        <w:t>’</w:t>
      </w:r>
      <w:r w:rsidRPr="00EC2DAC">
        <w:rPr>
          <w:lang w:val="fr-FR"/>
        </w:rPr>
        <w:t>orientation ou les r</w:t>
      </w:r>
      <w:r w:rsidR="001E2B0D">
        <w:rPr>
          <w:lang w:val="fr-FR"/>
        </w:rPr>
        <w:t>ecommandations ayant trait à la </w:t>
      </w:r>
      <w:r w:rsidRPr="00EC2DAC">
        <w:rPr>
          <w:lang w:val="fr-FR"/>
        </w:rPr>
        <w:t>gestion des sites contaminés par le mercure. Les informations reçues o</w:t>
      </w:r>
      <w:r w:rsidR="001E2B0D">
        <w:rPr>
          <w:lang w:val="fr-FR"/>
        </w:rPr>
        <w:t>nt été publiées sur le site Web </w:t>
      </w:r>
      <w:r w:rsidRPr="00EC2DAC">
        <w:rPr>
          <w:lang w:val="fr-FR"/>
        </w:rPr>
        <w:t>de la Convention (www.mercuryconvention.org/Negotiations/submissionsforCOP1/tabid/5535/</w:t>
      </w:r>
      <w:r w:rsidR="001E2B0D">
        <w:rPr>
          <w:lang w:val="fr-FR"/>
        </w:rPr>
        <w:br/>
      </w:r>
      <w:r w:rsidRPr="00EC2DAC">
        <w:rPr>
          <w:lang w:val="fr-FR"/>
        </w:rPr>
        <w:t xml:space="preserve">Default.aspx). Pour répondre à la première demande du Comité, le secrétariat provisoire a extrait des </w:t>
      </w:r>
      <w:r w:rsidRPr="00EC2DAC">
        <w:rPr>
          <w:lang w:val="fr-FR"/>
        </w:rPr>
        <w:lastRenderedPageBreak/>
        <w:t>informations relatives aux documents d</w:t>
      </w:r>
      <w:r w:rsidR="008E104B" w:rsidRPr="00EC2DAC">
        <w:rPr>
          <w:lang w:val="fr-FR"/>
        </w:rPr>
        <w:t>’</w:t>
      </w:r>
      <w:r w:rsidRPr="00EC2DAC">
        <w:rPr>
          <w:lang w:val="fr-FR"/>
        </w:rPr>
        <w:t xml:space="preserve">orientation sur la gestion des sites contaminés mis à sa disposition au moyen </w:t>
      </w:r>
      <w:r w:rsidR="00F862B2">
        <w:rPr>
          <w:lang w:val="fr-FR"/>
        </w:rPr>
        <w:t xml:space="preserve">du </w:t>
      </w:r>
      <w:r w:rsidRPr="00EC2DAC">
        <w:rPr>
          <w:lang w:val="fr-FR"/>
        </w:rPr>
        <w:t>processus de communication d</w:t>
      </w:r>
      <w:r w:rsidR="008E104B" w:rsidRPr="00EC2DAC">
        <w:rPr>
          <w:lang w:val="fr-FR"/>
        </w:rPr>
        <w:t>’</w:t>
      </w:r>
      <w:r w:rsidRPr="00EC2DAC">
        <w:rPr>
          <w:lang w:val="fr-FR"/>
        </w:rPr>
        <w:t>informations et les a compilées pour</w:t>
      </w:r>
      <w:r w:rsidR="00F862B2">
        <w:rPr>
          <w:lang w:val="fr-FR"/>
        </w:rPr>
        <w:t xml:space="preserve"> en</w:t>
      </w:r>
      <w:r w:rsidRPr="00EC2DAC">
        <w:rPr>
          <w:lang w:val="fr-FR"/>
        </w:rPr>
        <w:t xml:space="preserve"> faciliter </w:t>
      </w:r>
      <w:r w:rsidR="00F862B2">
        <w:rPr>
          <w:lang w:val="fr-FR"/>
        </w:rPr>
        <w:t xml:space="preserve">la </w:t>
      </w:r>
      <w:r w:rsidRPr="00EC2DAC">
        <w:rPr>
          <w:lang w:val="fr-FR"/>
        </w:rPr>
        <w:t xml:space="preserve">consultation par ceux entamant </w:t>
      </w:r>
      <w:r w:rsidR="00F862B2">
        <w:rPr>
          <w:lang w:val="fr-FR"/>
        </w:rPr>
        <w:t>d</w:t>
      </w:r>
      <w:r w:rsidRPr="00EC2DAC">
        <w:rPr>
          <w:lang w:val="fr-FR"/>
        </w:rPr>
        <w:t>es activités relatives aux sites contaminés. Cette compilation, qui comporte des liens vers les documents d</w:t>
      </w:r>
      <w:r w:rsidR="008E104B" w:rsidRPr="00EC2DAC">
        <w:rPr>
          <w:lang w:val="fr-FR"/>
        </w:rPr>
        <w:t>’</w:t>
      </w:r>
      <w:r w:rsidRPr="00EC2DAC">
        <w:rPr>
          <w:lang w:val="fr-FR"/>
        </w:rPr>
        <w:t>orientation correspondants, figure dans l</w:t>
      </w:r>
      <w:r w:rsidR="008E104B" w:rsidRPr="00EC2DAC">
        <w:rPr>
          <w:lang w:val="fr-FR"/>
        </w:rPr>
        <w:t>’</w:t>
      </w:r>
      <w:r w:rsidR="00B14E40">
        <w:rPr>
          <w:lang w:val="fr-FR"/>
        </w:rPr>
        <w:t>annexe </w:t>
      </w:r>
      <w:r w:rsidRPr="00EC2DAC">
        <w:rPr>
          <w:lang w:val="fr-FR"/>
        </w:rPr>
        <w:t xml:space="preserve">II </w:t>
      </w:r>
      <w:r w:rsidR="00F862B2">
        <w:rPr>
          <w:lang w:val="fr-FR"/>
        </w:rPr>
        <w:t>de</w:t>
      </w:r>
      <w:r w:rsidRPr="00EC2DAC">
        <w:rPr>
          <w:lang w:val="fr-FR"/>
        </w:rPr>
        <w:t xml:space="preserve"> la présente note. </w:t>
      </w:r>
      <w:r w:rsidR="00F862B2">
        <w:rPr>
          <w:lang w:val="fr-FR"/>
        </w:rPr>
        <w:t>On trouvera à l’annexe</w:t>
      </w:r>
      <w:r w:rsidR="001E2B0D">
        <w:rPr>
          <w:lang w:val="fr-FR"/>
        </w:rPr>
        <w:t> </w:t>
      </w:r>
      <w:r w:rsidR="00F862B2">
        <w:rPr>
          <w:lang w:val="fr-FR"/>
        </w:rPr>
        <w:t>III l</w:t>
      </w:r>
      <w:r w:rsidR="000A6C0A">
        <w:rPr>
          <w:lang w:val="fr-FR"/>
        </w:rPr>
        <w:t xml:space="preserve">a description générale de </w:t>
      </w:r>
      <w:r w:rsidRPr="00EC2DAC">
        <w:rPr>
          <w:lang w:val="fr-FR"/>
        </w:rPr>
        <w:t xml:space="preserve">la structure et </w:t>
      </w:r>
      <w:r w:rsidR="000A6C0A">
        <w:rPr>
          <w:lang w:val="fr-FR"/>
        </w:rPr>
        <w:t xml:space="preserve">du </w:t>
      </w:r>
      <w:r w:rsidRPr="00EC2DAC">
        <w:rPr>
          <w:lang w:val="fr-FR"/>
        </w:rPr>
        <w:t>contenu du document d</w:t>
      </w:r>
      <w:r w:rsidR="008E104B" w:rsidRPr="00EC2DAC">
        <w:rPr>
          <w:lang w:val="fr-FR"/>
        </w:rPr>
        <w:t>’</w:t>
      </w:r>
      <w:r w:rsidRPr="00EC2DAC">
        <w:rPr>
          <w:lang w:val="fr-FR"/>
        </w:rPr>
        <w:t xml:space="preserve">orientation et </w:t>
      </w:r>
      <w:r w:rsidR="001E2B0D">
        <w:rPr>
          <w:lang w:val="fr-FR"/>
        </w:rPr>
        <w:t>à l’annexe </w:t>
      </w:r>
      <w:r w:rsidR="00F862B2">
        <w:rPr>
          <w:lang w:val="fr-FR"/>
        </w:rPr>
        <w:t xml:space="preserve">IV </w:t>
      </w:r>
      <w:r w:rsidRPr="00EC2DAC">
        <w:rPr>
          <w:lang w:val="fr-FR"/>
        </w:rPr>
        <w:t xml:space="preserve">la feuille de route pour son élaboration. </w:t>
      </w:r>
      <w:r w:rsidR="00F862B2">
        <w:rPr>
          <w:lang w:val="fr-FR"/>
        </w:rPr>
        <w:t>Par ailleurs, on trouvera à l’annexe I de la présente note u</w:t>
      </w:r>
      <w:r w:rsidRPr="00EC2DAC">
        <w:rPr>
          <w:lang w:val="fr-FR"/>
        </w:rPr>
        <w:t>n projet de décision relative aux orientations sur la gestion des sites contaminés.</w:t>
      </w:r>
    </w:p>
    <w:p w:rsidR="00312543" w:rsidRPr="00EC2DAC" w:rsidRDefault="00240CA2" w:rsidP="00DC6E45">
      <w:pPr>
        <w:pStyle w:val="CH2"/>
        <w:rPr>
          <w:lang w:val="fr-FR"/>
        </w:rPr>
      </w:pPr>
      <w:r w:rsidRPr="00EC2DAC">
        <w:rPr>
          <w:lang w:val="fr-FR"/>
        </w:rPr>
        <w:tab/>
      </w:r>
      <w:r w:rsidRPr="00EC2DAC">
        <w:rPr>
          <w:lang w:val="fr-FR"/>
        </w:rPr>
        <w:tab/>
        <w:t>Mesure que pourrait prendre la Conférence des Parties</w:t>
      </w:r>
    </w:p>
    <w:p w:rsidR="00BC602A" w:rsidRPr="00EC2DAC" w:rsidRDefault="00312543" w:rsidP="00626B1D">
      <w:pPr>
        <w:pStyle w:val="Normalnumber"/>
        <w:tabs>
          <w:tab w:val="clear" w:pos="1305"/>
        </w:tabs>
        <w:ind w:left="1247"/>
        <w:rPr>
          <w:lang w:val="fr-FR"/>
        </w:rPr>
      </w:pPr>
      <w:r w:rsidRPr="00EC2DAC">
        <w:rPr>
          <w:lang w:val="fr-FR"/>
        </w:rPr>
        <w:t>La Conférence souhaitera peut-être envisager de poursuivre les travaux relatifs aux orientations sur la gestion des sites contaminés, en fondant ses travaux sur l</w:t>
      </w:r>
      <w:r w:rsidR="000A6C0A">
        <w:rPr>
          <w:lang w:val="fr-FR"/>
        </w:rPr>
        <w:t xml:space="preserve">a description générale de </w:t>
      </w:r>
      <w:r w:rsidRPr="00EC2DAC">
        <w:rPr>
          <w:lang w:val="fr-FR"/>
        </w:rPr>
        <w:t xml:space="preserve">la structure et </w:t>
      </w:r>
      <w:r w:rsidR="000A6C0A">
        <w:rPr>
          <w:lang w:val="fr-FR"/>
        </w:rPr>
        <w:t xml:space="preserve">du </w:t>
      </w:r>
      <w:r w:rsidRPr="00EC2DAC">
        <w:rPr>
          <w:lang w:val="fr-FR"/>
        </w:rPr>
        <w:t>contenu du document d</w:t>
      </w:r>
      <w:r w:rsidR="008E104B" w:rsidRPr="00EC2DAC">
        <w:rPr>
          <w:lang w:val="fr-FR"/>
        </w:rPr>
        <w:t>’</w:t>
      </w:r>
      <w:r w:rsidRPr="00EC2DAC">
        <w:rPr>
          <w:lang w:val="fr-FR"/>
        </w:rPr>
        <w:t xml:space="preserve">orientation sur la gestion des sites contaminés et en organisant ces travaux sur la base du projet de feuille de route. </w:t>
      </w:r>
    </w:p>
    <w:p w:rsidR="009F0B3C" w:rsidRPr="00EC2DAC" w:rsidRDefault="009F0B3C" w:rsidP="009F0B3C">
      <w:pPr>
        <w:pStyle w:val="Normal-pool"/>
        <w:rPr>
          <w:lang w:val="fr-FR"/>
        </w:rPr>
        <w:sectPr w:rsidR="009F0B3C" w:rsidRPr="00EC2DAC"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pPr>
    </w:p>
    <w:p w:rsidR="0079673F" w:rsidRPr="00EC2DAC" w:rsidRDefault="0079673F" w:rsidP="009F0B3C">
      <w:pPr>
        <w:pStyle w:val="ZZAnxheader"/>
        <w:rPr>
          <w:lang w:val="fr-FR"/>
        </w:rPr>
      </w:pPr>
      <w:r w:rsidRPr="00EC2DAC">
        <w:rPr>
          <w:lang w:val="fr-FR"/>
        </w:rPr>
        <w:lastRenderedPageBreak/>
        <w:t xml:space="preserve">Annexe I </w:t>
      </w:r>
    </w:p>
    <w:p w:rsidR="00152D30" w:rsidRPr="00EC2DAC" w:rsidRDefault="00152D30" w:rsidP="00076166">
      <w:pPr>
        <w:pStyle w:val="ZZAnxtitle"/>
        <w:rPr>
          <w:lang w:val="fr-FR"/>
        </w:rPr>
      </w:pPr>
      <w:r w:rsidRPr="00EC2DAC">
        <w:rPr>
          <w:lang w:val="fr-FR"/>
        </w:rPr>
        <w:t>Projet de décision</w:t>
      </w:r>
    </w:p>
    <w:p w:rsidR="0079673F" w:rsidRPr="00EC2DAC" w:rsidRDefault="00152D30" w:rsidP="009F0B3C">
      <w:pPr>
        <w:pStyle w:val="CH2"/>
        <w:rPr>
          <w:lang w:val="fr-FR"/>
        </w:rPr>
      </w:pPr>
      <w:r w:rsidRPr="00EC2DAC">
        <w:rPr>
          <w:lang w:val="fr-FR"/>
        </w:rPr>
        <w:tab/>
      </w:r>
      <w:r w:rsidRPr="00EC2DAC">
        <w:rPr>
          <w:lang w:val="fr-FR"/>
        </w:rPr>
        <w:tab/>
        <w:t>MC-1/X : Orientations sur la gestion des sites contaminés</w:t>
      </w:r>
    </w:p>
    <w:p w:rsidR="0079673F" w:rsidRPr="00333F5A" w:rsidRDefault="0079673F" w:rsidP="009F0B3C">
      <w:pPr>
        <w:pStyle w:val="Normalnumber"/>
        <w:numPr>
          <w:ilvl w:val="0"/>
          <w:numId w:val="0"/>
        </w:numPr>
        <w:tabs>
          <w:tab w:val="left" w:pos="426"/>
        </w:tabs>
        <w:ind w:left="1247" w:firstLine="624"/>
        <w:rPr>
          <w:i/>
          <w:lang w:val="fr-FR"/>
        </w:rPr>
      </w:pPr>
      <w:r w:rsidRPr="00333F5A">
        <w:rPr>
          <w:i/>
          <w:lang w:val="fr-FR"/>
        </w:rPr>
        <w:t>La Conférence des Parties</w:t>
      </w:r>
    </w:p>
    <w:p w:rsidR="0079673F" w:rsidRPr="00EC2DAC" w:rsidRDefault="0079673F" w:rsidP="00DC6E45">
      <w:pPr>
        <w:pStyle w:val="Normal-pool"/>
        <w:tabs>
          <w:tab w:val="clear" w:pos="1247"/>
          <w:tab w:val="clear" w:pos="1814"/>
          <w:tab w:val="clear" w:pos="2381"/>
          <w:tab w:val="clear" w:pos="2948"/>
          <w:tab w:val="clear" w:pos="3515"/>
          <w:tab w:val="clear" w:pos="4082"/>
          <w:tab w:val="left" w:pos="624"/>
        </w:tabs>
        <w:spacing w:after="120"/>
        <w:ind w:left="1247" w:firstLine="624"/>
        <w:rPr>
          <w:iCs/>
          <w:lang w:val="fr-FR"/>
        </w:rPr>
      </w:pPr>
      <w:r w:rsidRPr="00333F5A">
        <w:rPr>
          <w:i/>
          <w:lang w:val="fr-FR"/>
        </w:rPr>
        <w:t>Approuve</w:t>
      </w:r>
      <w:r w:rsidRPr="00EC2DAC">
        <w:rPr>
          <w:lang w:val="fr-FR"/>
        </w:rPr>
        <w:t xml:space="preserve"> l</w:t>
      </w:r>
      <w:r w:rsidR="008E104B" w:rsidRPr="00EC2DAC">
        <w:rPr>
          <w:lang w:val="fr-FR"/>
        </w:rPr>
        <w:t>’</w:t>
      </w:r>
      <w:r w:rsidRPr="00EC2DAC">
        <w:rPr>
          <w:lang w:val="fr-FR"/>
        </w:rPr>
        <w:t>élaboration d</w:t>
      </w:r>
      <w:r w:rsidR="008E104B" w:rsidRPr="00EC2DAC">
        <w:rPr>
          <w:lang w:val="fr-FR"/>
        </w:rPr>
        <w:t>’</w:t>
      </w:r>
      <w:r w:rsidRPr="00EC2DAC">
        <w:rPr>
          <w:lang w:val="fr-FR"/>
        </w:rPr>
        <w:t>un projet d</w:t>
      </w:r>
      <w:r w:rsidR="008E104B" w:rsidRPr="00EC2DAC">
        <w:rPr>
          <w:lang w:val="fr-FR"/>
        </w:rPr>
        <w:t>’</w:t>
      </w:r>
      <w:r w:rsidRPr="00EC2DAC">
        <w:rPr>
          <w:lang w:val="fr-FR"/>
        </w:rPr>
        <w:t xml:space="preserve">orientations sur la gestion des sites contaminés conformément au programme de travail </w:t>
      </w:r>
      <w:r w:rsidR="00E92545">
        <w:rPr>
          <w:lang w:val="fr-FR"/>
        </w:rPr>
        <w:t>défini dans</w:t>
      </w:r>
      <w:r w:rsidRPr="00EC2DAC">
        <w:rPr>
          <w:lang w:val="fr-FR"/>
        </w:rPr>
        <w:t xml:space="preserve"> la feuille de route figurant dans l</w:t>
      </w:r>
      <w:r w:rsidR="008E104B" w:rsidRPr="00EC2DAC">
        <w:rPr>
          <w:lang w:val="fr-FR"/>
        </w:rPr>
        <w:t>’</w:t>
      </w:r>
      <w:r w:rsidRPr="00EC2DAC">
        <w:rPr>
          <w:lang w:val="fr-FR"/>
        </w:rPr>
        <w:t xml:space="preserve">annexe [--] </w:t>
      </w:r>
      <w:r w:rsidR="00E92545">
        <w:rPr>
          <w:lang w:val="fr-FR"/>
        </w:rPr>
        <w:t>de</w:t>
      </w:r>
      <w:r w:rsidRPr="00EC2DAC">
        <w:rPr>
          <w:lang w:val="fr-FR"/>
        </w:rPr>
        <w:t xml:space="preserve"> la présente décision et sur la base du projet de structure et de contenu figurant dans l</w:t>
      </w:r>
      <w:r w:rsidR="008E104B" w:rsidRPr="00EC2DAC">
        <w:rPr>
          <w:lang w:val="fr-FR"/>
        </w:rPr>
        <w:t>’</w:t>
      </w:r>
      <w:r w:rsidRPr="00EC2DAC">
        <w:rPr>
          <w:lang w:val="fr-FR"/>
        </w:rPr>
        <w:t xml:space="preserve">annexe [--] </w:t>
      </w:r>
      <w:r w:rsidR="00E92545">
        <w:rPr>
          <w:lang w:val="fr-FR"/>
        </w:rPr>
        <w:t>de</w:t>
      </w:r>
      <w:r w:rsidRPr="00EC2DAC">
        <w:rPr>
          <w:lang w:val="fr-FR"/>
        </w:rPr>
        <w:t xml:space="preserve"> la présente décision.</w:t>
      </w:r>
    </w:p>
    <w:p w:rsidR="009F0B3C" w:rsidRPr="00EC2DAC" w:rsidRDefault="0079673F" w:rsidP="00ED1863">
      <w:pPr>
        <w:pStyle w:val="ZZAnxheader"/>
        <w:rPr>
          <w:lang w:val="fr-FR"/>
        </w:rPr>
      </w:pPr>
      <w:r w:rsidRPr="00EC2DAC">
        <w:rPr>
          <w:lang w:val="fr-FR"/>
        </w:rPr>
        <w:t xml:space="preserve"> Annexe II </w:t>
      </w:r>
    </w:p>
    <w:p w:rsidR="00410C59" w:rsidRPr="00EC2DAC" w:rsidRDefault="0021053C" w:rsidP="00DC6E45">
      <w:pPr>
        <w:pStyle w:val="ZZAnxtitle"/>
        <w:rPr>
          <w:lang w:val="fr-FR"/>
        </w:rPr>
      </w:pPr>
      <w:r w:rsidRPr="00EC2DAC">
        <w:rPr>
          <w:lang w:val="fr-FR"/>
        </w:rPr>
        <w:t>Compilation des informations communiquées sur les documents d</w:t>
      </w:r>
      <w:r w:rsidR="008E104B" w:rsidRPr="00EC2DAC">
        <w:rPr>
          <w:lang w:val="fr-FR"/>
        </w:rPr>
        <w:t>’</w:t>
      </w:r>
      <w:r w:rsidRPr="00EC2DAC">
        <w:rPr>
          <w:lang w:val="fr-FR"/>
        </w:rPr>
        <w:t>orientation ou recommandations ayant trait à la gestion des sites contaminés par le mercure</w:t>
      </w:r>
    </w:p>
    <w:p w:rsidR="00D23105" w:rsidRPr="00EC2DAC" w:rsidRDefault="009F0B3C" w:rsidP="009F0B3C">
      <w:pPr>
        <w:pStyle w:val="CH2"/>
        <w:rPr>
          <w:lang w:val="fr-FR"/>
        </w:rPr>
      </w:pPr>
      <w:r w:rsidRPr="00EC2DAC">
        <w:rPr>
          <w:lang w:val="fr-FR"/>
        </w:rPr>
        <w:tab/>
      </w:r>
      <w:r w:rsidRPr="00EC2DAC">
        <w:rPr>
          <w:lang w:val="fr-FR"/>
        </w:rPr>
        <w:tab/>
        <w:t>Canada</w:t>
      </w:r>
    </w:p>
    <w:p w:rsidR="00D23105" w:rsidRPr="00EC2DAC" w:rsidRDefault="00D23105" w:rsidP="009F0B3C">
      <w:pPr>
        <w:pStyle w:val="NormalNonumber"/>
        <w:rPr>
          <w:i/>
          <w:lang w:val="fr-FR"/>
        </w:rPr>
      </w:pPr>
      <w:r w:rsidRPr="00EC2DAC">
        <w:rPr>
          <w:lang w:val="fr-FR"/>
        </w:rPr>
        <w:t>Guide sur la caractérisation environnementale des sites dans le cadre de l</w:t>
      </w:r>
      <w:r w:rsidR="008E104B" w:rsidRPr="00EC2DAC">
        <w:rPr>
          <w:lang w:val="fr-FR"/>
        </w:rPr>
        <w:t>’</w:t>
      </w:r>
      <w:r w:rsidRPr="00EC2DAC">
        <w:rPr>
          <w:lang w:val="fr-FR"/>
        </w:rPr>
        <w:t>évaluation des risques pour l</w:t>
      </w:r>
      <w:r w:rsidR="008E104B" w:rsidRPr="00EC2DAC">
        <w:rPr>
          <w:lang w:val="fr-FR"/>
        </w:rPr>
        <w:t>’</w:t>
      </w:r>
      <w:r w:rsidRPr="00EC2DAC">
        <w:rPr>
          <w:lang w:val="fr-FR"/>
        </w:rPr>
        <w:t>environnement et la santé humaine</w:t>
      </w:r>
    </w:p>
    <w:p w:rsidR="00D23105" w:rsidRPr="00EC2DAC"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EC2DAC">
        <w:rPr>
          <w:lang w:val="fr-FR"/>
        </w:rPr>
        <w:t>Volume I : Orientations (Conseil canadien des ministres de l</w:t>
      </w:r>
      <w:r w:rsidR="008E104B" w:rsidRPr="00EC2DAC">
        <w:rPr>
          <w:lang w:val="fr-FR"/>
        </w:rPr>
        <w:t>’</w:t>
      </w:r>
      <w:r w:rsidRPr="00EC2DAC">
        <w:rPr>
          <w:lang w:val="fr-FR"/>
        </w:rPr>
        <w:t>environnement, 2016). Disponible à l</w:t>
      </w:r>
      <w:r w:rsidR="008E104B" w:rsidRPr="00EC2DAC">
        <w:rPr>
          <w:lang w:val="fr-FR"/>
        </w:rPr>
        <w:t>’</w:t>
      </w:r>
      <w:r w:rsidRPr="00EC2DAC">
        <w:rPr>
          <w:lang w:val="fr-FR"/>
        </w:rPr>
        <w:t>adresse suivante : http://www.ccme.ca/files/Resources/fr_contam_sites/Volume%201-Guidance%20Manual-Environmental%20Site%20Characterization_f%20PN%201552.pdf</w:t>
      </w:r>
    </w:p>
    <w:p w:rsidR="00D23105" w:rsidRPr="00EC2DAC"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EC2DAC">
        <w:rPr>
          <w:lang w:val="fr-FR"/>
        </w:rPr>
        <w:t>Volume II : Listes de contrôle (Conseil canadien des ministres de l</w:t>
      </w:r>
      <w:r w:rsidR="008E104B" w:rsidRPr="00EC2DAC">
        <w:rPr>
          <w:lang w:val="fr-FR"/>
        </w:rPr>
        <w:t>’</w:t>
      </w:r>
      <w:r w:rsidRPr="00EC2DAC">
        <w:rPr>
          <w:lang w:val="fr-FR"/>
        </w:rPr>
        <w:t>environnement, 2016). Disponible à l</w:t>
      </w:r>
      <w:r w:rsidR="008E104B" w:rsidRPr="00EC2DAC">
        <w:rPr>
          <w:lang w:val="fr-FR"/>
        </w:rPr>
        <w:t>’</w:t>
      </w:r>
      <w:r w:rsidRPr="00EC2DAC">
        <w:rPr>
          <w:lang w:val="fr-FR"/>
        </w:rPr>
        <w:t>adresse suivante : http://www.ccme.ca/files/Resources/fr_contam_sites/Volume%202-Checklists-Environmental%20Site%20Characterization_f%20PN%201554.pdf</w:t>
      </w:r>
    </w:p>
    <w:p w:rsidR="00D23105" w:rsidRPr="00EC2DAC"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EC2DAC">
        <w:rPr>
          <w:lang w:val="fr-FR"/>
        </w:rPr>
        <w:t>Manuel d</w:t>
      </w:r>
      <w:r w:rsidR="008E104B" w:rsidRPr="00EC2DAC">
        <w:rPr>
          <w:lang w:val="fr-FR"/>
        </w:rPr>
        <w:t>’</w:t>
      </w:r>
      <w:r w:rsidRPr="00EC2DAC">
        <w:rPr>
          <w:lang w:val="fr-FR"/>
        </w:rPr>
        <w:t>évaluation de la subsurface des lieux contaminés (Conseil canadien des ministres de l</w:t>
      </w:r>
      <w:r w:rsidR="008E104B" w:rsidRPr="00EC2DAC">
        <w:rPr>
          <w:lang w:val="fr-FR"/>
        </w:rPr>
        <w:t>’</w:t>
      </w:r>
      <w:r w:rsidRPr="00EC2DAC">
        <w:rPr>
          <w:lang w:val="fr-FR"/>
        </w:rPr>
        <w:t>environnement, 1994). Disponible à l</w:t>
      </w:r>
      <w:r w:rsidR="008E104B" w:rsidRPr="00EC2DAC">
        <w:rPr>
          <w:lang w:val="fr-FR"/>
        </w:rPr>
        <w:t>’</w:t>
      </w:r>
      <w:r w:rsidRPr="00EC2DAC">
        <w:rPr>
          <w:lang w:val="fr-FR"/>
        </w:rPr>
        <w:t>adresse suivante : http://www.ccme.ca/files/Resources/fr_contam_sites/pn_1145_fr.pdf</w:t>
      </w:r>
    </w:p>
    <w:p w:rsidR="00D23105" w:rsidRPr="00EC2DAC"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EC2DAC">
        <w:rPr>
          <w:lang w:val="fr-FR"/>
        </w:rPr>
        <w:t>Cadre décisionnel pour Canada-Ontario concernant l</w:t>
      </w:r>
      <w:r w:rsidR="008E104B" w:rsidRPr="00EC2DAC">
        <w:rPr>
          <w:lang w:val="fr-FR"/>
        </w:rPr>
        <w:t>’</w:t>
      </w:r>
      <w:r w:rsidRPr="00EC2DAC">
        <w:rPr>
          <w:lang w:val="fr-FR"/>
        </w:rPr>
        <w:t>évaluation des sédiments contaminés des grands lacs (Environnement et Changement climatique Canada et Ministère de l</w:t>
      </w:r>
      <w:r w:rsidR="008E104B" w:rsidRPr="00EC2DAC">
        <w:rPr>
          <w:lang w:val="fr-FR"/>
        </w:rPr>
        <w:t>’</w:t>
      </w:r>
      <w:r w:rsidRPr="00EC2DAC">
        <w:rPr>
          <w:lang w:val="fr-FR"/>
        </w:rPr>
        <w:t>environnement, 2008). Disponible à l</w:t>
      </w:r>
      <w:r w:rsidR="008E104B" w:rsidRPr="00EC2DAC">
        <w:rPr>
          <w:lang w:val="fr-FR"/>
        </w:rPr>
        <w:t>’</w:t>
      </w:r>
      <w:r w:rsidRPr="00EC2DAC">
        <w:rPr>
          <w:lang w:val="fr-FR"/>
        </w:rPr>
        <w:t>adresse suivante : http://publications.gc.ca/collections/collection_2010/ec/En164-14-2007-fra.pdf</w:t>
      </w:r>
    </w:p>
    <w:p w:rsidR="00D23105" w:rsidRPr="00EC2DAC"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EC2DAC">
        <w:rPr>
          <w:lang w:val="fr-FR"/>
        </w:rPr>
        <w:t>Guide d</w:t>
      </w:r>
      <w:r w:rsidR="008E104B" w:rsidRPr="00EC2DAC">
        <w:rPr>
          <w:lang w:val="fr-FR"/>
        </w:rPr>
        <w:t>’</w:t>
      </w:r>
      <w:r w:rsidRPr="00EC2DAC">
        <w:rPr>
          <w:lang w:val="fr-FR"/>
        </w:rPr>
        <w:t>orientation pour la sélection de technologies (</w:t>
      </w:r>
      <w:r w:rsidR="00E92545">
        <w:rPr>
          <w:lang w:val="fr-FR"/>
        </w:rPr>
        <w:t>Travaux</w:t>
      </w:r>
      <w:r w:rsidR="00E92545" w:rsidRPr="00EC2DAC">
        <w:rPr>
          <w:lang w:val="fr-FR"/>
        </w:rPr>
        <w:t xml:space="preserve"> </w:t>
      </w:r>
      <w:r w:rsidRPr="00EC2DAC">
        <w:rPr>
          <w:lang w:val="fr-FR"/>
        </w:rPr>
        <w:t xml:space="preserve">publics et </w:t>
      </w:r>
      <w:r w:rsidR="00E92545">
        <w:rPr>
          <w:lang w:val="fr-FR"/>
        </w:rPr>
        <w:t xml:space="preserve">Services gouvernementaux </w:t>
      </w:r>
      <w:r w:rsidRPr="00EC2DAC">
        <w:rPr>
          <w:lang w:val="fr-FR"/>
        </w:rPr>
        <w:t>Canada/Conseil national de recherches, 2012; enregistrement nécessaire). Disponible à l</w:t>
      </w:r>
      <w:r w:rsidR="008E104B" w:rsidRPr="00EC2DAC">
        <w:rPr>
          <w:lang w:val="fr-FR"/>
        </w:rPr>
        <w:t>’</w:t>
      </w:r>
      <w:r w:rsidRPr="00EC2DAC">
        <w:rPr>
          <w:lang w:val="fr-FR"/>
        </w:rPr>
        <w:t>adresse suivante : http://gost.irb-bri.cnrc-nrc.gc.ca/hm.aspx?ind_lang=fr</w:t>
      </w:r>
    </w:p>
    <w:p w:rsidR="00D23105" w:rsidRPr="00EC2DAC"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EC2DAC">
        <w:rPr>
          <w:lang w:val="fr-FR"/>
        </w:rPr>
        <w:t>Cadre décisionnel du Plan d</w:t>
      </w:r>
      <w:r w:rsidR="008E104B" w:rsidRPr="00EC2DAC">
        <w:rPr>
          <w:lang w:val="fr-FR"/>
        </w:rPr>
        <w:t>’</w:t>
      </w:r>
      <w:r w:rsidRPr="00EC2DAC">
        <w:rPr>
          <w:lang w:val="fr-FR"/>
        </w:rPr>
        <w:t>action pour les sites contaminés fédéraux (2013). Disponible à l</w:t>
      </w:r>
      <w:r w:rsidR="008E104B" w:rsidRPr="00EC2DAC">
        <w:rPr>
          <w:lang w:val="fr-FR"/>
        </w:rPr>
        <w:t>’</w:t>
      </w:r>
      <w:r w:rsidRPr="00EC2DAC">
        <w:rPr>
          <w:lang w:val="fr-FR"/>
        </w:rPr>
        <w:t>adresse suivante : http://www.federalcontaminatedsites.gc.ca/default.asp?lang=Fr&amp;n=148EA885-1</w:t>
      </w:r>
    </w:p>
    <w:p w:rsidR="00D23105" w:rsidRPr="00EC2DAC"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EC2DAC">
        <w:rPr>
          <w:lang w:val="fr-FR"/>
        </w:rPr>
        <w:t>Outil d</w:t>
      </w:r>
      <w:r w:rsidR="008E104B" w:rsidRPr="00EC2DAC">
        <w:rPr>
          <w:lang w:val="fr-FR"/>
        </w:rPr>
        <w:t>’</w:t>
      </w:r>
      <w:r w:rsidRPr="00EC2DAC">
        <w:rPr>
          <w:lang w:val="fr-FR"/>
        </w:rPr>
        <w:t>analyse en développement durable (Services publics et Approvisionnement Canada, 2016). Disponible à l</w:t>
      </w:r>
      <w:r w:rsidR="008E104B" w:rsidRPr="00EC2DAC">
        <w:rPr>
          <w:lang w:val="fr-FR"/>
        </w:rPr>
        <w:t>’</w:t>
      </w:r>
      <w:r w:rsidRPr="00EC2DAC">
        <w:rPr>
          <w:lang w:val="fr-FR"/>
        </w:rPr>
        <w:t>adresse suivante : http://sdat.pwgsc.gc.ca/index.aspx?lang=fra</w:t>
      </w:r>
    </w:p>
    <w:p w:rsidR="00D23105" w:rsidRPr="00EC2DAC"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EC2DAC">
        <w:rPr>
          <w:lang w:val="fr-FR"/>
        </w:rPr>
        <w:t>Plan d</w:t>
      </w:r>
      <w:r w:rsidR="008E104B" w:rsidRPr="00EC2DAC">
        <w:rPr>
          <w:lang w:val="fr-FR"/>
        </w:rPr>
        <w:t>’</w:t>
      </w:r>
      <w:r w:rsidRPr="00EC2DAC">
        <w:rPr>
          <w:lang w:val="fr-FR"/>
        </w:rPr>
        <w:t xml:space="preserve">action pour les sites contaminés fédéraux : </w:t>
      </w:r>
      <w:r w:rsidR="00B8265D">
        <w:rPr>
          <w:lang w:val="fr-FR"/>
        </w:rPr>
        <w:t>d</w:t>
      </w:r>
      <w:r w:rsidRPr="00EC2DAC">
        <w:rPr>
          <w:lang w:val="fr-FR"/>
        </w:rPr>
        <w:t>ocument d</w:t>
      </w:r>
      <w:r w:rsidR="008E104B" w:rsidRPr="00EC2DAC">
        <w:rPr>
          <w:lang w:val="fr-FR"/>
        </w:rPr>
        <w:t>’</w:t>
      </w:r>
      <w:r w:rsidRPr="00EC2DAC">
        <w:rPr>
          <w:lang w:val="fr-FR"/>
        </w:rPr>
        <w:t>orientation pour l</w:t>
      </w:r>
      <w:r w:rsidR="008E104B" w:rsidRPr="00EC2DAC">
        <w:rPr>
          <w:lang w:val="fr-FR"/>
        </w:rPr>
        <w:t>’</w:t>
      </w:r>
      <w:r w:rsidRPr="00EC2DAC">
        <w:rPr>
          <w:lang w:val="fr-FR"/>
        </w:rPr>
        <w:t>outil de fermeture des sites dans les cas de sites contaminés fédéraux (2012), y compris l</w:t>
      </w:r>
      <w:r w:rsidR="008E104B" w:rsidRPr="00EC2DAC">
        <w:rPr>
          <w:lang w:val="fr-FR"/>
        </w:rPr>
        <w:t>’</w:t>
      </w:r>
      <w:r w:rsidRPr="00EC2DAC">
        <w:rPr>
          <w:lang w:val="fr-FR"/>
        </w:rPr>
        <w:t>outil pour la validation des évaluations des risques. Disponible à l</w:t>
      </w:r>
      <w:r w:rsidR="008E104B" w:rsidRPr="00EC2DAC">
        <w:rPr>
          <w:lang w:val="fr-FR"/>
        </w:rPr>
        <w:t>’</w:t>
      </w:r>
      <w:r w:rsidRPr="00EC2DAC">
        <w:rPr>
          <w:lang w:val="fr-FR"/>
        </w:rPr>
        <w:t>adresse suivante : http://www.federalcontaminatedsites.gc.ca/default.asp?lang=Fr&amp;n=B15E990A-1</w:t>
      </w:r>
    </w:p>
    <w:p w:rsidR="00D23105" w:rsidRPr="00EC2DAC" w:rsidRDefault="009F0B3C" w:rsidP="00D909FF">
      <w:pPr>
        <w:pStyle w:val="CH3"/>
        <w:rPr>
          <w:lang w:val="fr-FR"/>
        </w:rPr>
      </w:pPr>
      <w:r w:rsidRPr="00EC2DAC">
        <w:rPr>
          <w:lang w:val="fr-FR"/>
        </w:rPr>
        <w:tab/>
      </w:r>
      <w:r w:rsidRPr="00EC2DAC">
        <w:rPr>
          <w:lang w:val="fr-FR"/>
        </w:rPr>
        <w:tab/>
        <w:t>Orientations provinciales ou territoriales canadiennes</w:t>
      </w:r>
    </w:p>
    <w:p w:rsidR="00D23105" w:rsidRPr="00EC2DAC"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EC2DAC">
        <w:rPr>
          <w:lang w:val="fr-FR"/>
        </w:rPr>
        <w:t>Colombie britannique : orientations et ressources. Disponible à l</w:t>
      </w:r>
      <w:r w:rsidR="008E104B" w:rsidRPr="00EC2DAC">
        <w:rPr>
          <w:lang w:val="fr-FR"/>
        </w:rPr>
        <w:t>’</w:t>
      </w:r>
      <w:r w:rsidRPr="00EC2DAC">
        <w:rPr>
          <w:lang w:val="fr-FR"/>
        </w:rPr>
        <w:t>adresse suivante : http://www2.gov.bc.ca/gov/content/environment/air-land-water/site-remediation/guidance-resources</w:t>
      </w:r>
    </w:p>
    <w:p w:rsidR="00D23105" w:rsidRPr="00EC2DAC"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EC2DAC">
        <w:rPr>
          <w:lang w:val="fr-FR"/>
        </w:rPr>
        <w:lastRenderedPageBreak/>
        <w:t>Territoires du Nord-Ouest : Guide environnemental pour la réhabilitation des sites contaminés. Disponible à l</w:t>
      </w:r>
      <w:r w:rsidR="008E104B" w:rsidRPr="00EC2DAC">
        <w:rPr>
          <w:lang w:val="fr-FR"/>
        </w:rPr>
        <w:t>’</w:t>
      </w:r>
      <w:r w:rsidRPr="00EC2DAC">
        <w:rPr>
          <w:lang w:val="fr-FR"/>
        </w:rPr>
        <w:t>adresse suivante : https://mvlwb.com/sites/default/files/documents/Environmental-Guideline-for-Contaminated-Site-Remediation.pdf (en anglais uniquement)</w:t>
      </w:r>
    </w:p>
    <w:p w:rsidR="00D23105" w:rsidRPr="00EC2DAC" w:rsidRDefault="00D23105" w:rsidP="00CA4C76">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EC2DAC">
        <w:rPr>
          <w:lang w:val="fr-FR"/>
        </w:rPr>
        <w:t>Québec : Guide d</w:t>
      </w:r>
      <w:r w:rsidR="008E104B" w:rsidRPr="00EC2DAC">
        <w:rPr>
          <w:lang w:val="fr-FR"/>
        </w:rPr>
        <w:t>’</w:t>
      </w:r>
      <w:r w:rsidRPr="00EC2DAC">
        <w:rPr>
          <w:lang w:val="fr-FR"/>
        </w:rPr>
        <w:t>intervention : Protection des sols et réhabilitation des terrains contaminés. Disponible à l</w:t>
      </w:r>
      <w:r w:rsidR="008E104B" w:rsidRPr="00EC2DAC">
        <w:rPr>
          <w:lang w:val="fr-FR"/>
        </w:rPr>
        <w:t>’</w:t>
      </w:r>
      <w:r w:rsidRPr="00EC2DAC">
        <w:rPr>
          <w:lang w:val="fr-FR"/>
        </w:rPr>
        <w:t>adresse suivante : http://www.mddelcc.gouv.qc.ca/sol/terrains/guide-intervention/index.htm</w:t>
      </w:r>
    </w:p>
    <w:p w:rsidR="00D23105" w:rsidRPr="00EC2DAC" w:rsidRDefault="00D909FF" w:rsidP="00D909FF">
      <w:pPr>
        <w:pStyle w:val="CH3"/>
        <w:rPr>
          <w:lang w:val="fr-FR"/>
        </w:rPr>
      </w:pPr>
      <w:r w:rsidRPr="00EC2DAC">
        <w:rPr>
          <w:lang w:val="fr-FR"/>
        </w:rPr>
        <w:tab/>
      </w:r>
      <w:r w:rsidRPr="00EC2DAC">
        <w:rPr>
          <w:lang w:val="fr-FR"/>
        </w:rPr>
        <w:tab/>
        <w:t>Union européenne</w:t>
      </w:r>
    </w:p>
    <w:p w:rsidR="00D23105" w:rsidRPr="00EC2DAC"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EC2DAC">
        <w:rPr>
          <w:lang w:val="fr-FR"/>
        </w:rPr>
        <w:t>Guide des meilleures pratiques environnementales de gestion écologiquement rationnelle des sites contaminés au mercure en Méditerranée (Plan d</w:t>
      </w:r>
      <w:r w:rsidR="008E104B" w:rsidRPr="00EC2DAC">
        <w:rPr>
          <w:lang w:val="fr-FR"/>
        </w:rPr>
        <w:t>’</w:t>
      </w:r>
      <w:r w:rsidRPr="00EC2DAC">
        <w:rPr>
          <w:lang w:val="fr-FR"/>
        </w:rPr>
        <w:t xml:space="preserve">action pour la </w:t>
      </w:r>
      <w:r w:rsidR="00EC2DAC" w:rsidRPr="00EC2DAC">
        <w:rPr>
          <w:lang w:val="fr-FR"/>
        </w:rPr>
        <w:t>Méditerranée</w:t>
      </w:r>
      <w:r w:rsidRPr="00EC2DAC">
        <w:rPr>
          <w:lang w:val="fr-FR"/>
        </w:rPr>
        <w:t>/Programme des Nations Unies pour l</w:t>
      </w:r>
      <w:r w:rsidR="008E104B" w:rsidRPr="00EC2DAC">
        <w:rPr>
          <w:lang w:val="fr-FR"/>
        </w:rPr>
        <w:t>’</w:t>
      </w:r>
      <w:r w:rsidRPr="00EC2DAC">
        <w:rPr>
          <w:lang w:val="fr-FR"/>
        </w:rPr>
        <w:t>environnement). Disponible à l</w:t>
      </w:r>
      <w:r w:rsidR="008E104B" w:rsidRPr="00EC2DAC">
        <w:rPr>
          <w:lang w:val="fr-FR"/>
        </w:rPr>
        <w:t>’</w:t>
      </w:r>
      <w:r w:rsidRPr="00EC2DAC">
        <w:rPr>
          <w:lang w:val="fr-FR"/>
        </w:rPr>
        <w:t>adresse suivante : https://wedocs.unep.org/rest/bitstreams/45237/retrieve</w:t>
      </w:r>
    </w:p>
    <w:p w:rsidR="00D23105" w:rsidRPr="00EC2DAC" w:rsidRDefault="00B8265D"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911BEF">
        <w:rPr>
          <w:i/>
          <w:lang w:val="fr-FR"/>
        </w:rPr>
        <w:t>Final Report of the Remediation of Mercury Contaminated Sites Sino-German Workshop</w:t>
      </w:r>
      <w:r w:rsidRPr="00911BEF">
        <w:rPr>
          <w:lang w:val="fr-FR"/>
        </w:rPr>
        <w:t xml:space="preserve"> </w:t>
      </w:r>
      <w:r>
        <w:rPr>
          <w:lang w:val="fr-FR"/>
        </w:rPr>
        <w:t xml:space="preserve"> (</w:t>
      </w:r>
      <w:r w:rsidR="000A5502" w:rsidRPr="00EC2DAC">
        <w:rPr>
          <w:lang w:val="fr-FR"/>
        </w:rPr>
        <w:t>Rapport final de l</w:t>
      </w:r>
      <w:r w:rsidR="008E104B" w:rsidRPr="00EC2DAC">
        <w:rPr>
          <w:lang w:val="fr-FR"/>
        </w:rPr>
        <w:t>’</w:t>
      </w:r>
      <w:r w:rsidR="000A5502" w:rsidRPr="00EC2DAC">
        <w:rPr>
          <w:lang w:val="fr-FR"/>
        </w:rPr>
        <w:t>atelier sino-allemand sur la remise en état des sites contaminés par le mercure</w:t>
      </w:r>
      <w:r>
        <w:rPr>
          <w:lang w:val="fr-FR"/>
        </w:rPr>
        <w:t>)</w:t>
      </w:r>
      <w:r w:rsidR="000A5502" w:rsidRPr="00EC2DAC">
        <w:rPr>
          <w:lang w:val="fr-FR"/>
        </w:rPr>
        <w:t xml:space="preserve"> (2008). Disponible à l</w:t>
      </w:r>
      <w:r w:rsidR="008E104B" w:rsidRPr="00EC2DAC">
        <w:rPr>
          <w:lang w:val="fr-FR"/>
        </w:rPr>
        <w:t>’</w:t>
      </w:r>
      <w:r w:rsidR="000A5502" w:rsidRPr="00EC2DAC">
        <w:rPr>
          <w:lang w:val="fr-FR"/>
        </w:rPr>
        <w:t>adresse suivante : https://www.grs.de/sites/default/files/pdf/Remcosite_2008_Chemieabfaelle_0.pdf (en anglais uniquement)</w:t>
      </w:r>
    </w:p>
    <w:p w:rsidR="00D23105" w:rsidRPr="00EC2DAC"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EC2DAC">
        <w:rPr>
          <w:lang w:val="fr-FR"/>
        </w:rPr>
        <w:t xml:space="preserve">Projet ImaHg – </w:t>
      </w:r>
      <w:r w:rsidR="00B8265D" w:rsidRPr="00911BEF">
        <w:rPr>
          <w:i/>
          <w:lang w:val="fr-FR"/>
        </w:rPr>
        <w:t>ImaHg project – Improved management of Hg soil contamination – final-workshop-overheads</w:t>
      </w:r>
      <w:r w:rsidR="00B8265D" w:rsidRPr="00EC2DAC">
        <w:rPr>
          <w:lang w:val="fr-FR"/>
        </w:rPr>
        <w:t xml:space="preserve"> </w:t>
      </w:r>
      <w:r w:rsidR="00B8265D">
        <w:rPr>
          <w:lang w:val="fr-FR"/>
        </w:rPr>
        <w:t>(</w:t>
      </w:r>
      <w:r w:rsidRPr="00EC2DAC">
        <w:rPr>
          <w:lang w:val="fr-FR"/>
        </w:rPr>
        <w:t>Meilleure gestion des sols contaminés par le mercure – frais généraux du rapport final</w:t>
      </w:r>
      <w:r w:rsidR="00B8265D">
        <w:rPr>
          <w:lang w:val="fr-FR"/>
        </w:rPr>
        <w:t>)</w:t>
      </w:r>
      <w:r w:rsidRPr="00EC2DAC">
        <w:rPr>
          <w:lang w:val="fr-FR"/>
        </w:rPr>
        <w:t xml:space="preserve"> (2013), plus d</w:t>
      </w:r>
      <w:r w:rsidR="008E104B" w:rsidRPr="00EC2DAC">
        <w:rPr>
          <w:lang w:val="fr-FR"/>
        </w:rPr>
        <w:t>’</w:t>
      </w:r>
      <w:r w:rsidRPr="00EC2DAC">
        <w:rPr>
          <w:lang w:val="fr-FR"/>
        </w:rPr>
        <w:t>informations disponibles à l</w:t>
      </w:r>
      <w:r w:rsidR="008E104B" w:rsidRPr="00EC2DAC">
        <w:rPr>
          <w:lang w:val="fr-FR"/>
        </w:rPr>
        <w:t>’</w:t>
      </w:r>
      <w:r w:rsidRPr="00EC2DAC">
        <w:rPr>
          <w:lang w:val="fr-FR"/>
        </w:rPr>
        <w:t>adresse http://snowmannetwork.com/?page_id=256 (en anglais uniquement)</w:t>
      </w:r>
    </w:p>
    <w:p w:rsidR="00D23105" w:rsidRPr="00EC2DAC" w:rsidRDefault="00B8265D" w:rsidP="000D2BEB">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911BEF">
        <w:rPr>
          <w:i/>
          <w:lang w:val="fr-FR"/>
        </w:rPr>
        <w:t>Mercury Contaminated Sites – Network for Industrially Co-ordinated Sustainable Land Management in Europe, Technical Meeting Summary Paper</w:t>
      </w:r>
      <w:r w:rsidRPr="00911BEF">
        <w:rPr>
          <w:lang w:val="fr-FR"/>
        </w:rPr>
        <w:t xml:space="preserve"> </w:t>
      </w:r>
      <w:r>
        <w:rPr>
          <w:lang w:val="fr-FR"/>
        </w:rPr>
        <w:t>(</w:t>
      </w:r>
      <w:r w:rsidR="00D23105" w:rsidRPr="00EC2DAC">
        <w:rPr>
          <w:lang w:val="fr-FR"/>
        </w:rPr>
        <w:t>Sites contaminés par le mercure – Réseau pour la gestion rationnelle et coordonnée par le secteur industriel des terres en Europe (NICOLE), document de synthèse de réunion technique</w:t>
      </w:r>
      <w:r>
        <w:rPr>
          <w:lang w:val="fr-FR"/>
        </w:rPr>
        <w:t>)</w:t>
      </w:r>
      <w:r w:rsidR="00D23105" w:rsidRPr="00EC2DAC">
        <w:rPr>
          <w:lang w:val="fr-FR"/>
        </w:rPr>
        <w:t xml:space="preserve"> (201</w:t>
      </w:r>
      <w:r>
        <w:rPr>
          <w:lang w:val="fr-FR"/>
        </w:rPr>
        <w:t>2</w:t>
      </w:r>
      <w:r w:rsidR="00D23105" w:rsidRPr="00EC2DAC">
        <w:rPr>
          <w:lang w:val="fr-FR"/>
        </w:rPr>
        <w:t>). Disponible à l</w:t>
      </w:r>
      <w:r w:rsidR="008E104B" w:rsidRPr="00EC2DAC">
        <w:rPr>
          <w:lang w:val="fr-FR"/>
        </w:rPr>
        <w:t>’</w:t>
      </w:r>
      <w:r w:rsidR="00D23105" w:rsidRPr="00EC2DAC">
        <w:rPr>
          <w:lang w:val="fr-FR"/>
        </w:rPr>
        <w:t>adresse suivante : http://www.nicole.org/pagina/19/Workshop_Reports.html (en anglais uniquement)</w:t>
      </w:r>
    </w:p>
    <w:p w:rsidR="00D23105" w:rsidRPr="00EC2DAC" w:rsidRDefault="00B8265D" w:rsidP="000D2BEB">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911BEF">
        <w:rPr>
          <w:i/>
          <w:lang w:val="fr-FR"/>
        </w:rPr>
        <w:t>Mercury contaminated land management – State of the Art – NICOLE Mercury Working Group Paper</w:t>
      </w:r>
      <w:r w:rsidRPr="00EC2DAC">
        <w:rPr>
          <w:lang w:val="fr-FR"/>
        </w:rPr>
        <w:t xml:space="preserve"> </w:t>
      </w:r>
      <w:r>
        <w:rPr>
          <w:lang w:val="fr-FR"/>
        </w:rPr>
        <w:t>(</w:t>
      </w:r>
      <w:r w:rsidR="00D23105" w:rsidRPr="00EC2DAC">
        <w:rPr>
          <w:lang w:val="fr-FR"/>
        </w:rPr>
        <w:t>Gestion des terres contaminées par le mercure – État des connaissances – Document du groupe de travail sur le mercure du NICOLE</w:t>
      </w:r>
      <w:r>
        <w:rPr>
          <w:lang w:val="fr-FR"/>
        </w:rPr>
        <w:t>)</w:t>
      </w:r>
      <w:r w:rsidR="00D23105" w:rsidRPr="00EC2DAC">
        <w:rPr>
          <w:lang w:val="fr-FR"/>
        </w:rPr>
        <w:t xml:space="preserve"> (2012). Disponible à l</w:t>
      </w:r>
      <w:r w:rsidR="008E104B" w:rsidRPr="00EC2DAC">
        <w:rPr>
          <w:lang w:val="fr-FR"/>
        </w:rPr>
        <w:t>’</w:t>
      </w:r>
      <w:r w:rsidR="00D23105" w:rsidRPr="00EC2DAC">
        <w:rPr>
          <w:lang w:val="fr-FR"/>
        </w:rPr>
        <w:t xml:space="preserve">adresse suivante : http://www.nicole.org/pagina/22/Thematic_Documents.html (en anglais uniquement) </w:t>
      </w:r>
    </w:p>
    <w:p w:rsidR="00D23105" w:rsidRPr="00EC2DAC"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EC2DAC">
        <w:rPr>
          <w:lang w:val="fr-FR"/>
        </w:rPr>
        <w:tab/>
        <w:t>Kocman D., Horvat M., Pirrone N.</w:t>
      </w:r>
      <w:r w:rsidR="00B8265D">
        <w:rPr>
          <w:lang w:val="fr-FR"/>
        </w:rPr>
        <w:t xml:space="preserve"> et</w:t>
      </w:r>
      <w:r w:rsidRPr="00EC2DAC">
        <w:rPr>
          <w:lang w:val="fr-FR"/>
        </w:rPr>
        <w:t xml:space="preserve"> Cinnirella S. (2013)</w:t>
      </w:r>
      <w:r w:rsidR="00B8265D">
        <w:rPr>
          <w:lang w:val="fr-FR"/>
        </w:rPr>
        <w:t xml:space="preserve">. </w:t>
      </w:r>
      <w:r w:rsidR="00B8265D" w:rsidRPr="00CD779D">
        <w:rPr>
          <w:i/>
          <w:lang w:val="fr-FR"/>
        </w:rPr>
        <w:t>Contribution of contaminated sites to the global mercury budget</w:t>
      </w:r>
      <w:r w:rsidRPr="00EC2DAC">
        <w:rPr>
          <w:lang w:val="fr-FR"/>
        </w:rPr>
        <w:t xml:space="preserve"> </w:t>
      </w:r>
      <w:r w:rsidR="00B8265D">
        <w:rPr>
          <w:lang w:val="fr-FR"/>
        </w:rPr>
        <w:t>(</w:t>
      </w:r>
      <w:r w:rsidRPr="00EC2DAC">
        <w:rPr>
          <w:lang w:val="fr-FR"/>
        </w:rPr>
        <w:t>Contribution des sites contaminés à la facture mondiale de mercure</w:t>
      </w:r>
      <w:r w:rsidR="00B8265D">
        <w:rPr>
          <w:lang w:val="fr-FR"/>
        </w:rPr>
        <w:t>)</w:t>
      </w:r>
      <w:r w:rsidRPr="00EC2DAC">
        <w:rPr>
          <w:lang w:val="fr-FR"/>
        </w:rPr>
        <w:t xml:space="preserve">. </w:t>
      </w:r>
      <w:r w:rsidRPr="00911BEF">
        <w:rPr>
          <w:i/>
          <w:lang w:val="fr-FR"/>
        </w:rPr>
        <w:t>Environmental Research</w:t>
      </w:r>
      <w:r w:rsidRPr="00EC2DAC">
        <w:rPr>
          <w:lang w:val="fr-FR"/>
        </w:rPr>
        <w:t>, vol. 125, p. 160 à 170. Doi:10.1016/j.envres.2012.12.011 (en anglais uniquement)</w:t>
      </w:r>
    </w:p>
    <w:p w:rsidR="00D23105" w:rsidRPr="00911BEF"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en-US"/>
        </w:rPr>
      </w:pPr>
      <w:r w:rsidRPr="00EC2DAC">
        <w:rPr>
          <w:lang w:val="fr-FR"/>
        </w:rPr>
        <w:tab/>
      </w:r>
      <w:r w:rsidRPr="00911BEF">
        <w:rPr>
          <w:lang w:val="en-US"/>
        </w:rPr>
        <w:t>Kovalick</w:t>
      </w:r>
      <w:r w:rsidR="00B8265D" w:rsidRPr="00911BEF">
        <w:rPr>
          <w:lang w:val="en-US"/>
        </w:rPr>
        <w:t>,</w:t>
      </w:r>
      <w:r w:rsidRPr="00911BEF">
        <w:rPr>
          <w:lang w:val="en-US"/>
        </w:rPr>
        <w:t xml:space="preserve"> W</w:t>
      </w:r>
      <w:r w:rsidR="00B8265D" w:rsidRPr="00911BEF">
        <w:rPr>
          <w:lang w:val="en-US"/>
        </w:rPr>
        <w:t>alter W</w:t>
      </w:r>
      <w:r w:rsidRPr="00911BEF">
        <w:rPr>
          <w:lang w:val="en-US"/>
        </w:rPr>
        <w:t>.</w:t>
      </w:r>
      <w:r w:rsidR="00B8265D" w:rsidRPr="00911BEF">
        <w:rPr>
          <w:lang w:val="en-US"/>
        </w:rPr>
        <w:t xml:space="preserve"> et </w:t>
      </w:r>
      <w:r w:rsidRPr="00911BEF">
        <w:rPr>
          <w:lang w:val="en-US"/>
        </w:rPr>
        <w:t>Montgomery, R</w:t>
      </w:r>
      <w:r w:rsidR="00B8265D" w:rsidRPr="00911BEF">
        <w:rPr>
          <w:lang w:val="en-US"/>
        </w:rPr>
        <w:t>obert H (2014).</w:t>
      </w:r>
      <w:r w:rsidRPr="00911BEF">
        <w:rPr>
          <w:lang w:val="en-US"/>
        </w:rPr>
        <w:t xml:space="preserve"> </w:t>
      </w:r>
      <w:r w:rsidR="00B8265D" w:rsidRPr="00911BEF">
        <w:rPr>
          <w:i/>
          <w:lang w:val="fr-FR"/>
        </w:rPr>
        <w:t>Developing a Program for Contaminated Site Management in Low and Middle Income Countries</w:t>
      </w:r>
      <w:r w:rsidR="00B8265D" w:rsidRPr="00EC2DAC">
        <w:rPr>
          <w:lang w:val="fr-FR"/>
        </w:rPr>
        <w:t xml:space="preserve"> </w:t>
      </w:r>
      <w:r w:rsidR="00B8265D">
        <w:rPr>
          <w:lang w:val="fr-FR"/>
        </w:rPr>
        <w:t>(</w:t>
      </w:r>
      <w:r w:rsidRPr="00EC2DAC">
        <w:rPr>
          <w:lang w:val="fr-FR"/>
        </w:rPr>
        <w:t>Élaboration d</w:t>
      </w:r>
      <w:r w:rsidR="008E104B" w:rsidRPr="00EC2DAC">
        <w:rPr>
          <w:lang w:val="fr-FR"/>
        </w:rPr>
        <w:t>’</w:t>
      </w:r>
      <w:r w:rsidRPr="00EC2DAC">
        <w:rPr>
          <w:lang w:val="fr-FR"/>
        </w:rPr>
        <w:t>un programme pour la gestion des sites contaminés dans les pays à faible revenu et revenu intermédiaire</w:t>
      </w:r>
      <w:r w:rsidR="00B8265D">
        <w:rPr>
          <w:lang w:val="fr-FR"/>
        </w:rPr>
        <w:t>)</w:t>
      </w:r>
      <w:r w:rsidRPr="00B8265D">
        <w:rPr>
          <w:lang w:val="fr-FR"/>
        </w:rPr>
        <w:t xml:space="preserve">. </w:t>
      </w:r>
      <w:r w:rsidR="00B8265D" w:rsidRPr="00911BEF">
        <w:rPr>
          <w:lang w:val="en-US"/>
        </w:rPr>
        <w:t xml:space="preserve">Washington, Groupe de la </w:t>
      </w:r>
      <w:r w:rsidRPr="00911BEF">
        <w:rPr>
          <w:lang w:val="en-US"/>
        </w:rPr>
        <w:t>Banque mondiale (en anglais uniquement).</w:t>
      </w:r>
    </w:p>
    <w:p w:rsidR="00D23105" w:rsidRPr="00EC2DAC"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CD779D">
        <w:rPr>
          <w:lang w:val="fr-FR"/>
        </w:rPr>
        <w:tab/>
      </w:r>
      <w:r w:rsidR="00B8265D" w:rsidRPr="00CD779D">
        <w:rPr>
          <w:i/>
          <w:lang w:val="fr-FR"/>
        </w:rPr>
        <w:t>Sustainable Management of Contaminated Land in the EU: An Overview</w:t>
      </w:r>
      <w:r w:rsidR="00B8265D" w:rsidRPr="00EC2DAC">
        <w:rPr>
          <w:lang w:val="fr-FR"/>
        </w:rPr>
        <w:t xml:space="preserve"> </w:t>
      </w:r>
      <w:r w:rsidR="00B8265D">
        <w:rPr>
          <w:lang w:val="fr-FR"/>
        </w:rPr>
        <w:t>(</w:t>
      </w:r>
      <w:r w:rsidRPr="00EC2DAC">
        <w:rPr>
          <w:lang w:val="fr-FR"/>
        </w:rPr>
        <w:t>Gestion durable des terres contaminées dans l</w:t>
      </w:r>
      <w:r w:rsidR="008E104B" w:rsidRPr="00EC2DAC">
        <w:rPr>
          <w:lang w:val="fr-FR"/>
        </w:rPr>
        <w:t>’</w:t>
      </w:r>
      <w:r w:rsidRPr="00EC2DAC">
        <w:rPr>
          <w:lang w:val="fr-FR"/>
        </w:rPr>
        <w:t>UE : aperçu</w:t>
      </w:r>
      <w:r w:rsidR="00B8265D">
        <w:rPr>
          <w:lang w:val="fr-FR"/>
        </w:rPr>
        <w:t>)</w:t>
      </w:r>
      <w:r w:rsidRPr="00EC2DAC">
        <w:rPr>
          <w:lang w:val="fr-FR"/>
        </w:rPr>
        <w:t xml:space="preserve">. </w:t>
      </w:r>
      <w:r w:rsidR="00B8265D">
        <w:rPr>
          <w:lang w:val="fr-FR"/>
        </w:rPr>
        <w:t>(</w:t>
      </w:r>
      <w:r w:rsidRPr="00EC2DAC">
        <w:rPr>
          <w:lang w:val="fr-FR"/>
        </w:rPr>
        <w:t>CLARINET</w:t>
      </w:r>
      <w:r w:rsidR="00B8265D">
        <w:rPr>
          <w:lang w:val="fr-FR"/>
        </w:rPr>
        <w:t>)</w:t>
      </w:r>
      <w:r w:rsidRPr="00EC2DAC">
        <w:rPr>
          <w:lang w:val="fr-FR"/>
        </w:rPr>
        <w:t xml:space="preserve"> (2002) (en anglais uniquement).</w:t>
      </w:r>
    </w:p>
    <w:p w:rsidR="00D23105" w:rsidRPr="00B8265D" w:rsidRDefault="007D6882" w:rsidP="00911BEF">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B8265D">
        <w:rPr>
          <w:lang w:val="fr-FR"/>
        </w:rPr>
        <w:tab/>
        <w:t>Apport de solutions en vue de la remise en état du site de Boroo contaminé par le mercure et la récupération de mercure par le Centre technologique sur le mercure CTNDM et la société Emgrisa en Espagne en coopération avec la société Polyeco en Grèce de juillet 2015 à décembre 2016. Surveillance des eaux souterraines et de surface en vue de la remise en état des sols contaminés par le mercure (par exemple par phytoremédiation, fixation du mercure et stabilisation au moyen de procédés chimique ou de nanoparticules de fer zéro-valent). http://www.ctndm.es/proyectos/7-in.php (en anglais et espagnol uniquement)</w:t>
      </w:r>
      <w:r w:rsidR="00CD779D">
        <w:rPr>
          <w:lang w:val="fr-FR"/>
        </w:rPr>
        <w:t xml:space="preserve"> </w:t>
      </w:r>
      <w:r w:rsidR="00D23105" w:rsidRPr="00B8265D">
        <w:rPr>
          <w:lang w:val="fr-FR"/>
        </w:rPr>
        <w:t>Formation à la gestion et la remise en état des sols contaminés par le mercure. Disponible à l</w:t>
      </w:r>
      <w:r w:rsidR="008E104B" w:rsidRPr="00B8265D">
        <w:rPr>
          <w:lang w:val="fr-FR"/>
        </w:rPr>
        <w:t>’</w:t>
      </w:r>
      <w:r w:rsidR="00E374C8">
        <w:rPr>
          <w:lang w:val="fr-FR"/>
        </w:rPr>
        <w:t>adresse suivante </w:t>
      </w:r>
      <w:r w:rsidR="00D23105" w:rsidRPr="00B8265D">
        <w:rPr>
          <w:lang w:val="fr-FR"/>
        </w:rPr>
        <w:t>: http://www.cprac.org/es/archivo-de-noticias/genericas/training-on-mercury-management-and-remediation-of-contaminated-soils-a (en anglais uniquement)</w:t>
      </w:r>
    </w:p>
    <w:p w:rsidR="00D23105" w:rsidRPr="00EC2DAC"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EC2DAC">
        <w:rPr>
          <w:lang w:val="fr-FR"/>
        </w:rPr>
        <w:tab/>
      </w:r>
      <w:r w:rsidR="00B8265D" w:rsidRPr="00911BEF">
        <w:rPr>
          <w:i/>
          <w:lang w:val="fr-FR"/>
        </w:rPr>
        <w:t>Environmental Protection Act 1990: Part 2A Contaminated Land Statutory Guidance</w:t>
      </w:r>
      <w:r w:rsidR="00B8265D" w:rsidRPr="00EC2DAC">
        <w:rPr>
          <w:lang w:val="fr-FR"/>
        </w:rPr>
        <w:t xml:space="preserve"> </w:t>
      </w:r>
      <w:r w:rsidR="00B8265D">
        <w:rPr>
          <w:lang w:val="fr-FR"/>
        </w:rPr>
        <w:t>(</w:t>
      </w:r>
      <w:r w:rsidRPr="00EC2DAC">
        <w:rPr>
          <w:lang w:val="fr-FR"/>
        </w:rPr>
        <w:t>Loi de protection de l</w:t>
      </w:r>
      <w:r w:rsidR="008E104B" w:rsidRPr="00EC2DAC">
        <w:rPr>
          <w:lang w:val="fr-FR"/>
        </w:rPr>
        <w:t>’</w:t>
      </w:r>
      <w:r w:rsidRPr="00EC2DAC">
        <w:rPr>
          <w:lang w:val="fr-FR"/>
        </w:rPr>
        <w:t>environnement de 1990 : Partie 2A Orientations réglementaires en matière de terres contaminées</w:t>
      </w:r>
      <w:r w:rsidR="00B8265D">
        <w:rPr>
          <w:lang w:val="fr-FR"/>
        </w:rPr>
        <w:t>)</w:t>
      </w:r>
      <w:r w:rsidRPr="00EC2DAC">
        <w:rPr>
          <w:lang w:val="fr-FR"/>
        </w:rPr>
        <w:t>. Disponible à l</w:t>
      </w:r>
      <w:r w:rsidR="008E104B" w:rsidRPr="00EC2DAC">
        <w:rPr>
          <w:lang w:val="fr-FR"/>
        </w:rPr>
        <w:t>’</w:t>
      </w:r>
      <w:r w:rsidRPr="00EC2DAC">
        <w:rPr>
          <w:lang w:val="fr-FR"/>
        </w:rPr>
        <w:t>adresse suivante : https://www.gov.uk/government/uploads/system/uploads/attachment_data/file/223705/pb13735cont-land-guidance.pdf (en anglais uniquement)</w:t>
      </w:r>
    </w:p>
    <w:p w:rsidR="00D23105" w:rsidRPr="00EC2DAC" w:rsidRDefault="00D909FF" w:rsidP="00D909FF">
      <w:pPr>
        <w:pStyle w:val="CH3"/>
        <w:rPr>
          <w:lang w:val="fr-FR"/>
        </w:rPr>
      </w:pPr>
      <w:r w:rsidRPr="00EC2DAC">
        <w:rPr>
          <w:lang w:val="fr-FR"/>
        </w:rPr>
        <w:tab/>
      </w:r>
      <w:r w:rsidRPr="00EC2DAC">
        <w:rPr>
          <w:lang w:val="fr-FR"/>
        </w:rPr>
        <w:tab/>
        <w:t>Norvège</w:t>
      </w:r>
    </w:p>
    <w:p w:rsidR="00D23105" w:rsidRPr="00EC2DAC" w:rsidRDefault="00B8265D"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911BEF">
        <w:rPr>
          <w:i/>
          <w:lang w:val="fr-FR"/>
        </w:rPr>
        <w:t>Working together towards a non-toxic environment and a safer future</w:t>
      </w:r>
      <w:r w:rsidRPr="00EC2DAC">
        <w:rPr>
          <w:lang w:val="fr-FR"/>
        </w:rPr>
        <w:t xml:space="preserve"> </w:t>
      </w:r>
      <w:r>
        <w:rPr>
          <w:lang w:val="fr-FR"/>
        </w:rPr>
        <w:t>(Œuvrer</w:t>
      </w:r>
      <w:r w:rsidRPr="00EC2DAC">
        <w:rPr>
          <w:lang w:val="fr-FR"/>
        </w:rPr>
        <w:t xml:space="preserve"> </w:t>
      </w:r>
      <w:r w:rsidR="00CB1DFA" w:rsidRPr="00EC2DAC">
        <w:rPr>
          <w:lang w:val="fr-FR"/>
        </w:rPr>
        <w:t xml:space="preserve">ensemble à un environnement non toxique et un </w:t>
      </w:r>
      <w:r>
        <w:rPr>
          <w:lang w:val="fr-FR"/>
        </w:rPr>
        <w:t>avenir</w:t>
      </w:r>
      <w:r w:rsidRPr="00EC2DAC">
        <w:rPr>
          <w:lang w:val="fr-FR"/>
        </w:rPr>
        <w:t xml:space="preserve"> </w:t>
      </w:r>
      <w:r w:rsidR="00CB1DFA" w:rsidRPr="00EC2DAC">
        <w:rPr>
          <w:lang w:val="fr-FR"/>
        </w:rPr>
        <w:t>plus sûr</w:t>
      </w:r>
      <w:r>
        <w:rPr>
          <w:lang w:val="fr-FR"/>
        </w:rPr>
        <w:t>)</w:t>
      </w:r>
      <w:r w:rsidR="00CB1DFA" w:rsidRPr="00EC2DAC">
        <w:rPr>
          <w:lang w:val="fr-FR"/>
        </w:rPr>
        <w:t xml:space="preserve"> (Livre blanc n° 14, 2006-2007, p. 96 à 100, chap. 10.2 à 10.3). Disponible à l</w:t>
      </w:r>
      <w:r w:rsidR="008E104B" w:rsidRPr="00EC2DAC">
        <w:rPr>
          <w:lang w:val="fr-FR"/>
        </w:rPr>
        <w:t>’</w:t>
      </w:r>
      <w:r w:rsidR="00CB1DFA" w:rsidRPr="00EC2DAC">
        <w:rPr>
          <w:lang w:val="fr-FR"/>
        </w:rPr>
        <w:t xml:space="preserve">adresse suivante : https://www.regjeringen.no/contentassets/abe386e25e0e4d788e868d5f7f991362/en-gb/pdfs/stm200620070014000en_pdfs.pdf (en anglais uniquement) </w:t>
      </w:r>
    </w:p>
    <w:p w:rsidR="00D23105" w:rsidRPr="00EC2DAC" w:rsidRDefault="00B8265D" w:rsidP="00763AE7">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911BEF">
        <w:rPr>
          <w:lang w:val="fr-FR"/>
        </w:rPr>
        <w:t>IPEN (2016). “Guidance on the Identification, Management and Remediation of Mercury Contaminated Sites”</w:t>
      </w:r>
      <w:r>
        <w:rPr>
          <w:lang w:val="fr-FR"/>
        </w:rPr>
        <w:t xml:space="preserve"> (</w:t>
      </w:r>
      <w:r w:rsidR="00D23105" w:rsidRPr="00EC2DAC">
        <w:rPr>
          <w:lang w:val="fr-FR"/>
        </w:rPr>
        <w:t>Orientations sur l</w:t>
      </w:r>
      <w:r w:rsidR="008E104B" w:rsidRPr="00EC2DAC">
        <w:rPr>
          <w:lang w:val="fr-FR"/>
        </w:rPr>
        <w:t>’</w:t>
      </w:r>
      <w:r w:rsidR="00D23105" w:rsidRPr="00EC2DAC">
        <w:rPr>
          <w:lang w:val="fr-FR"/>
        </w:rPr>
        <w:t>identification, la gestion et la remise en état des sites contaminés par le mercure</w:t>
      </w:r>
      <w:r>
        <w:rPr>
          <w:lang w:val="fr-FR"/>
        </w:rPr>
        <w:t>)</w:t>
      </w:r>
      <w:r w:rsidR="00D23105" w:rsidRPr="00EC2DAC">
        <w:rPr>
          <w:lang w:val="fr-FR"/>
        </w:rPr>
        <w:t>. Disponible à l</w:t>
      </w:r>
      <w:r w:rsidR="008E104B" w:rsidRPr="00EC2DAC">
        <w:rPr>
          <w:lang w:val="fr-FR"/>
        </w:rPr>
        <w:t>’</w:t>
      </w:r>
      <w:r w:rsidR="00D23105" w:rsidRPr="00EC2DAC">
        <w:rPr>
          <w:lang w:val="fr-FR"/>
        </w:rPr>
        <w:t>adresse suivante : http://ipen.org/documents/ipen-guidance-identification-management-and-remediation-mercury-contaminated-sites (en anglais uniquement)</w:t>
      </w:r>
    </w:p>
    <w:p w:rsidR="00D23105" w:rsidRPr="00EC2DAC" w:rsidRDefault="00D909FF" w:rsidP="00D909FF">
      <w:pPr>
        <w:pStyle w:val="CH3"/>
        <w:rPr>
          <w:lang w:val="fr-FR"/>
        </w:rPr>
      </w:pPr>
      <w:r w:rsidRPr="00EC2DAC">
        <w:rPr>
          <w:lang w:val="fr-FR"/>
        </w:rPr>
        <w:tab/>
      </w:r>
      <w:r w:rsidRPr="00EC2DAC">
        <w:rPr>
          <w:lang w:val="fr-FR"/>
        </w:rPr>
        <w:tab/>
        <w:t>Suisse</w:t>
      </w:r>
    </w:p>
    <w:p w:rsidR="00D23105" w:rsidRPr="00EC2DAC" w:rsidRDefault="00A14D44"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fr-FR"/>
        </w:rPr>
      </w:pPr>
      <w:r w:rsidRPr="00EC2DAC">
        <w:rPr>
          <w:lang w:val="fr-FR"/>
        </w:rPr>
        <w:t>Orientations par étapes sur la gestion des sites contaminés</w:t>
      </w:r>
      <w:r w:rsidR="00B8265D">
        <w:rPr>
          <w:lang w:val="fr-FR"/>
        </w:rPr>
        <w:t>.</w:t>
      </w:r>
      <w:r w:rsidRPr="00EC2DAC">
        <w:rPr>
          <w:lang w:val="fr-FR"/>
        </w:rPr>
        <w:t xml:space="preserve"> Disponible à l</w:t>
      </w:r>
      <w:r w:rsidR="008E104B" w:rsidRPr="00EC2DAC">
        <w:rPr>
          <w:lang w:val="fr-FR"/>
        </w:rPr>
        <w:t>’</w:t>
      </w:r>
      <w:r w:rsidRPr="00EC2DAC">
        <w:rPr>
          <w:lang w:val="fr-FR"/>
        </w:rPr>
        <w:t>adresse suivante : http://www.bafu.admin.ch/altlasten/12163/12168/index.html?lang=fr</w:t>
      </w:r>
    </w:p>
    <w:p w:rsidR="00D23105" w:rsidRPr="00EC2DAC" w:rsidRDefault="00B8265D" w:rsidP="00B8265D">
      <w:pPr>
        <w:pStyle w:val="NormalNonumber"/>
        <w:numPr>
          <w:ilvl w:val="0"/>
          <w:numId w:val="19"/>
        </w:numPr>
        <w:tabs>
          <w:tab w:val="clear" w:pos="1247"/>
          <w:tab w:val="clear" w:pos="1814"/>
          <w:tab w:val="clear" w:pos="2381"/>
          <w:tab w:val="clear" w:pos="2948"/>
          <w:tab w:val="clear" w:pos="3515"/>
          <w:tab w:val="clear" w:pos="4082"/>
          <w:tab w:val="left" w:pos="624"/>
        </w:tabs>
        <w:rPr>
          <w:lang w:val="fr-FR"/>
        </w:rPr>
      </w:pPr>
      <w:r>
        <w:rPr>
          <w:lang w:val="fr-FR"/>
        </w:rPr>
        <w:t xml:space="preserve">Ordonnance sur l’assainissement des sites pollués. Disponible à l’adresse suivante : </w:t>
      </w:r>
      <w:r w:rsidRPr="00911BEF">
        <w:rPr>
          <w:lang w:val="fr-FR"/>
        </w:rPr>
        <w:t>https://www.admin.ch/opc/fr/classified-compilation/19983151/index.html</w:t>
      </w:r>
    </w:p>
    <w:p w:rsidR="00D23105" w:rsidRPr="00EC2DAC" w:rsidRDefault="00D909FF" w:rsidP="00771355">
      <w:pPr>
        <w:pStyle w:val="CH3"/>
        <w:tabs>
          <w:tab w:val="clear" w:pos="2381"/>
          <w:tab w:val="clear" w:pos="2948"/>
          <w:tab w:val="clear" w:pos="3515"/>
          <w:tab w:val="clear" w:pos="4082"/>
          <w:tab w:val="left" w:pos="5377"/>
        </w:tabs>
        <w:rPr>
          <w:lang w:val="fr-FR"/>
        </w:rPr>
      </w:pPr>
      <w:r w:rsidRPr="00EC2DAC">
        <w:rPr>
          <w:lang w:val="fr-FR"/>
        </w:rPr>
        <w:tab/>
      </w:r>
      <w:r w:rsidRPr="00EC2DAC">
        <w:rPr>
          <w:lang w:val="fr-FR"/>
        </w:rPr>
        <w:tab/>
        <w:t>Réseau international pour l</w:t>
      </w:r>
      <w:r w:rsidR="008E104B" w:rsidRPr="00EC2DAC">
        <w:rPr>
          <w:lang w:val="fr-FR"/>
        </w:rPr>
        <w:t>’</w:t>
      </w:r>
      <w:r w:rsidRPr="00EC2DAC">
        <w:rPr>
          <w:lang w:val="fr-FR"/>
        </w:rPr>
        <w:t>élimination des POP</w:t>
      </w:r>
    </w:p>
    <w:p w:rsidR="007D6882" w:rsidRPr="00EC2DAC" w:rsidRDefault="00B8265D" w:rsidP="009F0B3C">
      <w:pPr>
        <w:pStyle w:val="NormalNonumber"/>
        <w:rPr>
          <w:lang w:val="fr-FR"/>
        </w:rPr>
      </w:pPr>
      <w:r w:rsidRPr="00911BEF">
        <w:rPr>
          <w:lang w:val="fr-FR"/>
        </w:rPr>
        <w:t>IPEN (2016). “Guidance on the Identification, Management and Remediation of Mercury Contaminated Sites”</w:t>
      </w:r>
      <w:r w:rsidRPr="00B8265D">
        <w:rPr>
          <w:lang w:val="fr-FR"/>
        </w:rPr>
        <w:t xml:space="preserve"> (</w:t>
      </w:r>
      <w:r w:rsidR="007D6882" w:rsidRPr="00EC2DAC">
        <w:rPr>
          <w:lang w:val="fr-FR"/>
        </w:rPr>
        <w:t>Orientations sur l</w:t>
      </w:r>
      <w:r w:rsidR="008E104B" w:rsidRPr="00EC2DAC">
        <w:rPr>
          <w:lang w:val="fr-FR"/>
        </w:rPr>
        <w:t>’</w:t>
      </w:r>
      <w:r w:rsidR="007D6882" w:rsidRPr="00EC2DAC">
        <w:rPr>
          <w:lang w:val="fr-FR"/>
        </w:rPr>
        <w:t>identification, la gestion et la remise en état des sites contaminés par le mercure</w:t>
      </w:r>
      <w:r>
        <w:rPr>
          <w:lang w:val="fr-FR"/>
        </w:rPr>
        <w:t>)</w:t>
      </w:r>
      <w:r w:rsidR="007D6882" w:rsidRPr="00EC2DAC">
        <w:rPr>
          <w:lang w:val="fr-FR"/>
        </w:rPr>
        <w:t>. Disponible à l</w:t>
      </w:r>
      <w:r w:rsidR="008E104B" w:rsidRPr="00EC2DAC">
        <w:rPr>
          <w:lang w:val="fr-FR"/>
        </w:rPr>
        <w:t>’</w:t>
      </w:r>
      <w:r w:rsidR="007D6882" w:rsidRPr="00EC2DAC">
        <w:rPr>
          <w:lang w:val="fr-FR"/>
        </w:rPr>
        <w:t>adresse suivante : http://ipen.org/documents/ipen-guidance-identification-management-and-remediation-mercury-contaminated-sites (en anglais uniquement)</w:t>
      </w:r>
    </w:p>
    <w:p w:rsidR="00D23105" w:rsidRPr="00EC2DAC" w:rsidRDefault="00D909FF" w:rsidP="00D909FF">
      <w:pPr>
        <w:pStyle w:val="CH3"/>
        <w:rPr>
          <w:lang w:val="fr-FR"/>
        </w:rPr>
      </w:pPr>
      <w:r w:rsidRPr="00EC2DAC">
        <w:rPr>
          <w:lang w:val="fr-FR"/>
        </w:rPr>
        <w:tab/>
      </w:r>
      <w:r w:rsidRPr="00EC2DAC">
        <w:rPr>
          <w:lang w:val="fr-FR"/>
        </w:rPr>
        <w:tab/>
        <w:t>Pure Earth</w:t>
      </w:r>
    </w:p>
    <w:p w:rsidR="00D23105" w:rsidRPr="00EC2DAC" w:rsidRDefault="00B8265D" w:rsidP="00771355">
      <w:pPr>
        <w:pStyle w:val="NormalNonumber"/>
        <w:rPr>
          <w:lang w:val="fr-FR"/>
        </w:rPr>
      </w:pPr>
      <w:r w:rsidRPr="00911BEF">
        <w:rPr>
          <w:lang w:val="fr-FR"/>
        </w:rPr>
        <w:t>Pure Earth. “Recommendations for Technical Guidance on Identification, Assessment and Management of Mercury Contaminated Sites”</w:t>
      </w:r>
      <w:r w:rsidR="000A6C0A">
        <w:rPr>
          <w:lang w:val="fr-FR"/>
        </w:rPr>
        <w:t xml:space="preserve"> (</w:t>
      </w:r>
      <w:r w:rsidR="00D23105" w:rsidRPr="00EC2DAC">
        <w:rPr>
          <w:lang w:val="fr-FR"/>
        </w:rPr>
        <w:t>Recommandations pour des orientations techniques sur l</w:t>
      </w:r>
      <w:r w:rsidR="008E104B" w:rsidRPr="00EC2DAC">
        <w:rPr>
          <w:lang w:val="fr-FR"/>
        </w:rPr>
        <w:t>’</w:t>
      </w:r>
      <w:r w:rsidR="00D23105" w:rsidRPr="00EC2DAC">
        <w:rPr>
          <w:lang w:val="fr-FR"/>
        </w:rPr>
        <w:t>identification, l</w:t>
      </w:r>
      <w:r w:rsidR="008E104B" w:rsidRPr="00EC2DAC">
        <w:rPr>
          <w:lang w:val="fr-FR"/>
        </w:rPr>
        <w:t>’</w:t>
      </w:r>
      <w:r w:rsidR="00D23105" w:rsidRPr="00EC2DAC">
        <w:rPr>
          <w:lang w:val="fr-FR"/>
        </w:rPr>
        <w:t>évaluation et la gestion des sites contaminés par le mercure</w:t>
      </w:r>
      <w:r w:rsidR="000A6C0A">
        <w:rPr>
          <w:lang w:val="fr-FR"/>
        </w:rPr>
        <w:t>)</w:t>
      </w:r>
      <w:r w:rsidR="00D23105" w:rsidRPr="00EC2DAC">
        <w:rPr>
          <w:lang w:val="fr-FR"/>
        </w:rPr>
        <w:t>. Disponible à l</w:t>
      </w:r>
      <w:r w:rsidR="008E104B" w:rsidRPr="00EC2DAC">
        <w:rPr>
          <w:lang w:val="fr-FR"/>
        </w:rPr>
        <w:t>’</w:t>
      </w:r>
      <w:r w:rsidR="00D23105" w:rsidRPr="00EC2DAC">
        <w:rPr>
          <w:lang w:val="fr-FR"/>
        </w:rPr>
        <w:t>adresse suivante : http://www.mercuryconvention.org/Portals/11/documents/2016%20call%20for%20submissions/Pure%20Earth%20Technical%20Guidance%20on%20Mercury-Contaminated%20Sites%20.pdf (en anglais uniquement)</w:t>
      </w:r>
    </w:p>
    <w:p w:rsidR="00410C59" w:rsidRPr="00EC2DAC" w:rsidRDefault="00410C59" w:rsidP="00BA2788">
      <w:pPr>
        <w:pStyle w:val="ZZAnxheader"/>
        <w:rPr>
          <w:lang w:val="fr-FR"/>
        </w:rPr>
      </w:pPr>
      <w:r w:rsidRPr="00EC2DAC">
        <w:rPr>
          <w:lang w:val="fr-FR"/>
        </w:rPr>
        <w:t xml:space="preserve"> Annexe III</w:t>
      </w:r>
    </w:p>
    <w:p w:rsidR="0021053C" w:rsidRPr="00EC2DAC" w:rsidRDefault="000A6C0A" w:rsidP="00BA2788">
      <w:pPr>
        <w:pStyle w:val="ZZAnxtitle"/>
        <w:rPr>
          <w:lang w:val="fr-FR"/>
        </w:rPr>
      </w:pPr>
      <w:r>
        <w:rPr>
          <w:lang w:val="fr-FR"/>
        </w:rPr>
        <w:t>Description générale de</w:t>
      </w:r>
      <w:r w:rsidR="0021053C" w:rsidRPr="00EC2DAC">
        <w:rPr>
          <w:lang w:val="fr-FR"/>
        </w:rPr>
        <w:t xml:space="preserve"> la structure et </w:t>
      </w:r>
      <w:r>
        <w:rPr>
          <w:lang w:val="fr-FR"/>
        </w:rPr>
        <w:t xml:space="preserve">du </w:t>
      </w:r>
      <w:r w:rsidR="0021053C" w:rsidRPr="00EC2DAC">
        <w:rPr>
          <w:lang w:val="fr-FR"/>
        </w:rPr>
        <w:t>contenu des orientations sur la gestion des sites contaminés</w:t>
      </w:r>
    </w:p>
    <w:p w:rsidR="00154AF0" w:rsidRPr="00EC2DAC" w:rsidRDefault="00BA2788" w:rsidP="00CC1B0A">
      <w:pPr>
        <w:pStyle w:val="CH2"/>
        <w:rPr>
          <w:lang w:val="fr-FR"/>
        </w:rPr>
      </w:pPr>
      <w:r w:rsidRPr="00EC2DAC">
        <w:rPr>
          <w:lang w:val="fr-FR"/>
        </w:rPr>
        <w:tab/>
      </w:r>
      <w:r w:rsidRPr="00EC2DAC">
        <w:rPr>
          <w:lang w:val="fr-FR"/>
        </w:rPr>
        <w:tab/>
        <w:t>Orientations sur la gestion des sites contaminés</w:t>
      </w:r>
    </w:p>
    <w:p w:rsidR="00154AF0" w:rsidRPr="00EC2DAC" w:rsidRDefault="00BA2788" w:rsidP="00CC1B0A">
      <w:pPr>
        <w:pStyle w:val="CH3"/>
        <w:rPr>
          <w:lang w:val="fr-FR"/>
        </w:rPr>
      </w:pPr>
      <w:r w:rsidRPr="00EC2DAC">
        <w:rPr>
          <w:lang w:val="fr-FR"/>
        </w:rPr>
        <w:tab/>
      </w:r>
      <w:r w:rsidRPr="00EC2DAC">
        <w:rPr>
          <w:lang w:val="fr-FR"/>
        </w:rPr>
        <w:tab/>
        <w:t>Introduction</w:t>
      </w:r>
    </w:p>
    <w:p w:rsidR="00F60098" w:rsidRPr="00EC2DAC" w:rsidRDefault="00F60098" w:rsidP="00BA2788">
      <w:pPr>
        <w:pStyle w:val="NormalNonumber"/>
        <w:rPr>
          <w:b/>
          <w:bCs/>
          <w:lang w:val="fr-FR"/>
        </w:rPr>
      </w:pPr>
      <w:r w:rsidRPr="00EC2DAC">
        <w:rPr>
          <w:lang w:val="fr-FR"/>
        </w:rPr>
        <w:t>L</w:t>
      </w:r>
      <w:r w:rsidR="008E104B" w:rsidRPr="00EC2DAC">
        <w:rPr>
          <w:lang w:val="fr-FR"/>
        </w:rPr>
        <w:t>’</w:t>
      </w:r>
      <w:r w:rsidRPr="00EC2DAC">
        <w:rPr>
          <w:lang w:val="fr-FR"/>
        </w:rPr>
        <w:t xml:space="preserve">introduction </w:t>
      </w:r>
      <w:r w:rsidR="00EA0402">
        <w:rPr>
          <w:lang w:val="fr-FR"/>
        </w:rPr>
        <w:t>donnera</w:t>
      </w:r>
      <w:r w:rsidR="00EA0402" w:rsidRPr="00EC2DAC">
        <w:rPr>
          <w:lang w:val="fr-FR"/>
        </w:rPr>
        <w:t xml:space="preserve"> </w:t>
      </w:r>
      <w:r w:rsidRPr="00EC2DAC">
        <w:rPr>
          <w:lang w:val="fr-FR"/>
        </w:rPr>
        <w:t>des informations générales concernant les risques pour la santé humaine et l</w:t>
      </w:r>
      <w:r w:rsidR="008E104B" w:rsidRPr="00EC2DAC">
        <w:rPr>
          <w:lang w:val="fr-FR"/>
        </w:rPr>
        <w:t>’</w:t>
      </w:r>
      <w:r w:rsidRPr="00EC2DAC">
        <w:rPr>
          <w:lang w:val="fr-FR"/>
        </w:rPr>
        <w:t>environnement associés à l</w:t>
      </w:r>
      <w:r w:rsidR="008E104B" w:rsidRPr="00EC2DAC">
        <w:rPr>
          <w:lang w:val="fr-FR"/>
        </w:rPr>
        <w:t>’</w:t>
      </w:r>
      <w:r w:rsidRPr="00EC2DAC">
        <w:rPr>
          <w:lang w:val="fr-FR"/>
        </w:rPr>
        <w:t>exposition au mercure. Elle comprendra également des informations relatives à l</w:t>
      </w:r>
      <w:r w:rsidR="008E104B" w:rsidRPr="00EC2DAC">
        <w:rPr>
          <w:lang w:val="fr-FR"/>
        </w:rPr>
        <w:t>’</w:t>
      </w:r>
      <w:r w:rsidRPr="00EC2DAC">
        <w:rPr>
          <w:lang w:val="fr-FR"/>
        </w:rPr>
        <w:t>utilisation du mercure dans le monde</w:t>
      </w:r>
      <w:r w:rsidR="00EA0402">
        <w:rPr>
          <w:lang w:val="fr-FR"/>
        </w:rPr>
        <w:t xml:space="preserve"> et s’intéressera en particulier aux </w:t>
      </w:r>
      <w:r w:rsidRPr="00EC2DAC">
        <w:rPr>
          <w:lang w:val="fr-FR"/>
        </w:rPr>
        <w:t>utilisations ayant causé ou risquant de causer la contamination de sites (notamment dans le cadre de l</w:t>
      </w:r>
      <w:r w:rsidR="008E104B" w:rsidRPr="00EC2DAC">
        <w:rPr>
          <w:lang w:val="fr-FR"/>
        </w:rPr>
        <w:t>’</w:t>
      </w:r>
      <w:r w:rsidRPr="00EC2DAC">
        <w:rPr>
          <w:lang w:val="fr-FR"/>
        </w:rPr>
        <w:t>extraction artisanale de l</w:t>
      </w:r>
      <w:r w:rsidR="008E104B" w:rsidRPr="00EC2DAC">
        <w:rPr>
          <w:lang w:val="fr-FR"/>
        </w:rPr>
        <w:t>’</w:t>
      </w:r>
      <w:r w:rsidRPr="00EC2DAC">
        <w:rPr>
          <w:lang w:val="fr-FR"/>
        </w:rPr>
        <w:t>or, la production de chlore-alkali, la gestion des déchets industriels ou la contamination de sites tiers par les ruissellements en provenance des sites abritant ces activités). L</w:t>
      </w:r>
      <w:r w:rsidR="008E104B" w:rsidRPr="00EC2DAC">
        <w:rPr>
          <w:lang w:val="fr-FR"/>
        </w:rPr>
        <w:t>’</w:t>
      </w:r>
      <w:r w:rsidRPr="00EC2DAC">
        <w:rPr>
          <w:lang w:val="fr-FR"/>
        </w:rPr>
        <w:t xml:space="preserve">introduction fournira également un aperçu des obligations créées par la Convention de Minamata sur le mercure </w:t>
      </w:r>
      <w:r w:rsidR="00EA0402">
        <w:rPr>
          <w:lang w:val="fr-FR"/>
        </w:rPr>
        <w:t>en matière de</w:t>
      </w:r>
      <w:r w:rsidRPr="00EC2DAC">
        <w:rPr>
          <w:lang w:val="fr-FR"/>
        </w:rPr>
        <w:t xml:space="preserve"> gestion des sites contaminés et </w:t>
      </w:r>
      <w:r w:rsidR="00EA0402">
        <w:rPr>
          <w:lang w:val="fr-FR"/>
        </w:rPr>
        <w:t>rappellera</w:t>
      </w:r>
      <w:r w:rsidR="00EA0402" w:rsidRPr="00EC2DAC">
        <w:rPr>
          <w:lang w:val="fr-FR"/>
        </w:rPr>
        <w:t xml:space="preserve"> </w:t>
      </w:r>
      <w:r w:rsidRPr="00EC2DAC">
        <w:rPr>
          <w:lang w:val="fr-FR"/>
        </w:rPr>
        <w:t xml:space="preserve">quelques politiques nationales existantes dans ce domaine. </w:t>
      </w:r>
    </w:p>
    <w:p w:rsidR="00154AF0" w:rsidRPr="00EC2DAC" w:rsidRDefault="00CC1B0A" w:rsidP="00CC1B0A">
      <w:pPr>
        <w:pStyle w:val="CH3"/>
        <w:rPr>
          <w:lang w:val="fr-FR"/>
        </w:rPr>
      </w:pPr>
      <w:r w:rsidRPr="00EC2DAC">
        <w:rPr>
          <w:lang w:val="fr-FR"/>
        </w:rPr>
        <w:tab/>
      </w:r>
      <w:r w:rsidRPr="00EC2DAC">
        <w:rPr>
          <w:lang w:val="fr-FR"/>
        </w:rPr>
        <w:tab/>
        <w:t>Identification et caractérisation des sites contaminés</w:t>
      </w:r>
    </w:p>
    <w:p w:rsidR="004D575D" w:rsidRPr="00EC2DAC" w:rsidRDefault="00EA0402" w:rsidP="00BA2788">
      <w:pPr>
        <w:pStyle w:val="NormalNonumber"/>
        <w:rPr>
          <w:b/>
          <w:bCs/>
          <w:lang w:val="fr-FR"/>
        </w:rPr>
      </w:pPr>
      <w:r>
        <w:rPr>
          <w:lang w:val="fr-FR"/>
        </w:rPr>
        <w:t>Cette</w:t>
      </w:r>
      <w:r w:rsidRPr="00EC2DAC">
        <w:rPr>
          <w:lang w:val="fr-FR"/>
        </w:rPr>
        <w:t xml:space="preserve"> </w:t>
      </w:r>
      <w:r w:rsidR="00A14D44" w:rsidRPr="00EC2DAC">
        <w:rPr>
          <w:lang w:val="fr-FR"/>
        </w:rPr>
        <w:t xml:space="preserve">section exposera les mécanismes </w:t>
      </w:r>
      <w:r>
        <w:rPr>
          <w:lang w:val="fr-FR"/>
        </w:rPr>
        <w:t>dont les</w:t>
      </w:r>
      <w:r w:rsidR="00A14D44" w:rsidRPr="00EC2DAC">
        <w:rPr>
          <w:lang w:val="fr-FR"/>
        </w:rPr>
        <w:t xml:space="preserve"> pays </w:t>
      </w:r>
      <w:r>
        <w:rPr>
          <w:lang w:val="fr-FR"/>
        </w:rPr>
        <w:t xml:space="preserve">disposent </w:t>
      </w:r>
      <w:r w:rsidR="00A14D44" w:rsidRPr="00EC2DAC">
        <w:rPr>
          <w:lang w:val="fr-FR"/>
        </w:rPr>
        <w:t>pour identifier les sites contaminés par le mercure ou des composés du mercure, ainsi que les techniques permettant de caractériser la contamination d</w:t>
      </w:r>
      <w:r w:rsidR="008E104B" w:rsidRPr="00EC2DAC">
        <w:rPr>
          <w:lang w:val="fr-FR"/>
        </w:rPr>
        <w:t>’</w:t>
      </w:r>
      <w:r w:rsidR="00A14D44" w:rsidRPr="00EC2DAC">
        <w:rPr>
          <w:lang w:val="fr-FR"/>
        </w:rPr>
        <w:t xml:space="preserve">un site à la suite de son identification comme site potentiellement contaminé. Les orientations décriront les étapes qui pourraient </w:t>
      </w:r>
      <w:r>
        <w:rPr>
          <w:lang w:val="fr-FR"/>
        </w:rPr>
        <w:t>être</w:t>
      </w:r>
      <w:r w:rsidRPr="00EC2DAC">
        <w:rPr>
          <w:lang w:val="fr-FR"/>
        </w:rPr>
        <w:t xml:space="preserve"> </w:t>
      </w:r>
      <w:r w:rsidR="00A14D44" w:rsidRPr="00EC2DAC">
        <w:rPr>
          <w:lang w:val="fr-FR"/>
        </w:rPr>
        <w:t>nécessaires à l</w:t>
      </w:r>
      <w:r w:rsidR="008E104B" w:rsidRPr="00EC2DAC">
        <w:rPr>
          <w:lang w:val="fr-FR"/>
        </w:rPr>
        <w:t>’</w:t>
      </w:r>
      <w:r w:rsidR="00A14D44" w:rsidRPr="00EC2DAC">
        <w:rPr>
          <w:lang w:val="fr-FR"/>
        </w:rPr>
        <w:t>établissement d</w:t>
      </w:r>
      <w:r w:rsidR="008E104B" w:rsidRPr="00EC2DAC">
        <w:rPr>
          <w:lang w:val="fr-FR"/>
        </w:rPr>
        <w:t>’</w:t>
      </w:r>
      <w:r w:rsidR="00A14D44" w:rsidRPr="00EC2DAC">
        <w:rPr>
          <w:lang w:val="fr-FR"/>
        </w:rPr>
        <w:t>une liste nationale des sites contaminés. Les étapes en question pourraient inclure la détermination du seuil national de contamination par le mercure ou des composés du mercure au-delà duquel un site serait considéré comme contaminé. Le terme « site » pourrait également devoir être défini, en tenant compte du fait que les zones touchées par le ruissellement en provenance d</w:t>
      </w:r>
      <w:r w:rsidR="008E104B" w:rsidRPr="00EC2DAC">
        <w:rPr>
          <w:lang w:val="fr-FR"/>
        </w:rPr>
        <w:t>’</w:t>
      </w:r>
      <w:r w:rsidR="00A14D44" w:rsidRPr="00EC2DAC">
        <w:rPr>
          <w:lang w:val="fr-FR"/>
        </w:rPr>
        <w:t xml:space="preserve">un site contaminé primaire pourraient être plus gravement </w:t>
      </w:r>
      <w:r>
        <w:rPr>
          <w:lang w:val="fr-FR"/>
        </w:rPr>
        <w:t>touchées</w:t>
      </w:r>
      <w:r w:rsidRPr="00EC2DAC">
        <w:rPr>
          <w:lang w:val="fr-FR"/>
        </w:rPr>
        <w:t xml:space="preserve"> </w:t>
      </w:r>
      <w:r w:rsidR="00A14D44" w:rsidRPr="00EC2DAC">
        <w:rPr>
          <w:lang w:val="fr-FR"/>
        </w:rPr>
        <w:t>que ce dernier. Les orientations traiteraient ensuite du mécanisme au niveau national permettant d</w:t>
      </w:r>
      <w:r w:rsidR="008E104B" w:rsidRPr="00EC2DAC">
        <w:rPr>
          <w:lang w:val="fr-FR"/>
        </w:rPr>
        <w:t>’</w:t>
      </w:r>
      <w:r w:rsidR="00A14D44" w:rsidRPr="00EC2DAC">
        <w:rPr>
          <w:lang w:val="fr-FR"/>
        </w:rPr>
        <w:t xml:space="preserve">identifier les sites potentiellement contaminés. </w:t>
      </w:r>
      <w:r>
        <w:rPr>
          <w:lang w:val="fr-FR"/>
        </w:rPr>
        <w:t xml:space="preserve">Dans ce cadre pourrait être menée </w:t>
      </w:r>
      <w:r w:rsidR="00A14D44" w:rsidRPr="00EC2DAC">
        <w:rPr>
          <w:lang w:val="fr-FR"/>
        </w:rPr>
        <w:t>une étude théorique des informations recueillies sur des activités industrielles présentes ou passées au cours desquelles du mercure ou des composés du mercure ont été utilisés ou relâchés, ou sur des zones de déversement de déchets, en combinaison avec les informations recueillies en observant des sites ou en procédant à des enquêtes locales.</w:t>
      </w:r>
    </w:p>
    <w:p w:rsidR="00F60098" w:rsidRPr="00EC2DAC" w:rsidRDefault="004D575D" w:rsidP="00CC1B0A">
      <w:pPr>
        <w:pStyle w:val="NormalNonumber"/>
        <w:rPr>
          <w:b/>
          <w:bCs/>
          <w:lang w:val="fr-FR"/>
        </w:rPr>
      </w:pPr>
      <w:r w:rsidRPr="00EC2DAC">
        <w:rPr>
          <w:lang w:val="fr-FR"/>
        </w:rPr>
        <w:t>La caractérisation des sites potentiellement contaminés identifiés au moyen de ce mécanisme peut être affinée grâce à un protocole d</w:t>
      </w:r>
      <w:r w:rsidR="008E104B" w:rsidRPr="00EC2DAC">
        <w:rPr>
          <w:lang w:val="fr-FR"/>
        </w:rPr>
        <w:t>’</w:t>
      </w:r>
      <w:r w:rsidRPr="00EC2DAC">
        <w:rPr>
          <w:lang w:val="fr-FR"/>
        </w:rPr>
        <w:t xml:space="preserve">évaluation. Les orientations </w:t>
      </w:r>
      <w:r w:rsidR="00D61973">
        <w:rPr>
          <w:lang w:val="fr-FR"/>
        </w:rPr>
        <w:t>décriraient également</w:t>
      </w:r>
      <w:r w:rsidRPr="00EC2DAC">
        <w:rPr>
          <w:lang w:val="fr-FR"/>
        </w:rPr>
        <w:t xml:space="preserve"> la portée d</w:t>
      </w:r>
      <w:r w:rsidR="008E104B" w:rsidRPr="00EC2DAC">
        <w:rPr>
          <w:lang w:val="fr-FR"/>
        </w:rPr>
        <w:t>’</w:t>
      </w:r>
      <w:r w:rsidRPr="00EC2DAC">
        <w:rPr>
          <w:lang w:val="fr-FR"/>
        </w:rPr>
        <w:t>un tel protocole, rappelant qu</w:t>
      </w:r>
      <w:r w:rsidR="008E104B" w:rsidRPr="00EC2DAC">
        <w:rPr>
          <w:lang w:val="fr-FR"/>
        </w:rPr>
        <w:t>’</w:t>
      </w:r>
      <w:r w:rsidRPr="00EC2DAC">
        <w:rPr>
          <w:lang w:val="fr-FR"/>
        </w:rPr>
        <w:t xml:space="preserve">il faudrait </w:t>
      </w:r>
      <w:r w:rsidR="00EA0402">
        <w:rPr>
          <w:lang w:val="fr-FR"/>
        </w:rPr>
        <w:t xml:space="preserve">qu’il soit </w:t>
      </w:r>
      <w:r w:rsidRPr="00EC2DAC">
        <w:rPr>
          <w:lang w:val="fr-FR"/>
        </w:rPr>
        <w:t>approuvé au niveau national. Le protocole d</w:t>
      </w:r>
      <w:r w:rsidR="008E104B" w:rsidRPr="00EC2DAC">
        <w:rPr>
          <w:lang w:val="fr-FR"/>
        </w:rPr>
        <w:t>’</w:t>
      </w:r>
      <w:r w:rsidRPr="00EC2DAC">
        <w:rPr>
          <w:lang w:val="fr-FR"/>
        </w:rPr>
        <w:t xml:space="preserve">évaluation pourrait comprendre une inspection du site afin </w:t>
      </w:r>
      <w:r w:rsidR="00EA0402">
        <w:rPr>
          <w:lang w:val="fr-FR"/>
        </w:rPr>
        <w:t xml:space="preserve">de définir plus précisément </w:t>
      </w:r>
      <w:r w:rsidRPr="00EC2DAC">
        <w:rPr>
          <w:lang w:val="fr-FR"/>
        </w:rPr>
        <w:t>ses caractéristiques (y compris la topographie, les risques de ruissellement ou de contamination des ressources en eau locales, l</w:t>
      </w:r>
      <w:r w:rsidR="008E104B" w:rsidRPr="00EC2DAC">
        <w:rPr>
          <w:lang w:val="fr-FR"/>
        </w:rPr>
        <w:t>’</w:t>
      </w:r>
      <w:r w:rsidRPr="00EC2DAC">
        <w:rPr>
          <w:lang w:val="fr-FR"/>
        </w:rPr>
        <w:t>utilisation présente du site et les preuves de ses utilisations passées). Un échantillonnage rigoureux de l</w:t>
      </w:r>
      <w:r w:rsidR="008E104B" w:rsidRPr="00EC2DAC">
        <w:rPr>
          <w:lang w:val="fr-FR"/>
        </w:rPr>
        <w:t>’</w:t>
      </w:r>
      <w:r w:rsidRPr="00EC2DAC">
        <w:rPr>
          <w:lang w:val="fr-FR"/>
        </w:rPr>
        <w:t>air, du sol et de l</w:t>
      </w:r>
      <w:r w:rsidR="008E104B" w:rsidRPr="00EC2DAC">
        <w:rPr>
          <w:lang w:val="fr-FR"/>
        </w:rPr>
        <w:t>’</w:t>
      </w:r>
      <w:r w:rsidRPr="00EC2DAC">
        <w:rPr>
          <w:lang w:val="fr-FR"/>
        </w:rPr>
        <w:t>eau du site serait nécessaire pour caractériser les risques avec plus de précision et les orientations comprendraient des informations sur le type d</w:t>
      </w:r>
      <w:r w:rsidR="008E104B" w:rsidRPr="00EC2DAC">
        <w:rPr>
          <w:lang w:val="fr-FR"/>
        </w:rPr>
        <w:t>’</w:t>
      </w:r>
      <w:r w:rsidRPr="00EC2DAC">
        <w:rPr>
          <w:lang w:val="fr-FR"/>
        </w:rPr>
        <w:t>informations à prélever  afin de caractériser le site au mieux, ainsi qu</w:t>
      </w:r>
      <w:r w:rsidR="008E104B" w:rsidRPr="00EC2DAC">
        <w:rPr>
          <w:lang w:val="fr-FR"/>
        </w:rPr>
        <w:t>’</w:t>
      </w:r>
      <w:r w:rsidRPr="00EC2DAC">
        <w:rPr>
          <w:lang w:val="fr-FR"/>
        </w:rPr>
        <w:t>un ensemble de méthodes d</w:t>
      </w:r>
      <w:r w:rsidR="008E104B" w:rsidRPr="00EC2DAC">
        <w:rPr>
          <w:lang w:val="fr-FR"/>
        </w:rPr>
        <w:t>’</w:t>
      </w:r>
      <w:r w:rsidRPr="00EC2DAC">
        <w:rPr>
          <w:lang w:val="fr-FR"/>
        </w:rPr>
        <w:t>analyse qui pourraient servir à déterminer la concentration en mercure ou en composés du mercure rencontrée sur le site. Le prélèvement d</w:t>
      </w:r>
      <w:r w:rsidR="008E104B" w:rsidRPr="00EC2DAC">
        <w:rPr>
          <w:lang w:val="fr-FR"/>
        </w:rPr>
        <w:t>’</w:t>
      </w:r>
      <w:r w:rsidRPr="00EC2DAC">
        <w:rPr>
          <w:lang w:val="fr-FR"/>
        </w:rPr>
        <w:t>échantillons sur le biote, notamment les poissons, dans les zones contamin</w:t>
      </w:r>
      <w:r w:rsidR="00EA0402">
        <w:rPr>
          <w:lang w:val="fr-FR"/>
        </w:rPr>
        <w:t>ées par le</w:t>
      </w:r>
      <w:r w:rsidRPr="00EC2DAC">
        <w:rPr>
          <w:lang w:val="fr-FR"/>
        </w:rPr>
        <w:t xml:space="preserve"> mercure peut fournir des informations utiles, en particulier concernant les risques d</w:t>
      </w:r>
      <w:r w:rsidR="008E104B" w:rsidRPr="00EC2DAC">
        <w:rPr>
          <w:lang w:val="fr-FR"/>
        </w:rPr>
        <w:t>’</w:t>
      </w:r>
      <w:r w:rsidRPr="00EC2DAC">
        <w:rPr>
          <w:lang w:val="fr-FR"/>
        </w:rPr>
        <w:t xml:space="preserve">exposition des populations locales </w:t>
      </w:r>
      <w:r w:rsidR="00EA0402">
        <w:rPr>
          <w:lang w:val="fr-FR"/>
        </w:rPr>
        <w:t xml:space="preserve">du fait de </w:t>
      </w:r>
      <w:r w:rsidRPr="00EC2DAC">
        <w:rPr>
          <w:lang w:val="fr-FR"/>
        </w:rPr>
        <w:t>leur régime alimentaire, et des prélèvements sur les populations locales elles-mêmes pourraient s</w:t>
      </w:r>
      <w:r w:rsidR="008E104B" w:rsidRPr="00EC2DAC">
        <w:rPr>
          <w:lang w:val="fr-FR"/>
        </w:rPr>
        <w:t>’</w:t>
      </w:r>
      <w:r w:rsidRPr="00EC2DAC">
        <w:rPr>
          <w:lang w:val="fr-FR"/>
        </w:rPr>
        <w:t>avérer nécessaires. Une description des techniques de prélèvement des échantillons et des méthodes d</w:t>
      </w:r>
      <w:r w:rsidR="008E104B" w:rsidRPr="00EC2DAC">
        <w:rPr>
          <w:lang w:val="fr-FR"/>
        </w:rPr>
        <w:t>’</w:t>
      </w:r>
      <w:r w:rsidRPr="00EC2DAC">
        <w:rPr>
          <w:lang w:val="fr-FR"/>
        </w:rPr>
        <w:t>analyse recommandées devraient figurer dans les orientations. Les orientations pourraient également comprendre des informations sur l</w:t>
      </w:r>
      <w:r w:rsidR="008E104B" w:rsidRPr="00EC2DAC">
        <w:rPr>
          <w:lang w:val="fr-FR"/>
        </w:rPr>
        <w:t>’</w:t>
      </w:r>
      <w:r w:rsidRPr="00EC2DAC">
        <w:rPr>
          <w:lang w:val="fr-FR"/>
        </w:rPr>
        <w:t xml:space="preserve">ordre de priorité des activités, dans le cas où une activité initiale est menée pour filtrer les sites </w:t>
      </w:r>
      <w:r w:rsidR="00EA0402">
        <w:rPr>
          <w:lang w:val="fr-FR"/>
        </w:rPr>
        <w:t xml:space="preserve">dont on </w:t>
      </w:r>
      <w:r w:rsidRPr="00EC2DAC">
        <w:rPr>
          <w:lang w:val="fr-FR"/>
        </w:rPr>
        <w:t>consid</w:t>
      </w:r>
      <w:r w:rsidR="00EA0402">
        <w:rPr>
          <w:lang w:val="fr-FR"/>
        </w:rPr>
        <w:t xml:space="preserve">ère qu’ils </w:t>
      </w:r>
      <w:r w:rsidRPr="00EC2DAC">
        <w:rPr>
          <w:lang w:val="fr-FR"/>
        </w:rPr>
        <w:t>présent</w:t>
      </w:r>
      <w:r w:rsidR="00EA0402">
        <w:rPr>
          <w:lang w:val="fr-FR"/>
        </w:rPr>
        <w:t>ent</w:t>
      </w:r>
      <w:r w:rsidRPr="00EC2DAC">
        <w:rPr>
          <w:lang w:val="fr-FR"/>
        </w:rPr>
        <w:t xml:space="preserve"> les risques </w:t>
      </w:r>
      <w:r w:rsidR="00D61973">
        <w:rPr>
          <w:lang w:val="fr-FR"/>
        </w:rPr>
        <w:t xml:space="preserve">les plus élevés </w:t>
      </w:r>
      <w:r w:rsidRPr="00EC2DAC">
        <w:rPr>
          <w:lang w:val="fr-FR"/>
        </w:rPr>
        <w:t>(en tenant compte de certains facteurs tels que la proximité de centres habités, l</w:t>
      </w:r>
      <w:r w:rsidR="008E104B" w:rsidRPr="00EC2DAC">
        <w:rPr>
          <w:lang w:val="fr-FR"/>
        </w:rPr>
        <w:t>’</w:t>
      </w:r>
      <w:r w:rsidR="00EC2DAC" w:rsidRPr="00EC2DAC">
        <w:rPr>
          <w:lang w:val="fr-FR"/>
        </w:rPr>
        <w:t>éventualité</w:t>
      </w:r>
      <w:r w:rsidRPr="00EC2DAC">
        <w:rPr>
          <w:lang w:val="fr-FR"/>
        </w:rPr>
        <w:t xml:space="preserve"> d</w:t>
      </w:r>
      <w:r w:rsidR="008E104B" w:rsidRPr="00EC2DAC">
        <w:rPr>
          <w:lang w:val="fr-FR"/>
        </w:rPr>
        <w:t>’</w:t>
      </w:r>
      <w:r w:rsidRPr="00EC2DAC">
        <w:rPr>
          <w:lang w:val="fr-FR"/>
        </w:rPr>
        <w:t xml:space="preserve">une contamination des eaux souterraines ou des réseaux fluviaux et la concentration en mercure constatée sur le site). </w:t>
      </w:r>
    </w:p>
    <w:p w:rsidR="00154AF0" w:rsidRPr="00EC2DAC" w:rsidRDefault="00CC1B0A" w:rsidP="00CC1B0A">
      <w:pPr>
        <w:pStyle w:val="CH3"/>
        <w:rPr>
          <w:lang w:val="fr-FR"/>
        </w:rPr>
      </w:pPr>
      <w:r w:rsidRPr="00EC2DAC">
        <w:rPr>
          <w:lang w:val="fr-FR"/>
        </w:rPr>
        <w:tab/>
      </w:r>
      <w:r w:rsidRPr="00EC2DAC">
        <w:rPr>
          <w:lang w:val="fr-FR"/>
        </w:rPr>
        <w:tab/>
        <w:t>Mobilisation du public</w:t>
      </w:r>
    </w:p>
    <w:p w:rsidR="00A10B17" w:rsidRPr="00EC2DAC" w:rsidRDefault="00D61973" w:rsidP="00BA2788">
      <w:pPr>
        <w:pStyle w:val="NormalNonumber"/>
        <w:rPr>
          <w:b/>
          <w:bCs/>
          <w:lang w:val="fr-FR"/>
        </w:rPr>
      </w:pPr>
      <w:r>
        <w:rPr>
          <w:lang w:val="fr-FR"/>
        </w:rPr>
        <w:t>On sait qu’il est essentiel de mobiliser le</w:t>
      </w:r>
      <w:r w:rsidR="00A10B17" w:rsidRPr="00EC2DAC">
        <w:rPr>
          <w:lang w:val="fr-FR"/>
        </w:rPr>
        <w:t xml:space="preserve"> public. Les orientations comprendront des informations sur l</w:t>
      </w:r>
      <w:r w:rsidR="008E104B" w:rsidRPr="00EC2DAC">
        <w:rPr>
          <w:lang w:val="fr-FR"/>
        </w:rPr>
        <w:t>’</w:t>
      </w:r>
      <w:r w:rsidR="00A10B17" w:rsidRPr="00EC2DAC">
        <w:rPr>
          <w:lang w:val="fr-FR"/>
        </w:rPr>
        <w:t xml:space="preserve">organisation de consultations publiques, notamment concernant la collecte et la </w:t>
      </w:r>
      <w:r>
        <w:rPr>
          <w:lang w:val="fr-FR"/>
        </w:rPr>
        <w:t>diffusion</w:t>
      </w:r>
      <w:r w:rsidRPr="00EC2DAC">
        <w:rPr>
          <w:lang w:val="fr-FR"/>
        </w:rPr>
        <w:t xml:space="preserve"> </w:t>
      </w:r>
      <w:r w:rsidR="00A10B17" w:rsidRPr="00EC2DAC">
        <w:rPr>
          <w:lang w:val="fr-FR"/>
        </w:rPr>
        <w:t>d</w:t>
      </w:r>
      <w:r w:rsidR="008E104B" w:rsidRPr="00EC2DAC">
        <w:rPr>
          <w:lang w:val="fr-FR"/>
        </w:rPr>
        <w:t>’</w:t>
      </w:r>
      <w:r w:rsidR="00A10B17" w:rsidRPr="00EC2DAC">
        <w:rPr>
          <w:lang w:val="fr-FR"/>
        </w:rPr>
        <w:t>informations, la participation du public et des parties prenantes à l</w:t>
      </w:r>
      <w:r w:rsidR="008E104B" w:rsidRPr="00EC2DAC">
        <w:rPr>
          <w:lang w:val="fr-FR"/>
        </w:rPr>
        <w:t>’</w:t>
      </w:r>
      <w:r w:rsidR="00A10B17" w:rsidRPr="00EC2DAC">
        <w:rPr>
          <w:lang w:val="fr-FR"/>
        </w:rPr>
        <w:t>établissement d</w:t>
      </w:r>
      <w:r w:rsidR="008E104B" w:rsidRPr="00EC2DAC">
        <w:rPr>
          <w:lang w:val="fr-FR"/>
        </w:rPr>
        <w:t>’</w:t>
      </w:r>
      <w:r w:rsidR="00A10B17" w:rsidRPr="00EC2DAC">
        <w:rPr>
          <w:lang w:val="fr-FR"/>
        </w:rPr>
        <w:t>un plan et d</w:t>
      </w:r>
      <w:r w:rsidR="008E104B" w:rsidRPr="00EC2DAC">
        <w:rPr>
          <w:lang w:val="fr-FR"/>
        </w:rPr>
        <w:t>’</w:t>
      </w:r>
      <w:r w:rsidR="00A10B17" w:rsidRPr="00EC2DAC">
        <w:rPr>
          <w:lang w:val="fr-FR"/>
        </w:rPr>
        <w:t>engagements ayant trait au processus d</w:t>
      </w:r>
      <w:r w:rsidR="008E104B" w:rsidRPr="00EC2DAC">
        <w:rPr>
          <w:lang w:val="fr-FR"/>
        </w:rPr>
        <w:t>’</w:t>
      </w:r>
      <w:r w:rsidR="00A10B17" w:rsidRPr="00EC2DAC">
        <w:rPr>
          <w:lang w:val="fr-FR"/>
        </w:rPr>
        <w:t xml:space="preserve">évaluation et à tout processus éventuel de remise en état, ainsi que les moyens de recueillir des informations en retour pour mesurer </w:t>
      </w:r>
      <w:r>
        <w:rPr>
          <w:lang w:val="fr-FR"/>
        </w:rPr>
        <w:t>la participation</w:t>
      </w:r>
      <w:r w:rsidRPr="00EC2DAC">
        <w:rPr>
          <w:lang w:val="fr-FR"/>
        </w:rPr>
        <w:t xml:space="preserve"> </w:t>
      </w:r>
      <w:r w:rsidR="00A10B17" w:rsidRPr="00EC2DAC">
        <w:rPr>
          <w:lang w:val="fr-FR"/>
        </w:rPr>
        <w:t>du public et les niveaux de satisfaction. Les orientations contiendront également des informations sur les activités visant à sensibiliser le public et renforcer les capacités, en particulier celles ayant trait à toute action nécessaire à la réduction de l</w:t>
      </w:r>
      <w:r w:rsidR="008E104B" w:rsidRPr="00EC2DAC">
        <w:rPr>
          <w:lang w:val="fr-FR"/>
        </w:rPr>
        <w:t>’</w:t>
      </w:r>
      <w:r w:rsidR="00A10B17" w:rsidRPr="00EC2DAC">
        <w:rPr>
          <w:lang w:val="fr-FR"/>
        </w:rPr>
        <w:t xml:space="preserve">exposition au mercure. </w:t>
      </w:r>
    </w:p>
    <w:p w:rsidR="00154AF0" w:rsidRPr="00EC2DAC" w:rsidRDefault="00CC1B0A" w:rsidP="00CC1B0A">
      <w:pPr>
        <w:pStyle w:val="CH3"/>
        <w:rPr>
          <w:lang w:val="fr-FR"/>
        </w:rPr>
      </w:pPr>
      <w:r w:rsidRPr="00EC2DAC">
        <w:rPr>
          <w:lang w:val="fr-FR"/>
        </w:rPr>
        <w:tab/>
      </w:r>
      <w:r w:rsidRPr="00EC2DAC">
        <w:rPr>
          <w:lang w:val="fr-FR"/>
        </w:rPr>
        <w:tab/>
        <w:t>Évaluations des risques pour la santé humaine et l</w:t>
      </w:r>
      <w:r w:rsidR="008E104B" w:rsidRPr="00EC2DAC">
        <w:rPr>
          <w:lang w:val="fr-FR"/>
        </w:rPr>
        <w:t>’</w:t>
      </w:r>
      <w:r w:rsidRPr="00EC2DAC">
        <w:rPr>
          <w:lang w:val="fr-FR"/>
        </w:rPr>
        <w:t>environnement</w:t>
      </w:r>
    </w:p>
    <w:p w:rsidR="00947CEA" w:rsidRPr="00EC2DAC" w:rsidRDefault="00947CEA" w:rsidP="00BA2788">
      <w:pPr>
        <w:pStyle w:val="NormalNonumber"/>
        <w:rPr>
          <w:b/>
          <w:bCs/>
          <w:lang w:val="fr-FR"/>
        </w:rPr>
      </w:pPr>
      <w:r w:rsidRPr="00EC2DAC">
        <w:rPr>
          <w:lang w:val="fr-FR"/>
        </w:rPr>
        <w:t>Mesurer l</w:t>
      </w:r>
      <w:r w:rsidR="008E104B" w:rsidRPr="00EC2DAC">
        <w:rPr>
          <w:lang w:val="fr-FR"/>
        </w:rPr>
        <w:t>’</w:t>
      </w:r>
      <w:r w:rsidRPr="00EC2DAC">
        <w:rPr>
          <w:lang w:val="fr-FR"/>
        </w:rPr>
        <w:t>impact des sites suppose d</w:t>
      </w:r>
      <w:r w:rsidR="008E104B" w:rsidRPr="00EC2DAC">
        <w:rPr>
          <w:lang w:val="fr-FR"/>
        </w:rPr>
        <w:t>’</w:t>
      </w:r>
      <w:r w:rsidRPr="00EC2DAC">
        <w:rPr>
          <w:lang w:val="fr-FR"/>
        </w:rPr>
        <w:t>évaluer les risques qu</w:t>
      </w:r>
      <w:r w:rsidR="008E104B" w:rsidRPr="00EC2DAC">
        <w:rPr>
          <w:lang w:val="fr-FR"/>
        </w:rPr>
        <w:t>’</w:t>
      </w:r>
      <w:r w:rsidRPr="00EC2DAC">
        <w:rPr>
          <w:lang w:val="fr-FR"/>
        </w:rPr>
        <w:t>ils font peser à la fois sur la santé humaine et sur l</w:t>
      </w:r>
      <w:r w:rsidR="008E104B" w:rsidRPr="00EC2DAC">
        <w:rPr>
          <w:lang w:val="fr-FR"/>
        </w:rPr>
        <w:t>’</w:t>
      </w:r>
      <w:r w:rsidRPr="00EC2DAC">
        <w:rPr>
          <w:lang w:val="fr-FR"/>
        </w:rPr>
        <w:t>environnement. Bien que les dangers du mercure soient bien connus et universels, la nature de l</w:t>
      </w:r>
      <w:r w:rsidR="008E104B" w:rsidRPr="00EC2DAC">
        <w:rPr>
          <w:lang w:val="fr-FR"/>
        </w:rPr>
        <w:t>’</w:t>
      </w:r>
      <w:r w:rsidRPr="00EC2DAC">
        <w:rPr>
          <w:lang w:val="fr-FR"/>
        </w:rPr>
        <w:t>exposition résultant de la présence de mercure est propre à chaque site. Les orientations incorporeront quelques informations sur les dangers du mercure et des composés du mercure mais se pencheront plus particulièrement sur les façons dont les caractéristiques des sites pourraient contribuer à l</w:t>
      </w:r>
      <w:r w:rsidR="008E104B" w:rsidRPr="00EC2DAC">
        <w:rPr>
          <w:lang w:val="fr-FR"/>
        </w:rPr>
        <w:t>’</w:t>
      </w:r>
      <w:r w:rsidRPr="00EC2DAC">
        <w:rPr>
          <w:lang w:val="fr-FR"/>
        </w:rPr>
        <w:t>exposition des êtres humains et de l</w:t>
      </w:r>
      <w:r w:rsidR="008E104B" w:rsidRPr="00EC2DAC">
        <w:rPr>
          <w:lang w:val="fr-FR"/>
        </w:rPr>
        <w:t>’</w:t>
      </w:r>
      <w:r w:rsidRPr="00EC2DAC">
        <w:rPr>
          <w:lang w:val="fr-FR"/>
        </w:rPr>
        <w:t>environnement et l</w:t>
      </w:r>
      <w:r w:rsidR="00D61973">
        <w:rPr>
          <w:lang w:val="fr-FR"/>
        </w:rPr>
        <w:t>es méthodes de mesure de</w:t>
      </w:r>
      <w:r w:rsidRPr="00EC2DAC">
        <w:rPr>
          <w:lang w:val="fr-FR"/>
        </w:rPr>
        <w:t xml:space="preserve"> cette exposition. Elles fourniront ensuite des informations sur la façon de déterminer les risques que présentent les sites, y compris l</w:t>
      </w:r>
      <w:r w:rsidR="008E104B" w:rsidRPr="00EC2DAC">
        <w:rPr>
          <w:lang w:val="fr-FR"/>
        </w:rPr>
        <w:t>’</w:t>
      </w:r>
      <w:r w:rsidRPr="00EC2DAC">
        <w:rPr>
          <w:lang w:val="fr-FR"/>
        </w:rPr>
        <w:t>objet principal de ces risques, qu</w:t>
      </w:r>
      <w:r w:rsidR="008E104B" w:rsidRPr="00EC2DAC">
        <w:rPr>
          <w:lang w:val="fr-FR"/>
        </w:rPr>
        <w:t>’</w:t>
      </w:r>
      <w:r w:rsidRPr="00EC2DAC">
        <w:rPr>
          <w:lang w:val="fr-FR"/>
        </w:rPr>
        <w:t>il s</w:t>
      </w:r>
      <w:r w:rsidR="008E104B" w:rsidRPr="00EC2DAC">
        <w:rPr>
          <w:lang w:val="fr-FR"/>
        </w:rPr>
        <w:t>’</w:t>
      </w:r>
      <w:r w:rsidRPr="00EC2DAC">
        <w:rPr>
          <w:lang w:val="fr-FR"/>
        </w:rPr>
        <w:t>agisse de l</w:t>
      </w:r>
      <w:r w:rsidR="008E104B" w:rsidRPr="00EC2DAC">
        <w:rPr>
          <w:lang w:val="fr-FR"/>
        </w:rPr>
        <w:t>’</w:t>
      </w:r>
      <w:r w:rsidRPr="00EC2DAC">
        <w:rPr>
          <w:lang w:val="fr-FR"/>
        </w:rPr>
        <w:t xml:space="preserve">environnement, de la santé humaine ou des deux à la fois. </w:t>
      </w:r>
    </w:p>
    <w:p w:rsidR="00154AF0" w:rsidRPr="00EC2DAC" w:rsidRDefault="00CC1B0A" w:rsidP="00CC1B0A">
      <w:pPr>
        <w:pStyle w:val="CH3"/>
        <w:rPr>
          <w:lang w:val="fr-FR"/>
        </w:rPr>
      </w:pPr>
      <w:r w:rsidRPr="00EC2DAC">
        <w:rPr>
          <w:lang w:val="fr-FR"/>
        </w:rPr>
        <w:tab/>
      </w:r>
      <w:r w:rsidRPr="00EC2DAC">
        <w:rPr>
          <w:lang w:val="fr-FR"/>
        </w:rPr>
        <w:tab/>
        <w:t>Options de gestion des risques présentés par les sites contaminés</w:t>
      </w:r>
    </w:p>
    <w:p w:rsidR="00947CEA" w:rsidRPr="00EC2DAC" w:rsidRDefault="00947CEA" w:rsidP="00BA2788">
      <w:pPr>
        <w:pStyle w:val="NormalNonumber"/>
        <w:rPr>
          <w:b/>
          <w:bCs/>
          <w:lang w:val="fr-FR"/>
        </w:rPr>
      </w:pPr>
      <w:r w:rsidRPr="00EC2DAC">
        <w:rPr>
          <w:lang w:val="fr-FR"/>
        </w:rPr>
        <w:t>Une fois qu</w:t>
      </w:r>
      <w:r w:rsidR="008E104B" w:rsidRPr="00EC2DAC">
        <w:rPr>
          <w:lang w:val="fr-FR"/>
        </w:rPr>
        <w:t>’</w:t>
      </w:r>
      <w:r w:rsidRPr="00EC2DAC">
        <w:rPr>
          <w:lang w:val="fr-FR"/>
        </w:rPr>
        <w:t xml:space="preserve">un site contaminé a été évalué, il est nécessaire de prendre des décisions au niveau national quant aux meilleurs </w:t>
      </w:r>
      <w:r w:rsidR="00D61973">
        <w:rPr>
          <w:lang w:val="fr-FR"/>
        </w:rPr>
        <w:t>moyens de le gérer</w:t>
      </w:r>
      <w:r w:rsidRPr="00EC2DAC">
        <w:rPr>
          <w:lang w:val="fr-FR"/>
        </w:rPr>
        <w:t xml:space="preserve">. Les orientations contiendront des informations sur diverses </w:t>
      </w:r>
      <w:r w:rsidR="00D61973">
        <w:rPr>
          <w:lang w:val="fr-FR"/>
        </w:rPr>
        <w:t>solutions</w:t>
      </w:r>
      <w:r w:rsidR="00D61973" w:rsidRPr="00EC2DAC">
        <w:rPr>
          <w:lang w:val="fr-FR"/>
        </w:rPr>
        <w:t xml:space="preserve"> </w:t>
      </w:r>
      <w:r w:rsidRPr="00EC2DAC">
        <w:rPr>
          <w:lang w:val="fr-FR"/>
        </w:rPr>
        <w:t>de gestion des risques que présentent les sites contaminés. Elles prendront en compte la nécessité de protéger les êtres humains et l</w:t>
      </w:r>
      <w:r w:rsidR="008E104B" w:rsidRPr="00EC2DAC">
        <w:rPr>
          <w:lang w:val="fr-FR"/>
        </w:rPr>
        <w:t>’</w:t>
      </w:r>
      <w:r w:rsidRPr="00EC2DAC">
        <w:rPr>
          <w:lang w:val="fr-FR"/>
        </w:rPr>
        <w:t xml:space="preserve">environnement tout au long du processus de gestion des risques et de mener toute action de manière écologiquement rationnelle. </w:t>
      </w:r>
    </w:p>
    <w:p w:rsidR="00154AF0" w:rsidRPr="00EC2DAC" w:rsidRDefault="00CC1B0A" w:rsidP="00CC1B0A">
      <w:pPr>
        <w:pStyle w:val="CH3"/>
        <w:rPr>
          <w:lang w:val="fr-FR"/>
        </w:rPr>
      </w:pPr>
      <w:r w:rsidRPr="00EC2DAC">
        <w:rPr>
          <w:lang w:val="fr-FR"/>
        </w:rPr>
        <w:tab/>
      </w:r>
      <w:r w:rsidRPr="00EC2DAC">
        <w:rPr>
          <w:lang w:val="fr-FR"/>
        </w:rPr>
        <w:tab/>
        <w:t>Évaluation des avantages et des coûts</w:t>
      </w:r>
    </w:p>
    <w:p w:rsidR="00D23105" w:rsidRPr="00EC2DAC" w:rsidRDefault="00D61973" w:rsidP="00BA2788">
      <w:pPr>
        <w:pStyle w:val="NormalNonumber"/>
        <w:rPr>
          <w:b/>
          <w:bCs/>
          <w:lang w:val="fr-FR"/>
        </w:rPr>
      </w:pPr>
      <w:r>
        <w:rPr>
          <w:lang w:val="fr-FR"/>
        </w:rPr>
        <w:t>On sait</w:t>
      </w:r>
      <w:r w:rsidR="00D23105" w:rsidRPr="00EC2DAC">
        <w:rPr>
          <w:lang w:val="fr-FR"/>
        </w:rPr>
        <w:t xml:space="preserve"> que l</w:t>
      </w:r>
      <w:r w:rsidR="008E104B" w:rsidRPr="00EC2DAC">
        <w:rPr>
          <w:lang w:val="fr-FR"/>
        </w:rPr>
        <w:t>’</w:t>
      </w:r>
      <w:r w:rsidR="00D23105" w:rsidRPr="00EC2DAC">
        <w:rPr>
          <w:lang w:val="fr-FR"/>
        </w:rPr>
        <w:t>identification, la caractérisation, l</w:t>
      </w:r>
      <w:r w:rsidR="008E104B" w:rsidRPr="00EC2DAC">
        <w:rPr>
          <w:lang w:val="fr-FR"/>
        </w:rPr>
        <w:t>’</w:t>
      </w:r>
      <w:r w:rsidR="00D23105" w:rsidRPr="00EC2DAC">
        <w:rPr>
          <w:lang w:val="fr-FR"/>
        </w:rPr>
        <w:t xml:space="preserve">évaluation et la remise en état des sites contaminés </w:t>
      </w:r>
      <w:r w:rsidR="00EC2DAC" w:rsidRPr="00EC2DAC">
        <w:rPr>
          <w:lang w:val="fr-FR"/>
        </w:rPr>
        <w:t>engendreront</w:t>
      </w:r>
      <w:r w:rsidR="00D23105" w:rsidRPr="00EC2DAC">
        <w:rPr>
          <w:lang w:val="fr-FR"/>
        </w:rPr>
        <w:t xml:space="preserve"> des coûts; cependant, </w:t>
      </w:r>
      <w:r>
        <w:rPr>
          <w:lang w:val="fr-FR"/>
        </w:rPr>
        <w:t>on sait</w:t>
      </w:r>
      <w:r w:rsidR="00D23105" w:rsidRPr="00EC2DAC">
        <w:rPr>
          <w:lang w:val="fr-FR"/>
        </w:rPr>
        <w:t xml:space="preserve"> également que les effets du mercure et des composés du mercure sur les populations locales et l</w:t>
      </w:r>
      <w:r w:rsidR="008E104B" w:rsidRPr="00EC2DAC">
        <w:rPr>
          <w:lang w:val="fr-FR"/>
        </w:rPr>
        <w:t>’</w:t>
      </w:r>
      <w:r w:rsidR="00D23105" w:rsidRPr="00EC2DAC">
        <w:rPr>
          <w:lang w:val="fr-FR"/>
        </w:rPr>
        <w:t xml:space="preserve">environnement engendrent aussi des coûts. Les orientations fourniront des informations </w:t>
      </w:r>
      <w:r>
        <w:rPr>
          <w:lang w:val="fr-FR"/>
        </w:rPr>
        <w:t>permettant d’</w:t>
      </w:r>
      <w:r w:rsidR="00D23105" w:rsidRPr="00EC2DAC">
        <w:rPr>
          <w:lang w:val="fr-FR"/>
        </w:rPr>
        <w:t xml:space="preserve">évaluer au mieux les coûts et avantages des activités menées dans </w:t>
      </w:r>
      <w:r>
        <w:rPr>
          <w:lang w:val="fr-FR"/>
        </w:rPr>
        <w:t>les</w:t>
      </w:r>
      <w:r w:rsidR="00D23105" w:rsidRPr="00EC2DAC">
        <w:rPr>
          <w:lang w:val="fr-FR"/>
        </w:rPr>
        <w:t xml:space="preserve"> sites contaminés, tout en reconnaissant qu</w:t>
      </w:r>
      <w:r w:rsidR="008E104B" w:rsidRPr="00EC2DAC">
        <w:rPr>
          <w:lang w:val="fr-FR"/>
        </w:rPr>
        <w:t>’</w:t>
      </w:r>
      <w:r w:rsidR="00D23105" w:rsidRPr="00EC2DAC">
        <w:rPr>
          <w:lang w:val="fr-FR"/>
        </w:rPr>
        <w:t xml:space="preserve">il y aura des variations entre les pays quant au coût des interventions. </w:t>
      </w:r>
    </w:p>
    <w:p w:rsidR="00154AF0" w:rsidRPr="00EC2DAC" w:rsidRDefault="00CC1B0A" w:rsidP="00CC1B0A">
      <w:pPr>
        <w:pStyle w:val="CH3"/>
        <w:rPr>
          <w:lang w:val="fr-FR"/>
        </w:rPr>
      </w:pPr>
      <w:r w:rsidRPr="00EC2DAC">
        <w:rPr>
          <w:lang w:val="fr-FR"/>
        </w:rPr>
        <w:tab/>
      </w:r>
      <w:r w:rsidRPr="00EC2DAC">
        <w:rPr>
          <w:lang w:val="fr-FR"/>
        </w:rPr>
        <w:tab/>
        <w:t>Validation des résultats</w:t>
      </w:r>
    </w:p>
    <w:p w:rsidR="00D23105" w:rsidRPr="00EC2DAC" w:rsidRDefault="00D23105" w:rsidP="00BA2788">
      <w:pPr>
        <w:pStyle w:val="NormalNonumber"/>
        <w:rPr>
          <w:b/>
          <w:bCs/>
          <w:lang w:val="fr-FR"/>
        </w:rPr>
      </w:pPr>
      <w:r w:rsidRPr="00EC2DAC">
        <w:rPr>
          <w:lang w:val="fr-FR"/>
        </w:rPr>
        <w:t xml:space="preserve">Il est nécessaire de valider les résultats de toute activité achevée </w:t>
      </w:r>
      <w:r w:rsidR="00D61973">
        <w:rPr>
          <w:lang w:val="fr-FR"/>
        </w:rPr>
        <w:t>dans un</w:t>
      </w:r>
      <w:r w:rsidRPr="00EC2DAC">
        <w:rPr>
          <w:lang w:val="fr-FR"/>
        </w:rPr>
        <w:t xml:space="preserve"> site contaminé, notamment </w:t>
      </w:r>
      <w:r w:rsidR="00D61973">
        <w:rPr>
          <w:lang w:val="fr-FR"/>
        </w:rPr>
        <w:t>pour</w:t>
      </w:r>
      <w:r w:rsidRPr="00EC2DAC">
        <w:rPr>
          <w:lang w:val="fr-FR"/>
        </w:rPr>
        <w:t xml:space="preserve"> déterminer l</w:t>
      </w:r>
      <w:r w:rsidR="008E104B" w:rsidRPr="00EC2DAC">
        <w:rPr>
          <w:lang w:val="fr-FR"/>
        </w:rPr>
        <w:t>’</w:t>
      </w:r>
      <w:r w:rsidRPr="00EC2DAC">
        <w:rPr>
          <w:lang w:val="fr-FR"/>
        </w:rPr>
        <w:t xml:space="preserve">efficacité des interventions menées et </w:t>
      </w:r>
      <w:r w:rsidR="00D61973">
        <w:rPr>
          <w:lang w:val="fr-FR"/>
        </w:rPr>
        <w:t xml:space="preserve">déterminer s’il faut mener </w:t>
      </w:r>
      <w:r w:rsidRPr="00EC2DAC">
        <w:rPr>
          <w:lang w:val="fr-FR"/>
        </w:rPr>
        <w:t>d</w:t>
      </w:r>
      <w:r w:rsidR="008E104B" w:rsidRPr="00EC2DAC">
        <w:rPr>
          <w:lang w:val="fr-FR"/>
        </w:rPr>
        <w:t>’</w:t>
      </w:r>
      <w:r w:rsidR="00D61973">
        <w:rPr>
          <w:lang w:val="fr-FR"/>
        </w:rPr>
        <w:t xml:space="preserve">autres </w:t>
      </w:r>
      <w:r w:rsidRPr="00EC2DAC">
        <w:rPr>
          <w:lang w:val="fr-FR"/>
        </w:rPr>
        <w:t>activités. Les orientations contiendront des informations sur les activités nécessaires à la validation des résultats.</w:t>
      </w:r>
    </w:p>
    <w:p w:rsidR="00580C85" w:rsidRPr="00EC2DAC" w:rsidRDefault="00CC1B0A" w:rsidP="00CC1B0A">
      <w:pPr>
        <w:pStyle w:val="CH3"/>
        <w:rPr>
          <w:lang w:val="fr-FR"/>
        </w:rPr>
      </w:pPr>
      <w:r w:rsidRPr="00EC2DAC">
        <w:rPr>
          <w:lang w:val="fr-FR"/>
        </w:rPr>
        <w:tab/>
      </w:r>
      <w:r w:rsidRPr="00EC2DAC">
        <w:rPr>
          <w:lang w:val="fr-FR"/>
        </w:rPr>
        <w:tab/>
        <w:t>Coopération pour l</w:t>
      </w:r>
      <w:r w:rsidR="008E104B" w:rsidRPr="00EC2DAC">
        <w:rPr>
          <w:lang w:val="fr-FR"/>
        </w:rPr>
        <w:t>’</w:t>
      </w:r>
      <w:r w:rsidRPr="00EC2DAC">
        <w:rPr>
          <w:lang w:val="fr-FR"/>
        </w:rPr>
        <w:t>élaboration de stratégies et l</w:t>
      </w:r>
      <w:r w:rsidR="008E104B" w:rsidRPr="00EC2DAC">
        <w:rPr>
          <w:lang w:val="fr-FR"/>
        </w:rPr>
        <w:t>’</w:t>
      </w:r>
      <w:r w:rsidRPr="00EC2DAC">
        <w:rPr>
          <w:lang w:val="fr-FR"/>
        </w:rPr>
        <w:t>exécution d</w:t>
      </w:r>
      <w:r w:rsidR="008E104B" w:rsidRPr="00EC2DAC">
        <w:rPr>
          <w:lang w:val="fr-FR"/>
        </w:rPr>
        <w:t>’</w:t>
      </w:r>
      <w:r w:rsidRPr="00EC2DAC">
        <w:rPr>
          <w:lang w:val="fr-FR"/>
        </w:rPr>
        <w:t>activités visant à identifier, évaluer, classer par ordre de priorité, gérer et, s</w:t>
      </w:r>
      <w:r w:rsidR="008E104B" w:rsidRPr="00EC2DAC">
        <w:rPr>
          <w:lang w:val="fr-FR"/>
        </w:rPr>
        <w:t>’</w:t>
      </w:r>
      <w:r w:rsidRPr="00EC2DAC">
        <w:rPr>
          <w:lang w:val="fr-FR"/>
        </w:rPr>
        <w:t xml:space="preserve">il y a lieu, remettre en état les sites contaminés </w:t>
      </w:r>
    </w:p>
    <w:p w:rsidR="00580C85" w:rsidRPr="00EC2DAC" w:rsidRDefault="00D61973" w:rsidP="00BA2788">
      <w:pPr>
        <w:pStyle w:val="NormalNonumber"/>
        <w:rPr>
          <w:b/>
          <w:bCs/>
          <w:lang w:val="fr-FR"/>
        </w:rPr>
      </w:pPr>
      <w:r>
        <w:rPr>
          <w:lang w:val="fr-FR"/>
        </w:rPr>
        <w:t>Cette</w:t>
      </w:r>
      <w:r w:rsidRPr="00EC2DAC">
        <w:rPr>
          <w:lang w:val="fr-FR"/>
        </w:rPr>
        <w:t xml:space="preserve"> </w:t>
      </w:r>
      <w:r w:rsidR="00EE6464" w:rsidRPr="00EC2DAC">
        <w:rPr>
          <w:lang w:val="fr-FR"/>
        </w:rPr>
        <w:t xml:space="preserve">section exposera les stratégies possibles à disposition des parties souhaitant coopérer dans le cadre des activités en lien avec les sites contaminés. Les stratégies en question pourraient comprendre des activités de </w:t>
      </w:r>
      <w:r>
        <w:rPr>
          <w:lang w:val="fr-FR"/>
        </w:rPr>
        <w:t>mise en commun</w:t>
      </w:r>
      <w:r w:rsidRPr="00EC2DAC">
        <w:rPr>
          <w:lang w:val="fr-FR"/>
        </w:rPr>
        <w:t xml:space="preserve"> </w:t>
      </w:r>
      <w:r w:rsidR="00EE6464" w:rsidRPr="00EC2DAC">
        <w:rPr>
          <w:lang w:val="fr-FR"/>
        </w:rPr>
        <w:t>de l</w:t>
      </w:r>
      <w:r w:rsidR="008E104B" w:rsidRPr="00EC2DAC">
        <w:rPr>
          <w:lang w:val="fr-FR"/>
        </w:rPr>
        <w:t>’</w:t>
      </w:r>
      <w:r w:rsidR="00EE6464" w:rsidRPr="00EC2DAC">
        <w:rPr>
          <w:lang w:val="fr-FR"/>
        </w:rPr>
        <w:t>information, la définition des solutions possibles pour une évaluation conjointe des sites, la coordination des plans de communication ayant trait aux sites et d</w:t>
      </w:r>
      <w:r w:rsidR="008E104B" w:rsidRPr="00EC2DAC">
        <w:rPr>
          <w:lang w:val="fr-FR"/>
        </w:rPr>
        <w:t>’</w:t>
      </w:r>
      <w:r w:rsidR="00EE6464" w:rsidRPr="00EC2DAC">
        <w:rPr>
          <w:lang w:val="fr-FR"/>
        </w:rPr>
        <w:t>autres activités de coopération, s</w:t>
      </w:r>
      <w:r w:rsidR="008E104B" w:rsidRPr="00EC2DAC">
        <w:rPr>
          <w:lang w:val="fr-FR"/>
        </w:rPr>
        <w:t>’</w:t>
      </w:r>
      <w:r w:rsidR="00EE6464" w:rsidRPr="00EC2DAC">
        <w:rPr>
          <w:lang w:val="fr-FR"/>
        </w:rPr>
        <w:t>il y a lieu.</w:t>
      </w:r>
    </w:p>
    <w:p w:rsidR="0021053C" w:rsidRPr="00EC2DAC" w:rsidRDefault="0021053C">
      <w:pPr>
        <w:pStyle w:val="ZZAnxheader"/>
        <w:rPr>
          <w:lang w:val="fr-FR"/>
        </w:rPr>
      </w:pPr>
      <w:r w:rsidRPr="00EC2DAC">
        <w:rPr>
          <w:lang w:val="fr-FR"/>
        </w:rPr>
        <w:t xml:space="preserve"> Annexe IV</w:t>
      </w:r>
    </w:p>
    <w:p w:rsidR="00AC6EC6" w:rsidRPr="00EC2DAC" w:rsidRDefault="0021053C" w:rsidP="00E53FAE">
      <w:pPr>
        <w:pStyle w:val="ZZAnxtitle"/>
        <w:spacing w:before="240"/>
        <w:rPr>
          <w:lang w:val="fr-FR"/>
        </w:rPr>
      </w:pPr>
      <w:r w:rsidRPr="00EC2DAC">
        <w:rPr>
          <w:lang w:val="fr-FR"/>
        </w:rPr>
        <w:t>Projet de feuille de route pour l</w:t>
      </w:r>
      <w:r w:rsidR="008E104B" w:rsidRPr="00EC2DAC">
        <w:rPr>
          <w:lang w:val="fr-FR"/>
        </w:rPr>
        <w:t>’</w:t>
      </w:r>
      <w:r w:rsidRPr="00EC2DAC">
        <w:rPr>
          <w:lang w:val="fr-FR"/>
        </w:rPr>
        <w:t>élaboration d</w:t>
      </w:r>
      <w:r w:rsidR="008E104B" w:rsidRPr="00EC2DAC">
        <w:rPr>
          <w:lang w:val="fr-FR"/>
        </w:rPr>
        <w:t>’</w:t>
      </w:r>
      <w:r w:rsidRPr="00EC2DAC">
        <w:rPr>
          <w:lang w:val="fr-FR"/>
        </w:rPr>
        <w:t>un document d</w:t>
      </w:r>
      <w:r w:rsidR="008E104B" w:rsidRPr="00EC2DAC">
        <w:rPr>
          <w:lang w:val="fr-FR"/>
        </w:rPr>
        <w:t>’</w:t>
      </w:r>
      <w:r w:rsidRPr="00EC2DAC">
        <w:rPr>
          <w:lang w:val="fr-FR"/>
        </w:rPr>
        <w:t>orientation sur la gestion des sites contaminés</w:t>
      </w:r>
    </w:p>
    <w:p w:rsidR="0021053C" w:rsidRPr="00EC2DAC" w:rsidRDefault="0021053C" w:rsidP="00CC1B0A">
      <w:pPr>
        <w:pStyle w:val="NormalNonumber"/>
        <w:rPr>
          <w:lang w:val="fr-FR"/>
        </w:rPr>
      </w:pPr>
      <w:r w:rsidRPr="00EC2DAC">
        <w:rPr>
          <w:lang w:val="fr-FR"/>
        </w:rPr>
        <w:t>Le secrétariat provisoire de la Convention de Minamata a établi un projet de feuille de route pour l</w:t>
      </w:r>
      <w:r w:rsidR="008E104B" w:rsidRPr="00EC2DAC">
        <w:rPr>
          <w:lang w:val="fr-FR"/>
        </w:rPr>
        <w:t>’</w:t>
      </w:r>
      <w:r w:rsidRPr="00EC2DAC">
        <w:rPr>
          <w:lang w:val="fr-FR"/>
        </w:rPr>
        <w:t>élaboration d</w:t>
      </w:r>
      <w:r w:rsidR="008E104B" w:rsidRPr="00EC2DAC">
        <w:rPr>
          <w:lang w:val="fr-FR"/>
        </w:rPr>
        <w:t>’</w:t>
      </w:r>
      <w:r w:rsidRPr="00EC2DAC">
        <w:rPr>
          <w:lang w:val="fr-FR"/>
        </w:rPr>
        <w:t>un projet de document d</w:t>
      </w:r>
      <w:r w:rsidR="008E104B" w:rsidRPr="00EC2DAC">
        <w:rPr>
          <w:lang w:val="fr-FR"/>
        </w:rPr>
        <w:t>’</w:t>
      </w:r>
      <w:r w:rsidRPr="00EC2DAC">
        <w:rPr>
          <w:lang w:val="fr-FR"/>
        </w:rPr>
        <w:t>orientation sur la gestion des sites contaminés par le mercure, comme le lui avait demandé le Comité de négociation intergouvernemental chargé d</w:t>
      </w:r>
      <w:r w:rsidR="008E104B" w:rsidRPr="00EC2DAC">
        <w:rPr>
          <w:lang w:val="fr-FR"/>
        </w:rPr>
        <w:t>’</w:t>
      </w:r>
      <w:r w:rsidRPr="00EC2DAC">
        <w:rPr>
          <w:lang w:val="fr-FR"/>
        </w:rPr>
        <w:t xml:space="preserve">élaborer un instrument international juridiquement contraignant sur le mercure à sa septième session. </w:t>
      </w:r>
    </w:p>
    <w:p w:rsidR="0021053C" w:rsidRPr="00EC2DAC" w:rsidRDefault="0021053C" w:rsidP="00CC1B0A">
      <w:pPr>
        <w:pStyle w:val="NormalNonumber"/>
        <w:rPr>
          <w:lang w:val="fr-FR"/>
        </w:rPr>
      </w:pPr>
      <w:r w:rsidRPr="00EC2DAC">
        <w:rPr>
          <w:lang w:val="fr-FR"/>
        </w:rPr>
        <w:t xml:space="preserve">Le projet de feuille de route </w:t>
      </w:r>
      <w:r w:rsidR="00DB6D3C">
        <w:rPr>
          <w:lang w:val="fr-FR"/>
        </w:rPr>
        <w:t>prévoit</w:t>
      </w:r>
      <w:r w:rsidR="00DB6D3C" w:rsidRPr="00EC2DAC">
        <w:rPr>
          <w:lang w:val="fr-FR"/>
        </w:rPr>
        <w:t xml:space="preserve"> </w:t>
      </w:r>
      <w:r w:rsidRPr="00EC2DAC">
        <w:rPr>
          <w:lang w:val="fr-FR"/>
        </w:rPr>
        <w:t>les activités qui pourraient être menées au lendemain de la première réunion de la Conférence des Parties, sous réserve de l</w:t>
      </w:r>
      <w:r w:rsidR="008E104B" w:rsidRPr="00EC2DAC">
        <w:rPr>
          <w:lang w:val="fr-FR"/>
        </w:rPr>
        <w:t>’</w:t>
      </w:r>
      <w:r w:rsidRPr="00EC2DAC">
        <w:rPr>
          <w:lang w:val="fr-FR"/>
        </w:rPr>
        <w:t xml:space="preserve">approbation de ces activités et de leur calendrier </w:t>
      </w:r>
      <w:r w:rsidR="00DB6D3C">
        <w:rPr>
          <w:lang w:val="fr-FR"/>
        </w:rPr>
        <w:t>ainsi que</w:t>
      </w:r>
      <w:r w:rsidR="00DB6D3C" w:rsidRPr="00EC2DAC">
        <w:rPr>
          <w:lang w:val="fr-FR"/>
        </w:rPr>
        <w:t xml:space="preserve"> </w:t>
      </w:r>
      <w:r w:rsidRPr="00EC2DAC">
        <w:rPr>
          <w:lang w:val="fr-FR"/>
        </w:rPr>
        <w:t xml:space="preserve">de la </w:t>
      </w:r>
      <w:r w:rsidR="00EC2DAC" w:rsidRPr="00EC2DAC">
        <w:rPr>
          <w:lang w:val="fr-FR"/>
        </w:rPr>
        <w:t>disponibilité</w:t>
      </w:r>
      <w:r w:rsidRPr="00EC2DAC">
        <w:rPr>
          <w:lang w:val="fr-FR"/>
        </w:rPr>
        <w:t xml:space="preserve"> des moyens financiers et autres ressources nécessaires à leur mise en œuvre.</w:t>
      </w:r>
    </w:p>
    <w:p w:rsidR="0021053C" w:rsidRPr="00EC2DAC" w:rsidRDefault="00EE2914" w:rsidP="00CC1B0A">
      <w:pPr>
        <w:pStyle w:val="NormalNonumber"/>
        <w:rPr>
          <w:lang w:val="fr-FR"/>
        </w:rPr>
      </w:pPr>
      <w:r w:rsidRPr="00EC2DAC">
        <w:rPr>
          <w:lang w:val="fr-FR"/>
        </w:rPr>
        <w:t>La feuille de route suivante est proposée, tenant compte de la portée des travaux et de la nécessité de l</w:t>
      </w:r>
      <w:r w:rsidR="008E104B" w:rsidRPr="00EC2DAC">
        <w:rPr>
          <w:lang w:val="fr-FR"/>
        </w:rPr>
        <w:t>’</w:t>
      </w:r>
      <w:r w:rsidRPr="00EC2DAC">
        <w:rPr>
          <w:lang w:val="fr-FR"/>
        </w:rPr>
        <w:t>avis d</w:t>
      </w:r>
      <w:r w:rsidR="008E104B" w:rsidRPr="00EC2DAC">
        <w:rPr>
          <w:lang w:val="fr-FR"/>
        </w:rPr>
        <w:t>’</w:t>
      </w:r>
      <w:r w:rsidRPr="00EC2DAC">
        <w:rPr>
          <w:lang w:val="fr-FR"/>
        </w:rPr>
        <w:t>experts dans certains domaines.</w:t>
      </w:r>
    </w:p>
    <w:tbl>
      <w:tblPr>
        <w:tblW w:w="836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854"/>
        <w:gridCol w:w="2509"/>
      </w:tblGrid>
      <w:tr w:rsidR="0021053C" w:rsidRPr="00DB6D3C" w:rsidTr="00763AE7">
        <w:trPr>
          <w:trHeight w:val="212"/>
          <w:jc w:val="right"/>
        </w:trPr>
        <w:tc>
          <w:tcPr>
            <w:tcW w:w="5806" w:type="dxa"/>
            <w:tcBorders>
              <w:top w:val="single" w:sz="4" w:space="0" w:color="000000"/>
              <w:left w:val="nil"/>
              <w:bottom w:val="single" w:sz="12" w:space="0" w:color="000000"/>
              <w:right w:val="nil"/>
            </w:tcBorders>
            <w:tcMar>
              <w:top w:w="80" w:type="dxa"/>
              <w:left w:w="80" w:type="dxa"/>
              <w:bottom w:w="80" w:type="dxa"/>
              <w:right w:w="80" w:type="dxa"/>
            </w:tcMar>
          </w:tcPr>
          <w:p w:rsidR="0021053C" w:rsidRPr="00911BEF" w:rsidRDefault="0021053C" w:rsidP="00CC1B0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i/>
                <w:sz w:val="20"/>
                <w:szCs w:val="20"/>
                <w:lang w:val="fr-FR"/>
              </w:rPr>
            </w:pPr>
            <w:r w:rsidRPr="00911BEF">
              <w:rPr>
                <w:i/>
                <w:sz w:val="20"/>
                <w:szCs w:val="20"/>
                <w:lang w:val="fr-FR"/>
              </w:rPr>
              <w:t>Activité</w:t>
            </w:r>
          </w:p>
        </w:tc>
        <w:tc>
          <w:tcPr>
            <w:tcW w:w="2488" w:type="dxa"/>
            <w:tcBorders>
              <w:top w:val="single" w:sz="4" w:space="0" w:color="000000"/>
              <w:left w:val="nil"/>
              <w:bottom w:val="single" w:sz="12" w:space="0" w:color="000000"/>
              <w:right w:val="nil"/>
            </w:tcBorders>
            <w:tcMar>
              <w:top w:w="80" w:type="dxa"/>
              <w:left w:w="80" w:type="dxa"/>
              <w:bottom w:w="80" w:type="dxa"/>
              <w:right w:w="80" w:type="dxa"/>
            </w:tcMar>
          </w:tcPr>
          <w:p w:rsidR="0021053C" w:rsidRPr="00911BEF"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i/>
                <w:sz w:val="20"/>
                <w:szCs w:val="20"/>
                <w:lang w:val="fr-FR"/>
              </w:rPr>
            </w:pPr>
            <w:r w:rsidRPr="00911BEF">
              <w:rPr>
                <w:i/>
                <w:sz w:val="20"/>
                <w:szCs w:val="20"/>
                <w:lang w:val="fr-FR"/>
              </w:rPr>
              <w:t>Calendrier</w:t>
            </w:r>
          </w:p>
        </w:tc>
      </w:tr>
      <w:tr w:rsidR="0021053C" w:rsidRPr="00916F9A" w:rsidTr="00763AE7">
        <w:trPr>
          <w:trHeight w:val="1007"/>
          <w:jc w:val="right"/>
        </w:trPr>
        <w:tc>
          <w:tcPr>
            <w:tcW w:w="5806" w:type="dxa"/>
            <w:tcBorders>
              <w:top w:val="single" w:sz="12" w:space="0" w:color="000000"/>
              <w:left w:val="nil"/>
              <w:bottom w:val="nil"/>
              <w:right w:val="nil"/>
            </w:tcBorders>
            <w:tcMar>
              <w:top w:w="80" w:type="dxa"/>
              <w:left w:w="80" w:type="dxa"/>
              <w:bottom w:w="80" w:type="dxa"/>
              <w:right w:w="80" w:type="dxa"/>
            </w:tcMar>
          </w:tcPr>
          <w:p w:rsidR="0021053C" w:rsidRPr="00916F9A" w:rsidRDefault="0021053C" w:rsidP="00E374C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20"/>
                <w:szCs w:val="20"/>
                <w:lang w:val="fr-FR"/>
              </w:rPr>
            </w:pPr>
            <w:r w:rsidRPr="00916F9A">
              <w:rPr>
                <w:sz w:val="20"/>
                <w:szCs w:val="20"/>
                <w:lang w:val="fr-FR"/>
              </w:rPr>
              <w:t>La Conférence des Parties établit à sa première réunion un processus d</w:t>
            </w:r>
            <w:r w:rsidR="008E104B" w:rsidRPr="00916F9A">
              <w:rPr>
                <w:sz w:val="20"/>
                <w:szCs w:val="20"/>
                <w:lang w:val="fr-FR"/>
              </w:rPr>
              <w:t>’</w:t>
            </w:r>
            <w:r w:rsidRPr="00916F9A">
              <w:rPr>
                <w:sz w:val="20"/>
                <w:szCs w:val="20"/>
                <w:lang w:val="fr-FR"/>
              </w:rPr>
              <w:t>élaboration du document d</w:t>
            </w:r>
            <w:r w:rsidR="008E104B" w:rsidRPr="00916F9A">
              <w:rPr>
                <w:sz w:val="20"/>
                <w:szCs w:val="20"/>
                <w:lang w:val="fr-FR"/>
              </w:rPr>
              <w:t>’</w:t>
            </w:r>
            <w:r w:rsidRPr="00916F9A">
              <w:rPr>
                <w:sz w:val="20"/>
                <w:szCs w:val="20"/>
                <w:lang w:val="fr-FR"/>
              </w:rPr>
              <w:t>orientation sur la gestion des sites</w:t>
            </w:r>
            <w:r w:rsidR="00E374C8">
              <w:rPr>
                <w:sz w:val="20"/>
                <w:szCs w:val="20"/>
                <w:lang w:val="fr-FR"/>
              </w:rPr>
              <w:t xml:space="preserve"> contaminés prévu au paragraphe </w:t>
            </w:r>
            <w:r w:rsidRPr="00916F9A">
              <w:rPr>
                <w:sz w:val="20"/>
                <w:szCs w:val="20"/>
                <w:lang w:val="fr-FR"/>
              </w:rPr>
              <w:t>3 de l</w:t>
            </w:r>
            <w:r w:rsidR="008E104B" w:rsidRPr="00916F9A">
              <w:rPr>
                <w:sz w:val="20"/>
                <w:szCs w:val="20"/>
                <w:lang w:val="fr-FR"/>
              </w:rPr>
              <w:t>’</w:t>
            </w:r>
            <w:r w:rsidRPr="00916F9A">
              <w:rPr>
                <w:sz w:val="20"/>
                <w:szCs w:val="20"/>
                <w:lang w:val="fr-FR"/>
              </w:rPr>
              <w:t>article</w:t>
            </w:r>
            <w:r w:rsidR="00E374C8">
              <w:rPr>
                <w:sz w:val="20"/>
                <w:szCs w:val="20"/>
                <w:lang w:val="fr-FR"/>
              </w:rPr>
              <w:t> </w:t>
            </w:r>
            <w:r w:rsidRPr="00916F9A">
              <w:rPr>
                <w:sz w:val="20"/>
                <w:szCs w:val="20"/>
                <w:lang w:val="fr-FR"/>
              </w:rPr>
              <w:t>12 de la Convention de Minamata, qu</w:t>
            </w:r>
            <w:r w:rsidR="008E104B" w:rsidRPr="00916F9A">
              <w:rPr>
                <w:sz w:val="20"/>
                <w:szCs w:val="20"/>
                <w:lang w:val="fr-FR"/>
              </w:rPr>
              <w:t>’</w:t>
            </w:r>
            <w:r w:rsidRPr="00916F9A">
              <w:rPr>
                <w:sz w:val="20"/>
                <w:szCs w:val="20"/>
                <w:lang w:val="fr-FR"/>
              </w:rPr>
              <w:t xml:space="preserve">elle examinera et adoptera à une réunion ultérieure. Les éléments de ce processus figurent dans la feuille de route ci-dessous. </w:t>
            </w:r>
          </w:p>
        </w:tc>
        <w:tc>
          <w:tcPr>
            <w:tcW w:w="2488" w:type="dxa"/>
            <w:tcBorders>
              <w:top w:val="single" w:sz="12" w:space="0" w:color="000000"/>
              <w:left w:val="nil"/>
              <w:bottom w:val="nil"/>
              <w:right w:val="nil"/>
            </w:tcBorders>
            <w:tcMar>
              <w:top w:w="80" w:type="dxa"/>
              <w:left w:w="80" w:type="dxa"/>
              <w:bottom w:w="80" w:type="dxa"/>
              <w:right w:w="80" w:type="dxa"/>
            </w:tcMar>
          </w:tcPr>
          <w:p w:rsidR="0021053C" w:rsidRPr="00916F9A"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20"/>
                <w:szCs w:val="20"/>
                <w:lang w:val="fr-FR"/>
              </w:rPr>
            </w:pPr>
            <w:r w:rsidRPr="00916F9A">
              <w:rPr>
                <w:sz w:val="20"/>
                <w:szCs w:val="20"/>
                <w:lang w:val="fr-FR"/>
              </w:rPr>
              <w:t>Septembre 2017</w:t>
            </w:r>
          </w:p>
        </w:tc>
      </w:tr>
      <w:tr w:rsidR="0021053C" w:rsidRPr="00916F9A" w:rsidTr="00763AE7">
        <w:trPr>
          <w:trHeight w:val="392"/>
          <w:jc w:val="right"/>
        </w:trPr>
        <w:tc>
          <w:tcPr>
            <w:tcW w:w="5806" w:type="dxa"/>
            <w:tcBorders>
              <w:top w:val="nil"/>
              <w:left w:val="nil"/>
              <w:bottom w:val="nil"/>
              <w:right w:val="nil"/>
            </w:tcBorders>
            <w:tcMar>
              <w:top w:w="80" w:type="dxa"/>
              <w:left w:w="80" w:type="dxa"/>
              <w:bottom w:w="80" w:type="dxa"/>
              <w:right w:w="80" w:type="dxa"/>
            </w:tcMar>
          </w:tcPr>
          <w:p w:rsidR="0021053C" w:rsidRPr="00916F9A" w:rsidRDefault="0021053C" w:rsidP="003C56E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20"/>
                <w:szCs w:val="20"/>
                <w:lang w:val="fr-FR"/>
              </w:rPr>
            </w:pPr>
            <w:r w:rsidRPr="00916F9A">
              <w:rPr>
                <w:sz w:val="20"/>
                <w:szCs w:val="20"/>
                <w:lang w:val="fr-FR"/>
              </w:rPr>
              <w:t>La Conférence a conscience de la complexité de la gestion des sites contaminés et des exigences techniques découlant de l</w:t>
            </w:r>
            <w:r w:rsidR="008E104B" w:rsidRPr="00916F9A">
              <w:rPr>
                <w:sz w:val="20"/>
                <w:szCs w:val="20"/>
                <w:lang w:val="fr-FR"/>
              </w:rPr>
              <w:t>’</w:t>
            </w:r>
            <w:r w:rsidRPr="00916F9A">
              <w:rPr>
                <w:sz w:val="20"/>
                <w:szCs w:val="20"/>
                <w:lang w:val="fr-FR"/>
              </w:rPr>
              <w:t>élaboration d</w:t>
            </w:r>
            <w:r w:rsidR="008E104B" w:rsidRPr="00916F9A">
              <w:rPr>
                <w:sz w:val="20"/>
                <w:szCs w:val="20"/>
                <w:lang w:val="fr-FR"/>
              </w:rPr>
              <w:t>’</w:t>
            </w:r>
            <w:r w:rsidRPr="00916F9A">
              <w:rPr>
                <w:sz w:val="20"/>
                <w:szCs w:val="20"/>
                <w:lang w:val="fr-FR"/>
              </w:rPr>
              <w:t>un projet d</w:t>
            </w:r>
            <w:r w:rsidR="008E104B" w:rsidRPr="00916F9A">
              <w:rPr>
                <w:sz w:val="20"/>
                <w:szCs w:val="20"/>
                <w:lang w:val="fr-FR"/>
              </w:rPr>
              <w:t>’</w:t>
            </w:r>
            <w:r w:rsidRPr="00916F9A">
              <w:rPr>
                <w:sz w:val="20"/>
                <w:szCs w:val="20"/>
                <w:lang w:val="fr-FR"/>
              </w:rPr>
              <w:t>orientations; cependant, elle reconnaît également qu</w:t>
            </w:r>
            <w:r w:rsidR="008E104B" w:rsidRPr="00916F9A">
              <w:rPr>
                <w:sz w:val="20"/>
                <w:szCs w:val="20"/>
                <w:lang w:val="fr-FR"/>
              </w:rPr>
              <w:t>’</w:t>
            </w:r>
            <w:r w:rsidRPr="00916F9A">
              <w:rPr>
                <w:sz w:val="20"/>
                <w:szCs w:val="20"/>
                <w:lang w:val="fr-FR"/>
              </w:rPr>
              <w:t>il est possible de s</w:t>
            </w:r>
            <w:r w:rsidR="008E104B" w:rsidRPr="00916F9A">
              <w:rPr>
                <w:sz w:val="20"/>
                <w:szCs w:val="20"/>
                <w:lang w:val="fr-FR"/>
              </w:rPr>
              <w:t>’</w:t>
            </w:r>
            <w:r w:rsidRPr="00916F9A">
              <w:rPr>
                <w:sz w:val="20"/>
                <w:szCs w:val="20"/>
                <w:lang w:val="fr-FR"/>
              </w:rPr>
              <w:t>inspirer d</w:t>
            </w:r>
            <w:r w:rsidR="008E104B" w:rsidRPr="00916F9A">
              <w:rPr>
                <w:sz w:val="20"/>
                <w:szCs w:val="20"/>
                <w:lang w:val="fr-FR"/>
              </w:rPr>
              <w:t>’</w:t>
            </w:r>
            <w:r w:rsidRPr="00916F9A">
              <w:rPr>
                <w:sz w:val="20"/>
                <w:szCs w:val="20"/>
                <w:lang w:val="fr-FR"/>
              </w:rPr>
              <w:t xml:space="preserve">orientations élaborées sur le sujet dans le cadre de </w:t>
            </w:r>
            <w:r w:rsidR="003C56ED">
              <w:rPr>
                <w:sz w:val="20"/>
                <w:szCs w:val="20"/>
                <w:lang w:val="fr-FR"/>
              </w:rPr>
              <w:t xml:space="preserve">plusieurs </w:t>
            </w:r>
            <w:r w:rsidRPr="00916F9A">
              <w:rPr>
                <w:sz w:val="20"/>
                <w:szCs w:val="20"/>
                <w:lang w:val="fr-FR"/>
              </w:rPr>
              <w:t xml:space="preserve">autres </w:t>
            </w:r>
            <w:r w:rsidR="003C56ED">
              <w:rPr>
                <w:sz w:val="20"/>
                <w:szCs w:val="20"/>
                <w:lang w:val="fr-FR"/>
              </w:rPr>
              <w:t>instances</w:t>
            </w:r>
            <w:r w:rsidR="003C56ED" w:rsidRPr="00916F9A">
              <w:rPr>
                <w:sz w:val="20"/>
                <w:szCs w:val="20"/>
                <w:lang w:val="fr-FR"/>
              </w:rPr>
              <w:t xml:space="preserve"> </w:t>
            </w:r>
            <w:r w:rsidRPr="00916F9A">
              <w:rPr>
                <w:sz w:val="20"/>
                <w:szCs w:val="20"/>
                <w:lang w:val="fr-FR"/>
              </w:rPr>
              <w:t>pour établir le projet d</w:t>
            </w:r>
            <w:r w:rsidR="008E104B" w:rsidRPr="00916F9A">
              <w:rPr>
                <w:sz w:val="20"/>
                <w:szCs w:val="20"/>
                <w:lang w:val="fr-FR"/>
              </w:rPr>
              <w:t>’</w:t>
            </w:r>
            <w:r w:rsidRPr="00916F9A">
              <w:rPr>
                <w:sz w:val="20"/>
                <w:szCs w:val="20"/>
                <w:lang w:val="fr-FR"/>
              </w:rPr>
              <w:t>orientations. La Conférence reconnaît donc avoir besoin des contributions d</w:t>
            </w:r>
            <w:r w:rsidR="008E104B" w:rsidRPr="00916F9A">
              <w:rPr>
                <w:sz w:val="20"/>
                <w:szCs w:val="20"/>
                <w:lang w:val="fr-FR"/>
              </w:rPr>
              <w:t>’</w:t>
            </w:r>
            <w:r w:rsidRPr="00916F9A">
              <w:rPr>
                <w:sz w:val="20"/>
                <w:szCs w:val="20"/>
                <w:lang w:val="fr-FR"/>
              </w:rPr>
              <w:t xml:space="preserve">experts dans ce domaine et </w:t>
            </w:r>
            <w:r w:rsidR="003C56ED">
              <w:rPr>
                <w:sz w:val="20"/>
                <w:szCs w:val="20"/>
                <w:lang w:val="fr-FR"/>
              </w:rPr>
              <w:t xml:space="preserve">invite </w:t>
            </w:r>
            <w:r w:rsidRPr="00916F9A">
              <w:rPr>
                <w:sz w:val="20"/>
                <w:szCs w:val="20"/>
                <w:lang w:val="fr-FR"/>
              </w:rPr>
              <w:t xml:space="preserve">les gouvernements et autres parties prenantes à désigner des experts souhaitant prendre part aux travaux. </w:t>
            </w:r>
          </w:p>
        </w:tc>
        <w:tc>
          <w:tcPr>
            <w:tcW w:w="2488" w:type="dxa"/>
            <w:tcBorders>
              <w:top w:val="nil"/>
              <w:left w:val="nil"/>
              <w:bottom w:val="nil"/>
              <w:right w:val="nil"/>
            </w:tcBorders>
            <w:tcMar>
              <w:top w:w="80" w:type="dxa"/>
              <w:left w:w="80" w:type="dxa"/>
              <w:bottom w:w="80" w:type="dxa"/>
              <w:right w:w="80" w:type="dxa"/>
            </w:tcMar>
          </w:tcPr>
          <w:p w:rsidR="0021053C" w:rsidRPr="00916F9A"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20"/>
                <w:szCs w:val="20"/>
                <w:lang w:val="fr-FR"/>
              </w:rPr>
            </w:pPr>
            <w:r w:rsidRPr="00916F9A">
              <w:rPr>
                <w:sz w:val="20"/>
                <w:szCs w:val="20"/>
                <w:lang w:val="fr-FR"/>
              </w:rPr>
              <w:t>Septembre 2017</w:t>
            </w:r>
          </w:p>
        </w:tc>
      </w:tr>
      <w:tr w:rsidR="0021053C" w:rsidRPr="00916F9A" w:rsidTr="00763AE7">
        <w:trPr>
          <w:trHeight w:val="622"/>
          <w:jc w:val="right"/>
        </w:trPr>
        <w:tc>
          <w:tcPr>
            <w:tcW w:w="5806" w:type="dxa"/>
            <w:tcBorders>
              <w:top w:val="nil"/>
              <w:left w:val="nil"/>
              <w:bottom w:val="nil"/>
              <w:right w:val="nil"/>
            </w:tcBorders>
            <w:tcMar>
              <w:top w:w="80" w:type="dxa"/>
              <w:left w:w="80" w:type="dxa"/>
              <w:bottom w:w="80" w:type="dxa"/>
              <w:right w:w="80" w:type="dxa"/>
            </w:tcMar>
          </w:tcPr>
          <w:p w:rsidR="0021053C" w:rsidRPr="00916F9A" w:rsidRDefault="0021053C" w:rsidP="00CC1B0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20"/>
                <w:szCs w:val="20"/>
                <w:lang w:val="fr-FR"/>
              </w:rPr>
            </w:pPr>
            <w:r w:rsidRPr="00916F9A">
              <w:rPr>
                <w:sz w:val="20"/>
                <w:szCs w:val="20"/>
                <w:lang w:val="fr-FR"/>
              </w:rPr>
              <w:t xml:space="preserve">Les </w:t>
            </w:r>
            <w:r w:rsidR="003C56ED">
              <w:rPr>
                <w:sz w:val="20"/>
                <w:szCs w:val="20"/>
                <w:lang w:val="fr-FR"/>
              </w:rPr>
              <w:t xml:space="preserve">noms des </w:t>
            </w:r>
            <w:r w:rsidRPr="00916F9A">
              <w:rPr>
                <w:sz w:val="20"/>
                <w:szCs w:val="20"/>
                <w:lang w:val="fr-FR"/>
              </w:rPr>
              <w:t>experts désignés sont communiqués au secrétariat afin de créer un groupe de travail d</w:t>
            </w:r>
            <w:r w:rsidR="008E104B" w:rsidRPr="00916F9A">
              <w:rPr>
                <w:sz w:val="20"/>
                <w:szCs w:val="20"/>
                <w:lang w:val="fr-FR"/>
              </w:rPr>
              <w:t>’</w:t>
            </w:r>
            <w:r w:rsidRPr="00916F9A">
              <w:rPr>
                <w:sz w:val="20"/>
                <w:szCs w:val="20"/>
                <w:lang w:val="fr-FR"/>
              </w:rPr>
              <w:t>experts qui collaborera par voie électronique.</w:t>
            </w:r>
          </w:p>
        </w:tc>
        <w:tc>
          <w:tcPr>
            <w:tcW w:w="2488" w:type="dxa"/>
            <w:tcBorders>
              <w:top w:val="nil"/>
              <w:left w:val="nil"/>
              <w:bottom w:val="nil"/>
              <w:right w:val="nil"/>
            </w:tcBorders>
            <w:tcMar>
              <w:top w:w="80" w:type="dxa"/>
              <w:left w:w="80" w:type="dxa"/>
              <w:bottom w:w="80" w:type="dxa"/>
              <w:right w:w="80" w:type="dxa"/>
            </w:tcMar>
          </w:tcPr>
          <w:p w:rsidR="0021053C" w:rsidRPr="00916F9A"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20"/>
                <w:szCs w:val="20"/>
                <w:lang w:val="fr-FR"/>
              </w:rPr>
            </w:pPr>
            <w:r w:rsidRPr="00916F9A">
              <w:rPr>
                <w:sz w:val="20"/>
                <w:szCs w:val="20"/>
                <w:lang w:val="fr-FR"/>
              </w:rPr>
              <w:t>Décembre 2017</w:t>
            </w:r>
          </w:p>
        </w:tc>
      </w:tr>
      <w:tr w:rsidR="0021053C" w:rsidRPr="00916F9A" w:rsidTr="00763AE7">
        <w:trPr>
          <w:trHeight w:val="192"/>
          <w:jc w:val="right"/>
        </w:trPr>
        <w:tc>
          <w:tcPr>
            <w:tcW w:w="5806" w:type="dxa"/>
            <w:tcBorders>
              <w:top w:val="nil"/>
              <w:left w:val="nil"/>
              <w:bottom w:val="nil"/>
              <w:right w:val="nil"/>
            </w:tcBorders>
            <w:tcMar>
              <w:top w:w="80" w:type="dxa"/>
              <w:left w:w="80" w:type="dxa"/>
              <w:bottom w:w="80" w:type="dxa"/>
              <w:right w:w="80" w:type="dxa"/>
            </w:tcMar>
          </w:tcPr>
          <w:p w:rsidR="0021053C" w:rsidRPr="00916F9A" w:rsidRDefault="0021053C" w:rsidP="003C56E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20"/>
                <w:szCs w:val="20"/>
                <w:lang w:val="fr-FR"/>
              </w:rPr>
            </w:pPr>
            <w:r w:rsidRPr="00916F9A">
              <w:rPr>
                <w:sz w:val="20"/>
                <w:szCs w:val="20"/>
                <w:lang w:val="fr-FR"/>
              </w:rPr>
              <w:t>Le secrétariat élabore, sur la base des informations qui lui ont été communiquées précédemment et des travaux entrepris dans d</w:t>
            </w:r>
            <w:r w:rsidR="008E104B" w:rsidRPr="00916F9A">
              <w:rPr>
                <w:sz w:val="20"/>
                <w:szCs w:val="20"/>
                <w:lang w:val="fr-FR"/>
              </w:rPr>
              <w:t>’</w:t>
            </w:r>
            <w:r w:rsidRPr="00916F9A">
              <w:rPr>
                <w:sz w:val="20"/>
                <w:szCs w:val="20"/>
                <w:lang w:val="fr-FR"/>
              </w:rPr>
              <w:t xml:space="preserve">autres </w:t>
            </w:r>
            <w:r w:rsidR="003C56ED">
              <w:rPr>
                <w:sz w:val="20"/>
                <w:szCs w:val="20"/>
                <w:lang w:val="fr-FR"/>
              </w:rPr>
              <w:t>instances</w:t>
            </w:r>
            <w:r w:rsidR="003C56ED" w:rsidRPr="00916F9A">
              <w:rPr>
                <w:sz w:val="20"/>
                <w:szCs w:val="20"/>
                <w:lang w:val="fr-FR"/>
              </w:rPr>
              <w:t xml:space="preserve"> </w:t>
            </w:r>
            <w:r w:rsidRPr="00916F9A">
              <w:rPr>
                <w:sz w:val="20"/>
                <w:szCs w:val="20"/>
                <w:lang w:val="fr-FR"/>
              </w:rPr>
              <w:t xml:space="preserve">et en </w:t>
            </w:r>
            <w:r w:rsidR="003C56ED">
              <w:rPr>
                <w:sz w:val="20"/>
                <w:szCs w:val="20"/>
                <w:lang w:val="fr-FR"/>
              </w:rPr>
              <w:t xml:space="preserve">se </w:t>
            </w:r>
            <w:r w:rsidRPr="00916F9A">
              <w:rPr>
                <w:sz w:val="20"/>
                <w:szCs w:val="20"/>
                <w:lang w:val="fr-FR"/>
              </w:rPr>
              <w:t xml:space="preserve">servant du plan approuvé par la Conférence des Parties </w:t>
            </w:r>
            <w:r w:rsidR="000A6C0A">
              <w:rPr>
                <w:sz w:val="20"/>
                <w:szCs w:val="20"/>
                <w:lang w:val="fr-FR"/>
              </w:rPr>
              <w:t>décrivant</w:t>
            </w:r>
            <w:r w:rsidR="000A6C0A" w:rsidRPr="00916F9A">
              <w:rPr>
                <w:sz w:val="20"/>
                <w:szCs w:val="20"/>
                <w:lang w:val="fr-FR"/>
              </w:rPr>
              <w:t xml:space="preserve"> </w:t>
            </w:r>
            <w:r w:rsidRPr="00916F9A">
              <w:rPr>
                <w:sz w:val="20"/>
                <w:szCs w:val="20"/>
                <w:lang w:val="fr-FR"/>
              </w:rPr>
              <w:t>dans les grandes lignes la structure et le contenu des orientations, un premier projet d</w:t>
            </w:r>
            <w:r w:rsidR="008E104B" w:rsidRPr="00916F9A">
              <w:rPr>
                <w:sz w:val="20"/>
                <w:szCs w:val="20"/>
                <w:lang w:val="fr-FR"/>
              </w:rPr>
              <w:t>’</w:t>
            </w:r>
            <w:r w:rsidRPr="00916F9A">
              <w:rPr>
                <w:sz w:val="20"/>
                <w:szCs w:val="20"/>
                <w:lang w:val="fr-FR"/>
              </w:rPr>
              <w:t>orientations sur la gestion des sites contaminés et le diffuse auprès des experts par voie électronique.</w:t>
            </w:r>
          </w:p>
        </w:tc>
        <w:tc>
          <w:tcPr>
            <w:tcW w:w="2488" w:type="dxa"/>
            <w:tcBorders>
              <w:top w:val="nil"/>
              <w:left w:val="nil"/>
              <w:bottom w:val="nil"/>
              <w:right w:val="nil"/>
            </w:tcBorders>
            <w:tcMar>
              <w:top w:w="80" w:type="dxa"/>
              <w:left w:w="80" w:type="dxa"/>
              <w:bottom w:w="80" w:type="dxa"/>
              <w:right w:w="80" w:type="dxa"/>
            </w:tcMar>
          </w:tcPr>
          <w:p w:rsidR="0021053C" w:rsidRPr="00916F9A"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20"/>
                <w:szCs w:val="20"/>
                <w:lang w:val="fr-FR"/>
              </w:rPr>
            </w:pPr>
            <w:r w:rsidRPr="00916F9A">
              <w:rPr>
                <w:sz w:val="20"/>
                <w:szCs w:val="20"/>
                <w:lang w:val="fr-FR"/>
              </w:rPr>
              <w:t>Février 2018</w:t>
            </w:r>
          </w:p>
        </w:tc>
      </w:tr>
      <w:tr w:rsidR="0021053C" w:rsidRPr="00916F9A" w:rsidTr="00763AE7">
        <w:trPr>
          <w:trHeight w:val="792"/>
          <w:jc w:val="right"/>
        </w:trPr>
        <w:tc>
          <w:tcPr>
            <w:tcW w:w="5806" w:type="dxa"/>
            <w:tcBorders>
              <w:top w:val="nil"/>
              <w:left w:val="nil"/>
              <w:bottom w:val="nil"/>
              <w:right w:val="nil"/>
            </w:tcBorders>
            <w:tcMar>
              <w:top w:w="80" w:type="dxa"/>
              <w:left w:w="80" w:type="dxa"/>
              <w:bottom w:w="80" w:type="dxa"/>
              <w:right w:w="80" w:type="dxa"/>
            </w:tcMar>
          </w:tcPr>
          <w:p w:rsidR="0021053C" w:rsidRPr="00916F9A" w:rsidRDefault="0021053C" w:rsidP="003C56E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20"/>
                <w:szCs w:val="20"/>
                <w:lang w:val="fr-FR"/>
              </w:rPr>
            </w:pPr>
            <w:r w:rsidRPr="00916F9A">
              <w:rPr>
                <w:sz w:val="20"/>
                <w:szCs w:val="20"/>
                <w:lang w:val="fr-FR"/>
              </w:rPr>
              <w:t xml:space="preserve">Les experts examinent les propositions </w:t>
            </w:r>
            <w:r w:rsidR="003C56ED">
              <w:rPr>
                <w:sz w:val="20"/>
                <w:szCs w:val="20"/>
                <w:lang w:val="fr-FR"/>
              </w:rPr>
              <w:t>initiales</w:t>
            </w:r>
            <w:r w:rsidRPr="00916F9A">
              <w:rPr>
                <w:sz w:val="20"/>
                <w:szCs w:val="20"/>
                <w:lang w:val="fr-FR"/>
              </w:rPr>
              <w:t xml:space="preserve"> et communiquent leurs observations au secrétariat par voie électronique. S</w:t>
            </w:r>
            <w:r w:rsidR="008E104B" w:rsidRPr="00916F9A">
              <w:rPr>
                <w:sz w:val="20"/>
                <w:szCs w:val="20"/>
                <w:lang w:val="fr-FR"/>
              </w:rPr>
              <w:t>’</w:t>
            </w:r>
            <w:r w:rsidRPr="00916F9A">
              <w:rPr>
                <w:sz w:val="20"/>
                <w:szCs w:val="20"/>
                <w:lang w:val="fr-FR"/>
              </w:rPr>
              <w:t>il y a lieu, des téléconférences ou des webinaires pourront être organisés afin de débattre du projet d</w:t>
            </w:r>
            <w:r w:rsidR="008E104B" w:rsidRPr="00916F9A">
              <w:rPr>
                <w:sz w:val="20"/>
                <w:szCs w:val="20"/>
                <w:lang w:val="fr-FR"/>
              </w:rPr>
              <w:t>’</w:t>
            </w:r>
            <w:r w:rsidRPr="00916F9A">
              <w:rPr>
                <w:sz w:val="20"/>
                <w:szCs w:val="20"/>
                <w:lang w:val="fr-FR"/>
              </w:rPr>
              <w:t xml:space="preserve">orientations. </w:t>
            </w:r>
          </w:p>
        </w:tc>
        <w:tc>
          <w:tcPr>
            <w:tcW w:w="2488" w:type="dxa"/>
            <w:tcBorders>
              <w:top w:val="nil"/>
              <w:left w:val="nil"/>
              <w:bottom w:val="nil"/>
              <w:right w:val="nil"/>
            </w:tcBorders>
            <w:tcMar>
              <w:top w:w="80" w:type="dxa"/>
              <w:left w:w="80" w:type="dxa"/>
              <w:bottom w:w="80" w:type="dxa"/>
              <w:right w:w="80" w:type="dxa"/>
            </w:tcMar>
          </w:tcPr>
          <w:p w:rsidR="0021053C" w:rsidRPr="00916F9A"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20"/>
                <w:szCs w:val="20"/>
                <w:lang w:val="fr-FR"/>
              </w:rPr>
            </w:pPr>
            <w:r w:rsidRPr="00916F9A">
              <w:rPr>
                <w:sz w:val="20"/>
                <w:szCs w:val="20"/>
                <w:lang w:val="fr-FR"/>
              </w:rPr>
              <w:t>Avril 2018</w:t>
            </w:r>
          </w:p>
        </w:tc>
      </w:tr>
      <w:tr w:rsidR="0021053C" w:rsidRPr="00916F9A" w:rsidTr="00763AE7">
        <w:trPr>
          <w:trHeight w:val="192"/>
          <w:jc w:val="right"/>
        </w:trPr>
        <w:tc>
          <w:tcPr>
            <w:tcW w:w="5806" w:type="dxa"/>
            <w:tcBorders>
              <w:top w:val="nil"/>
              <w:left w:val="nil"/>
              <w:bottom w:val="nil"/>
              <w:right w:val="nil"/>
            </w:tcBorders>
            <w:tcMar>
              <w:top w:w="80" w:type="dxa"/>
              <w:left w:w="80" w:type="dxa"/>
              <w:bottom w:w="80" w:type="dxa"/>
              <w:right w:w="80" w:type="dxa"/>
            </w:tcMar>
          </w:tcPr>
          <w:p w:rsidR="0021053C" w:rsidRPr="00916F9A" w:rsidRDefault="00EE6464">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20"/>
                <w:szCs w:val="20"/>
                <w:lang w:val="fr-FR"/>
              </w:rPr>
            </w:pPr>
            <w:r w:rsidRPr="00916F9A">
              <w:rPr>
                <w:sz w:val="20"/>
                <w:szCs w:val="20"/>
                <w:lang w:val="fr-FR"/>
              </w:rPr>
              <w:t>Le secrétariat élabore des versions révisées du projet d</w:t>
            </w:r>
            <w:r w:rsidR="008E104B" w:rsidRPr="00916F9A">
              <w:rPr>
                <w:sz w:val="20"/>
                <w:szCs w:val="20"/>
                <w:lang w:val="fr-FR"/>
              </w:rPr>
              <w:t>’</w:t>
            </w:r>
            <w:r w:rsidRPr="00916F9A">
              <w:rPr>
                <w:sz w:val="20"/>
                <w:szCs w:val="20"/>
                <w:lang w:val="fr-FR"/>
              </w:rPr>
              <w:t>orientations et les diffuse auprès des experts pour examen approfondi par voie électronique.</w:t>
            </w:r>
          </w:p>
        </w:tc>
        <w:tc>
          <w:tcPr>
            <w:tcW w:w="2488" w:type="dxa"/>
            <w:tcBorders>
              <w:top w:val="nil"/>
              <w:left w:val="nil"/>
              <w:bottom w:val="nil"/>
              <w:right w:val="nil"/>
            </w:tcBorders>
            <w:tcMar>
              <w:top w:w="80" w:type="dxa"/>
              <w:left w:w="80" w:type="dxa"/>
              <w:bottom w:w="80" w:type="dxa"/>
              <w:right w:w="80" w:type="dxa"/>
            </w:tcMar>
          </w:tcPr>
          <w:p w:rsidR="0021053C" w:rsidRPr="00916F9A"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20"/>
                <w:szCs w:val="20"/>
                <w:lang w:val="fr-FR"/>
              </w:rPr>
            </w:pPr>
            <w:r w:rsidRPr="00916F9A">
              <w:rPr>
                <w:sz w:val="20"/>
                <w:szCs w:val="20"/>
                <w:lang w:val="fr-FR"/>
              </w:rPr>
              <w:t>Mai 2018</w:t>
            </w:r>
          </w:p>
        </w:tc>
      </w:tr>
      <w:tr w:rsidR="0021053C" w:rsidRPr="00916F9A" w:rsidTr="00763AE7">
        <w:trPr>
          <w:trHeight w:val="807"/>
          <w:jc w:val="right"/>
        </w:trPr>
        <w:tc>
          <w:tcPr>
            <w:tcW w:w="5806" w:type="dxa"/>
            <w:tcBorders>
              <w:top w:val="nil"/>
              <w:left w:val="nil"/>
              <w:bottom w:val="nil"/>
              <w:right w:val="nil"/>
            </w:tcBorders>
            <w:tcMar>
              <w:top w:w="80" w:type="dxa"/>
              <w:left w:w="80" w:type="dxa"/>
              <w:bottom w:w="80" w:type="dxa"/>
              <w:right w:w="80" w:type="dxa"/>
            </w:tcMar>
          </w:tcPr>
          <w:p w:rsidR="0021053C" w:rsidRPr="00916F9A" w:rsidRDefault="00EE6464">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20"/>
                <w:szCs w:val="20"/>
                <w:lang w:val="fr-FR"/>
              </w:rPr>
            </w:pPr>
            <w:r w:rsidRPr="00916F9A">
              <w:rPr>
                <w:sz w:val="20"/>
                <w:szCs w:val="20"/>
                <w:lang w:val="fr-FR"/>
              </w:rPr>
              <w:t>Les experts examinent le projet révisé et élaborent des recommandations à l</w:t>
            </w:r>
            <w:r w:rsidR="008E104B" w:rsidRPr="00916F9A">
              <w:rPr>
                <w:sz w:val="20"/>
                <w:szCs w:val="20"/>
                <w:lang w:val="fr-FR"/>
              </w:rPr>
              <w:t>’</w:t>
            </w:r>
            <w:r w:rsidRPr="00916F9A">
              <w:rPr>
                <w:sz w:val="20"/>
                <w:szCs w:val="20"/>
                <w:lang w:val="fr-FR"/>
              </w:rPr>
              <w:t>intention de la Conférence des Parties à sa deuxième réunion, y compris toute recommandation visant à entreprendre de nouveaux travaux ou des travaux supplémentaires.</w:t>
            </w:r>
          </w:p>
        </w:tc>
        <w:tc>
          <w:tcPr>
            <w:tcW w:w="2488" w:type="dxa"/>
            <w:tcBorders>
              <w:top w:val="nil"/>
              <w:left w:val="nil"/>
              <w:bottom w:val="nil"/>
              <w:right w:val="nil"/>
            </w:tcBorders>
            <w:tcMar>
              <w:top w:w="80" w:type="dxa"/>
              <w:left w:w="80" w:type="dxa"/>
              <w:bottom w:w="80" w:type="dxa"/>
              <w:right w:w="80" w:type="dxa"/>
            </w:tcMar>
          </w:tcPr>
          <w:p w:rsidR="0021053C" w:rsidRPr="00916F9A"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20"/>
                <w:szCs w:val="20"/>
                <w:lang w:val="fr-FR"/>
              </w:rPr>
            </w:pPr>
            <w:r w:rsidRPr="00916F9A">
              <w:rPr>
                <w:sz w:val="20"/>
                <w:szCs w:val="20"/>
                <w:lang w:val="fr-FR"/>
              </w:rPr>
              <w:t>Juin 2018</w:t>
            </w:r>
          </w:p>
        </w:tc>
      </w:tr>
      <w:tr w:rsidR="0021053C" w:rsidRPr="00CD779D" w:rsidTr="00763AE7">
        <w:trPr>
          <w:trHeight w:val="807"/>
          <w:jc w:val="right"/>
        </w:trPr>
        <w:tc>
          <w:tcPr>
            <w:tcW w:w="5806" w:type="dxa"/>
            <w:tcBorders>
              <w:top w:val="nil"/>
              <w:left w:val="nil"/>
              <w:bottom w:val="single" w:sz="12" w:space="0" w:color="000000"/>
              <w:right w:val="nil"/>
            </w:tcBorders>
            <w:tcMar>
              <w:top w:w="80" w:type="dxa"/>
              <w:left w:w="80" w:type="dxa"/>
              <w:bottom w:w="80" w:type="dxa"/>
              <w:right w:w="80" w:type="dxa"/>
            </w:tcMar>
          </w:tcPr>
          <w:p w:rsidR="0021053C" w:rsidRPr="00916F9A" w:rsidRDefault="0021053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Style w:val="Hyperlink0"/>
                <w:color w:val="auto"/>
                <w:sz w:val="20"/>
                <w:szCs w:val="20"/>
                <w:lang w:val="fr-FR"/>
              </w:rPr>
            </w:pPr>
            <w:r w:rsidRPr="00916F9A">
              <w:rPr>
                <w:sz w:val="20"/>
                <w:szCs w:val="20"/>
                <w:lang w:val="fr-FR"/>
              </w:rPr>
              <w:t>Le secrétariat met le projet d</w:t>
            </w:r>
            <w:r w:rsidR="008E104B" w:rsidRPr="00916F9A">
              <w:rPr>
                <w:sz w:val="20"/>
                <w:szCs w:val="20"/>
                <w:lang w:val="fr-FR"/>
              </w:rPr>
              <w:t>’</w:t>
            </w:r>
            <w:r w:rsidRPr="00916F9A">
              <w:rPr>
                <w:sz w:val="20"/>
                <w:szCs w:val="20"/>
                <w:lang w:val="fr-FR"/>
              </w:rPr>
              <w:t>orientations et toute recommandation y afférente à disposition de la Conférence des Parties à sa deuxième réunion afin qu</w:t>
            </w:r>
            <w:r w:rsidR="008E104B" w:rsidRPr="00916F9A">
              <w:rPr>
                <w:sz w:val="20"/>
                <w:szCs w:val="20"/>
                <w:lang w:val="fr-FR"/>
              </w:rPr>
              <w:t>’</w:t>
            </w:r>
            <w:r w:rsidRPr="00916F9A">
              <w:rPr>
                <w:sz w:val="20"/>
                <w:szCs w:val="20"/>
                <w:lang w:val="fr-FR"/>
              </w:rPr>
              <w:t>elle l</w:t>
            </w:r>
            <w:r w:rsidR="008E104B" w:rsidRPr="00916F9A">
              <w:rPr>
                <w:sz w:val="20"/>
                <w:szCs w:val="20"/>
                <w:lang w:val="fr-FR"/>
              </w:rPr>
              <w:t>’</w:t>
            </w:r>
            <w:r w:rsidRPr="00916F9A">
              <w:rPr>
                <w:sz w:val="20"/>
                <w:szCs w:val="20"/>
                <w:lang w:val="fr-FR"/>
              </w:rPr>
              <w:t>examine et formule des recommandations supplémentaires.</w:t>
            </w:r>
          </w:p>
        </w:tc>
        <w:tc>
          <w:tcPr>
            <w:tcW w:w="2488" w:type="dxa"/>
            <w:tcBorders>
              <w:top w:val="nil"/>
              <w:left w:val="nil"/>
              <w:bottom w:val="single" w:sz="12" w:space="0" w:color="000000"/>
              <w:right w:val="nil"/>
            </w:tcBorders>
            <w:tcMar>
              <w:top w:w="80" w:type="dxa"/>
              <w:left w:w="80" w:type="dxa"/>
              <w:bottom w:w="80" w:type="dxa"/>
              <w:right w:w="80" w:type="dxa"/>
            </w:tcMar>
          </w:tcPr>
          <w:p w:rsidR="0021053C" w:rsidRPr="00916F9A" w:rsidRDefault="0021053C" w:rsidP="00DB6D3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Style w:val="Hyperlink0"/>
                <w:sz w:val="20"/>
                <w:szCs w:val="20"/>
                <w:lang w:val="fr-FR"/>
              </w:rPr>
            </w:pPr>
            <w:r w:rsidRPr="00916F9A">
              <w:rPr>
                <w:sz w:val="20"/>
                <w:szCs w:val="20"/>
                <w:lang w:val="fr-FR"/>
              </w:rPr>
              <w:t xml:space="preserve">Réunion </w:t>
            </w:r>
            <w:r w:rsidR="00DB6D3C">
              <w:rPr>
                <w:sz w:val="20"/>
                <w:szCs w:val="20"/>
                <w:lang w:val="fr-FR"/>
              </w:rPr>
              <w:t>prévue</w:t>
            </w:r>
            <w:r w:rsidR="00DB6D3C" w:rsidRPr="00916F9A">
              <w:rPr>
                <w:sz w:val="20"/>
                <w:szCs w:val="20"/>
                <w:lang w:val="fr-FR"/>
              </w:rPr>
              <w:t xml:space="preserve"> </w:t>
            </w:r>
            <w:r w:rsidRPr="00916F9A">
              <w:rPr>
                <w:sz w:val="20"/>
                <w:szCs w:val="20"/>
                <w:lang w:val="fr-FR"/>
              </w:rPr>
              <w:t>à titre provisoire pour novembre 2018, sous réserve de la décision de la Conférence des Parties à sa première réunion</w:t>
            </w:r>
          </w:p>
        </w:tc>
      </w:tr>
    </w:tbl>
    <w:p w:rsidR="00312543" w:rsidRPr="00EC2DAC" w:rsidRDefault="00312543" w:rsidP="00763AE7">
      <w:pPr>
        <w:pStyle w:val="Normal-pool"/>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763AE7" w:rsidRPr="00CD779D" w:rsidTr="00763AE7">
        <w:tc>
          <w:tcPr>
            <w:tcW w:w="1942" w:type="dxa"/>
          </w:tcPr>
          <w:p w:rsidR="00763AE7" w:rsidRPr="00EC2DAC" w:rsidRDefault="00763AE7" w:rsidP="00763AE7">
            <w:pPr>
              <w:pStyle w:val="Normal-pool"/>
              <w:spacing w:before="520"/>
              <w:rPr>
                <w:lang w:val="fr-FR"/>
              </w:rPr>
            </w:pPr>
          </w:p>
        </w:tc>
        <w:tc>
          <w:tcPr>
            <w:tcW w:w="1942" w:type="dxa"/>
          </w:tcPr>
          <w:p w:rsidR="00763AE7" w:rsidRPr="00EC2DAC" w:rsidRDefault="00763AE7" w:rsidP="00763AE7">
            <w:pPr>
              <w:pStyle w:val="Normal-pool"/>
              <w:spacing w:before="520"/>
              <w:rPr>
                <w:lang w:val="fr-FR"/>
              </w:rPr>
            </w:pPr>
          </w:p>
        </w:tc>
        <w:tc>
          <w:tcPr>
            <w:tcW w:w="1942" w:type="dxa"/>
            <w:tcBorders>
              <w:bottom w:val="single" w:sz="4" w:space="0" w:color="auto"/>
            </w:tcBorders>
          </w:tcPr>
          <w:p w:rsidR="00763AE7" w:rsidRPr="00EC2DAC" w:rsidRDefault="00763AE7" w:rsidP="00763AE7">
            <w:pPr>
              <w:pStyle w:val="Normal-pool"/>
              <w:spacing w:before="520"/>
              <w:rPr>
                <w:lang w:val="fr-FR"/>
              </w:rPr>
            </w:pPr>
          </w:p>
        </w:tc>
        <w:tc>
          <w:tcPr>
            <w:tcW w:w="1943" w:type="dxa"/>
          </w:tcPr>
          <w:p w:rsidR="00763AE7" w:rsidRPr="00EC2DAC" w:rsidRDefault="00763AE7" w:rsidP="00763AE7">
            <w:pPr>
              <w:pStyle w:val="Normal-pool"/>
              <w:spacing w:before="520"/>
              <w:rPr>
                <w:lang w:val="fr-FR"/>
              </w:rPr>
            </w:pPr>
          </w:p>
        </w:tc>
        <w:tc>
          <w:tcPr>
            <w:tcW w:w="1943" w:type="dxa"/>
          </w:tcPr>
          <w:p w:rsidR="00763AE7" w:rsidRPr="00EC2DAC" w:rsidRDefault="00763AE7" w:rsidP="00763AE7">
            <w:pPr>
              <w:pStyle w:val="Normal-pool"/>
              <w:spacing w:before="520"/>
              <w:rPr>
                <w:lang w:val="fr-FR"/>
              </w:rPr>
            </w:pPr>
          </w:p>
        </w:tc>
      </w:tr>
    </w:tbl>
    <w:p w:rsidR="00763AE7" w:rsidRPr="00EC2DAC" w:rsidRDefault="00763AE7" w:rsidP="00763AE7">
      <w:pPr>
        <w:pStyle w:val="Normal-pool"/>
        <w:rPr>
          <w:lang w:val="fr-FR"/>
        </w:rPr>
      </w:pPr>
    </w:p>
    <w:sectPr w:rsidR="00763AE7" w:rsidRPr="00EC2DAC" w:rsidSect="009F0B3C">
      <w:headerReference w:type="even" r:id="rId18"/>
      <w:headerReference w:type="default" r:id="rId19"/>
      <w:headerReference w:type="first" r:id="rId20"/>
      <w:footerReference w:type="first" r:id="rId21"/>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39" w:rsidRDefault="002B5639">
      <w:r>
        <w:separator/>
      </w:r>
    </w:p>
  </w:endnote>
  <w:endnote w:type="continuationSeparator" w:id="0">
    <w:p w:rsidR="002B5639" w:rsidRDefault="002B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64" w:rsidRPr="003415F0" w:rsidRDefault="00EE6464">
    <w:pPr>
      <w:pStyle w:val="Footer"/>
      <w:rPr>
        <w:sz w:val="20"/>
      </w:rPr>
    </w:pPr>
    <w:r w:rsidRPr="003415F0">
      <w:rPr>
        <w:rStyle w:val="PageNumber"/>
        <w:sz w:val="20"/>
      </w:rPr>
      <w:fldChar w:fldCharType="begin"/>
    </w:r>
    <w:r w:rsidRPr="003415F0">
      <w:rPr>
        <w:rStyle w:val="PageNumber"/>
        <w:sz w:val="20"/>
      </w:rPr>
      <w:instrText xml:space="preserve"> PAGE </w:instrText>
    </w:r>
    <w:r w:rsidRPr="003415F0">
      <w:rPr>
        <w:rStyle w:val="PageNumber"/>
        <w:sz w:val="20"/>
      </w:rPr>
      <w:fldChar w:fldCharType="separate"/>
    </w:r>
    <w:r w:rsidR="004C49A3">
      <w:rPr>
        <w:rStyle w:val="PageNumber"/>
        <w:noProof/>
        <w:sz w:val="20"/>
      </w:rPr>
      <w:t>4</w:t>
    </w:r>
    <w:r w:rsidRPr="003415F0">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64" w:rsidRDefault="00EE6464"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72029E">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64" w:rsidRDefault="00232696" w:rsidP="0015444E">
    <w:pPr>
      <w:pStyle w:val="Normal-pool"/>
    </w:pPr>
    <w:r>
      <w:rPr>
        <w:lang w:val="fr-FR"/>
      </w:rPr>
      <w:t>K1704238</w:t>
    </w:r>
    <w:r w:rsidR="0072029E">
      <w:rPr>
        <w:lang w:val="fr-FR"/>
      </w:rPr>
      <w:tab/>
      <w:t>30</w:t>
    </w:r>
    <w:r w:rsidR="00B0353B">
      <w:rPr>
        <w:lang w:val="fr-FR"/>
      </w:rPr>
      <w:t>06</w:t>
    </w:r>
    <w:r w:rsidR="00EE6464">
      <w:rPr>
        <w:lang w:val="fr-FR"/>
      </w:rPr>
      <w:t>17</w:t>
    </w:r>
  </w:p>
  <w:p w:rsidR="003415F0" w:rsidRDefault="003415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95343889"/>
      <w:docPartObj>
        <w:docPartGallery w:val="Page Numbers (Bottom of Page)"/>
        <w:docPartUnique/>
      </w:docPartObj>
    </w:sdtPr>
    <w:sdtEndPr>
      <w:rPr>
        <w:b/>
        <w:noProof/>
        <w:sz w:val="20"/>
        <w:szCs w:val="20"/>
      </w:rPr>
    </w:sdtEndPr>
    <w:sdtContent>
      <w:p w:rsidR="00EE6464" w:rsidRPr="003415F0" w:rsidRDefault="00EE6464" w:rsidP="009F0B3C">
        <w:pPr>
          <w:pStyle w:val="Normal-pool"/>
          <w:jc w:val="right"/>
          <w:rPr>
            <w:b/>
          </w:rPr>
        </w:pPr>
        <w:r w:rsidRPr="003415F0">
          <w:rPr>
            <w:b/>
          </w:rPr>
          <w:fldChar w:fldCharType="begin"/>
        </w:r>
        <w:r w:rsidRPr="003415F0">
          <w:rPr>
            <w:b/>
          </w:rPr>
          <w:instrText xml:space="preserve"> PAGE   \* MERGEFORMAT </w:instrText>
        </w:r>
        <w:r w:rsidRPr="003415F0">
          <w:rPr>
            <w:b/>
          </w:rPr>
          <w:fldChar w:fldCharType="separate"/>
        </w:r>
        <w:r w:rsidR="007E6936">
          <w:rPr>
            <w:b/>
            <w:noProof/>
          </w:rPr>
          <w:t>3</w:t>
        </w:r>
        <w:r w:rsidRPr="003415F0">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39" w:rsidRPr="00BD6F57" w:rsidRDefault="002B5639" w:rsidP="00BD6F57">
      <w:pPr>
        <w:tabs>
          <w:tab w:val="clear" w:pos="1247"/>
          <w:tab w:val="clear" w:pos="1814"/>
          <w:tab w:val="clear" w:pos="2381"/>
          <w:tab w:val="clear" w:pos="2948"/>
          <w:tab w:val="clear" w:pos="3515"/>
          <w:tab w:val="left" w:pos="624"/>
        </w:tabs>
        <w:spacing w:before="60"/>
        <w:ind w:left="624"/>
        <w:rPr>
          <w:sz w:val="18"/>
          <w:szCs w:val="18"/>
        </w:rPr>
      </w:pPr>
      <w:r w:rsidRPr="00BD6F57">
        <w:rPr>
          <w:sz w:val="18"/>
          <w:szCs w:val="18"/>
        </w:rPr>
        <w:separator/>
      </w:r>
    </w:p>
  </w:footnote>
  <w:footnote w:type="continuationSeparator" w:id="0">
    <w:p w:rsidR="002B5639" w:rsidRDefault="002B5639">
      <w:r>
        <w:continuationSeparator/>
      </w:r>
    </w:p>
  </w:footnote>
  <w:footnote w:id="1">
    <w:p w:rsidR="00EE6464" w:rsidRPr="00232696" w:rsidRDefault="006E4BDB" w:rsidP="00BD6F57">
      <w:pPr>
        <w:tabs>
          <w:tab w:val="clear" w:pos="1247"/>
          <w:tab w:val="clear" w:pos="1814"/>
          <w:tab w:val="clear" w:pos="2381"/>
          <w:tab w:val="clear" w:pos="2948"/>
          <w:tab w:val="clear" w:pos="3515"/>
          <w:tab w:val="left" w:pos="624"/>
        </w:tabs>
        <w:spacing w:before="20" w:after="40"/>
        <w:ind w:left="1247"/>
        <w:rPr>
          <w:sz w:val="18"/>
          <w:szCs w:val="18"/>
        </w:rPr>
      </w:pPr>
      <w:r>
        <w:rPr>
          <w:sz w:val="18"/>
          <w:szCs w:val="18"/>
          <w:lang w:val="fr-FR"/>
        </w:rPr>
        <w:t>* UNEP/MC/COP.1/1</w:t>
      </w:r>
      <w:r w:rsidR="00EE6464" w:rsidRPr="00232696">
        <w:rPr>
          <w:sz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64" w:rsidRPr="00CA5CA9" w:rsidRDefault="00EE6464" w:rsidP="00154AF0">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64" w:rsidRPr="00CA5CA9" w:rsidRDefault="004C49A3" w:rsidP="00154AF0">
    <w:pPr>
      <w:pStyle w:val="Header"/>
      <w:jc w:val="right"/>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510937" o:spid="_x0000_s2051" type="#_x0000_t136" style="position:absolute;left:0;text-align:left;margin-left:0;margin-top:0;width:520.65pt;height:148.7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EE6464">
      <w:rPr>
        <w:bCs/>
        <w:szCs w:val="18"/>
      </w:rPr>
      <w:t>UNEP/MC/COP.1/27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64" w:rsidRDefault="00EE6464" w:rsidP="00032E4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57" w:rsidRPr="00BD6F57" w:rsidRDefault="00BD6F57" w:rsidP="00BD6F57">
    <w:pPr>
      <w:pStyle w:val="Header"/>
      <w:rPr>
        <w:szCs w:val="18"/>
      </w:rPr>
    </w:pPr>
    <w:r>
      <w:rPr>
        <w:bCs/>
        <w:szCs w:val="18"/>
      </w:rPr>
      <w:t>U</w:t>
    </w:r>
    <w:r w:rsidRPr="00CA5CA9">
      <w:rPr>
        <w:bCs/>
        <w:szCs w:val="18"/>
      </w:rPr>
      <w:t>NEP</w:t>
    </w:r>
    <w:r w:rsidRPr="00CA5CA9">
      <w:rPr>
        <w:szCs w:val="18"/>
      </w:rPr>
      <w:t>/</w:t>
    </w:r>
    <w:r>
      <w:rPr>
        <w:szCs w:val="18"/>
      </w:rPr>
      <w:t>MC</w:t>
    </w:r>
    <w:r w:rsidRPr="00CA5CA9">
      <w:rPr>
        <w:szCs w:val="18"/>
      </w:rPr>
      <w:t>/</w:t>
    </w:r>
    <w:r>
      <w:rPr>
        <w:szCs w:val="18"/>
      </w:rPr>
      <w:t>COP.1</w:t>
    </w:r>
    <w:r w:rsidRPr="00CA5CA9">
      <w:rPr>
        <w:szCs w:val="18"/>
      </w:rPr>
      <w:t>/</w:t>
    </w:r>
    <w:r>
      <w:rPr>
        <w:szCs w:val="18"/>
      </w:rPr>
      <w:t>27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57" w:rsidRPr="00BD6F57" w:rsidRDefault="00BD6F57" w:rsidP="00BD6F57">
    <w:pPr>
      <w:pStyle w:val="Header"/>
      <w:jc w:val="right"/>
      <w:rPr>
        <w:szCs w:val="18"/>
      </w:rPr>
    </w:pPr>
    <w:r>
      <w:rPr>
        <w:bCs/>
        <w:szCs w:val="18"/>
      </w:rPr>
      <w:t>U</w:t>
    </w:r>
    <w:r w:rsidRPr="00CA5CA9">
      <w:rPr>
        <w:bCs/>
        <w:szCs w:val="18"/>
      </w:rPr>
      <w:t>NEP</w:t>
    </w:r>
    <w:r w:rsidRPr="00CA5CA9">
      <w:rPr>
        <w:szCs w:val="18"/>
      </w:rPr>
      <w:t>/</w:t>
    </w:r>
    <w:r>
      <w:rPr>
        <w:szCs w:val="18"/>
      </w:rPr>
      <w:t>MC</w:t>
    </w:r>
    <w:r w:rsidRPr="00CA5CA9">
      <w:rPr>
        <w:szCs w:val="18"/>
      </w:rPr>
      <w:t>/</w:t>
    </w:r>
    <w:r>
      <w:rPr>
        <w:szCs w:val="18"/>
      </w:rPr>
      <w:t>COP.1</w:t>
    </w:r>
    <w:r w:rsidRPr="00CA5CA9">
      <w:rPr>
        <w:szCs w:val="18"/>
      </w:rPr>
      <w:t>/</w:t>
    </w:r>
    <w:r>
      <w:rPr>
        <w:szCs w:val="18"/>
      </w:rPr>
      <w:t>27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64" w:rsidRPr="009F0B3C" w:rsidRDefault="00EE6464" w:rsidP="009F0B3C">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1E9"/>
    <w:multiLevelType w:val="hybridMultilevel"/>
    <w:tmpl w:val="2906392A"/>
    <w:lvl w:ilvl="0" w:tplc="23B8C90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49E649E3"/>
    <w:multiLevelType w:val="hybridMultilevel"/>
    <w:tmpl w:val="2424ED92"/>
    <w:lvl w:ilvl="0" w:tplc="E75EA658">
      <w:numFmt w:val="bullet"/>
      <w:lvlText w:val="-"/>
      <w:lvlJc w:val="left"/>
      <w:pPr>
        <w:ind w:left="1817" w:hanging="570"/>
      </w:pPr>
      <w:rPr>
        <w:rFonts w:ascii="Times New Roman" w:eastAsia="Times New Roman" w:hAnsi="Times New Roman" w:cs="Times New Roman"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6">
    <w:nsid w:val="52A66A9D"/>
    <w:multiLevelType w:val="multilevel"/>
    <w:tmpl w:val="40CEAEA8"/>
    <w:styleLink w:val="Normallist"/>
    <w:lvl w:ilvl="0">
      <w:start w:val="1"/>
      <w:numFmt w:val="decimal"/>
      <w:pStyle w:val="Normalnumber"/>
      <w:lvlText w:val="%1."/>
      <w:lvlJc w:val="left"/>
      <w:pPr>
        <w:tabs>
          <w:tab w:val="num" w:pos="1305"/>
        </w:tabs>
        <w:ind w:left="1418" w:firstLine="0"/>
      </w:pPr>
      <w:rPr>
        <w:rFonts w:hint="default"/>
      </w:rPr>
    </w:lvl>
    <w:lvl w:ilvl="1">
      <w:start w:val="1"/>
      <w:numFmt w:val="lowerLetter"/>
      <w:lvlText w:val="%2)"/>
      <w:lvlJc w:val="left"/>
      <w:pPr>
        <w:tabs>
          <w:tab w:val="num" w:pos="1134"/>
        </w:tabs>
        <w:ind w:left="1247" w:firstLine="567"/>
      </w:pPr>
      <w:rPr>
        <w:rFonts w:ascii="Times New Roman" w:eastAsia="Times New Roman" w:hAnsi="Times New Roman" w:cs="Times New Roman"/>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5D500CAD"/>
    <w:multiLevelType w:val="hybridMultilevel"/>
    <w:tmpl w:val="B98E2C0C"/>
    <w:lvl w:ilvl="0" w:tplc="C6FA157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6AF17C29"/>
    <w:multiLevelType w:val="hybridMultilevel"/>
    <w:tmpl w:val="209A394C"/>
    <w:lvl w:ilvl="0" w:tplc="AF8E6E0E">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num w:numId="1">
    <w:abstractNumId w:val="6"/>
  </w:num>
  <w:num w:numId="2">
    <w:abstractNumId w:val="2"/>
  </w:num>
  <w:num w:numId="3">
    <w:abstractNumId w:val="4"/>
  </w:num>
  <w:num w:numId="4">
    <w:abstractNumId w:val="6"/>
  </w:num>
  <w:num w:numId="5">
    <w:abstractNumId w:val="6"/>
    <w:lvlOverride w:ilvl="0">
      <w:lvl w:ilvl="0">
        <w:start w:val="1"/>
        <w:numFmt w:val="decimal"/>
        <w:pStyle w:val="Normalnumber"/>
        <w:lvlText w:val="%1."/>
        <w:lvlJc w:val="left"/>
        <w:pPr>
          <w:tabs>
            <w:tab w:val="num" w:pos="1305"/>
          </w:tabs>
          <w:ind w:left="1418" w:firstLine="0"/>
        </w:pPr>
        <w:rPr>
          <w:rFonts w:hint="default"/>
          <w:b w:val="0"/>
          <w:bCs w:val="0"/>
        </w:rPr>
      </w:lvl>
    </w:lvlOverride>
  </w:num>
  <w:num w:numId="6">
    <w:abstractNumId w:val="3"/>
  </w:num>
  <w:num w:numId="7">
    <w:abstractNumId w:val="1"/>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9"/>
      <w:lvl w:ilvl="0">
        <w:start w:val="9"/>
        <w:numFmt w:val="decimal"/>
        <w:pStyle w:val="Normalnumber"/>
        <w:lvlText w:val="%1."/>
        <w:lvlJc w:val="left"/>
        <w:pPr>
          <w:tabs>
            <w:tab w:val="num" w:pos="1305"/>
          </w:tabs>
          <w:ind w:left="1418" w:firstLine="0"/>
        </w:pPr>
        <w:rPr>
          <w:rFonts w:hint="default"/>
          <w:b w:val="0"/>
          <w:bCs w:val="0"/>
        </w:rPr>
      </w:lvl>
    </w:lvlOverride>
  </w:num>
  <w:num w:numId="12">
    <w:abstractNumId w:val="0"/>
  </w:num>
  <w:num w:numId="13">
    <w:abstractNumId w:val="6"/>
    <w:lvlOverride w:ilvl="0">
      <w:lvl w:ilvl="0">
        <w:start w:val="6"/>
        <w:numFmt w:val="decimal"/>
        <w:pStyle w:val="Normalnumber"/>
        <w:lvlText w:val="%1."/>
        <w:lvlJc w:val="left"/>
        <w:pPr>
          <w:tabs>
            <w:tab w:val="num" w:pos="1305"/>
          </w:tabs>
          <w:ind w:left="1418" w:firstLine="0"/>
        </w:pPr>
        <w:rPr>
          <w:rFonts w:hint="default"/>
          <w:b w:val="0"/>
          <w:bCs w:val="0"/>
        </w:rPr>
      </w:lvl>
    </w:lvlOverride>
  </w:num>
  <w:num w:numId="14">
    <w:abstractNumId w:val="6"/>
    <w:lvlOverride w:ilvl="0">
      <w:startOverride w:val="7"/>
      <w:lvl w:ilvl="0">
        <w:start w:val="7"/>
        <w:numFmt w:val="decimal"/>
        <w:pStyle w:val="Normalnumber"/>
        <w:lvlText w:val="%1."/>
        <w:lvlJc w:val="left"/>
        <w:pPr>
          <w:tabs>
            <w:tab w:val="num" w:pos="1305"/>
          </w:tabs>
          <w:ind w:left="1418" w:firstLine="0"/>
        </w:pPr>
        <w:rPr>
          <w:rFonts w:hint="default"/>
          <w:b w:val="0"/>
          <w:bCs w:val="0"/>
        </w:rPr>
      </w:lvl>
    </w:lvlOverride>
  </w:num>
  <w:num w:numId="15">
    <w:abstractNumId w:val="7"/>
  </w:num>
  <w:num w:numId="16">
    <w:abstractNumId w:val="6"/>
    <w:lvlOverride w:ilvl="0">
      <w:lvl w:ilvl="0">
        <w:start w:val="1"/>
        <w:numFmt w:val="decimal"/>
        <w:pStyle w:val="Normalnumber"/>
        <w:lvlText w:val="%1."/>
        <w:lvlJc w:val="left"/>
        <w:pPr>
          <w:tabs>
            <w:tab w:val="num" w:pos="1305"/>
          </w:tabs>
          <w:ind w:left="1418" w:firstLine="0"/>
        </w:pPr>
        <w:rPr>
          <w:rFonts w:hint="default"/>
          <w:b w:val="0"/>
          <w:bCs w:val="0"/>
        </w:rPr>
      </w:lvl>
    </w:lvlOverride>
  </w:num>
  <w:num w:numId="17">
    <w:abstractNumId w:val="6"/>
    <w:lvlOverride w:ilvl="0">
      <w:lvl w:ilvl="0">
        <w:start w:val="1"/>
        <w:numFmt w:val="decimal"/>
        <w:pStyle w:val="Normalnumber"/>
        <w:lvlText w:val="%1."/>
        <w:lvlJc w:val="left"/>
        <w:pPr>
          <w:tabs>
            <w:tab w:val="num" w:pos="1305"/>
          </w:tabs>
          <w:ind w:left="1418" w:firstLine="0"/>
        </w:pPr>
        <w:rPr>
          <w:rFonts w:hint="default"/>
          <w:b w:val="0"/>
          <w:bCs w:val="0"/>
        </w:rPr>
      </w:lvl>
    </w:lvlOverride>
  </w:num>
  <w:num w:numId="18">
    <w:abstractNumId w:val="6"/>
    <w:lvlOverride w:ilvl="0">
      <w:lvl w:ilvl="0">
        <w:start w:val="1"/>
        <w:numFmt w:val="decimal"/>
        <w:pStyle w:val="Normalnumber"/>
        <w:lvlText w:val="%1."/>
        <w:lvlJc w:val="left"/>
        <w:pPr>
          <w:tabs>
            <w:tab w:val="num" w:pos="1305"/>
          </w:tabs>
          <w:ind w:left="1418" w:firstLine="0"/>
        </w:pPr>
        <w:rPr>
          <w:rFonts w:hint="default"/>
          <w:b w:val="0"/>
          <w:bCs w:val="0"/>
        </w:rPr>
      </w:lvl>
    </w:lvlOverride>
  </w:num>
  <w:num w:numId="19">
    <w:abstractNumId w:val="9"/>
    <w:lvlOverride w:ilvl="0">
      <w:lvl w:ilvl="0" w:tplc="AF8E6E0E">
        <w:start w:val="1"/>
        <w:numFmt w:val="bullet"/>
        <w:lvlText w:val=""/>
        <w:lvlJc w:val="left"/>
        <w:pPr>
          <w:ind w:left="1967" w:hanging="360"/>
        </w:pPr>
        <w:rPr>
          <w:rFonts w:ascii="Symbol" w:hAnsi="Symbol" w:hint="default"/>
        </w:rPr>
      </w:lvl>
    </w:lvlOverride>
  </w:num>
  <w:num w:numId="20">
    <w:abstractNumId w:val="5"/>
  </w:num>
  <w:num w:numId="21">
    <w:abstractNumId w:val="6"/>
    <w:lvlOverride w:ilvl="0">
      <w:lvl w:ilvl="0">
        <w:start w:val="1"/>
        <w:numFmt w:val="decimal"/>
        <w:pStyle w:val="Normalnumber"/>
        <w:lvlText w:val="%1."/>
        <w:lvlJc w:val="left"/>
        <w:pPr>
          <w:tabs>
            <w:tab w:val="num" w:pos="1305"/>
          </w:tabs>
          <w:ind w:left="1418" w:firstLine="0"/>
        </w:pPr>
        <w:rPr>
          <w:rFonts w:hint="default"/>
          <w:b w:val="0"/>
          <w:bCs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5570"/>
    <w:rsid w:val="000149E6"/>
    <w:rsid w:val="00023DA9"/>
    <w:rsid w:val="000247B0"/>
    <w:rsid w:val="00024CFD"/>
    <w:rsid w:val="00026997"/>
    <w:rsid w:val="00026A08"/>
    <w:rsid w:val="00032E4E"/>
    <w:rsid w:val="00033E0B"/>
    <w:rsid w:val="00035EDE"/>
    <w:rsid w:val="000509B4"/>
    <w:rsid w:val="0006035B"/>
    <w:rsid w:val="0006096F"/>
    <w:rsid w:val="000649C5"/>
    <w:rsid w:val="00071886"/>
    <w:rsid w:val="000742BC"/>
    <w:rsid w:val="00075FB7"/>
    <w:rsid w:val="00076166"/>
    <w:rsid w:val="00076CC6"/>
    <w:rsid w:val="00082A0C"/>
    <w:rsid w:val="00083504"/>
    <w:rsid w:val="0009640C"/>
    <w:rsid w:val="000A5502"/>
    <w:rsid w:val="000A6C0A"/>
    <w:rsid w:val="000B22A2"/>
    <w:rsid w:val="000B68F0"/>
    <w:rsid w:val="000B73F9"/>
    <w:rsid w:val="000C1298"/>
    <w:rsid w:val="000C2A52"/>
    <w:rsid w:val="000D0B57"/>
    <w:rsid w:val="000D2BEB"/>
    <w:rsid w:val="000D33C0"/>
    <w:rsid w:val="000D4CF6"/>
    <w:rsid w:val="000D6941"/>
    <w:rsid w:val="000F4829"/>
    <w:rsid w:val="001202E3"/>
    <w:rsid w:val="00123699"/>
    <w:rsid w:val="001241FB"/>
    <w:rsid w:val="00130529"/>
    <w:rsid w:val="0013059D"/>
    <w:rsid w:val="00131DD4"/>
    <w:rsid w:val="00136187"/>
    <w:rsid w:val="00141A55"/>
    <w:rsid w:val="0014293F"/>
    <w:rsid w:val="0014397D"/>
    <w:rsid w:val="001446A3"/>
    <w:rsid w:val="00152B6B"/>
    <w:rsid w:val="00152D30"/>
    <w:rsid w:val="0015444E"/>
    <w:rsid w:val="00154AF0"/>
    <w:rsid w:val="00155395"/>
    <w:rsid w:val="00156B6B"/>
    <w:rsid w:val="00156E19"/>
    <w:rsid w:val="00160D74"/>
    <w:rsid w:val="001646EA"/>
    <w:rsid w:val="00167D02"/>
    <w:rsid w:val="001759D8"/>
    <w:rsid w:val="00177D7F"/>
    <w:rsid w:val="00180C3F"/>
    <w:rsid w:val="00181EC8"/>
    <w:rsid w:val="00184349"/>
    <w:rsid w:val="00195F33"/>
    <w:rsid w:val="001B1617"/>
    <w:rsid w:val="001B504B"/>
    <w:rsid w:val="001B6F98"/>
    <w:rsid w:val="001C191A"/>
    <w:rsid w:val="001D3874"/>
    <w:rsid w:val="001D422C"/>
    <w:rsid w:val="001D7E75"/>
    <w:rsid w:val="001E0D73"/>
    <w:rsid w:val="001E2B0D"/>
    <w:rsid w:val="001E45BD"/>
    <w:rsid w:val="001E56D2"/>
    <w:rsid w:val="001E7D56"/>
    <w:rsid w:val="001F75DE"/>
    <w:rsid w:val="00200D58"/>
    <w:rsid w:val="002011C1"/>
    <w:rsid w:val="002013BE"/>
    <w:rsid w:val="00201EDC"/>
    <w:rsid w:val="002063A4"/>
    <w:rsid w:val="0021053C"/>
    <w:rsid w:val="0021145B"/>
    <w:rsid w:val="00220C23"/>
    <w:rsid w:val="002247F6"/>
    <w:rsid w:val="00225E21"/>
    <w:rsid w:val="00232696"/>
    <w:rsid w:val="00234E78"/>
    <w:rsid w:val="0023673D"/>
    <w:rsid w:val="00240CA2"/>
    <w:rsid w:val="00243D36"/>
    <w:rsid w:val="00246151"/>
    <w:rsid w:val="00247707"/>
    <w:rsid w:val="0026018E"/>
    <w:rsid w:val="00286740"/>
    <w:rsid w:val="00291EAE"/>
    <w:rsid w:val="002929D8"/>
    <w:rsid w:val="0029570E"/>
    <w:rsid w:val="002A237D"/>
    <w:rsid w:val="002A4C53"/>
    <w:rsid w:val="002B0672"/>
    <w:rsid w:val="002B247F"/>
    <w:rsid w:val="002B50D4"/>
    <w:rsid w:val="002B5639"/>
    <w:rsid w:val="002C145D"/>
    <w:rsid w:val="002C2C3E"/>
    <w:rsid w:val="002C533E"/>
    <w:rsid w:val="002D027F"/>
    <w:rsid w:val="002D3E15"/>
    <w:rsid w:val="002D7A85"/>
    <w:rsid w:val="002D7B60"/>
    <w:rsid w:val="002F4761"/>
    <w:rsid w:val="002F5C79"/>
    <w:rsid w:val="002F68EE"/>
    <w:rsid w:val="003019E2"/>
    <w:rsid w:val="00310BEB"/>
    <w:rsid w:val="00312543"/>
    <w:rsid w:val="0031413F"/>
    <w:rsid w:val="00314854"/>
    <w:rsid w:val="003148BB"/>
    <w:rsid w:val="00317976"/>
    <w:rsid w:val="00320F2F"/>
    <w:rsid w:val="00323C25"/>
    <w:rsid w:val="00332962"/>
    <w:rsid w:val="00333F5A"/>
    <w:rsid w:val="003415F0"/>
    <w:rsid w:val="00355EA9"/>
    <w:rsid w:val="003578DE"/>
    <w:rsid w:val="00361688"/>
    <w:rsid w:val="003740A7"/>
    <w:rsid w:val="003752B8"/>
    <w:rsid w:val="003877D5"/>
    <w:rsid w:val="003929B8"/>
    <w:rsid w:val="00396257"/>
    <w:rsid w:val="003976E9"/>
    <w:rsid w:val="00397EB8"/>
    <w:rsid w:val="003A4FD0"/>
    <w:rsid w:val="003A69D1"/>
    <w:rsid w:val="003A7705"/>
    <w:rsid w:val="003A77F1"/>
    <w:rsid w:val="003B1545"/>
    <w:rsid w:val="003C3219"/>
    <w:rsid w:val="003C409D"/>
    <w:rsid w:val="003C5583"/>
    <w:rsid w:val="003C56ED"/>
    <w:rsid w:val="003C5BA6"/>
    <w:rsid w:val="003C74CF"/>
    <w:rsid w:val="003D3752"/>
    <w:rsid w:val="003E35DA"/>
    <w:rsid w:val="003E455D"/>
    <w:rsid w:val="003F0E85"/>
    <w:rsid w:val="00401602"/>
    <w:rsid w:val="00410C55"/>
    <w:rsid w:val="00410C59"/>
    <w:rsid w:val="00416854"/>
    <w:rsid w:val="00417725"/>
    <w:rsid w:val="00437F26"/>
    <w:rsid w:val="00444097"/>
    <w:rsid w:val="00445487"/>
    <w:rsid w:val="00447430"/>
    <w:rsid w:val="00447E0D"/>
    <w:rsid w:val="00454769"/>
    <w:rsid w:val="0046072B"/>
    <w:rsid w:val="00465D27"/>
    <w:rsid w:val="00466991"/>
    <w:rsid w:val="0047064C"/>
    <w:rsid w:val="004822B7"/>
    <w:rsid w:val="0049469E"/>
    <w:rsid w:val="004A2217"/>
    <w:rsid w:val="004A24F9"/>
    <w:rsid w:val="004A42E1"/>
    <w:rsid w:val="004B0403"/>
    <w:rsid w:val="004B162C"/>
    <w:rsid w:val="004B2ABE"/>
    <w:rsid w:val="004C2C18"/>
    <w:rsid w:val="004C383A"/>
    <w:rsid w:val="004C3DBE"/>
    <w:rsid w:val="004C49A3"/>
    <w:rsid w:val="004C5C96"/>
    <w:rsid w:val="004D06A4"/>
    <w:rsid w:val="004D575D"/>
    <w:rsid w:val="004F1A81"/>
    <w:rsid w:val="005050D2"/>
    <w:rsid w:val="00512883"/>
    <w:rsid w:val="005218D9"/>
    <w:rsid w:val="00536186"/>
    <w:rsid w:val="00544CBB"/>
    <w:rsid w:val="005656D7"/>
    <w:rsid w:val="0057315F"/>
    <w:rsid w:val="00576104"/>
    <w:rsid w:val="00580C85"/>
    <w:rsid w:val="00581213"/>
    <w:rsid w:val="005877AA"/>
    <w:rsid w:val="00592B21"/>
    <w:rsid w:val="005B44BF"/>
    <w:rsid w:val="005C0105"/>
    <w:rsid w:val="005C62FC"/>
    <w:rsid w:val="005C67C8"/>
    <w:rsid w:val="005D0249"/>
    <w:rsid w:val="005D18FA"/>
    <w:rsid w:val="005D4FD4"/>
    <w:rsid w:val="005D6E8C"/>
    <w:rsid w:val="005E3004"/>
    <w:rsid w:val="005F100C"/>
    <w:rsid w:val="005F3621"/>
    <w:rsid w:val="005F68DA"/>
    <w:rsid w:val="005F71EF"/>
    <w:rsid w:val="00601BC9"/>
    <w:rsid w:val="0060773B"/>
    <w:rsid w:val="00613FD6"/>
    <w:rsid w:val="00614117"/>
    <w:rsid w:val="006157B5"/>
    <w:rsid w:val="00617224"/>
    <w:rsid w:val="00626B1D"/>
    <w:rsid w:val="00626FC6"/>
    <w:rsid w:val="006303B4"/>
    <w:rsid w:val="00630ADC"/>
    <w:rsid w:val="006321A9"/>
    <w:rsid w:val="00633D3D"/>
    <w:rsid w:val="00641703"/>
    <w:rsid w:val="006431A6"/>
    <w:rsid w:val="00643E3A"/>
    <w:rsid w:val="006459F6"/>
    <w:rsid w:val="006501AD"/>
    <w:rsid w:val="00651BFA"/>
    <w:rsid w:val="00654475"/>
    <w:rsid w:val="00656DF0"/>
    <w:rsid w:val="00665A4B"/>
    <w:rsid w:val="00692E2A"/>
    <w:rsid w:val="00693583"/>
    <w:rsid w:val="006A418C"/>
    <w:rsid w:val="006A76F2"/>
    <w:rsid w:val="006C6B34"/>
    <w:rsid w:val="006D19D4"/>
    <w:rsid w:val="006D7EFB"/>
    <w:rsid w:val="006E4BDB"/>
    <w:rsid w:val="006E6672"/>
    <w:rsid w:val="006E6722"/>
    <w:rsid w:val="006F0945"/>
    <w:rsid w:val="006F20A2"/>
    <w:rsid w:val="006F7AFF"/>
    <w:rsid w:val="007027B9"/>
    <w:rsid w:val="007066B5"/>
    <w:rsid w:val="007114E5"/>
    <w:rsid w:val="007145DA"/>
    <w:rsid w:val="00715E88"/>
    <w:rsid w:val="0072029E"/>
    <w:rsid w:val="00734210"/>
    <w:rsid w:val="00734CAA"/>
    <w:rsid w:val="00741552"/>
    <w:rsid w:val="00742680"/>
    <w:rsid w:val="0075533C"/>
    <w:rsid w:val="00757581"/>
    <w:rsid w:val="007602F5"/>
    <w:rsid w:val="00760D36"/>
    <w:rsid w:val="007611A0"/>
    <w:rsid w:val="00763AE7"/>
    <w:rsid w:val="00771355"/>
    <w:rsid w:val="00773E54"/>
    <w:rsid w:val="00787688"/>
    <w:rsid w:val="00791B78"/>
    <w:rsid w:val="007935E6"/>
    <w:rsid w:val="0079673F"/>
    <w:rsid w:val="00796D3F"/>
    <w:rsid w:val="00796E1C"/>
    <w:rsid w:val="007A1683"/>
    <w:rsid w:val="007A5C12"/>
    <w:rsid w:val="007A7CB0"/>
    <w:rsid w:val="007B68A3"/>
    <w:rsid w:val="007C180F"/>
    <w:rsid w:val="007C2541"/>
    <w:rsid w:val="007D66A8"/>
    <w:rsid w:val="007D6882"/>
    <w:rsid w:val="007E003F"/>
    <w:rsid w:val="007E6936"/>
    <w:rsid w:val="007E7720"/>
    <w:rsid w:val="007F0CF8"/>
    <w:rsid w:val="007F62CB"/>
    <w:rsid w:val="008142EC"/>
    <w:rsid w:val="008164F2"/>
    <w:rsid w:val="00821395"/>
    <w:rsid w:val="00830E26"/>
    <w:rsid w:val="00843576"/>
    <w:rsid w:val="00843B64"/>
    <w:rsid w:val="00844DC3"/>
    <w:rsid w:val="008478FC"/>
    <w:rsid w:val="00851C51"/>
    <w:rsid w:val="00856CDB"/>
    <w:rsid w:val="00867BFF"/>
    <w:rsid w:val="00871542"/>
    <w:rsid w:val="00872BF6"/>
    <w:rsid w:val="0088480A"/>
    <w:rsid w:val="0088757A"/>
    <w:rsid w:val="0089431B"/>
    <w:rsid w:val="00894479"/>
    <w:rsid w:val="00895668"/>
    <w:rsid w:val="008957DD"/>
    <w:rsid w:val="00897D98"/>
    <w:rsid w:val="008A6DF2"/>
    <w:rsid w:val="008A7807"/>
    <w:rsid w:val="008B4CC9"/>
    <w:rsid w:val="008C473D"/>
    <w:rsid w:val="008D75E4"/>
    <w:rsid w:val="008D7C99"/>
    <w:rsid w:val="008E0FCB"/>
    <w:rsid w:val="008E104B"/>
    <w:rsid w:val="008E1454"/>
    <w:rsid w:val="008E49C5"/>
    <w:rsid w:val="008F1F64"/>
    <w:rsid w:val="008F30A7"/>
    <w:rsid w:val="008F6DFE"/>
    <w:rsid w:val="0090529F"/>
    <w:rsid w:val="00911BEF"/>
    <w:rsid w:val="00916F9A"/>
    <w:rsid w:val="0092178C"/>
    <w:rsid w:val="00930B88"/>
    <w:rsid w:val="00940DCC"/>
    <w:rsid w:val="0094179A"/>
    <w:rsid w:val="0094459E"/>
    <w:rsid w:val="00944DBC"/>
    <w:rsid w:val="00947CEA"/>
    <w:rsid w:val="00950977"/>
    <w:rsid w:val="00951A7B"/>
    <w:rsid w:val="009564A6"/>
    <w:rsid w:val="00966A53"/>
    <w:rsid w:val="00967621"/>
    <w:rsid w:val="00967E6A"/>
    <w:rsid w:val="009907B9"/>
    <w:rsid w:val="00990918"/>
    <w:rsid w:val="009941A2"/>
    <w:rsid w:val="009A26F6"/>
    <w:rsid w:val="009A3A83"/>
    <w:rsid w:val="009B4A0F"/>
    <w:rsid w:val="009C11D2"/>
    <w:rsid w:val="009C6C70"/>
    <w:rsid w:val="009C7B0A"/>
    <w:rsid w:val="009D0B63"/>
    <w:rsid w:val="009D5CB8"/>
    <w:rsid w:val="009E307E"/>
    <w:rsid w:val="009F0B3C"/>
    <w:rsid w:val="009F1AA5"/>
    <w:rsid w:val="00A07870"/>
    <w:rsid w:val="00A07C54"/>
    <w:rsid w:val="00A07F19"/>
    <w:rsid w:val="00A1003D"/>
    <w:rsid w:val="00A10B17"/>
    <w:rsid w:val="00A1348D"/>
    <w:rsid w:val="00A13C99"/>
    <w:rsid w:val="00A14D44"/>
    <w:rsid w:val="00A17537"/>
    <w:rsid w:val="00A232EE"/>
    <w:rsid w:val="00A41276"/>
    <w:rsid w:val="00A414F6"/>
    <w:rsid w:val="00A4175F"/>
    <w:rsid w:val="00A44411"/>
    <w:rsid w:val="00A469FA"/>
    <w:rsid w:val="00A47026"/>
    <w:rsid w:val="00A53662"/>
    <w:rsid w:val="00A53875"/>
    <w:rsid w:val="00A55B01"/>
    <w:rsid w:val="00A56B5B"/>
    <w:rsid w:val="00A603FF"/>
    <w:rsid w:val="00A619B6"/>
    <w:rsid w:val="00A648CA"/>
    <w:rsid w:val="00A657DD"/>
    <w:rsid w:val="00A661B3"/>
    <w:rsid w:val="00A666A6"/>
    <w:rsid w:val="00A675FD"/>
    <w:rsid w:val="00A72437"/>
    <w:rsid w:val="00A8048B"/>
    <w:rsid w:val="00A80611"/>
    <w:rsid w:val="00AA5BF4"/>
    <w:rsid w:val="00AA6125"/>
    <w:rsid w:val="00AB5340"/>
    <w:rsid w:val="00AC0A89"/>
    <w:rsid w:val="00AC6EC6"/>
    <w:rsid w:val="00AC7C96"/>
    <w:rsid w:val="00AE237D"/>
    <w:rsid w:val="00AE502A"/>
    <w:rsid w:val="00AF0010"/>
    <w:rsid w:val="00AF2C1F"/>
    <w:rsid w:val="00AF7C07"/>
    <w:rsid w:val="00B0353B"/>
    <w:rsid w:val="00B06C64"/>
    <w:rsid w:val="00B11CAC"/>
    <w:rsid w:val="00B120F2"/>
    <w:rsid w:val="00B14E40"/>
    <w:rsid w:val="00B15A29"/>
    <w:rsid w:val="00B20249"/>
    <w:rsid w:val="00B22C93"/>
    <w:rsid w:val="00B27589"/>
    <w:rsid w:val="00B31A42"/>
    <w:rsid w:val="00B32EEE"/>
    <w:rsid w:val="00B405B7"/>
    <w:rsid w:val="00B5015C"/>
    <w:rsid w:val="00B52222"/>
    <w:rsid w:val="00B531DA"/>
    <w:rsid w:val="00B54895"/>
    <w:rsid w:val="00B54FE7"/>
    <w:rsid w:val="00B647C6"/>
    <w:rsid w:val="00B655F9"/>
    <w:rsid w:val="00B66901"/>
    <w:rsid w:val="00B71E6D"/>
    <w:rsid w:val="00B72070"/>
    <w:rsid w:val="00B7211B"/>
    <w:rsid w:val="00B779E1"/>
    <w:rsid w:val="00B81E3A"/>
    <w:rsid w:val="00B8265D"/>
    <w:rsid w:val="00B85CFB"/>
    <w:rsid w:val="00B91EE1"/>
    <w:rsid w:val="00B94602"/>
    <w:rsid w:val="00BA0090"/>
    <w:rsid w:val="00BA1A67"/>
    <w:rsid w:val="00BA2788"/>
    <w:rsid w:val="00BA6A80"/>
    <w:rsid w:val="00BB4ABB"/>
    <w:rsid w:val="00BC602A"/>
    <w:rsid w:val="00BD101A"/>
    <w:rsid w:val="00BD3D2F"/>
    <w:rsid w:val="00BD5312"/>
    <w:rsid w:val="00BD6F57"/>
    <w:rsid w:val="00BE5B5F"/>
    <w:rsid w:val="00BE7993"/>
    <w:rsid w:val="00BF3CDD"/>
    <w:rsid w:val="00BF6745"/>
    <w:rsid w:val="00C26F55"/>
    <w:rsid w:val="00C30C63"/>
    <w:rsid w:val="00C30FF3"/>
    <w:rsid w:val="00C36B8B"/>
    <w:rsid w:val="00C415C1"/>
    <w:rsid w:val="00C47DBF"/>
    <w:rsid w:val="00C552FF"/>
    <w:rsid w:val="00C558DA"/>
    <w:rsid w:val="00C55AF3"/>
    <w:rsid w:val="00C73A86"/>
    <w:rsid w:val="00C771A9"/>
    <w:rsid w:val="00C84759"/>
    <w:rsid w:val="00C96912"/>
    <w:rsid w:val="00CA4C76"/>
    <w:rsid w:val="00CA5CA9"/>
    <w:rsid w:val="00CA6C7F"/>
    <w:rsid w:val="00CB1DFA"/>
    <w:rsid w:val="00CB6B35"/>
    <w:rsid w:val="00CC0FC7"/>
    <w:rsid w:val="00CC0FE6"/>
    <w:rsid w:val="00CC10A6"/>
    <w:rsid w:val="00CC1B0A"/>
    <w:rsid w:val="00CD5EB8"/>
    <w:rsid w:val="00CD7044"/>
    <w:rsid w:val="00CD779D"/>
    <w:rsid w:val="00CE08B9"/>
    <w:rsid w:val="00CE524C"/>
    <w:rsid w:val="00CF141F"/>
    <w:rsid w:val="00CF4777"/>
    <w:rsid w:val="00CF65C8"/>
    <w:rsid w:val="00D013F5"/>
    <w:rsid w:val="00D05E3F"/>
    <w:rsid w:val="00D067BB"/>
    <w:rsid w:val="00D1352A"/>
    <w:rsid w:val="00D169AF"/>
    <w:rsid w:val="00D23105"/>
    <w:rsid w:val="00D25249"/>
    <w:rsid w:val="00D31664"/>
    <w:rsid w:val="00D44172"/>
    <w:rsid w:val="00D47BE3"/>
    <w:rsid w:val="00D61973"/>
    <w:rsid w:val="00D63B8C"/>
    <w:rsid w:val="00D739CC"/>
    <w:rsid w:val="00D8093D"/>
    <w:rsid w:val="00D8108C"/>
    <w:rsid w:val="00D842AE"/>
    <w:rsid w:val="00D909FF"/>
    <w:rsid w:val="00D9211C"/>
    <w:rsid w:val="00D92DE0"/>
    <w:rsid w:val="00D92FE7"/>
    <w:rsid w:val="00D92FEF"/>
    <w:rsid w:val="00D93A0F"/>
    <w:rsid w:val="00DA1BCA"/>
    <w:rsid w:val="00DB6D3C"/>
    <w:rsid w:val="00DC46FF"/>
    <w:rsid w:val="00DC5254"/>
    <w:rsid w:val="00DC569D"/>
    <w:rsid w:val="00DC6E45"/>
    <w:rsid w:val="00DD1A4F"/>
    <w:rsid w:val="00DD3107"/>
    <w:rsid w:val="00DD7C2C"/>
    <w:rsid w:val="00DE5BDA"/>
    <w:rsid w:val="00DF433C"/>
    <w:rsid w:val="00E0035A"/>
    <w:rsid w:val="00E02231"/>
    <w:rsid w:val="00E04F7A"/>
    <w:rsid w:val="00E06797"/>
    <w:rsid w:val="00E1265B"/>
    <w:rsid w:val="00E13378"/>
    <w:rsid w:val="00E13B48"/>
    <w:rsid w:val="00E1404F"/>
    <w:rsid w:val="00E21C83"/>
    <w:rsid w:val="00E24ADA"/>
    <w:rsid w:val="00E32F59"/>
    <w:rsid w:val="00E374C8"/>
    <w:rsid w:val="00E41908"/>
    <w:rsid w:val="00E46D9A"/>
    <w:rsid w:val="00E53FAE"/>
    <w:rsid w:val="00E565FF"/>
    <w:rsid w:val="00E65388"/>
    <w:rsid w:val="00E665A5"/>
    <w:rsid w:val="00E7741D"/>
    <w:rsid w:val="00E808CD"/>
    <w:rsid w:val="00E8348F"/>
    <w:rsid w:val="00E85B7D"/>
    <w:rsid w:val="00E9121B"/>
    <w:rsid w:val="00E92545"/>
    <w:rsid w:val="00E9302E"/>
    <w:rsid w:val="00E9338F"/>
    <w:rsid w:val="00E9715D"/>
    <w:rsid w:val="00E976AB"/>
    <w:rsid w:val="00EA0402"/>
    <w:rsid w:val="00EA0AE2"/>
    <w:rsid w:val="00EA1F4D"/>
    <w:rsid w:val="00EA39E5"/>
    <w:rsid w:val="00EA57A3"/>
    <w:rsid w:val="00EC2813"/>
    <w:rsid w:val="00EC2DAC"/>
    <w:rsid w:val="00EC3FD7"/>
    <w:rsid w:val="00EC5A46"/>
    <w:rsid w:val="00EC5B32"/>
    <w:rsid w:val="00EC613E"/>
    <w:rsid w:val="00EC63E2"/>
    <w:rsid w:val="00ED1863"/>
    <w:rsid w:val="00ED366A"/>
    <w:rsid w:val="00ED6BB7"/>
    <w:rsid w:val="00EE1723"/>
    <w:rsid w:val="00EE2914"/>
    <w:rsid w:val="00EE6464"/>
    <w:rsid w:val="00EE66AA"/>
    <w:rsid w:val="00EF22B3"/>
    <w:rsid w:val="00F024EB"/>
    <w:rsid w:val="00F03802"/>
    <w:rsid w:val="00F03B69"/>
    <w:rsid w:val="00F079E5"/>
    <w:rsid w:val="00F07A50"/>
    <w:rsid w:val="00F113DA"/>
    <w:rsid w:val="00F21FE8"/>
    <w:rsid w:val="00F266FC"/>
    <w:rsid w:val="00F3037A"/>
    <w:rsid w:val="00F331EC"/>
    <w:rsid w:val="00F3465A"/>
    <w:rsid w:val="00F37DC8"/>
    <w:rsid w:val="00F439B3"/>
    <w:rsid w:val="00F60098"/>
    <w:rsid w:val="00F650C3"/>
    <w:rsid w:val="00F65D85"/>
    <w:rsid w:val="00F6700B"/>
    <w:rsid w:val="00F8091E"/>
    <w:rsid w:val="00F8615C"/>
    <w:rsid w:val="00F862B2"/>
    <w:rsid w:val="00F969E5"/>
    <w:rsid w:val="00FA4972"/>
    <w:rsid w:val="00FA6BB0"/>
    <w:rsid w:val="00FB2DBD"/>
    <w:rsid w:val="00FB53D9"/>
    <w:rsid w:val="00FD48DF"/>
    <w:rsid w:val="00FD5860"/>
    <w:rsid w:val="00FE352D"/>
    <w:rsid w:val="00FE40EB"/>
    <w:rsid w:val="00FE4D02"/>
    <w:rsid w:val="00FE7D62"/>
    <w:rsid w:val="00FF31C0"/>
    <w:rsid w:val="00FF3819"/>
    <w:rsid w:val="00FF65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Inget">
    <w:name w:val="Inget"/>
    <w:rsid w:val="00A41276"/>
  </w:style>
  <w:style w:type="character" w:customStyle="1" w:styleId="Hyperlink0">
    <w:name w:val="Hyperlink.0"/>
    <w:rsid w:val="00693583"/>
    <w:rPr>
      <w:rFonts w:cs="Times New Roman"/>
      <w:lang w:val="en-US" w:eastAsia="x-none"/>
    </w:rPr>
  </w:style>
  <w:style w:type="character" w:customStyle="1" w:styleId="Normal-poolChar">
    <w:name w:val="Normal-pool Char"/>
    <w:link w:val="Normal-pool"/>
    <w:rsid w:val="00410C59"/>
    <w:rPr>
      <w:lang w:eastAsia="en-US"/>
    </w:rPr>
  </w:style>
  <w:style w:type="paragraph" w:customStyle="1" w:styleId="Brdtext">
    <w:name w:val="Brödtext"/>
    <w:rsid w:val="0021053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paragraph" w:styleId="Revision">
    <w:name w:val="Revision"/>
    <w:hidden/>
    <w:uiPriority w:val="99"/>
    <w:semiHidden/>
    <w:rsid w:val="00EA1F4D"/>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5444E"/>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5444E"/>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FooterChar">
    <w:name w:val="Footer Char"/>
    <w:basedOn w:val="DefaultParagraphFont"/>
    <w:link w:val="Footer"/>
    <w:uiPriority w:val="99"/>
    <w:rsid w:val="009F0B3C"/>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Inget">
    <w:name w:val="Inget"/>
    <w:rsid w:val="00A41276"/>
  </w:style>
  <w:style w:type="character" w:customStyle="1" w:styleId="Hyperlink0">
    <w:name w:val="Hyperlink.0"/>
    <w:rsid w:val="00693583"/>
    <w:rPr>
      <w:rFonts w:cs="Times New Roman"/>
      <w:lang w:val="en-US" w:eastAsia="x-none"/>
    </w:rPr>
  </w:style>
  <w:style w:type="character" w:customStyle="1" w:styleId="Normal-poolChar">
    <w:name w:val="Normal-pool Char"/>
    <w:link w:val="Normal-pool"/>
    <w:rsid w:val="00410C59"/>
    <w:rPr>
      <w:lang w:eastAsia="en-US"/>
    </w:rPr>
  </w:style>
  <w:style w:type="paragraph" w:customStyle="1" w:styleId="Brdtext">
    <w:name w:val="Brödtext"/>
    <w:rsid w:val="0021053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paragraph" w:styleId="Revision">
    <w:name w:val="Revision"/>
    <w:hidden/>
    <w:uiPriority w:val="99"/>
    <w:semiHidden/>
    <w:rsid w:val="00EA1F4D"/>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5444E"/>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5444E"/>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FooterChar">
    <w:name w:val="Footer Char"/>
    <w:basedOn w:val="DefaultParagraphFont"/>
    <w:link w:val="Footer"/>
    <w:uiPriority w:val="99"/>
    <w:rsid w:val="009F0B3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39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8962861">
      <w:bodyDiv w:val="1"/>
      <w:marLeft w:val="0"/>
      <w:marRight w:val="0"/>
      <w:marTop w:val="0"/>
      <w:marBottom w:val="0"/>
      <w:divBdr>
        <w:top w:val="none" w:sz="0" w:space="0" w:color="auto"/>
        <w:left w:val="none" w:sz="0" w:space="0" w:color="auto"/>
        <w:bottom w:val="none" w:sz="0" w:space="0" w:color="auto"/>
        <w:right w:val="none" w:sz="0" w:space="0" w:color="auto"/>
      </w:divBdr>
    </w:div>
    <w:div w:id="66178307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4264-6283-4B05-AD01-0FE7E83F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3352</Words>
  <Characters>21486</Characters>
  <Application>Microsoft Office Word</Application>
  <DocSecurity>0</DocSecurity>
  <Lines>179</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24789</CharactersWithSpaces>
  <SharedDoc>false</SharedDoc>
  <HLinks>
    <vt:vector size="144" baseType="variant">
      <vt:variant>
        <vt:i4>1835039</vt:i4>
      </vt:variant>
      <vt:variant>
        <vt:i4>72</vt:i4>
      </vt:variant>
      <vt:variant>
        <vt:i4>0</vt:i4>
      </vt:variant>
      <vt:variant>
        <vt:i4>5</vt:i4>
      </vt:variant>
      <vt:variant>
        <vt:lpwstr>http://www.mercuryconvention.org/Portals/11/documents/2016 call for submissions/Pure Earth Technical Guidance on Mercury-Contaminated Sites .pdf</vt:lpwstr>
      </vt:variant>
      <vt:variant>
        <vt:lpwstr/>
      </vt:variant>
      <vt:variant>
        <vt:i4>5242951</vt:i4>
      </vt:variant>
      <vt:variant>
        <vt:i4>69</vt:i4>
      </vt:variant>
      <vt:variant>
        <vt:i4>0</vt:i4>
      </vt:variant>
      <vt:variant>
        <vt:i4>5</vt:i4>
      </vt:variant>
      <vt:variant>
        <vt:lpwstr>http://ipen.org/documents/ipen-guidance-identification-management-and-remediation-mercury-contaminated-sites</vt:lpwstr>
      </vt:variant>
      <vt:variant>
        <vt:lpwstr/>
      </vt:variant>
      <vt:variant>
        <vt:i4>2228285</vt:i4>
      </vt:variant>
      <vt:variant>
        <vt:i4>66</vt:i4>
      </vt:variant>
      <vt:variant>
        <vt:i4>0</vt:i4>
      </vt:variant>
      <vt:variant>
        <vt:i4>5</vt:i4>
      </vt:variant>
      <vt:variant>
        <vt:lpwstr>https://www.admin.ch/opc/de/classified-compilation/19983151/index.html</vt:lpwstr>
      </vt:variant>
      <vt:variant>
        <vt:lpwstr/>
      </vt:variant>
      <vt:variant>
        <vt:i4>196689</vt:i4>
      </vt:variant>
      <vt:variant>
        <vt:i4>63</vt:i4>
      </vt:variant>
      <vt:variant>
        <vt:i4>0</vt:i4>
      </vt:variant>
      <vt:variant>
        <vt:i4>5</vt:i4>
      </vt:variant>
      <vt:variant>
        <vt:lpwstr>http://www.bafu.admin.ch/altlasten/12163/12168/index.html?lang=en</vt:lpwstr>
      </vt:variant>
      <vt:variant>
        <vt:lpwstr/>
      </vt:variant>
      <vt:variant>
        <vt:i4>5242951</vt:i4>
      </vt:variant>
      <vt:variant>
        <vt:i4>60</vt:i4>
      </vt:variant>
      <vt:variant>
        <vt:i4>0</vt:i4>
      </vt:variant>
      <vt:variant>
        <vt:i4>5</vt:i4>
      </vt:variant>
      <vt:variant>
        <vt:lpwstr>http://ipen.org/documents/ipen-guidance-identification-management-and-remediation-mercury-contaminated-sites</vt:lpwstr>
      </vt:variant>
      <vt:variant>
        <vt:lpwstr/>
      </vt:variant>
      <vt:variant>
        <vt:i4>5636139</vt:i4>
      </vt:variant>
      <vt:variant>
        <vt:i4>57</vt:i4>
      </vt:variant>
      <vt:variant>
        <vt:i4>0</vt:i4>
      </vt:variant>
      <vt:variant>
        <vt:i4>5</vt:i4>
      </vt:variant>
      <vt:variant>
        <vt:lpwstr>https://www.gov.uk/government/uploads/system/uploads/attachment_data/file/223705/pb13735cont-land-guidance.pdf</vt:lpwstr>
      </vt:variant>
      <vt:variant>
        <vt:lpwstr/>
      </vt:variant>
      <vt:variant>
        <vt:i4>983052</vt:i4>
      </vt:variant>
      <vt:variant>
        <vt:i4>54</vt:i4>
      </vt:variant>
      <vt:variant>
        <vt:i4>0</vt:i4>
      </vt:variant>
      <vt:variant>
        <vt:i4>5</vt:i4>
      </vt:variant>
      <vt:variant>
        <vt:lpwstr>http://www.cprac.org/es/archivo-de-noticias/genericas/training-on-mercury-management-and-remediation-of-contaminated-soils-a</vt:lpwstr>
      </vt:variant>
      <vt:variant>
        <vt:lpwstr/>
      </vt:variant>
      <vt:variant>
        <vt:i4>6946936</vt:i4>
      </vt:variant>
      <vt:variant>
        <vt:i4>51</vt:i4>
      </vt:variant>
      <vt:variant>
        <vt:i4>0</vt:i4>
      </vt:variant>
      <vt:variant>
        <vt:i4>5</vt:i4>
      </vt:variant>
      <vt:variant>
        <vt:lpwstr>http://www.ctndm.es/proyectos/7-in.php</vt:lpwstr>
      </vt:variant>
      <vt:variant>
        <vt:lpwstr/>
      </vt:variant>
      <vt:variant>
        <vt:i4>3735611</vt:i4>
      </vt:variant>
      <vt:variant>
        <vt:i4>48</vt:i4>
      </vt:variant>
      <vt:variant>
        <vt:i4>0</vt:i4>
      </vt:variant>
      <vt:variant>
        <vt:i4>5</vt:i4>
      </vt:variant>
      <vt:variant>
        <vt:lpwstr>http://www.nicole.org/</vt:lpwstr>
      </vt:variant>
      <vt:variant>
        <vt:lpwstr/>
      </vt:variant>
      <vt:variant>
        <vt:i4>3735611</vt:i4>
      </vt:variant>
      <vt:variant>
        <vt:i4>45</vt:i4>
      </vt:variant>
      <vt:variant>
        <vt:i4>0</vt:i4>
      </vt:variant>
      <vt:variant>
        <vt:i4>5</vt:i4>
      </vt:variant>
      <vt:variant>
        <vt:lpwstr>http://www.nicole.org/</vt:lpwstr>
      </vt:variant>
      <vt:variant>
        <vt:lpwstr/>
      </vt:variant>
      <vt:variant>
        <vt:i4>1179707</vt:i4>
      </vt:variant>
      <vt:variant>
        <vt:i4>42</vt:i4>
      </vt:variant>
      <vt:variant>
        <vt:i4>0</vt:i4>
      </vt:variant>
      <vt:variant>
        <vt:i4>5</vt:i4>
      </vt:variant>
      <vt:variant>
        <vt:lpwstr>http://snowmannetwork.com/?page_id=256</vt:lpwstr>
      </vt:variant>
      <vt:variant>
        <vt:lpwstr/>
      </vt:variant>
      <vt:variant>
        <vt:i4>262193</vt:i4>
      </vt:variant>
      <vt:variant>
        <vt:i4>39</vt:i4>
      </vt:variant>
      <vt:variant>
        <vt:i4>0</vt:i4>
      </vt:variant>
      <vt:variant>
        <vt:i4>5</vt:i4>
      </vt:variant>
      <vt:variant>
        <vt:lpwstr>https://www.grs.de/sites/default/files/pdf/Remcosite_2008_Chemieabfaelle_0.pdf</vt:lpwstr>
      </vt:variant>
      <vt:variant>
        <vt:lpwstr/>
      </vt:variant>
      <vt:variant>
        <vt:i4>6357109</vt:i4>
      </vt:variant>
      <vt:variant>
        <vt:i4>36</vt:i4>
      </vt:variant>
      <vt:variant>
        <vt:i4>0</vt:i4>
      </vt:variant>
      <vt:variant>
        <vt:i4>5</vt:i4>
      </vt:variant>
      <vt:variant>
        <vt:lpwstr>https://wedocs.unep.org/rest/bitstreams/45236/retrieve</vt:lpwstr>
      </vt:variant>
      <vt:variant>
        <vt:lpwstr/>
      </vt:variant>
      <vt:variant>
        <vt:i4>7798839</vt:i4>
      </vt:variant>
      <vt:variant>
        <vt:i4>33</vt:i4>
      </vt:variant>
      <vt:variant>
        <vt:i4>0</vt:i4>
      </vt:variant>
      <vt:variant>
        <vt:i4>5</vt:i4>
      </vt:variant>
      <vt:variant>
        <vt:lpwstr>http://www.mddelcc.gouv.qc.ca/sol/terrains/guide-intervention/index.htm</vt:lpwstr>
      </vt:variant>
      <vt:variant>
        <vt:lpwstr/>
      </vt:variant>
      <vt:variant>
        <vt:i4>8257572</vt:i4>
      </vt:variant>
      <vt:variant>
        <vt:i4>30</vt:i4>
      </vt:variant>
      <vt:variant>
        <vt:i4>0</vt:i4>
      </vt:variant>
      <vt:variant>
        <vt:i4>5</vt:i4>
      </vt:variant>
      <vt:variant>
        <vt:lpwstr>http://www.enr.gov.nt.ca/sites/default/files/guidelines/siteremediation.pdf</vt:lpwstr>
      </vt:variant>
      <vt:variant>
        <vt:lpwstr/>
      </vt:variant>
      <vt:variant>
        <vt:i4>786521</vt:i4>
      </vt:variant>
      <vt:variant>
        <vt:i4>27</vt:i4>
      </vt:variant>
      <vt:variant>
        <vt:i4>0</vt:i4>
      </vt:variant>
      <vt:variant>
        <vt:i4>5</vt:i4>
      </vt:variant>
      <vt:variant>
        <vt:lpwstr>http://www2.gov.bc.ca/gov/content/environment/air-land-water/site-remediation/guidance-resources</vt:lpwstr>
      </vt:variant>
      <vt:variant>
        <vt:lpwstr/>
      </vt:variant>
      <vt:variant>
        <vt:i4>8192050</vt:i4>
      </vt:variant>
      <vt:variant>
        <vt:i4>24</vt:i4>
      </vt:variant>
      <vt:variant>
        <vt:i4>0</vt:i4>
      </vt:variant>
      <vt:variant>
        <vt:i4>5</vt:i4>
      </vt:variant>
      <vt:variant>
        <vt:lpwstr>http://www.federalcontaminatedsites.gc.ca/default.asp?lang=En&amp;n=B15E990A-1</vt:lpwstr>
      </vt:variant>
      <vt:variant>
        <vt:lpwstr/>
      </vt:variant>
      <vt:variant>
        <vt:i4>7143549</vt:i4>
      </vt:variant>
      <vt:variant>
        <vt:i4>21</vt:i4>
      </vt:variant>
      <vt:variant>
        <vt:i4>0</vt:i4>
      </vt:variant>
      <vt:variant>
        <vt:i4>5</vt:i4>
      </vt:variant>
      <vt:variant>
        <vt:lpwstr>http://sdat.pwgsc.gc.ca/index.aspx?lang=eng</vt:lpwstr>
      </vt:variant>
      <vt:variant>
        <vt:lpwstr/>
      </vt:variant>
      <vt:variant>
        <vt:i4>8192050</vt:i4>
      </vt:variant>
      <vt:variant>
        <vt:i4>18</vt:i4>
      </vt:variant>
      <vt:variant>
        <vt:i4>0</vt:i4>
      </vt:variant>
      <vt:variant>
        <vt:i4>5</vt:i4>
      </vt:variant>
      <vt:variant>
        <vt:lpwstr>http://www.federalcontaminatedsites.gc.ca/default.asp?lang=En&amp;n=B15E990A-1</vt:lpwstr>
      </vt:variant>
      <vt:variant>
        <vt:lpwstr/>
      </vt:variant>
      <vt:variant>
        <vt:i4>2818124</vt:i4>
      </vt:variant>
      <vt:variant>
        <vt:i4>15</vt:i4>
      </vt:variant>
      <vt:variant>
        <vt:i4>0</vt:i4>
      </vt:variant>
      <vt:variant>
        <vt:i4>5</vt:i4>
      </vt:variant>
      <vt:variant>
        <vt:lpwstr>http://gost.irb-bri.cnrc-nrc.gc.ca/hm.aspx?ind_lang=en</vt:lpwstr>
      </vt:variant>
      <vt:variant>
        <vt:lpwstr/>
      </vt:variant>
      <vt:variant>
        <vt:i4>3670047</vt:i4>
      </vt:variant>
      <vt:variant>
        <vt:i4>12</vt:i4>
      </vt:variant>
      <vt:variant>
        <vt:i4>0</vt:i4>
      </vt:variant>
      <vt:variant>
        <vt:i4>5</vt:i4>
      </vt:variant>
      <vt:variant>
        <vt:lpwstr>http://publications.gc.ca/collections/collection_2010/ec/En164-14-2007-eng.pdf</vt:lpwstr>
      </vt:variant>
      <vt:variant>
        <vt:lpwstr/>
      </vt:variant>
      <vt:variant>
        <vt:i4>2097193</vt:i4>
      </vt:variant>
      <vt:variant>
        <vt:i4>9</vt:i4>
      </vt:variant>
      <vt:variant>
        <vt:i4>0</vt:i4>
      </vt:variant>
      <vt:variant>
        <vt:i4>5</vt:i4>
      </vt:variant>
      <vt:variant>
        <vt:lpwstr>http://www.ccme.ca/files/Resources/csm/pn_1144_e.pdf</vt:lpwstr>
      </vt:variant>
      <vt:variant>
        <vt:lpwstr/>
      </vt:variant>
      <vt:variant>
        <vt:i4>127</vt:i4>
      </vt:variant>
      <vt:variant>
        <vt:i4>6</vt:i4>
      </vt:variant>
      <vt:variant>
        <vt:i4>0</vt:i4>
      </vt:variant>
      <vt:variant>
        <vt:i4>5</vt:i4>
      </vt:variant>
      <vt:variant>
        <vt:lpwstr>http://www.ccme.ca/en/files/Resources/csm/Volume 2-Checklists-Environmental Site Characterization_e PN 1553.pdf</vt:lpwstr>
      </vt:variant>
      <vt:variant>
        <vt:lpwstr/>
      </vt:variant>
      <vt:variant>
        <vt:i4>1441845</vt:i4>
      </vt:variant>
      <vt:variant>
        <vt:i4>3</vt:i4>
      </vt:variant>
      <vt:variant>
        <vt:i4>0</vt:i4>
      </vt:variant>
      <vt:variant>
        <vt:i4>5</vt:i4>
      </vt:variant>
      <vt:variant>
        <vt:lpwstr>http://www.ccme.ca/en/files/Resources/csm/Volume 1-Guidance Manual-Environmental Site Characterization_e PN 1551.pdf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Tina Rakoto</cp:lastModifiedBy>
  <cp:revision>2</cp:revision>
  <cp:lastPrinted>2017-06-29T11:06:00Z</cp:lastPrinted>
  <dcterms:created xsi:type="dcterms:W3CDTF">2017-06-30T05:07:00Z</dcterms:created>
  <dcterms:modified xsi:type="dcterms:W3CDTF">2017-06-30T05:07:00Z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6/9/2017 12:54:49 PM</vt:lpwstr>
  </property>
  <property fmtid="{D5CDD505-2E9C-101B-9397-08002B2CF9AE}" pid="5" name="OriginalDocID">
    <vt:lpwstr>ae7ec70a-96e4-4570-80de-4b1ddf4d8728</vt:lpwstr>
  </property>
</Properties>
</file>