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550"/>
        <w:gridCol w:w="4751"/>
        <w:gridCol w:w="3411"/>
      </w:tblGrid>
      <w:tr w:rsidR="000F74D7" w:rsidRPr="00B52FE3" w:rsidTr="000F74D7">
        <w:trPr>
          <w:cantSplit/>
          <w:trHeight w:val="850"/>
          <w:jc w:val="right"/>
        </w:trPr>
        <w:tc>
          <w:tcPr>
            <w:tcW w:w="1560" w:type="dxa"/>
            <w:hideMark/>
          </w:tcPr>
          <w:p w:rsidR="000F74D7" w:rsidRPr="00B52FE3" w:rsidRDefault="000F74D7">
            <w:pPr>
              <w:rPr>
                <w:rFonts w:ascii="Univers" w:hAnsi="Univers"/>
                <w:b/>
                <w:noProof/>
                <w:sz w:val="27"/>
                <w:szCs w:val="27"/>
                <w:lang w:val="fr-FR" w:eastAsia="zh-CN"/>
              </w:rPr>
            </w:pPr>
            <w:r w:rsidRPr="00B52FE3">
              <w:rPr>
                <w:rFonts w:ascii="Arial" w:hAnsi="Arial" w:cs="Arial"/>
                <w:b/>
                <w:noProof/>
                <w:sz w:val="27"/>
                <w:szCs w:val="27"/>
                <w:lang w:val="fr-FR" w:eastAsia="zh-CN"/>
              </w:rPr>
              <w:t>NATIONS</w:t>
            </w:r>
            <w:r w:rsidRPr="00B52FE3">
              <w:rPr>
                <w:rFonts w:ascii="Arial" w:hAnsi="Arial" w:cs="Arial"/>
                <w:b/>
                <w:noProof/>
                <w:sz w:val="27"/>
                <w:szCs w:val="27"/>
                <w:lang w:val="fr-FR" w:eastAsia="zh-CN"/>
              </w:rPr>
              <w:br/>
              <w:t>UNIES</w:t>
            </w:r>
          </w:p>
        </w:tc>
        <w:tc>
          <w:tcPr>
            <w:tcW w:w="4785" w:type="dxa"/>
          </w:tcPr>
          <w:p w:rsidR="000F74D7" w:rsidRPr="00B52FE3" w:rsidRDefault="000F74D7">
            <w:pPr>
              <w:rPr>
                <w:rFonts w:ascii="Univers" w:hAnsi="Univers"/>
                <w:b/>
                <w:sz w:val="27"/>
                <w:szCs w:val="27"/>
                <w:lang w:val="fr-FR" w:eastAsia="zh-CN"/>
              </w:rPr>
            </w:pPr>
          </w:p>
        </w:tc>
        <w:tc>
          <w:tcPr>
            <w:tcW w:w="3435" w:type="dxa"/>
            <w:hideMark/>
          </w:tcPr>
          <w:p w:rsidR="000F74D7" w:rsidRPr="00B52FE3" w:rsidRDefault="000F74D7">
            <w:pPr>
              <w:jc w:val="right"/>
              <w:rPr>
                <w:rFonts w:ascii="Arial" w:hAnsi="Arial" w:cs="Arial"/>
                <w:b/>
                <w:sz w:val="64"/>
                <w:szCs w:val="64"/>
                <w:lang w:val="fr-FR" w:eastAsia="zh-CN"/>
              </w:rPr>
            </w:pPr>
            <w:r w:rsidRPr="00B52FE3">
              <w:rPr>
                <w:rFonts w:ascii="Arial" w:hAnsi="Arial" w:cs="Arial"/>
                <w:b/>
                <w:sz w:val="64"/>
                <w:szCs w:val="64"/>
                <w:lang w:val="fr-FR" w:eastAsia="zh-CN"/>
              </w:rPr>
              <w:t>MC</w:t>
            </w:r>
          </w:p>
        </w:tc>
      </w:tr>
      <w:tr w:rsidR="000F74D7" w:rsidRPr="00B52FE3" w:rsidTr="000F74D7">
        <w:trPr>
          <w:cantSplit/>
          <w:trHeight w:val="281"/>
          <w:jc w:val="right"/>
        </w:trPr>
        <w:tc>
          <w:tcPr>
            <w:tcW w:w="1560" w:type="dxa"/>
            <w:tcBorders>
              <w:top w:val="nil"/>
              <w:left w:val="nil"/>
              <w:bottom w:val="single" w:sz="4" w:space="0" w:color="auto"/>
              <w:right w:val="nil"/>
            </w:tcBorders>
          </w:tcPr>
          <w:p w:rsidR="000F74D7" w:rsidRPr="00B52FE3" w:rsidRDefault="000F74D7">
            <w:pPr>
              <w:rPr>
                <w:noProof/>
                <w:sz w:val="18"/>
                <w:szCs w:val="18"/>
                <w:lang w:val="fr-FR" w:eastAsia="zh-CN"/>
              </w:rPr>
            </w:pPr>
          </w:p>
        </w:tc>
        <w:tc>
          <w:tcPr>
            <w:tcW w:w="4785" w:type="dxa"/>
            <w:tcBorders>
              <w:top w:val="nil"/>
              <w:left w:val="nil"/>
              <w:bottom w:val="single" w:sz="4" w:space="0" w:color="auto"/>
              <w:right w:val="nil"/>
            </w:tcBorders>
          </w:tcPr>
          <w:p w:rsidR="000F74D7" w:rsidRPr="00B52FE3" w:rsidRDefault="000F74D7">
            <w:pPr>
              <w:rPr>
                <w:rFonts w:ascii="Univers" w:hAnsi="Univers"/>
                <w:b/>
                <w:sz w:val="18"/>
                <w:szCs w:val="18"/>
                <w:lang w:val="fr-FR" w:eastAsia="zh-CN"/>
              </w:rPr>
            </w:pPr>
          </w:p>
        </w:tc>
        <w:tc>
          <w:tcPr>
            <w:tcW w:w="3435" w:type="dxa"/>
            <w:tcBorders>
              <w:top w:val="nil"/>
              <w:left w:val="nil"/>
              <w:bottom w:val="single" w:sz="4" w:space="0" w:color="auto"/>
              <w:right w:val="nil"/>
            </w:tcBorders>
            <w:hideMark/>
          </w:tcPr>
          <w:p w:rsidR="000F74D7" w:rsidRPr="00B52FE3" w:rsidRDefault="000F74D7" w:rsidP="002D36D3">
            <w:pPr>
              <w:rPr>
                <w:noProof/>
                <w:sz w:val="18"/>
                <w:szCs w:val="18"/>
                <w:lang w:val="fr-FR" w:eastAsia="zh-CN"/>
              </w:rPr>
            </w:pPr>
            <w:r w:rsidRPr="00B52FE3">
              <w:rPr>
                <w:b/>
                <w:bCs/>
                <w:sz w:val="28"/>
                <w:lang w:val="fr-FR" w:eastAsia="zh-CN"/>
              </w:rPr>
              <w:t>UNEP</w:t>
            </w:r>
            <w:bookmarkStart w:id="0" w:name="OLE_LINK1"/>
            <w:bookmarkStart w:id="1" w:name="OLE_LINK2"/>
            <w:r w:rsidRPr="00B52FE3">
              <w:rPr>
                <w:b/>
                <w:bCs/>
                <w:sz w:val="28"/>
                <w:lang w:val="fr-FR" w:eastAsia="zh-CN"/>
              </w:rPr>
              <w:t>/</w:t>
            </w:r>
            <w:r w:rsidRPr="00B52FE3">
              <w:rPr>
                <w:lang w:val="fr-FR" w:eastAsia="zh-CN"/>
              </w:rPr>
              <w:t>MC/</w:t>
            </w:r>
            <w:bookmarkEnd w:id="0"/>
            <w:bookmarkEnd w:id="1"/>
            <w:r w:rsidRPr="00B52FE3">
              <w:rPr>
                <w:lang w:val="fr-FR" w:eastAsia="zh-CN"/>
              </w:rPr>
              <w:t>COP.1/26</w:t>
            </w:r>
          </w:p>
        </w:tc>
      </w:tr>
      <w:bookmarkStart w:id="2" w:name="_MON_1021710510"/>
      <w:bookmarkEnd w:id="2"/>
      <w:tr w:rsidR="000F74D7" w:rsidRPr="00CF6596" w:rsidTr="000F74D7">
        <w:trPr>
          <w:cantSplit/>
          <w:trHeight w:val="2549"/>
          <w:jc w:val="right"/>
        </w:trPr>
        <w:tc>
          <w:tcPr>
            <w:tcW w:w="1560" w:type="dxa"/>
            <w:tcBorders>
              <w:top w:val="single" w:sz="4" w:space="0" w:color="auto"/>
              <w:left w:val="nil"/>
              <w:bottom w:val="single" w:sz="24" w:space="0" w:color="auto"/>
              <w:right w:val="nil"/>
            </w:tcBorders>
            <w:hideMark/>
          </w:tcPr>
          <w:p w:rsidR="000F74D7" w:rsidRPr="00B52FE3" w:rsidRDefault="000F74D7">
            <w:pPr>
              <w:rPr>
                <w:noProof/>
                <w:lang w:val="fr-FR" w:eastAsia="zh-CN"/>
              </w:rPr>
            </w:pPr>
            <w:r w:rsidRPr="00B52FE3">
              <w:rPr>
                <w:noProof/>
                <w:lang w:val="fr-FR" w:eastAsia="zh-CN"/>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0.5pt" o:ole="" fillcolor="window">
                  <v:imagedata r:id="rId9" o:title=""/>
                </v:shape>
                <o:OLEObject Type="Embed" ProgID="Word.Picture.8" ShapeID="_x0000_i1025" DrawAspect="Content" ObjectID="_1559076533" r:id="rId10"/>
              </w:object>
            </w:r>
            <w:r w:rsidRPr="00B52FE3">
              <w:rPr>
                <w:noProof/>
                <w:lang w:val="en-US"/>
              </w:rPr>
              <w:drawing>
                <wp:inline distT="0" distB="0" distL="0" distR="0" wp14:anchorId="1DB32A3F" wp14:editId="7D6883F5">
                  <wp:extent cx="725805" cy="775335"/>
                  <wp:effectExtent l="0" t="0" r="0" b="5715"/>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805" cy="775335"/>
                          </a:xfrm>
                          <a:prstGeom prst="rect">
                            <a:avLst/>
                          </a:prstGeom>
                          <a:noFill/>
                          <a:ln>
                            <a:noFill/>
                          </a:ln>
                        </pic:spPr>
                      </pic:pic>
                    </a:graphicData>
                  </a:graphic>
                </wp:inline>
              </w:drawing>
            </w:r>
          </w:p>
        </w:tc>
        <w:tc>
          <w:tcPr>
            <w:tcW w:w="4785" w:type="dxa"/>
            <w:tcBorders>
              <w:top w:val="single" w:sz="4" w:space="0" w:color="auto"/>
              <w:left w:val="nil"/>
              <w:bottom w:val="single" w:sz="24" w:space="0" w:color="auto"/>
              <w:right w:val="nil"/>
            </w:tcBorders>
            <w:hideMark/>
          </w:tcPr>
          <w:p w:rsidR="000F74D7" w:rsidRPr="00B52FE3" w:rsidRDefault="000F74D7">
            <w:pPr>
              <w:spacing w:before="1200"/>
              <w:rPr>
                <w:rFonts w:ascii="Arial" w:hAnsi="Arial" w:cs="Arial"/>
                <w:b/>
                <w:sz w:val="28"/>
                <w:lang w:val="fr-FR" w:eastAsia="zh-CN"/>
              </w:rPr>
            </w:pPr>
            <w:r w:rsidRPr="00B52FE3">
              <w:rPr>
                <w:rFonts w:ascii="Arial" w:hAnsi="Arial" w:cs="Arial"/>
                <w:b/>
                <w:sz w:val="32"/>
                <w:szCs w:val="32"/>
                <w:lang w:val="fr-FR" w:eastAsia="zh-CN"/>
              </w:rPr>
              <w:t>Programme</w:t>
            </w:r>
            <w:r w:rsidRPr="00B52FE3">
              <w:rPr>
                <w:rFonts w:ascii="Arial" w:hAnsi="Arial" w:cs="Arial"/>
                <w:b/>
                <w:sz w:val="32"/>
                <w:szCs w:val="32"/>
                <w:lang w:val="fr-FR" w:eastAsia="zh-CN"/>
              </w:rPr>
              <w:br/>
              <w:t>des Nations Unies</w:t>
            </w:r>
            <w:r w:rsidRPr="00B52FE3">
              <w:rPr>
                <w:rFonts w:ascii="Arial" w:hAnsi="Arial" w:cs="Arial"/>
                <w:b/>
                <w:sz w:val="32"/>
                <w:szCs w:val="32"/>
                <w:lang w:val="fr-FR" w:eastAsia="zh-CN"/>
              </w:rPr>
              <w:br/>
              <w:t>pour l</w:t>
            </w:r>
            <w:r w:rsidR="002D36D3">
              <w:rPr>
                <w:rFonts w:ascii="Arial" w:hAnsi="Arial" w:cs="Arial"/>
                <w:b/>
                <w:sz w:val="32"/>
                <w:szCs w:val="32"/>
                <w:lang w:val="fr-FR" w:eastAsia="zh-CN"/>
              </w:rPr>
              <w:t>’</w:t>
            </w:r>
            <w:r w:rsidRPr="00B52FE3">
              <w:rPr>
                <w:rFonts w:ascii="Arial" w:hAnsi="Arial" w:cs="Arial"/>
                <w:b/>
                <w:sz w:val="32"/>
                <w:szCs w:val="32"/>
                <w:lang w:val="fr-FR" w:eastAsia="zh-CN"/>
              </w:rPr>
              <w:t>environnement</w:t>
            </w:r>
          </w:p>
        </w:tc>
        <w:tc>
          <w:tcPr>
            <w:tcW w:w="3435" w:type="dxa"/>
            <w:tcBorders>
              <w:top w:val="single" w:sz="4" w:space="0" w:color="auto"/>
              <w:left w:val="nil"/>
              <w:bottom w:val="single" w:sz="24" w:space="0" w:color="auto"/>
              <w:right w:val="nil"/>
            </w:tcBorders>
            <w:hideMark/>
          </w:tcPr>
          <w:p w:rsidR="000F74D7" w:rsidRPr="00B52FE3" w:rsidRDefault="00CF6596">
            <w:pPr>
              <w:spacing w:before="120"/>
              <w:rPr>
                <w:lang w:val="fr-FR" w:eastAsia="zh-CN"/>
              </w:rPr>
            </w:pPr>
            <w:r>
              <w:rPr>
                <w:lang w:val="fr-FR" w:eastAsia="zh-CN"/>
              </w:rPr>
              <w:t>Distr. g</w:t>
            </w:r>
            <w:r w:rsidR="000F74D7" w:rsidRPr="00B52FE3">
              <w:rPr>
                <w:lang w:val="fr-FR" w:eastAsia="zh-CN"/>
              </w:rPr>
              <w:t xml:space="preserve">énérale </w:t>
            </w:r>
            <w:r w:rsidR="000F74D7" w:rsidRPr="00B52FE3">
              <w:rPr>
                <w:lang w:val="fr-FR" w:eastAsia="zh-CN"/>
              </w:rPr>
              <w:br/>
              <w:t>27 avril 2017</w:t>
            </w:r>
          </w:p>
          <w:p w:rsidR="000F74D7" w:rsidRPr="00B52FE3" w:rsidRDefault="000F74D7">
            <w:pPr>
              <w:spacing w:before="240"/>
              <w:rPr>
                <w:lang w:val="fr-FR" w:eastAsia="zh-CN"/>
              </w:rPr>
            </w:pPr>
            <w:r w:rsidRPr="00B52FE3">
              <w:rPr>
                <w:lang w:val="fr-FR" w:eastAsia="zh-CN"/>
              </w:rPr>
              <w:t>Français</w:t>
            </w:r>
            <w:r w:rsidRPr="00B52FE3">
              <w:rPr>
                <w:lang w:val="fr-FR" w:eastAsia="zh-CN"/>
              </w:rPr>
              <w:br/>
              <w:t>Original : anglais</w:t>
            </w:r>
          </w:p>
        </w:tc>
      </w:tr>
    </w:tbl>
    <w:p w:rsidR="000F74D7" w:rsidRPr="00B52FE3" w:rsidRDefault="000F74D7" w:rsidP="000F74D7">
      <w:pPr>
        <w:pStyle w:val="AATitle"/>
        <w:rPr>
          <w:lang w:val="fr-FR"/>
        </w:rPr>
      </w:pPr>
      <w:r w:rsidRPr="00B52FE3">
        <w:rPr>
          <w:lang w:val="fr-FR"/>
        </w:rPr>
        <w:t xml:space="preserve">Conférence des Parties à la </w:t>
      </w:r>
      <w:r w:rsidRPr="00B52FE3">
        <w:rPr>
          <w:lang w:val="fr-FR"/>
        </w:rPr>
        <w:br/>
        <w:t>Convention de Minamata sur le mercure</w:t>
      </w:r>
    </w:p>
    <w:p w:rsidR="000F74D7" w:rsidRPr="00B52FE3" w:rsidRDefault="000F74D7" w:rsidP="000F74D7">
      <w:pPr>
        <w:pStyle w:val="AATitle"/>
        <w:rPr>
          <w:b w:val="0"/>
          <w:lang w:val="fr-FR"/>
        </w:rPr>
      </w:pPr>
      <w:r w:rsidRPr="00B52FE3">
        <w:rPr>
          <w:b w:val="0"/>
          <w:lang w:val="fr-FR"/>
        </w:rPr>
        <w:t>Première réunion</w:t>
      </w:r>
    </w:p>
    <w:p w:rsidR="00E976AB" w:rsidRPr="00B52FE3" w:rsidRDefault="000F74D7" w:rsidP="000F74D7">
      <w:pPr>
        <w:pStyle w:val="AATitle"/>
        <w:rPr>
          <w:b w:val="0"/>
          <w:lang w:val="fr-FR"/>
        </w:rPr>
      </w:pPr>
      <w:r w:rsidRPr="00B52FE3">
        <w:rPr>
          <w:b w:val="0"/>
          <w:lang w:val="fr-FR"/>
        </w:rPr>
        <w:t>Genève, 24–29 septembre 2017</w:t>
      </w:r>
    </w:p>
    <w:p w:rsidR="00C20379" w:rsidRPr="00CF6596" w:rsidRDefault="00C20379" w:rsidP="00C20379">
      <w:pPr>
        <w:pStyle w:val="AATitle"/>
        <w:keepNext w:val="0"/>
        <w:keepLines w:val="0"/>
        <w:rPr>
          <w:b w:val="0"/>
          <w:lang w:val="fr-FR"/>
        </w:rPr>
      </w:pPr>
      <w:r w:rsidRPr="00CF6596">
        <w:rPr>
          <w:b w:val="0"/>
          <w:lang w:val="fr-FR"/>
        </w:rPr>
        <w:t>Point 6 h) de l</w:t>
      </w:r>
      <w:r w:rsidR="002D36D3" w:rsidRPr="00CF6596">
        <w:rPr>
          <w:b w:val="0"/>
          <w:lang w:val="fr-FR"/>
        </w:rPr>
        <w:t>’</w:t>
      </w:r>
      <w:r w:rsidRPr="00CF6596">
        <w:rPr>
          <w:b w:val="0"/>
          <w:lang w:val="fr-FR"/>
        </w:rPr>
        <w:t>ordre du jour provisoire</w:t>
      </w:r>
      <w:r w:rsidRPr="00CF6596">
        <w:rPr>
          <w:b w:val="0"/>
          <w:lang w:val="fr-FR"/>
        </w:rPr>
        <w:footnoteReference w:customMarkFollows="1" w:id="1"/>
        <w:t>*</w:t>
      </w:r>
    </w:p>
    <w:p w:rsidR="00C20379" w:rsidRPr="00B52FE3" w:rsidRDefault="00C20379" w:rsidP="00C510F4">
      <w:pPr>
        <w:pStyle w:val="AATitle2"/>
        <w:rPr>
          <w:lang w:val="fr-FR"/>
        </w:rPr>
      </w:pPr>
      <w:r w:rsidRPr="00B52FE3">
        <w:rPr>
          <w:lang w:val="fr-FR"/>
        </w:rPr>
        <w:t>Questions que la Convent</w:t>
      </w:r>
      <w:r w:rsidR="00CF6596">
        <w:rPr>
          <w:lang w:val="fr-FR"/>
        </w:rPr>
        <w:t>ion renvoie à la Conférence des </w:t>
      </w:r>
      <w:r w:rsidRPr="00B52FE3">
        <w:rPr>
          <w:lang w:val="fr-FR"/>
        </w:rPr>
        <w:t>Parties pour suite à donner : définition des seuils applicables aux déchets</w:t>
      </w:r>
      <w:r w:rsidR="00CF6596">
        <w:rPr>
          <w:lang w:val="fr-FR"/>
        </w:rPr>
        <w:t xml:space="preserve"> de mercure visés au paragraphe </w:t>
      </w:r>
      <w:r w:rsidRPr="00B52FE3">
        <w:rPr>
          <w:lang w:val="fr-FR"/>
        </w:rPr>
        <w:t>2 de l</w:t>
      </w:r>
      <w:r w:rsidR="002D36D3">
        <w:rPr>
          <w:lang w:val="fr-FR"/>
        </w:rPr>
        <w:t>’</w:t>
      </w:r>
      <w:r w:rsidR="00CF6596">
        <w:rPr>
          <w:lang w:val="fr-FR"/>
        </w:rPr>
        <w:t>article </w:t>
      </w:r>
      <w:r w:rsidRPr="00B52FE3">
        <w:rPr>
          <w:lang w:val="fr-FR"/>
        </w:rPr>
        <w:t>11</w:t>
      </w:r>
    </w:p>
    <w:p w:rsidR="0015219A" w:rsidRPr="00B52FE3" w:rsidRDefault="0015219A" w:rsidP="00EC0F68">
      <w:pPr>
        <w:pStyle w:val="BBTitle"/>
        <w:rPr>
          <w:lang w:val="fr-FR"/>
        </w:rPr>
      </w:pPr>
      <w:r w:rsidRPr="00B52FE3">
        <w:rPr>
          <w:lang w:val="fr-FR"/>
        </w:rPr>
        <w:t>Compilation d</w:t>
      </w:r>
      <w:r w:rsidR="002D36D3">
        <w:rPr>
          <w:lang w:val="fr-FR"/>
        </w:rPr>
        <w:t>’</w:t>
      </w:r>
      <w:r w:rsidRPr="00B52FE3">
        <w:rPr>
          <w:lang w:val="fr-FR"/>
        </w:rPr>
        <w:t>informations complémentaires sur l</w:t>
      </w:r>
      <w:r w:rsidR="002D36D3">
        <w:rPr>
          <w:lang w:val="fr-FR"/>
        </w:rPr>
        <w:t>’</w:t>
      </w:r>
      <w:r w:rsidRPr="00B52FE3">
        <w:rPr>
          <w:lang w:val="fr-FR"/>
        </w:rPr>
        <w:t xml:space="preserve">utilisation des seuils applicables aux déchets de mercure </w:t>
      </w:r>
    </w:p>
    <w:p w:rsidR="0015219A" w:rsidRPr="00B52FE3" w:rsidRDefault="0015219A" w:rsidP="00EC0F68">
      <w:pPr>
        <w:pStyle w:val="CH2"/>
        <w:rPr>
          <w:lang w:val="fr-FR"/>
        </w:rPr>
      </w:pPr>
      <w:r w:rsidRPr="00B52FE3">
        <w:rPr>
          <w:lang w:val="fr-FR"/>
        </w:rPr>
        <w:tab/>
      </w:r>
      <w:r w:rsidRPr="00B52FE3">
        <w:rPr>
          <w:lang w:val="fr-FR"/>
        </w:rPr>
        <w:tab/>
        <w:t>Note du secrétariat</w:t>
      </w:r>
    </w:p>
    <w:p w:rsidR="00BB01AC" w:rsidRPr="00B52FE3" w:rsidRDefault="00D61CC6" w:rsidP="00EC0F68">
      <w:pPr>
        <w:pStyle w:val="Normalnumber"/>
        <w:tabs>
          <w:tab w:val="clear" w:pos="1134"/>
          <w:tab w:val="clear" w:pos="1247"/>
          <w:tab w:val="clear" w:pos="1814"/>
          <w:tab w:val="clear" w:pos="2381"/>
          <w:tab w:val="clear" w:pos="2948"/>
          <w:tab w:val="clear" w:pos="3515"/>
          <w:tab w:val="clear" w:pos="4082"/>
          <w:tab w:val="left" w:pos="624"/>
        </w:tabs>
        <w:rPr>
          <w:lang w:val="fr-FR"/>
        </w:rPr>
      </w:pPr>
      <w:r>
        <w:rPr>
          <w:lang w:val="fr-FR"/>
        </w:rPr>
        <w:t>Au paragraphe </w:t>
      </w:r>
      <w:r w:rsidR="00B43AE4" w:rsidRPr="00B52FE3">
        <w:rPr>
          <w:lang w:val="fr-FR"/>
        </w:rPr>
        <w:t>2 de son article</w:t>
      </w:r>
      <w:r>
        <w:rPr>
          <w:lang w:val="fr-FR"/>
        </w:rPr>
        <w:t> </w:t>
      </w:r>
      <w:r w:rsidR="00B43AE4" w:rsidRPr="00B52FE3">
        <w:rPr>
          <w:lang w:val="fr-FR"/>
        </w:rPr>
        <w:t>11, la Convention de Minamata sur le mercure définit les déchets de mercure comme les « substances ou objets :</w:t>
      </w:r>
    </w:p>
    <w:p w:rsidR="00BB01AC" w:rsidRPr="00B52FE3" w:rsidRDefault="00BB01AC" w:rsidP="00CF6596">
      <w:pPr>
        <w:pStyle w:val="Normalnumber"/>
        <w:numPr>
          <w:ilvl w:val="1"/>
          <w:numId w:val="1"/>
        </w:numPr>
        <w:tabs>
          <w:tab w:val="clear" w:pos="1247"/>
          <w:tab w:val="clear" w:pos="1814"/>
          <w:tab w:val="clear" w:pos="2381"/>
          <w:tab w:val="clear" w:pos="2948"/>
          <w:tab w:val="clear" w:pos="3515"/>
          <w:tab w:val="clear" w:pos="4082"/>
          <w:tab w:val="left" w:pos="624"/>
        </w:tabs>
        <w:ind w:left="1276" w:firstLine="600"/>
        <w:rPr>
          <w:lang w:val="fr-FR"/>
        </w:rPr>
      </w:pPr>
      <w:r w:rsidRPr="00B52FE3">
        <w:rPr>
          <w:lang w:val="fr-FR"/>
        </w:rPr>
        <w:t>Constitués de mercure ou de composés du mercure;</w:t>
      </w:r>
    </w:p>
    <w:p w:rsidR="00BB01AC" w:rsidRPr="00B52FE3" w:rsidRDefault="00BB01AC" w:rsidP="00885EE4">
      <w:pPr>
        <w:pStyle w:val="Normalnumber"/>
        <w:numPr>
          <w:ilvl w:val="1"/>
          <w:numId w:val="1"/>
        </w:numPr>
        <w:tabs>
          <w:tab w:val="clear" w:pos="1134"/>
          <w:tab w:val="clear" w:pos="1247"/>
          <w:tab w:val="clear" w:pos="1814"/>
          <w:tab w:val="clear" w:pos="2381"/>
          <w:tab w:val="clear" w:pos="2948"/>
          <w:tab w:val="clear" w:pos="3515"/>
          <w:tab w:val="clear" w:pos="4082"/>
          <w:tab w:val="left" w:pos="624"/>
        </w:tabs>
        <w:ind w:firstLine="624"/>
        <w:rPr>
          <w:lang w:val="fr-FR"/>
        </w:rPr>
      </w:pPr>
      <w:r w:rsidRPr="00B52FE3">
        <w:rPr>
          <w:lang w:val="fr-FR"/>
        </w:rPr>
        <w:t>Contenant du mercure ou des composés du mercure; ou</w:t>
      </w:r>
    </w:p>
    <w:p w:rsidR="00BB01AC" w:rsidRPr="00B52FE3" w:rsidRDefault="00BB01AC" w:rsidP="00885EE4">
      <w:pPr>
        <w:pStyle w:val="Normalnumber"/>
        <w:numPr>
          <w:ilvl w:val="1"/>
          <w:numId w:val="1"/>
        </w:numPr>
        <w:tabs>
          <w:tab w:val="clear" w:pos="1134"/>
          <w:tab w:val="clear" w:pos="1247"/>
          <w:tab w:val="clear" w:pos="1814"/>
          <w:tab w:val="clear" w:pos="2381"/>
          <w:tab w:val="clear" w:pos="2948"/>
          <w:tab w:val="clear" w:pos="3515"/>
          <w:tab w:val="clear" w:pos="4082"/>
          <w:tab w:val="left" w:pos="624"/>
        </w:tabs>
        <w:ind w:firstLine="624"/>
        <w:rPr>
          <w:lang w:val="fr-FR"/>
        </w:rPr>
      </w:pPr>
      <w:r w:rsidRPr="00B52FE3">
        <w:rPr>
          <w:lang w:val="fr-FR"/>
        </w:rPr>
        <w:t xml:space="preserve">Contaminés par du mercure ou des composés du mercure, </w:t>
      </w:r>
    </w:p>
    <w:p w:rsidR="00BB01AC" w:rsidRPr="00B52FE3" w:rsidRDefault="00BB01AC" w:rsidP="00BB01AC">
      <w:pPr>
        <w:pStyle w:val="Normalnumber"/>
        <w:numPr>
          <w:ilvl w:val="0"/>
          <w:numId w:val="0"/>
        </w:numPr>
        <w:ind w:left="1247"/>
        <w:rPr>
          <w:lang w:val="fr-FR"/>
        </w:rPr>
      </w:pPr>
      <w:proofErr w:type="gramStart"/>
      <w:r w:rsidRPr="00B52FE3">
        <w:rPr>
          <w:lang w:val="fr-FR"/>
        </w:rPr>
        <w:t>en</w:t>
      </w:r>
      <w:proofErr w:type="gramEnd"/>
      <w:r w:rsidRPr="00B52FE3">
        <w:rPr>
          <w:lang w:val="fr-FR"/>
        </w:rPr>
        <w:t xml:space="preserve"> quantité supérieure aux seuils pertinents définis par la Conférence des Parties, en collaboration avec les organes compétents de la Convention de Bâle [sur le contrôle des mouvements transfrontières de déchets dangereux et de leur élimination], de manière harmonisée, qu</w:t>
      </w:r>
      <w:r w:rsidR="002D36D3">
        <w:rPr>
          <w:lang w:val="fr-FR"/>
        </w:rPr>
        <w:t>’</w:t>
      </w:r>
      <w:r w:rsidRPr="00B52FE3">
        <w:rPr>
          <w:lang w:val="fr-FR"/>
        </w:rPr>
        <w:t>on élimine, qu</w:t>
      </w:r>
      <w:r w:rsidR="002D36D3">
        <w:rPr>
          <w:lang w:val="fr-FR"/>
        </w:rPr>
        <w:t>’</w:t>
      </w:r>
      <w:r w:rsidRPr="00B52FE3">
        <w:rPr>
          <w:lang w:val="fr-FR"/>
        </w:rPr>
        <w:t>on a l</w:t>
      </w:r>
      <w:r w:rsidR="002D36D3">
        <w:rPr>
          <w:lang w:val="fr-FR"/>
        </w:rPr>
        <w:t>’</w:t>
      </w:r>
      <w:r w:rsidRPr="00B52FE3">
        <w:rPr>
          <w:lang w:val="fr-FR"/>
        </w:rPr>
        <w:t>intention d</w:t>
      </w:r>
      <w:r w:rsidR="002D36D3">
        <w:rPr>
          <w:lang w:val="fr-FR"/>
        </w:rPr>
        <w:t>’</w:t>
      </w:r>
      <w:r w:rsidRPr="00B52FE3">
        <w:rPr>
          <w:lang w:val="fr-FR"/>
        </w:rPr>
        <w:t>éliminer ou qu</w:t>
      </w:r>
      <w:r w:rsidR="002D36D3">
        <w:rPr>
          <w:lang w:val="fr-FR"/>
        </w:rPr>
        <w:t>’</w:t>
      </w:r>
      <w:r w:rsidRPr="00B52FE3">
        <w:rPr>
          <w:lang w:val="fr-FR"/>
        </w:rPr>
        <w:t>on est tenu d</w:t>
      </w:r>
      <w:r w:rsidR="002D36D3">
        <w:rPr>
          <w:lang w:val="fr-FR"/>
        </w:rPr>
        <w:t>’</w:t>
      </w:r>
      <w:r w:rsidRPr="00B52FE3">
        <w:rPr>
          <w:lang w:val="fr-FR"/>
        </w:rPr>
        <w:t xml:space="preserve">éliminer en vertu des dispositions du droit national ou de la présente Convention. » </w:t>
      </w:r>
    </w:p>
    <w:p w:rsidR="00BB01AC" w:rsidRPr="00B52FE3" w:rsidRDefault="00D61CC6" w:rsidP="00D6719D">
      <w:pPr>
        <w:pStyle w:val="Normalnumber"/>
        <w:rPr>
          <w:lang w:val="fr-FR"/>
        </w:rPr>
      </w:pPr>
      <w:r>
        <w:rPr>
          <w:lang w:val="fr-FR"/>
        </w:rPr>
        <w:t>Dans le paragraphe </w:t>
      </w:r>
      <w:r w:rsidR="00BB01AC" w:rsidRPr="00B52FE3">
        <w:rPr>
          <w:lang w:val="fr-FR"/>
        </w:rPr>
        <w:t>8 de sa résolution relative aux dispositions provisoires (PNUE [</w:t>
      </w:r>
      <w:proofErr w:type="spellStart"/>
      <w:r w:rsidR="00BB01AC" w:rsidRPr="00B52FE3">
        <w:rPr>
          <w:lang w:val="fr-FR"/>
        </w:rPr>
        <w:t>DTIE</w:t>
      </w:r>
      <w:proofErr w:type="spellEnd"/>
      <w:r w:rsidR="00BB01AC" w:rsidRPr="00B52FE3">
        <w:rPr>
          <w:lang w:val="fr-FR"/>
        </w:rPr>
        <w:t>]/Hg/</w:t>
      </w:r>
      <w:proofErr w:type="spellStart"/>
      <w:r w:rsidR="00BB01AC" w:rsidRPr="00B52FE3">
        <w:rPr>
          <w:lang w:val="fr-FR"/>
        </w:rPr>
        <w:t>C</w:t>
      </w:r>
      <w:r>
        <w:rPr>
          <w:lang w:val="fr-FR"/>
        </w:rPr>
        <w:t>ONF</w:t>
      </w:r>
      <w:proofErr w:type="spellEnd"/>
      <w:r>
        <w:rPr>
          <w:lang w:val="fr-FR"/>
        </w:rPr>
        <w:t>/4, annexe </w:t>
      </w:r>
      <w:r w:rsidR="00BB01AC" w:rsidRPr="00B52FE3">
        <w:rPr>
          <w:lang w:val="fr-FR"/>
        </w:rPr>
        <w:t>I), la Conférence de plénipotentiaires a prié le Comité de négociation intergouvernemental chargé d</w:t>
      </w:r>
      <w:r w:rsidR="002D36D3">
        <w:rPr>
          <w:lang w:val="fr-FR"/>
        </w:rPr>
        <w:t>’</w:t>
      </w:r>
      <w:r w:rsidR="00BB01AC" w:rsidRPr="00B52FE3">
        <w:rPr>
          <w:lang w:val="fr-FR"/>
        </w:rPr>
        <w:t>élaborer un instrument international juridiquement contraignant sur le mercure d</w:t>
      </w:r>
      <w:r w:rsidR="002D36D3">
        <w:rPr>
          <w:lang w:val="fr-FR"/>
        </w:rPr>
        <w:t>’</w:t>
      </w:r>
      <w:r w:rsidR="00BB01AC" w:rsidRPr="00B52FE3">
        <w:rPr>
          <w:lang w:val="fr-FR"/>
        </w:rPr>
        <w:t>appuyer, si possible, et sans entraver l</w:t>
      </w:r>
      <w:r w:rsidR="002D36D3">
        <w:rPr>
          <w:lang w:val="fr-FR"/>
        </w:rPr>
        <w:t>’</w:t>
      </w:r>
      <w:r w:rsidR="00BB01AC" w:rsidRPr="00B52FE3">
        <w:rPr>
          <w:lang w:val="fr-FR"/>
        </w:rPr>
        <w:t>accomplissement des tâches prioritaires énumérées dans la Convention, les activités exigées ou encouragées par la Convention qui seraient de nature à faciliter son entrée en vigueur rapide et son application effective dès son entrée en vigueur, en particulier les seuils pour l</w:t>
      </w:r>
      <w:r w:rsidR="002D36D3">
        <w:rPr>
          <w:lang w:val="fr-FR"/>
        </w:rPr>
        <w:t>’</w:t>
      </w:r>
      <w:r w:rsidR="00BB01AC" w:rsidRPr="00B52FE3">
        <w:rPr>
          <w:lang w:val="fr-FR"/>
        </w:rPr>
        <w:t>identification des déchets de mercure conformément au paragraphe</w:t>
      </w:r>
      <w:r>
        <w:rPr>
          <w:lang w:val="fr-FR"/>
        </w:rPr>
        <w:t> </w:t>
      </w:r>
      <w:r w:rsidR="00BB01AC" w:rsidRPr="00B52FE3">
        <w:rPr>
          <w:lang w:val="fr-FR"/>
        </w:rPr>
        <w:t>2 de l</w:t>
      </w:r>
      <w:r w:rsidR="002D36D3">
        <w:rPr>
          <w:lang w:val="fr-FR"/>
        </w:rPr>
        <w:t>’</w:t>
      </w:r>
      <w:r>
        <w:rPr>
          <w:lang w:val="fr-FR"/>
        </w:rPr>
        <w:t>article </w:t>
      </w:r>
      <w:r w:rsidR="00BB01AC" w:rsidRPr="00B52FE3">
        <w:rPr>
          <w:lang w:val="fr-FR"/>
        </w:rPr>
        <w:t>11, entre autres.</w:t>
      </w:r>
    </w:p>
    <w:p w:rsidR="00E25B92" w:rsidRPr="00B52FE3" w:rsidRDefault="00615A97" w:rsidP="00B3554E">
      <w:pPr>
        <w:pStyle w:val="Normalnumber"/>
        <w:rPr>
          <w:lang w:val="fr-FR"/>
        </w:rPr>
      </w:pPr>
      <w:r w:rsidRPr="00B52FE3">
        <w:rPr>
          <w:lang w:val="fr-FR"/>
        </w:rPr>
        <w:t>Le Comité s</w:t>
      </w:r>
      <w:r w:rsidR="002D36D3">
        <w:rPr>
          <w:lang w:val="fr-FR"/>
        </w:rPr>
        <w:t>’</w:t>
      </w:r>
      <w:r w:rsidRPr="00B52FE3">
        <w:rPr>
          <w:lang w:val="fr-FR"/>
        </w:rPr>
        <w:t>est donc penché sur la question des seuils relatifs aux déchets de mercure à ses sixième et septième sessions. À sa sixième session, le Comité a prié les pays de communiquer au secrétariat des informations sur leur utilisation des seuils relatifs aux déchets de mercure et sur les niveaux établis, et a prié le secrétariat de compiler ces informations pour qu</w:t>
      </w:r>
      <w:r w:rsidR="002D36D3">
        <w:rPr>
          <w:lang w:val="fr-FR"/>
        </w:rPr>
        <w:t>’</w:t>
      </w:r>
      <w:r w:rsidRPr="00B52FE3">
        <w:rPr>
          <w:lang w:val="fr-FR"/>
        </w:rPr>
        <w:t>il les examine à sa septième session. Neuf pays et une organisation d</w:t>
      </w:r>
      <w:r w:rsidR="002D36D3">
        <w:rPr>
          <w:lang w:val="fr-FR"/>
        </w:rPr>
        <w:t>’</w:t>
      </w:r>
      <w:r w:rsidRPr="00B52FE3">
        <w:rPr>
          <w:lang w:val="fr-FR"/>
        </w:rPr>
        <w:t xml:space="preserve">intégration économique régionale ont communiqué </w:t>
      </w:r>
      <w:r w:rsidRPr="00B52FE3">
        <w:rPr>
          <w:lang w:val="fr-FR"/>
        </w:rPr>
        <w:lastRenderedPageBreak/>
        <w:t>des informations. À l</w:t>
      </w:r>
      <w:r w:rsidR="002D36D3">
        <w:rPr>
          <w:lang w:val="fr-FR"/>
        </w:rPr>
        <w:t>’</w:t>
      </w:r>
      <w:r w:rsidRPr="00B52FE3">
        <w:rPr>
          <w:lang w:val="fr-FR"/>
        </w:rPr>
        <w:t>issue de l</w:t>
      </w:r>
      <w:r w:rsidR="002D36D3">
        <w:rPr>
          <w:lang w:val="fr-FR"/>
        </w:rPr>
        <w:t>’</w:t>
      </w:r>
      <w:r w:rsidRPr="00B52FE3">
        <w:rPr>
          <w:lang w:val="fr-FR"/>
        </w:rPr>
        <w:t>examen de ces informations</w:t>
      </w:r>
      <w:r w:rsidR="003F3591" w:rsidRPr="00B52FE3">
        <w:rPr>
          <w:rStyle w:val="FootnoteReference"/>
          <w:lang w:val="fr-FR"/>
        </w:rPr>
        <w:footnoteReference w:id="2"/>
      </w:r>
      <w:r w:rsidRPr="00B52FE3">
        <w:rPr>
          <w:lang w:val="fr-FR"/>
        </w:rPr>
        <w:t xml:space="preserve">, le Comité a décidé à sa septième session que le secrétariat </w:t>
      </w:r>
      <w:r w:rsidR="00E344BB">
        <w:rPr>
          <w:lang w:val="fr-FR"/>
        </w:rPr>
        <w:t>recueill</w:t>
      </w:r>
      <w:r w:rsidRPr="00B52FE3">
        <w:rPr>
          <w:lang w:val="fr-FR"/>
        </w:rPr>
        <w:t>erait auprès des gouvernements et d</w:t>
      </w:r>
      <w:r w:rsidR="002D36D3">
        <w:rPr>
          <w:lang w:val="fr-FR"/>
        </w:rPr>
        <w:t>’</w:t>
      </w:r>
      <w:r w:rsidRPr="00B52FE3">
        <w:rPr>
          <w:lang w:val="fr-FR"/>
        </w:rPr>
        <w:t>autres intéressés des informations complémentaires sur l</w:t>
      </w:r>
      <w:r w:rsidR="002D36D3">
        <w:rPr>
          <w:lang w:val="fr-FR"/>
        </w:rPr>
        <w:t>’</w:t>
      </w:r>
      <w:r w:rsidRPr="00B52FE3">
        <w:rPr>
          <w:lang w:val="fr-FR"/>
        </w:rPr>
        <w:t xml:space="preserve">utilisation des seuils relatifs aux déchets de mercure et que des efforts devraient être engagés de manière informelle par ceux qui disposaient de connaissances spécialisées en la matière pour proposer des seuils appropriés. </w:t>
      </w:r>
    </w:p>
    <w:p w:rsidR="00BB01AC" w:rsidRPr="00B52FE3" w:rsidRDefault="00D6719D" w:rsidP="00D6719D">
      <w:pPr>
        <w:pStyle w:val="Normalnumber"/>
        <w:rPr>
          <w:lang w:val="fr-FR"/>
        </w:rPr>
      </w:pPr>
      <w:r w:rsidRPr="00B52FE3">
        <w:rPr>
          <w:lang w:val="fr-FR"/>
        </w:rPr>
        <w:t>En réponse à la demande d</w:t>
      </w:r>
      <w:r w:rsidR="002D36D3">
        <w:rPr>
          <w:lang w:val="fr-FR"/>
        </w:rPr>
        <w:t>’</w:t>
      </w:r>
      <w:r w:rsidRPr="00B52FE3">
        <w:rPr>
          <w:lang w:val="fr-FR"/>
        </w:rPr>
        <w:t>informations complémentaires sur l</w:t>
      </w:r>
      <w:r w:rsidR="002D36D3">
        <w:rPr>
          <w:lang w:val="fr-FR"/>
        </w:rPr>
        <w:t>’</w:t>
      </w:r>
      <w:r w:rsidRPr="00B52FE3">
        <w:rPr>
          <w:lang w:val="fr-FR"/>
        </w:rPr>
        <w:t>utilisation des seuils relatifs aux déchets de mercure, six pays et une organisation d</w:t>
      </w:r>
      <w:r w:rsidR="002D36D3">
        <w:rPr>
          <w:lang w:val="fr-FR"/>
        </w:rPr>
        <w:t>’</w:t>
      </w:r>
      <w:r w:rsidRPr="00B52FE3">
        <w:rPr>
          <w:lang w:val="fr-FR"/>
        </w:rPr>
        <w:t xml:space="preserve">intégration </w:t>
      </w:r>
      <w:r w:rsidR="00B52FE3" w:rsidRPr="00B52FE3">
        <w:rPr>
          <w:lang w:val="fr-FR"/>
        </w:rPr>
        <w:t>économique</w:t>
      </w:r>
      <w:r w:rsidRPr="00B52FE3">
        <w:rPr>
          <w:lang w:val="fr-FR"/>
        </w:rPr>
        <w:t xml:space="preserve"> régionale ont communiqué des informations</w:t>
      </w:r>
      <w:r w:rsidR="00A17246" w:rsidRPr="00B52FE3">
        <w:rPr>
          <w:rStyle w:val="FootnoteReference"/>
          <w:lang w:val="fr-FR"/>
        </w:rPr>
        <w:footnoteReference w:id="3"/>
      </w:r>
      <w:r w:rsidRPr="00B52FE3">
        <w:rPr>
          <w:lang w:val="fr-FR"/>
        </w:rPr>
        <w:t>. Une compilation de ces communications figure en annexe à la présente note. Il convient de noter que trois de ces pays et l</w:t>
      </w:r>
      <w:r w:rsidR="002D36D3">
        <w:rPr>
          <w:lang w:val="fr-FR"/>
        </w:rPr>
        <w:t>’</w:t>
      </w:r>
      <w:r w:rsidRPr="00B52FE3">
        <w:rPr>
          <w:lang w:val="fr-FR"/>
        </w:rPr>
        <w:t>organisation d</w:t>
      </w:r>
      <w:r w:rsidR="002D36D3">
        <w:rPr>
          <w:lang w:val="fr-FR"/>
        </w:rPr>
        <w:t>’</w:t>
      </w:r>
      <w:r w:rsidRPr="00B52FE3">
        <w:rPr>
          <w:lang w:val="fr-FR"/>
        </w:rPr>
        <w:t>intégration économique régionale ont communiqué des informations en complément de celles déjà fournies comme suite à la sixième session du Comité.</w:t>
      </w:r>
    </w:p>
    <w:p w:rsidR="00FB075B" w:rsidRPr="00B52FE3" w:rsidRDefault="00D6719D" w:rsidP="006D7FE0">
      <w:pPr>
        <w:pStyle w:val="Normalnumber"/>
        <w:rPr>
          <w:lang w:val="fr-FR"/>
        </w:rPr>
      </w:pPr>
      <w:r w:rsidRPr="00B52FE3">
        <w:rPr>
          <w:lang w:val="fr-FR"/>
        </w:rPr>
        <w:t>Enfin, en réponse à la demande d</w:t>
      </w:r>
      <w:r w:rsidR="002D36D3">
        <w:rPr>
          <w:lang w:val="fr-FR"/>
        </w:rPr>
        <w:t>’</w:t>
      </w:r>
      <w:r w:rsidRPr="00B52FE3">
        <w:rPr>
          <w:lang w:val="fr-FR"/>
        </w:rPr>
        <w:t>efforts informels pour proposer des seuils appropriés, le Gouvernement japonais a conduit un processus informel comprenant des consultations avec des experts, y compris les coresponsables des volets du Partenariat mondial sur le mercure consacrés à la réduction du mercure dans les produits, à la gestion des déchets de mercure et au stockage du mercure. La contribution apportée par ce processus à la première réunion de la Conférence des Parties figure dans le document UNEP</w:t>
      </w:r>
      <w:r w:rsidR="002F0D6F">
        <w:rPr>
          <w:lang w:val="fr-FR"/>
        </w:rPr>
        <w:t>/MC/COP.1/</w:t>
      </w:r>
      <w:proofErr w:type="spellStart"/>
      <w:r w:rsidR="002F0D6F">
        <w:rPr>
          <w:lang w:val="fr-FR"/>
        </w:rPr>
        <w:t>INF</w:t>
      </w:r>
      <w:proofErr w:type="spellEnd"/>
      <w:r w:rsidR="002F0D6F">
        <w:rPr>
          <w:lang w:val="fr-FR"/>
        </w:rPr>
        <w:t>/</w:t>
      </w:r>
      <w:bookmarkStart w:id="3" w:name="_GoBack"/>
      <w:bookmarkEnd w:id="3"/>
      <w:r w:rsidRPr="00B52FE3">
        <w:rPr>
          <w:lang w:val="fr-FR"/>
        </w:rPr>
        <w:t>10.</w:t>
      </w:r>
    </w:p>
    <w:p w:rsidR="00FB075B" w:rsidRPr="00B52FE3" w:rsidRDefault="00885EE4" w:rsidP="00885EE4">
      <w:pPr>
        <w:pStyle w:val="CH3"/>
        <w:rPr>
          <w:lang w:val="fr-FR"/>
        </w:rPr>
      </w:pPr>
      <w:r w:rsidRPr="00B52FE3">
        <w:rPr>
          <w:lang w:val="fr-FR"/>
        </w:rPr>
        <w:tab/>
      </w:r>
      <w:r w:rsidRPr="00B52FE3">
        <w:rPr>
          <w:lang w:val="fr-FR"/>
        </w:rPr>
        <w:tab/>
        <w:t>Mesures que pourrait prendre la Conférence des Parties</w:t>
      </w:r>
    </w:p>
    <w:p w:rsidR="00BB01AC" w:rsidRPr="00B52FE3" w:rsidRDefault="00803074" w:rsidP="006D7FE0">
      <w:pPr>
        <w:pStyle w:val="Normalnumber"/>
        <w:rPr>
          <w:lang w:val="fr-FR"/>
        </w:rPr>
      </w:pPr>
      <w:r w:rsidRPr="00B52FE3">
        <w:rPr>
          <w:lang w:val="fr-FR"/>
        </w:rPr>
        <w:t>La Conférence souhaitera peut-être examiner les informations figurant en annexe à la présente note et dans le document UNEP(DTIE)/Hg/INC.7/19, ainsi que les informations fournies durant le processus informel, et continuer d</w:t>
      </w:r>
      <w:r w:rsidR="002D36D3">
        <w:rPr>
          <w:lang w:val="fr-FR"/>
        </w:rPr>
        <w:t>’</w:t>
      </w:r>
      <w:r w:rsidRPr="00B52FE3">
        <w:rPr>
          <w:lang w:val="fr-FR"/>
        </w:rPr>
        <w:t>étudier l</w:t>
      </w:r>
      <w:r w:rsidR="002D36D3">
        <w:rPr>
          <w:lang w:val="fr-FR"/>
        </w:rPr>
        <w:t>’</w:t>
      </w:r>
      <w:r w:rsidRPr="00B52FE3">
        <w:rPr>
          <w:lang w:val="fr-FR"/>
        </w:rPr>
        <w:t>adoption de seuils relatifs aux déchets de mercure.</w:t>
      </w:r>
    </w:p>
    <w:p w:rsidR="0015219A" w:rsidRPr="00B52FE3" w:rsidRDefault="0015219A" w:rsidP="0015219A">
      <w:pPr>
        <w:tabs>
          <w:tab w:val="left" w:pos="4082"/>
        </w:tabs>
        <w:spacing w:before="360" w:after="120"/>
        <w:rPr>
          <w:b/>
          <w:bCs/>
          <w:lang w:val="fr-FR"/>
        </w:rPr>
        <w:sectPr w:rsidR="0015219A" w:rsidRPr="00B52FE3" w:rsidSect="006E67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15219A" w:rsidRPr="00B52FE3" w:rsidRDefault="0015219A" w:rsidP="00EC0F68">
      <w:pPr>
        <w:pStyle w:val="ZZAnxheader"/>
        <w:rPr>
          <w:lang w:val="fr-FR"/>
        </w:rPr>
      </w:pPr>
      <w:r w:rsidRPr="00B52FE3">
        <w:rPr>
          <w:lang w:val="fr-FR"/>
        </w:rPr>
        <w:lastRenderedPageBreak/>
        <w:t>Annexe</w:t>
      </w:r>
    </w:p>
    <w:p w:rsidR="0015219A" w:rsidRPr="00B52FE3" w:rsidRDefault="0015219A" w:rsidP="00EC0F68">
      <w:pPr>
        <w:pStyle w:val="ZZAnxtitle"/>
        <w:rPr>
          <w:lang w:val="fr-FR"/>
        </w:rPr>
      </w:pPr>
      <w:r w:rsidRPr="00B52FE3">
        <w:rPr>
          <w:lang w:val="fr-FR"/>
        </w:rPr>
        <w:t>Compilation d</w:t>
      </w:r>
      <w:r w:rsidR="002D36D3">
        <w:rPr>
          <w:lang w:val="fr-FR"/>
        </w:rPr>
        <w:t>’</w:t>
      </w:r>
      <w:r w:rsidRPr="00B52FE3">
        <w:rPr>
          <w:lang w:val="fr-FR"/>
        </w:rPr>
        <w:t>informations complémentaires sur l</w:t>
      </w:r>
      <w:r w:rsidR="002D36D3">
        <w:rPr>
          <w:lang w:val="fr-FR"/>
        </w:rPr>
        <w:t>’</w:t>
      </w:r>
      <w:r w:rsidRPr="00B52FE3">
        <w:rPr>
          <w:lang w:val="fr-FR"/>
        </w:rPr>
        <w:t xml:space="preserve">utilisation des seuils relatifs aux déchets de mercure </w:t>
      </w:r>
    </w:p>
    <w:p w:rsidR="0015219A" w:rsidRPr="00B52FE3" w:rsidRDefault="0015219A" w:rsidP="00592326">
      <w:pPr>
        <w:tabs>
          <w:tab w:val="clear" w:pos="1247"/>
          <w:tab w:val="clear" w:pos="1814"/>
          <w:tab w:val="clear" w:pos="2381"/>
          <w:tab w:val="clear" w:pos="2948"/>
          <w:tab w:val="clear" w:pos="3515"/>
          <w:tab w:val="left" w:pos="624"/>
          <w:tab w:val="left" w:pos="1843"/>
          <w:tab w:val="left" w:pos="4082"/>
        </w:tabs>
        <w:spacing w:after="120"/>
        <w:ind w:left="1247"/>
        <w:rPr>
          <w:lang w:val="fr-FR"/>
        </w:rPr>
      </w:pPr>
      <w:r w:rsidRPr="00B52FE3">
        <w:rPr>
          <w:lang w:val="fr-FR"/>
        </w:rPr>
        <w:t>Les informations figurant dans le tableau ci-dessous reprennent les informations sur l</w:t>
      </w:r>
      <w:r w:rsidR="002D36D3">
        <w:rPr>
          <w:lang w:val="fr-FR"/>
        </w:rPr>
        <w:t>’</w:t>
      </w:r>
      <w:r w:rsidRPr="00B52FE3">
        <w:rPr>
          <w:lang w:val="fr-FR"/>
        </w:rPr>
        <w:t>utilisation des seuils relatifs aux déchets de mercure communiquées par six pays et une organisation d</w:t>
      </w:r>
      <w:r w:rsidR="002D36D3">
        <w:rPr>
          <w:lang w:val="fr-FR"/>
        </w:rPr>
        <w:t>’</w:t>
      </w:r>
      <w:r w:rsidRPr="00B52FE3">
        <w:rPr>
          <w:lang w:val="fr-FR"/>
        </w:rPr>
        <w:t>intégration économique régionale. Lorsqu</w:t>
      </w:r>
      <w:r w:rsidR="002D36D3">
        <w:rPr>
          <w:lang w:val="fr-FR"/>
        </w:rPr>
        <w:t>’</w:t>
      </w:r>
      <w:r w:rsidRPr="00B52FE3">
        <w:rPr>
          <w:lang w:val="fr-FR"/>
        </w:rPr>
        <w:t>une case du tableau est vierge, cela signifie qu</w:t>
      </w:r>
      <w:r w:rsidR="002D36D3">
        <w:rPr>
          <w:lang w:val="fr-FR"/>
        </w:rPr>
        <w:t>’</w:t>
      </w:r>
      <w:r w:rsidRPr="00B52FE3">
        <w:rPr>
          <w:lang w:val="fr-FR"/>
        </w:rPr>
        <w:t>aucune information du type indiqué dans l</w:t>
      </w:r>
      <w:r w:rsidR="002D36D3">
        <w:rPr>
          <w:lang w:val="fr-FR"/>
        </w:rPr>
        <w:t>’</w:t>
      </w:r>
      <w:r w:rsidRPr="00B52FE3">
        <w:rPr>
          <w:lang w:val="fr-FR"/>
        </w:rPr>
        <w:t>en-tête de la colonne n</w:t>
      </w:r>
      <w:r w:rsidR="002D36D3">
        <w:rPr>
          <w:lang w:val="fr-FR"/>
        </w:rPr>
        <w:t>’</w:t>
      </w:r>
      <w:r w:rsidRPr="00B52FE3">
        <w:rPr>
          <w:lang w:val="fr-FR"/>
        </w:rPr>
        <w:t>a été communiquée.</w:t>
      </w:r>
    </w:p>
    <w:tbl>
      <w:tblPr>
        <w:tblW w:w="1482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7"/>
        <w:gridCol w:w="4110"/>
        <w:gridCol w:w="4480"/>
        <w:gridCol w:w="4450"/>
      </w:tblGrid>
      <w:tr w:rsidR="000F3A83" w:rsidRPr="00E344BB" w:rsidTr="008B74D2">
        <w:trPr>
          <w:tblHeader/>
        </w:trPr>
        <w:tc>
          <w:tcPr>
            <w:tcW w:w="1787" w:type="dxa"/>
            <w:shd w:val="clear" w:color="auto" w:fill="auto"/>
          </w:tcPr>
          <w:p w:rsidR="0015219A" w:rsidRPr="00E344BB" w:rsidRDefault="0015219A" w:rsidP="00892ADF">
            <w:pPr>
              <w:tabs>
                <w:tab w:val="left" w:pos="4082"/>
              </w:tabs>
              <w:spacing w:before="80" w:after="80"/>
              <w:rPr>
                <w:b/>
                <w:bCs/>
                <w:sz w:val="18"/>
                <w:szCs w:val="18"/>
                <w:lang w:val="fr-FR"/>
              </w:rPr>
            </w:pPr>
            <w:r w:rsidRPr="00E344BB">
              <w:rPr>
                <w:b/>
                <w:lang w:val="fr-FR"/>
              </w:rPr>
              <w:t>Partie ayant répondu</w:t>
            </w:r>
          </w:p>
        </w:tc>
        <w:tc>
          <w:tcPr>
            <w:tcW w:w="4110" w:type="dxa"/>
            <w:shd w:val="clear" w:color="auto" w:fill="auto"/>
          </w:tcPr>
          <w:p w:rsidR="0015219A" w:rsidRPr="00E344BB" w:rsidRDefault="0015219A" w:rsidP="00892ADF">
            <w:pPr>
              <w:tabs>
                <w:tab w:val="left" w:pos="4082"/>
              </w:tabs>
              <w:spacing w:before="80" w:after="80"/>
              <w:rPr>
                <w:b/>
                <w:bCs/>
                <w:sz w:val="18"/>
                <w:szCs w:val="18"/>
                <w:lang w:val="fr-FR"/>
              </w:rPr>
            </w:pPr>
            <w:r w:rsidRPr="00E344BB">
              <w:rPr>
                <w:b/>
                <w:lang w:val="fr-FR"/>
              </w:rPr>
              <w:t xml:space="preserve">Utilisation des seuils relatifs aux déchets de mercure </w:t>
            </w:r>
          </w:p>
        </w:tc>
        <w:tc>
          <w:tcPr>
            <w:tcW w:w="4480" w:type="dxa"/>
          </w:tcPr>
          <w:p w:rsidR="0015219A" w:rsidRPr="00E344BB" w:rsidRDefault="0015219A" w:rsidP="00892ADF">
            <w:pPr>
              <w:tabs>
                <w:tab w:val="left" w:pos="4082"/>
              </w:tabs>
              <w:spacing w:before="80" w:after="80"/>
              <w:rPr>
                <w:b/>
                <w:bCs/>
                <w:sz w:val="18"/>
                <w:szCs w:val="18"/>
                <w:lang w:val="fr-FR"/>
              </w:rPr>
            </w:pPr>
            <w:r w:rsidRPr="00E344BB">
              <w:rPr>
                <w:b/>
                <w:lang w:val="fr-FR"/>
              </w:rPr>
              <w:t>Seuil de concentration</w:t>
            </w:r>
          </w:p>
        </w:tc>
        <w:tc>
          <w:tcPr>
            <w:tcW w:w="4450" w:type="dxa"/>
            <w:shd w:val="clear" w:color="auto" w:fill="auto"/>
          </w:tcPr>
          <w:p w:rsidR="0015219A" w:rsidRPr="00E344BB" w:rsidRDefault="0015219A" w:rsidP="00892ADF">
            <w:pPr>
              <w:tabs>
                <w:tab w:val="left" w:pos="4082"/>
              </w:tabs>
              <w:spacing w:before="80" w:after="80"/>
              <w:rPr>
                <w:b/>
                <w:bCs/>
                <w:sz w:val="18"/>
                <w:szCs w:val="18"/>
                <w:lang w:val="fr-FR"/>
              </w:rPr>
            </w:pPr>
            <w:r w:rsidRPr="00E344BB">
              <w:rPr>
                <w:b/>
                <w:lang w:val="fr-FR"/>
              </w:rPr>
              <w:t>Informations complémentaires</w:t>
            </w:r>
          </w:p>
        </w:tc>
      </w:tr>
      <w:tr w:rsidR="000F3A83" w:rsidRPr="00CF6596" w:rsidTr="008B74D2">
        <w:tc>
          <w:tcPr>
            <w:tcW w:w="1787" w:type="dxa"/>
            <w:shd w:val="clear" w:color="auto" w:fill="auto"/>
          </w:tcPr>
          <w:p w:rsidR="0015219A" w:rsidRPr="00B52FE3" w:rsidRDefault="0015219A" w:rsidP="006A7CA0">
            <w:pPr>
              <w:tabs>
                <w:tab w:val="left" w:pos="4082"/>
              </w:tabs>
              <w:spacing w:before="80" w:after="80"/>
              <w:rPr>
                <w:sz w:val="18"/>
                <w:szCs w:val="18"/>
                <w:lang w:val="fr-FR"/>
              </w:rPr>
            </w:pPr>
            <w:r w:rsidRPr="00B52FE3">
              <w:rPr>
                <w:lang w:val="fr-FR"/>
              </w:rPr>
              <w:t>Brésil –</w:t>
            </w:r>
            <w:r w:rsidRPr="00E344BB">
              <w:rPr>
                <w:i/>
                <w:lang w:val="fr-FR"/>
              </w:rPr>
              <w:t> informations communiquées en complément de celles fournies comme suite à la sixième session du Comité de négociation intergouvernemental et compilées dans le document UNEP(DTIE)/Hg/INC.7/19</w:t>
            </w:r>
          </w:p>
        </w:tc>
        <w:tc>
          <w:tcPr>
            <w:tcW w:w="4110" w:type="dxa"/>
            <w:shd w:val="clear" w:color="auto" w:fill="auto"/>
          </w:tcPr>
          <w:p w:rsidR="00F61ADD" w:rsidRPr="00B52FE3" w:rsidRDefault="00235811" w:rsidP="00776E61">
            <w:pPr>
              <w:tabs>
                <w:tab w:val="left" w:pos="4082"/>
              </w:tabs>
              <w:spacing w:before="80" w:after="80"/>
              <w:rPr>
                <w:sz w:val="18"/>
                <w:szCs w:val="18"/>
                <w:lang w:val="fr-FR"/>
              </w:rPr>
            </w:pPr>
            <w:r w:rsidRPr="00B52FE3">
              <w:rPr>
                <w:lang w:val="fr-FR"/>
              </w:rPr>
              <w:t xml:space="preserve">En vertu de la norme technique </w:t>
            </w:r>
            <w:proofErr w:type="spellStart"/>
            <w:r w:rsidRPr="00E344BB">
              <w:rPr>
                <w:i/>
                <w:lang w:val="fr-FR"/>
              </w:rPr>
              <w:t>ABNT</w:t>
            </w:r>
            <w:proofErr w:type="spellEnd"/>
            <w:r w:rsidRPr="00E344BB">
              <w:rPr>
                <w:i/>
                <w:lang w:val="fr-FR"/>
              </w:rPr>
              <w:t xml:space="preserve"> </w:t>
            </w:r>
            <w:proofErr w:type="spellStart"/>
            <w:r w:rsidRPr="00E344BB">
              <w:rPr>
                <w:i/>
                <w:lang w:val="fr-FR"/>
              </w:rPr>
              <w:t>NBR</w:t>
            </w:r>
            <w:proofErr w:type="spellEnd"/>
            <w:r w:rsidRPr="00E344BB">
              <w:rPr>
                <w:i/>
                <w:lang w:val="fr-FR"/>
              </w:rPr>
              <w:t xml:space="preserve"> 10.004/2004</w:t>
            </w:r>
            <w:r w:rsidRPr="00B52FE3">
              <w:rPr>
                <w:lang w:val="fr-FR"/>
              </w:rPr>
              <w:t xml:space="preserve">, qui définit les procédures de </w:t>
            </w:r>
            <w:r w:rsidR="00E344BB">
              <w:rPr>
                <w:lang w:val="fr-FR"/>
              </w:rPr>
              <w:t>classement d</w:t>
            </w:r>
            <w:r w:rsidRPr="00B52FE3">
              <w:rPr>
                <w:lang w:val="fr-FR"/>
              </w:rPr>
              <w:t xml:space="preserve">es déchets solides </w:t>
            </w:r>
            <w:r w:rsidR="00E344BB">
              <w:rPr>
                <w:lang w:val="fr-FR"/>
              </w:rPr>
              <w:t>comme</w:t>
            </w:r>
            <w:r w:rsidRPr="00B52FE3">
              <w:rPr>
                <w:lang w:val="fr-FR"/>
              </w:rPr>
              <w:t xml:space="preserve"> dangereux ou non dangereux (en tenant compte du processus ayant abouti à la production du déchet, des caractéristiques du déchet et de la comparaison de ses composants), les seuils relatifs aux concentrations de mercure servent à déterminer l</w:t>
            </w:r>
            <w:r w:rsidR="00776E61">
              <w:rPr>
                <w:lang w:val="fr-FR"/>
              </w:rPr>
              <w:t>e caractère</w:t>
            </w:r>
            <w:r w:rsidRPr="00B52FE3">
              <w:rPr>
                <w:lang w:val="fr-FR"/>
              </w:rPr>
              <w:t xml:space="preserve"> danger</w:t>
            </w:r>
            <w:r w:rsidR="00776E61">
              <w:rPr>
                <w:lang w:val="fr-FR"/>
              </w:rPr>
              <w:t>eux</w:t>
            </w:r>
            <w:r w:rsidRPr="00B52FE3">
              <w:rPr>
                <w:lang w:val="fr-FR"/>
              </w:rPr>
              <w:t xml:space="preserve"> de certains types de déchets, </w:t>
            </w:r>
            <w:r w:rsidR="00776E61">
              <w:rPr>
                <w:lang w:val="fr-FR"/>
              </w:rPr>
              <w:t>alors</w:t>
            </w:r>
            <w:r w:rsidRPr="00B52FE3">
              <w:rPr>
                <w:lang w:val="fr-FR"/>
              </w:rPr>
              <w:t xml:space="preserve"> que </w:t>
            </w:r>
            <w:r w:rsidR="00776E61">
              <w:rPr>
                <w:lang w:val="fr-FR"/>
              </w:rPr>
              <w:t xml:space="preserve">dans </w:t>
            </w:r>
            <w:r w:rsidRPr="00B52FE3">
              <w:rPr>
                <w:lang w:val="fr-FR"/>
              </w:rPr>
              <w:t>d</w:t>
            </w:r>
            <w:r w:rsidR="002D36D3">
              <w:rPr>
                <w:lang w:val="fr-FR"/>
              </w:rPr>
              <w:t>’</w:t>
            </w:r>
            <w:r w:rsidRPr="00B52FE3">
              <w:rPr>
                <w:lang w:val="fr-FR"/>
              </w:rPr>
              <w:t xml:space="preserve">autres </w:t>
            </w:r>
            <w:r w:rsidR="00776E61">
              <w:rPr>
                <w:lang w:val="fr-FR"/>
              </w:rPr>
              <w:t xml:space="preserve">cas, </w:t>
            </w:r>
            <w:r w:rsidRPr="00B52FE3">
              <w:rPr>
                <w:lang w:val="fr-FR"/>
              </w:rPr>
              <w:t xml:space="preserve">la simple présence de mercure </w:t>
            </w:r>
            <w:r w:rsidR="00776E61">
              <w:rPr>
                <w:lang w:val="fr-FR"/>
              </w:rPr>
              <w:t>suffit pour les classer comme dangereux</w:t>
            </w:r>
            <w:r w:rsidRPr="00B52FE3">
              <w:rPr>
                <w:lang w:val="fr-FR"/>
              </w:rPr>
              <w:t>.</w:t>
            </w:r>
          </w:p>
        </w:tc>
        <w:tc>
          <w:tcPr>
            <w:tcW w:w="4480" w:type="dxa"/>
          </w:tcPr>
          <w:p w:rsidR="00F61ADD" w:rsidRPr="00B52FE3" w:rsidRDefault="000F738B" w:rsidP="00892ADF">
            <w:pPr>
              <w:tabs>
                <w:tab w:val="left" w:pos="4082"/>
              </w:tabs>
              <w:spacing w:before="80" w:after="80"/>
              <w:rPr>
                <w:sz w:val="18"/>
                <w:szCs w:val="18"/>
                <w:lang w:val="fr-FR"/>
              </w:rPr>
            </w:pPr>
            <w:r w:rsidRPr="00B52FE3">
              <w:rPr>
                <w:lang w:val="fr-FR"/>
              </w:rPr>
              <w:t xml:space="preserve">Lorsque des tests en laboratoire sont nécessaires pour déterminer si un déchet doit être </w:t>
            </w:r>
            <w:r w:rsidR="00776E61">
              <w:rPr>
                <w:lang w:val="fr-FR"/>
              </w:rPr>
              <w:t>classé comme</w:t>
            </w:r>
            <w:r w:rsidRPr="00B52FE3">
              <w:rPr>
                <w:lang w:val="fr-FR"/>
              </w:rPr>
              <w:t xml:space="preserve"> dangereux, les seuils suivants s</w:t>
            </w:r>
            <w:r w:rsidR="002D36D3">
              <w:rPr>
                <w:lang w:val="fr-FR"/>
              </w:rPr>
              <w:t>’</w:t>
            </w:r>
            <w:r w:rsidRPr="00B52FE3">
              <w:rPr>
                <w:lang w:val="fr-FR"/>
              </w:rPr>
              <w:t xml:space="preserve">appliquent : </w:t>
            </w:r>
          </w:p>
          <w:p w:rsidR="00F61ADD" w:rsidRPr="00B52FE3" w:rsidRDefault="000E30E6" w:rsidP="00EC0F68">
            <w:pPr>
              <w:numPr>
                <w:ilvl w:val="0"/>
                <w:numId w:val="19"/>
              </w:numPr>
              <w:tabs>
                <w:tab w:val="clear" w:pos="1247"/>
                <w:tab w:val="left" w:pos="4082"/>
              </w:tabs>
              <w:spacing w:before="80" w:after="80"/>
              <w:ind w:left="363" w:hanging="363"/>
              <w:rPr>
                <w:sz w:val="18"/>
                <w:szCs w:val="18"/>
                <w:lang w:val="fr-FR"/>
              </w:rPr>
            </w:pPr>
            <w:r w:rsidRPr="00B52FE3">
              <w:rPr>
                <w:lang w:val="fr-FR"/>
              </w:rPr>
              <w:t xml:space="preserve">La concentration </w:t>
            </w:r>
            <w:r w:rsidR="00776E61">
              <w:rPr>
                <w:lang w:val="fr-FR"/>
              </w:rPr>
              <w:t>de</w:t>
            </w:r>
            <w:r w:rsidRPr="00B52FE3">
              <w:rPr>
                <w:lang w:val="fr-FR"/>
              </w:rPr>
              <w:t xml:space="preserve"> mercure est supérieure à 0,1 mg/L dans </w:t>
            </w:r>
            <w:r w:rsidR="00776E61">
              <w:rPr>
                <w:lang w:val="fr-FR"/>
              </w:rPr>
              <w:t>le</w:t>
            </w:r>
            <w:r w:rsidRPr="00B52FE3">
              <w:rPr>
                <w:lang w:val="fr-FR"/>
              </w:rPr>
              <w:t xml:space="preserve"> test de lixiviation; </w:t>
            </w:r>
          </w:p>
          <w:p w:rsidR="0015219A" w:rsidRPr="00B52FE3" w:rsidRDefault="000E30E6" w:rsidP="00776E61">
            <w:pPr>
              <w:numPr>
                <w:ilvl w:val="0"/>
                <w:numId w:val="19"/>
              </w:numPr>
              <w:tabs>
                <w:tab w:val="clear" w:pos="1247"/>
                <w:tab w:val="left" w:pos="4082"/>
              </w:tabs>
              <w:spacing w:before="80" w:after="80"/>
              <w:ind w:left="363" w:hanging="363"/>
              <w:rPr>
                <w:sz w:val="18"/>
                <w:szCs w:val="18"/>
                <w:lang w:val="fr-FR"/>
              </w:rPr>
            </w:pPr>
            <w:r w:rsidRPr="00B52FE3">
              <w:rPr>
                <w:lang w:val="fr-FR"/>
              </w:rPr>
              <w:t xml:space="preserve">La concentration </w:t>
            </w:r>
            <w:r w:rsidR="00776E61">
              <w:rPr>
                <w:lang w:val="fr-FR"/>
              </w:rPr>
              <w:t>de</w:t>
            </w:r>
            <w:r w:rsidRPr="00B52FE3">
              <w:rPr>
                <w:lang w:val="fr-FR"/>
              </w:rPr>
              <w:t xml:space="preserve"> mercure est supérieure à 0,001 mg/L dans </w:t>
            </w:r>
            <w:r w:rsidR="00776E61">
              <w:rPr>
                <w:lang w:val="fr-FR"/>
              </w:rPr>
              <w:t>le</w:t>
            </w:r>
            <w:r w:rsidRPr="00B52FE3">
              <w:rPr>
                <w:lang w:val="fr-FR"/>
              </w:rPr>
              <w:t xml:space="preserve"> test de solubilisation.</w:t>
            </w:r>
          </w:p>
        </w:tc>
        <w:tc>
          <w:tcPr>
            <w:tcW w:w="4450" w:type="dxa"/>
            <w:shd w:val="clear" w:color="auto" w:fill="auto"/>
          </w:tcPr>
          <w:p w:rsidR="001E2AC2" w:rsidRPr="00B52FE3" w:rsidRDefault="001E2AC2" w:rsidP="00892ADF">
            <w:pPr>
              <w:tabs>
                <w:tab w:val="left" w:pos="4082"/>
              </w:tabs>
              <w:spacing w:before="80" w:after="80"/>
              <w:rPr>
                <w:sz w:val="18"/>
                <w:szCs w:val="18"/>
                <w:lang w:val="fr-FR"/>
              </w:rPr>
            </w:pPr>
          </w:p>
        </w:tc>
      </w:tr>
      <w:tr w:rsidR="000F3A83" w:rsidRPr="00CF6596" w:rsidTr="008B74D2">
        <w:trPr>
          <w:trHeight w:val="1451"/>
        </w:trPr>
        <w:tc>
          <w:tcPr>
            <w:tcW w:w="1787" w:type="dxa"/>
            <w:shd w:val="clear" w:color="auto" w:fill="auto"/>
          </w:tcPr>
          <w:p w:rsidR="0015219A" w:rsidRPr="00B52FE3" w:rsidRDefault="0015219A" w:rsidP="006A7CA0">
            <w:pPr>
              <w:tabs>
                <w:tab w:val="left" w:pos="4082"/>
              </w:tabs>
              <w:spacing w:before="80" w:after="80"/>
              <w:rPr>
                <w:sz w:val="18"/>
                <w:szCs w:val="18"/>
                <w:lang w:val="fr-FR"/>
              </w:rPr>
            </w:pPr>
            <w:r w:rsidRPr="00B52FE3">
              <w:rPr>
                <w:lang w:val="fr-FR"/>
              </w:rPr>
              <w:t>Union européenne et ses États membres –</w:t>
            </w:r>
            <w:r w:rsidRPr="00E344BB">
              <w:rPr>
                <w:i/>
                <w:lang w:val="fr-FR"/>
              </w:rPr>
              <w:t xml:space="preserve"> informations communiquées en complément de celles fournies comme suite à la sixième session du Comité de négociation intergouvernemental et compilées </w:t>
            </w:r>
            <w:r w:rsidRPr="00E344BB">
              <w:rPr>
                <w:i/>
                <w:lang w:val="fr-FR"/>
              </w:rPr>
              <w:lastRenderedPageBreak/>
              <w:t>dans le document UNEP(DTIE)/Hg/INC.7/19</w:t>
            </w:r>
          </w:p>
        </w:tc>
        <w:tc>
          <w:tcPr>
            <w:tcW w:w="4110" w:type="dxa"/>
            <w:shd w:val="clear" w:color="auto" w:fill="auto"/>
          </w:tcPr>
          <w:p w:rsidR="0015219A" w:rsidRPr="00B52FE3" w:rsidRDefault="00955109" w:rsidP="006A7CA0">
            <w:pPr>
              <w:tabs>
                <w:tab w:val="left" w:pos="4082"/>
              </w:tabs>
              <w:spacing w:before="80" w:after="80"/>
              <w:rPr>
                <w:sz w:val="18"/>
                <w:szCs w:val="18"/>
                <w:lang w:val="fr-FR"/>
              </w:rPr>
            </w:pPr>
            <w:r w:rsidRPr="00B52FE3">
              <w:rPr>
                <w:lang w:val="fr-FR"/>
              </w:rPr>
              <w:lastRenderedPageBreak/>
              <w:t>Les directives pour l</w:t>
            </w:r>
            <w:r w:rsidR="002D36D3">
              <w:rPr>
                <w:lang w:val="fr-FR"/>
              </w:rPr>
              <w:t>’</w:t>
            </w:r>
            <w:r w:rsidRPr="00B52FE3">
              <w:rPr>
                <w:lang w:val="fr-FR"/>
              </w:rPr>
              <w:t>échantillonnage et l</w:t>
            </w:r>
            <w:r w:rsidR="002D36D3">
              <w:rPr>
                <w:lang w:val="fr-FR"/>
              </w:rPr>
              <w:t>’</w:t>
            </w:r>
            <w:r w:rsidRPr="00B52FE3">
              <w:rPr>
                <w:lang w:val="fr-FR"/>
              </w:rPr>
              <w:t>analyse des déblais de dragage destinés à être évacués en mer</w:t>
            </w:r>
            <w:r w:rsidRPr="00B52FE3">
              <w:rPr>
                <w:rStyle w:val="FootnoteReference"/>
                <w:sz w:val="18"/>
                <w:lang w:val="fr-FR"/>
              </w:rPr>
              <w:footnoteReference w:id="4"/>
            </w:r>
            <w:r w:rsidRPr="00B52FE3">
              <w:rPr>
                <w:lang w:val="fr-FR"/>
              </w:rPr>
              <w:t>, élaborées par la Commission interministérielle espagnole des stratégies marines, définissent des seuils pour un ensemble de contaminants, dont le mercure, dans le cadre de l</w:t>
            </w:r>
            <w:r w:rsidR="002D36D3">
              <w:rPr>
                <w:lang w:val="fr-FR"/>
              </w:rPr>
              <w:t>’</w:t>
            </w:r>
            <w:r w:rsidRPr="00B52FE3">
              <w:rPr>
                <w:lang w:val="fr-FR"/>
              </w:rPr>
              <w:t>évaluation de la dangerosité des sédiments issus de déblais de dragage en milieu marin.</w:t>
            </w:r>
          </w:p>
        </w:tc>
        <w:tc>
          <w:tcPr>
            <w:tcW w:w="4480" w:type="dxa"/>
          </w:tcPr>
          <w:p w:rsidR="0015219A" w:rsidRPr="00B52FE3" w:rsidRDefault="00235811" w:rsidP="006A7CA0">
            <w:pPr>
              <w:tabs>
                <w:tab w:val="left" w:pos="4082"/>
              </w:tabs>
              <w:spacing w:before="80" w:after="80"/>
              <w:rPr>
                <w:sz w:val="18"/>
                <w:szCs w:val="18"/>
                <w:lang w:val="fr-FR"/>
              </w:rPr>
            </w:pPr>
            <w:r w:rsidRPr="00B52FE3">
              <w:rPr>
                <w:lang w:val="fr-FR"/>
              </w:rPr>
              <w:t>En vertu des directives, le seuil de concentration en mercure utilisé dans l</w:t>
            </w:r>
            <w:r w:rsidR="002D36D3">
              <w:rPr>
                <w:lang w:val="fr-FR"/>
              </w:rPr>
              <w:t>’</w:t>
            </w:r>
            <w:r w:rsidRPr="00B52FE3">
              <w:rPr>
                <w:lang w:val="fr-FR"/>
              </w:rPr>
              <w:t>évaluation des déblais de dragage en milieu marin est fixé à 17 mg/kg de poids sec, rapporté à la fraction fine des déchets, de moins de 2 mm.</w:t>
            </w:r>
          </w:p>
        </w:tc>
        <w:tc>
          <w:tcPr>
            <w:tcW w:w="4450" w:type="dxa"/>
            <w:shd w:val="clear" w:color="auto" w:fill="auto"/>
          </w:tcPr>
          <w:p w:rsidR="0015219A" w:rsidRPr="00B52FE3" w:rsidRDefault="0015219A" w:rsidP="00892ADF">
            <w:pPr>
              <w:tabs>
                <w:tab w:val="left" w:pos="4082"/>
              </w:tabs>
              <w:spacing w:before="80" w:after="80"/>
              <w:rPr>
                <w:sz w:val="18"/>
                <w:szCs w:val="18"/>
                <w:lang w:val="fr-FR"/>
              </w:rPr>
            </w:pPr>
          </w:p>
        </w:tc>
      </w:tr>
      <w:tr w:rsidR="000F3A83" w:rsidRPr="00CF6596" w:rsidTr="008B74D2">
        <w:tc>
          <w:tcPr>
            <w:tcW w:w="1787" w:type="dxa"/>
            <w:shd w:val="clear" w:color="auto" w:fill="auto"/>
          </w:tcPr>
          <w:p w:rsidR="0015219A" w:rsidRPr="00B52FE3" w:rsidRDefault="0015219A" w:rsidP="006A7CA0">
            <w:pPr>
              <w:keepNext/>
              <w:keepLines/>
              <w:tabs>
                <w:tab w:val="left" w:pos="4082"/>
              </w:tabs>
              <w:spacing w:before="80" w:after="80"/>
              <w:rPr>
                <w:sz w:val="18"/>
                <w:szCs w:val="18"/>
                <w:lang w:val="fr-FR"/>
              </w:rPr>
            </w:pPr>
            <w:r w:rsidRPr="00B52FE3">
              <w:rPr>
                <w:lang w:val="fr-FR"/>
              </w:rPr>
              <w:lastRenderedPageBreak/>
              <w:t xml:space="preserve">Japon – </w:t>
            </w:r>
            <w:r w:rsidRPr="00E344BB">
              <w:rPr>
                <w:i/>
                <w:lang w:val="fr-FR"/>
              </w:rPr>
              <w:t>informations communiquées en complément de celles fournies comme suite à la sixième session du Comité de négociation intergouvernemental et compilées dans le document UNEP(DTIE)/Hg/INC.7/19</w:t>
            </w:r>
          </w:p>
        </w:tc>
        <w:tc>
          <w:tcPr>
            <w:tcW w:w="4110" w:type="dxa"/>
            <w:shd w:val="clear" w:color="auto" w:fill="auto"/>
          </w:tcPr>
          <w:p w:rsidR="00673E24" w:rsidRPr="00B52FE3" w:rsidRDefault="00A64300" w:rsidP="005D04E8">
            <w:pPr>
              <w:keepNext/>
              <w:keepLines/>
              <w:tabs>
                <w:tab w:val="left" w:pos="4082"/>
              </w:tabs>
              <w:spacing w:before="80" w:after="80"/>
              <w:rPr>
                <w:sz w:val="18"/>
                <w:szCs w:val="18"/>
                <w:lang w:val="fr-FR"/>
              </w:rPr>
            </w:pPr>
            <w:r w:rsidRPr="00B52FE3">
              <w:rPr>
                <w:lang w:val="fr-FR"/>
              </w:rPr>
              <w:t xml:space="preserve">Des seuils de concentration sont en </w:t>
            </w:r>
            <w:r w:rsidR="00883D22">
              <w:rPr>
                <w:lang w:val="fr-FR"/>
              </w:rPr>
              <w:t>train</w:t>
            </w:r>
            <w:r w:rsidRPr="00B52FE3">
              <w:rPr>
                <w:lang w:val="fr-FR"/>
              </w:rPr>
              <w:t xml:space="preserve"> d</w:t>
            </w:r>
            <w:r w:rsidR="002D36D3">
              <w:rPr>
                <w:lang w:val="fr-FR"/>
              </w:rPr>
              <w:t>’</w:t>
            </w:r>
            <w:r w:rsidRPr="00B52FE3">
              <w:rPr>
                <w:lang w:val="fr-FR"/>
              </w:rPr>
              <w:t xml:space="preserve">être fixés pour deux nouvelles catégories de déchets de mercure : </w:t>
            </w:r>
          </w:p>
          <w:p w:rsidR="00673E24" w:rsidRPr="00B52FE3" w:rsidRDefault="00A64300" w:rsidP="00EC0F68">
            <w:pPr>
              <w:pStyle w:val="ListParagraph"/>
              <w:numPr>
                <w:ilvl w:val="0"/>
                <w:numId w:val="23"/>
              </w:numPr>
              <w:tabs>
                <w:tab w:val="clear" w:pos="1247"/>
                <w:tab w:val="clear" w:pos="1814"/>
                <w:tab w:val="clear" w:pos="2381"/>
                <w:tab w:val="clear" w:pos="2948"/>
                <w:tab w:val="clear" w:pos="3515"/>
              </w:tabs>
              <w:spacing w:before="80" w:after="80"/>
              <w:ind w:left="284" w:hanging="284"/>
              <w:rPr>
                <w:sz w:val="18"/>
                <w:szCs w:val="18"/>
                <w:lang w:val="fr-FR"/>
              </w:rPr>
            </w:pPr>
            <w:r w:rsidRPr="00B52FE3">
              <w:rPr>
                <w:lang w:val="fr-FR"/>
              </w:rPr>
              <w:t xml:space="preserve">Les poussières et autres déchets contenant du mercure, qui comprennent les résidus de combustion, </w:t>
            </w:r>
            <w:r w:rsidR="00883D22">
              <w:rPr>
                <w:lang w:val="fr-FR"/>
              </w:rPr>
              <w:t xml:space="preserve">les </w:t>
            </w:r>
            <w:r w:rsidRPr="00B52FE3">
              <w:rPr>
                <w:lang w:val="fr-FR"/>
              </w:rPr>
              <w:t>poussières, boues</w:t>
            </w:r>
            <w:r w:rsidR="00883D22">
              <w:rPr>
                <w:lang w:val="fr-FR"/>
              </w:rPr>
              <w:t xml:space="preserve">, </w:t>
            </w:r>
            <w:r w:rsidRPr="00B52FE3">
              <w:rPr>
                <w:lang w:val="fr-FR"/>
              </w:rPr>
              <w:t>acide</w:t>
            </w:r>
            <w:r w:rsidR="00883D22">
              <w:rPr>
                <w:lang w:val="fr-FR"/>
              </w:rPr>
              <w:t>s et bases</w:t>
            </w:r>
            <w:r w:rsidRPr="00B52FE3">
              <w:rPr>
                <w:lang w:val="fr-FR"/>
              </w:rPr>
              <w:t xml:space="preserve"> résiduaires et les scories contenant du mercure ou des composés du mercure dont la </w:t>
            </w:r>
            <w:r w:rsidR="00C76B6B">
              <w:rPr>
                <w:lang w:val="fr-FR"/>
              </w:rPr>
              <w:t>concentration</w:t>
            </w:r>
            <w:r w:rsidRPr="00B52FE3">
              <w:rPr>
                <w:lang w:val="fr-FR"/>
              </w:rPr>
              <w:t xml:space="preserve"> en mercure dépasse un certain seuil;</w:t>
            </w:r>
          </w:p>
          <w:p w:rsidR="00C23CBC" w:rsidRPr="00B52FE3" w:rsidRDefault="00A64300" w:rsidP="00EC0F68">
            <w:pPr>
              <w:numPr>
                <w:ilvl w:val="0"/>
                <w:numId w:val="23"/>
              </w:numPr>
              <w:tabs>
                <w:tab w:val="clear" w:pos="1247"/>
                <w:tab w:val="clear" w:pos="1814"/>
                <w:tab w:val="clear" w:pos="2381"/>
                <w:tab w:val="clear" w:pos="2948"/>
                <w:tab w:val="clear" w:pos="3515"/>
              </w:tabs>
              <w:spacing w:before="80" w:after="80"/>
              <w:ind w:left="284" w:hanging="284"/>
              <w:rPr>
                <w:sz w:val="18"/>
                <w:szCs w:val="18"/>
                <w:lang w:val="fr-FR"/>
              </w:rPr>
            </w:pPr>
            <w:r w:rsidRPr="00B52FE3">
              <w:rPr>
                <w:lang w:val="fr-FR"/>
              </w:rPr>
              <w:t>Les déchets industriels de produits contenant du mercure ajouté.</w:t>
            </w:r>
          </w:p>
        </w:tc>
        <w:tc>
          <w:tcPr>
            <w:tcW w:w="4480" w:type="dxa"/>
          </w:tcPr>
          <w:p w:rsidR="00B1730F" w:rsidRPr="00B52FE3" w:rsidRDefault="00E40F10" w:rsidP="005D04E8">
            <w:pPr>
              <w:keepNext/>
              <w:keepLines/>
              <w:tabs>
                <w:tab w:val="clear" w:pos="1247"/>
                <w:tab w:val="clear" w:pos="1814"/>
                <w:tab w:val="clear" w:pos="2381"/>
                <w:tab w:val="clear" w:pos="2948"/>
                <w:tab w:val="clear" w:pos="3515"/>
              </w:tabs>
              <w:autoSpaceDE w:val="0"/>
              <w:autoSpaceDN w:val="0"/>
              <w:adjustRightInd w:val="0"/>
              <w:spacing w:before="80" w:after="80"/>
              <w:rPr>
                <w:sz w:val="18"/>
                <w:szCs w:val="18"/>
                <w:lang w:val="fr-FR"/>
              </w:rPr>
            </w:pPr>
            <w:r w:rsidRPr="00B52FE3">
              <w:rPr>
                <w:lang w:val="fr-FR"/>
              </w:rPr>
              <w:t xml:space="preserve">Concernant les poussières et autres déchets contenant du mercure, il est prévu de fixer le seuil à 15 mg/kg. Concernant la </w:t>
            </w:r>
            <w:r w:rsidR="00B52FE3" w:rsidRPr="00B52FE3">
              <w:rPr>
                <w:lang w:val="fr-FR"/>
              </w:rPr>
              <w:t>récupération</w:t>
            </w:r>
            <w:r w:rsidRPr="00B52FE3">
              <w:rPr>
                <w:lang w:val="fr-FR"/>
              </w:rPr>
              <w:t xml:space="preserve"> du mercure contenu dans ces déchets avant leur élimination, il est prévu de fixer le seuil de concentration minimum en mercure à 1,000 mg/kg.</w:t>
            </w:r>
          </w:p>
          <w:p w:rsidR="00B1730F" w:rsidRPr="00B52FE3" w:rsidRDefault="00673E24" w:rsidP="005D04E8">
            <w:pPr>
              <w:keepNext/>
              <w:keepLines/>
              <w:tabs>
                <w:tab w:val="clear" w:pos="1247"/>
                <w:tab w:val="clear" w:pos="1814"/>
                <w:tab w:val="clear" w:pos="2381"/>
                <w:tab w:val="clear" w:pos="2948"/>
                <w:tab w:val="clear" w:pos="3515"/>
              </w:tabs>
              <w:autoSpaceDE w:val="0"/>
              <w:autoSpaceDN w:val="0"/>
              <w:adjustRightInd w:val="0"/>
              <w:spacing w:before="80" w:after="80"/>
              <w:rPr>
                <w:sz w:val="18"/>
                <w:szCs w:val="18"/>
                <w:lang w:val="fr-FR"/>
              </w:rPr>
            </w:pPr>
            <w:r w:rsidRPr="00B52FE3">
              <w:rPr>
                <w:lang w:val="fr-FR"/>
              </w:rPr>
              <w:t>La classification en tant que « déchets industriels de produits contenant du mercure ajouté » sera établie en fonction de la nature du produit et non de la concentration en mercure. La même démarche guidera l</w:t>
            </w:r>
            <w:r w:rsidR="002D36D3">
              <w:rPr>
                <w:lang w:val="fr-FR"/>
              </w:rPr>
              <w:t>’</w:t>
            </w:r>
            <w:r w:rsidRPr="00B52FE3">
              <w:rPr>
                <w:lang w:val="fr-FR"/>
              </w:rPr>
              <w:t>évaluation de la nécessité de récupérer le mercure avant l</w:t>
            </w:r>
            <w:r w:rsidR="002D36D3">
              <w:rPr>
                <w:lang w:val="fr-FR"/>
              </w:rPr>
              <w:t>’</w:t>
            </w:r>
            <w:r w:rsidRPr="00B52FE3">
              <w:rPr>
                <w:lang w:val="fr-FR"/>
              </w:rPr>
              <w:t>élimination de ces déchets.</w:t>
            </w:r>
          </w:p>
          <w:p w:rsidR="00B1730F" w:rsidRPr="00B52FE3" w:rsidRDefault="00B1730F" w:rsidP="005D04E8">
            <w:pPr>
              <w:keepNext/>
              <w:keepLines/>
              <w:tabs>
                <w:tab w:val="clear" w:pos="1247"/>
                <w:tab w:val="clear" w:pos="1814"/>
                <w:tab w:val="clear" w:pos="2381"/>
                <w:tab w:val="clear" w:pos="2948"/>
                <w:tab w:val="clear" w:pos="3515"/>
              </w:tabs>
              <w:autoSpaceDE w:val="0"/>
              <w:autoSpaceDN w:val="0"/>
              <w:adjustRightInd w:val="0"/>
              <w:spacing w:before="80" w:after="80"/>
              <w:rPr>
                <w:sz w:val="18"/>
                <w:szCs w:val="18"/>
                <w:lang w:val="fr-FR"/>
              </w:rPr>
            </w:pPr>
            <w:r w:rsidRPr="00B52FE3">
              <w:rPr>
                <w:lang w:val="fr-FR"/>
              </w:rPr>
              <w:t xml:space="preserve">Le public a été sollicité pour formuler des commentaires au sujet des seuils et de la démarche décrits ci-dessus. </w:t>
            </w:r>
          </w:p>
        </w:tc>
        <w:tc>
          <w:tcPr>
            <w:tcW w:w="4450" w:type="dxa"/>
            <w:shd w:val="clear" w:color="auto" w:fill="auto"/>
          </w:tcPr>
          <w:p w:rsidR="00673E24" w:rsidRPr="00B52FE3" w:rsidRDefault="00A64300" w:rsidP="005D04E8">
            <w:pPr>
              <w:keepNext/>
              <w:keepLines/>
              <w:tabs>
                <w:tab w:val="clear" w:pos="1247"/>
                <w:tab w:val="clear" w:pos="1814"/>
                <w:tab w:val="clear" w:pos="2381"/>
                <w:tab w:val="clear" w:pos="2948"/>
                <w:tab w:val="clear" w:pos="3515"/>
              </w:tabs>
              <w:autoSpaceDE w:val="0"/>
              <w:autoSpaceDN w:val="0"/>
              <w:adjustRightInd w:val="0"/>
              <w:spacing w:before="80" w:after="80"/>
              <w:rPr>
                <w:sz w:val="18"/>
                <w:szCs w:val="18"/>
                <w:lang w:val="fr-FR"/>
              </w:rPr>
            </w:pPr>
            <w:r w:rsidRPr="00B52FE3">
              <w:rPr>
                <w:lang w:val="fr-FR"/>
              </w:rPr>
              <w:t>Les « déchets industriels faisant l</w:t>
            </w:r>
            <w:r w:rsidR="002D36D3">
              <w:rPr>
                <w:lang w:val="fr-FR"/>
              </w:rPr>
              <w:t>’</w:t>
            </w:r>
            <w:r w:rsidRPr="00B52FE3">
              <w:rPr>
                <w:lang w:val="fr-FR"/>
              </w:rPr>
              <w:t>objet d</w:t>
            </w:r>
            <w:r w:rsidR="002D36D3">
              <w:rPr>
                <w:lang w:val="fr-FR"/>
              </w:rPr>
              <w:t>’</w:t>
            </w:r>
            <w:r w:rsidRPr="00B52FE3">
              <w:rPr>
                <w:lang w:val="fr-FR"/>
              </w:rPr>
              <w:t>un contrôle spécial », qui désignent les déchets produits par des installations spécifiques et dépassant les 0,005 mg-Hg/L dans le test officiel japonais de lixiviation, ainsi que les « poussières et autres déchets contenant du mercure », correspondraient aux « substances ou objets contaminés par du mercure ou des composés du mercure » aux termes de l</w:t>
            </w:r>
            <w:r w:rsidR="002D36D3">
              <w:rPr>
                <w:lang w:val="fr-FR"/>
              </w:rPr>
              <w:t>’</w:t>
            </w:r>
            <w:r w:rsidRPr="00B52FE3">
              <w:rPr>
                <w:lang w:val="fr-FR"/>
              </w:rPr>
              <w:t>article 11 de la Convention de Minamata, tandis que les « déchets industriels de produits contenant du mercure ajouté » correspondraient aux « substances ou objets contenant du mercure ou des composés du mercure » aux termes de l</w:t>
            </w:r>
            <w:r w:rsidR="002D36D3">
              <w:rPr>
                <w:lang w:val="fr-FR"/>
              </w:rPr>
              <w:t>’</w:t>
            </w:r>
            <w:r w:rsidRPr="00B52FE3">
              <w:rPr>
                <w:lang w:val="fr-FR"/>
              </w:rPr>
              <w:t xml:space="preserve">article 11. </w:t>
            </w:r>
          </w:p>
          <w:p w:rsidR="00C23CBC" w:rsidRPr="00B52FE3" w:rsidRDefault="00A63B6A" w:rsidP="003A0B88">
            <w:pPr>
              <w:keepNext/>
              <w:keepLines/>
              <w:tabs>
                <w:tab w:val="clear" w:pos="1247"/>
                <w:tab w:val="clear" w:pos="1814"/>
                <w:tab w:val="clear" w:pos="2381"/>
                <w:tab w:val="clear" w:pos="2948"/>
                <w:tab w:val="clear" w:pos="3515"/>
              </w:tabs>
              <w:autoSpaceDE w:val="0"/>
              <w:autoSpaceDN w:val="0"/>
              <w:adjustRightInd w:val="0"/>
              <w:spacing w:before="80" w:after="80"/>
              <w:rPr>
                <w:sz w:val="18"/>
                <w:szCs w:val="18"/>
                <w:lang w:val="fr-FR"/>
              </w:rPr>
            </w:pPr>
            <w:r w:rsidRPr="00B52FE3">
              <w:rPr>
                <w:lang w:val="fr-FR"/>
              </w:rPr>
              <w:t>Le mélange de « déchets industriels de produits contenant du mercure ajouté » et d</w:t>
            </w:r>
            <w:r w:rsidR="002D36D3">
              <w:rPr>
                <w:lang w:val="fr-FR"/>
              </w:rPr>
              <w:t>’</w:t>
            </w:r>
            <w:r w:rsidRPr="00B52FE3">
              <w:rPr>
                <w:lang w:val="fr-FR"/>
              </w:rPr>
              <w:t xml:space="preserve">autres types de déchets dans des décharges réservées aux déchets inertes est interdit. Il faut récupérer le mercure des déchets industriels de produits contenant du mercure ajouté, tels que les sphygmomanomètres contenant du mercure élémentaire, avant de les éliminer. </w:t>
            </w:r>
          </w:p>
        </w:tc>
      </w:tr>
      <w:tr w:rsidR="004233E2" w:rsidRPr="00CF6596" w:rsidTr="008B74D2">
        <w:tc>
          <w:tcPr>
            <w:tcW w:w="1787" w:type="dxa"/>
            <w:shd w:val="clear" w:color="auto" w:fill="auto"/>
          </w:tcPr>
          <w:p w:rsidR="004233E2" w:rsidRPr="00B52FE3" w:rsidRDefault="004233E2" w:rsidP="00892ADF">
            <w:pPr>
              <w:tabs>
                <w:tab w:val="left" w:pos="4082"/>
              </w:tabs>
              <w:spacing w:before="80" w:after="80"/>
              <w:rPr>
                <w:sz w:val="18"/>
                <w:szCs w:val="18"/>
                <w:lang w:val="fr-FR"/>
              </w:rPr>
            </w:pPr>
            <w:r w:rsidRPr="00B52FE3">
              <w:rPr>
                <w:lang w:val="fr-FR"/>
              </w:rPr>
              <w:t>Madagascar</w:t>
            </w:r>
          </w:p>
        </w:tc>
        <w:tc>
          <w:tcPr>
            <w:tcW w:w="4110" w:type="dxa"/>
            <w:shd w:val="clear" w:color="auto" w:fill="auto"/>
          </w:tcPr>
          <w:p w:rsidR="004233E2" w:rsidRPr="00B52FE3" w:rsidRDefault="001E2AC2" w:rsidP="00892ADF">
            <w:pPr>
              <w:tabs>
                <w:tab w:val="left" w:pos="4082"/>
              </w:tabs>
              <w:spacing w:before="80" w:after="80"/>
              <w:rPr>
                <w:sz w:val="18"/>
                <w:szCs w:val="18"/>
                <w:lang w:val="fr-FR"/>
              </w:rPr>
            </w:pPr>
            <w:r w:rsidRPr="00B52FE3">
              <w:rPr>
                <w:lang w:val="fr-FR"/>
              </w:rPr>
              <w:t>Aucun seuil n</w:t>
            </w:r>
            <w:r w:rsidR="002D36D3">
              <w:rPr>
                <w:lang w:val="fr-FR"/>
              </w:rPr>
              <w:t>’</w:t>
            </w:r>
            <w:r w:rsidRPr="00B52FE3">
              <w:rPr>
                <w:lang w:val="fr-FR"/>
              </w:rPr>
              <w:t>a été fixé concernant les déchets solides contenant du mercure.</w:t>
            </w:r>
          </w:p>
          <w:p w:rsidR="00677EBB" w:rsidRPr="00B52FE3" w:rsidRDefault="00677EBB" w:rsidP="00C76B6B">
            <w:pPr>
              <w:tabs>
                <w:tab w:val="left" w:pos="4082"/>
              </w:tabs>
              <w:spacing w:before="80" w:after="80"/>
              <w:rPr>
                <w:sz w:val="18"/>
                <w:szCs w:val="18"/>
                <w:lang w:val="fr-FR"/>
              </w:rPr>
            </w:pPr>
            <w:r w:rsidRPr="00B52FE3">
              <w:rPr>
                <w:lang w:val="fr-FR"/>
              </w:rPr>
              <w:t>Le décret 2003/464 du 15 avril 2003 établit la norme nationale portant classification des eaux de surface et réglementation des rejets d</w:t>
            </w:r>
            <w:r w:rsidR="002D36D3">
              <w:rPr>
                <w:lang w:val="fr-FR"/>
              </w:rPr>
              <w:t>’</w:t>
            </w:r>
            <w:r w:rsidRPr="00B52FE3">
              <w:rPr>
                <w:lang w:val="fr-FR"/>
              </w:rPr>
              <w:t>effluents liquides dans l</w:t>
            </w:r>
            <w:r w:rsidR="002D36D3">
              <w:rPr>
                <w:lang w:val="fr-FR"/>
              </w:rPr>
              <w:t>’</w:t>
            </w:r>
            <w:r w:rsidRPr="00B52FE3">
              <w:rPr>
                <w:lang w:val="fr-FR"/>
              </w:rPr>
              <w:t xml:space="preserve">environnement. Le décret définit les effluents liquides polluants et </w:t>
            </w:r>
            <w:r w:rsidR="00C76B6B">
              <w:rPr>
                <w:lang w:val="fr-FR"/>
              </w:rPr>
              <w:t>l</w:t>
            </w:r>
            <w:r w:rsidRPr="00B52FE3">
              <w:rPr>
                <w:lang w:val="fr-FR"/>
              </w:rPr>
              <w:t>es normes applicables aux eaux usées provenant des infrastructures hôtelières et des activités de production manufacturière ou de transformation, ainsi qu</w:t>
            </w:r>
            <w:r w:rsidR="002D36D3">
              <w:rPr>
                <w:lang w:val="fr-FR"/>
              </w:rPr>
              <w:t>’</w:t>
            </w:r>
            <w:r w:rsidRPr="00B52FE3">
              <w:rPr>
                <w:lang w:val="fr-FR"/>
              </w:rPr>
              <w:t>aux eaux de vidange provenant des activités touchant les hydrocarbures (station de service, eaux de lavage de véhicules, garages de réparation de véhicules, unités de stockage).</w:t>
            </w:r>
          </w:p>
        </w:tc>
        <w:tc>
          <w:tcPr>
            <w:tcW w:w="4480" w:type="dxa"/>
          </w:tcPr>
          <w:p w:rsidR="00B43B22" w:rsidRPr="00B52FE3" w:rsidRDefault="00B43B22" w:rsidP="00EC0F68">
            <w:pPr>
              <w:pStyle w:val="ListParagraph"/>
              <w:numPr>
                <w:ilvl w:val="0"/>
                <w:numId w:val="23"/>
              </w:numPr>
              <w:tabs>
                <w:tab w:val="clear" w:pos="1247"/>
                <w:tab w:val="clear" w:pos="1814"/>
                <w:tab w:val="clear" w:pos="2381"/>
                <w:tab w:val="clear" w:pos="2948"/>
                <w:tab w:val="clear" w:pos="3515"/>
              </w:tabs>
              <w:spacing w:before="80" w:after="80"/>
              <w:ind w:left="284" w:hanging="284"/>
              <w:rPr>
                <w:sz w:val="18"/>
                <w:szCs w:val="18"/>
                <w:lang w:val="fr-FR"/>
              </w:rPr>
            </w:pPr>
            <w:r w:rsidRPr="00B52FE3">
              <w:rPr>
                <w:lang w:val="fr-FR"/>
              </w:rPr>
              <w:t>Concernant le rejet de mercure dans les effluents liquides, le seuil de concentration est fixé à 0,005 mg/L.</w:t>
            </w:r>
          </w:p>
          <w:p w:rsidR="00B43B22" w:rsidRPr="00B52FE3" w:rsidRDefault="00677EBB" w:rsidP="00EC0F68">
            <w:pPr>
              <w:pStyle w:val="ListParagraph"/>
              <w:numPr>
                <w:ilvl w:val="0"/>
                <w:numId w:val="23"/>
              </w:numPr>
              <w:tabs>
                <w:tab w:val="clear" w:pos="1247"/>
                <w:tab w:val="clear" w:pos="1814"/>
                <w:tab w:val="clear" w:pos="2381"/>
                <w:tab w:val="clear" w:pos="2948"/>
                <w:tab w:val="clear" w:pos="3515"/>
              </w:tabs>
              <w:spacing w:before="80" w:after="80"/>
              <w:ind w:left="284" w:hanging="284"/>
              <w:rPr>
                <w:sz w:val="18"/>
                <w:szCs w:val="18"/>
                <w:lang w:val="fr-FR"/>
              </w:rPr>
            </w:pPr>
            <w:r w:rsidRPr="00B52FE3">
              <w:rPr>
                <w:lang w:val="fr-FR"/>
              </w:rPr>
              <w:t>Concernant les épandages de boues issues du traitement d</w:t>
            </w:r>
            <w:r w:rsidR="002D36D3">
              <w:rPr>
                <w:lang w:val="fr-FR"/>
              </w:rPr>
              <w:t>’</w:t>
            </w:r>
            <w:r w:rsidRPr="00B52FE3">
              <w:rPr>
                <w:lang w:val="fr-FR"/>
              </w:rPr>
              <w:t>eaux usées, la concentration maximale dans la boue est fixée à 20 mg/kg de matière sèche avec un apport maximal d</w:t>
            </w:r>
            <w:r w:rsidR="002D36D3">
              <w:rPr>
                <w:lang w:val="fr-FR"/>
              </w:rPr>
              <w:t>’</w:t>
            </w:r>
            <w:r w:rsidRPr="00B52FE3">
              <w:rPr>
                <w:lang w:val="fr-FR"/>
              </w:rPr>
              <w:t>1 kg/ha/10 </w:t>
            </w:r>
            <w:proofErr w:type="gramStart"/>
            <w:r w:rsidRPr="00B52FE3">
              <w:rPr>
                <w:lang w:val="fr-FR"/>
              </w:rPr>
              <w:t>ans</w:t>
            </w:r>
            <w:proofErr w:type="gramEnd"/>
            <w:r w:rsidRPr="00B52FE3">
              <w:rPr>
                <w:lang w:val="fr-FR"/>
              </w:rPr>
              <w:t>.</w:t>
            </w:r>
          </w:p>
        </w:tc>
        <w:tc>
          <w:tcPr>
            <w:tcW w:w="4450" w:type="dxa"/>
            <w:shd w:val="clear" w:color="auto" w:fill="auto"/>
          </w:tcPr>
          <w:p w:rsidR="004233E2" w:rsidRPr="00B52FE3" w:rsidRDefault="00404B2E" w:rsidP="00892ADF">
            <w:pPr>
              <w:tabs>
                <w:tab w:val="left" w:pos="4082"/>
              </w:tabs>
              <w:spacing w:before="80" w:after="80"/>
              <w:rPr>
                <w:sz w:val="18"/>
                <w:szCs w:val="18"/>
                <w:lang w:val="fr-FR"/>
              </w:rPr>
            </w:pPr>
            <w:r w:rsidRPr="00B52FE3">
              <w:rPr>
                <w:lang w:val="fr-FR"/>
              </w:rPr>
              <w:t xml:space="preserve">La gestion des déchets est encore </w:t>
            </w:r>
            <w:r w:rsidR="00C76B6B">
              <w:rPr>
                <w:lang w:val="fr-FR"/>
              </w:rPr>
              <w:t>peu pratiqu</w:t>
            </w:r>
            <w:r w:rsidRPr="00B52FE3">
              <w:rPr>
                <w:lang w:val="fr-FR"/>
              </w:rPr>
              <w:t>ée à Madagascar et</w:t>
            </w:r>
            <w:r w:rsidR="00C76B6B">
              <w:rPr>
                <w:lang w:val="fr-FR"/>
              </w:rPr>
              <w:t>, en</w:t>
            </w:r>
            <w:r w:rsidRPr="00B52FE3">
              <w:rPr>
                <w:lang w:val="fr-FR"/>
              </w:rPr>
              <w:t xml:space="preserve"> général</w:t>
            </w:r>
            <w:r w:rsidR="00C76B6B">
              <w:rPr>
                <w:lang w:val="fr-FR"/>
              </w:rPr>
              <w:t>, aucun tri n’a lieu</w:t>
            </w:r>
            <w:r w:rsidRPr="00B52FE3">
              <w:rPr>
                <w:lang w:val="fr-FR"/>
              </w:rPr>
              <w:t>. Les déchets contenant du mercure (batteries, lampes, interrupteurs électriques, etc.) sont mélangés à d</w:t>
            </w:r>
            <w:r w:rsidR="002D36D3">
              <w:rPr>
                <w:lang w:val="fr-FR"/>
              </w:rPr>
              <w:t>’</w:t>
            </w:r>
            <w:r w:rsidRPr="00B52FE3">
              <w:rPr>
                <w:lang w:val="fr-FR"/>
              </w:rPr>
              <w:t>autres déchets ménagers. C</w:t>
            </w:r>
            <w:r w:rsidR="002D36D3">
              <w:rPr>
                <w:lang w:val="fr-FR"/>
              </w:rPr>
              <w:t>’</w:t>
            </w:r>
            <w:r w:rsidRPr="00B52FE3">
              <w:rPr>
                <w:lang w:val="fr-FR"/>
              </w:rPr>
              <w:t xml:space="preserve">est pourquoi les mesures </w:t>
            </w:r>
            <w:r w:rsidR="00C76B6B">
              <w:rPr>
                <w:lang w:val="fr-FR"/>
              </w:rPr>
              <w:t>de</w:t>
            </w:r>
            <w:r w:rsidRPr="00B52FE3">
              <w:rPr>
                <w:lang w:val="fr-FR"/>
              </w:rPr>
              <w:t xml:space="preserve"> gestion écologiquement rationnelle des déchets contenant du mercure, y compris </w:t>
            </w:r>
            <w:r w:rsidR="00C76B6B">
              <w:rPr>
                <w:lang w:val="fr-FR"/>
              </w:rPr>
              <w:t>celles concernant</w:t>
            </w:r>
            <w:r w:rsidRPr="00B52FE3">
              <w:rPr>
                <w:lang w:val="fr-FR"/>
              </w:rPr>
              <w:t xml:space="preserve"> leur manipulation, tri, collecte, conditionnement, étiquetage, transport et stockage, ne sont pas respectées. </w:t>
            </w:r>
          </w:p>
          <w:p w:rsidR="00677EBB" w:rsidRPr="00B52FE3" w:rsidRDefault="00677EBB" w:rsidP="00892ADF">
            <w:pPr>
              <w:tabs>
                <w:tab w:val="left" w:pos="4082"/>
              </w:tabs>
              <w:spacing w:before="80" w:after="80"/>
              <w:rPr>
                <w:sz w:val="18"/>
                <w:szCs w:val="18"/>
                <w:lang w:val="fr-FR"/>
              </w:rPr>
            </w:pPr>
            <w:r w:rsidRPr="00B52FE3">
              <w:rPr>
                <w:lang w:val="fr-FR"/>
              </w:rPr>
              <w:t>Malgré l</w:t>
            </w:r>
            <w:r w:rsidR="002D36D3">
              <w:rPr>
                <w:lang w:val="fr-FR"/>
              </w:rPr>
              <w:t>’</w:t>
            </w:r>
            <w:r w:rsidRPr="00B52FE3">
              <w:rPr>
                <w:lang w:val="fr-FR"/>
              </w:rPr>
              <w:t>existence de normes applicables aux eaux usées, Madagascar ne possède pas le matériel nécessaire pour mesurer les concentrations en mercure.</w:t>
            </w:r>
          </w:p>
        </w:tc>
      </w:tr>
      <w:tr w:rsidR="001E1EB3" w:rsidRPr="00CF6596" w:rsidTr="008B74D2">
        <w:tc>
          <w:tcPr>
            <w:tcW w:w="1787" w:type="dxa"/>
            <w:shd w:val="clear" w:color="auto" w:fill="auto"/>
          </w:tcPr>
          <w:p w:rsidR="001E1EB3" w:rsidRPr="00B52FE3" w:rsidRDefault="001E1EB3" w:rsidP="00892ADF">
            <w:pPr>
              <w:tabs>
                <w:tab w:val="left" w:pos="4082"/>
              </w:tabs>
              <w:spacing w:before="80" w:after="80"/>
              <w:rPr>
                <w:sz w:val="18"/>
                <w:szCs w:val="18"/>
                <w:lang w:val="fr-FR"/>
              </w:rPr>
            </w:pPr>
            <w:r w:rsidRPr="00B52FE3">
              <w:rPr>
                <w:lang w:val="fr-FR"/>
              </w:rPr>
              <w:t>République de Corée</w:t>
            </w:r>
          </w:p>
        </w:tc>
        <w:tc>
          <w:tcPr>
            <w:tcW w:w="4110" w:type="dxa"/>
            <w:shd w:val="clear" w:color="auto" w:fill="auto"/>
          </w:tcPr>
          <w:p w:rsidR="001E1EB3" w:rsidRPr="00B52FE3" w:rsidRDefault="003C2546" w:rsidP="00892ADF">
            <w:pPr>
              <w:tabs>
                <w:tab w:val="left" w:pos="4082"/>
              </w:tabs>
              <w:spacing w:before="80" w:after="80"/>
              <w:rPr>
                <w:sz w:val="18"/>
                <w:szCs w:val="18"/>
                <w:lang w:val="fr-FR"/>
              </w:rPr>
            </w:pPr>
            <w:r w:rsidRPr="00B52FE3">
              <w:rPr>
                <w:lang w:val="fr-FR"/>
              </w:rPr>
              <w:t xml:space="preserve">Il existe un seuil de concentration en mercure utilisé dans le cadre de la classification des déchets dangereux. </w:t>
            </w:r>
          </w:p>
          <w:p w:rsidR="003C2546" w:rsidRPr="00B52FE3" w:rsidRDefault="007E793D" w:rsidP="00C76B6B">
            <w:pPr>
              <w:tabs>
                <w:tab w:val="left" w:pos="4082"/>
              </w:tabs>
              <w:spacing w:before="80" w:after="80"/>
              <w:rPr>
                <w:sz w:val="18"/>
                <w:szCs w:val="18"/>
                <w:lang w:val="fr-FR"/>
              </w:rPr>
            </w:pPr>
            <w:r w:rsidRPr="00B52FE3">
              <w:rPr>
                <w:lang w:val="fr-FR"/>
              </w:rPr>
              <w:t xml:space="preserve">Les produits contenant du mercure ajouté qui sont </w:t>
            </w:r>
            <w:r w:rsidR="00C76B6B">
              <w:rPr>
                <w:lang w:val="fr-FR"/>
              </w:rPr>
              <w:t xml:space="preserve">mis au rebut </w:t>
            </w:r>
            <w:r w:rsidRPr="00B52FE3">
              <w:rPr>
                <w:lang w:val="fr-FR"/>
              </w:rPr>
              <w:t>sont recyclés après en avoir récupéré le mercure et les résidus sont éliminés dans des décharges générales à condition que leur concentration en mercure ne dépasse pas le seuil fixé.</w:t>
            </w:r>
          </w:p>
        </w:tc>
        <w:tc>
          <w:tcPr>
            <w:tcW w:w="4480" w:type="dxa"/>
          </w:tcPr>
          <w:p w:rsidR="001E1EB3" w:rsidRPr="00B52FE3" w:rsidRDefault="001E1EB3" w:rsidP="00892ADF">
            <w:pPr>
              <w:tabs>
                <w:tab w:val="left" w:pos="4082"/>
              </w:tabs>
              <w:spacing w:before="80" w:after="80"/>
              <w:rPr>
                <w:sz w:val="18"/>
                <w:szCs w:val="18"/>
                <w:lang w:val="fr-FR"/>
              </w:rPr>
            </w:pPr>
            <w:r w:rsidRPr="00B52FE3">
              <w:rPr>
                <w:lang w:val="fr-FR"/>
              </w:rPr>
              <w:t xml:space="preserve">Les déchets contenant plus de 0,005 mg/L de mercure total dans un test de lixiviation sont classés dangereux et éliminés dans des décharges pour déchets dangereux. </w:t>
            </w:r>
          </w:p>
        </w:tc>
        <w:tc>
          <w:tcPr>
            <w:tcW w:w="4450" w:type="dxa"/>
            <w:shd w:val="clear" w:color="auto" w:fill="auto"/>
          </w:tcPr>
          <w:p w:rsidR="002B1C41" w:rsidRPr="00B52FE3" w:rsidRDefault="001E1EB3" w:rsidP="00892ADF">
            <w:pPr>
              <w:tabs>
                <w:tab w:val="left" w:pos="4082"/>
              </w:tabs>
              <w:spacing w:before="80" w:after="80"/>
              <w:rPr>
                <w:sz w:val="18"/>
                <w:szCs w:val="18"/>
                <w:lang w:val="fr-FR"/>
              </w:rPr>
            </w:pPr>
            <w:r w:rsidRPr="00B52FE3">
              <w:rPr>
                <w:lang w:val="fr-FR"/>
              </w:rPr>
              <w:t>La République de Corée possède une loi sur le contrôle des déchets pour assurer leur gestion.</w:t>
            </w:r>
          </w:p>
        </w:tc>
      </w:tr>
      <w:tr w:rsidR="000F3A83" w:rsidRPr="00CF6596" w:rsidTr="008B74D2">
        <w:tc>
          <w:tcPr>
            <w:tcW w:w="1787" w:type="dxa"/>
            <w:shd w:val="clear" w:color="auto" w:fill="auto"/>
          </w:tcPr>
          <w:p w:rsidR="0015219A" w:rsidRPr="00B52FE3" w:rsidRDefault="0015219A" w:rsidP="004A667A">
            <w:pPr>
              <w:keepNext/>
              <w:keepLines/>
              <w:tabs>
                <w:tab w:val="left" w:pos="4082"/>
              </w:tabs>
              <w:spacing w:before="80" w:after="80"/>
              <w:rPr>
                <w:sz w:val="18"/>
                <w:szCs w:val="18"/>
                <w:lang w:val="fr-FR"/>
              </w:rPr>
            </w:pPr>
            <w:r w:rsidRPr="00B52FE3">
              <w:rPr>
                <w:lang w:val="fr-FR"/>
              </w:rPr>
              <w:t xml:space="preserve">Suisse – </w:t>
            </w:r>
            <w:r w:rsidRPr="00E344BB">
              <w:rPr>
                <w:i/>
                <w:lang w:val="fr-FR"/>
              </w:rPr>
              <w:t>informations communiquées en complément de celles fournies comme suite à la sixième session du Comité de négociation intergouvernemental et compilées dans le document UNEP(DTIE)/Hg/INC.7/19</w:t>
            </w:r>
          </w:p>
        </w:tc>
        <w:tc>
          <w:tcPr>
            <w:tcW w:w="4110" w:type="dxa"/>
            <w:shd w:val="clear" w:color="auto" w:fill="auto"/>
          </w:tcPr>
          <w:p w:rsidR="00B9321D" w:rsidRPr="00B52FE3" w:rsidRDefault="007E793D" w:rsidP="005D04E8">
            <w:pPr>
              <w:keepNext/>
              <w:keepLines/>
              <w:tabs>
                <w:tab w:val="left" w:pos="4082"/>
              </w:tabs>
              <w:spacing w:before="80" w:after="80"/>
              <w:rPr>
                <w:sz w:val="18"/>
                <w:szCs w:val="18"/>
                <w:lang w:val="fr-FR"/>
              </w:rPr>
            </w:pPr>
            <w:r w:rsidRPr="00B52FE3">
              <w:rPr>
                <w:lang w:val="fr-FR"/>
              </w:rPr>
              <w:t>Les seuils de concentration en mercure n</w:t>
            </w:r>
            <w:r w:rsidR="002D36D3">
              <w:rPr>
                <w:lang w:val="fr-FR"/>
              </w:rPr>
              <w:t>’</w:t>
            </w:r>
            <w:r w:rsidRPr="00B52FE3">
              <w:rPr>
                <w:lang w:val="fr-FR"/>
              </w:rPr>
              <w:t>ont pas encore été fixés par les nouvelles ordonnances visant à favoriser l</w:t>
            </w:r>
            <w:r w:rsidR="002D36D3">
              <w:rPr>
                <w:lang w:val="fr-FR"/>
              </w:rPr>
              <w:t>’</w:t>
            </w:r>
            <w:r w:rsidRPr="00B52FE3">
              <w:rPr>
                <w:lang w:val="fr-FR"/>
              </w:rPr>
              <w:t>application de la Convention de Minamata.</w:t>
            </w:r>
          </w:p>
          <w:p w:rsidR="0015219A" w:rsidRPr="00B52FE3" w:rsidRDefault="004A667A" w:rsidP="004A667A">
            <w:pPr>
              <w:keepNext/>
              <w:keepLines/>
              <w:tabs>
                <w:tab w:val="left" w:pos="4082"/>
              </w:tabs>
              <w:spacing w:before="80" w:after="80"/>
              <w:rPr>
                <w:sz w:val="18"/>
                <w:szCs w:val="18"/>
                <w:lang w:val="fr-FR"/>
              </w:rPr>
            </w:pPr>
            <w:r w:rsidRPr="00B52FE3">
              <w:rPr>
                <w:lang w:val="fr-FR"/>
              </w:rPr>
              <w:t>Cependant, l</w:t>
            </w:r>
            <w:r w:rsidR="002D36D3">
              <w:rPr>
                <w:lang w:val="fr-FR"/>
              </w:rPr>
              <w:t>’</w:t>
            </w:r>
            <w:r w:rsidRPr="00B52FE3">
              <w:rPr>
                <w:lang w:val="fr-FR"/>
              </w:rPr>
              <w:t>Ordonnance sur les déchets</w:t>
            </w:r>
            <w:r w:rsidR="007E793D" w:rsidRPr="00B52FE3">
              <w:rPr>
                <w:rStyle w:val="FootnoteReference"/>
                <w:sz w:val="18"/>
                <w:lang w:val="fr-FR"/>
              </w:rPr>
              <w:footnoteReference w:id="5"/>
            </w:r>
            <w:r w:rsidRPr="00B52FE3">
              <w:rPr>
                <w:lang w:val="fr-FR"/>
              </w:rPr>
              <w:t xml:space="preserve"> a fixé des seuils de concentration pour le mercure contenu dans les matériaux recyclés et les matières premières utilisées pour la fabrication de ciment et de béton, ainsi que pour les décharges.</w:t>
            </w:r>
          </w:p>
        </w:tc>
        <w:tc>
          <w:tcPr>
            <w:tcW w:w="4480" w:type="dxa"/>
          </w:tcPr>
          <w:p w:rsidR="0015219A" w:rsidRPr="00B52FE3" w:rsidRDefault="007E793D" w:rsidP="005D04E8">
            <w:pPr>
              <w:keepNext/>
              <w:keepLines/>
              <w:tabs>
                <w:tab w:val="clear" w:pos="1814"/>
                <w:tab w:val="clear" w:pos="2381"/>
                <w:tab w:val="clear" w:pos="2948"/>
                <w:tab w:val="clear" w:pos="3515"/>
                <w:tab w:val="left" w:pos="175"/>
                <w:tab w:val="left" w:pos="1871"/>
              </w:tabs>
              <w:spacing w:before="80" w:after="80"/>
              <w:rPr>
                <w:sz w:val="18"/>
                <w:szCs w:val="18"/>
                <w:lang w:val="fr-FR"/>
              </w:rPr>
            </w:pPr>
            <w:r w:rsidRPr="00B52FE3">
              <w:rPr>
                <w:lang w:val="fr-FR"/>
              </w:rPr>
              <w:t>L</w:t>
            </w:r>
            <w:r w:rsidR="002D36D3">
              <w:rPr>
                <w:lang w:val="fr-FR"/>
              </w:rPr>
              <w:t>’</w:t>
            </w:r>
            <w:r w:rsidRPr="00B52FE3">
              <w:rPr>
                <w:lang w:val="fr-FR"/>
              </w:rPr>
              <w:t>Ordonnance sur les déchets fixe les seuils de concentration en mercure suivants :</w:t>
            </w:r>
          </w:p>
          <w:p w:rsidR="00B9321D" w:rsidRPr="00B52FE3" w:rsidRDefault="00B9321D" w:rsidP="005D04E8">
            <w:pPr>
              <w:keepNext/>
              <w:keepLines/>
              <w:numPr>
                <w:ilvl w:val="0"/>
                <w:numId w:val="16"/>
              </w:numPr>
              <w:tabs>
                <w:tab w:val="left" w:pos="374"/>
                <w:tab w:val="left" w:pos="4082"/>
              </w:tabs>
              <w:spacing w:before="80" w:after="80"/>
              <w:ind w:left="374" w:hanging="374"/>
              <w:rPr>
                <w:sz w:val="18"/>
                <w:szCs w:val="18"/>
                <w:lang w:val="fr-FR"/>
              </w:rPr>
            </w:pPr>
            <w:r w:rsidRPr="00B52FE3">
              <w:rPr>
                <w:lang w:val="fr-FR"/>
              </w:rPr>
              <w:t>0,5 mg/kg de matière sèche pour les matériaux de démolition et d</w:t>
            </w:r>
            <w:r w:rsidR="002D36D3">
              <w:rPr>
                <w:lang w:val="fr-FR"/>
              </w:rPr>
              <w:t>’</w:t>
            </w:r>
            <w:r w:rsidRPr="00B52FE3">
              <w:rPr>
                <w:lang w:val="fr-FR"/>
              </w:rPr>
              <w:t>excavation (non pollués)</w:t>
            </w:r>
          </w:p>
          <w:p w:rsidR="00B9321D" w:rsidRPr="00B52FE3" w:rsidRDefault="00B9321D" w:rsidP="005D04E8">
            <w:pPr>
              <w:keepNext/>
              <w:keepLines/>
              <w:numPr>
                <w:ilvl w:val="0"/>
                <w:numId w:val="16"/>
              </w:numPr>
              <w:tabs>
                <w:tab w:val="left" w:pos="374"/>
                <w:tab w:val="left" w:pos="4082"/>
              </w:tabs>
              <w:spacing w:before="80" w:after="80"/>
              <w:ind w:left="374" w:hanging="374"/>
              <w:rPr>
                <w:sz w:val="18"/>
                <w:szCs w:val="18"/>
                <w:lang w:val="fr-FR"/>
              </w:rPr>
            </w:pPr>
            <w:r w:rsidRPr="00B52FE3">
              <w:rPr>
                <w:lang w:val="fr-FR"/>
              </w:rPr>
              <w:t>1 mg/kg de matière sèche pour les matériaux de démolition et d</w:t>
            </w:r>
            <w:r w:rsidR="002D36D3">
              <w:rPr>
                <w:lang w:val="fr-FR"/>
              </w:rPr>
              <w:t>’</w:t>
            </w:r>
            <w:r w:rsidRPr="00B52FE3">
              <w:rPr>
                <w:lang w:val="fr-FR"/>
              </w:rPr>
              <w:t>excavation (destinés à une utilisation ultérieure dans des matériaux de construction)</w:t>
            </w:r>
          </w:p>
          <w:p w:rsidR="00B9321D" w:rsidRPr="00B52FE3" w:rsidRDefault="00B9321D" w:rsidP="005D04E8">
            <w:pPr>
              <w:keepNext/>
              <w:keepLines/>
              <w:numPr>
                <w:ilvl w:val="0"/>
                <w:numId w:val="16"/>
              </w:numPr>
              <w:tabs>
                <w:tab w:val="left" w:pos="374"/>
                <w:tab w:val="left" w:pos="4082"/>
              </w:tabs>
              <w:spacing w:before="80" w:after="80"/>
              <w:ind w:left="374" w:hanging="374"/>
              <w:rPr>
                <w:sz w:val="18"/>
                <w:szCs w:val="18"/>
                <w:lang w:val="fr-FR"/>
              </w:rPr>
            </w:pPr>
            <w:r w:rsidRPr="00B52FE3">
              <w:rPr>
                <w:lang w:val="fr-FR"/>
              </w:rPr>
              <w:t>1 mg/kg de matière sèche pour les déchets utilisés comme matières premières dans la fabrication de ciment et de béton (utilisation des déchets comme matières premières, agents de correction du cru et combustibles secondaires dans la fabrication de clinker de ciment)</w:t>
            </w:r>
          </w:p>
          <w:p w:rsidR="00B9321D" w:rsidRPr="00B52FE3" w:rsidRDefault="00B9321D" w:rsidP="005D04E8">
            <w:pPr>
              <w:keepNext/>
              <w:keepLines/>
              <w:numPr>
                <w:ilvl w:val="0"/>
                <w:numId w:val="16"/>
              </w:numPr>
              <w:tabs>
                <w:tab w:val="left" w:pos="374"/>
                <w:tab w:val="left" w:pos="4082"/>
              </w:tabs>
              <w:spacing w:before="80" w:after="80"/>
              <w:ind w:left="374" w:hanging="374"/>
              <w:rPr>
                <w:sz w:val="18"/>
                <w:szCs w:val="18"/>
                <w:lang w:val="fr-FR"/>
              </w:rPr>
            </w:pPr>
            <w:r w:rsidRPr="00B52FE3">
              <w:rPr>
                <w:lang w:val="fr-FR"/>
              </w:rPr>
              <w:t xml:space="preserve">2 mg/kg de matière sèche pour les déchets éliminés dans des décharges de type B (déchets inertes) </w:t>
            </w:r>
          </w:p>
          <w:p w:rsidR="00B9321D" w:rsidRPr="00B52FE3" w:rsidRDefault="00B9321D" w:rsidP="005D04E8">
            <w:pPr>
              <w:keepNext/>
              <w:keepLines/>
              <w:numPr>
                <w:ilvl w:val="0"/>
                <w:numId w:val="16"/>
              </w:numPr>
              <w:tabs>
                <w:tab w:val="left" w:pos="374"/>
                <w:tab w:val="left" w:pos="4082"/>
              </w:tabs>
              <w:spacing w:before="80" w:after="80"/>
              <w:ind w:left="374" w:hanging="374"/>
              <w:rPr>
                <w:sz w:val="18"/>
                <w:szCs w:val="18"/>
                <w:lang w:val="fr-FR"/>
              </w:rPr>
            </w:pPr>
            <w:r w:rsidRPr="00B52FE3">
              <w:rPr>
                <w:lang w:val="fr-FR"/>
              </w:rPr>
              <w:t>0,01 mg/L de matière sèche (lixiviation) pour les déchets éliminés dans des décharges de type C (cendres volantes solidifiées résultant de l</w:t>
            </w:r>
            <w:r w:rsidR="002D36D3">
              <w:rPr>
                <w:lang w:val="fr-FR"/>
              </w:rPr>
              <w:t>’</w:t>
            </w:r>
            <w:r w:rsidRPr="00B52FE3">
              <w:rPr>
                <w:lang w:val="fr-FR"/>
              </w:rPr>
              <w:t xml:space="preserve">incinération de déchets solides urbains) La teneur totale en mercure ne doit pas dépasser 5 mg/kg de matière sèche pour les déchets métallifères, inorganiques et difficilement solubles. </w:t>
            </w:r>
          </w:p>
          <w:p w:rsidR="008711BF" w:rsidRPr="00B52FE3" w:rsidRDefault="00B9321D" w:rsidP="00EC0F68">
            <w:pPr>
              <w:keepNext/>
              <w:keepLines/>
              <w:numPr>
                <w:ilvl w:val="0"/>
                <w:numId w:val="16"/>
              </w:numPr>
              <w:tabs>
                <w:tab w:val="left" w:pos="374"/>
                <w:tab w:val="left" w:pos="4082"/>
              </w:tabs>
              <w:spacing w:before="80" w:after="80"/>
              <w:ind w:left="374" w:hanging="374"/>
              <w:rPr>
                <w:sz w:val="18"/>
                <w:szCs w:val="18"/>
                <w:lang w:val="fr-FR"/>
              </w:rPr>
            </w:pPr>
            <w:r w:rsidRPr="00B52FE3">
              <w:rPr>
                <w:lang w:val="fr-FR"/>
              </w:rPr>
              <w:t>5 mg/kg de matière sèche pour les déchets éliminés dans des décharges de type D (scories résultant de l</w:t>
            </w:r>
            <w:r w:rsidR="002D36D3">
              <w:rPr>
                <w:lang w:val="fr-FR"/>
              </w:rPr>
              <w:t>’</w:t>
            </w:r>
            <w:r w:rsidRPr="00B52FE3">
              <w:rPr>
                <w:lang w:val="fr-FR"/>
              </w:rPr>
              <w:t xml:space="preserve">incinération de déchets solides urbains) et de type E (autres déchets, légèrement réactifs) </w:t>
            </w:r>
          </w:p>
        </w:tc>
        <w:tc>
          <w:tcPr>
            <w:tcW w:w="4450" w:type="dxa"/>
            <w:shd w:val="clear" w:color="auto" w:fill="auto"/>
          </w:tcPr>
          <w:p w:rsidR="0015219A" w:rsidRPr="00B52FE3" w:rsidRDefault="0015219A" w:rsidP="005D04E8">
            <w:pPr>
              <w:keepNext/>
              <w:keepLines/>
              <w:tabs>
                <w:tab w:val="left" w:pos="4082"/>
              </w:tabs>
              <w:spacing w:before="80" w:after="80"/>
              <w:rPr>
                <w:sz w:val="18"/>
                <w:szCs w:val="18"/>
                <w:lang w:val="fr-FR"/>
              </w:rPr>
            </w:pPr>
          </w:p>
        </w:tc>
      </w:tr>
      <w:tr w:rsidR="000F3A83" w:rsidRPr="00CF6596" w:rsidTr="008B74D2">
        <w:tc>
          <w:tcPr>
            <w:tcW w:w="1787" w:type="dxa"/>
            <w:shd w:val="clear" w:color="auto" w:fill="auto"/>
          </w:tcPr>
          <w:p w:rsidR="0015219A" w:rsidRPr="00B52FE3" w:rsidRDefault="000F3A83" w:rsidP="00892ADF">
            <w:pPr>
              <w:tabs>
                <w:tab w:val="left" w:pos="4082"/>
              </w:tabs>
              <w:spacing w:before="80" w:after="80"/>
              <w:rPr>
                <w:sz w:val="18"/>
                <w:szCs w:val="18"/>
                <w:lang w:val="fr-FR"/>
              </w:rPr>
            </w:pPr>
            <w:r w:rsidRPr="00B52FE3">
              <w:rPr>
                <w:lang w:val="fr-FR"/>
              </w:rPr>
              <w:t>Thaïlande</w:t>
            </w:r>
          </w:p>
        </w:tc>
        <w:tc>
          <w:tcPr>
            <w:tcW w:w="4110" w:type="dxa"/>
            <w:shd w:val="clear" w:color="auto" w:fill="auto"/>
          </w:tcPr>
          <w:p w:rsidR="0015219A" w:rsidRPr="00B52FE3" w:rsidRDefault="002F3966" w:rsidP="00771FC0">
            <w:pPr>
              <w:tabs>
                <w:tab w:val="left" w:pos="4082"/>
              </w:tabs>
              <w:spacing w:before="80" w:after="80"/>
              <w:rPr>
                <w:sz w:val="18"/>
                <w:szCs w:val="18"/>
                <w:lang w:val="fr-FR"/>
              </w:rPr>
            </w:pPr>
            <w:r w:rsidRPr="00B52FE3">
              <w:rPr>
                <w:lang w:val="fr-FR"/>
              </w:rPr>
              <w:t xml:space="preserve">Les seuils de concentration en mercure servent à déterminer </w:t>
            </w:r>
            <w:r w:rsidR="00771FC0">
              <w:rPr>
                <w:lang w:val="fr-FR"/>
              </w:rPr>
              <w:t>si l</w:t>
            </w:r>
            <w:r w:rsidRPr="00B52FE3">
              <w:rPr>
                <w:lang w:val="fr-FR"/>
              </w:rPr>
              <w:t>es déchets</w:t>
            </w:r>
            <w:r w:rsidR="00771FC0">
              <w:rPr>
                <w:lang w:val="fr-FR"/>
              </w:rPr>
              <w:t xml:space="preserve"> concernés sont dangereux</w:t>
            </w:r>
            <w:r w:rsidRPr="00B52FE3">
              <w:rPr>
                <w:lang w:val="fr-FR"/>
              </w:rPr>
              <w:t>.</w:t>
            </w:r>
          </w:p>
        </w:tc>
        <w:tc>
          <w:tcPr>
            <w:tcW w:w="4480" w:type="dxa"/>
          </w:tcPr>
          <w:p w:rsidR="00D25486" w:rsidRPr="00B52FE3" w:rsidRDefault="000F3A83" w:rsidP="00892ADF">
            <w:pPr>
              <w:tabs>
                <w:tab w:val="left" w:pos="4082"/>
              </w:tabs>
              <w:spacing w:before="80" w:after="80"/>
              <w:rPr>
                <w:sz w:val="18"/>
                <w:szCs w:val="18"/>
                <w:lang w:val="fr-FR"/>
              </w:rPr>
            </w:pPr>
            <w:r w:rsidRPr="00B52FE3">
              <w:rPr>
                <w:lang w:val="fr-FR"/>
              </w:rPr>
              <w:t>Le seuil de concentration total est fixé à 20 mg/kg.</w:t>
            </w:r>
          </w:p>
          <w:p w:rsidR="00D25486" w:rsidRPr="00B52FE3" w:rsidRDefault="00D25486" w:rsidP="00892ADF">
            <w:pPr>
              <w:tabs>
                <w:tab w:val="left" w:pos="4082"/>
              </w:tabs>
              <w:spacing w:before="80" w:after="80"/>
              <w:rPr>
                <w:sz w:val="18"/>
                <w:szCs w:val="18"/>
                <w:lang w:val="fr-FR"/>
              </w:rPr>
            </w:pPr>
            <w:r w:rsidRPr="00B52FE3">
              <w:rPr>
                <w:lang w:val="fr-FR"/>
              </w:rPr>
              <w:t xml:space="preserve">Le seuil de concentration soluble est fixé à 0,2 mg/L. </w:t>
            </w:r>
          </w:p>
          <w:p w:rsidR="0015219A" w:rsidRPr="00B52FE3" w:rsidRDefault="002F3966" w:rsidP="00683158">
            <w:pPr>
              <w:tabs>
                <w:tab w:val="left" w:pos="4082"/>
              </w:tabs>
              <w:spacing w:before="80" w:after="80"/>
              <w:rPr>
                <w:sz w:val="18"/>
                <w:szCs w:val="18"/>
                <w:lang w:val="fr-FR"/>
              </w:rPr>
            </w:pPr>
            <w:r w:rsidRPr="00B52FE3">
              <w:rPr>
                <w:lang w:val="fr-FR"/>
              </w:rPr>
              <w:t>Un test d</w:t>
            </w:r>
            <w:r w:rsidR="002D36D3">
              <w:rPr>
                <w:lang w:val="fr-FR"/>
              </w:rPr>
              <w:t>’</w:t>
            </w:r>
            <w:r w:rsidRPr="00B52FE3">
              <w:rPr>
                <w:lang w:val="fr-FR"/>
              </w:rPr>
              <w:t xml:space="preserve">extraction des déchets est utilisé lorsque la concentration totale en mercure ne dépasse pas le seuil de concentration total mais est égale ou supérieure au seuil de concentration soluble ou si les déchets sont éliminés dans une décharge sécurisée. </w:t>
            </w:r>
          </w:p>
        </w:tc>
        <w:tc>
          <w:tcPr>
            <w:tcW w:w="4450" w:type="dxa"/>
            <w:shd w:val="clear" w:color="auto" w:fill="auto"/>
          </w:tcPr>
          <w:p w:rsidR="0015219A" w:rsidRPr="00B52FE3" w:rsidRDefault="00D25486" w:rsidP="00771FC0">
            <w:pPr>
              <w:tabs>
                <w:tab w:val="left" w:pos="4082"/>
              </w:tabs>
              <w:spacing w:before="80" w:after="80"/>
              <w:rPr>
                <w:sz w:val="18"/>
                <w:szCs w:val="18"/>
                <w:lang w:val="fr-FR"/>
              </w:rPr>
            </w:pPr>
            <w:r w:rsidRPr="00B52FE3">
              <w:rPr>
                <w:lang w:val="fr-FR"/>
              </w:rPr>
              <w:t xml:space="preserve">Les déchets </w:t>
            </w:r>
            <w:r w:rsidR="00B52FE3" w:rsidRPr="00B52FE3">
              <w:rPr>
                <w:lang w:val="fr-FR"/>
              </w:rPr>
              <w:t>industriels</w:t>
            </w:r>
            <w:r w:rsidRPr="00B52FE3">
              <w:rPr>
                <w:lang w:val="fr-FR"/>
              </w:rPr>
              <w:t xml:space="preserve"> contaminés par du mercure ou des composés du mercure qui dépassent le seuil standard ou qui sont classés dangereux doivent faire l</w:t>
            </w:r>
            <w:r w:rsidR="002D36D3">
              <w:rPr>
                <w:lang w:val="fr-FR"/>
              </w:rPr>
              <w:t>’</w:t>
            </w:r>
            <w:r w:rsidRPr="00B52FE3">
              <w:rPr>
                <w:lang w:val="fr-FR"/>
              </w:rPr>
              <w:t>objet d</w:t>
            </w:r>
            <w:r w:rsidR="002D36D3">
              <w:rPr>
                <w:lang w:val="fr-FR"/>
              </w:rPr>
              <w:t>’</w:t>
            </w:r>
            <w:r w:rsidRPr="00B52FE3">
              <w:rPr>
                <w:lang w:val="fr-FR"/>
              </w:rPr>
              <w:t>une gestion appropriée par un</w:t>
            </w:r>
            <w:r w:rsidR="00771FC0">
              <w:rPr>
                <w:lang w:val="fr-FR"/>
              </w:rPr>
              <w:t>e entreprise agréée de traitement</w:t>
            </w:r>
            <w:r w:rsidRPr="00B52FE3">
              <w:rPr>
                <w:lang w:val="fr-FR"/>
              </w:rPr>
              <w:t xml:space="preserve"> de</w:t>
            </w:r>
            <w:r w:rsidR="00771FC0">
              <w:rPr>
                <w:lang w:val="fr-FR"/>
              </w:rPr>
              <w:t>s</w:t>
            </w:r>
            <w:r w:rsidRPr="00B52FE3">
              <w:rPr>
                <w:lang w:val="fr-FR"/>
              </w:rPr>
              <w:t xml:space="preserve"> déchets en vue de leur élimination ou de leur recyclage. Les déchets qui ne peuvent pas être </w:t>
            </w:r>
            <w:r w:rsidR="00B52FE3" w:rsidRPr="00B52FE3">
              <w:rPr>
                <w:lang w:val="fr-FR"/>
              </w:rPr>
              <w:t>traités</w:t>
            </w:r>
            <w:r w:rsidRPr="00B52FE3">
              <w:rPr>
                <w:lang w:val="fr-FR"/>
              </w:rPr>
              <w:t xml:space="preserve"> en Thaïlande, tels que les déchets pétroliers, sont exportés vers d</w:t>
            </w:r>
            <w:r w:rsidR="002D36D3">
              <w:rPr>
                <w:lang w:val="fr-FR"/>
              </w:rPr>
              <w:t>’</w:t>
            </w:r>
            <w:r w:rsidRPr="00B52FE3">
              <w:rPr>
                <w:lang w:val="fr-FR"/>
              </w:rPr>
              <w:t xml:space="preserve">autres pays conformément aux dispositions de la Convention de Bâle sur le contrôle des mouvements transfrontières de déchets dangereux et de leur élimination. </w:t>
            </w:r>
          </w:p>
        </w:tc>
      </w:tr>
    </w:tbl>
    <w:p w:rsidR="003F32EA" w:rsidRPr="00B52FE3" w:rsidRDefault="003F32EA" w:rsidP="00885EE4">
      <w:pPr>
        <w:pStyle w:val="Normal-pool"/>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8"/>
        <w:gridCol w:w="2929"/>
        <w:gridCol w:w="2929"/>
        <w:gridCol w:w="2929"/>
        <w:gridCol w:w="2929"/>
      </w:tblGrid>
      <w:tr w:rsidR="00885EE4" w:rsidRPr="00CF6596" w:rsidTr="00885EE4">
        <w:tc>
          <w:tcPr>
            <w:tcW w:w="2928" w:type="dxa"/>
          </w:tcPr>
          <w:p w:rsidR="00885EE4" w:rsidRPr="00B52FE3" w:rsidRDefault="00885EE4" w:rsidP="00885EE4">
            <w:pPr>
              <w:pStyle w:val="Normal-pool"/>
              <w:spacing w:before="520"/>
              <w:rPr>
                <w:lang w:val="fr-FR"/>
              </w:rPr>
            </w:pPr>
          </w:p>
        </w:tc>
        <w:tc>
          <w:tcPr>
            <w:tcW w:w="2929" w:type="dxa"/>
          </w:tcPr>
          <w:p w:rsidR="00885EE4" w:rsidRPr="00B52FE3" w:rsidRDefault="00885EE4" w:rsidP="00885EE4">
            <w:pPr>
              <w:pStyle w:val="Normal-pool"/>
              <w:spacing w:before="520"/>
              <w:rPr>
                <w:lang w:val="fr-FR"/>
              </w:rPr>
            </w:pPr>
          </w:p>
        </w:tc>
        <w:tc>
          <w:tcPr>
            <w:tcW w:w="2929" w:type="dxa"/>
            <w:tcBorders>
              <w:bottom w:val="single" w:sz="4" w:space="0" w:color="auto"/>
            </w:tcBorders>
          </w:tcPr>
          <w:p w:rsidR="00885EE4" w:rsidRPr="00B52FE3" w:rsidRDefault="00885EE4" w:rsidP="00885EE4">
            <w:pPr>
              <w:pStyle w:val="Normal-pool"/>
              <w:spacing w:before="520"/>
              <w:rPr>
                <w:lang w:val="fr-FR"/>
              </w:rPr>
            </w:pPr>
          </w:p>
        </w:tc>
        <w:tc>
          <w:tcPr>
            <w:tcW w:w="2929" w:type="dxa"/>
          </w:tcPr>
          <w:p w:rsidR="00885EE4" w:rsidRPr="00B52FE3" w:rsidRDefault="00885EE4" w:rsidP="00885EE4">
            <w:pPr>
              <w:pStyle w:val="Normal-pool"/>
              <w:spacing w:before="520"/>
              <w:rPr>
                <w:lang w:val="fr-FR"/>
              </w:rPr>
            </w:pPr>
          </w:p>
        </w:tc>
        <w:tc>
          <w:tcPr>
            <w:tcW w:w="2929" w:type="dxa"/>
          </w:tcPr>
          <w:p w:rsidR="00885EE4" w:rsidRPr="00B52FE3" w:rsidRDefault="00885EE4" w:rsidP="00885EE4">
            <w:pPr>
              <w:pStyle w:val="Normal-pool"/>
              <w:spacing w:before="520"/>
              <w:rPr>
                <w:lang w:val="fr-FR"/>
              </w:rPr>
            </w:pPr>
          </w:p>
        </w:tc>
      </w:tr>
    </w:tbl>
    <w:p w:rsidR="00885EE4" w:rsidRPr="00B52FE3" w:rsidRDefault="00885EE4" w:rsidP="005D04E8">
      <w:pPr>
        <w:pStyle w:val="Normal-pool"/>
        <w:rPr>
          <w:lang w:val="fr-FR"/>
        </w:rPr>
      </w:pPr>
    </w:p>
    <w:sectPr w:rsidR="00885EE4" w:rsidRPr="00B52FE3" w:rsidSect="00EC0F68">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C0" w:rsidRDefault="00C219C0">
      <w:r>
        <w:separator/>
      </w:r>
    </w:p>
  </w:endnote>
  <w:endnote w:type="continuationSeparator" w:id="0">
    <w:p w:rsidR="00C219C0" w:rsidRDefault="00C2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7A" w:rsidRDefault="004A667A">
    <w:pPr>
      <w:pStyle w:val="Footer"/>
    </w:pPr>
    <w:r>
      <w:rPr>
        <w:rStyle w:val="PageNumber"/>
      </w:rPr>
      <w:fldChar w:fldCharType="begin"/>
    </w:r>
    <w:r>
      <w:rPr>
        <w:rStyle w:val="PageNumber"/>
      </w:rPr>
      <w:instrText xml:space="preserve"> PAGE </w:instrText>
    </w:r>
    <w:r>
      <w:rPr>
        <w:rStyle w:val="PageNumber"/>
      </w:rPr>
      <w:fldChar w:fldCharType="separate"/>
    </w:r>
    <w:r w:rsidR="002F0D6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7A" w:rsidRDefault="004A667A"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7A" w:rsidRDefault="00E344BB" w:rsidP="00C510F4">
    <w:pPr>
      <w:pStyle w:val="Normal-pool"/>
    </w:pPr>
    <w:r>
      <w:rPr>
        <w:lang w:val="fr-FR"/>
      </w:rPr>
      <w:t>K1704223</w:t>
    </w:r>
    <w:r w:rsidR="004A667A">
      <w:rPr>
        <w:lang w:val="fr-FR"/>
      </w:rPr>
      <w:tab/>
    </w:r>
    <w:r>
      <w:rPr>
        <w:lang w:val="fr-FR"/>
      </w:rPr>
      <w:t>xx06</w:t>
    </w:r>
    <w:r w:rsidR="004A667A">
      <w:rPr>
        <w:lang w:val="fr-FR"/>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7A" w:rsidRDefault="004A667A" w:rsidP="00EF11DA">
    <w:pPr>
      <w:pStyle w:val="Normal-pool"/>
    </w:pPr>
    <w:r>
      <w:rPr>
        <w:rStyle w:val="PageNumber"/>
      </w:rPr>
      <w:fldChar w:fldCharType="begin"/>
    </w:r>
    <w:r>
      <w:rPr>
        <w:rStyle w:val="PageNumber"/>
      </w:rPr>
      <w:instrText xml:space="preserve"> PAGE </w:instrText>
    </w:r>
    <w:r>
      <w:rPr>
        <w:rStyle w:val="PageNumber"/>
      </w:rPr>
      <w:fldChar w:fldCharType="separate"/>
    </w:r>
    <w:r w:rsidR="00221A26">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7A" w:rsidRDefault="004A667A" w:rsidP="00EF11DA">
    <w:pPr>
      <w:pStyle w:val="Normal-pool"/>
      <w:jc w:val="right"/>
    </w:pPr>
    <w:r>
      <w:rPr>
        <w:rStyle w:val="PageNumber"/>
      </w:rPr>
      <w:fldChar w:fldCharType="begin"/>
    </w:r>
    <w:r>
      <w:rPr>
        <w:rStyle w:val="PageNumber"/>
      </w:rPr>
      <w:instrText xml:space="preserve"> PAGE </w:instrText>
    </w:r>
    <w:r>
      <w:rPr>
        <w:rStyle w:val="PageNumber"/>
      </w:rPr>
      <w:fldChar w:fldCharType="separate"/>
    </w:r>
    <w:r w:rsidR="002F0D6F">
      <w:rPr>
        <w:rStyle w:val="PageNumber"/>
        <w:noProof/>
      </w:rPr>
      <w:t>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2030090927"/>
      <w:docPartObj>
        <w:docPartGallery w:val="Page Numbers (Bottom of Page)"/>
        <w:docPartUnique/>
      </w:docPartObj>
    </w:sdtPr>
    <w:sdtEndPr>
      <w:rPr>
        <w:noProof/>
      </w:rPr>
    </w:sdtEndPr>
    <w:sdtContent>
      <w:p w:rsidR="004A667A" w:rsidRPr="00EF11DA" w:rsidRDefault="004A667A" w:rsidP="00EF11DA">
        <w:pPr>
          <w:pStyle w:val="Normal-pool"/>
          <w:jc w:val="right"/>
          <w:rPr>
            <w:b/>
            <w:sz w:val="18"/>
            <w:szCs w:val="18"/>
          </w:rPr>
        </w:pPr>
        <w:r w:rsidRPr="00EF11DA">
          <w:rPr>
            <w:b/>
            <w:sz w:val="18"/>
            <w:szCs w:val="18"/>
          </w:rPr>
          <w:fldChar w:fldCharType="begin"/>
        </w:r>
        <w:r w:rsidRPr="00EF11DA">
          <w:rPr>
            <w:b/>
            <w:sz w:val="18"/>
            <w:szCs w:val="18"/>
          </w:rPr>
          <w:instrText xml:space="preserve"> PAGE   \* MERGEFORMAT </w:instrText>
        </w:r>
        <w:r w:rsidRPr="00EF11DA">
          <w:rPr>
            <w:b/>
            <w:sz w:val="18"/>
            <w:szCs w:val="18"/>
          </w:rPr>
          <w:fldChar w:fldCharType="separate"/>
        </w:r>
        <w:r w:rsidR="00221A26">
          <w:rPr>
            <w:b/>
            <w:noProof/>
            <w:sz w:val="18"/>
            <w:szCs w:val="18"/>
          </w:rPr>
          <w:t>3</w:t>
        </w:r>
        <w:r w:rsidRPr="00EF11DA">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C0" w:rsidRPr="00EC0F68" w:rsidRDefault="00C219C0" w:rsidP="00EC0F68">
      <w:pPr>
        <w:tabs>
          <w:tab w:val="clear" w:pos="1247"/>
          <w:tab w:val="clear" w:pos="1814"/>
          <w:tab w:val="clear" w:pos="2381"/>
          <w:tab w:val="clear" w:pos="2948"/>
          <w:tab w:val="clear" w:pos="3515"/>
          <w:tab w:val="left" w:pos="624"/>
        </w:tabs>
        <w:spacing w:before="60"/>
        <w:ind w:left="624"/>
        <w:rPr>
          <w:sz w:val="18"/>
          <w:szCs w:val="18"/>
        </w:rPr>
      </w:pPr>
      <w:r w:rsidRPr="00EC0F68">
        <w:rPr>
          <w:sz w:val="18"/>
          <w:szCs w:val="18"/>
        </w:rPr>
        <w:separator/>
      </w:r>
    </w:p>
  </w:footnote>
  <w:footnote w:type="continuationSeparator" w:id="0">
    <w:p w:rsidR="00C219C0" w:rsidRDefault="00C219C0">
      <w:r>
        <w:continuationSeparator/>
      </w:r>
    </w:p>
  </w:footnote>
  <w:footnote w:id="1">
    <w:p w:rsidR="004A667A" w:rsidRPr="000F74D7" w:rsidRDefault="004A667A" w:rsidP="00EF11DA">
      <w:pPr>
        <w:tabs>
          <w:tab w:val="left" w:pos="624"/>
        </w:tabs>
        <w:spacing w:before="20" w:after="40"/>
        <w:ind w:left="1247"/>
        <w:rPr>
          <w:sz w:val="18"/>
          <w:szCs w:val="18"/>
          <w:lang w:val="fr-FR"/>
        </w:rPr>
      </w:pPr>
      <w:r>
        <w:rPr>
          <w:lang w:val="fr-FR"/>
        </w:rPr>
        <w:t>* UNEP/MC/COP.1/3.</w:t>
      </w:r>
    </w:p>
  </w:footnote>
  <w:footnote w:id="2">
    <w:p w:rsidR="004A667A" w:rsidRPr="00EC0F68" w:rsidRDefault="004A667A" w:rsidP="00EC0F68">
      <w:pPr>
        <w:pStyle w:val="FootnoteText"/>
        <w:tabs>
          <w:tab w:val="left" w:pos="624"/>
        </w:tabs>
        <w:rPr>
          <w:szCs w:val="18"/>
        </w:rPr>
      </w:pPr>
      <w:r w:rsidRPr="00EC0F68">
        <w:rPr>
          <w:rStyle w:val="FootnoteReference"/>
          <w:sz w:val="18"/>
        </w:rPr>
        <w:footnoteRef/>
      </w:r>
      <w:r>
        <w:t xml:space="preserve"> La compilation des informations sur l</w:t>
      </w:r>
      <w:r w:rsidR="002D36D3">
        <w:t>’</w:t>
      </w:r>
      <w:r>
        <w:t>utilisation des seuils relatifs aux déchets de mercure (UNEP(</w:t>
      </w:r>
      <w:proofErr w:type="spellStart"/>
      <w:r>
        <w:t>DTIE</w:t>
      </w:r>
      <w:proofErr w:type="spellEnd"/>
      <w:r>
        <w:t xml:space="preserve">)/Hg/INC.7/19) est </w:t>
      </w:r>
      <w:r w:rsidR="00E344BB">
        <w:t>disponible à l’adresse</w:t>
      </w:r>
      <w:r>
        <w:t xml:space="preserve"> www.mercuryconvention.org/Negotiations/INC7.</w:t>
      </w:r>
    </w:p>
  </w:footnote>
  <w:footnote w:id="3">
    <w:p w:rsidR="004A667A" w:rsidRPr="00EC0F68" w:rsidRDefault="004A667A">
      <w:pPr>
        <w:pStyle w:val="FootnoteText"/>
        <w:rPr>
          <w:szCs w:val="18"/>
        </w:rPr>
      </w:pPr>
      <w:r w:rsidRPr="00EC0F68">
        <w:rPr>
          <w:rStyle w:val="FootnoteReference"/>
        </w:rPr>
        <w:footnoteRef/>
      </w:r>
      <w:r>
        <w:t xml:space="preserve"> http://mercuryconvention.org/Negotiations/submissionsforCOP1/tabid/5535/Default.aspx.</w:t>
      </w:r>
    </w:p>
  </w:footnote>
  <w:footnote w:id="4">
    <w:p w:rsidR="004A667A" w:rsidRPr="00EC0F68" w:rsidRDefault="004A667A" w:rsidP="00EC0F68">
      <w:pPr>
        <w:pStyle w:val="FootnoteText"/>
        <w:tabs>
          <w:tab w:val="left" w:pos="624"/>
        </w:tabs>
        <w:rPr>
          <w:szCs w:val="18"/>
        </w:rPr>
      </w:pPr>
      <w:r w:rsidRPr="00EC0F68">
        <w:rPr>
          <w:rStyle w:val="FootnoteReference"/>
          <w:sz w:val="18"/>
        </w:rPr>
        <w:footnoteRef/>
      </w:r>
      <w:r>
        <w:t xml:space="preserve"> http://www.mapama.gob.es/es/costas/temas/proteccion-medio-marino/directrices2015_tcm7-325119.pdf (consulté le 19 avril 2017).</w:t>
      </w:r>
    </w:p>
  </w:footnote>
  <w:footnote w:id="5">
    <w:p w:rsidR="004A667A" w:rsidRPr="00EC0F68" w:rsidRDefault="004A667A" w:rsidP="00EC0F68">
      <w:pPr>
        <w:pStyle w:val="FootnoteText"/>
        <w:tabs>
          <w:tab w:val="left" w:pos="624"/>
        </w:tabs>
        <w:rPr>
          <w:szCs w:val="18"/>
        </w:rPr>
      </w:pPr>
      <w:r w:rsidRPr="00EC0F68">
        <w:rPr>
          <w:rStyle w:val="FootnoteReference"/>
          <w:sz w:val="18"/>
        </w:rPr>
        <w:footnoteRef/>
      </w:r>
      <w:r>
        <w:t xml:space="preserve"> https://www.admin.ch/opc/de/classified-compilation/20141858/index.html (consulté le 19 avril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7A" w:rsidRPr="00592326" w:rsidRDefault="004A667A" w:rsidP="00592326">
    <w:pPr>
      <w:pStyle w:val="Header"/>
      <w:rPr>
        <w:szCs w:val="18"/>
        <w:lang w:val="fr-CH"/>
      </w:rPr>
    </w:pPr>
    <w:r w:rsidRPr="00592326">
      <w:rPr>
        <w:bCs/>
        <w:szCs w:val="18"/>
        <w:lang w:val="fr-CH"/>
      </w:rPr>
      <w:t>UNEP</w:t>
    </w:r>
    <w:r w:rsidRPr="00592326">
      <w:rPr>
        <w:szCs w:val="18"/>
        <w:lang w:val="fr-CH"/>
      </w:rPr>
      <w:t>/MC/COP.1/</w:t>
    </w:r>
    <w:r>
      <w:rPr>
        <w:szCs w:val="18"/>
        <w:lang w:val="fr-CH"/>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7A" w:rsidRPr="00CA5CA9" w:rsidRDefault="00221A26" w:rsidP="00F43DA1">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12124" o:spid="_x0000_s2051"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4A667A" w:rsidRPr="00CA5CA9">
      <w:rPr>
        <w:bCs/>
        <w:szCs w:val="18"/>
      </w:rPr>
      <w:t>UNEP</w:t>
    </w:r>
    <w:r w:rsidR="004A667A">
      <w:rPr>
        <w:szCs w:val="18"/>
      </w:rPr>
      <w:t>(DTIE)/Hg/INC.7</w:t>
    </w:r>
    <w:r w:rsidR="004A667A" w:rsidRPr="00CA5CA9">
      <w:rPr>
        <w:szCs w:val="18"/>
      </w:rPr>
      <w:t>/</w:t>
    </w:r>
    <w:r w:rsidR="004A667A">
      <w:rPr>
        <w:szCs w:val="18"/>
      </w:rPr>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7A" w:rsidRPr="00202268" w:rsidRDefault="004A667A" w:rsidP="00F43DA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7A" w:rsidRPr="00CA5CA9" w:rsidRDefault="004A667A"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7A" w:rsidRPr="00592326" w:rsidRDefault="004A667A" w:rsidP="00592326">
    <w:pPr>
      <w:pStyle w:val="Header"/>
      <w:jc w:val="right"/>
      <w:rPr>
        <w:szCs w:val="18"/>
        <w:lang w:val="fr-CH"/>
      </w:rPr>
    </w:pPr>
    <w:r w:rsidRPr="00592326">
      <w:rPr>
        <w:bCs/>
        <w:szCs w:val="18"/>
        <w:lang w:val="fr-CH"/>
      </w:rPr>
      <w:t>UNEP</w:t>
    </w:r>
    <w:r w:rsidRPr="00592326">
      <w:rPr>
        <w:szCs w:val="18"/>
        <w:lang w:val="fr-CH"/>
      </w:rPr>
      <w:t>/</w:t>
    </w:r>
    <w:r>
      <w:rPr>
        <w:szCs w:val="18"/>
        <w:lang w:val="fr-CH"/>
      </w:rPr>
      <w:t>MC</w:t>
    </w:r>
    <w:r w:rsidRPr="00592326">
      <w:rPr>
        <w:szCs w:val="18"/>
        <w:lang w:val="fr-CH"/>
      </w:rPr>
      <w:t>/</w:t>
    </w:r>
    <w:r>
      <w:rPr>
        <w:szCs w:val="18"/>
        <w:lang w:val="fr-CH"/>
      </w:rPr>
      <w:t>COP.1/26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7A" w:rsidRPr="00EF11DA" w:rsidRDefault="004A667A" w:rsidP="00EF11DA">
    <w:pPr>
      <w:pStyle w:val="Header"/>
      <w:jc w:val="right"/>
      <w:rPr>
        <w:szCs w:val="18"/>
        <w:lang w:val="fr-CH"/>
      </w:rPr>
    </w:pPr>
    <w:r w:rsidRPr="00592326">
      <w:rPr>
        <w:bCs/>
        <w:szCs w:val="18"/>
        <w:lang w:val="fr-CH"/>
      </w:rPr>
      <w:t>UNEP</w:t>
    </w:r>
    <w:r w:rsidRPr="00592326">
      <w:rPr>
        <w:szCs w:val="18"/>
        <w:lang w:val="fr-CH"/>
      </w:rPr>
      <w:t>/MC/COP.1/</w:t>
    </w:r>
    <w:r>
      <w:rPr>
        <w:szCs w:val="18"/>
        <w:lang w:val="fr-CH"/>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C4E"/>
    <w:multiLevelType w:val="hybridMultilevel"/>
    <w:tmpl w:val="E0581DC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67EF1"/>
    <w:multiLevelType w:val="hybridMultilevel"/>
    <w:tmpl w:val="1190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963C1"/>
    <w:multiLevelType w:val="hybridMultilevel"/>
    <w:tmpl w:val="65284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D24F55"/>
    <w:multiLevelType w:val="hybridMultilevel"/>
    <w:tmpl w:val="65109BA6"/>
    <w:lvl w:ilvl="0" w:tplc="06900B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3C001F"/>
    <w:multiLevelType w:val="hybridMultilevel"/>
    <w:tmpl w:val="932A3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F154A84"/>
    <w:multiLevelType w:val="hybridMultilevel"/>
    <w:tmpl w:val="18B67C72"/>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2E7D96"/>
    <w:multiLevelType w:val="hybridMultilevel"/>
    <w:tmpl w:val="0ABE5E9E"/>
    <w:lvl w:ilvl="0" w:tplc="96826D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66A9D"/>
    <w:multiLevelType w:val="multilevel"/>
    <w:tmpl w:val="91F4AE0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5C932A35"/>
    <w:multiLevelType w:val="hybridMultilevel"/>
    <w:tmpl w:val="CCBAA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E34526"/>
    <w:multiLevelType w:val="hybridMultilevel"/>
    <w:tmpl w:val="91F4AE0E"/>
    <w:numStyleLink w:val="Normallist"/>
  </w:abstractNum>
  <w:abstractNum w:abstractNumId="13">
    <w:nsid w:val="68444F34"/>
    <w:multiLevelType w:val="hybridMultilevel"/>
    <w:tmpl w:val="868ACE82"/>
    <w:lvl w:ilvl="0" w:tplc="EAFE9C0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50E98"/>
    <w:multiLevelType w:val="hybridMultilevel"/>
    <w:tmpl w:val="17BCCCCE"/>
    <w:lvl w:ilvl="0" w:tplc="B792DDC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57A96"/>
    <w:multiLevelType w:val="hybridMultilevel"/>
    <w:tmpl w:val="65109BA6"/>
    <w:lvl w:ilvl="0" w:tplc="06900B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4C16823"/>
    <w:multiLevelType w:val="hybridMultilevel"/>
    <w:tmpl w:val="C1DCBB0E"/>
    <w:lvl w:ilvl="0" w:tplc="04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6253511"/>
    <w:multiLevelType w:val="hybridMultilevel"/>
    <w:tmpl w:val="CB0E7BD2"/>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9F0E09"/>
    <w:multiLevelType w:val="hybridMultilevel"/>
    <w:tmpl w:val="4CFCEB4C"/>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
    <w:abstractNumId w:val="4"/>
  </w:num>
  <w:num w:numId="3">
    <w:abstractNumId w:val="7"/>
  </w:num>
  <w:num w:numId="4">
    <w:abstractNumId w:val="10"/>
  </w:num>
  <w:num w:numId="5">
    <w:abstractNumId w:val="10"/>
  </w:num>
  <w:num w:numId="6">
    <w:abstractNumId w:val="5"/>
  </w:num>
  <w:num w:numId="7">
    <w:abstractNumId w:val="9"/>
  </w:num>
  <w:num w:numId="8">
    <w:abstractNumId w:val="12"/>
  </w:num>
  <w:num w:numId="9">
    <w:abstractNumId w:val="3"/>
  </w:num>
  <w:num w:numId="10">
    <w:abstractNumId w:val="15"/>
  </w:num>
  <w:num w:numId="11">
    <w:abstractNumId w:val="17"/>
  </w:num>
  <w:num w:numId="12">
    <w:abstractNumId w:val="8"/>
  </w:num>
  <w:num w:numId="13">
    <w:abstractNumId w:val="2"/>
  </w:num>
  <w:num w:numId="14">
    <w:abstractNumId w:val="11"/>
  </w:num>
  <w:num w:numId="15">
    <w:abstractNumId w:val="6"/>
  </w:num>
  <w:num w:numId="16">
    <w:abstractNumId w:val="1"/>
    <w:lvlOverride w:ilvl="0">
      <w:lvl w:ilvl="0" w:tplc="08090001">
        <w:start w:val="1"/>
        <w:numFmt w:val="bullet"/>
        <w:lvlText w:val=""/>
        <w:lvlJc w:val="left"/>
        <w:pPr>
          <w:ind w:left="720" w:hanging="360"/>
        </w:pPr>
        <w:rPr>
          <w:rFonts w:ascii="Symbol" w:hAnsi="Symbol" w:hint="default"/>
        </w:rPr>
      </w:lvl>
    </w:lvlOverride>
  </w:num>
  <w:num w:numId="17">
    <w:abstractNumId w:val="10"/>
    <w:lvlOverride w:ilvl="1">
      <w:lvl w:ilvl="1">
        <w:start w:val="1"/>
        <w:numFmt w:val="lowerLetter"/>
        <w:lvlText w:val="(%2)"/>
        <w:lvlJc w:val="left"/>
        <w:pPr>
          <w:tabs>
            <w:tab w:val="num" w:pos="1134"/>
          </w:tabs>
          <w:ind w:left="1247" w:firstLine="567"/>
        </w:pPr>
        <w:rPr>
          <w:rFonts w:hint="default"/>
        </w:rPr>
      </w:lvl>
    </w:lvlOverride>
  </w:num>
  <w:num w:numId="18">
    <w:abstractNumId w:val="10"/>
    <w:lvlOverride w:ilvl="1">
      <w:lvl w:ilvl="1">
        <w:start w:val="1"/>
        <w:numFmt w:val="lowerLetter"/>
        <w:lvlText w:val="(%2)"/>
        <w:lvlJc w:val="left"/>
        <w:pPr>
          <w:tabs>
            <w:tab w:val="num" w:pos="1134"/>
          </w:tabs>
          <w:ind w:left="1247" w:firstLine="567"/>
        </w:pPr>
        <w:rPr>
          <w:rFonts w:hint="default"/>
        </w:rPr>
      </w:lvl>
    </w:lvlOverride>
  </w:num>
  <w:num w:numId="19">
    <w:abstractNumId w:val="18"/>
    <w:lvlOverride w:ilvl="0">
      <w:lvl w:ilvl="0" w:tplc="04090017">
        <w:start w:val="1"/>
        <w:numFmt w:val="lowerLetter"/>
        <w:lvlText w:val="%1)"/>
        <w:lvlJc w:val="left"/>
        <w:pPr>
          <w:ind w:left="720" w:hanging="720"/>
        </w:pPr>
        <w:rPr>
          <w:rFonts w:hint="default"/>
        </w:rPr>
      </w:lvl>
    </w:lvlOverride>
  </w:num>
  <w:num w:numId="20">
    <w:abstractNumId w:val="16"/>
  </w:num>
  <w:num w:numId="21">
    <w:abstractNumId w:val="14"/>
  </w:num>
  <w:num w:numId="22">
    <w:abstractNumId w:val="13"/>
  </w:num>
  <w:num w:numId="23">
    <w:abstractNumId w:val="0"/>
    <w:lvlOverride w:ilvl="0">
      <w:lvl w:ilvl="0" w:tplc="04090001">
        <w:start w:val="1"/>
        <w:numFmt w:val="bullet"/>
        <w:lvlText w:val=""/>
        <w:lvlJc w:val="left"/>
        <w:pPr>
          <w:ind w:left="720" w:hanging="720"/>
        </w:pPr>
        <w:rPr>
          <w:rFonts w:ascii="Symbol" w:hAnsi="Symbol" w:hint="default"/>
        </w:rPr>
      </w:lvl>
    </w:lvlOverride>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14D1"/>
    <w:rsid w:val="000149E6"/>
    <w:rsid w:val="00023DA9"/>
    <w:rsid w:val="000247B0"/>
    <w:rsid w:val="00024BBF"/>
    <w:rsid w:val="00026997"/>
    <w:rsid w:val="00026A08"/>
    <w:rsid w:val="00032E4E"/>
    <w:rsid w:val="00033E0B"/>
    <w:rsid w:val="00035EDE"/>
    <w:rsid w:val="00047B5B"/>
    <w:rsid w:val="000509B4"/>
    <w:rsid w:val="0006035B"/>
    <w:rsid w:val="0006096F"/>
    <w:rsid w:val="000649C5"/>
    <w:rsid w:val="00071886"/>
    <w:rsid w:val="000742BC"/>
    <w:rsid w:val="00076CC6"/>
    <w:rsid w:val="00082A0C"/>
    <w:rsid w:val="00083504"/>
    <w:rsid w:val="0009640C"/>
    <w:rsid w:val="000B22A2"/>
    <w:rsid w:val="000B3902"/>
    <w:rsid w:val="000B73F9"/>
    <w:rsid w:val="000C2A52"/>
    <w:rsid w:val="000D33C0"/>
    <w:rsid w:val="000D4CF6"/>
    <w:rsid w:val="000D6941"/>
    <w:rsid w:val="000E30E6"/>
    <w:rsid w:val="000F3A83"/>
    <w:rsid w:val="000F4829"/>
    <w:rsid w:val="000F738B"/>
    <w:rsid w:val="000F74D7"/>
    <w:rsid w:val="00111B4D"/>
    <w:rsid w:val="00112A4A"/>
    <w:rsid w:val="00113F26"/>
    <w:rsid w:val="001202E3"/>
    <w:rsid w:val="00123699"/>
    <w:rsid w:val="001241FB"/>
    <w:rsid w:val="0013059D"/>
    <w:rsid w:val="00136187"/>
    <w:rsid w:val="00141A55"/>
    <w:rsid w:val="0014293F"/>
    <w:rsid w:val="0014397D"/>
    <w:rsid w:val="001446A3"/>
    <w:rsid w:val="0015219A"/>
    <w:rsid w:val="00152B6B"/>
    <w:rsid w:val="00155395"/>
    <w:rsid w:val="00156B6B"/>
    <w:rsid w:val="00160D74"/>
    <w:rsid w:val="0016317F"/>
    <w:rsid w:val="001646EA"/>
    <w:rsid w:val="00167D02"/>
    <w:rsid w:val="001759D8"/>
    <w:rsid w:val="00177D7F"/>
    <w:rsid w:val="00180C3F"/>
    <w:rsid w:val="00181EC8"/>
    <w:rsid w:val="00184349"/>
    <w:rsid w:val="00195F33"/>
    <w:rsid w:val="001B1617"/>
    <w:rsid w:val="001B504B"/>
    <w:rsid w:val="001B6F98"/>
    <w:rsid w:val="001C191A"/>
    <w:rsid w:val="001D3874"/>
    <w:rsid w:val="001D7E75"/>
    <w:rsid w:val="001E0D73"/>
    <w:rsid w:val="001E1EB3"/>
    <w:rsid w:val="001E2AC2"/>
    <w:rsid w:val="001E45BD"/>
    <w:rsid w:val="001E56D2"/>
    <w:rsid w:val="001E7D56"/>
    <w:rsid w:val="001F75DE"/>
    <w:rsid w:val="00200D58"/>
    <w:rsid w:val="002011C1"/>
    <w:rsid w:val="002013BE"/>
    <w:rsid w:val="00201EDC"/>
    <w:rsid w:val="002063A4"/>
    <w:rsid w:val="0021145B"/>
    <w:rsid w:val="00220C23"/>
    <w:rsid w:val="00221A26"/>
    <w:rsid w:val="00223893"/>
    <w:rsid w:val="002247F6"/>
    <w:rsid w:val="00225E21"/>
    <w:rsid w:val="00234E78"/>
    <w:rsid w:val="00235811"/>
    <w:rsid w:val="00243D36"/>
    <w:rsid w:val="00246151"/>
    <w:rsid w:val="0024738B"/>
    <w:rsid w:val="00247707"/>
    <w:rsid w:val="0026018E"/>
    <w:rsid w:val="0026449D"/>
    <w:rsid w:val="00280DB8"/>
    <w:rsid w:val="0028599B"/>
    <w:rsid w:val="00286740"/>
    <w:rsid w:val="00291EAE"/>
    <w:rsid w:val="002929D8"/>
    <w:rsid w:val="002A237D"/>
    <w:rsid w:val="002A4C53"/>
    <w:rsid w:val="002A7CF3"/>
    <w:rsid w:val="002B0672"/>
    <w:rsid w:val="002B1C41"/>
    <w:rsid w:val="002B247F"/>
    <w:rsid w:val="002B50D4"/>
    <w:rsid w:val="002C145D"/>
    <w:rsid w:val="002C2C3E"/>
    <w:rsid w:val="002C533E"/>
    <w:rsid w:val="002D027F"/>
    <w:rsid w:val="002D36D3"/>
    <w:rsid w:val="002D3E15"/>
    <w:rsid w:val="002D7A85"/>
    <w:rsid w:val="002D7B60"/>
    <w:rsid w:val="002F0D6F"/>
    <w:rsid w:val="002F3966"/>
    <w:rsid w:val="002F4761"/>
    <w:rsid w:val="002F5C79"/>
    <w:rsid w:val="002F68EE"/>
    <w:rsid w:val="002F6CDC"/>
    <w:rsid w:val="003019E2"/>
    <w:rsid w:val="00310BEB"/>
    <w:rsid w:val="0031413F"/>
    <w:rsid w:val="00314854"/>
    <w:rsid w:val="003148BB"/>
    <w:rsid w:val="00314A45"/>
    <w:rsid w:val="00317976"/>
    <w:rsid w:val="00320F2F"/>
    <w:rsid w:val="00355EA9"/>
    <w:rsid w:val="003578DE"/>
    <w:rsid w:val="00361688"/>
    <w:rsid w:val="003877D5"/>
    <w:rsid w:val="003929B8"/>
    <w:rsid w:val="00396257"/>
    <w:rsid w:val="00397EB8"/>
    <w:rsid w:val="003A0B88"/>
    <w:rsid w:val="003A4FD0"/>
    <w:rsid w:val="003A69D1"/>
    <w:rsid w:val="003A7705"/>
    <w:rsid w:val="003A77F1"/>
    <w:rsid w:val="003B1545"/>
    <w:rsid w:val="003C2546"/>
    <w:rsid w:val="003C3219"/>
    <w:rsid w:val="003C409D"/>
    <w:rsid w:val="003C5583"/>
    <w:rsid w:val="003C5BA6"/>
    <w:rsid w:val="003C74CF"/>
    <w:rsid w:val="003D3752"/>
    <w:rsid w:val="003E35DA"/>
    <w:rsid w:val="003E455D"/>
    <w:rsid w:val="003E46C3"/>
    <w:rsid w:val="003F0E85"/>
    <w:rsid w:val="003F32EA"/>
    <w:rsid w:val="003F3591"/>
    <w:rsid w:val="00404B2E"/>
    <w:rsid w:val="00410C55"/>
    <w:rsid w:val="00416854"/>
    <w:rsid w:val="00417725"/>
    <w:rsid w:val="004233E2"/>
    <w:rsid w:val="004301DB"/>
    <w:rsid w:val="00437F26"/>
    <w:rsid w:val="00444097"/>
    <w:rsid w:val="00445487"/>
    <w:rsid w:val="00447E0D"/>
    <w:rsid w:val="00452933"/>
    <w:rsid w:val="00454769"/>
    <w:rsid w:val="00466991"/>
    <w:rsid w:val="0047064C"/>
    <w:rsid w:val="004822B7"/>
    <w:rsid w:val="0049469E"/>
    <w:rsid w:val="004A2217"/>
    <w:rsid w:val="004A24F9"/>
    <w:rsid w:val="004A42E1"/>
    <w:rsid w:val="004A667A"/>
    <w:rsid w:val="004B162C"/>
    <w:rsid w:val="004B2ABE"/>
    <w:rsid w:val="004C3DBE"/>
    <w:rsid w:val="004C5C96"/>
    <w:rsid w:val="004D06A4"/>
    <w:rsid w:val="004E4EF1"/>
    <w:rsid w:val="004F1A81"/>
    <w:rsid w:val="005050D2"/>
    <w:rsid w:val="00514BEE"/>
    <w:rsid w:val="005208F1"/>
    <w:rsid w:val="005218D9"/>
    <w:rsid w:val="00523A79"/>
    <w:rsid w:val="00536186"/>
    <w:rsid w:val="00544CBB"/>
    <w:rsid w:val="005644D3"/>
    <w:rsid w:val="005656D7"/>
    <w:rsid w:val="0057315F"/>
    <w:rsid w:val="00576104"/>
    <w:rsid w:val="00592326"/>
    <w:rsid w:val="00592B21"/>
    <w:rsid w:val="00594692"/>
    <w:rsid w:val="005B44BF"/>
    <w:rsid w:val="005C67C8"/>
    <w:rsid w:val="005D0249"/>
    <w:rsid w:val="005D04E8"/>
    <w:rsid w:val="005D18FA"/>
    <w:rsid w:val="005D4FD4"/>
    <w:rsid w:val="005D6E8C"/>
    <w:rsid w:val="005E3004"/>
    <w:rsid w:val="005F100C"/>
    <w:rsid w:val="005F68DA"/>
    <w:rsid w:val="00601BC9"/>
    <w:rsid w:val="0060773B"/>
    <w:rsid w:val="00613FD6"/>
    <w:rsid w:val="006157B5"/>
    <w:rsid w:val="00615A97"/>
    <w:rsid w:val="00617224"/>
    <w:rsid w:val="00626FC6"/>
    <w:rsid w:val="006303B4"/>
    <w:rsid w:val="00630ADC"/>
    <w:rsid w:val="00633D3D"/>
    <w:rsid w:val="006414DA"/>
    <w:rsid w:val="00641703"/>
    <w:rsid w:val="006431A6"/>
    <w:rsid w:val="00643E3A"/>
    <w:rsid w:val="006459F6"/>
    <w:rsid w:val="00646803"/>
    <w:rsid w:val="006501AD"/>
    <w:rsid w:val="00651BFA"/>
    <w:rsid w:val="00654475"/>
    <w:rsid w:val="00656DF0"/>
    <w:rsid w:val="00665A4B"/>
    <w:rsid w:val="006734DC"/>
    <w:rsid w:val="00673E24"/>
    <w:rsid w:val="00677EBB"/>
    <w:rsid w:val="00683158"/>
    <w:rsid w:val="00692E2A"/>
    <w:rsid w:val="006A76F2"/>
    <w:rsid w:val="006A7CA0"/>
    <w:rsid w:val="006D19D4"/>
    <w:rsid w:val="006D7EFB"/>
    <w:rsid w:val="006D7FE0"/>
    <w:rsid w:val="006E6672"/>
    <w:rsid w:val="006E6722"/>
    <w:rsid w:val="006F7AFF"/>
    <w:rsid w:val="007027B9"/>
    <w:rsid w:val="007066B5"/>
    <w:rsid w:val="007145DA"/>
    <w:rsid w:val="0071491A"/>
    <w:rsid w:val="00715E88"/>
    <w:rsid w:val="00734CAA"/>
    <w:rsid w:val="00735C09"/>
    <w:rsid w:val="00742680"/>
    <w:rsid w:val="0075533C"/>
    <w:rsid w:val="00757581"/>
    <w:rsid w:val="007602F5"/>
    <w:rsid w:val="00760D36"/>
    <w:rsid w:val="007611A0"/>
    <w:rsid w:val="007674E3"/>
    <w:rsid w:val="00771FC0"/>
    <w:rsid w:val="00773E54"/>
    <w:rsid w:val="00776E61"/>
    <w:rsid w:val="00787688"/>
    <w:rsid w:val="007935E6"/>
    <w:rsid w:val="00796D3F"/>
    <w:rsid w:val="007A1683"/>
    <w:rsid w:val="007A3C60"/>
    <w:rsid w:val="007A5C12"/>
    <w:rsid w:val="007A7CB0"/>
    <w:rsid w:val="007B68A3"/>
    <w:rsid w:val="007C2541"/>
    <w:rsid w:val="007D66A8"/>
    <w:rsid w:val="007E003F"/>
    <w:rsid w:val="007E793D"/>
    <w:rsid w:val="007F0CF8"/>
    <w:rsid w:val="007F1288"/>
    <w:rsid w:val="007F62CB"/>
    <w:rsid w:val="0080186F"/>
    <w:rsid w:val="00803074"/>
    <w:rsid w:val="008142EC"/>
    <w:rsid w:val="008164F2"/>
    <w:rsid w:val="00821395"/>
    <w:rsid w:val="00830E26"/>
    <w:rsid w:val="0083468E"/>
    <w:rsid w:val="00841C32"/>
    <w:rsid w:val="00843576"/>
    <w:rsid w:val="00843B64"/>
    <w:rsid w:val="00846B82"/>
    <w:rsid w:val="008478FC"/>
    <w:rsid w:val="00851C51"/>
    <w:rsid w:val="00862EC0"/>
    <w:rsid w:val="00867BFF"/>
    <w:rsid w:val="008711BF"/>
    <w:rsid w:val="00871542"/>
    <w:rsid w:val="00872BF6"/>
    <w:rsid w:val="00880DCA"/>
    <w:rsid w:val="00883D22"/>
    <w:rsid w:val="0088480A"/>
    <w:rsid w:val="00885EE4"/>
    <w:rsid w:val="0088757A"/>
    <w:rsid w:val="00892ADF"/>
    <w:rsid w:val="0089431B"/>
    <w:rsid w:val="00895668"/>
    <w:rsid w:val="008957DD"/>
    <w:rsid w:val="00897D98"/>
    <w:rsid w:val="008A6DF2"/>
    <w:rsid w:val="008A7807"/>
    <w:rsid w:val="008B06CD"/>
    <w:rsid w:val="008B4CC9"/>
    <w:rsid w:val="008B74D2"/>
    <w:rsid w:val="008B7DFC"/>
    <w:rsid w:val="008C1B76"/>
    <w:rsid w:val="008C798B"/>
    <w:rsid w:val="008D75E4"/>
    <w:rsid w:val="008D7C99"/>
    <w:rsid w:val="008E0FCB"/>
    <w:rsid w:val="008F207F"/>
    <w:rsid w:val="008F6DFE"/>
    <w:rsid w:val="0090529F"/>
    <w:rsid w:val="0092178C"/>
    <w:rsid w:val="00930B88"/>
    <w:rsid w:val="00940DCC"/>
    <w:rsid w:val="0094179A"/>
    <w:rsid w:val="0094459E"/>
    <w:rsid w:val="00944DBC"/>
    <w:rsid w:val="00950977"/>
    <w:rsid w:val="00951A7B"/>
    <w:rsid w:val="00955109"/>
    <w:rsid w:val="009564A6"/>
    <w:rsid w:val="00966A53"/>
    <w:rsid w:val="00967621"/>
    <w:rsid w:val="00967E6A"/>
    <w:rsid w:val="009907B9"/>
    <w:rsid w:val="00990918"/>
    <w:rsid w:val="009A04E4"/>
    <w:rsid w:val="009A3A83"/>
    <w:rsid w:val="009B4A0F"/>
    <w:rsid w:val="009C11D2"/>
    <w:rsid w:val="009C6C70"/>
    <w:rsid w:val="009C7B0A"/>
    <w:rsid w:val="009D0B63"/>
    <w:rsid w:val="009D1111"/>
    <w:rsid w:val="009D4107"/>
    <w:rsid w:val="009D5CB8"/>
    <w:rsid w:val="009E307E"/>
    <w:rsid w:val="00A07870"/>
    <w:rsid w:val="00A07C54"/>
    <w:rsid w:val="00A07F19"/>
    <w:rsid w:val="00A1348D"/>
    <w:rsid w:val="00A13C99"/>
    <w:rsid w:val="00A17246"/>
    <w:rsid w:val="00A232EE"/>
    <w:rsid w:val="00A4175F"/>
    <w:rsid w:val="00A44411"/>
    <w:rsid w:val="00A469FA"/>
    <w:rsid w:val="00A47680"/>
    <w:rsid w:val="00A53662"/>
    <w:rsid w:val="00A55B01"/>
    <w:rsid w:val="00A56B5B"/>
    <w:rsid w:val="00A603FF"/>
    <w:rsid w:val="00A619B6"/>
    <w:rsid w:val="00A63ADC"/>
    <w:rsid w:val="00A63B6A"/>
    <w:rsid w:val="00A64300"/>
    <w:rsid w:val="00A648CA"/>
    <w:rsid w:val="00A657DD"/>
    <w:rsid w:val="00A666A6"/>
    <w:rsid w:val="00A675FD"/>
    <w:rsid w:val="00A72437"/>
    <w:rsid w:val="00A73FED"/>
    <w:rsid w:val="00A77149"/>
    <w:rsid w:val="00A8048B"/>
    <w:rsid w:val="00A80611"/>
    <w:rsid w:val="00A817E9"/>
    <w:rsid w:val="00AA5BF4"/>
    <w:rsid w:val="00AA5F6B"/>
    <w:rsid w:val="00AB4AC8"/>
    <w:rsid w:val="00AB5340"/>
    <w:rsid w:val="00AC0A89"/>
    <w:rsid w:val="00AC3BFE"/>
    <w:rsid w:val="00AC7C96"/>
    <w:rsid w:val="00AD6CAF"/>
    <w:rsid w:val="00AE1C31"/>
    <w:rsid w:val="00AE237D"/>
    <w:rsid w:val="00AE502A"/>
    <w:rsid w:val="00AF0010"/>
    <w:rsid w:val="00AF2C1F"/>
    <w:rsid w:val="00AF374C"/>
    <w:rsid w:val="00AF7C07"/>
    <w:rsid w:val="00B06C64"/>
    <w:rsid w:val="00B11CAC"/>
    <w:rsid w:val="00B1432D"/>
    <w:rsid w:val="00B15A29"/>
    <w:rsid w:val="00B1730F"/>
    <w:rsid w:val="00B22C93"/>
    <w:rsid w:val="00B27589"/>
    <w:rsid w:val="00B3554E"/>
    <w:rsid w:val="00B405B7"/>
    <w:rsid w:val="00B43AE4"/>
    <w:rsid w:val="00B43B22"/>
    <w:rsid w:val="00B52182"/>
    <w:rsid w:val="00B52222"/>
    <w:rsid w:val="00B52FE3"/>
    <w:rsid w:val="00B531DA"/>
    <w:rsid w:val="00B54895"/>
    <w:rsid w:val="00B54FE7"/>
    <w:rsid w:val="00B647C6"/>
    <w:rsid w:val="00B655F9"/>
    <w:rsid w:val="00B66901"/>
    <w:rsid w:val="00B71E6D"/>
    <w:rsid w:val="00B72070"/>
    <w:rsid w:val="00B779E1"/>
    <w:rsid w:val="00B803EF"/>
    <w:rsid w:val="00B81E3A"/>
    <w:rsid w:val="00B85CFB"/>
    <w:rsid w:val="00B900C0"/>
    <w:rsid w:val="00B91EE1"/>
    <w:rsid w:val="00B9321D"/>
    <w:rsid w:val="00B93C01"/>
    <w:rsid w:val="00B94602"/>
    <w:rsid w:val="00BA0090"/>
    <w:rsid w:val="00BA1A67"/>
    <w:rsid w:val="00BA36E5"/>
    <w:rsid w:val="00BA6A80"/>
    <w:rsid w:val="00BB01AC"/>
    <w:rsid w:val="00BB4ABB"/>
    <w:rsid w:val="00BE0C49"/>
    <w:rsid w:val="00BE1699"/>
    <w:rsid w:val="00BE5B5F"/>
    <w:rsid w:val="00BE7993"/>
    <w:rsid w:val="00C20379"/>
    <w:rsid w:val="00C219C0"/>
    <w:rsid w:val="00C23CBC"/>
    <w:rsid w:val="00C26F55"/>
    <w:rsid w:val="00C30C63"/>
    <w:rsid w:val="00C30FF3"/>
    <w:rsid w:val="00C3600E"/>
    <w:rsid w:val="00C36B8B"/>
    <w:rsid w:val="00C415C1"/>
    <w:rsid w:val="00C47DBF"/>
    <w:rsid w:val="00C510F4"/>
    <w:rsid w:val="00C552FF"/>
    <w:rsid w:val="00C558DA"/>
    <w:rsid w:val="00C55AF3"/>
    <w:rsid w:val="00C61C72"/>
    <w:rsid w:val="00C74894"/>
    <w:rsid w:val="00C75D51"/>
    <w:rsid w:val="00C76B6B"/>
    <w:rsid w:val="00C771A9"/>
    <w:rsid w:val="00C84759"/>
    <w:rsid w:val="00C92996"/>
    <w:rsid w:val="00C968BB"/>
    <w:rsid w:val="00CA170B"/>
    <w:rsid w:val="00CA5CA9"/>
    <w:rsid w:val="00CA6C7F"/>
    <w:rsid w:val="00CA70B2"/>
    <w:rsid w:val="00CC02FF"/>
    <w:rsid w:val="00CC0FC7"/>
    <w:rsid w:val="00CC10A6"/>
    <w:rsid w:val="00CD5EB8"/>
    <w:rsid w:val="00CD7044"/>
    <w:rsid w:val="00CE08B9"/>
    <w:rsid w:val="00CE524C"/>
    <w:rsid w:val="00CF141F"/>
    <w:rsid w:val="00CF2843"/>
    <w:rsid w:val="00CF4777"/>
    <w:rsid w:val="00CF6596"/>
    <w:rsid w:val="00CF65C8"/>
    <w:rsid w:val="00D013F5"/>
    <w:rsid w:val="00D05E3F"/>
    <w:rsid w:val="00D067BB"/>
    <w:rsid w:val="00D1352A"/>
    <w:rsid w:val="00D169AF"/>
    <w:rsid w:val="00D24E85"/>
    <w:rsid w:val="00D25249"/>
    <w:rsid w:val="00D25486"/>
    <w:rsid w:val="00D32406"/>
    <w:rsid w:val="00D44172"/>
    <w:rsid w:val="00D44E89"/>
    <w:rsid w:val="00D47BE3"/>
    <w:rsid w:val="00D61CC6"/>
    <w:rsid w:val="00D63B8C"/>
    <w:rsid w:val="00D6719D"/>
    <w:rsid w:val="00D739CC"/>
    <w:rsid w:val="00D8093D"/>
    <w:rsid w:val="00D8108C"/>
    <w:rsid w:val="00D842AE"/>
    <w:rsid w:val="00D9211C"/>
    <w:rsid w:val="00D92DE0"/>
    <w:rsid w:val="00D92FEF"/>
    <w:rsid w:val="00D93A0F"/>
    <w:rsid w:val="00DA1BCA"/>
    <w:rsid w:val="00DC20FB"/>
    <w:rsid w:val="00DC46FF"/>
    <w:rsid w:val="00DC5254"/>
    <w:rsid w:val="00DC569D"/>
    <w:rsid w:val="00DD1A4F"/>
    <w:rsid w:val="00DD3107"/>
    <w:rsid w:val="00DD746C"/>
    <w:rsid w:val="00DD7C2C"/>
    <w:rsid w:val="00DE5BDA"/>
    <w:rsid w:val="00DF433C"/>
    <w:rsid w:val="00E0035A"/>
    <w:rsid w:val="00E06797"/>
    <w:rsid w:val="00E1265B"/>
    <w:rsid w:val="00E13B48"/>
    <w:rsid w:val="00E1404F"/>
    <w:rsid w:val="00E21C83"/>
    <w:rsid w:val="00E24ADA"/>
    <w:rsid w:val="00E25B92"/>
    <w:rsid w:val="00E32F59"/>
    <w:rsid w:val="00E344BB"/>
    <w:rsid w:val="00E40F10"/>
    <w:rsid w:val="00E41908"/>
    <w:rsid w:val="00E43C3A"/>
    <w:rsid w:val="00E46D9A"/>
    <w:rsid w:val="00E565FF"/>
    <w:rsid w:val="00E65388"/>
    <w:rsid w:val="00E7741D"/>
    <w:rsid w:val="00E808CD"/>
    <w:rsid w:val="00E8348F"/>
    <w:rsid w:val="00E85B7D"/>
    <w:rsid w:val="00E9121B"/>
    <w:rsid w:val="00E9302E"/>
    <w:rsid w:val="00E976AB"/>
    <w:rsid w:val="00EA0AE2"/>
    <w:rsid w:val="00EA0D17"/>
    <w:rsid w:val="00EA39E5"/>
    <w:rsid w:val="00EA57A3"/>
    <w:rsid w:val="00EB1B0D"/>
    <w:rsid w:val="00EB1D3E"/>
    <w:rsid w:val="00EB2BF2"/>
    <w:rsid w:val="00EC0F68"/>
    <w:rsid w:val="00EC2813"/>
    <w:rsid w:val="00EC5A46"/>
    <w:rsid w:val="00EC63E2"/>
    <w:rsid w:val="00ED366A"/>
    <w:rsid w:val="00ED6BB7"/>
    <w:rsid w:val="00EE3823"/>
    <w:rsid w:val="00EF11DA"/>
    <w:rsid w:val="00EF22B3"/>
    <w:rsid w:val="00F03B69"/>
    <w:rsid w:val="00F07A50"/>
    <w:rsid w:val="00F113DA"/>
    <w:rsid w:val="00F266FC"/>
    <w:rsid w:val="00F3037A"/>
    <w:rsid w:val="00F3465A"/>
    <w:rsid w:val="00F37DC8"/>
    <w:rsid w:val="00F439B3"/>
    <w:rsid w:val="00F43DA1"/>
    <w:rsid w:val="00F510F5"/>
    <w:rsid w:val="00F61ADD"/>
    <w:rsid w:val="00F650C3"/>
    <w:rsid w:val="00F65D85"/>
    <w:rsid w:val="00F6700B"/>
    <w:rsid w:val="00F8091E"/>
    <w:rsid w:val="00F8615C"/>
    <w:rsid w:val="00F96035"/>
    <w:rsid w:val="00F969E5"/>
    <w:rsid w:val="00FA4972"/>
    <w:rsid w:val="00FA6BB0"/>
    <w:rsid w:val="00FB075B"/>
    <w:rsid w:val="00FB2DBD"/>
    <w:rsid w:val="00FD48DF"/>
    <w:rsid w:val="00FD5860"/>
    <w:rsid w:val="00FE2D5B"/>
    <w:rsid w:val="00FE352D"/>
    <w:rsid w:val="00FE40EB"/>
    <w:rsid w:val="00FE4D02"/>
    <w:rsid w:val="00FE7D62"/>
    <w:rsid w:val="00FF3819"/>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rPr>
      <w:lang w:val="x-none"/>
    </w:rPr>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lang w:val="x-none"/>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numbering" w:customStyle="1" w:styleId="Normallist1">
    <w:name w:val="Normal_list1"/>
    <w:basedOn w:val="NoList"/>
    <w:rsid w:val="0015219A"/>
  </w:style>
  <w:style w:type="paragraph" w:customStyle="1" w:styleId="Default">
    <w:name w:val="Default"/>
    <w:rsid w:val="008711BF"/>
    <w:pPr>
      <w:autoSpaceDE w:val="0"/>
      <w:autoSpaceDN w:val="0"/>
      <w:adjustRightInd w:val="0"/>
    </w:pPr>
    <w:rPr>
      <w:rFonts w:ascii="Arial" w:hAnsi="Arial" w:cs="Arial"/>
      <w:color w:val="000000"/>
      <w:sz w:val="24"/>
      <w:szCs w:val="24"/>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EF11DA"/>
    <w:rPr>
      <w:sz w:val="18"/>
      <w:lang w:eastAsia="en-US"/>
    </w:rPr>
  </w:style>
  <w:style w:type="paragraph" w:styleId="Revision">
    <w:name w:val="Revision"/>
    <w:hidden/>
    <w:uiPriority w:val="99"/>
    <w:semiHidden/>
    <w:rsid w:val="006A7CA0"/>
    <w:rPr>
      <w:lang w:eastAsia="en-US"/>
    </w:rPr>
  </w:style>
  <w:style w:type="character" w:customStyle="1" w:styleId="apple-converted-space">
    <w:name w:val="apple-converted-space"/>
    <w:basedOn w:val="DefaultParagraphFont"/>
    <w:rsid w:val="00683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rPr>
      <w:lang w:val="x-none"/>
    </w:rPr>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lang w:val="x-none"/>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numbering" w:customStyle="1" w:styleId="Normallist1">
    <w:name w:val="Normal_list1"/>
    <w:basedOn w:val="NoList"/>
    <w:rsid w:val="0015219A"/>
  </w:style>
  <w:style w:type="paragraph" w:customStyle="1" w:styleId="Default">
    <w:name w:val="Default"/>
    <w:rsid w:val="008711BF"/>
    <w:pPr>
      <w:autoSpaceDE w:val="0"/>
      <w:autoSpaceDN w:val="0"/>
      <w:adjustRightInd w:val="0"/>
    </w:pPr>
    <w:rPr>
      <w:rFonts w:ascii="Arial" w:hAnsi="Arial" w:cs="Arial"/>
      <w:color w:val="000000"/>
      <w:sz w:val="24"/>
      <w:szCs w:val="24"/>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EF11DA"/>
    <w:rPr>
      <w:sz w:val="18"/>
      <w:lang w:eastAsia="en-US"/>
    </w:rPr>
  </w:style>
  <w:style w:type="paragraph" w:styleId="Revision">
    <w:name w:val="Revision"/>
    <w:hidden/>
    <w:uiPriority w:val="99"/>
    <w:semiHidden/>
    <w:rsid w:val="006A7CA0"/>
    <w:rPr>
      <w:lang w:eastAsia="en-US"/>
    </w:rPr>
  </w:style>
  <w:style w:type="character" w:customStyle="1" w:styleId="apple-converted-space">
    <w:name w:val="apple-converted-space"/>
    <w:basedOn w:val="DefaultParagraphFont"/>
    <w:rsid w:val="0068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7534112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6FC3-3FE1-4502-B4F0-9097DD35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2141</Words>
  <Characters>12095</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14208</CharactersWithSpaces>
  <SharedDoc>false</SharedDoc>
  <HLinks>
    <vt:vector size="6" baseType="variant">
      <vt:variant>
        <vt:i4>4456455</vt:i4>
      </vt:variant>
      <vt:variant>
        <vt:i4>3</vt:i4>
      </vt:variant>
      <vt:variant>
        <vt:i4>0</vt:i4>
      </vt:variant>
      <vt:variant>
        <vt:i4>5</vt:i4>
      </vt:variant>
      <vt:variant>
        <vt:lpwstr>http://mercuryconvention.org/Negotiations/submissionsforCOP1/tabid/5535/Default.aspx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Tina Rakoto</cp:lastModifiedBy>
  <cp:revision>2</cp:revision>
  <cp:lastPrinted>2017-06-15T20:54:00Z</cp:lastPrinted>
  <dcterms:created xsi:type="dcterms:W3CDTF">2017-06-15T21:02:00Z</dcterms:created>
  <dcterms:modified xsi:type="dcterms:W3CDTF">2017-06-15T21:02:00Z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6/7/2017 10:16:32 AM</vt:lpwstr>
  </property>
  <property fmtid="{D5CDD505-2E9C-101B-9397-08002B2CF9AE}" pid="5" name="OriginalDocID">
    <vt:lpwstr>c9dd411d-f434-4c6b-a00e-e43aa8885d86</vt:lpwstr>
  </property>
</Properties>
</file>