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1550"/>
        <w:gridCol w:w="4751"/>
        <w:gridCol w:w="3411"/>
      </w:tblGrid>
      <w:tr w:rsidR="005D67B1" w:rsidRPr="00785997" w:rsidTr="005D67B1">
        <w:trPr>
          <w:cantSplit/>
          <w:trHeight w:val="850"/>
          <w:jc w:val="right"/>
        </w:trPr>
        <w:tc>
          <w:tcPr>
            <w:tcW w:w="1560" w:type="dxa"/>
            <w:hideMark/>
          </w:tcPr>
          <w:p w:rsidR="005D67B1" w:rsidRPr="00785997" w:rsidRDefault="005D67B1">
            <w:pPr>
              <w:rPr>
                <w:rFonts w:ascii="Univers" w:hAnsi="Univers"/>
                <w:b/>
                <w:noProof/>
                <w:sz w:val="27"/>
                <w:szCs w:val="27"/>
                <w:lang w:val="fr-FR" w:eastAsia="zh-CN"/>
              </w:rPr>
            </w:pPr>
            <w:r w:rsidRPr="00785997">
              <w:rPr>
                <w:rFonts w:ascii="Arial" w:hAnsi="Arial" w:cs="Arial"/>
                <w:b/>
                <w:noProof/>
                <w:sz w:val="27"/>
                <w:szCs w:val="27"/>
                <w:lang w:val="fr-FR" w:eastAsia="zh-CN"/>
              </w:rPr>
              <w:t>NATIONS</w:t>
            </w:r>
            <w:r w:rsidRPr="00785997">
              <w:rPr>
                <w:rFonts w:ascii="Arial" w:hAnsi="Arial" w:cs="Arial"/>
                <w:b/>
                <w:noProof/>
                <w:sz w:val="27"/>
                <w:szCs w:val="27"/>
                <w:lang w:val="fr-FR" w:eastAsia="zh-CN"/>
              </w:rPr>
              <w:br/>
              <w:t>UNIES</w:t>
            </w:r>
          </w:p>
        </w:tc>
        <w:tc>
          <w:tcPr>
            <w:tcW w:w="4785" w:type="dxa"/>
          </w:tcPr>
          <w:p w:rsidR="005D67B1" w:rsidRPr="00785997" w:rsidRDefault="005D67B1">
            <w:pPr>
              <w:rPr>
                <w:rFonts w:ascii="Univers" w:hAnsi="Univers"/>
                <w:b/>
                <w:sz w:val="27"/>
                <w:szCs w:val="27"/>
                <w:lang w:val="fr-FR" w:eastAsia="zh-CN"/>
              </w:rPr>
            </w:pPr>
          </w:p>
        </w:tc>
        <w:tc>
          <w:tcPr>
            <w:tcW w:w="3435" w:type="dxa"/>
            <w:hideMark/>
          </w:tcPr>
          <w:p w:rsidR="005D67B1" w:rsidRPr="00785997" w:rsidRDefault="005D67B1">
            <w:pPr>
              <w:jc w:val="right"/>
              <w:rPr>
                <w:rFonts w:ascii="Arial" w:hAnsi="Arial" w:cs="Arial"/>
                <w:b/>
                <w:sz w:val="64"/>
                <w:szCs w:val="64"/>
                <w:lang w:val="fr-FR" w:eastAsia="zh-CN"/>
              </w:rPr>
            </w:pPr>
            <w:r w:rsidRPr="00785997">
              <w:rPr>
                <w:rFonts w:ascii="Arial" w:hAnsi="Arial" w:cs="Arial"/>
                <w:b/>
                <w:sz w:val="64"/>
                <w:szCs w:val="64"/>
                <w:lang w:val="fr-FR" w:eastAsia="zh-CN"/>
              </w:rPr>
              <w:t>MC</w:t>
            </w:r>
          </w:p>
        </w:tc>
      </w:tr>
      <w:tr w:rsidR="005D67B1" w:rsidRPr="00785997" w:rsidTr="005D67B1">
        <w:trPr>
          <w:cantSplit/>
          <w:trHeight w:val="281"/>
          <w:jc w:val="right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7B1" w:rsidRPr="00785997" w:rsidRDefault="005D67B1">
            <w:pPr>
              <w:rPr>
                <w:noProof/>
                <w:sz w:val="18"/>
                <w:szCs w:val="18"/>
                <w:lang w:val="fr-FR" w:eastAsia="zh-CN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7B1" w:rsidRPr="00785997" w:rsidRDefault="005D67B1">
            <w:pPr>
              <w:rPr>
                <w:rFonts w:ascii="Univers" w:hAnsi="Univers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67B1" w:rsidRPr="00785997" w:rsidRDefault="005D67B1" w:rsidP="005D67B1">
            <w:pPr>
              <w:rPr>
                <w:noProof/>
                <w:sz w:val="18"/>
                <w:szCs w:val="18"/>
                <w:lang w:val="fr-FR" w:eastAsia="zh-CN"/>
              </w:rPr>
            </w:pPr>
            <w:r w:rsidRPr="00785997">
              <w:rPr>
                <w:b/>
                <w:bCs/>
                <w:sz w:val="28"/>
                <w:lang w:val="fr-FR" w:eastAsia="zh-CN"/>
              </w:rPr>
              <w:t>UNEP</w:t>
            </w:r>
            <w:bookmarkStart w:id="0" w:name="OLE_LINK1"/>
            <w:bookmarkStart w:id="1" w:name="OLE_LINK2"/>
            <w:r w:rsidRPr="00785997">
              <w:rPr>
                <w:b/>
                <w:bCs/>
                <w:sz w:val="28"/>
                <w:lang w:val="fr-FR" w:eastAsia="zh-CN"/>
              </w:rPr>
              <w:t>/</w:t>
            </w:r>
            <w:r w:rsidRPr="00785997">
              <w:rPr>
                <w:lang w:val="fr-FR" w:eastAsia="zh-CN"/>
              </w:rPr>
              <w:t>MC/</w:t>
            </w:r>
            <w:bookmarkEnd w:id="0"/>
            <w:bookmarkEnd w:id="1"/>
            <w:r w:rsidRPr="00785997">
              <w:rPr>
                <w:lang w:val="fr-FR" w:eastAsia="zh-CN"/>
              </w:rPr>
              <w:t>COP.1/22</w:t>
            </w:r>
          </w:p>
        </w:tc>
      </w:tr>
      <w:bookmarkStart w:id="2" w:name="_MON_1021710510"/>
      <w:bookmarkEnd w:id="2"/>
      <w:tr w:rsidR="005D67B1" w:rsidRPr="00F13CEE" w:rsidTr="005D67B1">
        <w:trPr>
          <w:cantSplit/>
          <w:trHeight w:val="2549"/>
          <w:jc w:val="right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:rsidR="005D67B1" w:rsidRPr="00785997" w:rsidRDefault="005D67B1">
            <w:pPr>
              <w:rPr>
                <w:noProof/>
                <w:lang w:val="fr-FR" w:eastAsia="zh-CN"/>
              </w:rPr>
            </w:pPr>
            <w:r w:rsidRPr="00785997">
              <w:rPr>
                <w:noProof/>
                <w:lang w:val="fr-FR" w:eastAsia="zh-CN"/>
              </w:rPr>
              <w:object w:dxaOrig="1305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0.9pt" o:ole="" fillcolor="window">
                  <v:imagedata r:id="rId9" o:title=""/>
                </v:shape>
                <o:OLEObject Type="Embed" ProgID="Word.Picture.8" ShapeID="_x0000_i1025" DrawAspect="Content" ObjectID="_1560753713" r:id="rId10"/>
              </w:object>
            </w:r>
            <w:r w:rsidRPr="00785997">
              <w:rPr>
                <w:noProof/>
                <w:lang w:val="en-US"/>
              </w:rPr>
              <w:drawing>
                <wp:inline distT="0" distB="0" distL="0" distR="0" wp14:anchorId="6AE13CC0" wp14:editId="5DE4886F">
                  <wp:extent cx="724535" cy="769620"/>
                  <wp:effectExtent l="0" t="0" r="0" b="0"/>
                  <wp:docPr id="3" name="Picture 3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:rsidR="005D67B1" w:rsidRPr="00785997" w:rsidRDefault="005D67B1">
            <w:pPr>
              <w:spacing w:before="1200"/>
              <w:rPr>
                <w:rFonts w:ascii="Arial" w:hAnsi="Arial" w:cs="Arial"/>
                <w:b/>
                <w:sz w:val="28"/>
                <w:lang w:val="fr-FR" w:eastAsia="zh-CN"/>
              </w:rPr>
            </w:pPr>
            <w:r w:rsidRPr="00785997">
              <w:rPr>
                <w:rFonts w:ascii="Arial" w:hAnsi="Arial" w:cs="Arial"/>
                <w:b/>
                <w:sz w:val="32"/>
                <w:szCs w:val="32"/>
                <w:lang w:val="fr-FR" w:eastAsia="zh-CN"/>
              </w:rPr>
              <w:t>Programme</w:t>
            </w:r>
            <w:r w:rsidRPr="00785997">
              <w:rPr>
                <w:rFonts w:ascii="Arial" w:hAnsi="Arial" w:cs="Arial"/>
                <w:b/>
                <w:sz w:val="32"/>
                <w:szCs w:val="32"/>
                <w:lang w:val="fr-FR" w:eastAsia="zh-CN"/>
              </w:rPr>
              <w:br/>
              <w:t>des Nations Unies</w:t>
            </w:r>
            <w:r w:rsidRPr="00785997">
              <w:rPr>
                <w:rFonts w:ascii="Arial" w:hAnsi="Arial" w:cs="Arial"/>
                <w:b/>
                <w:sz w:val="32"/>
                <w:szCs w:val="32"/>
                <w:lang w:val="fr-FR" w:eastAsia="zh-CN"/>
              </w:rPr>
              <w:br/>
              <w:t>pour l</w:t>
            </w:r>
            <w:r w:rsidR="000E1495">
              <w:rPr>
                <w:rFonts w:ascii="Arial" w:hAnsi="Arial" w:cs="Arial"/>
                <w:b/>
                <w:sz w:val="32"/>
                <w:szCs w:val="32"/>
                <w:lang w:val="fr-FR" w:eastAsia="zh-CN"/>
              </w:rPr>
              <w:t>’</w:t>
            </w:r>
            <w:r w:rsidRPr="00785997">
              <w:rPr>
                <w:rFonts w:ascii="Arial" w:hAnsi="Arial" w:cs="Arial"/>
                <w:b/>
                <w:sz w:val="32"/>
                <w:szCs w:val="32"/>
                <w:lang w:val="fr-FR" w:eastAsia="zh-CN"/>
              </w:rPr>
              <w:t>environnement</w:t>
            </w:r>
            <w:bookmarkStart w:id="3" w:name="_GoBack"/>
            <w:bookmarkEnd w:id="3"/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:rsidR="005D67B1" w:rsidRPr="00785997" w:rsidRDefault="00387317">
            <w:pPr>
              <w:spacing w:before="120"/>
              <w:rPr>
                <w:lang w:val="fr-FR" w:eastAsia="zh-CN"/>
              </w:rPr>
            </w:pPr>
            <w:r>
              <w:rPr>
                <w:lang w:val="fr-FR" w:eastAsia="zh-CN"/>
              </w:rPr>
              <w:t>Distr. g</w:t>
            </w:r>
            <w:r w:rsidR="000D057E">
              <w:rPr>
                <w:lang w:val="fr-FR" w:eastAsia="zh-CN"/>
              </w:rPr>
              <w:t xml:space="preserve">énérale </w:t>
            </w:r>
            <w:r w:rsidR="000D057E">
              <w:rPr>
                <w:lang w:val="fr-FR" w:eastAsia="zh-CN"/>
              </w:rPr>
              <w:br/>
              <w:t>21 </w:t>
            </w:r>
            <w:r w:rsidR="005D67B1" w:rsidRPr="00785997">
              <w:rPr>
                <w:lang w:val="fr-FR" w:eastAsia="zh-CN"/>
              </w:rPr>
              <w:t>avril 2017</w:t>
            </w:r>
          </w:p>
          <w:p w:rsidR="005D67B1" w:rsidRPr="00785997" w:rsidRDefault="005D67B1">
            <w:pPr>
              <w:spacing w:before="240"/>
              <w:rPr>
                <w:lang w:val="fr-FR" w:eastAsia="zh-CN"/>
              </w:rPr>
            </w:pPr>
            <w:r w:rsidRPr="00785997">
              <w:rPr>
                <w:lang w:val="fr-FR" w:eastAsia="zh-CN"/>
              </w:rPr>
              <w:t>Français</w:t>
            </w:r>
            <w:r w:rsidRPr="00785997">
              <w:rPr>
                <w:lang w:val="fr-FR" w:eastAsia="zh-CN"/>
              </w:rPr>
              <w:br/>
              <w:t>Original : anglais</w:t>
            </w:r>
          </w:p>
        </w:tc>
      </w:tr>
    </w:tbl>
    <w:p w:rsidR="005D67B1" w:rsidRPr="00785997" w:rsidRDefault="005D67B1" w:rsidP="000D057E">
      <w:pPr>
        <w:pStyle w:val="AATitle"/>
        <w:ind w:right="4676"/>
        <w:rPr>
          <w:lang w:val="fr-FR"/>
        </w:rPr>
      </w:pPr>
      <w:r w:rsidRPr="00785997">
        <w:rPr>
          <w:lang w:val="fr-FR"/>
        </w:rPr>
        <w:t>Conférence des Parties à la Convention de Minamata sur le mercure</w:t>
      </w:r>
    </w:p>
    <w:p w:rsidR="005D67B1" w:rsidRPr="00387317" w:rsidRDefault="005D67B1" w:rsidP="005D67B1">
      <w:pPr>
        <w:pStyle w:val="AATitle"/>
        <w:rPr>
          <w:lang w:val="fr-FR"/>
        </w:rPr>
      </w:pPr>
      <w:r w:rsidRPr="00387317">
        <w:rPr>
          <w:lang w:val="fr-FR"/>
        </w:rPr>
        <w:t>Première réunion</w:t>
      </w:r>
    </w:p>
    <w:p w:rsidR="00E976AB" w:rsidRPr="00785997" w:rsidRDefault="005D67B1" w:rsidP="005D67B1">
      <w:pPr>
        <w:pStyle w:val="AATitle"/>
        <w:rPr>
          <w:b w:val="0"/>
          <w:lang w:val="fr-FR"/>
        </w:rPr>
      </w:pPr>
      <w:r w:rsidRPr="00785997">
        <w:rPr>
          <w:b w:val="0"/>
          <w:lang w:val="fr-FR"/>
        </w:rPr>
        <w:t>Genève, 24–29 septembre 2017</w:t>
      </w:r>
    </w:p>
    <w:p w:rsidR="00775D8D" w:rsidRPr="00387317" w:rsidRDefault="00775D8D" w:rsidP="00775D8D">
      <w:pPr>
        <w:pStyle w:val="AATitle"/>
        <w:keepNext w:val="0"/>
        <w:keepLines w:val="0"/>
        <w:rPr>
          <w:b w:val="0"/>
          <w:lang w:val="fr-FR"/>
        </w:rPr>
      </w:pPr>
      <w:r w:rsidRPr="00387317">
        <w:rPr>
          <w:b w:val="0"/>
          <w:lang w:val="fr-FR"/>
        </w:rPr>
        <w:t>Point 6 de l</w:t>
      </w:r>
      <w:r w:rsidR="000E1495">
        <w:rPr>
          <w:b w:val="0"/>
          <w:lang w:val="fr-FR"/>
        </w:rPr>
        <w:t>’</w:t>
      </w:r>
      <w:r w:rsidRPr="00387317">
        <w:rPr>
          <w:b w:val="0"/>
          <w:lang w:val="fr-FR"/>
        </w:rPr>
        <w:t>ordre du jour provisoire</w:t>
      </w:r>
      <w:r w:rsidRPr="00387317">
        <w:rPr>
          <w:b w:val="0"/>
          <w:lang w:val="fr-FR"/>
        </w:rPr>
        <w:footnoteReference w:customMarkFollows="1" w:id="1"/>
        <w:t>*</w:t>
      </w:r>
    </w:p>
    <w:p w:rsidR="007C36CE" w:rsidRPr="00785997" w:rsidRDefault="007C36CE" w:rsidP="007C36CE">
      <w:pPr>
        <w:pStyle w:val="AATitle2"/>
        <w:spacing w:before="60"/>
        <w:rPr>
          <w:lang w:val="fr-FR"/>
        </w:rPr>
      </w:pPr>
      <w:r w:rsidRPr="00785997">
        <w:rPr>
          <w:lang w:val="fr-FR"/>
        </w:rPr>
        <w:t>Questions que la Convent</w:t>
      </w:r>
      <w:r w:rsidR="0072091E">
        <w:rPr>
          <w:lang w:val="fr-FR"/>
        </w:rPr>
        <w:t>ion renvoie à la Conférence des </w:t>
      </w:r>
      <w:r w:rsidRPr="00785997">
        <w:rPr>
          <w:lang w:val="fr-FR"/>
        </w:rPr>
        <w:t>Parties pour suite à donner</w:t>
      </w:r>
    </w:p>
    <w:p w:rsidR="007C36CE" w:rsidRPr="00785997" w:rsidRDefault="007C36CE" w:rsidP="007C36CE">
      <w:pPr>
        <w:pStyle w:val="BBTitle"/>
        <w:rPr>
          <w:lang w:val="fr-FR"/>
        </w:rPr>
      </w:pPr>
      <w:r w:rsidRPr="00785997">
        <w:rPr>
          <w:lang w:val="fr-FR"/>
        </w:rPr>
        <w:t xml:space="preserve">Questions appelant une décision </w:t>
      </w:r>
      <w:r w:rsidR="000D057E">
        <w:rPr>
          <w:lang w:val="fr-FR"/>
        </w:rPr>
        <w:t>de la Conférence des Parties au titre des articles </w:t>
      </w:r>
      <w:r w:rsidRPr="00785997">
        <w:rPr>
          <w:lang w:val="fr-FR"/>
        </w:rPr>
        <w:t xml:space="preserve">3, 4, </w:t>
      </w:r>
      <w:r w:rsidR="000D057E">
        <w:rPr>
          <w:lang w:val="fr-FR"/>
        </w:rPr>
        <w:t>5, 14 et 16 de la Convention de </w:t>
      </w:r>
      <w:r w:rsidRPr="00785997">
        <w:rPr>
          <w:lang w:val="fr-FR"/>
        </w:rPr>
        <w:t>Minamata sur le mercure</w:t>
      </w:r>
    </w:p>
    <w:p w:rsidR="007C36CE" w:rsidRPr="00785997" w:rsidRDefault="007C36CE" w:rsidP="007C36CE">
      <w:pPr>
        <w:pStyle w:val="CH2"/>
        <w:rPr>
          <w:lang w:val="fr-FR"/>
        </w:rPr>
      </w:pPr>
      <w:r w:rsidRPr="00785997">
        <w:rPr>
          <w:lang w:val="fr-FR"/>
        </w:rPr>
        <w:tab/>
      </w:r>
      <w:r w:rsidRPr="00785997">
        <w:rPr>
          <w:lang w:val="fr-FR"/>
        </w:rPr>
        <w:tab/>
        <w:t>Note du secrétariat</w:t>
      </w:r>
    </w:p>
    <w:p w:rsidR="007C36CE" w:rsidRPr="00785997" w:rsidRDefault="007C36CE" w:rsidP="007C36CE">
      <w:pPr>
        <w:pStyle w:val="Normalnumber"/>
        <w:ind w:left="1247" w:firstLine="0"/>
        <w:rPr>
          <w:lang w:val="fr-FR"/>
        </w:rPr>
      </w:pPr>
      <w:r w:rsidRPr="00785997">
        <w:rPr>
          <w:lang w:val="fr-FR"/>
        </w:rPr>
        <w:t xml:space="preserve">La Convention de Minamata sur le mercure prévoit que la Conférence des Parties prenne des décisions sur </w:t>
      </w:r>
      <w:r w:rsidR="001E087D">
        <w:rPr>
          <w:lang w:val="fr-FR"/>
        </w:rPr>
        <w:t>certaines</w:t>
      </w:r>
      <w:r w:rsidRPr="00785997">
        <w:rPr>
          <w:lang w:val="fr-FR"/>
        </w:rPr>
        <w:t xml:space="preserve"> questions au titre des a</w:t>
      </w:r>
      <w:r w:rsidR="001E087D">
        <w:rPr>
          <w:lang w:val="fr-FR"/>
        </w:rPr>
        <w:t>rticles 3 (S</w:t>
      </w:r>
      <w:r w:rsidRPr="00785997">
        <w:rPr>
          <w:lang w:val="fr-FR"/>
        </w:rPr>
        <w:t>ources d</w:t>
      </w:r>
      <w:r w:rsidR="000E1495">
        <w:rPr>
          <w:lang w:val="fr-FR"/>
        </w:rPr>
        <w:t>’</w:t>
      </w:r>
      <w:r w:rsidRPr="00785997">
        <w:rPr>
          <w:lang w:val="fr-FR"/>
        </w:rPr>
        <w:t>approvisionnement en mercure et commerce), 4 (</w:t>
      </w:r>
      <w:r w:rsidR="001E087D">
        <w:rPr>
          <w:lang w:val="fr-FR"/>
        </w:rPr>
        <w:t>P</w:t>
      </w:r>
      <w:r w:rsidRPr="00785997">
        <w:rPr>
          <w:lang w:val="fr-FR"/>
        </w:rPr>
        <w:t>roduits co</w:t>
      </w:r>
      <w:r w:rsidR="001E087D">
        <w:rPr>
          <w:lang w:val="fr-FR"/>
        </w:rPr>
        <w:t>ntenant du mercure ajouté), 5 (P</w:t>
      </w:r>
      <w:r w:rsidRPr="00785997">
        <w:rPr>
          <w:lang w:val="fr-FR"/>
        </w:rPr>
        <w:t>rocédés de fabrication utilisant du mercure ou des composés du mercure), 14 (</w:t>
      </w:r>
      <w:r w:rsidR="001E087D">
        <w:rPr>
          <w:lang w:val="fr-FR"/>
        </w:rPr>
        <w:t>R</w:t>
      </w:r>
      <w:r w:rsidRPr="00785997">
        <w:rPr>
          <w:lang w:val="fr-FR"/>
        </w:rPr>
        <w:t>enforcement des capacités, assistance technique et transfert de technologies) et 16 (</w:t>
      </w:r>
      <w:r w:rsidR="001E087D">
        <w:rPr>
          <w:lang w:val="fr-FR"/>
        </w:rPr>
        <w:t>A</w:t>
      </w:r>
      <w:r w:rsidRPr="00785997">
        <w:rPr>
          <w:lang w:val="fr-FR"/>
        </w:rPr>
        <w:t xml:space="preserve">spects sanitaires). </w:t>
      </w:r>
    </w:p>
    <w:p w:rsidR="007C36CE" w:rsidRPr="00785997" w:rsidRDefault="000E1495" w:rsidP="000D7CCE">
      <w:pPr>
        <w:pStyle w:val="CH1"/>
        <w:rPr>
          <w:lang w:val="fr-FR"/>
        </w:rPr>
      </w:pPr>
      <w:r>
        <w:rPr>
          <w:lang w:val="fr-FR"/>
        </w:rPr>
        <w:tab/>
      </w:r>
      <w:r w:rsidR="007C36CE" w:rsidRPr="00785997">
        <w:rPr>
          <w:lang w:val="fr-FR"/>
        </w:rPr>
        <w:t>I.</w:t>
      </w:r>
      <w:r w:rsidR="007C36CE" w:rsidRPr="00785997">
        <w:rPr>
          <w:lang w:val="fr-FR"/>
        </w:rPr>
        <w:tab/>
      </w:r>
      <w:r w:rsidR="0072091E">
        <w:rPr>
          <w:lang w:val="fr-FR"/>
        </w:rPr>
        <w:t>Article </w:t>
      </w:r>
      <w:r w:rsidR="007C36CE" w:rsidRPr="00785997">
        <w:rPr>
          <w:lang w:val="fr-FR"/>
        </w:rPr>
        <w:t>3</w:t>
      </w:r>
      <w:r w:rsidR="0072091E">
        <w:rPr>
          <w:lang w:val="fr-FR"/>
        </w:rPr>
        <w:t> </w:t>
      </w:r>
      <w:r w:rsidR="007C36CE" w:rsidRPr="00785997">
        <w:rPr>
          <w:lang w:val="fr-FR"/>
        </w:rPr>
        <w:t>: sources d</w:t>
      </w:r>
      <w:r>
        <w:rPr>
          <w:lang w:val="fr-FR"/>
        </w:rPr>
        <w:t>’</w:t>
      </w:r>
      <w:r w:rsidR="007C36CE" w:rsidRPr="00785997">
        <w:rPr>
          <w:lang w:val="fr-FR"/>
        </w:rPr>
        <w:t>approvisionnement en mercure et commerce</w:t>
      </w:r>
    </w:p>
    <w:p w:rsidR="007C36CE" w:rsidRPr="00785997" w:rsidRDefault="00DC6C76" w:rsidP="007C36CE">
      <w:pPr>
        <w:pStyle w:val="Normalnumber"/>
        <w:tabs>
          <w:tab w:val="num" w:pos="993"/>
        </w:tabs>
        <w:ind w:left="1247" w:firstLine="0"/>
        <w:rPr>
          <w:lang w:val="fr-FR"/>
        </w:rPr>
      </w:pPr>
      <w:r w:rsidRPr="00785997">
        <w:rPr>
          <w:lang w:val="fr-FR"/>
        </w:rPr>
        <w:t>Le paragraphe</w:t>
      </w:r>
      <w:r w:rsidR="000D057E">
        <w:rPr>
          <w:lang w:val="fr-FR"/>
        </w:rPr>
        <w:t> </w:t>
      </w:r>
      <w:r w:rsidRPr="00785997">
        <w:rPr>
          <w:lang w:val="fr-FR"/>
        </w:rPr>
        <w:t>13 de l</w:t>
      </w:r>
      <w:r w:rsidR="000E1495">
        <w:rPr>
          <w:lang w:val="fr-FR"/>
        </w:rPr>
        <w:t>’</w:t>
      </w:r>
      <w:r w:rsidRPr="00785997">
        <w:rPr>
          <w:lang w:val="fr-FR"/>
        </w:rPr>
        <w:t>article</w:t>
      </w:r>
      <w:r w:rsidR="000D057E">
        <w:rPr>
          <w:lang w:val="fr-FR"/>
        </w:rPr>
        <w:t> </w:t>
      </w:r>
      <w:r w:rsidRPr="00785997">
        <w:rPr>
          <w:lang w:val="fr-FR"/>
        </w:rPr>
        <w:t>3 de la Convention prévoit que la Conférence des Parties évalue si le commerce de certains composés du mercure compromet l</w:t>
      </w:r>
      <w:r w:rsidR="000E1495">
        <w:rPr>
          <w:lang w:val="fr-FR"/>
        </w:rPr>
        <w:t>’</w:t>
      </w:r>
      <w:r w:rsidRPr="00785997">
        <w:rPr>
          <w:lang w:val="fr-FR"/>
        </w:rPr>
        <w:t>objectif de la Convention et examine la question de savoir si ces composés du mercure devraient, par leur inscription à une annexe supplémentaire, être soumis aux par</w:t>
      </w:r>
      <w:r w:rsidR="001E087D">
        <w:rPr>
          <w:lang w:val="fr-FR"/>
        </w:rPr>
        <w:t>agraphes 6 et 8 de l</w:t>
      </w:r>
      <w:r w:rsidR="000E1495">
        <w:rPr>
          <w:lang w:val="fr-FR"/>
        </w:rPr>
        <w:t>’</w:t>
      </w:r>
      <w:r w:rsidR="001E087D">
        <w:rPr>
          <w:lang w:val="fr-FR"/>
        </w:rPr>
        <w:t>article</w:t>
      </w:r>
      <w:r w:rsidR="00763E5B">
        <w:rPr>
          <w:lang w:val="fr-FR"/>
        </w:rPr>
        <w:t> </w:t>
      </w:r>
      <w:r w:rsidR="001E087D">
        <w:rPr>
          <w:lang w:val="fr-FR"/>
        </w:rPr>
        <w:t>3.</w:t>
      </w:r>
    </w:p>
    <w:p w:rsidR="007C36CE" w:rsidRPr="00785997" w:rsidRDefault="007C36CE" w:rsidP="007C36CE">
      <w:pPr>
        <w:pStyle w:val="Normalnumber"/>
        <w:tabs>
          <w:tab w:val="num" w:pos="993"/>
        </w:tabs>
        <w:ind w:left="1247" w:firstLine="0"/>
        <w:rPr>
          <w:b/>
          <w:bCs/>
          <w:lang w:val="fr-FR"/>
        </w:rPr>
      </w:pPr>
      <w:r w:rsidRPr="00785997">
        <w:rPr>
          <w:lang w:val="fr-FR"/>
        </w:rPr>
        <w:t>Un rapport sur le commerce du mercure et des composés du mercure a été établi en 2006 et présenté au Conseil d</w:t>
      </w:r>
      <w:r w:rsidR="000E1495">
        <w:rPr>
          <w:lang w:val="fr-FR"/>
        </w:rPr>
        <w:t>’</w:t>
      </w:r>
      <w:r w:rsidRPr="00785997">
        <w:rPr>
          <w:lang w:val="fr-FR"/>
        </w:rPr>
        <w:t>administration du Programme des Nations Unies pour l</w:t>
      </w:r>
      <w:r w:rsidR="000E1495">
        <w:rPr>
          <w:lang w:val="fr-FR"/>
        </w:rPr>
        <w:t>’</w:t>
      </w:r>
      <w:r w:rsidR="00763E5B">
        <w:rPr>
          <w:lang w:val="fr-FR"/>
        </w:rPr>
        <w:t>environnement. Un </w:t>
      </w:r>
      <w:r w:rsidRPr="00785997">
        <w:rPr>
          <w:lang w:val="fr-FR"/>
        </w:rPr>
        <w:t xml:space="preserve">nouveau rapport </w:t>
      </w:r>
      <w:r w:rsidR="001E087D">
        <w:rPr>
          <w:lang w:val="fr-FR"/>
        </w:rPr>
        <w:t>a commencé à être établi en</w:t>
      </w:r>
      <w:r w:rsidRPr="00785997">
        <w:rPr>
          <w:lang w:val="fr-FR"/>
        </w:rPr>
        <w:t xml:space="preserve"> 2016</w:t>
      </w:r>
      <w:r w:rsidR="001E087D">
        <w:rPr>
          <w:lang w:val="fr-FR"/>
        </w:rPr>
        <w:t>, qui évaluera</w:t>
      </w:r>
      <w:r w:rsidRPr="00785997">
        <w:rPr>
          <w:lang w:val="fr-FR"/>
        </w:rPr>
        <w:t xml:space="preserve"> les niveaux actuels de ce commerce. Le rapport donnera une idée de l</w:t>
      </w:r>
      <w:r w:rsidR="000E1495">
        <w:rPr>
          <w:lang w:val="fr-FR"/>
        </w:rPr>
        <w:t>’</w:t>
      </w:r>
      <w:r w:rsidRPr="00785997">
        <w:rPr>
          <w:lang w:val="fr-FR"/>
        </w:rPr>
        <w:t>importance des volumes de certains composés du mercure</w:t>
      </w:r>
      <w:r w:rsidR="001E087D">
        <w:rPr>
          <w:lang w:val="fr-FR"/>
        </w:rPr>
        <w:t xml:space="preserve"> qui sont </w:t>
      </w:r>
      <w:r w:rsidR="001E087D" w:rsidRPr="00785997">
        <w:rPr>
          <w:lang w:val="fr-FR"/>
        </w:rPr>
        <w:t>commercialisés</w:t>
      </w:r>
      <w:r w:rsidRPr="00785997">
        <w:rPr>
          <w:lang w:val="fr-FR"/>
        </w:rPr>
        <w:t>.</w:t>
      </w:r>
    </w:p>
    <w:p w:rsidR="007C36CE" w:rsidRPr="00785997" w:rsidRDefault="000E1495" w:rsidP="000D7CCE">
      <w:pPr>
        <w:pStyle w:val="CH1"/>
        <w:rPr>
          <w:lang w:val="fr-FR"/>
        </w:rPr>
      </w:pPr>
      <w:r>
        <w:rPr>
          <w:lang w:val="fr-FR"/>
        </w:rPr>
        <w:tab/>
      </w:r>
      <w:r w:rsidR="007C36CE" w:rsidRPr="00785997">
        <w:rPr>
          <w:lang w:val="fr-FR"/>
        </w:rPr>
        <w:t>II.</w:t>
      </w:r>
      <w:r w:rsidR="00315BFD">
        <w:rPr>
          <w:lang w:val="fr-FR"/>
        </w:rPr>
        <w:tab/>
      </w:r>
      <w:r w:rsidR="007C36CE" w:rsidRPr="00785997">
        <w:rPr>
          <w:lang w:val="fr-FR"/>
        </w:rPr>
        <w:t>Article</w:t>
      </w:r>
      <w:r>
        <w:rPr>
          <w:lang w:val="fr-FR"/>
        </w:rPr>
        <w:t> </w:t>
      </w:r>
      <w:r w:rsidR="007C36CE" w:rsidRPr="00785997">
        <w:rPr>
          <w:lang w:val="fr-FR"/>
        </w:rPr>
        <w:t>4</w:t>
      </w:r>
      <w:r w:rsidR="0072091E">
        <w:rPr>
          <w:lang w:val="fr-FR"/>
        </w:rPr>
        <w:t> </w:t>
      </w:r>
      <w:r w:rsidR="007C36CE" w:rsidRPr="00785997">
        <w:rPr>
          <w:lang w:val="fr-FR"/>
        </w:rPr>
        <w:t xml:space="preserve">: produits contenant du mercure ajouté </w:t>
      </w:r>
    </w:p>
    <w:p w:rsidR="007C36CE" w:rsidRDefault="00DC6C76" w:rsidP="007C36CE">
      <w:pPr>
        <w:pStyle w:val="Normalnumber"/>
        <w:tabs>
          <w:tab w:val="num" w:pos="1276"/>
          <w:tab w:val="num" w:pos="1305"/>
        </w:tabs>
        <w:ind w:left="1247" w:firstLine="0"/>
        <w:rPr>
          <w:lang w:val="fr-FR"/>
        </w:rPr>
      </w:pPr>
      <w:r w:rsidRPr="00785997">
        <w:rPr>
          <w:lang w:val="fr-FR"/>
        </w:rPr>
        <w:t>Le paragraphe</w:t>
      </w:r>
      <w:r w:rsidR="00A7558E">
        <w:rPr>
          <w:lang w:val="fr-FR"/>
        </w:rPr>
        <w:t> </w:t>
      </w:r>
      <w:r w:rsidRPr="00785997">
        <w:rPr>
          <w:lang w:val="fr-FR"/>
        </w:rPr>
        <w:t>8 de l</w:t>
      </w:r>
      <w:r w:rsidR="000E1495">
        <w:rPr>
          <w:lang w:val="fr-FR"/>
        </w:rPr>
        <w:t>’</w:t>
      </w:r>
      <w:r w:rsidRPr="00785997">
        <w:rPr>
          <w:lang w:val="fr-FR"/>
        </w:rPr>
        <w:t>article</w:t>
      </w:r>
      <w:r w:rsidR="00A7558E">
        <w:rPr>
          <w:lang w:val="fr-FR"/>
        </w:rPr>
        <w:t> </w:t>
      </w:r>
      <w:r w:rsidRPr="00785997">
        <w:rPr>
          <w:lang w:val="fr-FR"/>
        </w:rPr>
        <w:t>4 de la Convention prévoit qu</w:t>
      </w:r>
      <w:r w:rsidR="000E1495">
        <w:rPr>
          <w:lang w:val="fr-FR"/>
        </w:rPr>
        <w:t>’</w:t>
      </w:r>
      <w:r w:rsidRPr="00785997">
        <w:rPr>
          <w:lang w:val="fr-FR"/>
        </w:rPr>
        <w:t>au plus tard cinq ans après sa date d</w:t>
      </w:r>
      <w:r w:rsidR="000E1495">
        <w:rPr>
          <w:lang w:val="fr-FR"/>
        </w:rPr>
        <w:t>’</w:t>
      </w:r>
      <w:r w:rsidRPr="00785997">
        <w:rPr>
          <w:lang w:val="fr-FR"/>
        </w:rPr>
        <w:t>entrée en vigueur, la Conférence des Parties examine l</w:t>
      </w:r>
      <w:r w:rsidR="000E1495">
        <w:rPr>
          <w:lang w:val="fr-FR"/>
        </w:rPr>
        <w:t>’</w:t>
      </w:r>
      <w:r w:rsidRPr="00785997">
        <w:rPr>
          <w:lang w:val="fr-FR"/>
        </w:rPr>
        <w:t>Annexe A et peut envisager de l</w:t>
      </w:r>
      <w:r w:rsidR="000E1495">
        <w:rPr>
          <w:lang w:val="fr-FR"/>
        </w:rPr>
        <w:t>’</w:t>
      </w:r>
      <w:r w:rsidR="00763E5B">
        <w:rPr>
          <w:lang w:val="fr-FR"/>
        </w:rPr>
        <w:t>amender. Le </w:t>
      </w:r>
      <w:r w:rsidRPr="00785997">
        <w:rPr>
          <w:lang w:val="fr-FR"/>
        </w:rPr>
        <w:t xml:space="preserve">paragraphe 4 du même article </w:t>
      </w:r>
      <w:r w:rsidR="001E087D">
        <w:rPr>
          <w:lang w:val="fr-FR"/>
        </w:rPr>
        <w:t>dispose</w:t>
      </w:r>
      <w:r w:rsidRPr="00785997">
        <w:rPr>
          <w:lang w:val="fr-FR"/>
        </w:rPr>
        <w:t xml:space="preserve"> qu</w:t>
      </w:r>
      <w:r w:rsidR="000E1495">
        <w:rPr>
          <w:lang w:val="fr-FR"/>
        </w:rPr>
        <w:t>’</w:t>
      </w:r>
      <w:r w:rsidRPr="00785997">
        <w:rPr>
          <w:lang w:val="fr-FR"/>
        </w:rPr>
        <w:t>à partir d</w:t>
      </w:r>
      <w:r w:rsidR="000E1495">
        <w:rPr>
          <w:lang w:val="fr-FR"/>
        </w:rPr>
        <w:t>’</w:t>
      </w:r>
      <w:r w:rsidRPr="00785997">
        <w:rPr>
          <w:lang w:val="fr-FR"/>
        </w:rPr>
        <w:t>informations fournies par les Parties, le secrétariat recueille et tient à jour des informations sur les produits contenant du mercure ajouté et sur leurs solutions de remplacement, et met ces informati</w:t>
      </w:r>
      <w:r w:rsidR="00770D58">
        <w:rPr>
          <w:lang w:val="fr-FR"/>
        </w:rPr>
        <w:t>ons à la disposition du public.</w:t>
      </w:r>
    </w:p>
    <w:p w:rsidR="00770D58" w:rsidRPr="00770D58" w:rsidRDefault="00770D58" w:rsidP="000D057E">
      <w:pPr>
        <w:pStyle w:val="Normalnumber"/>
        <w:keepNext/>
        <w:keepLines/>
        <w:tabs>
          <w:tab w:val="num" w:pos="1276"/>
          <w:tab w:val="num" w:pos="1305"/>
        </w:tabs>
        <w:ind w:left="1247" w:firstLine="0"/>
        <w:rPr>
          <w:lang w:val="fr-FR"/>
        </w:rPr>
      </w:pPr>
      <w:r w:rsidRPr="00770D58">
        <w:rPr>
          <w:lang w:val="fr-FR"/>
        </w:rPr>
        <w:lastRenderedPageBreak/>
        <w:t>Le paragraphe</w:t>
      </w:r>
      <w:r w:rsidR="00A7558E">
        <w:rPr>
          <w:lang w:val="fr-FR"/>
        </w:rPr>
        <w:t> </w:t>
      </w:r>
      <w:r w:rsidRPr="00770D58">
        <w:rPr>
          <w:lang w:val="fr-FR"/>
        </w:rPr>
        <w:t>2 de l</w:t>
      </w:r>
      <w:r w:rsidR="000E1495">
        <w:rPr>
          <w:lang w:val="fr-FR"/>
        </w:rPr>
        <w:t>’</w:t>
      </w:r>
      <w:r w:rsidRPr="00770D58">
        <w:rPr>
          <w:lang w:val="fr-FR"/>
        </w:rPr>
        <w:t>article</w:t>
      </w:r>
      <w:r w:rsidR="00A7558E">
        <w:rPr>
          <w:lang w:val="fr-FR"/>
        </w:rPr>
        <w:t> </w:t>
      </w:r>
      <w:r w:rsidRPr="00770D58">
        <w:rPr>
          <w:lang w:val="fr-FR"/>
        </w:rPr>
        <w:t xml:space="preserve">4 de la Convention </w:t>
      </w:r>
      <w:r>
        <w:rPr>
          <w:lang w:val="fr-FR"/>
        </w:rPr>
        <w:t>prévoit qu</w:t>
      </w:r>
      <w:r w:rsidR="000E1495">
        <w:rPr>
          <w:lang w:val="fr-FR"/>
        </w:rPr>
        <w:t>’</w:t>
      </w:r>
      <w:r>
        <w:rPr>
          <w:lang w:val="fr-FR"/>
        </w:rPr>
        <w:t>a</w:t>
      </w:r>
      <w:r w:rsidRPr="00770D58">
        <w:rPr>
          <w:lang w:val="fr-FR"/>
        </w:rPr>
        <w:t>u plus tard cinq ans après la date d</w:t>
      </w:r>
      <w:r w:rsidR="000E1495">
        <w:rPr>
          <w:lang w:val="fr-FR"/>
        </w:rPr>
        <w:t>’</w:t>
      </w:r>
      <w:r w:rsidRPr="00770D58">
        <w:rPr>
          <w:lang w:val="fr-FR"/>
        </w:rPr>
        <w:t>entrée en vigueur de la Convention, la Conférence des Parties examine, dans le cadre de la procédure d</w:t>
      </w:r>
      <w:r w:rsidR="000E1495">
        <w:rPr>
          <w:lang w:val="fr-FR"/>
        </w:rPr>
        <w:t>’</w:t>
      </w:r>
      <w:r w:rsidRPr="00770D58">
        <w:rPr>
          <w:lang w:val="fr-FR"/>
        </w:rPr>
        <w:t>examen prévue au paragraphe 8, les progrès et l</w:t>
      </w:r>
      <w:r w:rsidR="000E1495">
        <w:rPr>
          <w:lang w:val="fr-FR"/>
        </w:rPr>
        <w:t>’</w:t>
      </w:r>
      <w:r w:rsidRPr="00770D58">
        <w:rPr>
          <w:lang w:val="fr-FR"/>
        </w:rPr>
        <w:t>efficacité des mesures prises e</w:t>
      </w:r>
      <w:r w:rsidR="004C3A5B">
        <w:rPr>
          <w:lang w:val="fr-FR"/>
        </w:rPr>
        <w:t xml:space="preserve">n application dudit </w:t>
      </w:r>
      <w:r w:rsidRPr="00770D58">
        <w:rPr>
          <w:lang w:val="fr-FR"/>
        </w:rPr>
        <w:t xml:space="preserve">paragraphe, </w:t>
      </w:r>
      <w:r w:rsidR="004C3A5B">
        <w:rPr>
          <w:lang w:val="fr-FR"/>
        </w:rPr>
        <w:t>qui porte sur les mesures et stratégies adoptées par une partie aux fins de réduire l</w:t>
      </w:r>
      <w:r w:rsidR="000E1495">
        <w:rPr>
          <w:lang w:val="fr-FR"/>
        </w:rPr>
        <w:t>’</w:t>
      </w:r>
      <w:r w:rsidR="004C3A5B">
        <w:rPr>
          <w:lang w:val="fr-FR"/>
        </w:rPr>
        <w:t>utilisation de produits visés à l</w:t>
      </w:r>
      <w:r w:rsidR="000E1495">
        <w:rPr>
          <w:lang w:val="fr-FR"/>
        </w:rPr>
        <w:t>’</w:t>
      </w:r>
      <w:r w:rsidR="00F13CEE">
        <w:rPr>
          <w:lang w:val="fr-FR"/>
        </w:rPr>
        <w:t>A</w:t>
      </w:r>
      <w:r w:rsidR="004C3A5B">
        <w:rPr>
          <w:lang w:val="fr-FR"/>
        </w:rPr>
        <w:t>nnexe </w:t>
      </w:r>
      <w:r w:rsidRPr="00770D58">
        <w:rPr>
          <w:lang w:val="fr-FR"/>
        </w:rPr>
        <w:t>A.</w:t>
      </w:r>
    </w:p>
    <w:p w:rsidR="007C36CE" w:rsidRPr="00785997" w:rsidRDefault="000E1495" w:rsidP="000D7CCE">
      <w:pPr>
        <w:pStyle w:val="CH1"/>
        <w:rPr>
          <w:lang w:val="fr-FR"/>
        </w:rPr>
      </w:pPr>
      <w:r>
        <w:rPr>
          <w:lang w:val="fr-FR"/>
        </w:rPr>
        <w:tab/>
      </w:r>
      <w:r w:rsidR="007C36CE" w:rsidRPr="00785997">
        <w:rPr>
          <w:lang w:val="fr-FR"/>
        </w:rPr>
        <w:t>III.</w:t>
      </w:r>
      <w:r w:rsidR="007C36CE" w:rsidRPr="00785997">
        <w:rPr>
          <w:lang w:val="fr-FR"/>
        </w:rPr>
        <w:tab/>
      </w:r>
      <w:r>
        <w:rPr>
          <w:lang w:val="fr-FR"/>
        </w:rPr>
        <w:t>Article </w:t>
      </w:r>
      <w:r w:rsidR="007C36CE" w:rsidRPr="00785997">
        <w:rPr>
          <w:lang w:val="fr-FR"/>
        </w:rPr>
        <w:t>5</w:t>
      </w:r>
      <w:r w:rsidR="0072091E">
        <w:rPr>
          <w:lang w:val="fr-FR"/>
        </w:rPr>
        <w:t> </w:t>
      </w:r>
      <w:r w:rsidR="007C36CE" w:rsidRPr="00785997">
        <w:rPr>
          <w:lang w:val="fr-FR"/>
        </w:rPr>
        <w:t>: procédés de fabricat</w:t>
      </w:r>
      <w:r>
        <w:rPr>
          <w:lang w:val="fr-FR"/>
        </w:rPr>
        <w:t>ion utilisant du mercure ou des </w:t>
      </w:r>
      <w:r w:rsidR="007C36CE" w:rsidRPr="00785997">
        <w:rPr>
          <w:lang w:val="fr-FR"/>
        </w:rPr>
        <w:t>composés du mercure</w:t>
      </w:r>
    </w:p>
    <w:p w:rsidR="007C36CE" w:rsidRPr="00785997" w:rsidRDefault="00DC6C76" w:rsidP="000D7CCE">
      <w:pPr>
        <w:pStyle w:val="Normalnumber"/>
        <w:keepNext/>
        <w:keepLines/>
        <w:numPr>
          <w:ilvl w:val="0"/>
          <w:numId w:val="20"/>
        </w:numPr>
        <w:tabs>
          <w:tab w:val="clear" w:pos="624"/>
          <w:tab w:val="left" w:pos="1247"/>
          <w:tab w:val="num" w:pos="1276"/>
          <w:tab w:val="left" w:pos="1814"/>
          <w:tab w:val="left" w:pos="2381"/>
          <w:tab w:val="left" w:pos="2948"/>
          <w:tab w:val="left" w:pos="3515"/>
          <w:tab w:val="left" w:pos="4082"/>
        </w:tabs>
        <w:ind w:left="1276"/>
        <w:rPr>
          <w:lang w:val="fr-FR"/>
        </w:rPr>
      </w:pPr>
      <w:r w:rsidRPr="00785997">
        <w:rPr>
          <w:lang w:val="fr-FR"/>
        </w:rPr>
        <w:t xml:space="preserve">Le </w:t>
      </w:r>
      <w:r w:rsidR="00BD1351">
        <w:rPr>
          <w:lang w:val="fr-FR"/>
        </w:rPr>
        <w:t>paragraphe </w:t>
      </w:r>
      <w:r w:rsidRPr="00785997">
        <w:rPr>
          <w:lang w:val="fr-FR"/>
        </w:rPr>
        <w:t>10 de l</w:t>
      </w:r>
      <w:r w:rsidR="000E1495">
        <w:rPr>
          <w:lang w:val="fr-FR"/>
        </w:rPr>
        <w:t>’</w:t>
      </w:r>
      <w:r w:rsidRPr="00785997">
        <w:rPr>
          <w:lang w:val="fr-FR"/>
        </w:rPr>
        <w:t>article</w:t>
      </w:r>
      <w:r w:rsidR="00BD1351">
        <w:rPr>
          <w:lang w:val="fr-FR"/>
        </w:rPr>
        <w:t> </w:t>
      </w:r>
      <w:r w:rsidRPr="00785997">
        <w:rPr>
          <w:lang w:val="fr-FR"/>
        </w:rPr>
        <w:t>5 de la Convention prévoit qu</w:t>
      </w:r>
      <w:r w:rsidR="000E1495">
        <w:rPr>
          <w:lang w:val="fr-FR"/>
        </w:rPr>
        <w:t>’</w:t>
      </w:r>
      <w:r w:rsidRPr="00785997">
        <w:rPr>
          <w:lang w:val="fr-FR"/>
        </w:rPr>
        <w:t>au plus tard cinq ans après sa date d</w:t>
      </w:r>
      <w:r w:rsidR="000E1495">
        <w:rPr>
          <w:lang w:val="fr-FR"/>
        </w:rPr>
        <w:t>’</w:t>
      </w:r>
      <w:r w:rsidRPr="00785997">
        <w:rPr>
          <w:lang w:val="fr-FR"/>
        </w:rPr>
        <w:t>entrée en vigueur, la Conférence des Parties examine l</w:t>
      </w:r>
      <w:r w:rsidR="000E1495">
        <w:rPr>
          <w:lang w:val="fr-FR"/>
        </w:rPr>
        <w:t>’</w:t>
      </w:r>
      <w:r w:rsidRPr="00785997">
        <w:rPr>
          <w:lang w:val="fr-FR"/>
        </w:rPr>
        <w:t>Annexe B et peut envisager de l</w:t>
      </w:r>
      <w:r w:rsidR="000E1495">
        <w:rPr>
          <w:lang w:val="fr-FR"/>
        </w:rPr>
        <w:t>’</w:t>
      </w:r>
      <w:r w:rsidRPr="00785997">
        <w:rPr>
          <w:lang w:val="fr-FR"/>
        </w:rPr>
        <w:t>amender. Le</w:t>
      </w:r>
      <w:r w:rsidR="00F13CEE">
        <w:rPr>
          <w:lang w:val="fr-FR"/>
        </w:rPr>
        <w:t> </w:t>
      </w:r>
      <w:r w:rsidRPr="00785997">
        <w:rPr>
          <w:lang w:val="fr-FR"/>
        </w:rPr>
        <w:t>paragraphe 4 du même article prévoit qu</w:t>
      </w:r>
      <w:r w:rsidR="000E1495">
        <w:rPr>
          <w:lang w:val="fr-FR"/>
        </w:rPr>
        <w:t>’</w:t>
      </w:r>
      <w:r w:rsidRPr="00785997">
        <w:rPr>
          <w:lang w:val="fr-FR"/>
        </w:rPr>
        <w:t>à partir d</w:t>
      </w:r>
      <w:r w:rsidR="000E1495">
        <w:rPr>
          <w:lang w:val="fr-FR"/>
        </w:rPr>
        <w:t>’</w:t>
      </w:r>
      <w:r w:rsidRPr="00785997">
        <w:rPr>
          <w:lang w:val="fr-FR"/>
        </w:rPr>
        <w:t>informations fournies par les Parties, le secrétariat recueille et tient à jour des informations sur les procédés utilisant du mercure ou des composés du mercure et leurs solutions de remplacement, et met ces informations à la disposition du public.</w:t>
      </w:r>
    </w:p>
    <w:p w:rsidR="007C36CE" w:rsidRPr="00785997" w:rsidRDefault="000E1495" w:rsidP="000D7CCE">
      <w:pPr>
        <w:pStyle w:val="CH1"/>
        <w:rPr>
          <w:lang w:val="fr-FR"/>
        </w:rPr>
      </w:pPr>
      <w:r>
        <w:rPr>
          <w:lang w:val="fr-FR"/>
        </w:rPr>
        <w:tab/>
      </w:r>
      <w:r w:rsidR="007C36CE" w:rsidRPr="00785997">
        <w:rPr>
          <w:lang w:val="fr-FR"/>
        </w:rPr>
        <w:t>IV.</w:t>
      </w:r>
      <w:r w:rsidR="007C36CE" w:rsidRPr="00785997">
        <w:rPr>
          <w:lang w:val="fr-FR"/>
        </w:rPr>
        <w:tab/>
      </w:r>
      <w:r>
        <w:rPr>
          <w:lang w:val="fr-FR"/>
        </w:rPr>
        <w:t>Article </w:t>
      </w:r>
      <w:r w:rsidR="007C36CE" w:rsidRPr="00785997">
        <w:rPr>
          <w:lang w:val="fr-FR"/>
        </w:rPr>
        <w:t>14</w:t>
      </w:r>
      <w:r>
        <w:rPr>
          <w:lang w:val="fr-FR"/>
        </w:rPr>
        <w:t> </w:t>
      </w:r>
      <w:r w:rsidR="007C36CE" w:rsidRPr="00785997">
        <w:rPr>
          <w:lang w:val="fr-FR"/>
        </w:rPr>
        <w:t>: renforcement des cap</w:t>
      </w:r>
      <w:r>
        <w:rPr>
          <w:lang w:val="fr-FR"/>
        </w:rPr>
        <w:t>acités, assistance technique et </w:t>
      </w:r>
      <w:r w:rsidR="007C36CE" w:rsidRPr="00785997">
        <w:rPr>
          <w:lang w:val="fr-FR"/>
        </w:rPr>
        <w:t>transfert de technologies</w:t>
      </w:r>
    </w:p>
    <w:p w:rsidR="007C36CE" w:rsidRPr="00785997" w:rsidRDefault="004256F2" w:rsidP="007C36CE">
      <w:pPr>
        <w:pStyle w:val="Normalnumber"/>
        <w:tabs>
          <w:tab w:val="num" w:pos="851"/>
          <w:tab w:val="num" w:pos="1276"/>
        </w:tabs>
        <w:ind w:left="1247" w:firstLine="0"/>
        <w:rPr>
          <w:lang w:val="fr-FR"/>
        </w:rPr>
      </w:pPr>
      <w:r>
        <w:rPr>
          <w:lang w:val="fr-FR"/>
        </w:rPr>
        <w:t>Le paragraphe </w:t>
      </w:r>
      <w:r w:rsidR="00D64EB7" w:rsidRPr="00785997">
        <w:rPr>
          <w:lang w:val="fr-FR"/>
        </w:rPr>
        <w:t>4 de l</w:t>
      </w:r>
      <w:r w:rsidR="000E1495">
        <w:rPr>
          <w:lang w:val="fr-FR"/>
        </w:rPr>
        <w:t>’</w:t>
      </w:r>
      <w:r w:rsidR="00D64EB7" w:rsidRPr="00785997">
        <w:rPr>
          <w:lang w:val="fr-FR"/>
        </w:rPr>
        <w:t>article</w:t>
      </w:r>
      <w:r>
        <w:rPr>
          <w:lang w:val="fr-FR"/>
        </w:rPr>
        <w:t> </w:t>
      </w:r>
      <w:r w:rsidR="00D64EB7" w:rsidRPr="00785997">
        <w:rPr>
          <w:lang w:val="fr-FR"/>
        </w:rPr>
        <w:t xml:space="preserve">14 </w:t>
      </w:r>
      <w:proofErr w:type="gramStart"/>
      <w:r w:rsidR="00D64EB7" w:rsidRPr="00785997">
        <w:rPr>
          <w:lang w:val="fr-FR"/>
        </w:rPr>
        <w:t>prévoit</w:t>
      </w:r>
      <w:proofErr w:type="gramEnd"/>
      <w:r w:rsidR="00D64EB7" w:rsidRPr="00785997">
        <w:rPr>
          <w:lang w:val="fr-FR"/>
        </w:rPr>
        <w:t xml:space="preserve"> que la Conférence des Parties, au plus tard à sa deuxième réunion et, par la suite, à intervalles réguliers, en tenant compte des communications et des rapports soumis par les Parties, y compris ceux requis à l</w:t>
      </w:r>
      <w:r w:rsidR="000E1495">
        <w:rPr>
          <w:lang w:val="fr-FR"/>
        </w:rPr>
        <w:t>’</w:t>
      </w:r>
      <w:r w:rsidR="00D64EB7" w:rsidRPr="00785997">
        <w:rPr>
          <w:lang w:val="fr-FR"/>
        </w:rPr>
        <w:t>article 21, ainsi que des informations fournies par d</w:t>
      </w:r>
      <w:r w:rsidR="000E1495">
        <w:rPr>
          <w:lang w:val="fr-FR"/>
        </w:rPr>
        <w:t>’</w:t>
      </w:r>
      <w:r w:rsidR="00D64EB7" w:rsidRPr="00785997">
        <w:rPr>
          <w:lang w:val="fr-FR"/>
        </w:rPr>
        <w:t>autres parties prenantes :</w:t>
      </w:r>
    </w:p>
    <w:p w:rsidR="007C36CE" w:rsidRPr="00785997" w:rsidRDefault="007C36CE" w:rsidP="000E1495">
      <w:pPr>
        <w:pStyle w:val="Normalnumber"/>
        <w:numPr>
          <w:ilvl w:val="1"/>
          <w:numId w:val="5"/>
        </w:numPr>
        <w:tabs>
          <w:tab w:val="num" w:pos="1276"/>
        </w:tabs>
        <w:rPr>
          <w:lang w:val="fr-FR"/>
        </w:rPr>
      </w:pPr>
      <w:r w:rsidRPr="00785997">
        <w:rPr>
          <w:lang w:val="fr-FR"/>
        </w:rPr>
        <w:t>Examine les informations sur les initiatives en cours et les progrès accomplis dans le domaine des technologies de remplacement;</w:t>
      </w:r>
    </w:p>
    <w:p w:rsidR="007C36CE" w:rsidRPr="00785997" w:rsidRDefault="007C36CE" w:rsidP="000D7CCE">
      <w:pPr>
        <w:pStyle w:val="Normalnumber"/>
        <w:numPr>
          <w:ilvl w:val="1"/>
          <w:numId w:val="5"/>
        </w:numPr>
        <w:tabs>
          <w:tab w:val="num" w:pos="1276"/>
        </w:tabs>
        <w:rPr>
          <w:lang w:val="fr-FR"/>
        </w:rPr>
      </w:pPr>
      <w:r w:rsidRPr="00785997">
        <w:rPr>
          <w:lang w:val="fr-FR"/>
        </w:rPr>
        <w:t>Évalue les besoins des Parties en matière de technologies de remplacement, en particulier celles des Parties qui sont des pays en développement;</w:t>
      </w:r>
    </w:p>
    <w:p w:rsidR="007C36CE" w:rsidRPr="00785997" w:rsidRDefault="007C36CE" w:rsidP="000D7CCE">
      <w:pPr>
        <w:pStyle w:val="Normalnumber"/>
        <w:numPr>
          <w:ilvl w:val="1"/>
          <w:numId w:val="5"/>
        </w:numPr>
        <w:tabs>
          <w:tab w:val="num" w:pos="1276"/>
        </w:tabs>
        <w:rPr>
          <w:lang w:val="fr-FR"/>
        </w:rPr>
      </w:pPr>
      <w:r w:rsidRPr="00785997">
        <w:rPr>
          <w:lang w:val="fr-FR"/>
        </w:rPr>
        <w:t xml:space="preserve">Identifie les défis rencontrés par les Parties, en particulier celles qui sont des pays en développement, en matière de transfert de technologies. </w:t>
      </w:r>
    </w:p>
    <w:p w:rsidR="007C36CE" w:rsidRPr="00785997" w:rsidRDefault="000E1495" w:rsidP="000D7CCE">
      <w:pPr>
        <w:pStyle w:val="CH1"/>
        <w:rPr>
          <w:lang w:val="fr-FR"/>
        </w:rPr>
      </w:pPr>
      <w:r>
        <w:rPr>
          <w:lang w:val="fr-FR"/>
        </w:rPr>
        <w:tab/>
      </w:r>
      <w:r w:rsidR="007C36CE" w:rsidRPr="00785997">
        <w:rPr>
          <w:lang w:val="fr-FR"/>
        </w:rPr>
        <w:t>V.</w:t>
      </w:r>
      <w:r w:rsidR="007C36CE" w:rsidRPr="00785997">
        <w:rPr>
          <w:lang w:val="fr-FR"/>
        </w:rPr>
        <w:tab/>
      </w:r>
      <w:r>
        <w:rPr>
          <w:lang w:val="fr-FR"/>
        </w:rPr>
        <w:t>Article </w:t>
      </w:r>
      <w:r w:rsidR="007C36CE" w:rsidRPr="00785997">
        <w:rPr>
          <w:lang w:val="fr-FR"/>
        </w:rPr>
        <w:t>16</w:t>
      </w:r>
      <w:r>
        <w:rPr>
          <w:lang w:val="fr-FR"/>
        </w:rPr>
        <w:t> </w:t>
      </w:r>
      <w:r w:rsidR="007C36CE" w:rsidRPr="00785997">
        <w:rPr>
          <w:lang w:val="fr-FR"/>
        </w:rPr>
        <w:t>: aspects sanitaires</w:t>
      </w:r>
    </w:p>
    <w:p w:rsidR="007C36CE" w:rsidRPr="00785997" w:rsidRDefault="00D64EB7" w:rsidP="007C36CE">
      <w:pPr>
        <w:pStyle w:val="Normalnumber"/>
        <w:ind w:left="1247" w:firstLine="0"/>
        <w:rPr>
          <w:lang w:val="fr-FR"/>
        </w:rPr>
      </w:pPr>
      <w:r w:rsidRPr="00785997">
        <w:rPr>
          <w:lang w:val="fr-FR"/>
        </w:rPr>
        <w:t>Le paragraphe</w:t>
      </w:r>
      <w:r w:rsidR="000E1495">
        <w:rPr>
          <w:lang w:val="fr-FR"/>
        </w:rPr>
        <w:t> </w:t>
      </w:r>
      <w:r w:rsidRPr="00785997">
        <w:rPr>
          <w:lang w:val="fr-FR"/>
        </w:rPr>
        <w:t>2 de l</w:t>
      </w:r>
      <w:r w:rsidR="000E1495">
        <w:rPr>
          <w:lang w:val="fr-FR"/>
        </w:rPr>
        <w:t>’</w:t>
      </w:r>
      <w:r w:rsidRPr="00785997">
        <w:rPr>
          <w:lang w:val="fr-FR"/>
        </w:rPr>
        <w:t>article</w:t>
      </w:r>
      <w:r w:rsidR="000E1495">
        <w:rPr>
          <w:lang w:val="fr-FR"/>
        </w:rPr>
        <w:t> </w:t>
      </w:r>
      <w:r w:rsidRPr="00785997">
        <w:rPr>
          <w:lang w:val="fr-FR"/>
        </w:rPr>
        <w:t>16 prévoit que la Conférence des Parties, dans le cadre de l</w:t>
      </w:r>
      <w:r w:rsidR="000E1495">
        <w:rPr>
          <w:lang w:val="fr-FR"/>
        </w:rPr>
        <w:t>’</w:t>
      </w:r>
      <w:r w:rsidRPr="00785997">
        <w:rPr>
          <w:lang w:val="fr-FR"/>
        </w:rPr>
        <w:t>examen de questions ou d</w:t>
      </w:r>
      <w:r w:rsidR="000E1495">
        <w:rPr>
          <w:lang w:val="fr-FR"/>
        </w:rPr>
        <w:t>’</w:t>
      </w:r>
      <w:r w:rsidRPr="00785997">
        <w:rPr>
          <w:lang w:val="fr-FR"/>
        </w:rPr>
        <w:t xml:space="preserve">activités liées à la santé, devrait : </w:t>
      </w:r>
    </w:p>
    <w:p w:rsidR="007C36CE" w:rsidRPr="00785997" w:rsidRDefault="007C36CE" w:rsidP="000D7CCE">
      <w:pPr>
        <w:pStyle w:val="Normalnumber"/>
        <w:numPr>
          <w:ilvl w:val="1"/>
          <w:numId w:val="5"/>
        </w:numPr>
        <w:rPr>
          <w:lang w:val="fr-FR"/>
        </w:rPr>
      </w:pPr>
      <w:r w:rsidRPr="00785997">
        <w:rPr>
          <w:lang w:val="fr-FR"/>
        </w:rPr>
        <w:t>Consulter l</w:t>
      </w:r>
      <w:r w:rsidR="000E1495">
        <w:rPr>
          <w:lang w:val="fr-FR"/>
        </w:rPr>
        <w:t>’</w:t>
      </w:r>
      <w:r w:rsidRPr="00785997">
        <w:rPr>
          <w:lang w:val="fr-FR"/>
        </w:rPr>
        <w:t>Organisation mondiale de la Santé, l</w:t>
      </w:r>
      <w:r w:rsidR="000E1495">
        <w:rPr>
          <w:lang w:val="fr-FR"/>
        </w:rPr>
        <w:t>’</w:t>
      </w:r>
      <w:r w:rsidRPr="00785997">
        <w:rPr>
          <w:lang w:val="fr-FR"/>
        </w:rPr>
        <w:t>Organisation internationale du Travail et d</w:t>
      </w:r>
      <w:r w:rsidR="000E1495">
        <w:rPr>
          <w:lang w:val="fr-FR"/>
        </w:rPr>
        <w:t>’</w:t>
      </w:r>
      <w:r w:rsidRPr="00785997">
        <w:rPr>
          <w:lang w:val="fr-FR"/>
        </w:rPr>
        <w:t>autres organisations intergouvernementales compétentes et collaborer avec celles-ci, selon qu</w:t>
      </w:r>
      <w:r w:rsidR="000E1495">
        <w:rPr>
          <w:lang w:val="fr-FR"/>
        </w:rPr>
        <w:t>’</w:t>
      </w:r>
      <w:r w:rsidRPr="00785997">
        <w:rPr>
          <w:lang w:val="fr-FR"/>
        </w:rPr>
        <w:t>il convient;</w:t>
      </w:r>
    </w:p>
    <w:p w:rsidR="007C36CE" w:rsidRPr="00785997" w:rsidRDefault="007C36CE" w:rsidP="000D7CCE">
      <w:pPr>
        <w:pStyle w:val="Normalnumber"/>
        <w:numPr>
          <w:ilvl w:val="1"/>
          <w:numId w:val="5"/>
        </w:numPr>
        <w:rPr>
          <w:lang w:val="fr-FR"/>
        </w:rPr>
      </w:pPr>
      <w:r w:rsidRPr="00785997">
        <w:rPr>
          <w:lang w:val="fr-FR"/>
        </w:rPr>
        <w:t>Promouvoir la coopération et l</w:t>
      </w:r>
      <w:r w:rsidR="000E1495">
        <w:rPr>
          <w:lang w:val="fr-FR"/>
        </w:rPr>
        <w:t>’</w:t>
      </w:r>
      <w:r w:rsidRPr="00785997">
        <w:rPr>
          <w:lang w:val="fr-FR"/>
        </w:rPr>
        <w:t>échange d</w:t>
      </w:r>
      <w:r w:rsidR="000E1495">
        <w:rPr>
          <w:lang w:val="fr-FR"/>
        </w:rPr>
        <w:t>’</w:t>
      </w:r>
      <w:r w:rsidRPr="00785997">
        <w:rPr>
          <w:lang w:val="fr-FR"/>
        </w:rPr>
        <w:t>informations avec l</w:t>
      </w:r>
      <w:r w:rsidR="000E1495">
        <w:rPr>
          <w:lang w:val="fr-FR"/>
        </w:rPr>
        <w:t>’</w:t>
      </w:r>
      <w:r w:rsidRPr="00785997">
        <w:rPr>
          <w:lang w:val="fr-FR"/>
        </w:rPr>
        <w:t>Organisation mondiale de la Santé, l</w:t>
      </w:r>
      <w:r w:rsidR="000E1495">
        <w:rPr>
          <w:lang w:val="fr-FR"/>
        </w:rPr>
        <w:t>’</w:t>
      </w:r>
      <w:r w:rsidRPr="00785997">
        <w:rPr>
          <w:lang w:val="fr-FR"/>
        </w:rPr>
        <w:t>Organisation internationale du Travail et d</w:t>
      </w:r>
      <w:r w:rsidR="000E1495">
        <w:rPr>
          <w:lang w:val="fr-FR"/>
        </w:rPr>
        <w:t>’</w:t>
      </w:r>
      <w:r w:rsidRPr="00785997">
        <w:rPr>
          <w:lang w:val="fr-FR"/>
        </w:rPr>
        <w:t>autres organisations intergouvernementales compétentes, selon qu</w:t>
      </w:r>
      <w:r w:rsidR="000E1495">
        <w:rPr>
          <w:lang w:val="fr-FR"/>
        </w:rPr>
        <w:t>’</w:t>
      </w:r>
      <w:r w:rsidRPr="00785997">
        <w:rPr>
          <w:lang w:val="fr-FR"/>
        </w:rPr>
        <w:t>il convient.</w:t>
      </w:r>
    </w:p>
    <w:p w:rsidR="007C36CE" w:rsidRPr="00785997" w:rsidRDefault="007C36CE" w:rsidP="000D7CCE">
      <w:pPr>
        <w:pStyle w:val="Normalnumber"/>
        <w:ind w:left="1247" w:firstLine="0"/>
        <w:rPr>
          <w:lang w:val="fr-FR"/>
        </w:rPr>
      </w:pPr>
      <w:r w:rsidRPr="00785997">
        <w:rPr>
          <w:lang w:val="fr-FR"/>
        </w:rPr>
        <w:t>Durant la période précéd</w:t>
      </w:r>
      <w:r w:rsidR="00785997" w:rsidRPr="00785997">
        <w:rPr>
          <w:lang w:val="fr-FR"/>
        </w:rPr>
        <w:t>a</w:t>
      </w:r>
      <w:r w:rsidRPr="00785997">
        <w:rPr>
          <w:lang w:val="fr-FR"/>
        </w:rPr>
        <w:t>nt l</w:t>
      </w:r>
      <w:r w:rsidR="000E1495">
        <w:rPr>
          <w:lang w:val="fr-FR"/>
        </w:rPr>
        <w:t>’</w:t>
      </w:r>
      <w:r w:rsidRPr="00785997">
        <w:rPr>
          <w:lang w:val="fr-FR"/>
        </w:rPr>
        <w:t>entrée en vigueur de la Convention, le secrétariat provisoire a collaboré étroitement avec l</w:t>
      </w:r>
      <w:r w:rsidR="000E1495">
        <w:rPr>
          <w:lang w:val="fr-FR"/>
        </w:rPr>
        <w:t>’</w:t>
      </w:r>
      <w:r w:rsidRPr="00785997">
        <w:rPr>
          <w:lang w:val="fr-FR"/>
        </w:rPr>
        <w:t>Organisation mondiale de la Santé sur des sujets liés à la santé publique, notamment l</w:t>
      </w:r>
      <w:r w:rsidR="000E1495">
        <w:rPr>
          <w:lang w:val="fr-FR"/>
        </w:rPr>
        <w:t>’</w:t>
      </w:r>
      <w:r w:rsidRPr="00785997">
        <w:rPr>
          <w:lang w:val="fr-FR"/>
        </w:rPr>
        <w:t>élaboration d</w:t>
      </w:r>
      <w:r w:rsidR="000E1495">
        <w:rPr>
          <w:lang w:val="fr-FR"/>
        </w:rPr>
        <w:t>’</w:t>
      </w:r>
      <w:r w:rsidRPr="00785997">
        <w:rPr>
          <w:lang w:val="fr-FR"/>
        </w:rPr>
        <w:t>une stratégie de santé publique pour le secteur de l</w:t>
      </w:r>
      <w:r w:rsidR="000E1495">
        <w:rPr>
          <w:lang w:val="fr-FR"/>
        </w:rPr>
        <w:t>’</w:t>
      </w:r>
      <w:r w:rsidRPr="00785997">
        <w:rPr>
          <w:lang w:val="fr-FR"/>
        </w:rPr>
        <w:t>extraction d</w:t>
      </w:r>
      <w:r w:rsidR="000E1495">
        <w:rPr>
          <w:lang w:val="fr-FR"/>
        </w:rPr>
        <w:t>’</w:t>
      </w:r>
      <w:r w:rsidRPr="00785997">
        <w:rPr>
          <w:lang w:val="fr-FR"/>
        </w:rPr>
        <w:t>or</w:t>
      </w:r>
      <w:r w:rsidR="001E087D">
        <w:rPr>
          <w:lang w:val="fr-FR"/>
        </w:rPr>
        <w:t xml:space="preserve"> artisanale et à petite échelle</w:t>
      </w:r>
      <w:r w:rsidRPr="00785997">
        <w:rPr>
          <w:lang w:val="fr-FR"/>
        </w:rPr>
        <w:t xml:space="preserve"> ainsi que </w:t>
      </w:r>
      <w:r w:rsidR="001E087D">
        <w:rPr>
          <w:lang w:val="fr-FR"/>
        </w:rPr>
        <w:t>la fourniture</w:t>
      </w:r>
      <w:r w:rsidRPr="00785997">
        <w:rPr>
          <w:lang w:val="fr-FR"/>
        </w:rPr>
        <w:t xml:space="preserve"> de conseils aux gouvernements concernant la transition vers du matériel sans mercure dans le secteur des soins de santé. L</w:t>
      </w:r>
      <w:r w:rsidR="000E1495">
        <w:rPr>
          <w:lang w:val="fr-FR"/>
        </w:rPr>
        <w:t>’</w:t>
      </w:r>
      <w:r w:rsidRPr="00785997">
        <w:rPr>
          <w:lang w:val="fr-FR"/>
        </w:rPr>
        <w:t xml:space="preserve">Organisation mondiale de la Santé a également fourni des informations concernant la détection des populations vulnérables, ainsi que des conseils relatifs à la consommation de poisson. </w:t>
      </w:r>
    </w:p>
    <w:p w:rsidR="007C36CE" w:rsidRPr="00F13CEE" w:rsidRDefault="000E1495" w:rsidP="008238BF">
      <w:pPr>
        <w:pStyle w:val="CH2"/>
        <w:rPr>
          <w:sz w:val="28"/>
          <w:szCs w:val="28"/>
          <w:lang w:val="fr-FR"/>
        </w:rPr>
      </w:pPr>
      <w:r>
        <w:rPr>
          <w:lang w:val="fr-FR"/>
        </w:rPr>
        <w:tab/>
      </w:r>
      <w:r w:rsidR="007C36CE" w:rsidRPr="00F13CEE">
        <w:rPr>
          <w:sz w:val="28"/>
          <w:szCs w:val="28"/>
          <w:lang w:val="fr-FR"/>
        </w:rPr>
        <w:t>VI.</w:t>
      </w:r>
      <w:r w:rsidR="007C36CE" w:rsidRPr="00F13CEE">
        <w:rPr>
          <w:sz w:val="28"/>
          <w:szCs w:val="28"/>
          <w:lang w:val="fr-FR"/>
        </w:rPr>
        <w:tab/>
        <w:t>Mesures que pourrait prendre la Conférence des Parties</w:t>
      </w:r>
    </w:p>
    <w:p w:rsidR="007C36CE" w:rsidRPr="00785997" w:rsidRDefault="007C36CE" w:rsidP="000D7CCE">
      <w:pPr>
        <w:pStyle w:val="Normalnumber"/>
        <w:ind w:left="1247" w:firstLine="0"/>
        <w:rPr>
          <w:lang w:val="fr-FR"/>
        </w:rPr>
      </w:pPr>
      <w:r w:rsidRPr="00785997">
        <w:rPr>
          <w:lang w:val="fr-FR"/>
        </w:rPr>
        <w:t xml:space="preserve">La Conférence des Parties souhaitera peut-être envisager les mesures suivantes dans le cadre de ces articles : </w:t>
      </w:r>
    </w:p>
    <w:p w:rsidR="007C36CE" w:rsidRPr="00785997" w:rsidRDefault="007C36CE" w:rsidP="000D7CCE">
      <w:pPr>
        <w:pStyle w:val="Normalnumber"/>
        <w:numPr>
          <w:ilvl w:val="1"/>
          <w:numId w:val="5"/>
        </w:numPr>
        <w:rPr>
          <w:lang w:val="fr-FR"/>
        </w:rPr>
      </w:pPr>
      <w:r w:rsidRPr="00785997">
        <w:rPr>
          <w:lang w:val="fr-FR"/>
        </w:rPr>
        <w:t>Concernant l</w:t>
      </w:r>
      <w:r w:rsidR="000E1495">
        <w:rPr>
          <w:lang w:val="fr-FR"/>
        </w:rPr>
        <w:t>’article </w:t>
      </w:r>
      <w:r w:rsidRPr="00785997">
        <w:rPr>
          <w:lang w:val="fr-FR"/>
        </w:rPr>
        <w:t xml:space="preserve">3, elle souhaitera peut-être réexaminer la question du commerce de composés du mercure à une réunion ultérieure et prier le secrétariat de la tenir informée de tout </w:t>
      </w:r>
      <w:r w:rsidR="001E087D">
        <w:rPr>
          <w:lang w:val="fr-FR"/>
        </w:rPr>
        <w:t>problème lié</w:t>
      </w:r>
      <w:r w:rsidRPr="00785997">
        <w:rPr>
          <w:lang w:val="fr-FR"/>
        </w:rPr>
        <w:t xml:space="preserve"> à ce commerce </w:t>
      </w:r>
      <w:r w:rsidR="00770D58">
        <w:rPr>
          <w:lang w:val="fr-FR"/>
        </w:rPr>
        <w:t>dont il prendrait connaissance;</w:t>
      </w:r>
    </w:p>
    <w:p w:rsidR="007C36CE" w:rsidRPr="00785997" w:rsidRDefault="007C36CE" w:rsidP="000D7CCE">
      <w:pPr>
        <w:pStyle w:val="Normalnumber"/>
        <w:numPr>
          <w:ilvl w:val="1"/>
          <w:numId w:val="5"/>
        </w:numPr>
        <w:rPr>
          <w:lang w:val="fr-FR"/>
        </w:rPr>
      </w:pPr>
      <w:r w:rsidRPr="00785997">
        <w:rPr>
          <w:lang w:val="fr-FR"/>
        </w:rPr>
        <w:t>Concernant les articles</w:t>
      </w:r>
      <w:r w:rsidR="000E1495">
        <w:rPr>
          <w:lang w:val="fr-FR"/>
        </w:rPr>
        <w:t> </w:t>
      </w:r>
      <w:r w:rsidRPr="00785997">
        <w:rPr>
          <w:lang w:val="fr-FR"/>
        </w:rPr>
        <w:t>4 et 5, elle souhaitera peut-être prier le secrétariat de rassembler les informations fournies par les Parties</w:t>
      </w:r>
      <w:r w:rsidR="004C3A5B">
        <w:rPr>
          <w:lang w:val="fr-FR"/>
        </w:rPr>
        <w:t>, y compris les informations concernant les mesures prises par les Parties par rapport au paragraphe 2 de l</w:t>
      </w:r>
      <w:r w:rsidR="000E1495">
        <w:rPr>
          <w:lang w:val="fr-FR"/>
        </w:rPr>
        <w:t>’</w:t>
      </w:r>
      <w:r w:rsidR="004C3A5B">
        <w:rPr>
          <w:lang w:val="fr-FR"/>
        </w:rPr>
        <w:t>article 4,</w:t>
      </w:r>
      <w:r w:rsidRPr="00785997">
        <w:rPr>
          <w:lang w:val="fr-FR"/>
        </w:rPr>
        <w:t xml:space="preserve"> d</w:t>
      </w:r>
      <w:r w:rsidR="000E1495">
        <w:rPr>
          <w:lang w:val="fr-FR"/>
        </w:rPr>
        <w:t>’</w:t>
      </w:r>
      <w:r w:rsidRPr="00785997">
        <w:rPr>
          <w:lang w:val="fr-FR"/>
        </w:rPr>
        <w:t>élaborer un rapport sur l</w:t>
      </w:r>
      <w:r w:rsidR="000E1495">
        <w:rPr>
          <w:lang w:val="fr-FR"/>
        </w:rPr>
        <w:t>’</w:t>
      </w:r>
      <w:r w:rsidRPr="00785997">
        <w:rPr>
          <w:lang w:val="fr-FR"/>
        </w:rPr>
        <w:t>inscription éventuelle d</w:t>
      </w:r>
      <w:r w:rsidR="000E1495">
        <w:rPr>
          <w:lang w:val="fr-FR"/>
        </w:rPr>
        <w:t>’</w:t>
      </w:r>
      <w:r w:rsidRPr="00785997">
        <w:rPr>
          <w:lang w:val="fr-FR"/>
        </w:rPr>
        <w:t>autres produits contenant du mercure ajouté dans l</w:t>
      </w:r>
      <w:r w:rsidR="000E1495">
        <w:rPr>
          <w:lang w:val="fr-FR"/>
        </w:rPr>
        <w:t>’Annexe </w:t>
      </w:r>
      <w:r w:rsidRPr="00785997">
        <w:rPr>
          <w:lang w:val="fr-FR"/>
        </w:rPr>
        <w:t>A et d</w:t>
      </w:r>
      <w:r w:rsidR="000E1495">
        <w:rPr>
          <w:lang w:val="fr-FR"/>
        </w:rPr>
        <w:t>’</w:t>
      </w:r>
      <w:r w:rsidRPr="00785997">
        <w:rPr>
          <w:lang w:val="fr-FR"/>
        </w:rPr>
        <w:t xml:space="preserve">autres procédés de fabrication </w:t>
      </w:r>
      <w:r w:rsidRPr="00785997">
        <w:rPr>
          <w:lang w:val="fr-FR"/>
        </w:rPr>
        <w:lastRenderedPageBreak/>
        <w:t>utilisant du mercure ou des comp</w:t>
      </w:r>
      <w:r w:rsidR="004C3A5B">
        <w:rPr>
          <w:lang w:val="fr-FR"/>
        </w:rPr>
        <w:t>osés du mercure dans l</w:t>
      </w:r>
      <w:r w:rsidR="000E1495">
        <w:rPr>
          <w:lang w:val="fr-FR"/>
        </w:rPr>
        <w:t>’</w:t>
      </w:r>
      <w:r w:rsidR="004C3A5B">
        <w:rPr>
          <w:lang w:val="fr-FR"/>
        </w:rPr>
        <w:t>Annexe</w:t>
      </w:r>
      <w:r w:rsidR="000E1495">
        <w:rPr>
          <w:lang w:val="fr-FR"/>
        </w:rPr>
        <w:t> </w:t>
      </w:r>
      <w:r w:rsidR="004C3A5B">
        <w:rPr>
          <w:lang w:val="fr-FR"/>
        </w:rPr>
        <w:t>B ainsi que sur la mise en œuvre du paragraphe 2 de l</w:t>
      </w:r>
      <w:r w:rsidR="000E1495">
        <w:rPr>
          <w:lang w:val="fr-FR"/>
        </w:rPr>
        <w:t>’</w:t>
      </w:r>
      <w:r w:rsidR="004C3A5B">
        <w:rPr>
          <w:lang w:val="fr-FR"/>
        </w:rPr>
        <w:t xml:space="preserve">article 4, et de le lui présenter </w:t>
      </w:r>
      <w:r w:rsidRPr="00785997">
        <w:rPr>
          <w:lang w:val="fr-FR"/>
        </w:rPr>
        <w:t>afin qu</w:t>
      </w:r>
      <w:r w:rsidR="000E1495">
        <w:rPr>
          <w:lang w:val="fr-FR"/>
        </w:rPr>
        <w:t>’</w:t>
      </w:r>
      <w:r w:rsidRPr="00785997">
        <w:rPr>
          <w:lang w:val="fr-FR"/>
        </w:rPr>
        <w:t>elle l</w:t>
      </w:r>
      <w:r w:rsidR="000E1495">
        <w:rPr>
          <w:lang w:val="fr-FR"/>
        </w:rPr>
        <w:t>’</w:t>
      </w:r>
      <w:r w:rsidR="00770D58">
        <w:rPr>
          <w:lang w:val="fr-FR"/>
        </w:rPr>
        <w:t>examine à sa troisième session;</w:t>
      </w:r>
    </w:p>
    <w:p w:rsidR="007C36CE" w:rsidRPr="00785997" w:rsidRDefault="007C36CE" w:rsidP="000D7CCE">
      <w:pPr>
        <w:pStyle w:val="Normalnumber"/>
        <w:numPr>
          <w:ilvl w:val="1"/>
          <w:numId w:val="5"/>
        </w:numPr>
        <w:rPr>
          <w:lang w:val="fr-FR"/>
        </w:rPr>
      </w:pPr>
      <w:r w:rsidRPr="00785997">
        <w:rPr>
          <w:lang w:val="fr-FR"/>
        </w:rPr>
        <w:t>Concernant l</w:t>
      </w:r>
      <w:r w:rsidR="000E1495">
        <w:rPr>
          <w:lang w:val="fr-FR"/>
        </w:rPr>
        <w:t>’</w:t>
      </w:r>
      <w:r w:rsidRPr="00785997">
        <w:rPr>
          <w:lang w:val="fr-FR"/>
        </w:rPr>
        <w:t>article</w:t>
      </w:r>
      <w:r w:rsidR="000E1495">
        <w:rPr>
          <w:lang w:val="fr-FR"/>
        </w:rPr>
        <w:t> </w:t>
      </w:r>
      <w:r w:rsidRPr="00785997">
        <w:rPr>
          <w:lang w:val="fr-FR"/>
        </w:rPr>
        <w:t>14, elle souhaitera peut-être prier le secrétariat de demander aux Parties et autres parties prenantes qu</w:t>
      </w:r>
      <w:r w:rsidR="000E1495">
        <w:rPr>
          <w:lang w:val="fr-FR"/>
        </w:rPr>
        <w:t>’</w:t>
      </w:r>
      <w:r w:rsidRPr="00785997">
        <w:rPr>
          <w:lang w:val="fr-FR"/>
        </w:rPr>
        <w:t>elles lui soumettent des communications et rapports sur les initiatives en cours et les progrès accomplis dans le domaine des technologies de remplacement; les besoins des Parties en matière de technologies de remplacement, en particulier celles qui sont des pays en développement; et les défis rencontrés par les Parties, en particulier celles qui sont des pays en développement, en matière de transfert de technologies, et de lui présenter les informations recueillies pour qu</w:t>
      </w:r>
      <w:r w:rsidR="000E1495">
        <w:rPr>
          <w:lang w:val="fr-FR"/>
        </w:rPr>
        <w:t>’</w:t>
      </w:r>
      <w:r w:rsidRPr="00785997">
        <w:rPr>
          <w:lang w:val="fr-FR"/>
        </w:rPr>
        <w:t>elle le</w:t>
      </w:r>
      <w:r w:rsidR="00770D58">
        <w:rPr>
          <w:lang w:val="fr-FR"/>
        </w:rPr>
        <w:t>s examine à sa deuxième réunion;</w:t>
      </w:r>
    </w:p>
    <w:p w:rsidR="007C36CE" w:rsidRPr="00785997" w:rsidRDefault="007C36CE" w:rsidP="000D7CCE">
      <w:pPr>
        <w:pStyle w:val="Normalnumber"/>
        <w:keepNext/>
        <w:keepLines/>
        <w:numPr>
          <w:ilvl w:val="1"/>
          <w:numId w:val="5"/>
        </w:numPr>
        <w:rPr>
          <w:lang w:val="fr-FR"/>
        </w:rPr>
      </w:pPr>
      <w:r w:rsidRPr="00785997">
        <w:rPr>
          <w:lang w:val="fr-FR"/>
        </w:rPr>
        <w:t>Concernant l</w:t>
      </w:r>
      <w:r w:rsidR="000E1495">
        <w:rPr>
          <w:lang w:val="fr-FR"/>
        </w:rPr>
        <w:t>’article </w:t>
      </w:r>
      <w:r w:rsidRPr="00785997">
        <w:rPr>
          <w:lang w:val="fr-FR"/>
        </w:rPr>
        <w:t>16, elle souhaitera peut-être prier le secrétariat de poursuivre ses travaux en coopération et</w:t>
      </w:r>
      <w:r w:rsidR="001E087D">
        <w:rPr>
          <w:lang w:val="fr-FR"/>
        </w:rPr>
        <w:t xml:space="preserve"> en</w:t>
      </w:r>
      <w:r w:rsidRPr="00785997">
        <w:rPr>
          <w:lang w:val="fr-FR"/>
        </w:rPr>
        <w:t xml:space="preserve"> collaboration avec l</w:t>
      </w:r>
      <w:r w:rsidR="000E1495">
        <w:rPr>
          <w:lang w:val="fr-FR"/>
        </w:rPr>
        <w:t>’</w:t>
      </w:r>
      <w:r w:rsidRPr="00785997">
        <w:rPr>
          <w:lang w:val="fr-FR"/>
        </w:rPr>
        <w:t>Organisation mondiale de la Santé et l</w:t>
      </w:r>
      <w:r w:rsidR="000E1495">
        <w:rPr>
          <w:lang w:val="fr-FR"/>
        </w:rPr>
        <w:t>’</w:t>
      </w:r>
      <w:r w:rsidRPr="00785997">
        <w:rPr>
          <w:lang w:val="fr-FR"/>
        </w:rPr>
        <w:t>Organisation internationale du Travail et de veiller à ce que toute liste de questions liées à la santé qui lui sera présentée pour qu</w:t>
      </w:r>
      <w:r w:rsidR="000E1495">
        <w:rPr>
          <w:lang w:val="fr-FR"/>
        </w:rPr>
        <w:t>’</w:t>
      </w:r>
      <w:r w:rsidRPr="00785997">
        <w:rPr>
          <w:lang w:val="fr-FR"/>
        </w:rPr>
        <w:t>elle l</w:t>
      </w:r>
      <w:r w:rsidR="000E1495">
        <w:rPr>
          <w:lang w:val="fr-FR"/>
        </w:rPr>
        <w:t>’</w:t>
      </w:r>
      <w:r w:rsidRPr="00785997">
        <w:rPr>
          <w:lang w:val="fr-FR"/>
        </w:rPr>
        <w:t xml:space="preserve">examine à des réunions ultérieures soit établie de manière concertée. </w:t>
      </w:r>
    </w:p>
    <w:p w:rsidR="00483E03" w:rsidRPr="00785997" w:rsidRDefault="00483E03" w:rsidP="00775D8D">
      <w:pPr>
        <w:pStyle w:val="Normal-pool"/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0832C7" w:rsidRPr="00F13CEE" w:rsidTr="000832C7">
        <w:tc>
          <w:tcPr>
            <w:tcW w:w="1942" w:type="dxa"/>
          </w:tcPr>
          <w:p w:rsidR="000832C7" w:rsidRPr="00785997" w:rsidRDefault="000832C7" w:rsidP="000832C7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942" w:type="dxa"/>
          </w:tcPr>
          <w:p w:rsidR="000832C7" w:rsidRPr="00785997" w:rsidRDefault="000832C7" w:rsidP="000832C7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0832C7" w:rsidRPr="00785997" w:rsidRDefault="000832C7" w:rsidP="000832C7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943" w:type="dxa"/>
          </w:tcPr>
          <w:p w:rsidR="000832C7" w:rsidRPr="00785997" w:rsidRDefault="000832C7" w:rsidP="000832C7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943" w:type="dxa"/>
          </w:tcPr>
          <w:p w:rsidR="000832C7" w:rsidRPr="00785997" w:rsidRDefault="000832C7" w:rsidP="000832C7">
            <w:pPr>
              <w:pStyle w:val="Normal-pool"/>
              <w:spacing w:before="520"/>
              <w:rPr>
                <w:lang w:val="fr-FR"/>
              </w:rPr>
            </w:pPr>
          </w:p>
        </w:tc>
      </w:tr>
    </w:tbl>
    <w:p w:rsidR="00F83855" w:rsidRPr="00785997" w:rsidRDefault="00F83855" w:rsidP="000832C7">
      <w:pPr>
        <w:pStyle w:val="Normal-pool"/>
        <w:rPr>
          <w:lang w:val="fr-FR"/>
        </w:rPr>
      </w:pPr>
    </w:p>
    <w:sectPr w:rsidR="00F83855" w:rsidRPr="00785997" w:rsidSect="008238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2C12AD" w15:done="0"/>
  <w15:commentEx w15:paraId="37228E53" w15:done="0"/>
  <w15:commentEx w15:paraId="39809848" w15:done="0"/>
  <w15:commentEx w15:paraId="791E2084" w15:done="0"/>
  <w15:commentEx w15:paraId="2BB64BB6" w15:done="0"/>
  <w15:commentEx w15:paraId="1F8525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9B" w:rsidRDefault="00C50C9B">
      <w:r>
        <w:separator/>
      </w:r>
    </w:p>
  </w:endnote>
  <w:endnote w:type="continuationSeparator" w:id="0">
    <w:p w:rsidR="00C50C9B" w:rsidRDefault="00C5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7A" w:rsidRDefault="0022287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0BC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7A" w:rsidRDefault="0022287A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0BC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7A" w:rsidRPr="008238BF" w:rsidRDefault="000D057E" w:rsidP="008238B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  <w:tab w:val="left" w:pos="624"/>
      </w:tabs>
      <w:rPr>
        <w:sz w:val="20"/>
      </w:rPr>
    </w:pPr>
    <w:r>
      <w:rPr>
        <w:lang w:val="fr-FR"/>
      </w:rPr>
      <w:t>K1703743</w:t>
    </w:r>
    <w:r>
      <w:rPr>
        <w:lang w:val="fr-FR"/>
      </w:rPr>
      <w:tab/>
      <w:t>0507</w:t>
    </w:r>
    <w:r w:rsidR="0022287A">
      <w:rPr>
        <w:lang w:val="fr-FR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9B" w:rsidRDefault="00C50C9B" w:rsidP="008238BF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/>
        <w:ind w:left="624"/>
      </w:pPr>
      <w:r>
        <w:separator/>
      </w:r>
    </w:p>
  </w:footnote>
  <w:footnote w:type="continuationSeparator" w:id="0">
    <w:p w:rsidR="00C50C9B" w:rsidRDefault="00C50C9B">
      <w:r>
        <w:continuationSeparator/>
      </w:r>
    </w:p>
  </w:footnote>
  <w:footnote w:id="1">
    <w:p w:rsidR="0022287A" w:rsidRPr="000D057E" w:rsidRDefault="0022287A" w:rsidP="008238BF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20" w:after="40"/>
        <w:ind w:left="1247"/>
        <w:rPr>
          <w:sz w:val="18"/>
          <w:szCs w:val="18"/>
        </w:rPr>
      </w:pPr>
      <w:r w:rsidRPr="000D057E">
        <w:rPr>
          <w:sz w:val="18"/>
          <w:szCs w:val="18"/>
          <w:lang w:val="fr-FR"/>
        </w:rPr>
        <w:t>* UNEP/MC/COP.1/1.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7A" w:rsidRPr="00CA5CA9" w:rsidRDefault="0022287A" w:rsidP="001A04AA">
    <w:pPr>
      <w:pStyle w:val="Header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COP.1</w:t>
    </w:r>
    <w:r w:rsidRPr="00CA5CA9">
      <w:rPr>
        <w:szCs w:val="18"/>
      </w:rPr>
      <w:t>/</w:t>
    </w:r>
    <w:r>
      <w:rPr>
        <w:szCs w:val="18"/>
      </w:rPr>
      <w:t>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7A" w:rsidRPr="00CA5CA9" w:rsidRDefault="0022287A" w:rsidP="001A04AA">
    <w:pPr>
      <w:pStyle w:val="Header"/>
      <w:jc w:val="right"/>
      <w:rPr>
        <w:szCs w:val="18"/>
      </w:rPr>
    </w:pPr>
    <w:r w:rsidRPr="00312543">
      <w:rPr>
        <w:bCs/>
        <w:szCs w:val="18"/>
      </w:rPr>
      <w:t>UNEP/MC/COP.1/</w:t>
    </w:r>
    <w:r>
      <w:rPr>
        <w:bCs/>
        <w:szCs w:val="18"/>
      </w:rPr>
      <w:t>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7A" w:rsidRDefault="0022287A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1E9"/>
    <w:multiLevelType w:val="hybridMultilevel"/>
    <w:tmpl w:val="2906392A"/>
    <w:lvl w:ilvl="0" w:tplc="23B8C90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6">
    <w:nsid w:val="52A66A9D"/>
    <w:multiLevelType w:val="multilevel"/>
    <w:tmpl w:val="1376D9C8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8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6"/>
  </w:num>
  <w:num w:numId="5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6"/>
  </w:num>
  <w:num w:numId="14">
    <w:abstractNumId w:val="6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5"/>
  </w:num>
  <w:num w:numId="19">
    <w:abstractNumId w:val="6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305"/>
          </w:tabs>
          <w:ind w:left="1418" w:firstLine="0"/>
        </w:pPr>
        <w:rPr>
          <w:rFonts w:hint="default"/>
          <w:b w:val="0"/>
          <w:bCs w:val="0"/>
        </w:rPr>
      </w:lvl>
    </w:lvlOverride>
  </w:num>
  <w:num w:numId="21">
    <w:abstractNumId w:val="6"/>
    <w:lvlOverride w:ilvl="0">
      <w:startOverride w:val="9"/>
      <w:lvl w:ilvl="0">
        <w:start w:val="9"/>
        <w:numFmt w:val="decimal"/>
        <w:pStyle w:val="Normalnumber"/>
        <w:lvlText w:val="%1."/>
        <w:lvlJc w:val="left"/>
        <w:pPr>
          <w:tabs>
            <w:tab w:val="num" w:pos="1305"/>
          </w:tabs>
          <w:ind w:left="1418" w:firstLine="0"/>
        </w:pPr>
        <w:rPr>
          <w:rFonts w:hint="default"/>
          <w:b w:val="0"/>
          <w:bCs w:val="0"/>
        </w:rPr>
      </w:lvl>
    </w:lvlOverride>
  </w:num>
  <w:num w:numId="22">
    <w:abstractNumId w:val="0"/>
  </w:num>
  <w:num w:numId="23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4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1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2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3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4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5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6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7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 w:comments="0"/>
  <w:defaultTabStop w:val="624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7F"/>
    <w:rsid w:val="00000E4A"/>
    <w:rsid w:val="000016E8"/>
    <w:rsid w:val="000024A3"/>
    <w:rsid w:val="00002E7E"/>
    <w:rsid w:val="000149E6"/>
    <w:rsid w:val="00023DA9"/>
    <w:rsid w:val="000247B0"/>
    <w:rsid w:val="0002502C"/>
    <w:rsid w:val="00026997"/>
    <w:rsid w:val="00026A08"/>
    <w:rsid w:val="00032E4E"/>
    <w:rsid w:val="00033E0B"/>
    <w:rsid w:val="00035EDE"/>
    <w:rsid w:val="00041DCE"/>
    <w:rsid w:val="000509B4"/>
    <w:rsid w:val="000553F1"/>
    <w:rsid w:val="0006035B"/>
    <w:rsid w:val="0006096F"/>
    <w:rsid w:val="000649C5"/>
    <w:rsid w:val="00071886"/>
    <w:rsid w:val="000742BC"/>
    <w:rsid w:val="00075D5E"/>
    <w:rsid w:val="00076CC6"/>
    <w:rsid w:val="00082A0C"/>
    <w:rsid w:val="00082BFB"/>
    <w:rsid w:val="000832C7"/>
    <w:rsid w:val="00083504"/>
    <w:rsid w:val="000849CA"/>
    <w:rsid w:val="0009640C"/>
    <w:rsid w:val="000A035D"/>
    <w:rsid w:val="000A33DF"/>
    <w:rsid w:val="000A5627"/>
    <w:rsid w:val="000B22A2"/>
    <w:rsid w:val="000B5621"/>
    <w:rsid w:val="000B6C42"/>
    <w:rsid w:val="000B73F9"/>
    <w:rsid w:val="000C2A52"/>
    <w:rsid w:val="000D0536"/>
    <w:rsid w:val="000D057E"/>
    <w:rsid w:val="000D24D3"/>
    <w:rsid w:val="000D33C0"/>
    <w:rsid w:val="000D4CF6"/>
    <w:rsid w:val="000D6941"/>
    <w:rsid w:val="000D7CCE"/>
    <w:rsid w:val="000E04CD"/>
    <w:rsid w:val="000E1495"/>
    <w:rsid w:val="000F1B80"/>
    <w:rsid w:val="000F4829"/>
    <w:rsid w:val="000F6535"/>
    <w:rsid w:val="001143B8"/>
    <w:rsid w:val="001202E3"/>
    <w:rsid w:val="00123699"/>
    <w:rsid w:val="001241FB"/>
    <w:rsid w:val="00126CBE"/>
    <w:rsid w:val="0013059D"/>
    <w:rsid w:val="00136187"/>
    <w:rsid w:val="00141A55"/>
    <w:rsid w:val="0014293F"/>
    <w:rsid w:val="0014397D"/>
    <w:rsid w:val="00144453"/>
    <w:rsid w:val="001446A3"/>
    <w:rsid w:val="00152B6B"/>
    <w:rsid w:val="00155395"/>
    <w:rsid w:val="00156B6B"/>
    <w:rsid w:val="00160940"/>
    <w:rsid w:val="00160D74"/>
    <w:rsid w:val="0016251F"/>
    <w:rsid w:val="00163EA0"/>
    <w:rsid w:val="001646EA"/>
    <w:rsid w:val="00167D02"/>
    <w:rsid w:val="001759D8"/>
    <w:rsid w:val="00177D7F"/>
    <w:rsid w:val="00180C3F"/>
    <w:rsid w:val="00181EC8"/>
    <w:rsid w:val="00184349"/>
    <w:rsid w:val="00195F33"/>
    <w:rsid w:val="001A04AA"/>
    <w:rsid w:val="001B1617"/>
    <w:rsid w:val="001B504B"/>
    <w:rsid w:val="001B6F89"/>
    <w:rsid w:val="001B6F98"/>
    <w:rsid w:val="001C191A"/>
    <w:rsid w:val="001D3874"/>
    <w:rsid w:val="001D7E75"/>
    <w:rsid w:val="001E087D"/>
    <w:rsid w:val="001E0D73"/>
    <w:rsid w:val="001E4028"/>
    <w:rsid w:val="001E45BD"/>
    <w:rsid w:val="001E56D2"/>
    <w:rsid w:val="001E7D56"/>
    <w:rsid w:val="001F0FBB"/>
    <w:rsid w:val="001F4EF3"/>
    <w:rsid w:val="001F75DE"/>
    <w:rsid w:val="001F779C"/>
    <w:rsid w:val="00200D58"/>
    <w:rsid w:val="002011C1"/>
    <w:rsid w:val="002013BE"/>
    <w:rsid w:val="00201EDC"/>
    <w:rsid w:val="002063A4"/>
    <w:rsid w:val="0021145B"/>
    <w:rsid w:val="00220C23"/>
    <w:rsid w:val="0022287A"/>
    <w:rsid w:val="002247F6"/>
    <w:rsid w:val="00225E21"/>
    <w:rsid w:val="002274D8"/>
    <w:rsid w:val="00234E78"/>
    <w:rsid w:val="00243D36"/>
    <w:rsid w:val="00246151"/>
    <w:rsid w:val="0024616E"/>
    <w:rsid w:val="00247707"/>
    <w:rsid w:val="00255632"/>
    <w:rsid w:val="0026018E"/>
    <w:rsid w:val="002623CD"/>
    <w:rsid w:val="00262C8A"/>
    <w:rsid w:val="00277CE2"/>
    <w:rsid w:val="002803F4"/>
    <w:rsid w:val="0028635C"/>
    <w:rsid w:val="00286740"/>
    <w:rsid w:val="00291EAE"/>
    <w:rsid w:val="002929D8"/>
    <w:rsid w:val="0029570E"/>
    <w:rsid w:val="002A237D"/>
    <w:rsid w:val="002A4C53"/>
    <w:rsid w:val="002B0672"/>
    <w:rsid w:val="002B247F"/>
    <w:rsid w:val="002B50D4"/>
    <w:rsid w:val="002C145D"/>
    <w:rsid w:val="002C25C4"/>
    <w:rsid w:val="002C2C3E"/>
    <w:rsid w:val="002C36FB"/>
    <w:rsid w:val="002C533E"/>
    <w:rsid w:val="002D027F"/>
    <w:rsid w:val="002D3E15"/>
    <w:rsid w:val="002D7A85"/>
    <w:rsid w:val="002D7B60"/>
    <w:rsid w:val="002E6C80"/>
    <w:rsid w:val="002F4761"/>
    <w:rsid w:val="002F5C79"/>
    <w:rsid w:val="002F68EE"/>
    <w:rsid w:val="003019E2"/>
    <w:rsid w:val="00304499"/>
    <w:rsid w:val="00310B4B"/>
    <w:rsid w:val="00310BEB"/>
    <w:rsid w:val="00312543"/>
    <w:rsid w:val="0031413F"/>
    <w:rsid w:val="00314854"/>
    <w:rsid w:val="003148BB"/>
    <w:rsid w:val="00315BFD"/>
    <w:rsid w:val="00317976"/>
    <w:rsid w:val="00320F2F"/>
    <w:rsid w:val="00326E66"/>
    <w:rsid w:val="00332216"/>
    <w:rsid w:val="003338F7"/>
    <w:rsid w:val="00355EA9"/>
    <w:rsid w:val="003578DE"/>
    <w:rsid w:val="00361688"/>
    <w:rsid w:val="003616AB"/>
    <w:rsid w:val="00361855"/>
    <w:rsid w:val="00372443"/>
    <w:rsid w:val="00377FD5"/>
    <w:rsid w:val="00387317"/>
    <w:rsid w:val="003877D5"/>
    <w:rsid w:val="003929B8"/>
    <w:rsid w:val="00396257"/>
    <w:rsid w:val="003974FD"/>
    <w:rsid w:val="00397EB8"/>
    <w:rsid w:val="003A4FD0"/>
    <w:rsid w:val="003A69D1"/>
    <w:rsid w:val="003A7705"/>
    <w:rsid w:val="003A77F1"/>
    <w:rsid w:val="003B1545"/>
    <w:rsid w:val="003C2885"/>
    <w:rsid w:val="003C3219"/>
    <w:rsid w:val="003C34B1"/>
    <w:rsid w:val="003C409D"/>
    <w:rsid w:val="003C5583"/>
    <w:rsid w:val="003C5BA6"/>
    <w:rsid w:val="003C74CF"/>
    <w:rsid w:val="003D2FCB"/>
    <w:rsid w:val="003D3752"/>
    <w:rsid w:val="003E35DA"/>
    <w:rsid w:val="003E455D"/>
    <w:rsid w:val="003F0E85"/>
    <w:rsid w:val="003F10BE"/>
    <w:rsid w:val="003F5F95"/>
    <w:rsid w:val="00410C55"/>
    <w:rsid w:val="00411FA7"/>
    <w:rsid w:val="00415FE6"/>
    <w:rsid w:val="00416854"/>
    <w:rsid w:val="00417725"/>
    <w:rsid w:val="00420709"/>
    <w:rsid w:val="004256F2"/>
    <w:rsid w:val="004375DD"/>
    <w:rsid w:val="00437F26"/>
    <w:rsid w:val="00444097"/>
    <w:rsid w:val="00445487"/>
    <w:rsid w:val="00446046"/>
    <w:rsid w:val="0044713F"/>
    <w:rsid w:val="00447E0D"/>
    <w:rsid w:val="00453A68"/>
    <w:rsid w:val="00454769"/>
    <w:rsid w:val="00465D27"/>
    <w:rsid w:val="00466991"/>
    <w:rsid w:val="0047064C"/>
    <w:rsid w:val="004822B7"/>
    <w:rsid w:val="00483E03"/>
    <w:rsid w:val="004844FA"/>
    <w:rsid w:val="0048620E"/>
    <w:rsid w:val="0049469E"/>
    <w:rsid w:val="0049682D"/>
    <w:rsid w:val="004A2217"/>
    <w:rsid w:val="004A24F9"/>
    <w:rsid w:val="004A42E1"/>
    <w:rsid w:val="004B162C"/>
    <w:rsid w:val="004B2ABE"/>
    <w:rsid w:val="004C3A5B"/>
    <w:rsid w:val="004C3DBE"/>
    <w:rsid w:val="004C5C96"/>
    <w:rsid w:val="004D06A4"/>
    <w:rsid w:val="004F1A81"/>
    <w:rsid w:val="004F3976"/>
    <w:rsid w:val="005050D2"/>
    <w:rsid w:val="00511D7B"/>
    <w:rsid w:val="0051272E"/>
    <w:rsid w:val="00514C13"/>
    <w:rsid w:val="00516D71"/>
    <w:rsid w:val="005218D9"/>
    <w:rsid w:val="00521EED"/>
    <w:rsid w:val="0052216E"/>
    <w:rsid w:val="005360CF"/>
    <w:rsid w:val="00536186"/>
    <w:rsid w:val="00544CBB"/>
    <w:rsid w:val="00545499"/>
    <w:rsid w:val="005656D7"/>
    <w:rsid w:val="00567280"/>
    <w:rsid w:val="00571C42"/>
    <w:rsid w:val="0057315F"/>
    <w:rsid w:val="0057338B"/>
    <w:rsid w:val="005738A4"/>
    <w:rsid w:val="00576104"/>
    <w:rsid w:val="00580923"/>
    <w:rsid w:val="00580D6C"/>
    <w:rsid w:val="00584860"/>
    <w:rsid w:val="00592B21"/>
    <w:rsid w:val="005B44BF"/>
    <w:rsid w:val="005B66F5"/>
    <w:rsid w:val="005C4DFD"/>
    <w:rsid w:val="005C67C8"/>
    <w:rsid w:val="005D0249"/>
    <w:rsid w:val="005D18FA"/>
    <w:rsid w:val="005D2120"/>
    <w:rsid w:val="005D25CF"/>
    <w:rsid w:val="005D4F3A"/>
    <w:rsid w:val="005D4FD4"/>
    <w:rsid w:val="005D6242"/>
    <w:rsid w:val="005D67B1"/>
    <w:rsid w:val="005D6E8C"/>
    <w:rsid w:val="005E3004"/>
    <w:rsid w:val="005E3C86"/>
    <w:rsid w:val="005F100C"/>
    <w:rsid w:val="005F68DA"/>
    <w:rsid w:val="00601BC9"/>
    <w:rsid w:val="0060773B"/>
    <w:rsid w:val="00613FD6"/>
    <w:rsid w:val="00614E24"/>
    <w:rsid w:val="006157B5"/>
    <w:rsid w:val="00617224"/>
    <w:rsid w:val="00620222"/>
    <w:rsid w:val="006233C8"/>
    <w:rsid w:val="00624B58"/>
    <w:rsid w:val="00626FC6"/>
    <w:rsid w:val="006303B4"/>
    <w:rsid w:val="00630ADC"/>
    <w:rsid w:val="00633D3D"/>
    <w:rsid w:val="006343C4"/>
    <w:rsid w:val="006368F1"/>
    <w:rsid w:val="00641703"/>
    <w:rsid w:val="006431A6"/>
    <w:rsid w:val="00643B4C"/>
    <w:rsid w:val="00643E3A"/>
    <w:rsid w:val="006459F6"/>
    <w:rsid w:val="006501AD"/>
    <w:rsid w:val="00651BFA"/>
    <w:rsid w:val="006534F9"/>
    <w:rsid w:val="00654475"/>
    <w:rsid w:val="00655560"/>
    <w:rsid w:val="00656DF0"/>
    <w:rsid w:val="00661446"/>
    <w:rsid w:val="00665A4B"/>
    <w:rsid w:val="00665D0D"/>
    <w:rsid w:val="00684BE1"/>
    <w:rsid w:val="00692E2A"/>
    <w:rsid w:val="006A76F2"/>
    <w:rsid w:val="006A7DE0"/>
    <w:rsid w:val="006B6333"/>
    <w:rsid w:val="006C0BE9"/>
    <w:rsid w:val="006D19D4"/>
    <w:rsid w:val="006D7EFB"/>
    <w:rsid w:val="006E13AF"/>
    <w:rsid w:val="006E6672"/>
    <w:rsid w:val="006E6722"/>
    <w:rsid w:val="006F0D46"/>
    <w:rsid w:val="006F7AFF"/>
    <w:rsid w:val="007027B9"/>
    <w:rsid w:val="007066B5"/>
    <w:rsid w:val="007145DA"/>
    <w:rsid w:val="00715E88"/>
    <w:rsid w:val="0072091E"/>
    <w:rsid w:val="00721A6D"/>
    <w:rsid w:val="007334E8"/>
    <w:rsid w:val="00734CAA"/>
    <w:rsid w:val="00741552"/>
    <w:rsid w:val="00742680"/>
    <w:rsid w:val="007551E2"/>
    <w:rsid w:val="0075533C"/>
    <w:rsid w:val="00755A53"/>
    <w:rsid w:val="00757581"/>
    <w:rsid w:val="007602F5"/>
    <w:rsid w:val="00760D36"/>
    <w:rsid w:val="007611A0"/>
    <w:rsid w:val="00763E5B"/>
    <w:rsid w:val="00770D58"/>
    <w:rsid w:val="00773E54"/>
    <w:rsid w:val="00774E34"/>
    <w:rsid w:val="00775D8D"/>
    <w:rsid w:val="00780BC0"/>
    <w:rsid w:val="0078489D"/>
    <w:rsid w:val="00785997"/>
    <w:rsid w:val="00787240"/>
    <w:rsid w:val="00787688"/>
    <w:rsid w:val="007935E6"/>
    <w:rsid w:val="00796D3F"/>
    <w:rsid w:val="007A1683"/>
    <w:rsid w:val="007A3DC0"/>
    <w:rsid w:val="007A5C12"/>
    <w:rsid w:val="007A7CB0"/>
    <w:rsid w:val="007B68A3"/>
    <w:rsid w:val="007C2541"/>
    <w:rsid w:val="007C36CE"/>
    <w:rsid w:val="007D66A8"/>
    <w:rsid w:val="007E003F"/>
    <w:rsid w:val="007E5F07"/>
    <w:rsid w:val="007F0CF8"/>
    <w:rsid w:val="007F62CB"/>
    <w:rsid w:val="00805335"/>
    <w:rsid w:val="008142EC"/>
    <w:rsid w:val="008164F2"/>
    <w:rsid w:val="00821395"/>
    <w:rsid w:val="008238BF"/>
    <w:rsid w:val="00830E26"/>
    <w:rsid w:val="00833D15"/>
    <w:rsid w:val="00843576"/>
    <w:rsid w:val="00843B64"/>
    <w:rsid w:val="008473F4"/>
    <w:rsid w:val="008478FC"/>
    <w:rsid w:val="00851756"/>
    <w:rsid w:val="00851C51"/>
    <w:rsid w:val="00856CDB"/>
    <w:rsid w:val="00867A15"/>
    <w:rsid w:val="00867BFF"/>
    <w:rsid w:val="00871542"/>
    <w:rsid w:val="00871E08"/>
    <w:rsid w:val="00872BF6"/>
    <w:rsid w:val="0088480A"/>
    <w:rsid w:val="0088757A"/>
    <w:rsid w:val="0089431B"/>
    <w:rsid w:val="00894479"/>
    <w:rsid w:val="00894DA2"/>
    <w:rsid w:val="00895668"/>
    <w:rsid w:val="008957DD"/>
    <w:rsid w:val="00897D98"/>
    <w:rsid w:val="008A2570"/>
    <w:rsid w:val="008A2F23"/>
    <w:rsid w:val="008A6DF2"/>
    <w:rsid w:val="008A7807"/>
    <w:rsid w:val="008B0CED"/>
    <w:rsid w:val="008B4B1C"/>
    <w:rsid w:val="008B4CC9"/>
    <w:rsid w:val="008C5FFF"/>
    <w:rsid w:val="008D4EF1"/>
    <w:rsid w:val="008D75E4"/>
    <w:rsid w:val="008D7C99"/>
    <w:rsid w:val="008E0FCB"/>
    <w:rsid w:val="008F6DFE"/>
    <w:rsid w:val="009008EA"/>
    <w:rsid w:val="0090529F"/>
    <w:rsid w:val="00905742"/>
    <w:rsid w:val="00917EEE"/>
    <w:rsid w:val="0092178C"/>
    <w:rsid w:val="00922BA1"/>
    <w:rsid w:val="00930B88"/>
    <w:rsid w:val="00934554"/>
    <w:rsid w:val="00940DCC"/>
    <w:rsid w:val="0094179A"/>
    <w:rsid w:val="0094459E"/>
    <w:rsid w:val="00944DBC"/>
    <w:rsid w:val="00950977"/>
    <w:rsid w:val="00951A7B"/>
    <w:rsid w:val="009541FC"/>
    <w:rsid w:val="009564A6"/>
    <w:rsid w:val="00960425"/>
    <w:rsid w:val="00966A53"/>
    <w:rsid w:val="00967621"/>
    <w:rsid w:val="00967E6A"/>
    <w:rsid w:val="009776E7"/>
    <w:rsid w:val="009907B9"/>
    <w:rsid w:val="00990918"/>
    <w:rsid w:val="009925BC"/>
    <w:rsid w:val="009A3A83"/>
    <w:rsid w:val="009B0D04"/>
    <w:rsid w:val="009B1C44"/>
    <w:rsid w:val="009B30FD"/>
    <w:rsid w:val="009B4A0F"/>
    <w:rsid w:val="009C11D2"/>
    <w:rsid w:val="009C3362"/>
    <w:rsid w:val="009C6C70"/>
    <w:rsid w:val="009C7B0A"/>
    <w:rsid w:val="009D0B63"/>
    <w:rsid w:val="009D32CE"/>
    <w:rsid w:val="009D5CB8"/>
    <w:rsid w:val="009E307E"/>
    <w:rsid w:val="009F7611"/>
    <w:rsid w:val="00A018C0"/>
    <w:rsid w:val="00A056B5"/>
    <w:rsid w:val="00A07870"/>
    <w:rsid w:val="00A07C54"/>
    <w:rsid w:val="00A07F19"/>
    <w:rsid w:val="00A1348D"/>
    <w:rsid w:val="00A13C99"/>
    <w:rsid w:val="00A232EE"/>
    <w:rsid w:val="00A243E5"/>
    <w:rsid w:val="00A2589A"/>
    <w:rsid w:val="00A414F6"/>
    <w:rsid w:val="00A4175F"/>
    <w:rsid w:val="00A43A67"/>
    <w:rsid w:val="00A44411"/>
    <w:rsid w:val="00A469FA"/>
    <w:rsid w:val="00A53662"/>
    <w:rsid w:val="00A55B01"/>
    <w:rsid w:val="00A56158"/>
    <w:rsid w:val="00A56B5B"/>
    <w:rsid w:val="00A603FF"/>
    <w:rsid w:val="00A619B6"/>
    <w:rsid w:val="00A648CA"/>
    <w:rsid w:val="00A657DD"/>
    <w:rsid w:val="00A65D0C"/>
    <w:rsid w:val="00A666A6"/>
    <w:rsid w:val="00A675FD"/>
    <w:rsid w:val="00A72437"/>
    <w:rsid w:val="00A7558E"/>
    <w:rsid w:val="00A8048B"/>
    <w:rsid w:val="00A80611"/>
    <w:rsid w:val="00A91D38"/>
    <w:rsid w:val="00A92050"/>
    <w:rsid w:val="00AA5BF4"/>
    <w:rsid w:val="00AB5340"/>
    <w:rsid w:val="00AC0A89"/>
    <w:rsid w:val="00AC62F0"/>
    <w:rsid w:val="00AC7252"/>
    <w:rsid w:val="00AC7C96"/>
    <w:rsid w:val="00AD4326"/>
    <w:rsid w:val="00AE237D"/>
    <w:rsid w:val="00AE38EB"/>
    <w:rsid w:val="00AE502A"/>
    <w:rsid w:val="00AF0010"/>
    <w:rsid w:val="00AF2C1F"/>
    <w:rsid w:val="00AF5E0F"/>
    <w:rsid w:val="00AF7A9F"/>
    <w:rsid w:val="00AF7C07"/>
    <w:rsid w:val="00B03E98"/>
    <w:rsid w:val="00B06C64"/>
    <w:rsid w:val="00B11CAC"/>
    <w:rsid w:val="00B15A29"/>
    <w:rsid w:val="00B17A26"/>
    <w:rsid w:val="00B22C93"/>
    <w:rsid w:val="00B27589"/>
    <w:rsid w:val="00B405B7"/>
    <w:rsid w:val="00B45A38"/>
    <w:rsid w:val="00B52222"/>
    <w:rsid w:val="00B52581"/>
    <w:rsid w:val="00B531DA"/>
    <w:rsid w:val="00B53E13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91EE1"/>
    <w:rsid w:val="00B94602"/>
    <w:rsid w:val="00BA0090"/>
    <w:rsid w:val="00BA1A67"/>
    <w:rsid w:val="00BA6A80"/>
    <w:rsid w:val="00BB3A5D"/>
    <w:rsid w:val="00BB4ABB"/>
    <w:rsid w:val="00BC041F"/>
    <w:rsid w:val="00BC5810"/>
    <w:rsid w:val="00BD1351"/>
    <w:rsid w:val="00BD506D"/>
    <w:rsid w:val="00BE5B5F"/>
    <w:rsid w:val="00BE7993"/>
    <w:rsid w:val="00BF5992"/>
    <w:rsid w:val="00C027FF"/>
    <w:rsid w:val="00C116AA"/>
    <w:rsid w:val="00C12FD1"/>
    <w:rsid w:val="00C168A7"/>
    <w:rsid w:val="00C172E3"/>
    <w:rsid w:val="00C20A2D"/>
    <w:rsid w:val="00C26F55"/>
    <w:rsid w:val="00C27DCA"/>
    <w:rsid w:val="00C30C63"/>
    <w:rsid w:val="00C30FF3"/>
    <w:rsid w:val="00C36B8B"/>
    <w:rsid w:val="00C415C1"/>
    <w:rsid w:val="00C47DBF"/>
    <w:rsid w:val="00C50C9B"/>
    <w:rsid w:val="00C543FE"/>
    <w:rsid w:val="00C552FF"/>
    <w:rsid w:val="00C558DA"/>
    <w:rsid w:val="00C55AF3"/>
    <w:rsid w:val="00C57E56"/>
    <w:rsid w:val="00C6062B"/>
    <w:rsid w:val="00C724EE"/>
    <w:rsid w:val="00C75781"/>
    <w:rsid w:val="00C75D04"/>
    <w:rsid w:val="00C771A9"/>
    <w:rsid w:val="00C84759"/>
    <w:rsid w:val="00C854BD"/>
    <w:rsid w:val="00C870D8"/>
    <w:rsid w:val="00C87AAA"/>
    <w:rsid w:val="00C87EEF"/>
    <w:rsid w:val="00CA2EA3"/>
    <w:rsid w:val="00CA5CA9"/>
    <w:rsid w:val="00CA6C7F"/>
    <w:rsid w:val="00CB6B35"/>
    <w:rsid w:val="00CC0FC7"/>
    <w:rsid w:val="00CC10A6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5E3F"/>
    <w:rsid w:val="00D067BB"/>
    <w:rsid w:val="00D1226D"/>
    <w:rsid w:val="00D1352A"/>
    <w:rsid w:val="00D15EC4"/>
    <w:rsid w:val="00D169AF"/>
    <w:rsid w:val="00D21BA2"/>
    <w:rsid w:val="00D25249"/>
    <w:rsid w:val="00D37EBA"/>
    <w:rsid w:val="00D411B5"/>
    <w:rsid w:val="00D44172"/>
    <w:rsid w:val="00D47BE3"/>
    <w:rsid w:val="00D63B8C"/>
    <w:rsid w:val="00D64EB7"/>
    <w:rsid w:val="00D651E4"/>
    <w:rsid w:val="00D739CC"/>
    <w:rsid w:val="00D77297"/>
    <w:rsid w:val="00D8093D"/>
    <w:rsid w:val="00D8108C"/>
    <w:rsid w:val="00D842AE"/>
    <w:rsid w:val="00D9211C"/>
    <w:rsid w:val="00D92DE0"/>
    <w:rsid w:val="00D92FEF"/>
    <w:rsid w:val="00D93A0F"/>
    <w:rsid w:val="00D9579D"/>
    <w:rsid w:val="00DA1BCA"/>
    <w:rsid w:val="00DA4A45"/>
    <w:rsid w:val="00DB34E0"/>
    <w:rsid w:val="00DB5925"/>
    <w:rsid w:val="00DC46FF"/>
    <w:rsid w:val="00DC5254"/>
    <w:rsid w:val="00DC569D"/>
    <w:rsid w:val="00DC5AB5"/>
    <w:rsid w:val="00DC6C76"/>
    <w:rsid w:val="00DD0B5A"/>
    <w:rsid w:val="00DD1A4F"/>
    <w:rsid w:val="00DD3107"/>
    <w:rsid w:val="00DD7C2C"/>
    <w:rsid w:val="00DE5BDA"/>
    <w:rsid w:val="00DF433C"/>
    <w:rsid w:val="00E0035A"/>
    <w:rsid w:val="00E033E6"/>
    <w:rsid w:val="00E06797"/>
    <w:rsid w:val="00E1265B"/>
    <w:rsid w:val="00E13B48"/>
    <w:rsid w:val="00E1404F"/>
    <w:rsid w:val="00E2042D"/>
    <w:rsid w:val="00E21C83"/>
    <w:rsid w:val="00E24ADA"/>
    <w:rsid w:val="00E2642A"/>
    <w:rsid w:val="00E32F59"/>
    <w:rsid w:val="00E41908"/>
    <w:rsid w:val="00E46D9A"/>
    <w:rsid w:val="00E565FF"/>
    <w:rsid w:val="00E65388"/>
    <w:rsid w:val="00E74122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AE2"/>
    <w:rsid w:val="00EA1159"/>
    <w:rsid w:val="00EA39E5"/>
    <w:rsid w:val="00EA57A3"/>
    <w:rsid w:val="00EB0578"/>
    <w:rsid w:val="00EC2813"/>
    <w:rsid w:val="00EC4197"/>
    <w:rsid w:val="00EC5A46"/>
    <w:rsid w:val="00EC63E2"/>
    <w:rsid w:val="00EC7AAA"/>
    <w:rsid w:val="00ED366A"/>
    <w:rsid w:val="00ED6BB7"/>
    <w:rsid w:val="00EE1723"/>
    <w:rsid w:val="00EF22B3"/>
    <w:rsid w:val="00EF5D53"/>
    <w:rsid w:val="00F03B69"/>
    <w:rsid w:val="00F07A50"/>
    <w:rsid w:val="00F113DA"/>
    <w:rsid w:val="00F12DA4"/>
    <w:rsid w:val="00F13CEE"/>
    <w:rsid w:val="00F1495C"/>
    <w:rsid w:val="00F266FC"/>
    <w:rsid w:val="00F3037A"/>
    <w:rsid w:val="00F3465A"/>
    <w:rsid w:val="00F37DC8"/>
    <w:rsid w:val="00F439B3"/>
    <w:rsid w:val="00F650C3"/>
    <w:rsid w:val="00F65D85"/>
    <w:rsid w:val="00F6700B"/>
    <w:rsid w:val="00F8091E"/>
    <w:rsid w:val="00F83855"/>
    <w:rsid w:val="00F8615C"/>
    <w:rsid w:val="00F8673E"/>
    <w:rsid w:val="00F969E5"/>
    <w:rsid w:val="00FA1D9B"/>
    <w:rsid w:val="00FA21BD"/>
    <w:rsid w:val="00FA4972"/>
    <w:rsid w:val="00FA6617"/>
    <w:rsid w:val="00FA6BB0"/>
    <w:rsid w:val="00FB2DBD"/>
    <w:rsid w:val="00FB53D9"/>
    <w:rsid w:val="00FC6DA0"/>
    <w:rsid w:val="00FD48DF"/>
    <w:rsid w:val="00FD5860"/>
    <w:rsid w:val="00FE352D"/>
    <w:rsid w:val="00FE40EB"/>
    <w:rsid w:val="00FE4D02"/>
    <w:rsid w:val="00FE7D62"/>
    <w:rsid w:val="00FF08D3"/>
    <w:rsid w:val="00FF3559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28C9D-B162-42B9-AEE4-B5B23DD7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Herimalala Raveloarinjato</cp:lastModifiedBy>
  <cp:revision>2</cp:revision>
  <cp:lastPrinted>2017-04-03T09:04:00Z</cp:lastPrinted>
  <dcterms:created xsi:type="dcterms:W3CDTF">2017-07-05T06:55:00Z</dcterms:created>
  <dcterms:modified xsi:type="dcterms:W3CDTF">2017-07-05T06:55:00Z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diane.belud</vt:lpwstr>
  </property>
  <property fmtid="{D5CDD505-2E9C-101B-9397-08002B2CF9AE}" pid="4" name="GeneratedDate">
    <vt:lpwstr>5/26/2017 10:40:22 AM</vt:lpwstr>
  </property>
  <property fmtid="{D5CDD505-2E9C-101B-9397-08002B2CF9AE}" pid="5" name="OriginalDocID">
    <vt:lpwstr>e553b862-f45e-495e-8d4f-8b691c5c8c5f</vt:lpwstr>
  </property>
</Properties>
</file>