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9"/>
        <w:gridCol w:w="4643"/>
        <w:gridCol w:w="3335"/>
      </w:tblGrid>
      <w:tr w:rsidR="00CC4FD8" w:rsidRPr="00A27D8A" w14:paraId="05300C1E" w14:textId="77777777" w:rsidTr="00EC3F18">
        <w:trPr>
          <w:cantSplit/>
          <w:trHeight w:val="850"/>
          <w:jc w:val="right"/>
        </w:trPr>
        <w:tc>
          <w:tcPr>
            <w:tcW w:w="1519" w:type="dxa"/>
          </w:tcPr>
          <w:p w14:paraId="477AE028" w14:textId="213F9A41" w:rsidR="00CC4FD8" w:rsidRPr="00A27D8A" w:rsidRDefault="00EC3F18" w:rsidP="00CC4FD8">
            <w:pPr>
              <w:rPr>
                <w:rFonts w:ascii="Univers" w:hAnsi="Univers"/>
                <w:b/>
                <w:sz w:val="27"/>
                <w:szCs w:val="27"/>
                <w:lang w:val="fr-CA"/>
              </w:rPr>
            </w:pPr>
            <w:r w:rsidRPr="00A27D8A">
              <w:rPr>
                <w:rFonts w:ascii="Arial" w:hAnsi="Arial" w:cs="Arial"/>
                <w:b/>
                <w:sz w:val="27"/>
                <w:szCs w:val="27"/>
                <w:lang w:val="fr-CA"/>
              </w:rPr>
              <w:t>NATIONS</w:t>
            </w:r>
            <w:r w:rsidR="00732991">
              <w:rPr>
                <w:rFonts w:ascii="Arial" w:hAnsi="Arial" w:cs="Arial"/>
                <w:b/>
                <w:sz w:val="27"/>
                <w:szCs w:val="27"/>
                <w:lang w:val="fr-CA"/>
              </w:rPr>
              <w:t xml:space="preserve"> </w:t>
            </w:r>
            <w:r w:rsidR="00CC4FD8" w:rsidRPr="00A27D8A">
              <w:rPr>
                <w:rFonts w:ascii="Arial" w:hAnsi="Arial" w:cs="Arial"/>
                <w:b/>
                <w:sz w:val="27"/>
                <w:szCs w:val="27"/>
                <w:lang w:val="fr-CA"/>
              </w:rPr>
              <w:br/>
            </w:r>
            <w:r w:rsidRPr="00A27D8A">
              <w:rPr>
                <w:rFonts w:ascii="Arial" w:hAnsi="Arial" w:cs="Arial"/>
                <w:b/>
                <w:sz w:val="27"/>
                <w:szCs w:val="27"/>
                <w:lang w:val="fr-CA"/>
              </w:rPr>
              <w:t>UNIES</w:t>
            </w:r>
          </w:p>
        </w:tc>
        <w:tc>
          <w:tcPr>
            <w:tcW w:w="4643" w:type="dxa"/>
          </w:tcPr>
          <w:p w14:paraId="4FF62989" w14:textId="77777777" w:rsidR="00CC4FD8" w:rsidRPr="00A27D8A" w:rsidRDefault="00CC4FD8" w:rsidP="00CC4FD8">
            <w:pPr>
              <w:rPr>
                <w:rFonts w:ascii="Univers" w:hAnsi="Univers"/>
                <w:b/>
                <w:sz w:val="27"/>
                <w:szCs w:val="27"/>
                <w:lang w:val="fr-CA"/>
              </w:rPr>
            </w:pPr>
          </w:p>
        </w:tc>
        <w:tc>
          <w:tcPr>
            <w:tcW w:w="3335" w:type="dxa"/>
          </w:tcPr>
          <w:p w14:paraId="31A43FCB" w14:textId="77777777" w:rsidR="00CC4FD8" w:rsidRPr="00A27D8A" w:rsidRDefault="00CC4FD8" w:rsidP="00CC4FD8">
            <w:pPr>
              <w:jc w:val="right"/>
              <w:rPr>
                <w:rFonts w:ascii="Arial" w:hAnsi="Arial" w:cs="Arial"/>
                <w:b/>
                <w:sz w:val="64"/>
                <w:szCs w:val="64"/>
                <w:lang w:val="fr-CA"/>
              </w:rPr>
            </w:pPr>
            <w:r w:rsidRPr="00A27D8A">
              <w:rPr>
                <w:rFonts w:ascii="Arial" w:hAnsi="Arial" w:cs="Arial"/>
                <w:b/>
                <w:sz w:val="64"/>
                <w:szCs w:val="64"/>
                <w:lang w:val="fr-CA"/>
              </w:rPr>
              <w:t>MC</w:t>
            </w:r>
          </w:p>
        </w:tc>
      </w:tr>
      <w:tr w:rsidR="00CC4FD8" w:rsidRPr="00A27D8A" w14:paraId="53FA1AF1" w14:textId="77777777" w:rsidTr="00EC3F18">
        <w:trPr>
          <w:cantSplit/>
          <w:trHeight w:val="281"/>
          <w:jc w:val="right"/>
        </w:trPr>
        <w:tc>
          <w:tcPr>
            <w:tcW w:w="1519" w:type="dxa"/>
            <w:tcBorders>
              <w:bottom w:val="single" w:sz="4" w:space="0" w:color="auto"/>
            </w:tcBorders>
          </w:tcPr>
          <w:p w14:paraId="1F4D854F" w14:textId="77777777" w:rsidR="00CC4FD8" w:rsidRPr="00A27D8A" w:rsidRDefault="00CC4FD8" w:rsidP="00CC4FD8">
            <w:pPr>
              <w:rPr>
                <w:sz w:val="18"/>
                <w:szCs w:val="18"/>
                <w:lang w:val="fr-CA"/>
              </w:rPr>
            </w:pPr>
          </w:p>
        </w:tc>
        <w:tc>
          <w:tcPr>
            <w:tcW w:w="4643" w:type="dxa"/>
            <w:tcBorders>
              <w:bottom w:val="single" w:sz="4" w:space="0" w:color="auto"/>
            </w:tcBorders>
          </w:tcPr>
          <w:p w14:paraId="7BFFFA31" w14:textId="77777777" w:rsidR="00CC4FD8" w:rsidRPr="00A27D8A" w:rsidRDefault="00CC4FD8" w:rsidP="00CC4FD8">
            <w:pPr>
              <w:rPr>
                <w:rFonts w:ascii="Univers" w:hAnsi="Univers"/>
                <w:b/>
                <w:sz w:val="18"/>
                <w:szCs w:val="18"/>
                <w:lang w:val="fr-CA"/>
              </w:rPr>
            </w:pPr>
          </w:p>
        </w:tc>
        <w:tc>
          <w:tcPr>
            <w:tcW w:w="3335" w:type="dxa"/>
            <w:tcBorders>
              <w:bottom w:val="single" w:sz="4" w:space="0" w:color="auto"/>
            </w:tcBorders>
          </w:tcPr>
          <w:p w14:paraId="262E297B" w14:textId="77777777" w:rsidR="00CC4FD8" w:rsidRPr="00A27D8A" w:rsidRDefault="00CC4FD8" w:rsidP="00CC4FD8">
            <w:pPr>
              <w:rPr>
                <w:sz w:val="18"/>
                <w:szCs w:val="18"/>
                <w:lang w:val="fr-CA"/>
              </w:rPr>
            </w:pPr>
            <w:r w:rsidRPr="00A27D8A">
              <w:rPr>
                <w:b/>
                <w:bCs/>
                <w:sz w:val="28"/>
                <w:lang w:val="fr-CA"/>
              </w:rPr>
              <w:t>UNEP</w:t>
            </w:r>
            <w:bookmarkStart w:id="0" w:name="OLE_LINK1"/>
            <w:bookmarkStart w:id="1" w:name="OLE_LINK2"/>
            <w:r w:rsidRPr="00A27D8A">
              <w:rPr>
                <w:b/>
                <w:bCs/>
                <w:sz w:val="28"/>
                <w:lang w:val="fr-CA"/>
              </w:rPr>
              <w:t>/</w:t>
            </w:r>
            <w:r w:rsidRPr="00A27D8A">
              <w:rPr>
                <w:lang w:val="fr-CA"/>
              </w:rPr>
              <w:t>MC/</w:t>
            </w:r>
            <w:bookmarkEnd w:id="0"/>
            <w:bookmarkEnd w:id="1"/>
            <w:r w:rsidRPr="00A27D8A">
              <w:rPr>
                <w:lang w:val="fr-CA"/>
              </w:rPr>
              <w:t>COP.1/21</w:t>
            </w:r>
          </w:p>
        </w:tc>
      </w:tr>
      <w:tr w:rsidR="00CC4FD8" w:rsidRPr="00A27D8A" w14:paraId="2969B144" w14:textId="77777777" w:rsidTr="00EC3F18">
        <w:trPr>
          <w:cantSplit/>
          <w:trHeight w:val="2549"/>
          <w:jc w:val="right"/>
        </w:trPr>
        <w:tc>
          <w:tcPr>
            <w:tcW w:w="1519" w:type="dxa"/>
            <w:tcBorders>
              <w:top w:val="single" w:sz="4" w:space="0" w:color="auto"/>
              <w:bottom w:val="single" w:sz="24" w:space="0" w:color="auto"/>
            </w:tcBorders>
          </w:tcPr>
          <w:p w14:paraId="3CE85F6D" w14:textId="19FA1D24" w:rsidR="00CC4FD8" w:rsidRPr="00A27D8A" w:rsidRDefault="00E33B70" w:rsidP="00CC4FD8">
            <w:pPr>
              <w:rPr>
                <w:lang w:val="fr-CA"/>
              </w:rPr>
            </w:pPr>
            <w:bookmarkStart w:id="2" w:name="_MON_1021710482"/>
            <w:bookmarkStart w:id="3" w:name="_MON_1021710510"/>
            <w:bookmarkEnd w:id="2"/>
            <w:bookmarkEnd w:id="3"/>
            <w:r w:rsidRPr="00A27D8A">
              <w:rPr>
                <w:noProof/>
                <w:lang w:eastAsia="fr-FR"/>
              </w:rPr>
              <w:drawing>
                <wp:inline distT="0" distB="0" distL="0" distR="0" wp14:anchorId="3CA9AB67" wp14:editId="5651C4DC">
                  <wp:extent cx="842645"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784860"/>
                          </a:xfrm>
                          <a:prstGeom prst="rect">
                            <a:avLst/>
                          </a:prstGeom>
                          <a:noFill/>
                          <a:ln>
                            <a:noFill/>
                          </a:ln>
                        </pic:spPr>
                      </pic:pic>
                    </a:graphicData>
                  </a:graphic>
                </wp:inline>
              </w:drawing>
            </w:r>
            <w:r w:rsidR="00CC4FD8" w:rsidRPr="00A27D8A">
              <w:rPr>
                <w:noProof/>
                <w:lang w:eastAsia="fr-FR"/>
              </w:rPr>
              <w:drawing>
                <wp:inline distT="0" distB="0" distL="0" distR="0" wp14:anchorId="54215932" wp14:editId="1E67B7A5">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39A1A433" w14:textId="5C2C9C75" w:rsidR="00CC4FD8" w:rsidRPr="00A27D8A" w:rsidRDefault="00EC3F18" w:rsidP="00CC4FD8">
            <w:pPr>
              <w:spacing w:before="1200"/>
              <w:rPr>
                <w:rFonts w:ascii="Arial" w:hAnsi="Arial" w:cs="Arial"/>
                <w:b/>
                <w:sz w:val="28"/>
                <w:lang w:val="fr-CA"/>
              </w:rPr>
            </w:pPr>
            <w:r w:rsidRPr="00A27D8A">
              <w:rPr>
                <w:rFonts w:ascii="Arial" w:hAnsi="Arial" w:cs="Arial"/>
                <w:b/>
                <w:sz w:val="32"/>
                <w:szCs w:val="32"/>
                <w:lang w:val="fr-CA"/>
              </w:rPr>
              <w:t>Programme</w:t>
            </w:r>
            <w:r w:rsidRPr="00A27D8A">
              <w:rPr>
                <w:rFonts w:ascii="Arial" w:hAnsi="Arial" w:cs="Arial"/>
                <w:b/>
                <w:sz w:val="32"/>
                <w:szCs w:val="32"/>
                <w:lang w:val="fr-CA"/>
              </w:rPr>
              <w:br/>
              <w:t>des Nations Unies</w:t>
            </w:r>
            <w:r w:rsidRPr="00A27D8A">
              <w:rPr>
                <w:rFonts w:ascii="Arial" w:hAnsi="Arial" w:cs="Arial"/>
                <w:b/>
                <w:sz w:val="32"/>
                <w:szCs w:val="32"/>
                <w:lang w:val="fr-CA"/>
              </w:rPr>
              <w:br/>
              <w:t>pour l’environnement</w:t>
            </w:r>
          </w:p>
        </w:tc>
        <w:tc>
          <w:tcPr>
            <w:tcW w:w="3335" w:type="dxa"/>
            <w:tcBorders>
              <w:top w:val="single" w:sz="4" w:space="0" w:color="auto"/>
              <w:bottom w:val="single" w:sz="24" w:space="0" w:color="auto"/>
            </w:tcBorders>
          </w:tcPr>
          <w:p w14:paraId="09251CEF" w14:textId="51EC037F" w:rsidR="00CC4FD8" w:rsidRPr="00A27D8A" w:rsidRDefault="00CC4FD8" w:rsidP="00CC4FD8">
            <w:pPr>
              <w:spacing w:before="120"/>
              <w:rPr>
                <w:lang w:val="fr-CA"/>
              </w:rPr>
            </w:pPr>
            <w:proofErr w:type="spellStart"/>
            <w:r w:rsidRPr="00A27D8A">
              <w:rPr>
                <w:lang w:val="fr-CA"/>
              </w:rPr>
              <w:t>Distr</w:t>
            </w:r>
            <w:proofErr w:type="spellEnd"/>
            <w:r w:rsidRPr="00A27D8A">
              <w:rPr>
                <w:lang w:val="fr-CA"/>
              </w:rPr>
              <w:t>.</w:t>
            </w:r>
            <w:r w:rsidR="009062D9" w:rsidRPr="00A27D8A">
              <w:rPr>
                <w:lang w:val="fr-CA"/>
              </w:rPr>
              <w:t> </w:t>
            </w:r>
            <w:proofErr w:type="gramStart"/>
            <w:r w:rsidR="00EC3F18" w:rsidRPr="00A27D8A">
              <w:rPr>
                <w:lang w:val="fr-CA"/>
              </w:rPr>
              <w:t>générale</w:t>
            </w:r>
            <w:proofErr w:type="gramEnd"/>
            <w:r w:rsidR="00732991">
              <w:rPr>
                <w:lang w:val="fr-CA"/>
              </w:rPr>
              <w:t xml:space="preserve"> </w:t>
            </w:r>
            <w:r w:rsidRPr="00A27D8A">
              <w:rPr>
                <w:lang w:val="fr-CA"/>
              </w:rPr>
              <w:br w:type="textWrapping" w:clear="all"/>
            </w:r>
            <w:r w:rsidR="00EC3F18" w:rsidRPr="00A27D8A">
              <w:rPr>
                <w:lang w:val="fr-CA"/>
              </w:rPr>
              <w:t>3 juillet </w:t>
            </w:r>
            <w:r w:rsidR="0087023F" w:rsidRPr="00A27D8A">
              <w:rPr>
                <w:lang w:val="fr-CA"/>
              </w:rPr>
              <w:t xml:space="preserve">2017 </w:t>
            </w:r>
          </w:p>
          <w:p w14:paraId="1A14F977" w14:textId="77777777" w:rsidR="00EC3F18" w:rsidRPr="00A27D8A" w:rsidRDefault="00EC3F18" w:rsidP="00EC3F18">
            <w:pPr>
              <w:rPr>
                <w:lang w:val="fr-CA"/>
              </w:rPr>
            </w:pPr>
          </w:p>
          <w:p w14:paraId="3ECC6B9C" w14:textId="4487456F" w:rsidR="00EC3F18" w:rsidRPr="00A27D8A" w:rsidRDefault="00EC3F18" w:rsidP="00EC3F18">
            <w:pPr>
              <w:rPr>
                <w:lang w:val="fr-CA"/>
              </w:rPr>
            </w:pPr>
            <w:r w:rsidRPr="00A27D8A">
              <w:rPr>
                <w:lang w:val="fr-CA"/>
              </w:rPr>
              <w:t>Français</w:t>
            </w:r>
          </w:p>
          <w:p w14:paraId="6FD3BF95" w14:textId="272F5F07" w:rsidR="00425318" w:rsidRPr="00A27D8A" w:rsidRDefault="00CC4FD8" w:rsidP="00EC3F18">
            <w:pPr>
              <w:rPr>
                <w:lang w:val="fr-CA"/>
              </w:rPr>
            </w:pPr>
            <w:r w:rsidRPr="00A27D8A">
              <w:rPr>
                <w:lang w:val="fr-CA"/>
              </w:rPr>
              <w:t>Original</w:t>
            </w:r>
            <w:r w:rsidR="00EC3F18" w:rsidRPr="00A27D8A">
              <w:rPr>
                <w:lang w:val="fr-CA"/>
              </w:rPr>
              <w:t> </w:t>
            </w:r>
            <w:r w:rsidRPr="00A27D8A">
              <w:rPr>
                <w:lang w:val="fr-CA"/>
              </w:rPr>
              <w:t xml:space="preserve">: </w:t>
            </w:r>
            <w:r w:rsidR="00EC3F18" w:rsidRPr="00A27D8A">
              <w:rPr>
                <w:lang w:val="fr-CA"/>
              </w:rPr>
              <w:t>anglais</w:t>
            </w:r>
          </w:p>
        </w:tc>
      </w:tr>
    </w:tbl>
    <w:p w14:paraId="56C2342D" w14:textId="30B73594" w:rsidR="00CC4FD8" w:rsidRPr="00A27D8A" w:rsidRDefault="00EC3F18" w:rsidP="00CC4FD8">
      <w:pPr>
        <w:pStyle w:val="AATitle"/>
        <w:keepNext w:val="0"/>
        <w:keepLines w:val="0"/>
        <w:rPr>
          <w:lang w:val="fr-CA"/>
        </w:rPr>
      </w:pPr>
      <w:r w:rsidRPr="00A27D8A">
        <w:rPr>
          <w:lang w:val="fr-CA"/>
        </w:rPr>
        <w:t xml:space="preserve">Conférence des Parties </w:t>
      </w:r>
      <w:r w:rsidR="00AB64F5" w:rsidRPr="00A27D8A">
        <w:rPr>
          <w:lang w:val="fr-CA"/>
        </w:rPr>
        <w:br/>
      </w:r>
      <w:r w:rsidRPr="00A27D8A">
        <w:rPr>
          <w:lang w:val="fr-CA"/>
        </w:rPr>
        <w:t xml:space="preserve">à la </w:t>
      </w:r>
      <w:bookmarkStart w:id="4" w:name="_Hlk489513656"/>
      <w:r w:rsidRPr="00A27D8A">
        <w:rPr>
          <w:lang w:val="fr-CA"/>
        </w:rPr>
        <w:t>Convention de Minamata sur le mercure</w:t>
      </w:r>
      <w:bookmarkEnd w:id="4"/>
    </w:p>
    <w:p w14:paraId="24EEAB9F" w14:textId="28B5B75B" w:rsidR="00CC4FD8" w:rsidRPr="00A27D8A" w:rsidRDefault="00EC3F18" w:rsidP="00CC4FD8">
      <w:pPr>
        <w:pStyle w:val="AATitle"/>
        <w:keepNext w:val="0"/>
        <w:keepLines w:val="0"/>
        <w:rPr>
          <w:lang w:val="fr-CA"/>
        </w:rPr>
      </w:pPr>
      <w:r w:rsidRPr="00A27D8A">
        <w:rPr>
          <w:lang w:val="fr-CA"/>
        </w:rPr>
        <w:t>Première réunion</w:t>
      </w:r>
    </w:p>
    <w:p w14:paraId="733AA9AE" w14:textId="48162308" w:rsidR="00CC4FD8" w:rsidRPr="00A27D8A" w:rsidRDefault="00EC3F18" w:rsidP="00CC4FD8">
      <w:pPr>
        <w:pStyle w:val="AATitle"/>
        <w:rPr>
          <w:b w:val="0"/>
          <w:lang w:val="fr-CA"/>
        </w:rPr>
      </w:pPr>
      <w:r w:rsidRPr="00A27D8A">
        <w:rPr>
          <w:b w:val="0"/>
          <w:lang w:val="fr-CA"/>
        </w:rPr>
        <w:t>Genève, 24–29 septembre </w:t>
      </w:r>
      <w:r w:rsidR="00CC4FD8" w:rsidRPr="00A27D8A">
        <w:rPr>
          <w:b w:val="0"/>
          <w:lang w:val="fr-CA"/>
        </w:rPr>
        <w:t>2017</w:t>
      </w:r>
    </w:p>
    <w:p w14:paraId="2C8C7DE2" w14:textId="7E1CB246" w:rsidR="00CC4FD8" w:rsidRPr="00A27D8A" w:rsidRDefault="00EC3F18" w:rsidP="00CC4FD8">
      <w:pPr>
        <w:pStyle w:val="AATitle"/>
        <w:keepNext w:val="0"/>
        <w:keepLines w:val="0"/>
        <w:rPr>
          <w:b w:val="0"/>
          <w:lang w:val="fr-CA"/>
        </w:rPr>
      </w:pPr>
      <w:r w:rsidRPr="00A27D8A">
        <w:rPr>
          <w:b w:val="0"/>
          <w:lang w:val="fr-CA"/>
        </w:rPr>
        <w:t>Point 5 </w:t>
      </w:r>
      <w:r w:rsidR="00CC4FD8" w:rsidRPr="00A27D8A">
        <w:rPr>
          <w:b w:val="0"/>
          <w:lang w:val="fr-CA"/>
        </w:rPr>
        <w:t xml:space="preserve">d) </w:t>
      </w:r>
      <w:r w:rsidRPr="00A27D8A">
        <w:rPr>
          <w:b w:val="0"/>
          <w:lang w:val="fr-CA"/>
        </w:rPr>
        <w:t>de l’ordre du jour provisoire</w:t>
      </w:r>
      <w:r w:rsidR="00CC4FD8" w:rsidRPr="00A27D8A">
        <w:rPr>
          <w:b w:val="0"/>
          <w:lang w:val="fr-CA"/>
        </w:rPr>
        <w:footnoteReference w:customMarkFollows="1" w:id="1"/>
        <w:t>*</w:t>
      </w:r>
    </w:p>
    <w:p w14:paraId="24C622BE" w14:textId="3BB6664F" w:rsidR="00CC4FD8" w:rsidRPr="00A27D8A" w:rsidRDefault="00EC3F18" w:rsidP="00732991">
      <w:pPr>
        <w:pStyle w:val="AATitle2"/>
        <w:rPr>
          <w:bCs/>
        </w:rPr>
      </w:pPr>
      <w:r w:rsidRPr="00A27D8A">
        <w:t xml:space="preserve">Questions </w:t>
      </w:r>
      <w:proofErr w:type="spellStart"/>
      <w:r w:rsidRPr="00A27D8A">
        <w:t>appelant</w:t>
      </w:r>
      <w:proofErr w:type="spellEnd"/>
      <w:r w:rsidRPr="00A27D8A">
        <w:t xml:space="preserve"> </w:t>
      </w:r>
      <w:proofErr w:type="spellStart"/>
      <w:r w:rsidRPr="00A27D8A">
        <w:t>une</w:t>
      </w:r>
      <w:proofErr w:type="spellEnd"/>
      <w:r w:rsidRPr="00A27D8A">
        <w:t xml:space="preserve"> </w:t>
      </w:r>
      <w:proofErr w:type="spellStart"/>
      <w:r w:rsidRPr="00A27D8A">
        <w:t>décision</w:t>
      </w:r>
      <w:proofErr w:type="spellEnd"/>
      <w:r w:rsidRPr="00A27D8A">
        <w:t xml:space="preserve"> de la </w:t>
      </w:r>
      <w:proofErr w:type="spellStart"/>
      <w:r w:rsidRPr="00A27D8A">
        <w:t>Conférence</w:t>
      </w:r>
      <w:proofErr w:type="spellEnd"/>
      <w:r w:rsidRPr="00A27D8A">
        <w:t xml:space="preserve"> des Parties à </w:t>
      </w:r>
      <w:proofErr w:type="spellStart"/>
      <w:r w:rsidRPr="00A27D8A">
        <w:t>sa</w:t>
      </w:r>
      <w:proofErr w:type="spellEnd"/>
      <w:r w:rsidRPr="00A27D8A">
        <w:t xml:space="preserve"> première </w:t>
      </w:r>
      <w:proofErr w:type="spellStart"/>
      <w:proofErr w:type="gramStart"/>
      <w:r w:rsidRPr="00A27D8A">
        <w:t>réunion</w:t>
      </w:r>
      <w:proofErr w:type="spellEnd"/>
      <w:r w:rsidRPr="00A27D8A">
        <w:t> </w:t>
      </w:r>
      <w:r w:rsidR="00CC4FD8" w:rsidRPr="00A27D8A">
        <w:t>:</w:t>
      </w:r>
      <w:proofErr w:type="gramEnd"/>
      <w:r w:rsidR="00CC4FD8" w:rsidRPr="00A27D8A">
        <w:t xml:space="preserve"> </w:t>
      </w:r>
      <w:r w:rsidRPr="00A27D8A">
        <w:t xml:space="preserve">programme de travail du </w:t>
      </w:r>
      <w:proofErr w:type="spellStart"/>
      <w:r w:rsidRPr="00A27D8A">
        <w:t>secrétariat</w:t>
      </w:r>
      <w:proofErr w:type="spellEnd"/>
      <w:r w:rsidRPr="00A27D8A">
        <w:t xml:space="preserve"> et budget pour la </w:t>
      </w:r>
      <w:proofErr w:type="spellStart"/>
      <w:r w:rsidRPr="00A27D8A">
        <w:t>période</w:t>
      </w:r>
      <w:proofErr w:type="spellEnd"/>
      <w:r w:rsidRPr="00A27D8A">
        <w:t xml:space="preserve"> 2018</w:t>
      </w:r>
      <w:r w:rsidR="00732991" w:rsidRPr="00A27D8A">
        <w:rPr>
          <w:lang w:val="fr-CA"/>
        </w:rPr>
        <w:t>–</w:t>
      </w:r>
      <w:r w:rsidRPr="00A27D8A">
        <w:t>2019</w:t>
      </w:r>
    </w:p>
    <w:p w14:paraId="602F8C1E" w14:textId="55BFE1A5" w:rsidR="006B2718" w:rsidRPr="00A27D8A" w:rsidRDefault="00EC3F18" w:rsidP="00732991">
      <w:pPr>
        <w:pStyle w:val="BBTitle"/>
        <w:rPr>
          <w:lang w:val="fr-CA"/>
        </w:rPr>
      </w:pPr>
      <w:r w:rsidRPr="00732991">
        <w:t>Programme</w:t>
      </w:r>
      <w:r w:rsidRPr="00A27D8A">
        <w:rPr>
          <w:lang w:val="fr-CA"/>
        </w:rPr>
        <w:t xml:space="preserve"> de travail du secrétariat et budget </w:t>
      </w:r>
      <w:r w:rsidR="00E36F37" w:rsidRPr="00A27D8A">
        <w:rPr>
          <w:lang w:val="fr-CA"/>
        </w:rPr>
        <w:br/>
      </w:r>
      <w:r w:rsidR="00732991">
        <w:rPr>
          <w:lang w:val="fr-CA"/>
        </w:rPr>
        <w:t>pour la période 2018</w:t>
      </w:r>
      <w:r w:rsidR="00732991" w:rsidRPr="00A27D8A">
        <w:rPr>
          <w:lang w:val="fr-CA"/>
        </w:rPr>
        <w:t>–</w:t>
      </w:r>
      <w:r w:rsidRPr="00A27D8A">
        <w:rPr>
          <w:lang w:val="fr-CA"/>
        </w:rPr>
        <w:t>2019</w:t>
      </w:r>
    </w:p>
    <w:p w14:paraId="1B1F447A" w14:textId="16A837E7" w:rsidR="006B2718" w:rsidRPr="00A27D8A" w:rsidRDefault="006B2718" w:rsidP="00367F75">
      <w:pPr>
        <w:pStyle w:val="CH2"/>
        <w:rPr>
          <w:lang w:val="fr-CA"/>
        </w:rPr>
      </w:pPr>
      <w:r w:rsidRPr="00A27D8A">
        <w:rPr>
          <w:lang w:val="fr-CA"/>
        </w:rPr>
        <w:tab/>
      </w:r>
      <w:r w:rsidRPr="00A27D8A">
        <w:rPr>
          <w:lang w:val="fr-CA"/>
        </w:rPr>
        <w:tab/>
        <w:t xml:space="preserve">Note </w:t>
      </w:r>
      <w:r w:rsidR="00EC3F18" w:rsidRPr="00A27D8A">
        <w:rPr>
          <w:lang w:val="fr-CA"/>
        </w:rPr>
        <w:t>du secrétariat</w:t>
      </w:r>
    </w:p>
    <w:p w14:paraId="1992AD2D" w14:textId="55C48832" w:rsidR="006B2718" w:rsidRPr="00A27D8A" w:rsidRDefault="006B2718" w:rsidP="00911E2A">
      <w:pPr>
        <w:pStyle w:val="CH1"/>
        <w:rPr>
          <w:lang w:val="fr-CA"/>
        </w:rPr>
      </w:pPr>
      <w:r w:rsidRPr="00A27D8A">
        <w:rPr>
          <w:lang w:val="fr-CA"/>
        </w:rPr>
        <w:tab/>
        <w:t>I.</w:t>
      </w:r>
      <w:r w:rsidRPr="00A27D8A">
        <w:rPr>
          <w:lang w:val="fr-CA"/>
        </w:rPr>
        <w:tab/>
        <w:t>Introduction</w:t>
      </w:r>
    </w:p>
    <w:p w14:paraId="03FDA58B" w14:textId="76DC1AE7" w:rsidR="00CF1BD2" w:rsidRPr="00A27D8A" w:rsidRDefault="005E3A12" w:rsidP="00C03273">
      <w:pPr>
        <w:pStyle w:val="Normalnumber"/>
        <w:ind w:left="1247" w:firstLine="0"/>
        <w:rPr>
          <w:lang w:val="fr-CA"/>
        </w:rPr>
      </w:pPr>
      <w:r w:rsidRPr="00A27D8A">
        <w:rPr>
          <w:lang w:val="fr-CA"/>
        </w:rPr>
        <w:t xml:space="preserve">La période </w:t>
      </w:r>
      <w:r w:rsidR="002400F0" w:rsidRPr="00A27D8A">
        <w:rPr>
          <w:lang w:val="fr-CA"/>
        </w:rPr>
        <w:t>2018</w:t>
      </w:r>
      <w:r w:rsidR="00425318" w:rsidRPr="00A27D8A">
        <w:rPr>
          <w:lang w:val="fr-CA"/>
        </w:rPr>
        <w:t>–</w:t>
      </w:r>
      <w:r w:rsidR="002400F0" w:rsidRPr="00A27D8A">
        <w:rPr>
          <w:lang w:val="fr-CA"/>
        </w:rPr>
        <w:t>2019</w:t>
      </w:r>
      <w:r w:rsidRPr="00A27D8A">
        <w:rPr>
          <w:lang w:val="fr-CA"/>
        </w:rPr>
        <w:t xml:space="preserve"> représente le premier exercice biennal de la Convention de Minamata sur le mercure</w:t>
      </w:r>
      <w:r w:rsidR="002400F0" w:rsidRPr="00A27D8A">
        <w:rPr>
          <w:lang w:val="fr-CA"/>
        </w:rPr>
        <w:t>.</w:t>
      </w:r>
      <w:r w:rsidR="003B36BF" w:rsidRPr="00A27D8A">
        <w:rPr>
          <w:lang w:val="fr-CA"/>
        </w:rPr>
        <w:t xml:space="preserve"> La présente note décrit donc les activités proposées </w:t>
      </w:r>
      <w:r w:rsidR="00A24C73" w:rsidRPr="00A27D8A">
        <w:rPr>
          <w:lang w:val="fr-CA"/>
        </w:rPr>
        <w:t xml:space="preserve">au titre </w:t>
      </w:r>
      <w:r w:rsidR="003B36BF" w:rsidRPr="00A27D8A">
        <w:rPr>
          <w:lang w:val="fr-CA"/>
        </w:rPr>
        <w:t>du premier programme de travail du secrétariat et le budget pour entreprendre ce programme de travail</w:t>
      </w:r>
      <w:r w:rsidR="000F1744" w:rsidRPr="00A27D8A">
        <w:rPr>
          <w:lang w:val="fr-CA"/>
        </w:rPr>
        <w:t>.</w:t>
      </w:r>
      <w:r w:rsidR="002400F0" w:rsidRPr="00A27D8A">
        <w:rPr>
          <w:lang w:val="fr-CA"/>
        </w:rPr>
        <w:t xml:space="preserve"> </w:t>
      </w:r>
    </w:p>
    <w:p w14:paraId="43C83C79" w14:textId="146BA735" w:rsidR="00031A11" w:rsidRPr="00A27D8A" w:rsidRDefault="00A24C73" w:rsidP="003B0F87">
      <w:pPr>
        <w:pStyle w:val="Normalnumber"/>
        <w:ind w:left="1276" w:firstLine="0"/>
        <w:rPr>
          <w:lang w:val="fr-CA"/>
        </w:rPr>
      </w:pPr>
      <w:r w:rsidRPr="00A27D8A">
        <w:rPr>
          <w:lang w:val="fr-CA"/>
        </w:rPr>
        <w:t xml:space="preserve">Au </w:t>
      </w:r>
      <w:r w:rsidR="003B36BF" w:rsidRPr="00A27D8A">
        <w:rPr>
          <w:lang w:val="fr-CA"/>
        </w:rPr>
        <w:t>paragraphe </w:t>
      </w:r>
      <w:r w:rsidR="003448C7" w:rsidRPr="00A27D8A">
        <w:rPr>
          <w:lang w:val="fr-CA"/>
        </w:rPr>
        <w:t xml:space="preserve">11 </w:t>
      </w:r>
      <w:r w:rsidR="003B36BF" w:rsidRPr="00A27D8A">
        <w:rPr>
          <w:lang w:val="fr-CA"/>
        </w:rPr>
        <w:t>de sa résolution relative aux dispositions provisoires (</w:t>
      </w:r>
      <w:r w:rsidR="00506874" w:rsidRPr="00A27D8A">
        <w:rPr>
          <w:lang w:val="fr-CA"/>
        </w:rPr>
        <w:t>voir</w:t>
      </w:r>
      <w:r w:rsidR="00732991">
        <w:rPr>
          <w:lang w:val="fr-CA"/>
        </w:rPr>
        <w:t> </w:t>
      </w:r>
      <w:r w:rsidR="003B36BF" w:rsidRPr="00A27D8A">
        <w:rPr>
          <w:lang w:val="fr-CA"/>
        </w:rPr>
        <w:t>UNEP(DTIE)/Hg/CONF/4, annexe </w:t>
      </w:r>
      <w:r w:rsidR="004A02FC" w:rsidRPr="00A27D8A">
        <w:rPr>
          <w:lang w:val="fr-CA"/>
        </w:rPr>
        <w:t xml:space="preserve">I), </w:t>
      </w:r>
      <w:r w:rsidR="003B36BF" w:rsidRPr="00A27D8A">
        <w:rPr>
          <w:lang w:val="fr-CA"/>
        </w:rPr>
        <w:t xml:space="preserve">la Conférence </w:t>
      </w:r>
      <w:bookmarkStart w:id="5" w:name="_Hlk489523339"/>
      <w:r w:rsidR="003B36BF" w:rsidRPr="00A27D8A">
        <w:rPr>
          <w:lang w:val="fr-CA"/>
        </w:rPr>
        <w:t xml:space="preserve">de plénipotentiaires </w:t>
      </w:r>
      <w:bookmarkEnd w:id="5"/>
      <w:r w:rsidR="003B36BF" w:rsidRPr="00A27D8A">
        <w:rPr>
          <w:lang w:val="fr-CA"/>
        </w:rPr>
        <w:t>relative à la Convention de Minamata a prié le Directeur exécutif du Programme des Nations Unies pour l’environnement</w:t>
      </w:r>
      <w:r w:rsidR="003B0F87" w:rsidRPr="00A27D8A">
        <w:rPr>
          <w:lang w:val="fr-CA"/>
        </w:rPr>
        <w:t xml:space="preserve"> (PNUE)</w:t>
      </w:r>
      <w:r w:rsidR="003B36BF" w:rsidRPr="00A27D8A">
        <w:rPr>
          <w:lang w:val="fr-CA"/>
        </w:rPr>
        <w:t xml:space="preserve"> d’assurer provisoirement les services de secrétariat pour soutenir le Comité de négociation intergouvernemental et ses activités jusqu’à la première réunion de la Conférence des Parties</w:t>
      </w:r>
      <w:r w:rsidR="002400F0" w:rsidRPr="00A27D8A">
        <w:rPr>
          <w:lang w:val="fr-CA"/>
        </w:rPr>
        <w:t xml:space="preserve">. </w:t>
      </w:r>
      <w:r w:rsidR="003B0F87" w:rsidRPr="00A27D8A">
        <w:rPr>
          <w:lang w:val="fr-CA"/>
        </w:rPr>
        <w:t xml:space="preserve">À cet égard, le secrétariat provisoire a été chargé d’établir le premier programme de travail </w:t>
      </w:r>
      <w:r w:rsidRPr="00A27D8A">
        <w:rPr>
          <w:lang w:val="fr-CA"/>
        </w:rPr>
        <w:t xml:space="preserve">du </w:t>
      </w:r>
      <w:r w:rsidR="003B0F87" w:rsidRPr="00A27D8A">
        <w:rPr>
          <w:lang w:val="fr-CA"/>
        </w:rPr>
        <w:t xml:space="preserve">secrétariat permanent ainsi que le premier budget </w:t>
      </w:r>
      <w:r w:rsidRPr="00A27D8A">
        <w:rPr>
          <w:lang w:val="fr-CA"/>
        </w:rPr>
        <w:t>de</w:t>
      </w:r>
      <w:r w:rsidR="003B0F87" w:rsidRPr="00A27D8A">
        <w:rPr>
          <w:lang w:val="fr-CA"/>
        </w:rPr>
        <w:t xml:space="preserve"> la Convention, de sorte que la Conférence des Parties puisse les examiner et les adopter à sa première réunion</w:t>
      </w:r>
      <w:r w:rsidR="002400F0" w:rsidRPr="00A27D8A">
        <w:rPr>
          <w:lang w:val="fr-CA"/>
        </w:rPr>
        <w:t xml:space="preserve">. </w:t>
      </w:r>
    </w:p>
    <w:p w14:paraId="1037ACCB" w14:textId="5528D3C7" w:rsidR="00C208D1" w:rsidRPr="00A27D8A" w:rsidRDefault="00A76AA3" w:rsidP="00C03273">
      <w:pPr>
        <w:pStyle w:val="Normalnumber"/>
        <w:ind w:left="1247" w:firstLine="0"/>
        <w:rPr>
          <w:lang w:val="fr-CA"/>
        </w:rPr>
      </w:pPr>
      <w:r w:rsidRPr="00A27D8A">
        <w:rPr>
          <w:lang w:val="fr-CA"/>
        </w:rPr>
        <w:t xml:space="preserve">Comme suite à cette demande, la présente note fournit la meilleure estimation du secrétariat provisoire concernant les priorités du programme de travail et du projet de budget </w:t>
      </w:r>
      <w:r w:rsidR="00520965" w:rsidRPr="00A27D8A">
        <w:rPr>
          <w:lang w:val="fr-CA"/>
        </w:rPr>
        <w:t xml:space="preserve">d’une nouvelle convention </w:t>
      </w:r>
      <w:r w:rsidRPr="00A27D8A">
        <w:rPr>
          <w:lang w:val="fr-CA"/>
        </w:rPr>
        <w:t>pour l’exercice biennal 2018–2019</w:t>
      </w:r>
      <w:r w:rsidR="00E4072B" w:rsidRPr="00A27D8A">
        <w:rPr>
          <w:lang w:val="fr-CA"/>
        </w:rPr>
        <w:t>.</w:t>
      </w:r>
      <w:r w:rsidR="00520965" w:rsidRPr="00A27D8A">
        <w:rPr>
          <w:lang w:val="fr-CA"/>
        </w:rPr>
        <w:t xml:space="preserve"> L’estimation est fondée sur les informations collectées par le secrétariat provisoire depuis 2010 ainsi que sur le texte de la Convention et ses articles</w:t>
      </w:r>
      <w:r w:rsidR="00850D5F" w:rsidRPr="00A27D8A">
        <w:rPr>
          <w:lang w:val="fr-CA"/>
        </w:rPr>
        <w:t xml:space="preserve">. </w:t>
      </w:r>
    </w:p>
    <w:p w14:paraId="7F00A064" w14:textId="59481B24" w:rsidR="001C7D10" w:rsidRPr="00A27D8A" w:rsidRDefault="00676257" w:rsidP="00635105">
      <w:pPr>
        <w:pStyle w:val="Normalnumber"/>
        <w:ind w:left="1276" w:firstLine="0"/>
        <w:rPr>
          <w:lang w:val="fr-CA"/>
        </w:rPr>
      </w:pPr>
      <w:r w:rsidRPr="00A27D8A">
        <w:rPr>
          <w:lang w:val="fr-CA"/>
        </w:rPr>
        <w:t xml:space="preserve">La note est structurée en trois </w:t>
      </w:r>
      <w:r w:rsidR="00E85189" w:rsidRPr="00A27D8A">
        <w:rPr>
          <w:lang w:val="fr-CA"/>
        </w:rPr>
        <w:t>sections</w:t>
      </w:r>
      <w:r w:rsidR="00B54238" w:rsidRPr="00A27D8A">
        <w:rPr>
          <w:lang w:val="fr-CA"/>
        </w:rPr>
        <w:t xml:space="preserve">. </w:t>
      </w:r>
      <w:r w:rsidRPr="00A27D8A">
        <w:rPr>
          <w:lang w:val="fr-CA"/>
        </w:rPr>
        <w:t>La section introductive définit les fonctions du secrétariat qui</w:t>
      </w:r>
      <w:r w:rsidR="00704D54" w:rsidRPr="00A27D8A">
        <w:rPr>
          <w:lang w:val="fr-CA"/>
        </w:rPr>
        <w:t xml:space="preserve"> établissent les bases du programme de travail, indique les dispositions du projet de règles de gestion financière qui ont guidé l’établissement du budget et attire l’attention sur les </w:t>
      </w:r>
      <w:bookmarkStart w:id="6" w:name="_Hlk489620150"/>
      <w:r w:rsidR="00704D54" w:rsidRPr="00A27D8A">
        <w:rPr>
          <w:lang w:val="fr-CA"/>
        </w:rPr>
        <w:t>décisions clés devant être prises par la Conférence</w:t>
      </w:r>
      <w:r w:rsidR="00506874" w:rsidRPr="00A27D8A">
        <w:rPr>
          <w:lang w:val="fr-CA"/>
        </w:rPr>
        <w:t xml:space="preserve"> des Parties</w:t>
      </w:r>
      <w:r w:rsidR="00F771C6" w:rsidRPr="00A27D8A">
        <w:rPr>
          <w:lang w:val="fr-CA"/>
        </w:rPr>
        <w:t>,</w:t>
      </w:r>
      <w:r w:rsidR="00704D54" w:rsidRPr="00A27D8A">
        <w:rPr>
          <w:lang w:val="fr-CA"/>
        </w:rPr>
        <w:t xml:space="preserve"> qui ont une incidence sur le projet de budget de la Convention</w:t>
      </w:r>
      <w:bookmarkEnd w:id="6"/>
      <w:r w:rsidR="00B54238" w:rsidRPr="00A27D8A">
        <w:rPr>
          <w:lang w:val="fr-CA"/>
        </w:rPr>
        <w:t xml:space="preserve">. </w:t>
      </w:r>
      <w:r w:rsidR="00704D54" w:rsidRPr="00A27D8A">
        <w:rPr>
          <w:lang w:val="fr-CA"/>
        </w:rPr>
        <w:t>La section </w:t>
      </w:r>
      <w:r w:rsidR="00E85189" w:rsidRPr="00A27D8A">
        <w:rPr>
          <w:lang w:val="fr-CA"/>
        </w:rPr>
        <w:t>II</w:t>
      </w:r>
      <w:r w:rsidR="00704D54" w:rsidRPr="00A27D8A">
        <w:rPr>
          <w:lang w:val="fr-CA"/>
        </w:rPr>
        <w:t xml:space="preserve"> commence par une vue d’ensemble du programme de travail et du budget pour l’exercice biennal </w:t>
      </w:r>
      <w:r w:rsidR="0097354D" w:rsidRPr="00A27D8A">
        <w:rPr>
          <w:lang w:val="fr-CA"/>
        </w:rPr>
        <w:t>2018</w:t>
      </w:r>
      <w:r w:rsidR="00741146" w:rsidRPr="00A27D8A">
        <w:rPr>
          <w:lang w:val="fr-CA"/>
        </w:rPr>
        <w:t>–</w:t>
      </w:r>
      <w:r w:rsidR="0097354D" w:rsidRPr="00A27D8A">
        <w:rPr>
          <w:lang w:val="fr-CA"/>
        </w:rPr>
        <w:t>2019,</w:t>
      </w:r>
      <w:r w:rsidR="00704D54" w:rsidRPr="00A27D8A">
        <w:rPr>
          <w:lang w:val="fr-CA"/>
        </w:rPr>
        <w:t xml:space="preserve"> qui est suivie par un examen plus détaillé des activités qui sous-tendent le programme de travail </w:t>
      </w:r>
      <w:r w:rsidR="00650C7A" w:rsidRPr="00A27D8A">
        <w:rPr>
          <w:lang w:val="fr-CA"/>
        </w:rPr>
        <w:t>(</w:t>
      </w:r>
      <w:r w:rsidR="00D6363D" w:rsidRPr="00A27D8A">
        <w:rPr>
          <w:lang w:val="fr-CA"/>
        </w:rPr>
        <w:t>voir également</w:t>
      </w:r>
      <w:r w:rsidR="00650C7A" w:rsidRPr="00A27D8A">
        <w:rPr>
          <w:lang w:val="fr-CA"/>
        </w:rPr>
        <w:t xml:space="preserve"> UNEP/MC/COP.1/21/Add.1)</w:t>
      </w:r>
      <w:r w:rsidR="00D6363D" w:rsidRPr="00A27D8A">
        <w:rPr>
          <w:lang w:val="fr-CA"/>
        </w:rPr>
        <w:t xml:space="preserve"> et des ressources nécessaires pour</w:t>
      </w:r>
      <w:r w:rsidR="00E77966" w:rsidRPr="00A27D8A">
        <w:rPr>
          <w:lang w:val="fr-CA"/>
        </w:rPr>
        <w:t xml:space="preserve"> les effectifs</w:t>
      </w:r>
      <w:r w:rsidR="00D6363D" w:rsidRPr="00A27D8A">
        <w:rPr>
          <w:lang w:val="fr-CA"/>
        </w:rPr>
        <w:t xml:space="preserve"> </w:t>
      </w:r>
      <w:r w:rsidR="00E77966" w:rsidRPr="00A27D8A">
        <w:rPr>
          <w:lang w:val="fr-CA"/>
        </w:rPr>
        <w:t xml:space="preserve">requis pour les </w:t>
      </w:r>
      <w:r w:rsidR="005D2BD6" w:rsidRPr="00A27D8A">
        <w:rPr>
          <w:lang w:val="fr-CA"/>
        </w:rPr>
        <w:t xml:space="preserve">différentes </w:t>
      </w:r>
      <w:r w:rsidR="00E77966" w:rsidRPr="00A27D8A">
        <w:rPr>
          <w:lang w:val="fr-CA"/>
        </w:rPr>
        <w:t xml:space="preserve">options de secrétariat </w:t>
      </w:r>
      <w:r w:rsidR="00650C7A" w:rsidRPr="00A27D8A">
        <w:rPr>
          <w:lang w:val="fr-CA"/>
        </w:rPr>
        <w:t>(</w:t>
      </w:r>
      <w:r w:rsidR="00E77966" w:rsidRPr="00A27D8A">
        <w:rPr>
          <w:lang w:val="fr-CA"/>
        </w:rPr>
        <w:t>voir</w:t>
      </w:r>
      <w:r w:rsidR="00550E62" w:rsidRPr="00A27D8A">
        <w:rPr>
          <w:lang w:val="fr-CA"/>
        </w:rPr>
        <w:t> </w:t>
      </w:r>
      <w:r w:rsidR="00650C7A" w:rsidRPr="00A27D8A">
        <w:rPr>
          <w:lang w:val="fr-CA"/>
        </w:rPr>
        <w:t>UNEP/MC/COP.1/21/Add.2)</w:t>
      </w:r>
      <w:r w:rsidR="0097354D" w:rsidRPr="00A27D8A">
        <w:rPr>
          <w:lang w:val="fr-CA"/>
        </w:rPr>
        <w:t xml:space="preserve">. </w:t>
      </w:r>
      <w:r w:rsidR="00E77966" w:rsidRPr="00A27D8A">
        <w:rPr>
          <w:lang w:val="fr-CA"/>
        </w:rPr>
        <w:t>Cette</w:t>
      </w:r>
      <w:r w:rsidR="0097354D" w:rsidRPr="00A27D8A">
        <w:rPr>
          <w:lang w:val="fr-CA"/>
        </w:rPr>
        <w:t xml:space="preserve"> section </w:t>
      </w:r>
      <w:r w:rsidR="00E77966" w:rsidRPr="00A27D8A">
        <w:rPr>
          <w:lang w:val="fr-CA"/>
        </w:rPr>
        <w:t>contient également des informations sur</w:t>
      </w:r>
      <w:r w:rsidR="0097354D" w:rsidRPr="00A27D8A">
        <w:rPr>
          <w:lang w:val="fr-CA"/>
        </w:rPr>
        <w:t xml:space="preserve"> </w:t>
      </w:r>
      <w:r w:rsidR="0054520A" w:rsidRPr="00A27D8A">
        <w:rPr>
          <w:lang w:val="fr-CA"/>
        </w:rPr>
        <w:t xml:space="preserve">le barème </w:t>
      </w:r>
      <w:r w:rsidR="0054520A" w:rsidRPr="00A27D8A">
        <w:rPr>
          <w:lang w:val="fr-CA"/>
        </w:rPr>
        <w:lastRenderedPageBreak/>
        <w:t xml:space="preserve">indicatif des quotes-parts et le montant prévu des contributions </w:t>
      </w:r>
      <w:r w:rsidR="00650C7A" w:rsidRPr="00A27D8A">
        <w:rPr>
          <w:lang w:val="fr-CA"/>
        </w:rPr>
        <w:t>(UNEP/MC/COP.1/21/Add.3)</w:t>
      </w:r>
      <w:r w:rsidR="00A46ED1" w:rsidRPr="00A27D8A">
        <w:rPr>
          <w:lang w:val="fr-CA"/>
        </w:rPr>
        <w:t xml:space="preserve"> </w:t>
      </w:r>
      <w:r w:rsidR="0054520A" w:rsidRPr="00A27D8A">
        <w:rPr>
          <w:lang w:val="fr-CA"/>
        </w:rPr>
        <w:t>ainsi</w:t>
      </w:r>
      <w:r w:rsidR="00A46ED1" w:rsidRPr="00A27D8A">
        <w:rPr>
          <w:lang w:val="fr-CA"/>
        </w:rPr>
        <w:t xml:space="preserve"> </w:t>
      </w:r>
      <w:r w:rsidR="0054520A" w:rsidRPr="00A27D8A">
        <w:rPr>
          <w:lang w:val="fr-CA"/>
        </w:rPr>
        <w:t>qu’un</w:t>
      </w:r>
      <w:r w:rsidR="00A24C73" w:rsidRPr="00A27D8A">
        <w:rPr>
          <w:lang w:val="fr-CA"/>
        </w:rPr>
        <w:t>e présentation</w:t>
      </w:r>
      <w:r w:rsidR="0054520A" w:rsidRPr="00A27D8A">
        <w:rPr>
          <w:lang w:val="fr-CA"/>
        </w:rPr>
        <w:t xml:space="preserve"> général</w:t>
      </w:r>
      <w:r w:rsidR="00A24C73" w:rsidRPr="00A27D8A">
        <w:rPr>
          <w:lang w:val="fr-CA"/>
        </w:rPr>
        <w:t>e</w:t>
      </w:r>
      <w:r w:rsidR="0054520A" w:rsidRPr="00A27D8A">
        <w:rPr>
          <w:lang w:val="fr-CA"/>
        </w:rPr>
        <w:t xml:space="preserve"> du programme de travail et du budget</w:t>
      </w:r>
      <w:r w:rsidR="000C3A37" w:rsidRPr="00A27D8A">
        <w:rPr>
          <w:lang w:val="fr-CA"/>
        </w:rPr>
        <w:t xml:space="preserve"> </w:t>
      </w:r>
      <w:r w:rsidR="00A258A4" w:rsidRPr="00A27D8A">
        <w:rPr>
          <w:lang w:val="fr-CA"/>
        </w:rPr>
        <w:t xml:space="preserve">pour chaque </w:t>
      </w:r>
      <w:r w:rsidR="000C3A37" w:rsidRPr="00A27D8A">
        <w:rPr>
          <w:lang w:val="fr-CA"/>
        </w:rPr>
        <w:t xml:space="preserve">option </w:t>
      </w:r>
      <w:r w:rsidR="00A258A4" w:rsidRPr="00A27D8A">
        <w:rPr>
          <w:lang w:val="fr-CA"/>
        </w:rPr>
        <w:t>de secrétariat</w:t>
      </w:r>
      <w:r w:rsidR="00A46ED1" w:rsidRPr="00A27D8A">
        <w:rPr>
          <w:lang w:val="fr-CA"/>
        </w:rPr>
        <w:t xml:space="preserve"> (UNEP/MC/COP.1/21/Add.4). </w:t>
      </w:r>
      <w:r w:rsidR="00A258A4" w:rsidRPr="00A27D8A">
        <w:rPr>
          <w:lang w:val="fr-CA"/>
        </w:rPr>
        <w:t>La section </w:t>
      </w:r>
      <w:r w:rsidR="00E85189" w:rsidRPr="00A27D8A">
        <w:rPr>
          <w:lang w:val="fr-CA"/>
        </w:rPr>
        <w:t xml:space="preserve">II </w:t>
      </w:r>
      <w:r w:rsidR="00A258A4" w:rsidRPr="00A27D8A">
        <w:rPr>
          <w:lang w:val="fr-CA"/>
        </w:rPr>
        <w:t xml:space="preserve">contient également des informations supplémentaires concernant le Secrétariat de l’Organisation des Nations Unies et le PNUE en rapport avec les Normes comptables internationales pour le secteur public </w:t>
      </w:r>
      <w:r w:rsidR="008A5BF1" w:rsidRPr="00A27D8A">
        <w:rPr>
          <w:lang w:val="fr-CA"/>
        </w:rPr>
        <w:t>(</w:t>
      </w:r>
      <w:r w:rsidR="00850D5F" w:rsidRPr="00A27D8A">
        <w:rPr>
          <w:lang w:val="fr-CA"/>
        </w:rPr>
        <w:t>IPSAS</w:t>
      </w:r>
      <w:r w:rsidR="008A5BF1" w:rsidRPr="00A27D8A">
        <w:rPr>
          <w:lang w:val="fr-CA"/>
        </w:rPr>
        <w:t>)</w:t>
      </w:r>
      <w:r w:rsidR="00850D5F" w:rsidRPr="00A27D8A">
        <w:rPr>
          <w:lang w:val="fr-CA"/>
        </w:rPr>
        <w:t xml:space="preserve">, </w:t>
      </w:r>
      <w:proofErr w:type="spellStart"/>
      <w:r w:rsidR="00850D5F" w:rsidRPr="00A27D8A">
        <w:rPr>
          <w:lang w:val="fr-CA"/>
        </w:rPr>
        <w:t>Umoja</w:t>
      </w:r>
      <w:proofErr w:type="spellEnd"/>
      <w:r w:rsidR="00850D5F" w:rsidRPr="00A27D8A">
        <w:rPr>
          <w:lang w:val="fr-CA"/>
        </w:rPr>
        <w:t xml:space="preserve"> </w:t>
      </w:r>
      <w:r w:rsidR="00A258A4" w:rsidRPr="00A27D8A">
        <w:rPr>
          <w:lang w:val="fr-CA"/>
        </w:rPr>
        <w:t>et d’autres questions connexes</w:t>
      </w:r>
      <w:r w:rsidR="00650C7A" w:rsidRPr="00A27D8A">
        <w:rPr>
          <w:lang w:val="fr-CA"/>
        </w:rPr>
        <w:t>.</w:t>
      </w:r>
      <w:r w:rsidR="00A24C73" w:rsidRPr="00A27D8A">
        <w:rPr>
          <w:lang w:val="fr-CA"/>
        </w:rPr>
        <w:t xml:space="preserve"> La </w:t>
      </w:r>
      <w:r w:rsidR="00A258A4" w:rsidRPr="00A27D8A">
        <w:rPr>
          <w:lang w:val="fr-CA"/>
        </w:rPr>
        <w:t>s</w:t>
      </w:r>
      <w:r w:rsidR="00650C7A" w:rsidRPr="00A27D8A">
        <w:rPr>
          <w:lang w:val="fr-CA"/>
        </w:rPr>
        <w:t>ection</w:t>
      </w:r>
      <w:r w:rsidR="00A258A4" w:rsidRPr="00A27D8A">
        <w:rPr>
          <w:lang w:val="fr-CA"/>
        </w:rPr>
        <w:t> </w:t>
      </w:r>
      <w:r w:rsidR="00E85189" w:rsidRPr="00A27D8A">
        <w:rPr>
          <w:lang w:val="fr-CA"/>
        </w:rPr>
        <w:t>III</w:t>
      </w:r>
      <w:r w:rsidR="00136795" w:rsidRPr="00A27D8A">
        <w:rPr>
          <w:lang w:val="fr-CA"/>
        </w:rPr>
        <w:t xml:space="preserve"> </w:t>
      </w:r>
      <w:r w:rsidR="00635105" w:rsidRPr="00A27D8A">
        <w:rPr>
          <w:lang w:val="fr-CA"/>
        </w:rPr>
        <w:t>énonce</w:t>
      </w:r>
      <w:r w:rsidR="00A258A4" w:rsidRPr="00A27D8A">
        <w:rPr>
          <w:lang w:val="fr-CA"/>
        </w:rPr>
        <w:t xml:space="preserve"> des mesures que </w:t>
      </w:r>
      <w:r w:rsidR="00635105" w:rsidRPr="00A27D8A">
        <w:rPr>
          <w:lang w:val="fr-CA"/>
        </w:rPr>
        <w:t>la Conférence</w:t>
      </w:r>
      <w:r w:rsidR="00506874" w:rsidRPr="00A27D8A">
        <w:rPr>
          <w:lang w:val="fr-CA"/>
        </w:rPr>
        <w:t xml:space="preserve"> des Parties</w:t>
      </w:r>
      <w:r w:rsidR="00635105" w:rsidRPr="00A27D8A">
        <w:rPr>
          <w:lang w:val="fr-CA"/>
        </w:rPr>
        <w:t xml:space="preserve"> </w:t>
      </w:r>
      <w:r w:rsidR="00A258A4" w:rsidRPr="00A27D8A">
        <w:rPr>
          <w:lang w:val="fr-CA"/>
        </w:rPr>
        <w:t>pourrait prendre</w:t>
      </w:r>
      <w:r w:rsidR="00650C7A" w:rsidRPr="00A27D8A">
        <w:rPr>
          <w:lang w:val="fr-CA"/>
        </w:rPr>
        <w:t xml:space="preserve">. </w:t>
      </w:r>
    </w:p>
    <w:p w14:paraId="213DAB4B" w14:textId="5F74BBCD" w:rsidR="0062620A" w:rsidRPr="00A27D8A" w:rsidRDefault="001C7D10" w:rsidP="001C7D10">
      <w:pPr>
        <w:pStyle w:val="CH2"/>
        <w:rPr>
          <w:lang w:val="fr-CA"/>
        </w:rPr>
      </w:pPr>
      <w:r w:rsidRPr="00A27D8A">
        <w:rPr>
          <w:lang w:val="fr-CA"/>
        </w:rPr>
        <w:tab/>
        <w:t xml:space="preserve">A. </w:t>
      </w:r>
      <w:r w:rsidRPr="00A27D8A">
        <w:rPr>
          <w:lang w:val="fr-CA"/>
        </w:rPr>
        <w:tab/>
      </w:r>
      <w:r w:rsidR="00635105" w:rsidRPr="00A27D8A">
        <w:rPr>
          <w:lang w:val="fr-CA"/>
        </w:rPr>
        <w:t xml:space="preserve">Établissement du premier programme de travail du secrétariat </w:t>
      </w:r>
      <w:r w:rsidR="00095199" w:rsidRPr="00A27D8A">
        <w:rPr>
          <w:lang w:val="fr-CA"/>
        </w:rPr>
        <w:br/>
      </w:r>
      <w:r w:rsidR="00635105" w:rsidRPr="00A27D8A">
        <w:rPr>
          <w:lang w:val="fr-CA"/>
        </w:rPr>
        <w:t xml:space="preserve">et du premier projet de budget pour la période </w:t>
      </w:r>
      <w:r w:rsidRPr="00A27D8A">
        <w:rPr>
          <w:lang w:val="fr-CA"/>
        </w:rPr>
        <w:t>2018–2019</w:t>
      </w:r>
      <w:r w:rsidR="000A7CE7" w:rsidRPr="00A27D8A">
        <w:rPr>
          <w:lang w:val="fr-CA"/>
        </w:rPr>
        <w:t xml:space="preserve"> </w:t>
      </w:r>
    </w:p>
    <w:p w14:paraId="15D6269D" w14:textId="50FE4C41" w:rsidR="004634F9" w:rsidRPr="00A27D8A" w:rsidRDefault="00414DC0" w:rsidP="00C03273">
      <w:pPr>
        <w:pStyle w:val="Normalnumber"/>
        <w:ind w:left="1247" w:firstLine="0"/>
        <w:rPr>
          <w:lang w:val="fr-CA"/>
        </w:rPr>
      </w:pPr>
      <w:r w:rsidRPr="00A27D8A">
        <w:rPr>
          <w:lang w:val="fr-CA"/>
        </w:rPr>
        <w:t>L’article </w:t>
      </w:r>
      <w:r w:rsidR="00031A11" w:rsidRPr="00A27D8A">
        <w:rPr>
          <w:lang w:val="fr-CA"/>
        </w:rPr>
        <w:t xml:space="preserve">24 </w:t>
      </w:r>
      <w:r w:rsidRPr="00A27D8A">
        <w:rPr>
          <w:lang w:val="fr-CA"/>
        </w:rPr>
        <w:t>de la Convention de</w:t>
      </w:r>
      <w:r w:rsidR="00031A11" w:rsidRPr="00A27D8A">
        <w:rPr>
          <w:lang w:val="fr-CA"/>
        </w:rPr>
        <w:t xml:space="preserve"> Minamata </w:t>
      </w:r>
      <w:r w:rsidRPr="00A27D8A">
        <w:rPr>
          <w:lang w:val="fr-CA"/>
        </w:rPr>
        <w:t xml:space="preserve">prévoit l’institution de son secrétariat et </w:t>
      </w:r>
      <w:r w:rsidR="00B12DC3" w:rsidRPr="00A27D8A">
        <w:rPr>
          <w:lang w:val="fr-CA"/>
        </w:rPr>
        <w:t>établit les fonctions de ce dernier comme suit </w:t>
      </w:r>
      <w:r w:rsidR="004634F9" w:rsidRPr="00A27D8A">
        <w:rPr>
          <w:lang w:val="fr-CA"/>
        </w:rPr>
        <w:t xml:space="preserve">: </w:t>
      </w:r>
    </w:p>
    <w:p w14:paraId="2B0A5B4F" w14:textId="50D94F62" w:rsidR="008E1214" w:rsidRPr="00A27D8A" w:rsidRDefault="00B12DC3" w:rsidP="00B12DC3">
      <w:pPr>
        <w:pStyle w:val="Normalnumber"/>
        <w:numPr>
          <w:ilvl w:val="3"/>
          <w:numId w:val="67"/>
        </w:numPr>
        <w:ind w:left="1276" w:firstLine="567"/>
        <w:rPr>
          <w:lang w:val="fr-CA"/>
        </w:rPr>
      </w:pPr>
      <w:bookmarkStart w:id="7" w:name="_Hlk489688385"/>
      <w:r w:rsidRPr="00A27D8A">
        <w:rPr>
          <w:lang w:val="fr-CA"/>
        </w:rPr>
        <w:t xml:space="preserve">Organiser les réunions de la Conférence des Parties et de ses organes subsidiaires et leur fournir les services </w:t>
      </w:r>
      <w:proofErr w:type="gramStart"/>
      <w:r w:rsidRPr="00A27D8A">
        <w:rPr>
          <w:lang w:val="fr-CA"/>
        </w:rPr>
        <w:t>requis</w:t>
      </w:r>
      <w:bookmarkEnd w:id="7"/>
      <w:r w:rsidR="004634F9" w:rsidRPr="00A27D8A">
        <w:rPr>
          <w:lang w:val="fr-CA"/>
        </w:rPr>
        <w:t>;</w:t>
      </w:r>
      <w:proofErr w:type="gramEnd"/>
    </w:p>
    <w:p w14:paraId="180B5448" w14:textId="12A51AA6" w:rsidR="004634F9" w:rsidRPr="00A27D8A" w:rsidRDefault="00B12DC3" w:rsidP="00B12DC3">
      <w:pPr>
        <w:pStyle w:val="Normalnumber"/>
        <w:numPr>
          <w:ilvl w:val="3"/>
          <w:numId w:val="67"/>
        </w:numPr>
        <w:ind w:left="1276" w:firstLine="567"/>
        <w:rPr>
          <w:lang w:val="fr-CA"/>
        </w:rPr>
      </w:pPr>
      <w:r w:rsidRPr="00A27D8A">
        <w:rPr>
          <w:lang w:val="fr-CA"/>
        </w:rPr>
        <w:t xml:space="preserve">Faciliter l’octroi, sur demande, d’une assistance aux Parties, en particulier aux Parties qui sont des pays en développement ou à économie en transition, aux fins de la mise en œuvre de la </w:t>
      </w:r>
      <w:proofErr w:type="gramStart"/>
      <w:r w:rsidRPr="00A27D8A">
        <w:rPr>
          <w:lang w:val="fr-CA"/>
        </w:rPr>
        <w:t>Convention</w:t>
      </w:r>
      <w:r w:rsidR="004634F9" w:rsidRPr="00A27D8A">
        <w:rPr>
          <w:lang w:val="fr-CA"/>
        </w:rPr>
        <w:t>;</w:t>
      </w:r>
      <w:proofErr w:type="gramEnd"/>
    </w:p>
    <w:p w14:paraId="7A13AF0D" w14:textId="0699FBA0" w:rsidR="004634F9" w:rsidRPr="00A27D8A" w:rsidRDefault="00B12DC3" w:rsidP="00B12DC3">
      <w:pPr>
        <w:pStyle w:val="Normalnumber"/>
        <w:numPr>
          <w:ilvl w:val="3"/>
          <w:numId w:val="67"/>
        </w:numPr>
        <w:ind w:left="1276" w:firstLine="567"/>
        <w:rPr>
          <w:lang w:val="fr-CA"/>
        </w:rPr>
      </w:pPr>
      <w:r w:rsidRPr="00A27D8A">
        <w:rPr>
          <w:lang w:val="fr-CA"/>
        </w:rPr>
        <w:t xml:space="preserve">Assurer la coordination, si besoin est, avec les secrétariats d’organismes internationaux compétents, en particulier avec ceux d’autres conventions sur les produits chimiques et les </w:t>
      </w:r>
      <w:proofErr w:type="gramStart"/>
      <w:r w:rsidRPr="00A27D8A">
        <w:rPr>
          <w:lang w:val="fr-CA"/>
        </w:rPr>
        <w:t>déchets</w:t>
      </w:r>
      <w:r w:rsidR="004634F9" w:rsidRPr="00A27D8A">
        <w:rPr>
          <w:lang w:val="fr-CA"/>
        </w:rPr>
        <w:t>;</w:t>
      </w:r>
      <w:proofErr w:type="gramEnd"/>
    </w:p>
    <w:p w14:paraId="649E438E" w14:textId="309F8941" w:rsidR="004634F9" w:rsidRPr="00A27D8A" w:rsidRDefault="00B12DC3" w:rsidP="00B12DC3">
      <w:pPr>
        <w:pStyle w:val="Normalnumber"/>
        <w:numPr>
          <w:ilvl w:val="3"/>
          <w:numId w:val="67"/>
        </w:numPr>
        <w:ind w:left="1276" w:firstLine="567"/>
        <w:rPr>
          <w:lang w:val="fr-CA"/>
        </w:rPr>
      </w:pPr>
      <w:r w:rsidRPr="00A27D8A">
        <w:rPr>
          <w:lang w:val="fr-CA"/>
        </w:rPr>
        <w:t xml:space="preserve">Soutenir les Parties dans le cadre de l’échange d’informations concernant la mise en œuvre de la </w:t>
      </w:r>
      <w:proofErr w:type="gramStart"/>
      <w:r w:rsidRPr="00A27D8A">
        <w:rPr>
          <w:lang w:val="fr-CA"/>
        </w:rPr>
        <w:t>Convention</w:t>
      </w:r>
      <w:r w:rsidR="004634F9" w:rsidRPr="00A27D8A">
        <w:rPr>
          <w:lang w:val="fr-CA"/>
        </w:rPr>
        <w:t>;</w:t>
      </w:r>
      <w:proofErr w:type="gramEnd"/>
      <w:r w:rsidR="004634F9" w:rsidRPr="00A27D8A">
        <w:rPr>
          <w:lang w:val="fr-CA"/>
        </w:rPr>
        <w:t xml:space="preserve"> </w:t>
      </w:r>
    </w:p>
    <w:p w14:paraId="5F4A7AED" w14:textId="71C113B5" w:rsidR="004634F9" w:rsidRPr="00A27D8A" w:rsidRDefault="00B12DC3" w:rsidP="00B12DC3">
      <w:pPr>
        <w:pStyle w:val="Normalnumber"/>
        <w:numPr>
          <w:ilvl w:val="3"/>
          <w:numId w:val="67"/>
        </w:numPr>
        <w:ind w:left="1276" w:firstLine="567"/>
        <w:rPr>
          <w:lang w:val="fr-CA"/>
        </w:rPr>
      </w:pPr>
      <w:r w:rsidRPr="00A27D8A">
        <w:rPr>
          <w:lang w:val="fr-CA"/>
        </w:rPr>
        <w:t xml:space="preserve">Établir et mettre à la disposition des Parties des rapports périodiques fondés sur les informations reçues en vertu des articles 15 et 21 ainsi que d’autres informations </w:t>
      </w:r>
      <w:proofErr w:type="gramStart"/>
      <w:r w:rsidRPr="00A27D8A">
        <w:rPr>
          <w:lang w:val="fr-CA"/>
        </w:rPr>
        <w:t>disponibles</w:t>
      </w:r>
      <w:r w:rsidR="004634F9" w:rsidRPr="00A27D8A">
        <w:rPr>
          <w:lang w:val="fr-CA"/>
        </w:rPr>
        <w:t>;</w:t>
      </w:r>
      <w:proofErr w:type="gramEnd"/>
    </w:p>
    <w:p w14:paraId="0F5A79BE" w14:textId="55A131E0" w:rsidR="004634F9" w:rsidRPr="00A27D8A" w:rsidRDefault="00BE7AAB" w:rsidP="00B12DC3">
      <w:pPr>
        <w:pStyle w:val="Normalnumber"/>
        <w:numPr>
          <w:ilvl w:val="3"/>
          <w:numId w:val="67"/>
        </w:numPr>
        <w:ind w:left="1276" w:firstLine="567"/>
        <w:rPr>
          <w:lang w:val="fr-CA"/>
        </w:rPr>
      </w:pPr>
      <w:r w:rsidRPr="00A27D8A">
        <w:rPr>
          <w:lang w:val="fr-CA"/>
        </w:rPr>
        <w:t xml:space="preserve">Conclure, sous la supervision générale de la Conférence des Parties, les arrangements administratifs et contractuels qui pourraient lui être nécessaires pour s’acquitter efficacement de ses </w:t>
      </w:r>
      <w:proofErr w:type="gramStart"/>
      <w:r w:rsidRPr="00A27D8A">
        <w:rPr>
          <w:lang w:val="fr-CA"/>
        </w:rPr>
        <w:t>fonctions</w:t>
      </w:r>
      <w:r w:rsidR="004634F9" w:rsidRPr="00A27D8A">
        <w:rPr>
          <w:lang w:val="fr-CA"/>
        </w:rPr>
        <w:t>;</w:t>
      </w:r>
      <w:proofErr w:type="gramEnd"/>
      <w:r w:rsidR="004634F9" w:rsidRPr="00A27D8A">
        <w:rPr>
          <w:lang w:val="fr-CA"/>
        </w:rPr>
        <w:t xml:space="preserve"> </w:t>
      </w:r>
    </w:p>
    <w:p w14:paraId="70FDFAB8" w14:textId="693F352A" w:rsidR="004634F9" w:rsidRPr="00A27D8A" w:rsidRDefault="00BE7AAB" w:rsidP="00B12DC3">
      <w:pPr>
        <w:pStyle w:val="Normalnumber"/>
        <w:numPr>
          <w:ilvl w:val="3"/>
          <w:numId w:val="67"/>
        </w:numPr>
        <w:ind w:left="1276" w:firstLine="567"/>
        <w:rPr>
          <w:lang w:val="fr-CA"/>
        </w:rPr>
      </w:pPr>
      <w:r w:rsidRPr="00A27D8A">
        <w:rPr>
          <w:lang w:val="fr-CA"/>
        </w:rPr>
        <w:t>S’acquitter des autres fonctions de secrétariat spécifiées dans la Convention et de toute fonction supplémentaire qui pourrait lui être confiée par la Conférence des Parties</w:t>
      </w:r>
      <w:r w:rsidR="004634F9" w:rsidRPr="00A27D8A">
        <w:rPr>
          <w:lang w:val="fr-CA"/>
        </w:rPr>
        <w:t xml:space="preserve">. </w:t>
      </w:r>
    </w:p>
    <w:p w14:paraId="402B7E51" w14:textId="7FD9BF9F" w:rsidR="00D83048" w:rsidRPr="00A27D8A" w:rsidRDefault="00FA6CDE" w:rsidP="00C03273">
      <w:pPr>
        <w:pStyle w:val="Normalnumber"/>
        <w:ind w:left="1247" w:firstLine="0"/>
        <w:rPr>
          <w:lang w:val="fr-CA"/>
        </w:rPr>
      </w:pPr>
      <w:r w:rsidRPr="00A27D8A">
        <w:rPr>
          <w:lang w:val="fr-CA"/>
        </w:rPr>
        <w:t>La première réunion de la Conférence des Parties à la Convention de</w:t>
      </w:r>
      <w:r w:rsidR="00031A11" w:rsidRPr="00A27D8A">
        <w:rPr>
          <w:lang w:val="fr-CA"/>
        </w:rPr>
        <w:t xml:space="preserve"> Minamata </w:t>
      </w:r>
      <w:r w:rsidRPr="00A27D8A">
        <w:rPr>
          <w:lang w:val="fr-CA"/>
        </w:rPr>
        <w:t xml:space="preserve">doit adopter le </w:t>
      </w:r>
      <w:bookmarkStart w:id="8" w:name="_Hlk489521705"/>
      <w:r w:rsidR="00704D54" w:rsidRPr="00A27D8A">
        <w:rPr>
          <w:lang w:val="fr-CA"/>
        </w:rPr>
        <w:t>projet de règles de gestion financière</w:t>
      </w:r>
      <w:r w:rsidRPr="00A27D8A">
        <w:rPr>
          <w:lang w:val="fr-CA"/>
        </w:rPr>
        <w:t xml:space="preserve"> </w:t>
      </w:r>
      <w:bookmarkEnd w:id="8"/>
      <w:r w:rsidR="0004535C" w:rsidRPr="00A27D8A">
        <w:rPr>
          <w:lang w:val="fr-CA"/>
        </w:rPr>
        <w:t>de</w:t>
      </w:r>
      <w:r w:rsidRPr="00A27D8A">
        <w:rPr>
          <w:lang w:val="fr-CA"/>
        </w:rPr>
        <w:t xml:space="preserve"> la Conférence et </w:t>
      </w:r>
      <w:r w:rsidR="0004535C" w:rsidRPr="00A27D8A">
        <w:rPr>
          <w:lang w:val="fr-CA"/>
        </w:rPr>
        <w:t>de tout organe subsidiaire ainsi que les</w:t>
      </w:r>
      <w:r w:rsidR="00732991">
        <w:rPr>
          <w:lang w:val="fr-CA"/>
        </w:rPr>
        <w:t> </w:t>
      </w:r>
      <w:r w:rsidR="0004535C" w:rsidRPr="00A27D8A">
        <w:rPr>
          <w:lang w:val="fr-CA"/>
        </w:rPr>
        <w:t>dispositions financières régissant le fonctionnement du secrétariat de la</w:t>
      </w:r>
      <w:r w:rsidR="00031A11" w:rsidRPr="00A27D8A">
        <w:rPr>
          <w:lang w:val="fr-CA"/>
        </w:rPr>
        <w:t xml:space="preserve"> Convention (</w:t>
      </w:r>
      <w:r w:rsidR="0004535C" w:rsidRPr="00A27D8A">
        <w:rPr>
          <w:lang w:val="fr-CA"/>
        </w:rPr>
        <w:t>voir</w:t>
      </w:r>
      <w:r w:rsidR="00732991">
        <w:rPr>
          <w:lang w:val="fr-CA"/>
        </w:rPr>
        <w:t> </w:t>
      </w:r>
      <w:r w:rsidR="00F321FE" w:rsidRPr="00A27D8A">
        <w:rPr>
          <w:lang w:val="fr-CA"/>
        </w:rPr>
        <w:t>UNEP/MC/COP.1/13</w:t>
      </w:r>
      <w:r w:rsidR="0004535C" w:rsidRPr="00A27D8A">
        <w:rPr>
          <w:lang w:val="fr-CA"/>
        </w:rPr>
        <w:t>, annexe </w:t>
      </w:r>
      <w:r w:rsidR="00863240" w:rsidRPr="00A27D8A">
        <w:rPr>
          <w:lang w:val="fr-CA"/>
        </w:rPr>
        <w:t>II</w:t>
      </w:r>
      <w:r w:rsidR="00F321FE" w:rsidRPr="00A27D8A">
        <w:rPr>
          <w:lang w:val="fr-CA"/>
        </w:rPr>
        <w:t xml:space="preserve">). </w:t>
      </w:r>
      <w:r w:rsidR="0004535C" w:rsidRPr="00A27D8A">
        <w:rPr>
          <w:lang w:val="fr-CA"/>
        </w:rPr>
        <w:t>Le</w:t>
      </w:r>
      <w:r w:rsidR="00F321FE" w:rsidRPr="00A27D8A">
        <w:rPr>
          <w:lang w:val="fr-CA"/>
        </w:rPr>
        <w:t xml:space="preserve"> </w:t>
      </w:r>
      <w:r w:rsidR="0004535C" w:rsidRPr="00A27D8A">
        <w:rPr>
          <w:lang w:val="fr-CA"/>
        </w:rPr>
        <w:t>projet de règles de gestion financière contient un certain nombre de dispositions qui guident l’établissement du premier projet de budget de la Convention, à savoir </w:t>
      </w:r>
      <w:r w:rsidR="009C5D0B" w:rsidRPr="00A27D8A">
        <w:rPr>
          <w:lang w:val="fr-CA"/>
        </w:rPr>
        <w:t xml:space="preserve">: </w:t>
      </w:r>
    </w:p>
    <w:p w14:paraId="5F99B481" w14:textId="39CE4F3C" w:rsidR="00D83048" w:rsidRPr="00A27D8A" w:rsidRDefault="0004535C" w:rsidP="0004535C">
      <w:pPr>
        <w:pStyle w:val="Normalnumber"/>
        <w:numPr>
          <w:ilvl w:val="1"/>
          <w:numId w:val="7"/>
        </w:numPr>
        <w:ind w:left="1276" w:firstLine="567"/>
        <w:rPr>
          <w:lang w:val="fr-CA"/>
        </w:rPr>
      </w:pPr>
      <w:r w:rsidRPr="00A27D8A">
        <w:rPr>
          <w:lang w:val="fr-CA"/>
        </w:rPr>
        <w:t>L’</w:t>
      </w:r>
      <w:r w:rsidR="00A311EC" w:rsidRPr="00A27D8A">
        <w:rPr>
          <w:lang w:val="fr-CA"/>
        </w:rPr>
        <w:t>article</w:t>
      </w:r>
      <w:r w:rsidRPr="00A27D8A">
        <w:rPr>
          <w:lang w:val="fr-CA"/>
        </w:rPr>
        <w:t> </w:t>
      </w:r>
      <w:r w:rsidR="00D83048" w:rsidRPr="00A27D8A">
        <w:rPr>
          <w:lang w:val="fr-CA"/>
        </w:rPr>
        <w:t xml:space="preserve">2 </w:t>
      </w:r>
      <w:r w:rsidR="00A311EC" w:rsidRPr="00A27D8A">
        <w:rPr>
          <w:lang w:val="fr-CA"/>
        </w:rPr>
        <w:t>sur l’exercice financier prévoit que l’exercice financier de la Convention porte sur l’année civile et que le programme de travail et budget biennal porte normalement sur deux</w:t>
      </w:r>
      <w:r w:rsidR="00732991">
        <w:rPr>
          <w:lang w:val="fr-CA"/>
        </w:rPr>
        <w:t> </w:t>
      </w:r>
      <w:r w:rsidR="00A311EC" w:rsidRPr="00A27D8A">
        <w:rPr>
          <w:lang w:val="fr-CA"/>
        </w:rPr>
        <w:t>années civiles consécutives, dont la première est une année paire</w:t>
      </w:r>
      <w:r w:rsidR="00D83048" w:rsidRPr="00A27D8A">
        <w:rPr>
          <w:lang w:val="fr-CA"/>
        </w:rPr>
        <w:t>.</w:t>
      </w:r>
      <w:r w:rsidR="00193217" w:rsidRPr="00A27D8A">
        <w:rPr>
          <w:lang w:val="fr-CA"/>
        </w:rPr>
        <w:t xml:space="preserve"> Le premier programme de travail et budget de la Convention est donc établi pour l’exercice biennal </w:t>
      </w:r>
      <w:r w:rsidR="00D83048" w:rsidRPr="00A27D8A">
        <w:rPr>
          <w:lang w:val="fr-CA"/>
        </w:rPr>
        <w:t>2018</w:t>
      </w:r>
      <w:r w:rsidR="00330E8E" w:rsidRPr="00A27D8A">
        <w:rPr>
          <w:lang w:val="fr-CA"/>
        </w:rPr>
        <w:t>–</w:t>
      </w:r>
      <w:proofErr w:type="gramStart"/>
      <w:r w:rsidR="00D83048" w:rsidRPr="00A27D8A">
        <w:rPr>
          <w:lang w:val="fr-CA"/>
        </w:rPr>
        <w:t>2019</w:t>
      </w:r>
      <w:r w:rsidR="0082424A" w:rsidRPr="00A27D8A">
        <w:rPr>
          <w:lang w:val="fr-CA"/>
        </w:rPr>
        <w:t>;</w:t>
      </w:r>
      <w:proofErr w:type="gramEnd"/>
    </w:p>
    <w:p w14:paraId="26AE9E51" w14:textId="367A17EB" w:rsidR="00D83048" w:rsidRPr="00A27D8A" w:rsidRDefault="00193217" w:rsidP="0004535C">
      <w:pPr>
        <w:pStyle w:val="Normalnumber"/>
        <w:numPr>
          <w:ilvl w:val="1"/>
          <w:numId w:val="7"/>
        </w:numPr>
        <w:ind w:left="1276" w:firstLine="567"/>
        <w:rPr>
          <w:lang w:val="fr-CA"/>
        </w:rPr>
      </w:pPr>
      <w:r w:rsidRPr="00A27D8A">
        <w:rPr>
          <w:lang w:val="fr-CA"/>
        </w:rPr>
        <w:t>L’article </w:t>
      </w:r>
      <w:r w:rsidR="00D83048" w:rsidRPr="00A27D8A">
        <w:rPr>
          <w:lang w:val="fr-CA"/>
        </w:rPr>
        <w:t xml:space="preserve">3 </w:t>
      </w:r>
      <w:r w:rsidRPr="00A27D8A">
        <w:rPr>
          <w:lang w:val="fr-CA"/>
        </w:rPr>
        <w:t>sur le budget dispose que</w:t>
      </w:r>
      <w:r w:rsidR="00D83048" w:rsidRPr="00A27D8A">
        <w:rPr>
          <w:lang w:val="fr-CA"/>
        </w:rPr>
        <w:t xml:space="preserve"> </w:t>
      </w:r>
      <w:r w:rsidRPr="00A27D8A">
        <w:rPr>
          <w:lang w:val="fr-CA"/>
        </w:rPr>
        <w:t>le Chef du secrétariat de la Convention prépare le projet de budget pour l’exercice biennal en dollars, en indiquant les recettes et les dépenses prévues pour chaque année</w:t>
      </w:r>
      <w:r w:rsidR="00D83048" w:rsidRPr="00A27D8A">
        <w:rPr>
          <w:lang w:val="fr-CA"/>
        </w:rPr>
        <w:t xml:space="preserve">. </w:t>
      </w:r>
      <w:r w:rsidRPr="00A27D8A">
        <w:rPr>
          <w:lang w:val="fr-CA"/>
        </w:rPr>
        <w:t xml:space="preserve">Conformément au mandat donné par la Conférence </w:t>
      </w:r>
      <w:r w:rsidR="003B36BF" w:rsidRPr="00A27D8A">
        <w:rPr>
          <w:lang w:val="fr-CA"/>
        </w:rPr>
        <w:t>de plénipotentiaires</w:t>
      </w:r>
      <w:r w:rsidRPr="00A27D8A">
        <w:rPr>
          <w:lang w:val="fr-CA"/>
        </w:rPr>
        <w:t>, le</w:t>
      </w:r>
      <w:r w:rsidR="00D83048" w:rsidRPr="00A27D8A">
        <w:rPr>
          <w:lang w:val="fr-CA"/>
        </w:rPr>
        <w:t xml:space="preserve"> </w:t>
      </w:r>
      <w:r w:rsidRPr="00A27D8A">
        <w:rPr>
          <w:lang w:val="fr-CA"/>
        </w:rPr>
        <w:t xml:space="preserve">Coordonnateur principal du secrétariat provisoire, au nom du Directeur exécutif du PNUE, </w:t>
      </w:r>
      <w:r w:rsidR="00053859" w:rsidRPr="00A27D8A">
        <w:rPr>
          <w:lang w:val="fr-CA"/>
        </w:rPr>
        <w:t>a présenté le projet de programme de travail</w:t>
      </w:r>
      <w:r w:rsidR="00CD1E4B" w:rsidRPr="00A27D8A">
        <w:rPr>
          <w:lang w:val="fr-CA"/>
        </w:rPr>
        <w:t xml:space="preserve"> </w:t>
      </w:r>
      <w:r w:rsidR="00053859" w:rsidRPr="00A27D8A">
        <w:rPr>
          <w:lang w:val="fr-CA"/>
        </w:rPr>
        <w:t>et de budget de la Convention pour l’exercice biennal</w:t>
      </w:r>
      <w:r w:rsidRPr="00A27D8A">
        <w:rPr>
          <w:lang w:val="fr-CA"/>
        </w:rPr>
        <w:t xml:space="preserve"> </w:t>
      </w:r>
      <w:r w:rsidR="00D83048" w:rsidRPr="00A27D8A">
        <w:rPr>
          <w:lang w:val="fr-CA"/>
        </w:rPr>
        <w:t>2018</w:t>
      </w:r>
      <w:r w:rsidR="00330E8E" w:rsidRPr="00A27D8A">
        <w:rPr>
          <w:lang w:val="fr-CA"/>
        </w:rPr>
        <w:t>–</w:t>
      </w:r>
      <w:proofErr w:type="gramStart"/>
      <w:r w:rsidR="00D83048" w:rsidRPr="00A27D8A">
        <w:rPr>
          <w:lang w:val="fr-CA"/>
        </w:rPr>
        <w:t>2019</w:t>
      </w:r>
      <w:r w:rsidR="0082424A" w:rsidRPr="00A27D8A">
        <w:rPr>
          <w:lang w:val="fr-CA"/>
        </w:rPr>
        <w:t>;</w:t>
      </w:r>
      <w:proofErr w:type="gramEnd"/>
    </w:p>
    <w:p w14:paraId="13FC6105" w14:textId="6B9A50CA" w:rsidR="00D83048" w:rsidRPr="00A27D8A" w:rsidRDefault="00053859" w:rsidP="0004535C">
      <w:pPr>
        <w:pStyle w:val="Normalnumber"/>
        <w:numPr>
          <w:ilvl w:val="1"/>
          <w:numId w:val="7"/>
        </w:numPr>
        <w:ind w:left="1276" w:firstLine="567"/>
        <w:rPr>
          <w:lang w:val="fr-CA"/>
        </w:rPr>
      </w:pPr>
      <w:r w:rsidRPr="00A27D8A">
        <w:rPr>
          <w:lang w:val="fr-CA"/>
        </w:rPr>
        <w:t>En outre, l’article </w:t>
      </w:r>
      <w:r w:rsidR="00D83048" w:rsidRPr="00A27D8A">
        <w:rPr>
          <w:lang w:val="fr-CA"/>
        </w:rPr>
        <w:t>3</w:t>
      </w:r>
      <w:r w:rsidR="00363316" w:rsidRPr="00A27D8A">
        <w:rPr>
          <w:lang w:val="fr-CA"/>
        </w:rPr>
        <w:t xml:space="preserve">, </w:t>
      </w:r>
      <w:r w:rsidRPr="00A27D8A">
        <w:rPr>
          <w:lang w:val="fr-CA"/>
        </w:rPr>
        <w:t>tel q</w:t>
      </w:r>
      <w:r w:rsidR="00CD1E4B" w:rsidRPr="00A27D8A">
        <w:rPr>
          <w:lang w:val="fr-CA"/>
        </w:rPr>
        <w:t xml:space="preserve">u’il est rédigé, prévoit que le </w:t>
      </w:r>
      <w:r w:rsidRPr="00A27D8A">
        <w:rPr>
          <w:lang w:val="fr-CA"/>
        </w:rPr>
        <w:t>« budget devrait être présenté en suivant une structure programmatique [harmonis</w:t>
      </w:r>
      <w:r w:rsidR="00550E62" w:rsidRPr="00A27D8A">
        <w:rPr>
          <w:lang w:val="fr-CA"/>
        </w:rPr>
        <w:t>ée avec celle utilisée par le Secrétariat</w:t>
      </w:r>
      <w:r w:rsidRPr="00A27D8A">
        <w:rPr>
          <w:lang w:val="fr-CA"/>
        </w:rPr>
        <w:t xml:space="preserve"> </w:t>
      </w:r>
      <w:r w:rsidR="00506874" w:rsidRPr="00A27D8A">
        <w:rPr>
          <w:lang w:val="fr-CA"/>
        </w:rPr>
        <w:t>de la</w:t>
      </w:r>
      <w:r w:rsidRPr="00A27D8A">
        <w:rPr>
          <w:lang w:val="fr-CA"/>
        </w:rPr>
        <w:t xml:space="preserve"> </w:t>
      </w:r>
      <w:r w:rsidR="00506874" w:rsidRPr="00A27D8A">
        <w:rPr>
          <w:lang w:val="fr-CA"/>
        </w:rPr>
        <w:t>C</w:t>
      </w:r>
      <w:r w:rsidRPr="00A27D8A">
        <w:rPr>
          <w:lang w:val="fr-CA"/>
        </w:rPr>
        <w:t>onvention de Bâle</w:t>
      </w:r>
      <w:r w:rsidR="00506874" w:rsidRPr="00A27D8A">
        <w:rPr>
          <w:lang w:val="fr-CA"/>
        </w:rPr>
        <w:t xml:space="preserve"> sur le contrôle des mouvements transfrontières de déchets dangereux et de leur élimination</w:t>
      </w:r>
      <w:r w:rsidRPr="00A27D8A">
        <w:rPr>
          <w:lang w:val="fr-CA"/>
        </w:rPr>
        <w:t>, de</w:t>
      </w:r>
      <w:r w:rsidR="00506874" w:rsidRPr="00A27D8A">
        <w:rPr>
          <w:lang w:val="fr-CA"/>
        </w:rPr>
        <w:t xml:space="preserve"> la Convention de</w:t>
      </w:r>
      <w:r w:rsidRPr="00A27D8A">
        <w:rPr>
          <w:lang w:val="fr-CA"/>
        </w:rPr>
        <w:t xml:space="preserve"> Rotterdam </w:t>
      </w:r>
      <w:r w:rsidR="00506874" w:rsidRPr="00A27D8A">
        <w:rPr>
          <w:lang w:val="fr-CA"/>
        </w:rPr>
        <w:t xml:space="preserve">sur la procédure de consentement préalable en connaissance de cause applicable à certains produits chimiques et pesticides dangereux qui font l’objet d’un commerce international </w:t>
      </w:r>
      <w:r w:rsidRPr="00A27D8A">
        <w:rPr>
          <w:lang w:val="fr-CA"/>
        </w:rPr>
        <w:t xml:space="preserve">et de </w:t>
      </w:r>
      <w:r w:rsidR="00506874" w:rsidRPr="00A27D8A">
        <w:rPr>
          <w:lang w:val="fr-CA"/>
        </w:rPr>
        <w:t xml:space="preserve">la </w:t>
      </w:r>
      <w:r w:rsidR="00732991">
        <w:rPr>
          <w:lang w:val="fr-CA"/>
        </w:rPr>
        <w:t xml:space="preserve">Convention de </w:t>
      </w:r>
      <w:r w:rsidRPr="00A27D8A">
        <w:rPr>
          <w:lang w:val="fr-CA"/>
        </w:rPr>
        <w:t>Stockholm</w:t>
      </w:r>
      <w:r w:rsidR="00506874" w:rsidRPr="00A27D8A">
        <w:rPr>
          <w:lang w:val="fr-CA"/>
        </w:rPr>
        <w:t xml:space="preserve"> sur les polluants organiques persistants]</w:t>
      </w:r>
      <w:r w:rsidRPr="00A27D8A">
        <w:rPr>
          <w:lang w:val="fr-CA"/>
        </w:rPr>
        <w:t> »</w:t>
      </w:r>
      <w:r w:rsidR="00D83048" w:rsidRPr="00A27D8A">
        <w:rPr>
          <w:lang w:val="fr-CA"/>
        </w:rPr>
        <w:t xml:space="preserve">. </w:t>
      </w:r>
      <w:r w:rsidRPr="00A27D8A">
        <w:rPr>
          <w:lang w:val="fr-CA"/>
        </w:rPr>
        <w:t xml:space="preserve">Le projet de programme de travail et de budget de la Convention de </w:t>
      </w:r>
      <w:r w:rsidR="00D83048" w:rsidRPr="00A27D8A">
        <w:rPr>
          <w:lang w:val="fr-CA"/>
        </w:rPr>
        <w:t xml:space="preserve">Minamata </w:t>
      </w:r>
      <w:r w:rsidRPr="00A27D8A">
        <w:rPr>
          <w:lang w:val="fr-CA"/>
        </w:rPr>
        <w:t xml:space="preserve">sur le mercure pour l’exercice biennal </w:t>
      </w:r>
      <w:r w:rsidR="00D83048" w:rsidRPr="00A27D8A">
        <w:rPr>
          <w:lang w:val="fr-CA"/>
        </w:rPr>
        <w:t>2018</w:t>
      </w:r>
      <w:r w:rsidR="00330E8E" w:rsidRPr="00A27D8A">
        <w:rPr>
          <w:lang w:val="fr-CA"/>
        </w:rPr>
        <w:t>–</w:t>
      </w:r>
      <w:r w:rsidR="00D83048" w:rsidRPr="00A27D8A">
        <w:rPr>
          <w:lang w:val="fr-CA"/>
        </w:rPr>
        <w:t>2019</w:t>
      </w:r>
      <w:r w:rsidRPr="00A27D8A">
        <w:rPr>
          <w:lang w:val="fr-CA"/>
        </w:rPr>
        <w:t xml:space="preserve"> suit en effet la structure utilisée par les conventions </w:t>
      </w:r>
      <w:proofErr w:type="gramStart"/>
      <w:r w:rsidRPr="00A27D8A">
        <w:rPr>
          <w:lang w:val="fr-CA"/>
        </w:rPr>
        <w:t>susmentionnées</w:t>
      </w:r>
      <w:r w:rsidR="0082424A" w:rsidRPr="00A27D8A">
        <w:rPr>
          <w:lang w:val="fr-CA"/>
        </w:rPr>
        <w:t>;</w:t>
      </w:r>
      <w:proofErr w:type="gramEnd"/>
      <w:r w:rsidR="00D83048" w:rsidRPr="00A27D8A">
        <w:rPr>
          <w:lang w:val="fr-CA"/>
        </w:rPr>
        <w:t xml:space="preserve"> </w:t>
      </w:r>
    </w:p>
    <w:p w14:paraId="5422BD41" w14:textId="7C858AEF" w:rsidR="00D83048" w:rsidRPr="00A27D8A" w:rsidRDefault="00053859" w:rsidP="0004535C">
      <w:pPr>
        <w:pStyle w:val="Normalnumber"/>
        <w:numPr>
          <w:ilvl w:val="1"/>
          <w:numId w:val="7"/>
        </w:numPr>
        <w:ind w:left="1276" w:firstLine="567"/>
        <w:rPr>
          <w:lang w:val="fr-CA"/>
        </w:rPr>
      </w:pPr>
      <w:r w:rsidRPr="00A27D8A">
        <w:rPr>
          <w:lang w:val="fr-CA"/>
        </w:rPr>
        <w:t>L’</w:t>
      </w:r>
      <w:r w:rsidR="000F300E" w:rsidRPr="00A27D8A">
        <w:rPr>
          <w:lang w:val="fr-CA"/>
        </w:rPr>
        <w:t xml:space="preserve">article 3 </w:t>
      </w:r>
      <w:r w:rsidRPr="00A27D8A">
        <w:rPr>
          <w:lang w:val="fr-CA"/>
        </w:rPr>
        <w:t xml:space="preserve">dispose également </w:t>
      </w:r>
      <w:r w:rsidR="000F300E" w:rsidRPr="00A27D8A">
        <w:rPr>
          <w:lang w:val="fr-CA"/>
        </w:rPr>
        <w:t xml:space="preserve">qu’avant le début de l’exercice financier auquel le budget se rapporte, la Conférence des Parties examine </w:t>
      </w:r>
      <w:r w:rsidR="00386B6A" w:rsidRPr="00A27D8A">
        <w:rPr>
          <w:lang w:val="fr-CA"/>
        </w:rPr>
        <w:t xml:space="preserve">le projet de budget </w:t>
      </w:r>
      <w:r w:rsidR="000F300E" w:rsidRPr="00A27D8A">
        <w:rPr>
          <w:lang w:val="fr-CA"/>
        </w:rPr>
        <w:t>et adopte un budget opérationnel</w:t>
      </w:r>
      <w:r w:rsidR="00D83048" w:rsidRPr="00A27D8A">
        <w:rPr>
          <w:lang w:val="fr-CA"/>
        </w:rPr>
        <w:t xml:space="preserve">. </w:t>
      </w:r>
      <w:r w:rsidR="000F300E" w:rsidRPr="00A27D8A">
        <w:rPr>
          <w:lang w:val="fr-CA"/>
        </w:rPr>
        <w:t xml:space="preserve">La première réunion de la Conférence des Parties étant organisée en septembre 2017, celle-ci sera en mesure de respecter cette disposition pour l’exercice biennal </w:t>
      </w:r>
      <w:r w:rsidR="00D83048" w:rsidRPr="00A27D8A">
        <w:rPr>
          <w:lang w:val="fr-CA"/>
        </w:rPr>
        <w:t>2018</w:t>
      </w:r>
      <w:r w:rsidR="00330E8E" w:rsidRPr="00A27D8A">
        <w:rPr>
          <w:lang w:val="fr-CA"/>
        </w:rPr>
        <w:t>–</w:t>
      </w:r>
      <w:r w:rsidR="00D83048" w:rsidRPr="00A27D8A">
        <w:rPr>
          <w:lang w:val="fr-CA"/>
        </w:rPr>
        <w:t xml:space="preserve">2019. </w:t>
      </w:r>
      <w:r w:rsidR="000F300E" w:rsidRPr="00A27D8A">
        <w:rPr>
          <w:lang w:val="fr-CA"/>
        </w:rPr>
        <w:t xml:space="preserve">Le budget </w:t>
      </w:r>
      <w:r w:rsidR="000F300E" w:rsidRPr="00A27D8A">
        <w:rPr>
          <w:lang w:val="fr-CA"/>
        </w:rPr>
        <w:lastRenderedPageBreak/>
        <w:t xml:space="preserve">opérationnel pour l’exercice biennal </w:t>
      </w:r>
      <w:r w:rsidR="00330E8E" w:rsidRPr="00A27D8A">
        <w:rPr>
          <w:lang w:val="fr-CA"/>
        </w:rPr>
        <w:t xml:space="preserve">2018–2019 </w:t>
      </w:r>
      <w:r w:rsidR="000F300E" w:rsidRPr="00A27D8A">
        <w:rPr>
          <w:lang w:val="fr-CA"/>
        </w:rPr>
        <w:t>peut être examiné et adopté à la première réunion de la Conférence des Parties en septembre </w:t>
      </w:r>
      <w:proofErr w:type="gramStart"/>
      <w:r w:rsidR="00D83048" w:rsidRPr="00A27D8A">
        <w:rPr>
          <w:lang w:val="fr-CA"/>
        </w:rPr>
        <w:t>2017</w:t>
      </w:r>
      <w:r w:rsidR="0082424A" w:rsidRPr="00A27D8A">
        <w:rPr>
          <w:lang w:val="fr-CA"/>
        </w:rPr>
        <w:t>;</w:t>
      </w:r>
      <w:proofErr w:type="gramEnd"/>
      <w:r w:rsidR="00D83048" w:rsidRPr="00A27D8A">
        <w:rPr>
          <w:lang w:val="fr-CA"/>
        </w:rPr>
        <w:t xml:space="preserve"> </w:t>
      </w:r>
    </w:p>
    <w:p w14:paraId="53C3488B" w14:textId="68ACADFB" w:rsidR="00D83048" w:rsidRPr="00A27D8A" w:rsidRDefault="002E7F61" w:rsidP="0004535C">
      <w:pPr>
        <w:pStyle w:val="Normalnumber"/>
        <w:numPr>
          <w:ilvl w:val="1"/>
          <w:numId w:val="7"/>
        </w:numPr>
        <w:ind w:left="1276" w:firstLine="567"/>
        <w:rPr>
          <w:lang w:val="fr-CA"/>
        </w:rPr>
      </w:pPr>
      <w:r w:rsidRPr="00A27D8A">
        <w:rPr>
          <w:lang w:val="fr-CA"/>
        </w:rPr>
        <w:t>L’article </w:t>
      </w:r>
      <w:r w:rsidR="00D83048" w:rsidRPr="00A27D8A">
        <w:rPr>
          <w:lang w:val="fr-CA"/>
        </w:rPr>
        <w:t>4</w:t>
      </w:r>
      <w:r w:rsidRPr="00A27D8A">
        <w:rPr>
          <w:lang w:val="fr-CA"/>
        </w:rPr>
        <w:t xml:space="preserve"> prévoit</w:t>
      </w:r>
      <w:r w:rsidR="00D83048" w:rsidRPr="00A27D8A">
        <w:rPr>
          <w:lang w:val="fr-CA"/>
        </w:rPr>
        <w:t xml:space="preserve"> </w:t>
      </w:r>
      <w:r w:rsidRPr="00A27D8A">
        <w:rPr>
          <w:lang w:val="fr-CA"/>
        </w:rPr>
        <w:t xml:space="preserve">qu’un </w:t>
      </w:r>
      <w:bookmarkStart w:id="9" w:name="_Hlk489693330"/>
      <w:r w:rsidRPr="00A27D8A">
        <w:rPr>
          <w:lang w:val="fr-CA"/>
        </w:rPr>
        <w:t xml:space="preserve">Fonds général d’affectation spéciale </w:t>
      </w:r>
      <w:bookmarkEnd w:id="9"/>
      <w:r w:rsidR="009F7211" w:rsidRPr="00A27D8A">
        <w:rPr>
          <w:lang w:val="fr-CA"/>
        </w:rPr>
        <w:t>est</w:t>
      </w:r>
      <w:r w:rsidRPr="00A27D8A">
        <w:rPr>
          <w:lang w:val="fr-CA"/>
        </w:rPr>
        <w:t xml:space="preserve"> créé par le Directeur exécutif du PNUE et géré par le Chef du secrétariat</w:t>
      </w:r>
      <w:r w:rsidR="00D83048" w:rsidRPr="00A27D8A">
        <w:rPr>
          <w:lang w:val="fr-CA"/>
        </w:rPr>
        <w:t xml:space="preserve">. </w:t>
      </w:r>
      <w:r w:rsidRPr="00A27D8A">
        <w:rPr>
          <w:lang w:val="fr-CA"/>
        </w:rPr>
        <w:t xml:space="preserve">Le Fonds général d’affectation spéciale fournit un soutien financier aux travaux du secrétariat de la </w:t>
      </w:r>
      <w:proofErr w:type="gramStart"/>
      <w:r w:rsidRPr="00A27D8A">
        <w:rPr>
          <w:lang w:val="fr-CA"/>
        </w:rPr>
        <w:t>Convention</w:t>
      </w:r>
      <w:r w:rsidR="0082424A" w:rsidRPr="00A27D8A">
        <w:rPr>
          <w:lang w:val="fr-CA"/>
        </w:rPr>
        <w:t>;</w:t>
      </w:r>
      <w:proofErr w:type="gramEnd"/>
    </w:p>
    <w:p w14:paraId="05C2E5D9" w14:textId="6DF33B39" w:rsidR="00D83048" w:rsidRPr="00A27D8A" w:rsidRDefault="005540FD" w:rsidP="0004535C">
      <w:pPr>
        <w:pStyle w:val="Normalnumber"/>
        <w:numPr>
          <w:ilvl w:val="1"/>
          <w:numId w:val="7"/>
        </w:numPr>
        <w:ind w:left="1276" w:firstLine="567"/>
        <w:rPr>
          <w:lang w:val="fr-CA"/>
        </w:rPr>
      </w:pPr>
      <w:r w:rsidRPr="00A27D8A">
        <w:rPr>
          <w:lang w:val="fr-CA"/>
        </w:rPr>
        <w:t>De plus, l</w:t>
      </w:r>
      <w:r w:rsidR="002E7F61" w:rsidRPr="00A27D8A">
        <w:rPr>
          <w:lang w:val="fr-CA"/>
        </w:rPr>
        <w:t>’article </w:t>
      </w:r>
      <w:r w:rsidR="00D83048" w:rsidRPr="00A27D8A">
        <w:rPr>
          <w:lang w:val="fr-CA"/>
        </w:rPr>
        <w:t xml:space="preserve">4 </w:t>
      </w:r>
      <w:r w:rsidR="002E7F61" w:rsidRPr="00A27D8A">
        <w:rPr>
          <w:lang w:val="fr-CA"/>
        </w:rPr>
        <w:t>prévoit qu’un Fonds d’affectation spéciale de contributions volontaires</w:t>
      </w:r>
      <w:r w:rsidRPr="00A27D8A">
        <w:rPr>
          <w:lang w:val="fr-CA"/>
        </w:rPr>
        <w:t xml:space="preserve"> est également créé par le Directeur exécutif et géré par le Chef du secrétariat</w:t>
      </w:r>
      <w:r w:rsidR="00D83048" w:rsidRPr="00A27D8A">
        <w:rPr>
          <w:lang w:val="fr-CA"/>
        </w:rPr>
        <w:t xml:space="preserve">. </w:t>
      </w:r>
      <w:r w:rsidRPr="00A27D8A">
        <w:rPr>
          <w:lang w:val="fr-CA"/>
        </w:rPr>
        <w:t>Les dispositions particulières concernant l’utilisation du Fonds d’affectation spéciale doivent encore être finalisées mais celui-ci appuiera l’application de l’article 14 de la Convention</w:t>
      </w:r>
      <w:r w:rsidR="00D83048" w:rsidRPr="00A27D8A">
        <w:rPr>
          <w:lang w:val="fr-CA"/>
        </w:rPr>
        <w:t>.</w:t>
      </w:r>
      <w:r w:rsidRPr="00A27D8A">
        <w:rPr>
          <w:lang w:val="fr-CA"/>
        </w:rPr>
        <w:t xml:space="preserve"> En outre, le Fonds apportera un appui </w:t>
      </w:r>
      <w:r w:rsidR="00B333EA" w:rsidRPr="00A27D8A">
        <w:rPr>
          <w:lang w:val="fr-CA"/>
        </w:rPr>
        <w:t xml:space="preserve">aux fins de la participation des représentants </w:t>
      </w:r>
      <w:r w:rsidR="00AB2405" w:rsidRPr="00A27D8A">
        <w:rPr>
          <w:lang w:val="fr-CA"/>
        </w:rPr>
        <w:t>de</w:t>
      </w:r>
      <w:r w:rsidR="00B333EA" w:rsidRPr="00A27D8A">
        <w:rPr>
          <w:lang w:val="fr-CA"/>
        </w:rPr>
        <w:t xml:space="preserve"> pays</w:t>
      </w:r>
      <w:r w:rsidR="00F72246" w:rsidRPr="00A27D8A">
        <w:rPr>
          <w:lang w:val="fr-CA"/>
        </w:rPr>
        <w:t xml:space="preserve"> Parties</w:t>
      </w:r>
      <w:r w:rsidR="00B333EA" w:rsidRPr="00A27D8A">
        <w:rPr>
          <w:lang w:val="fr-CA"/>
        </w:rPr>
        <w:t xml:space="preserve"> en développement, en particulier les moins avancés d’entre eux et les petits États insulaires, et des pays à économie en transition aux réunions de la Conférence et de ses organes </w:t>
      </w:r>
      <w:proofErr w:type="gramStart"/>
      <w:r w:rsidR="00B333EA" w:rsidRPr="00A27D8A">
        <w:rPr>
          <w:lang w:val="fr-CA"/>
        </w:rPr>
        <w:t>subsidiaires</w:t>
      </w:r>
      <w:r w:rsidR="0082424A" w:rsidRPr="00A27D8A">
        <w:rPr>
          <w:lang w:val="fr-CA"/>
        </w:rPr>
        <w:t>;</w:t>
      </w:r>
      <w:proofErr w:type="gramEnd"/>
      <w:r w:rsidR="00D83048" w:rsidRPr="00A27D8A">
        <w:rPr>
          <w:lang w:val="fr-CA"/>
        </w:rPr>
        <w:t xml:space="preserve"> </w:t>
      </w:r>
    </w:p>
    <w:p w14:paraId="451016D2" w14:textId="44B16970" w:rsidR="009C5D0B" w:rsidRPr="00A27D8A" w:rsidRDefault="00B333EA" w:rsidP="0004535C">
      <w:pPr>
        <w:pStyle w:val="Normalnumber"/>
        <w:numPr>
          <w:ilvl w:val="1"/>
          <w:numId w:val="7"/>
        </w:numPr>
        <w:ind w:left="1276" w:firstLine="567"/>
        <w:rPr>
          <w:lang w:val="fr-CA"/>
        </w:rPr>
      </w:pPr>
      <w:r w:rsidRPr="00A27D8A">
        <w:rPr>
          <w:lang w:val="fr-CA"/>
        </w:rPr>
        <w:t>L’article </w:t>
      </w:r>
      <w:r w:rsidR="00D83048" w:rsidRPr="00A27D8A">
        <w:rPr>
          <w:lang w:val="fr-CA"/>
        </w:rPr>
        <w:t xml:space="preserve">5 </w:t>
      </w:r>
      <w:r w:rsidR="00574E4A" w:rsidRPr="00A27D8A">
        <w:rPr>
          <w:lang w:val="fr-CA"/>
        </w:rPr>
        <w:t>définit les ressources</w:t>
      </w:r>
      <w:r w:rsidR="00450869" w:rsidRPr="00A27D8A">
        <w:rPr>
          <w:lang w:val="fr-CA"/>
        </w:rPr>
        <w:t xml:space="preserve"> de la Conférence </w:t>
      </w:r>
      <w:r w:rsidR="00AB2405" w:rsidRPr="00A27D8A">
        <w:rPr>
          <w:lang w:val="fr-CA"/>
        </w:rPr>
        <w:t xml:space="preserve">des Parties </w:t>
      </w:r>
      <w:r w:rsidR="00450869" w:rsidRPr="00A27D8A">
        <w:rPr>
          <w:lang w:val="fr-CA"/>
        </w:rPr>
        <w:t xml:space="preserve">et précise que la base des ressources de la </w:t>
      </w:r>
      <w:r w:rsidR="00D13238" w:rsidRPr="00A27D8A">
        <w:rPr>
          <w:lang w:val="fr-CA"/>
        </w:rPr>
        <w:t>Convention</w:t>
      </w:r>
      <w:r w:rsidR="00450869" w:rsidRPr="00A27D8A">
        <w:rPr>
          <w:lang w:val="fr-CA"/>
        </w:rPr>
        <w:t xml:space="preserve"> comprend les contributions versées chaque année par les Parties d’après un barème indicatif adopté par consensus par la Conférence et fondé sur le barème des quotes-parts de l’Organisation des Nations Unies tel qu’adopté périodiquement par l’Assemblée générale</w:t>
      </w:r>
      <w:r w:rsidR="00D83048" w:rsidRPr="00A27D8A">
        <w:rPr>
          <w:lang w:val="fr-CA"/>
        </w:rPr>
        <w:t>.</w:t>
      </w:r>
      <w:r w:rsidR="00450869" w:rsidRPr="00A27D8A">
        <w:rPr>
          <w:lang w:val="fr-CA"/>
        </w:rPr>
        <w:t xml:space="preserve"> La base des ressources de la Conférence peut également comprendre une contribution </w:t>
      </w:r>
      <w:r w:rsidR="00F24C77" w:rsidRPr="00A27D8A">
        <w:rPr>
          <w:lang w:val="fr-CA"/>
        </w:rPr>
        <w:t>du</w:t>
      </w:r>
      <w:r w:rsidR="00450869" w:rsidRPr="00A27D8A">
        <w:rPr>
          <w:lang w:val="fr-CA"/>
        </w:rPr>
        <w:t xml:space="preserve"> pays hôte ainsi que des contributions supplémentaires versées par des Partie</w:t>
      </w:r>
      <w:r w:rsidR="00DE33DE" w:rsidRPr="00A27D8A">
        <w:rPr>
          <w:lang w:val="fr-CA"/>
        </w:rPr>
        <w:t>s et des États qui ne sont pas P</w:t>
      </w:r>
      <w:r w:rsidR="00450869" w:rsidRPr="00A27D8A">
        <w:rPr>
          <w:lang w:val="fr-CA"/>
        </w:rPr>
        <w:t xml:space="preserve">arties à la Convention </w:t>
      </w:r>
      <w:r w:rsidR="009F7211" w:rsidRPr="00A27D8A">
        <w:rPr>
          <w:lang w:val="fr-CA"/>
        </w:rPr>
        <w:t>ainsi que</w:t>
      </w:r>
      <w:r w:rsidR="00450869" w:rsidRPr="00A27D8A">
        <w:rPr>
          <w:lang w:val="fr-CA"/>
        </w:rPr>
        <w:t xml:space="preserve"> des contributions d’organisations gouvernementale</w:t>
      </w:r>
      <w:r w:rsidR="00054380" w:rsidRPr="00A27D8A">
        <w:rPr>
          <w:lang w:val="fr-CA"/>
        </w:rPr>
        <w:t xml:space="preserve">s, intergouvernementales et non </w:t>
      </w:r>
      <w:proofErr w:type="gramStart"/>
      <w:r w:rsidR="00450869" w:rsidRPr="00A27D8A">
        <w:rPr>
          <w:lang w:val="fr-CA"/>
        </w:rPr>
        <w:t>gouvernementales</w:t>
      </w:r>
      <w:r w:rsidR="0082424A" w:rsidRPr="00A27D8A">
        <w:rPr>
          <w:lang w:val="fr-CA"/>
        </w:rPr>
        <w:t>;</w:t>
      </w:r>
      <w:proofErr w:type="gramEnd"/>
      <w:r w:rsidR="00D83048" w:rsidRPr="00A27D8A">
        <w:rPr>
          <w:lang w:val="fr-CA"/>
        </w:rPr>
        <w:t xml:space="preserve"> </w:t>
      </w:r>
    </w:p>
    <w:p w14:paraId="14841FC1" w14:textId="43DC9258" w:rsidR="00573740" w:rsidRPr="00A27D8A" w:rsidRDefault="00450869" w:rsidP="0004535C">
      <w:pPr>
        <w:pStyle w:val="Normalnumber"/>
        <w:numPr>
          <w:ilvl w:val="1"/>
          <w:numId w:val="7"/>
        </w:numPr>
        <w:ind w:left="1276" w:firstLine="567"/>
        <w:rPr>
          <w:lang w:val="fr-CA"/>
        </w:rPr>
      </w:pPr>
      <w:r w:rsidRPr="00A27D8A">
        <w:rPr>
          <w:lang w:val="fr-CA"/>
        </w:rPr>
        <w:t>L’article </w:t>
      </w:r>
      <w:r w:rsidR="00573740" w:rsidRPr="00A27D8A">
        <w:rPr>
          <w:lang w:val="fr-CA"/>
        </w:rPr>
        <w:t>5</w:t>
      </w:r>
      <w:r w:rsidRPr="00A27D8A">
        <w:rPr>
          <w:lang w:val="fr-CA"/>
        </w:rPr>
        <w:t xml:space="preserve"> prévoit également </w:t>
      </w:r>
      <w:r w:rsidR="002354CD" w:rsidRPr="00A27D8A">
        <w:rPr>
          <w:lang w:val="fr-CA"/>
        </w:rPr>
        <w:t xml:space="preserve">la répartition </w:t>
      </w:r>
      <w:r w:rsidR="00244ACA" w:rsidRPr="00A27D8A">
        <w:rPr>
          <w:lang w:val="fr-CA"/>
        </w:rPr>
        <w:t xml:space="preserve">d’une </w:t>
      </w:r>
      <w:r w:rsidR="002354CD" w:rsidRPr="00A27D8A">
        <w:rPr>
          <w:lang w:val="fr-CA"/>
        </w:rPr>
        <w:t xml:space="preserve">contribution </w:t>
      </w:r>
      <w:r w:rsidR="00F24C77" w:rsidRPr="00A27D8A">
        <w:rPr>
          <w:lang w:val="fr-CA"/>
        </w:rPr>
        <w:t>du</w:t>
      </w:r>
      <w:r w:rsidR="002354CD" w:rsidRPr="00A27D8A">
        <w:rPr>
          <w:lang w:val="fr-CA"/>
        </w:rPr>
        <w:t xml:space="preserve"> pays hôte entre le Fonds général d’affectation spéciale et le Fonds d’affectation spéciale de contributions volontaires</w:t>
      </w:r>
      <w:r w:rsidR="00573740" w:rsidRPr="00A27D8A">
        <w:rPr>
          <w:lang w:val="fr-CA"/>
        </w:rPr>
        <w:t xml:space="preserve">. </w:t>
      </w:r>
      <w:r w:rsidR="00244ACA" w:rsidRPr="00A27D8A">
        <w:rPr>
          <w:lang w:val="fr-CA"/>
        </w:rPr>
        <w:t>Le</w:t>
      </w:r>
      <w:r w:rsidR="00573740" w:rsidRPr="00A27D8A">
        <w:rPr>
          <w:lang w:val="fr-CA"/>
        </w:rPr>
        <w:t xml:space="preserve"> ratio</w:t>
      </w:r>
      <w:r w:rsidR="00244ACA" w:rsidRPr="00A27D8A">
        <w:rPr>
          <w:lang w:val="fr-CA"/>
        </w:rPr>
        <w:t xml:space="preserve"> de cette répartition n’a pas encore été convenu et les pourcentages sont actuellement entre crochets</w:t>
      </w:r>
      <w:r w:rsidR="00573740" w:rsidRPr="00A27D8A">
        <w:rPr>
          <w:lang w:val="fr-CA"/>
        </w:rPr>
        <w:t xml:space="preserve">. </w:t>
      </w:r>
    </w:p>
    <w:p w14:paraId="17B6949E" w14:textId="35168E6C" w:rsidR="00E40A4B" w:rsidRPr="00A27D8A" w:rsidRDefault="0076215D" w:rsidP="00F47DD9">
      <w:pPr>
        <w:pStyle w:val="Normalnumber"/>
        <w:ind w:left="1276" w:firstLine="0"/>
        <w:rPr>
          <w:lang w:val="fr-CA"/>
        </w:rPr>
      </w:pPr>
      <w:r w:rsidRPr="00A27D8A">
        <w:rPr>
          <w:lang w:val="fr-CA"/>
        </w:rPr>
        <w:t>Après la première réunion de la Conférence</w:t>
      </w:r>
      <w:r w:rsidR="00F72246" w:rsidRPr="00A27D8A">
        <w:rPr>
          <w:lang w:val="fr-CA"/>
        </w:rPr>
        <w:t xml:space="preserve"> des Parties</w:t>
      </w:r>
      <w:r w:rsidRPr="00A27D8A">
        <w:rPr>
          <w:lang w:val="fr-CA"/>
        </w:rPr>
        <w:t>, le</w:t>
      </w:r>
      <w:r w:rsidR="00E40A4B" w:rsidRPr="00A27D8A">
        <w:rPr>
          <w:lang w:val="fr-CA"/>
        </w:rPr>
        <w:t xml:space="preserve"> </w:t>
      </w:r>
      <w:r w:rsidRPr="00A27D8A">
        <w:rPr>
          <w:lang w:val="fr-CA"/>
        </w:rPr>
        <w:t>Fonds général d’affectation spéciale et le Fonds d’affectation spéciale de contributions volontaires seront créés par le</w:t>
      </w:r>
      <w:r w:rsidR="00E40A4B" w:rsidRPr="00A27D8A">
        <w:rPr>
          <w:lang w:val="fr-CA"/>
        </w:rPr>
        <w:t xml:space="preserve"> </w:t>
      </w:r>
      <w:r w:rsidRPr="00A27D8A">
        <w:rPr>
          <w:lang w:val="fr-CA"/>
        </w:rPr>
        <w:t xml:space="preserve">Contrôleur de l’ONU à New York </w:t>
      </w:r>
      <w:r w:rsidR="00F47DD9" w:rsidRPr="00A27D8A">
        <w:rPr>
          <w:lang w:val="fr-CA"/>
        </w:rPr>
        <w:t xml:space="preserve">par l’intermédiaire de la </w:t>
      </w:r>
      <w:r w:rsidRPr="00A27D8A">
        <w:rPr>
          <w:lang w:val="fr-CA"/>
        </w:rPr>
        <w:t>Division des services internes</w:t>
      </w:r>
      <w:r w:rsidR="00F47DD9" w:rsidRPr="00A27D8A">
        <w:rPr>
          <w:lang w:val="fr-CA"/>
        </w:rPr>
        <w:t xml:space="preserve"> </w:t>
      </w:r>
      <w:r w:rsidR="00E41177" w:rsidRPr="00A27D8A">
        <w:rPr>
          <w:lang w:val="fr-CA"/>
        </w:rPr>
        <w:t>au nom</w:t>
      </w:r>
      <w:r w:rsidR="00F47DD9" w:rsidRPr="00A27D8A">
        <w:rPr>
          <w:lang w:val="fr-CA"/>
        </w:rPr>
        <w:t xml:space="preserve"> du Directeur exécutif du PNUE</w:t>
      </w:r>
      <w:r w:rsidR="00D83048" w:rsidRPr="00A27D8A">
        <w:rPr>
          <w:lang w:val="fr-CA"/>
        </w:rPr>
        <w:t xml:space="preserve">. </w:t>
      </w:r>
    </w:p>
    <w:p w14:paraId="619BD0D3" w14:textId="7118539D" w:rsidR="00551A8D" w:rsidRPr="00A27D8A" w:rsidRDefault="00E41177" w:rsidP="001C7D10">
      <w:pPr>
        <w:pStyle w:val="CH2"/>
        <w:rPr>
          <w:lang w:val="fr-CA"/>
        </w:rPr>
      </w:pPr>
      <w:r w:rsidRPr="00A27D8A">
        <w:rPr>
          <w:lang w:val="fr-CA"/>
        </w:rPr>
        <w:tab/>
        <w:t>B.</w:t>
      </w:r>
      <w:r w:rsidR="001C7D10" w:rsidRPr="00A27D8A">
        <w:rPr>
          <w:lang w:val="fr-CA"/>
        </w:rPr>
        <w:tab/>
      </w:r>
      <w:r w:rsidR="00F47DD9" w:rsidRPr="00A27D8A">
        <w:rPr>
          <w:lang w:val="fr-CA"/>
        </w:rPr>
        <w:t>Décisions clés de la Conférence des Parties qui ont une incidence sur le projet de budget de la Convention d</w:t>
      </w:r>
      <w:r w:rsidR="00495F8E" w:rsidRPr="00A27D8A">
        <w:rPr>
          <w:lang w:val="fr-CA"/>
        </w:rPr>
        <w:t xml:space="preserve">e Minamata </w:t>
      </w:r>
    </w:p>
    <w:p w14:paraId="1FCFFC7B" w14:textId="4D3532B9" w:rsidR="006E1A6B" w:rsidRPr="00A27D8A" w:rsidRDefault="00F93A85" w:rsidP="00C03273">
      <w:pPr>
        <w:pStyle w:val="Normalnumber"/>
        <w:ind w:left="1247" w:firstLine="0"/>
        <w:rPr>
          <w:lang w:val="fr-CA"/>
        </w:rPr>
      </w:pPr>
      <w:r w:rsidRPr="00A27D8A">
        <w:rPr>
          <w:lang w:val="fr-CA"/>
        </w:rPr>
        <w:t>Le projet de budget est en cours</w:t>
      </w:r>
      <w:r w:rsidR="00E41177" w:rsidRPr="00A27D8A">
        <w:rPr>
          <w:lang w:val="fr-CA"/>
        </w:rPr>
        <w:t xml:space="preserve"> d’établissement</w:t>
      </w:r>
      <w:r w:rsidRPr="00A27D8A">
        <w:rPr>
          <w:lang w:val="fr-CA"/>
        </w:rPr>
        <w:t xml:space="preserve"> et évoluera en fonction des décisions prises par la Conférence des Parties</w:t>
      </w:r>
      <w:r w:rsidR="0069250E" w:rsidRPr="00A27D8A">
        <w:rPr>
          <w:lang w:val="fr-CA"/>
        </w:rPr>
        <w:t xml:space="preserve"> à sa première réunion</w:t>
      </w:r>
      <w:r w:rsidR="00E9204A" w:rsidRPr="00A27D8A">
        <w:rPr>
          <w:lang w:val="fr-CA"/>
        </w:rPr>
        <w:t>.</w:t>
      </w:r>
      <w:r w:rsidRPr="00A27D8A">
        <w:rPr>
          <w:lang w:val="fr-CA"/>
        </w:rPr>
        <w:t xml:space="preserve"> Parmi ces décisions, deux en particulier ont une incidence sur le budget</w:t>
      </w:r>
      <w:r w:rsidR="00743ADD" w:rsidRPr="00A27D8A">
        <w:rPr>
          <w:lang w:val="fr-CA"/>
        </w:rPr>
        <w:t xml:space="preserve"> global de la Convention de </w:t>
      </w:r>
      <w:r w:rsidR="00EA4C03" w:rsidRPr="00A27D8A">
        <w:rPr>
          <w:lang w:val="fr-CA"/>
        </w:rPr>
        <w:t>Minamata</w:t>
      </w:r>
      <w:r w:rsidR="00743ADD" w:rsidRPr="00A27D8A">
        <w:rPr>
          <w:lang w:val="fr-CA"/>
        </w:rPr>
        <w:t> </w:t>
      </w:r>
      <w:r w:rsidR="000D7C58" w:rsidRPr="00A27D8A">
        <w:rPr>
          <w:lang w:val="fr-CA"/>
        </w:rPr>
        <w:t xml:space="preserve">: </w:t>
      </w:r>
      <w:r w:rsidR="00743ADD" w:rsidRPr="00A27D8A">
        <w:rPr>
          <w:lang w:val="fr-CA"/>
        </w:rPr>
        <w:t xml:space="preserve">celles relatives </w:t>
      </w:r>
      <w:r w:rsidR="009F7211" w:rsidRPr="00A27D8A">
        <w:rPr>
          <w:lang w:val="fr-CA"/>
        </w:rPr>
        <w:t>au</w:t>
      </w:r>
      <w:r w:rsidR="00E41177" w:rsidRPr="00A27D8A">
        <w:rPr>
          <w:lang w:val="fr-CA"/>
        </w:rPr>
        <w:t>x</w:t>
      </w:r>
      <w:r w:rsidR="009F7211" w:rsidRPr="00A27D8A">
        <w:rPr>
          <w:lang w:val="fr-CA"/>
        </w:rPr>
        <w:t xml:space="preserve"> </w:t>
      </w:r>
      <w:r w:rsidR="00E41177" w:rsidRPr="00A27D8A">
        <w:rPr>
          <w:lang w:val="fr-CA"/>
        </w:rPr>
        <w:t xml:space="preserve">arrangements à prendre en vue </w:t>
      </w:r>
      <w:r w:rsidR="00751086" w:rsidRPr="00A27D8A">
        <w:rPr>
          <w:lang w:val="fr-CA"/>
        </w:rPr>
        <w:t>du secrétariat permanent</w:t>
      </w:r>
      <w:r w:rsidR="00E41177" w:rsidRPr="00A27D8A">
        <w:rPr>
          <w:lang w:val="fr-CA"/>
        </w:rPr>
        <w:t xml:space="preserve"> et à l’implantation de ce dernier</w:t>
      </w:r>
      <w:r w:rsidR="0028685F" w:rsidRPr="00A27D8A">
        <w:rPr>
          <w:lang w:val="fr-CA"/>
        </w:rPr>
        <w:t>.</w:t>
      </w:r>
      <w:r w:rsidR="00E41177" w:rsidRPr="00A27D8A">
        <w:rPr>
          <w:lang w:val="fr-CA"/>
        </w:rPr>
        <w:t xml:space="preserve"> </w:t>
      </w:r>
      <w:r w:rsidR="0028685F" w:rsidRPr="00A27D8A">
        <w:rPr>
          <w:lang w:val="fr-CA"/>
        </w:rPr>
        <w:t xml:space="preserve"> </w:t>
      </w:r>
    </w:p>
    <w:p w14:paraId="75BFE6E4" w14:textId="1AB5917E" w:rsidR="00733979" w:rsidRPr="00A27D8A" w:rsidRDefault="00751086" w:rsidP="00C03273">
      <w:pPr>
        <w:pStyle w:val="Normalnumber"/>
        <w:ind w:left="1247" w:firstLine="0"/>
        <w:rPr>
          <w:lang w:val="fr-CA"/>
        </w:rPr>
      </w:pPr>
      <w:r w:rsidRPr="00A27D8A">
        <w:rPr>
          <w:lang w:val="fr-CA"/>
        </w:rPr>
        <w:t>Au paragraphe </w:t>
      </w:r>
      <w:r w:rsidR="0037643A" w:rsidRPr="00A27D8A">
        <w:rPr>
          <w:lang w:val="fr-CA"/>
        </w:rPr>
        <w:t xml:space="preserve">9 </w:t>
      </w:r>
      <w:r w:rsidRPr="00A27D8A">
        <w:rPr>
          <w:lang w:val="fr-CA"/>
        </w:rPr>
        <w:t>de la résolution relative aux dispositions provisoires, la Conférence de</w:t>
      </w:r>
      <w:r w:rsidR="0037643A" w:rsidRPr="00A27D8A">
        <w:rPr>
          <w:lang w:val="fr-CA"/>
        </w:rPr>
        <w:t xml:space="preserve"> </w:t>
      </w:r>
      <w:r w:rsidRPr="00A27D8A">
        <w:rPr>
          <w:lang w:val="fr-CA"/>
        </w:rPr>
        <w:t xml:space="preserve">plénipotentiaires a prié le Directeur exécutif de présenter un rapport sur les propositions </w:t>
      </w:r>
      <w:bookmarkStart w:id="10" w:name="_Hlk489781358"/>
      <w:r w:rsidRPr="00A27D8A">
        <w:rPr>
          <w:lang w:val="fr-CA"/>
        </w:rPr>
        <w:t>concernant la manière dont les fonctions du secrétariat permanent de la Convention seront accomplies</w:t>
      </w:r>
      <w:r w:rsidR="006446F0" w:rsidRPr="00A27D8A">
        <w:rPr>
          <w:lang w:val="fr-CA"/>
        </w:rPr>
        <w:t xml:space="preserve">. </w:t>
      </w:r>
    </w:p>
    <w:bookmarkEnd w:id="10"/>
    <w:p w14:paraId="159F05E8" w14:textId="0E57303B" w:rsidR="006446F0" w:rsidRPr="00A27D8A" w:rsidRDefault="00D6172B" w:rsidP="00C03273">
      <w:pPr>
        <w:pStyle w:val="Normalnumber"/>
        <w:ind w:left="1247" w:firstLine="0"/>
        <w:rPr>
          <w:lang w:val="fr-CA"/>
        </w:rPr>
      </w:pPr>
      <w:r w:rsidRPr="00A27D8A">
        <w:rPr>
          <w:lang w:val="fr-CA"/>
        </w:rPr>
        <w:t xml:space="preserve">Le Comité de négociation intergouvernemental a examiné le rapport du Directeur exécutif </w:t>
      </w:r>
      <w:r w:rsidR="000D7C58" w:rsidRPr="00A27D8A">
        <w:rPr>
          <w:lang w:val="fr-CA"/>
        </w:rPr>
        <w:t>(UNEP(DTIE)/Hg/INC.7/</w:t>
      </w:r>
      <w:r w:rsidR="00C17806" w:rsidRPr="00A27D8A">
        <w:rPr>
          <w:lang w:val="fr-CA"/>
        </w:rPr>
        <w:t>15, annex</w:t>
      </w:r>
      <w:r w:rsidRPr="00A27D8A">
        <w:rPr>
          <w:lang w:val="fr-CA"/>
        </w:rPr>
        <w:t>e</w:t>
      </w:r>
      <w:r w:rsidR="00C17806" w:rsidRPr="00A27D8A">
        <w:rPr>
          <w:lang w:val="fr-CA"/>
        </w:rPr>
        <w:t>)</w:t>
      </w:r>
      <w:r w:rsidRPr="00A27D8A">
        <w:rPr>
          <w:lang w:val="fr-CA"/>
        </w:rPr>
        <w:t xml:space="preserve"> à sa septième session</w:t>
      </w:r>
      <w:r w:rsidR="00733979" w:rsidRPr="00A27D8A">
        <w:rPr>
          <w:lang w:val="fr-CA"/>
        </w:rPr>
        <w:t>.</w:t>
      </w:r>
      <w:r w:rsidRPr="00A27D8A">
        <w:rPr>
          <w:lang w:val="fr-CA"/>
        </w:rPr>
        <w:t xml:space="preserve"> </w:t>
      </w:r>
      <w:r w:rsidR="00AB2405" w:rsidRPr="00A27D8A">
        <w:rPr>
          <w:lang w:val="fr-CA"/>
        </w:rPr>
        <w:t>C</w:t>
      </w:r>
      <w:r w:rsidRPr="00A27D8A">
        <w:rPr>
          <w:lang w:val="fr-CA"/>
        </w:rPr>
        <w:t xml:space="preserve">e rapport comprenait une analyse des options </w:t>
      </w:r>
      <w:r w:rsidR="001C5364" w:rsidRPr="00A27D8A">
        <w:rPr>
          <w:lang w:val="fr-CA"/>
        </w:rPr>
        <w:t>se penchant</w:t>
      </w:r>
      <w:r w:rsidRPr="00A27D8A">
        <w:rPr>
          <w:lang w:val="fr-CA"/>
        </w:rPr>
        <w:t>, entre autres, sur l’efficacité, les coûts et avantages, les différentes possibilités d’implantation pour le secrétariat, le fusio</w:t>
      </w:r>
      <w:r w:rsidR="001C5364" w:rsidRPr="00A27D8A">
        <w:rPr>
          <w:lang w:val="fr-CA"/>
        </w:rPr>
        <w:t>nnement du secrétariat avec celui</w:t>
      </w:r>
      <w:r w:rsidRPr="00A27D8A">
        <w:rPr>
          <w:lang w:val="fr-CA"/>
        </w:rPr>
        <w:t xml:space="preserve"> de</w:t>
      </w:r>
      <w:r w:rsidR="00AB2405" w:rsidRPr="00A27D8A">
        <w:rPr>
          <w:lang w:val="fr-CA"/>
        </w:rPr>
        <w:t>s</w:t>
      </w:r>
      <w:r w:rsidRPr="00A27D8A">
        <w:rPr>
          <w:lang w:val="fr-CA"/>
        </w:rPr>
        <w:t xml:space="preserve"> </w:t>
      </w:r>
      <w:r w:rsidR="00726AD6">
        <w:rPr>
          <w:lang w:val="fr-CA"/>
        </w:rPr>
        <w:t>c</w:t>
      </w:r>
      <w:r w:rsidRPr="00A27D8A">
        <w:rPr>
          <w:lang w:val="fr-CA"/>
        </w:rPr>
        <w:t>onvention</w:t>
      </w:r>
      <w:r w:rsidR="00AB2405" w:rsidRPr="00A27D8A">
        <w:rPr>
          <w:lang w:val="fr-CA"/>
        </w:rPr>
        <w:t>s</w:t>
      </w:r>
      <w:r w:rsidRPr="00A27D8A">
        <w:rPr>
          <w:lang w:val="fr-CA"/>
        </w:rPr>
        <w:t xml:space="preserve"> de Bâle, de Rotterdam et de Stockholm, et le parti à tirer du secrétariat</w:t>
      </w:r>
      <w:r w:rsidR="001C5364" w:rsidRPr="00A27D8A">
        <w:rPr>
          <w:lang w:val="fr-CA"/>
        </w:rPr>
        <w:t xml:space="preserve"> provisoire</w:t>
      </w:r>
      <w:r w:rsidR="006446F0" w:rsidRPr="00A27D8A">
        <w:rPr>
          <w:lang w:val="fr-CA"/>
        </w:rPr>
        <w:t>.</w:t>
      </w:r>
      <w:r w:rsidR="001C5364" w:rsidRPr="00A27D8A">
        <w:rPr>
          <w:lang w:val="fr-CA"/>
        </w:rPr>
        <w:t xml:space="preserve"> </w:t>
      </w:r>
      <w:r w:rsidR="00C74CAE">
        <w:rPr>
          <w:lang w:val="fr-CA"/>
        </w:rPr>
        <w:t>Une version actualisée</w:t>
      </w:r>
      <w:r w:rsidR="00B310D3">
        <w:rPr>
          <w:lang w:val="fr-CA"/>
        </w:rPr>
        <w:t xml:space="preserve"> </w:t>
      </w:r>
      <w:r w:rsidR="00C74CAE">
        <w:rPr>
          <w:lang w:val="fr-CA"/>
        </w:rPr>
        <w:t xml:space="preserve">est présentée </w:t>
      </w:r>
      <w:r w:rsidR="00B310D3">
        <w:rPr>
          <w:lang w:val="fr-CA"/>
        </w:rPr>
        <w:t xml:space="preserve">dans le document </w:t>
      </w:r>
      <w:r w:rsidR="00B310D3" w:rsidRPr="00B310D3">
        <w:rPr>
          <w:lang w:val="fr-CA"/>
        </w:rPr>
        <w:t xml:space="preserve">UNEP/MC/COP.1/14, </w:t>
      </w:r>
      <w:r w:rsidR="00B310D3">
        <w:rPr>
          <w:lang w:val="fr-CA"/>
        </w:rPr>
        <w:t>pour examen par la Conférence des Parties à sa première réunion</w:t>
      </w:r>
      <w:r w:rsidR="00C74CAE">
        <w:rPr>
          <w:lang w:val="fr-CA"/>
        </w:rPr>
        <w:t>.</w:t>
      </w:r>
      <w:r w:rsidR="001C5364" w:rsidRPr="00A27D8A">
        <w:rPr>
          <w:lang w:val="fr-CA"/>
        </w:rPr>
        <w:t xml:space="preserve"> </w:t>
      </w:r>
      <w:r w:rsidR="00C74CAE" w:rsidRPr="00A27D8A">
        <w:rPr>
          <w:lang w:val="fr-CA"/>
        </w:rPr>
        <w:t>Établi</w:t>
      </w:r>
      <w:r w:rsidR="00C74CAE">
        <w:rPr>
          <w:lang w:val="fr-CA"/>
        </w:rPr>
        <w:t>e</w:t>
      </w:r>
      <w:r w:rsidR="00C74CAE" w:rsidRPr="00A27D8A">
        <w:rPr>
          <w:lang w:val="fr-CA"/>
        </w:rPr>
        <w:t xml:space="preserve"> </w:t>
      </w:r>
      <w:r w:rsidR="001C5364" w:rsidRPr="00A27D8A">
        <w:rPr>
          <w:lang w:val="fr-CA"/>
        </w:rPr>
        <w:t xml:space="preserve">en étroite </w:t>
      </w:r>
      <w:r w:rsidR="00550E62" w:rsidRPr="00A27D8A">
        <w:rPr>
          <w:lang w:val="fr-CA"/>
        </w:rPr>
        <w:t>consultation avec le S</w:t>
      </w:r>
      <w:r w:rsidR="001C5364" w:rsidRPr="00A27D8A">
        <w:rPr>
          <w:lang w:val="fr-CA"/>
        </w:rPr>
        <w:t>ecrétariat des conventions de Bâle, de Rotterdam et de Stockholm</w:t>
      </w:r>
      <w:r w:rsidR="003466ED" w:rsidRPr="00A27D8A">
        <w:rPr>
          <w:lang w:val="fr-CA"/>
        </w:rPr>
        <w:t xml:space="preserve">, </w:t>
      </w:r>
      <w:r w:rsidR="00C74CAE">
        <w:rPr>
          <w:lang w:val="fr-CA"/>
        </w:rPr>
        <w:t xml:space="preserve">elle </w:t>
      </w:r>
      <w:r w:rsidR="001C5364" w:rsidRPr="00A27D8A">
        <w:rPr>
          <w:lang w:val="fr-CA"/>
        </w:rPr>
        <w:t>présente des propositions concernant l’exécution des fonctions du secrétariat permanent de la</w:t>
      </w:r>
      <w:r w:rsidR="003D2A32" w:rsidRPr="00A27D8A">
        <w:rPr>
          <w:lang w:val="fr-CA"/>
        </w:rPr>
        <w:t xml:space="preserve"> Convention</w:t>
      </w:r>
      <w:r w:rsidR="00C74CAE">
        <w:rPr>
          <w:lang w:val="fr-CA"/>
        </w:rPr>
        <w:t>, lesquelles se lisent</w:t>
      </w:r>
      <w:r w:rsidR="003D2A32" w:rsidRPr="00A27D8A">
        <w:rPr>
          <w:lang w:val="fr-CA"/>
        </w:rPr>
        <w:t xml:space="preserve"> </w:t>
      </w:r>
      <w:r w:rsidR="001C5364" w:rsidRPr="00A27D8A">
        <w:rPr>
          <w:lang w:val="fr-CA"/>
        </w:rPr>
        <w:t>comme suit </w:t>
      </w:r>
      <w:r w:rsidR="003466ED" w:rsidRPr="00A27D8A">
        <w:rPr>
          <w:lang w:val="fr-CA"/>
        </w:rPr>
        <w:t xml:space="preserve">: </w:t>
      </w:r>
    </w:p>
    <w:p w14:paraId="65BA2324" w14:textId="1066541A" w:rsidR="001D7A26" w:rsidRPr="00A27D8A" w:rsidRDefault="001C5364" w:rsidP="0051482F">
      <w:pPr>
        <w:pStyle w:val="Normalnumber"/>
        <w:numPr>
          <w:ilvl w:val="0"/>
          <w:numId w:val="0"/>
        </w:numPr>
        <w:tabs>
          <w:tab w:val="clear" w:pos="624"/>
          <w:tab w:val="left" w:pos="2127"/>
        </w:tabs>
        <w:ind w:left="1260" w:firstLine="448"/>
        <w:rPr>
          <w:lang w:val="fr-CA"/>
        </w:rPr>
      </w:pPr>
      <w:r w:rsidRPr="00A27D8A">
        <w:rPr>
          <w:b/>
          <w:bCs/>
          <w:lang w:val="fr-CA"/>
        </w:rPr>
        <w:t>Option </w:t>
      </w:r>
      <w:r w:rsidR="0067034F" w:rsidRPr="00A27D8A">
        <w:rPr>
          <w:b/>
          <w:bCs/>
          <w:lang w:val="fr-CA"/>
        </w:rPr>
        <w:t>1</w:t>
      </w:r>
      <w:r w:rsidRPr="00A27D8A">
        <w:rPr>
          <w:b/>
          <w:bCs/>
          <w:lang w:val="fr-CA"/>
        </w:rPr>
        <w:t> </w:t>
      </w:r>
      <w:r w:rsidR="0067034F" w:rsidRPr="00A27D8A">
        <w:rPr>
          <w:b/>
          <w:bCs/>
          <w:lang w:val="fr-CA"/>
        </w:rPr>
        <w:t>a</w:t>
      </w:r>
      <w:r w:rsidR="00ED3B8A" w:rsidRPr="00A27D8A">
        <w:rPr>
          <w:b/>
          <w:bCs/>
          <w:lang w:val="fr-CA"/>
        </w:rPr>
        <w:t>)</w:t>
      </w:r>
      <w:r w:rsidR="00B80E7E" w:rsidRPr="00A27D8A">
        <w:rPr>
          <w:b/>
          <w:bCs/>
          <w:lang w:val="fr-CA"/>
        </w:rPr>
        <w:t xml:space="preserve"> (fusionnement)</w:t>
      </w:r>
      <w:r w:rsidRPr="00A27D8A">
        <w:rPr>
          <w:b/>
          <w:bCs/>
          <w:lang w:val="fr-CA"/>
        </w:rPr>
        <w:t> </w:t>
      </w:r>
      <w:r w:rsidR="0067034F" w:rsidRPr="00A27D8A">
        <w:rPr>
          <w:b/>
          <w:bCs/>
          <w:lang w:val="fr-CA"/>
        </w:rPr>
        <w:t>:</w:t>
      </w:r>
      <w:r w:rsidR="0067034F" w:rsidRPr="00A27D8A">
        <w:rPr>
          <w:lang w:val="fr-CA"/>
        </w:rPr>
        <w:t xml:space="preserve"> </w:t>
      </w:r>
      <w:r w:rsidR="00B80E7E" w:rsidRPr="00A27D8A">
        <w:rPr>
          <w:lang w:val="fr-CA"/>
        </w:rPr>
        <w:t>In</w:t>
      </w:r>
      <w:r w:rsidR="00623CB1">
        <w:rPr>
          <w:lang w:val="fr-CA"/>
        </w:rPr>
        <w:t>corpor</w:t>
      </w:r>
      <w:r w:rsidR="00A7081F">
        <w:rPr>
          <w:lang w:val="fr-CA"/>
        </w:rPr>
        <w:t>ation d</w:t>
      </w:r>
      <w:r w:rsidR="00B80E7E" w:rsidRPr="00A27D8A">
        <w:rPr>
          <w:lang w:val="fr-CA"/>
        </w:rPr>
        <w:t>es fonctions du</w:t>
      </w:r>
      <w:r w:rsidRPr="00A27D8A">
        <w:rPr>
          <w:lang w:val="fr-CA"/>
        </w:rPr>
        <w:t xml:space="preserve"> secrétariat de la Convention de </w:t>
      </w:r>
      <w:r w:rsidR="001D7A26" w:rsidRPr="00A27D8A">
        <w:rPr>
          <w:lang w:val="fr-CA"/>
        </w:rPr>
        <w:t xml:space="preserve">Minamata </w:t>
      </w:r>
      <w:r w:rsidR="00B80E7E" w:rsidRPr="00A27D8A">
        <w:rPr>
          <w:lang w:val="fr-CA"/>
        </w:rPr>
        <w:t>dans</w:t>
      </w:r>
      <w:r w:rsidRPr="00A27D8A">
        <w:rPr>
          <w:lang w:val="fr-CA"/>
        </w:rPr>
        <w:t xml:space="preserve"> </w:t>
      </w:r>
      <w:r w:rsidR="002F3243" w:rsidRPr="00A27D8A">
        <w:rPr>
          <w:lang w:val="fr-CA"/>
        </w:rPr>
        <w:t>la structure actuelle du</w:t>
      </w:r>
      <w:r w:rsidRPr="00A27D8A">
        <w:rPr>
          <w:lang w:val="fr-CA"/>
        </w:rPr>
        <w:t xml:space="preserve"> </w:t>
      </w:r>
      <w:r w:rsidR="00726AD6">
        <w:rPr>
          <w:lang w:val="fr-CA"/>
        </w:rPr>
        <w:t>S</w:t>
      </w:r>
      <w:r w:rsidRPr="00A27D8A">
        <w:rPr>
          <w:lang w:val="fr-CA"/>
        </w:rPr>
        <w:t xml:space="preserve">ecrétariat des conventions de Bâle, de </w:t>
      </w:r>
      <w:r w:rsidR="001D7A26" w:rsidRPr="00A27D8A">
        <w:rPr>
          <w:lang w:val="fr-CA"/>
        </w:rPr>
        <w:t xml:space="preserve">Rotterdam </w:t>
      </w:r>
      <w:r w:rsidRPr="00A27D8A">
        <w:rPr>
          <w:lang w:val="fr-CA"/>
        </w:rPr>
        <w:t>et de</w:t>
      </w:r>
      <w:r w:rsidR="001D7A26" w:rsidRPr="00A27D8A">
        <w:rPr>
          <w:lang w:val="fr-CA"/>
        </w:rPr>
        <w:t xml:space="preserve"> Stockholm</w:t>
      </w:r>
      <w:r w:rsidR="002F3243" w:rsidRPr="00A27D8A">
        <w:rPr>
          <w:lang w:val="fr-CA"/>
        </w:rPr>
        <w:t xml:space="preserve"> </w:t>
      </w:r>
      <w:r w:rsidR="00B80E7E" w:rsidRPr="00A27D8A">
        <w:rPr>
          <w:lang w:val="fr-CA"/>
        </w:rPr>
        <w:t>(</w:t>
      </w:r>
      <w:r w:rsidR="002F657A" w:rsidRPr="00A27D8A">
        <w:rPr>
          <w:lang w:val="fr-CA"/>
        </w:rPr>
        <w:t>lieu d’implantation :</w:t>
      </w:r>
      <w:r w:rsidR="002F3243" w:rsidRPr="00A27D8A">
        <w:rPr>
          <w:lang w:val="fr-CA"/>
        </w:rPr>
        <w:t xml:space="preserve"> Genève</w:t>
      </w:r>
      <w:proofErr w:type="gramStart"/>
      <w:r w:rsidR="00B80E7E" w:rsidRPr="00A27D8A">
        <w:rPr>
          <w:lang w:val="fr-CA"/>
        </w:rPr>
        <w:t>)</w:t>
      </w:r>
      <w:r w:rsidR="00873E53" w:rsidRPr="00A27D8A">
        <w:rPr>
          <w:lang w:val="fr-CA"/>
        </w:rPr>
        <w:t>;</w:t>
      </w:r>
      <w:proofErr w:type="gramEnd"/>
    </w:p>
    <w:p w14:paraId="602323B9" w14:textId="3938CAD2" w:rsidR="001D7A26" w:rsidRPr="00A27D8A" w:rsidRDefault="001C5364" w:rsidP="0051482F">
      <w:pPr>
        <w:pStyle w:val="Normalnumber"/>
        <w:numPr>
          <w:ilvl w:val="0"/>
          <w:numId w:val="0"/>
        </w:numPr>
        <w:tabs>
          <w:tab w:val="clear" w:pos="624"/>
          <w:tab w:val="left" w:pos="2127"/>
        </w:tabs>
        <w:ind w:left="1260" w:firstLine="448"/>
        <w:rPr>
          <w:lang w:val="fr-CA"/>
        </w:rPr>
      </w:pPr>
      <w:r w:rsidRPr="00A27D8A">
        <w:rPr>
          <w:b/>
          <w:bCs/>
          <w:lang w:val="fr-CA"/>
        </w:rPr>
        <w:t>Option </w:t>
      </w:r>
      <w:r w:rsidR="0067034F" w:rsidRPr="00A27D8A">
        <w:rPr>
          <w:b/>
          <w:bCs/>
          <w:lang w:val="fr-CA"/>
        </w:rPr>
        <w:t>1</w:t>
      </w:r>
      <w:r w:rsidRPr="00A27D8A">
        <w:rPr>
          <w:b/>
          <w:bCs/>
          <w:lang w:val="fr-CA"/>
        </w:rPr>
        <w:t> </w:t>
      </w:r>
      <w:r w:rsidR="0067034F" w:rsidRPr="00A27D8A">
        <w:rPr>
          <w:b/>
          <w:bCs/>
          <w:lang w:val="fr-CA"/>
        </w:rPr>
        <w:t>b</w:t>
      </w:r>
      <w:r w:rsidR="00ED3B8A" w:rsidRPr="00A27D8A">
        <w:rPr>
          <w:b/>
          <w:bCs/>
          <w:lang w:val="fr-CA"/>
        </w:rPr>
        <w:t>)</w:t>
      </w:r>
      <w:r w:rsidR="002F657A" w:rsidRPr="00A27D8A">
        <w:rPr>
          <w:b/>
          <w:bCs/>
          <w:lang w:val="fr-CA"/>
        </w:rPr>
        <w:t xml:space="preserve"> (</w:t>
      </w:r>
      <w:r w:rsidR="00A7081F">
        <w:rPr>
          <w:b/>
          <w:bCs/>
          <w:lang w:val="fr-CA"/>
        </w:rPr>
        <w:t>intégration</w:t>
      </w:r>
      <w:r w:rsidR="00A27D8A" w:rsidRPr="00A27D8A">
        <w:rPr>
          <w:b/>
          <w:bCs/>
          <w:lang w:val="fr-CA"/>
        </w:rPr>
        <w:t xml:space="preserve"> sous forme de </w:t>
      </w:r>
      <w:r w:rsidR="00A22ECB" w:rsidRPr="00A27D8A">
        <w:rPr>
          <w:b/>
          <w:bCs/>
          <w:lang w:val="fr-CA"/>
        </w:rPr>
        <w:t>Service</w:t>
      </w:r>
      <w:r w:rsidR="002F657A" w:rsidRPr="00A27D8A">
        <w:rPr>
          <w:b/>
          <w:bCs/>
          <w:lang w:val="fr-CA"/>
        </w:rPr>
        <w:t>)</w:t>
      </w:r>
      <w:r w:rsidRPr="00A27D8A">
        <w:rPr>
          <w:b/>
          <w:bCs/>
          <w:lang w:val="fr-CA"/>
        </w:rPr>
        <w:t> </w:t>
      </w:r>
      <w:r w:rsidR="0067034F" w:rsidRPr="00A27D8A">
        <w:rPr>
          <w:b/>
          <w:bCs/>
          <w:lang w:val="fr-CA"/>
        </w:rPr>
        <w:t>:</w:t>
      </w:r>
      <w:r w:rsidR="0067034F" w:rsidRPr="00A27D8A">
        <w:rPr>
          <w:lang w:val="fr-CA"/>
        </w:rPr>
        <w:t xml:space="preserve"> </w:t>
      </w:r>
      <w:r w:rsidR="00726AD6">
        <w:rPr>
          <w:lang w:val="fr-CA"/>
        </w:rPr>
        <w:t>R</w:t>
      </w:r>
      <w:r w:rsidR="00623CB1">
        <w:rPr>
          <w:lang w:val="fr-CA"/>
        </w:rPr>
        <w:t>egroupement</w:t>
      </w:r>
      <w:r w:rsidR="002F3243" w:rsidRPr="00A27D8A">
        <w:rPr>
          <w:lang w:val="fr-CA"/>
        </w:rPr>
        <w:t xml:space="preserve"> </w:t>
      </w:r>
      <w:r w:rsidR="00A7081F">
        <w:rPr>
          <w:lang w:val="fr-CA"/>
        </w:rPr>
        <w:t>du</w:t>
      </w:r>
      <w:r w:rsidR="002F3243" w:rsidRPr="00A27D8A">
        <w:rPr>
          <w:lang w:val="fr-CA"/>
        </w:rPr>
        <w:t xml:space="preserve"> secrétariat de la Convention de Minamata</w:t>
      </w:r>
      <w:r w:rsidR="00550E62" w:rsidRPr="00A27D8A">
        <w:rPr>
          <w:lang w:val="fr-CA"/>
        </w:rPr>
        <w:t xml:space="preserve"> </w:t>
      </w:r>
      <w:r w:rsidR="00623CB1">
        <w:rPr>
          <w:lang w:val="fr-CA"/>
        </w:rPr>
        <w:t>et</w:t>
      </w:r>
      <w:r w:rsidR="001A6E96">
        <w:rPr>
          <w:lang w:val="fr-CA"/>
        </w:rPr>
        <w:t xml:space="preserve"> du</w:t>
      </w:r>
      <w:r w:rsidR="00550E62" w:rsidRPr="00A27D8A">
        <w:rPr>
          <w:lang w:val="fr-CA"/>
        </w:rPr>
        <w:t xml:space="preserve"> S</w:t>
      </w:r>
      <w:r w:rsidR="002F3243" w:rsidRPr="00A27D8A">
        <w:rPr>
          <w:lang w:val="fr-CA"/>
        </w:rPr>
        <w:t xml:space="preserve">ecrétariat des conventions de Bâle, de Rotterdam et de Stockholm </w:t>
      </w:r>
      <w:r w:rsidR="001A6E96">
        <w:rPr>
          <w:lang w:val="fr-CA"/>
        </w:rPr>
        <w:t xml:space="preserve">par la </w:t>
      </w:r>
      <w:r w:rsidR="002F3243" w:rsidRPr="00A27D8A">
        <w:rPr>
          <w:lang w:val="fr-CA"/>
        </w:rPr>
        <w:t>créa</w:t>
      </w:r>
      <w:r w:rsidR="001A6E96">
        <w:rPr>
          <w:lang w:val="fr-CA"/>
        </w:rPr>
        <w:t>tion</w:t>
      </w:r>
      <w:r w:rsidR="002F3243" w:rsidRPr="00A27D8A">
        <w:rPr>
          <w:lang w:val="fr-CA"/>
        </w:rPr>
        <w:t xml:space="preserve">, au cours de la période intérimaire, </w:t>
      </w:r>
      <w:r w:rsidR="00623CB1">
        <w:rPr>
          <w:lang w:val="fr-CA"/>
        </w:rPr>
        <w:t>d’</w:t>
      </w:r>
      <w:r w:rsidR="002F3243" w:rsidRPr="00A27D8A">
        <w:rPr>
          <w:lang w:val="fr-CA"/>
        </w:rPr>
        <w:t xml:space="preserve">un </w:t>
      </w:r>
      <w:r w:rsidR="00A22ECB" w:rsidRPr="00A27D8A">
        <w:rPr>
          <w:lang w:val="fr-CA"/>
        </w:rPr>
        <w:t xml:space="preserve">Service </w:t>
      </w:r>
      <w:r w:rsidR="00B80E7E" w:rsidRPr="00A27D8A">
        <w:rPr>
          <w:lang w:val="fr-CA"/>
        </w:rPr>
        <w:t xml:space="preserve">de la Convention de Minamata </w:t>
      </w:r>
      <w:r w:rsidR="002F3243" w:rsidRPr="00A27D8A">
        <w:rPr>
          <w:lang w:val="fr-CA"/>
        </w:rPr>
        <w:t>au sein de celui-ci</w:t>
      </w:r>
      <w:r w:rsidR="00B80E7E" w:rsidRPr="00A27D8A">
        <w:rPr>
          <w:lang w:val="fr-CA"/>
        </w:rPr>
        <w:t xml:space="preserve"> (</w:t>
      </w:r>
      <w:r w:rsidR="002F657A" w:rsidRPr="00A27D8A">
        <w:rPr>
          <w:lang w:val="fr-CA"/>
        </w:rPr>
        <w:t>lieu d’implantation :</w:t>
      </w:r>
      <w:r w:rsidR="00B80E7E" w:rsidRPr="00A27D8A">
        <w:rPr>
          <w:lang w:val="fr-CA"/>
        </w:rPr>
        <w:t xml:space="preserve"> Genève</w:t>
      </w:r>
      <w:proofErr w:type="gramStart"/>
      <w:r w:rsidR="00B80E7E" w:rsidRPr="00A27D8A">
        <w:rPr>
          <w:lang w:val="fr-CA"/>
        </w:rPr>
        <w:t>)</w:t>
      </w:r>
      <w:r w:rsidR="00873E53" w:rsidRPr="00A27D8A">
        <w:rPr>
          <w:lang w:val="fr-CA"/>
        </w:rPr>
        <w:t>;</w:t>
      </w:r>
      <w:proofErr w:type="gramEnd"/>
      <w:r w:rsidR="001D7A26" w:rsidRPr="00A27D8A">
        <w:rPr>
          <w:lang w:val="fr-CA"/>
        </w:rPr>
        <w:t xml:space="preserve"> </w:t>
      </w:r>
    </w:p>
    <w:p w14:paraId="666BEABD" w14:textId="5E8965F7" w:rsidR="001D7A26" w:rsidRPr="00A27D8A" w:rsidRDefault="001C5364" w:rsidP="009C7BA7">
      <w:pPr>
        <w:pStyle w:val="Normalnumber"/>
        <w:numPr>
          <w:ilvl w:val="0"/>
          <w:numId w:val="0"/>
        </w:numPr>
        <w:tabs>
          <w:tab w:val="clear" w:pos="624"/>
          <w:tab w:val="left" w:pos="2127"/>
        </w:tabs>
        <w:ind w:left="1260" w:firstLine="448"/>
        <w:rPr>
          <w:lang w:val="fr-CA"/>
        </w:rPr>
      </w:pPr>
      <w:r w:rsidRPr="00A27D8A">
        <w:rPr>
          <w:b/>
          <w:bCs/>
          <w:lang w:val="fr-CA"/>
        </w:rPr>
        <w:t>Option </w:t>
      </w:r>
      <w:r w:rsidR="0067034F" w:rsidRPr="00A27D8A">
        <w:rPr>
          <w:b/>
          <w:bCs/>
          <w:lang w:val="fr-CA"/>
        </w:rPr>
        <w:t>2</w:t>
      </w:r>
      <w:r w:rsidR="002F657A" w:rsidRPr="00A27D8A">
        <w:rPr>
          <w:b/>
          <w:bCs/>
          <w:lang w:val="fr-CA"/>
        </w:rPr>
        <w:t xml:space="preserve"> (</w:t>
      </w:r>
      <w:r w:rsidR="00A27D8A" w:rsidRPr="00A27D8A">
        <w:rPr>
          <w:b/>
          <w:bCs/>
          <w:lang w:val="fr-CA"/>
        </w:rPr>
        <w:t>autonomie)</w:t>
      </w:r>
      <w:r w:rsidRPr="00A27D8A">
        <w:rPr>
          <w:b/>
          <w:bCs/>
          <w:lang w:val="fr-CA"/>
        </w:rPr>
        <w:t> </w:t>
      </w:r>
      <w:r w:rsidR="0067034F" w:rsidRPr="00A27D8A">
        <w:rPr>
          <w:b/>
          <w:bCs/>
          <w:lang w:val="fr-CA"/>
        </w:rPr>
        <w:t xml:space="preserve">: </w:t>
      </w:r>
      <w:r w:rsidR="002F657A" w:rsidRPr="00A27D8A">
        <w:rPr>
          <w:lang w:val="fr-CA"/>
        </w:rPr>
        <w:t>Cré</w:t>
      </w:r>
      <w:r w:rsidR="00A7081F">
        <w:rPr>
          <w:lang w:val="fr-CA"/>
        </w:rPr>
        <w:t>ation d’</w:t>
      </w:r>
      <w:r w:rsidR="002F657A" w:rsidRPr="00A27D8A">
        <w:rPr>
          <w:lang w:val="fr-CA"/>
        </w:rPr>
        <w:t>un</w:t>
      </w:r>
      <w:r w:rsidR="002F3243" w:rsidRPr="00A27D8A">
        <w:rPr>
          <w:lang w:val="fr-CA"/>
        </w:rPr>
        <w:t xml:space="preserve"> secrétariat </w:t>
      </w:r>
      <w:r w:rsidR="002F657A" w:rsidRPr="00A27D8A">
        <w:rPr>
          <w:lang w:val="fr-CA"/>
        </w:rPr>
        <w:t>indépendant de la Convention de Minamata (</w:t>
      </w:r>
      <w:r w:rsidR="002F3243" w:rsidRPr="00A27D8A">
        <w:rPr>
          <w:lang w:val="fr-CA"/>
        </w:rPr>
        <w:t>lieu d’implantation</w:t>
      </w:r>
      <w:r w:rsidR="001A6E96">
        <w:rPr>
          <w:lang w:val="fr-CA"/>
        </w:rPr>
        <w:t> :</w:t>
      </w:r>
      <w:r w:rsidR="002F3243" w:rsidRPr="00A27D8A">
        <w:rPr>
          <w:lang w:val="fr-CA"/>
        </w:rPr>
        <w:t xml:space="preserve"> </w:t>
      </w:r>
      <w:r w:rsidR="001A6E96">
        <w:rPr>
          <w:lang w:val="fr-CA"/>
        </w:rPr>
        <w:t>à</w:t>
      </w:r>
      <w:r w:rsidR="002F3243" w:rsidRPr="00A27D8A">
        <w:rPr>
          <w:lang w:val="fr-CA"/>
        </w:rPr>
        <w:t xml:space="preserve"> détermin</w:t>
      </w:r>
      <w:r w:rsidR="001A6E96">
        <w:rPr>
          <w:lang w:val="fr-CA"/>
        </w:rPr>
        <w:t>er</w:t>
      </w:r>
      <w:r w:rsidR="002F3243" w:rsidRPr="00A27D8A">
        <w:rPr>
          <w:lang w:val="fr-CA"/>
        </w:rPr>
        <w:t xml:space="preserve"> sur la base d’une analyse des lieux d’affectation du PNUE suivants </w:t>
      </w:r>
      <w:r w:rsidR="001D7A26" w:rsidRPr="00A27D8A">
        <w:rPr>
          <w:lang w:val="fr-CA"/>
        </w:rPr>
        <w:t xml:space="preserve">: </w:t>
      </w:r>
      <w:r w:rsidR="009858B9" w:rsidRPr="00A27D8A">
        <w:rPr>
          <w:lang w:val="fr-CA"/>
        </w:rPr>
        <w:t xml:space="preserve">Bangkok, </w:t>
      </w:r>
      <w:r w:rsidR="001D7A26" w:rsidRPr="00A27D8A">
        <w:rPr>
          <w:lang w:val="fr-CA"/>
        </w:rPr>
        <w:t>Gen</w:t>
      </w:r>
      <w:r w:rsidR="00F670CC" w:rsidRPr="00A27D8A">
        <w:rPr>
          <w:lang w:val="fr-CA"/>
        </w:rPr>
        <w:t>ève</w:t>
      </w:r>
      <w:r w:rsidR="001D7A26" w:rsidRPr="00A27D8A">
        <w:rPr>
          <w:lang w:val="fr-CA"/>
        </w:rPr>
        <w:t xml:space="preserve">, Nairobi, Osaka, </w:t>
      </w:r>
      <w:r w:rsidR="0067034F" w:rsidRPr="00A27D8A">
        <w:rPr>
          <w:lang w:val="fr-CA"/>
        </w:rPr>
        <w:t>Vienn</w:t>
      </w:r>
      <w:r w:rsidR="00F670CC" w:rsidRPr="00A27D8A">
        <w:rPr>
          <w:lang w:val="fr-CA"/>
        </w:rPr>
        <w:t>e</w:t>
      </w:r>
      <w:r w:rsidR="0067034F" w:rsidRPr="00A27D8A">
        <w:rPr>
          <w:lang w:val="fr-CA"/>
        </w:rPr>
        <w:t xml:space="preserve"> </w:t>
      </w:r>
      <w:r w:rsidR="00F670CC" w:rsidRPr="00A27D8A">
        <w:rPr>
          <w:lang w:val="fr-CA"/>
        </w:rPr>
        <w:t>et</w:t>
      </w:r>
      <w:r w:rsidR="0067034F" w:rsidRPr="00A27D8A">
        <w:rPr>
          <w:lang w:val="fr-CA"/>
        </w:rPr>
        <w:t xml:space="preserve"> Washington</w:t>
      </w:r>
      <w:r w:rsidR="002F657A" w:rsidRPr="00A27D8A">
        <w:rPr>
          <w:lang w:val="fr-CA"/>
        </w:rPr>
        <w:t>)</w:t>
      </w:r>
      <w:r w:rsidR="00AA2527" w:rsidRPr="00A27D8A">
        <w:rPr>
          <w:lang w:val="fr-CA"/>
        </w:rPr>
        <w:t>.</w:t>
      </w:r>
    </w:p>
    <w:p w14:paraId="55623492" w14:textId="2D4F02AF" w:rsidR="006F08B2" w:rsidRPr="00A27D8A" w:rsidRDefault="00F670CC" w:rsidP="00C03273">
      <w:pPr>
        <w:pStyle w:val="Normalnumber"/>
        <w:ind w:left="1247" w:firstLine="0"/>
        <w:rPr>
          <w:lang w:val="fr-CA"/>
        </w:rPr>
      </w:pPr>
      <w:r w:rsidRPr="00A27D8A">
        <w:rPr>
          <w:lang w:val="fr-CA"/>
        </w:rPr>
        <w:lastRenderedPageBreak/>
        <w:t xml:space="preserve">À sa première réunion, la Conférence des Parties examinera également </w:t>
      </w:r>
      <w:r w:rsidR="0069148B" w:rsidRPr="00A27D8A">
        <w:rPr>
          <w:lang w:val="fr-CA"/>
        </w:rPr>
        <w:t>l’offre</w:t>
      </w:r>
      <w:r w:rsidRPr="00A27D8A">
        <w:rPr>
          <w:lang w:val="fr-CA"/>
        </w:rPr>
        <w:t xml:space="preserve"> faite en 2015 par le Gouvernement suisse d’accueillir à Genève le secrétariat permanent de la Convention de Minamata</w:t>
      </w:r>
      <w:r w:rsidR="00E01BA4" w:rsidRPr="00A27D8A">
        <w:rPr>
          <w:lang w:val="fr-CA"/>
        </w:rPr>
        <w:t xml:space="preserve">. </w:t>
      </w:r>
      <w:r w:rsidRPr="00A27D8A">
        <w:rPr>
          <w:lang w:val="fr-CA"/>
        </w:rPr>
        <w:t xml:space="preserve">Le Gouvernement suisse a proposé de fournir un appui financier à la Convention à condition que le secrétariat de cette </w:t>
      </w:r>
      <w:r w:rsidR="00550E62" w:rsidRPr="00A27D8A">
        <w:rPr>
          <w:lang w:val="fr-CA"/>
        </w:rPr>
        <w:t>dernière soit fusionné avec le S</w:t>
      </w:r>
      <w:r w:rsidRPr="00A27D8A">
        <w:rPr>
          <w:lang w:val="fr-CA"/>
        </w:rPr>
        <w:t xml:space="preserve">ecrétariat des conventions de Bâle, de </w:t>
      </w:r>
      <w:r w:rsidR="00E01BA4" w:rsidRPr="00A27D8A">
        <w:rPr>
          <w:lang w:val="fr-CA"/>
        </w:rPr>
        <w:t xml:space="preserve">Rotterdam </w:t>
      </w:r>
      <w:r w:rsidRPr="00A27D8A">
        <w:rPr>
          <w:lang w:val="fr-CA"/>
        </w:rPr>
        <w:t>et de</w:t>
      </w:r>
      <w:r w:rsidR="00005808" w:rsidRPr="00A27D8A">
        <w:rPr>
          <w:lang w:val="fr-CA"/>
        </w:rPr>
        <w:t xml:space="preserve"> Stockholm</w:t>
      </w:r>
      <w:r w:rsidR="00E01BA4" w:rsidRPr="00A27D8A">
        <w:rPr>
          <w:lang w:val="fr-CA"/>
        </w:rPr>
        <w:t xml:space="preserve">. </w:t>
      </w:r>
    </w:p>
    <w:p w14:paraId="77D52DA7" w14:textId="57B2ECF0" w:rsidR="006F08B2" w:rsidRPr="00A27D8A" w:rsidRDefault="00073987" w:rsidP="00C03273">
      <w:pPr>
        <w:pStyle w:val="Normalnumber"/>
        <w:ind w:left="1247" w:firstLine="0"/>
        <w:rPr>
          <w:lang w:val="fr-CA"/>
        </w:rPr>
      </w:pPr>
      <w:r w:rsidRPr="00A27D8A">
        <w:rPr>
          <w:lang w:val="fr-CA"/>
        </w:rPr>
        <w:t xml:space="preserve">À sa septième session, le </w:t>
      </w:r>
      <w:bookmarkStart w:id="11" w:name="_Hlk489623669"/>
      <w:r w:rsidRPr="00A27D8A">
        <w:rPr>
          <w:lang w:val="fr-CA"/>
        </w:rPr>
        <w:t xml:space="preserve">Comité de négociation intergouvernemental </w:t>
      </w:r>
      <w:bookmarkEnd w:id="11"/>
      <w:r w:rsidR="007E32DB" w:rsidRPr="00A27D8A">
        <w:rPr>
          <w:lang w:val="fr-CA"/>
        </w:rPr>
        <w:t xml:space="preserve">a examiné </w:t>
      </w:r>
      <w:r w:rsidRPr="00A27D8A">
        <w:rPr>
          <w:lang w:val="fr-CA"/>
        </w:rPr>
        <w:t>l’offre du Gouvernement suisse</w:t>
      </w:r>
      <w:r w:rsidR="006D5F3A" w:rsidRPr="00A27D8A">
        <w:rPr>
          <w:lang w:val="fr-CA"/>
        </w:rPr>
        <w:t xml:space="preserve"> (</w:t>
      </w:r>
      <w:r w:rsidR="00B0362A" w:rsidRPr="00A27D8A">
        <w:rPr>
          <w:lang w:val="fr-CA"/>
        </w:rPr>
        <w:t>UNEP/MC/COP.1/INF</w:t>
      </w:r>
      <w:r w:rsidR="00873E53" w:rsidRPr="00A27D8A">
        <w:rPr>
          <w:lang w:val="fr-CA"/>
        </w:rPr>
        <w:t>/</w:t>
      </w:r>
      <w:r w:rsidR="00B0362A" w:rsidRPr="00A27D8A">
        <w:rPr>
          <w:lang w:val="fr-CA"/>
        </w:rPr>
        <w:t>7</w:t>
      </w:r>
      <w:r w:rsidR="006D5F3A" w:rsidRPr="00A27D8A">
        <w:rPr>
          <w:lang w:val="fr-CA"/>
        </w:rPr>
        <w:t>)</w:t>
      </w:r>
      <w:r w:rsidR="00E01BA4" w:rsidRPr="00A27D8A">
        <w:rPr>
          <w:lang w:val="fr-CA"/>
        </w:rPr>
        <w:t>.</w:t>
      </w:r>
      <w:r w:rsidR="004547FE" w:rsidRPr="00A27D8A">
        <w:rPr>
          <w:lang w:val="fr-CA"/>
        </w:rPr>
        <w:t xml:space="preserve"> À l’issue de ses débats, </w:t>
      </w:r>
      <w:r w:rsidR="00A27D8A" w:rsidRPr="00A27D8A">
        <w:rPr>
          <w:lang w:val="fr-CA"/>
        </w:rPr>
        <w:t>il</w:t>
      </w:r>
      <w:r w:rsidR="004547FE" w:rsidRPr="00A27D8A">
        <w:rPr>
          <w:lang w:val="fr-CA"/>
        </w:rPr>
        <w:t xml:space="preserve"> a demandé au Gouvernement suisse d’apporter des précisions concernant l’offre, notamment les conditions </w:t>
      </w:r>
      <w:r w:rsidR="00E5197D" w:rsidRPr="00A27D8A">
        <w:rPr>
          <w:lang w:val="fr-CA"/>
        </w:rPr>
        <w:t>auxquelles elle est subordonnée</w:t>
      </w:r>
      <w:r w:rsidR="004547FE" w:rsidRPr="00A27D8A">
        <w:rPr>
          <w:lang w:val="fr-CA"/>
        </w:rPr>
        <w:t xml:space="preserve"> et les aspects financiers liés au montant que le</w:t>
      </w:r>
      <w:r w:rsidR="00E5197D" w:rsidRPr="00A27D8A">
        <w:rPr>
          <w:lang w:val="fr-CA"/>
        </w:rPr>
        <w:t xml:space="preserve"> Gouvernement suisse fournirait</w:t>
      </w:r>
      <w:r w:rsidR="00E01BA4" w:rsidRPr="00A27D8A">
        <w:rPr>
          <w:lang w:val="fr-CA"/>
        </w:rPr>
        <w:t xml:space="preserve">. </w:t>
      </w:r>
    </w:p>
    <w:p w14:paraId="08D4DBA1" w14:textId="3E0A3293" w:rsidR="00BD5B94" w:rsidRPr="00A27D8A" w:rsidRDefault="00E5197D" w:rsidP="00C03273">
      <w:pPr>
        <w:pStyle w:val="Normalnumber"/>
        <w:ind w:left="1247" w:firstLine="0"/>
        <w:rPr>
          <w:lang w:val="fr-CA"/>
        </w:rPr>
      </w:pPr>
      <w:r w:rsidRPr="00A27D8A">
        <w:rPr>
          <w:lang w:val="fr-CA"/>
        </w:rPr>
        <w:t>Les précisions reçues du Gouvernement suisse, datées du 27 juin </w:t>
      </w:r>
      <w:r w:rsidR="00E2313D" w:rsidRPr="00A27D8A">
        <w:rPr>
          <w:lang w:val="fr-CA"/>
        </w:rPr>
        <w:t>2017</w:t>
      </w:r>
      <w:r w:rsidR="00DC0056" w:rsidRPr="00A27D8A">
        <w:rPr>
          <w:lang w:val="fr-CA"/>
        </w:rPr>
        <w:t xml:space="preserve"> (</w:t>
      </w:r>
      <w:r w:rsidRPr="00A27D8A">
        <w:rPr>
          <w:lang w:val="fr-CA"/>
        </w:rPr>
        <w:t>voir</w:t>
      </w:r>
      <w:r w:rsidR="00095199" w:rsidRPr="00A27D8A">
        <w:rPr>
          <w:lang w:val="fr-CA"/>
        </w:rPr>
        <w:t> </w:t>
      </w:r>
      <w:r w:rsidR="00495F8E" w:rsidRPr="00A27D8A">
        <w:rPr>
          <w:lang w:val="fr-CA"/>
        </w:rPr>
        <w:t>UNEP/MC/COP.1</w:t>
      </w:r>
      <w:r w:rsidR="00DB1886" w:rsidRPr="00A27D8A">
        <w:rPr>
          <w:lang w:val="fr-CA"/>
        </w:rPr>
        <w:t>/</w:t>
      </w:r>
      <w:r w:rsidR="00495F8E" w:rsidRPr="00A27D8A">
        <w:rPr>
          <w:lang w:val="fr-CA"/>
        </w:rPr>
        <w:t>INF</w:t>
      </w:r>
      <w:r w:rsidR="00E2313D" w:rsidRPr="00A27D8A">
        <w:rPr>
          <w:lang w:val="fr-CA"/>
        </w:rPr>
        <w:t>/8</w:t>
      </w:r>
      <w:r w:rsidR="00DC0056" w:rsidRPr="00A27D8A">
        <w:rPr>
          <w:lang w:val="fr-CA"/>
        </w:rPr>
        <w:t>)</w:t>
      </w:r>
      <w:r w:rsidR="00E2313D" w:rsidRPr="00A27D8A">
        <w:rPr>
          <w:lang w:val="fr-CA"/>
        </w:rPr>
        <w:t>,</w:t>
      </w:r>
      <w:r w:rsidRPr="00A27D8A">
        <w:rPr>
          <w:lang w:val="fr-CA"/>
        </w:rPr>
        <w:t xml:space="preserve"> ont confirmé que la contribution du pays hôte dépendait du fusionnement du secrétariat de la Conven</w:t>
      </w:r>
      <w:r w:rsidR="007E32DB" w:rsidRPr="00A27D8A">
        <w:rPr>
          <w:lang w:val="fr-CA"/>
        </w:rPr>
        <w:t>tion de Minamata avec le S</w:t>
      </w:r>
      <w:r w:rsidRPr="00A27D8A">
        <w:rPr>
          <w:lang w:val="fr-CA"/>
        </w:rPr>
        <w:t xml:space="preserve">ecrétariat des conventions de Bâle, de </w:t>
      </w:r>
      <w:r w:rsidR="00A078DA" w:rsidRPr="00A27D8A">
        <w:rPr>
          <w:lang w:val="fr-CA"/>
        </w:rPr>
        <w:t xml:space="preserve">Rotterdam </w:t>
      </w:r>
      <w:r w:rsidRPr="00A27D8A">
        <w:rPr>
          <w:lang w:val="fr-CA"/>
        </w:rPr>
        <w:t>et de</w:t>
      </w:r>
      <w:r w:rsidR="00A078DA" w:rsidRPr="00A27D8A">
        <w:rPr>
          <w:lang w:val="fr-CA"/>
        </w:rPr>
        <w:t xml:space="preserve"> Stockholm.</w:t>
      </w:r>
      <w:r w:rsidRPr="00A27D8A">
        <w:rPr>
          <w:lang w:val="fr-CA"/>
        </w:rPr>
        <w:t xml:space="preserve"> S’agissant des options énumérées </w:t>
      </w:r>
      <w:r w:rsidR="009D23A0" w:rsidRPr="00A27D8A">
        <w:rPr>
          <w:lang w:val="fr-CA"/>
        </w:rPr>
        <w:t>au</w:t>
      </w:r>
      <w:r w:rsidRPr="00A27D8A">
        <w:rPr>
          <w:lang w:val="fr-CA"/>
        </w:rPr>
        <w:t xml:space="preserve"> paragraphe 10 ci-dessus, dans le cas d’un fusionnement total à Genève </w:t>
      </w:r>
      <w:r w:rsidR="00951783" w:rsidRPr="00A27D8A">
        <w:rPr>
          <w:lang w:val="fr-CA"/>
        </w:rPr>
        <w:t>(option </w:t>
      </w:r>
      <w:r w:rsidR="0023189C" w:rsidRPr="00A27D8A">
        <w:rPr>
          <w:lang w:val="fr-CA"/>
        </w:rPr>
        <w:t>1</w:t>
      </w:r>
      <w:r w:rsidR="00951783" w:rsidRPr="00A27D8A">
        <w:rPr>
          <w:lang w:val="fr-CA"/>
        </w:rPr>
        <w:t> </w:t>
      </w:r>
      <w:r w:rsidR="0023189C" w:rsidRPr="00A27D8A">
        <w:rPr>
          <w:lang w:val="fr-CA"/>
        </w:rPr>
        <w:t>a)</w:t>
      </w:r>
      <w:r w:rsidR="001F1F06" w:rsidRPr="00A27D8A">
        <w:rPr>
          <w:lang w:val="fr-CA"/>
        </w:rPr>
        <w:t>)</w:t>
      </w:r>
      <w:r w:rsidR="00A078DA" w:rsidRPr="00A27D8A">
        <w:rPr>
          <w:lang w:val="fr-CA"/>
        </w:rPr>
        <w:t xml:space="preserve">, </w:t>
      </w:r>
      <w:r w:rsidR="00951783" w:rsidRPr="00A27D8A">
        <w:rPr>
          <w:lang w:val="fr-CA"/>
        </w:rPr>
        <w:t xml:space="preserve">la contribution annuelle du pays hôte s’élèverait à </w:t>
      </w:r>
      <w:r w:rsidR="00BD094C" w:rsidRPr="00A27D8A">
        <w:rPr>
          <w:lang w:val="fr-CA"/>
        </w:rPr>
        <w:t>2</w:t>
      </w:r>
      <w:r w:rsidR="00951783" w:rsidRPr="00A27D8A">
        <w:rPr>
          <w:lang w:val="fr-CA"/>
        </w:rPr>
        <w:t>,</w:t>
      </w:r>
      <w:r w:rsidR="00BD094C" w:rsidRPr="00A27D8A">
        <w:rPr>
          <w:lang w:val="fr-CA"/>
        </w:rPr>
        <w:t>5</w:t>
      </w:r>
      <w:r w:rsidR="00951783" w:rsidRPr="00A27D8A">
        <w:rPr>
          <w:lang w:val="fr-CA"/>
        </w:rPr>
        <w:t> millions de francs suisses</w:t>
      </w:r>
      <w:r w:rsidR="001F1F06" w:rsidRPr="00A27D8A">
        <w:rPr>
          <w:lang w:val="fr-CA"/>
        </w:rPr>
        <w:t xml:space="preserve"> (</w:t>
      </w:r>
      <w:r w:rsidR="00951783" w:rsidRPr="00A27D8A">
        <w:rPr>
          <w:lang w:val="fr-CA"/>
        </w:rPr>
        <w:t>dont 500 </w:t>
      </w:r>
      <w:r w:rsidR="001F1F06" w:rsidRPr="00A27D8A">
        <w:rPr>
          <w:lang w:val="fr-CA"/>
        </w:rPr>
        <w:t>000</w:t>
      </w:r>
      <w:r w:rsidR="00951783" w:rsidRPr="00A27D8A">
        <w:rPr>
          <w:lang w:val="fr-CA"/>
        </w:rPr>
        <w:t xml:space="preserve"> pour de</w:t>
      </w:r>
      <w:r w:rsidR="007E32DB" w:rsidRPr="00A27D8A">
        <w:rPr>
          <w:lang w:val="fr-CA"/>
        </w:rPr>
        <w:t>s activités conjointes avec le S</w:t>
      </w:r>
      <w:r w:rsidR="00951783" w:rsidRPr="00A27D8A">
        <w:rPr>
          <w:lang w:val="fr-CA"/>
        </w:rPr>
        <w:t xml:space="preserve">ecrétariat des conventions de Bâle, de </w:t>
      </w:r>
      <w:r w:rsidR="001F1F06" w:rsidRPr="00A27D8A">
        <w:rPr>
          <w:lang w:val="fr-CA"/>
        </w:rPr>
        <w:t xml:space="preserve">Rotterdam </w:t>
      </w:r>
      <w:r w:rsidR="00951783" w:rsidRPr="00A27D8A">
        <w:rPr>
          <w:lang w:val="fr-CA"/>
        </w:rPr>
        <w:t>et de</w:t>
      </w:r>
      <w:r w:rsidR="001F1F06" w:rsidRPr="00A27D8A">
        <w:rPr>
          <w:lang w:val="fr-CA"/>
        </w:rPr>
        <w:t xml:space="preserve"> Stockholm</w:t>
      </w:r>
      <w:r w:rsidR="002359AA" w:rsidRPr="00A27D8A">
        <w:rPr>
          <w:lang w:val="fr-CA"/>
        </w:rPr>
        <w:t>)</w:t>
      </w:r>
      <w:r w:rsidR="006F08B2" w:rsidRPr="00A27D8A">
        <w:rPr>
          <w:lang w:val="fr-CA"/>
        </w:rPr>
        <w:t xml:space="preserve">. </w:t>
      </w:r>
      <w:r w:rsidR="00951783" w:rsidRPr="00A27D8A">
        <w:rPr>
          <w:lang w:val="fr-CA"/>
        </w:rPr>
        <w:t xml:space="preserve">Dans le cas d’un fusionnement progressif </w:t>
      </w:r>
      <w:r w:rsidR="0023189C" w:rsidRPr="00A27D8A">
        <w:rPr>
          <w:lang w:val="fr-CA"/>
        </w:rPr>
        <w:t>(o</w:t>
      </w:r>
      <w:r w:rsidR="00951783" w:rsidRPr="00A27D8A">
        <w:rPr>
          <w:lang w:val="fr-CA"/>
        </w:rPr>
        <w:t>ption </w:t>
      </w:r>
      <w:r w:rsidR="00AE78DB" w:rsidRPr="00A27D8A">
        <w:rPr>
          <w:lang w:val="fr-CA"/>
        </w:rPr>
        <w:t>1</w:t>
      </w:r>
      <w:r w:rsidR="00951783" w:rsidRPr="00A27D8A">
        <w:rPr>
          <w:lang w:val="fr-CA"/>
        </w:rPr>
        <w:t> </w:t>
      </w:r>
      <w:r w:rsidR="00AE78DB" w:rsidRPr="00A27D8A">
        <w:rPr>
          <w:lang w:val="fr-CA"/>
        </w:rPr>
        <w:t>b</w:t>
      </w:r>
      <w:r w:rsidR="0023189C" w:rsidRPr="00A27D8A">
        <w:rPr>
          <w:lang w:val="fr-CA"/>
        </w:rPr>
        <w:t>)</w:t>
      </w:r>
      <w:r w:rsidR="00ED3B8A" w:rsidRPr="00A27D8A">
        <w:rPr>
          <w:lang w:val="fr-CA"/>
        </w:rPr>
        <w:t>)</w:t>
      </w:r>
      <w:r w:rsidR="00AE78DB" w:rsidRPr="00A27D8A">
        <w:rPr>
          <w:lang w:val="fr-CA"/>
        </w:rPr>
        <w:t xml:space="preserve">, </w:t>
      </w:r>
      <w:r w:rsidR="00951783" w:rsidRPr="00A27D8A">
        <w:rPr>
          <w:lang w:val="fr-CA"/>
        </w:rPr>
        <w:t>où un quatrième service est créé au début à Genève, la contribution annuelle s’élèverait à 2 </w:t>
      </w:r>
      <w:r w:rsidR="006F08B2" w:rsidRPr="00A27D8A">
        <w:rPr>
          <w:lang w:val="fr-CA"/>
        </w:rPr>
        <w:t>million</w:t>
      </w:r>
      <w:r w:rsidR="00951783" w:rsidRPr="00A27D8A">
        <w:rPr>
          <w:lang w:val="fr-CA"/>
        </w:rPr>
        <w:t>s de francs suisses</w:t>
      </w:r>
      <w:r w:rsidR="006F08B2" w:rsidRPr="00A27D8A">
        <w:rPr>
          <w:lang w:val="fr-CA"/>
        </w:rPr>
        <w:t>.</w:t>
      </w:r>
      <w:r w:rsidR="006B354F" w:rsidRPr="00A27D8A">
        <w:rPr>
          <w:lang w:val="fr-CA"/>
        </w:rPr>
        <w:t xml:space="preserve"> </w:t>
      </w:r>
      <w:r w:rsidR="00951783" w:rsidRPr="00A27D8A">
        <w:rPr>
          <w:lang w:val="fr-CA"/>
        </w:rPr>
        <w:t>Dans le cas de l’</w:t>
      </w:r>
      <w:r w:rsidR="0023189C" w:rsidRPr="00A27D8A">
        <w:rPr>
          <w:lang w:val="fr-CA"/>
        </w:rPr>
        <w:t>o</w:t>
      </w:r>
      <w:r w:rsidR="00951783" w:rsidRPr="00A27D8A">
        <w:rPr>
          <w:lang w:val="fr-CA"/>
        </w:rPr>
        <w:t>ption </w:t>
      </w:r>
      <w:r w:rsidR="00B8237C" w:rsidRPr="00A27D8A">
        <w:rPr>
          <w:lang w:val="fr-CA"/>
        </w:rPr>
        <w:t>2</w:t>
      </w:r>
      <w:r w:rsidR="00A27D8A" w:rsidRPr="00A27D8A">
        <w:rPr>
          <w:lang w:val="fr-CA"/>
        </w:rPr>
        <w:t>, qui prévoit la création</w:t>
      </w:r>
      <w:r w:rsidR="00951783" w:rsidRPr="00A27D8A">
        <w:rPr>
          <w:lang w:val="fr-CA"/>
        </w:rPr>
        <w:t xml:space="preserve"> </w:t>
      </w:r>
      <w:r w:rsidR="00A27D8A" w:rsidRPr="00A27D8A">
        <w:rPr>
          <w:lang w:val="fr-CA"/>
        </w:rPr>
        <w:t xml:space="preserve">d’un </w:t>
      </w:r>
      <w:r w:rsidR="00951783" w:rsidRPr="00A27D8A">
        <w:rPr>
          <w:lang w:val="fr-CA"/>
        </w:rPr>
        <w:t xml:space="preserve">secrétariat </w:t>
      </w:r>
      <w:r w:rsidR="00A27D8A" w:rsidRPr="00A27D8A">
        <w:rPr>
          <w:lang w:val="fr-CA"/>
        </w:rPr>
        <w:t>indépendant pour</w:t>
      </w:r>
      <w:r w:rsidR="00951783" w:rsidRPr="00A27D8A">
        <w:rPr>
          <w:lang w:val="fr-CA"/>
        </w:rPr>
        <w:t xml:space="preserve"> la Convention de Minamata, il n’y aurait pas de contribution du pays hôte</w:t>
      </w:r>
      <w:r w:rsidR="006F08B2" w:rsidRPr="00A27D8A">
        <w:rPr>
          <w:lang w:val="fr-CA"/>
        </w:rPr>
        <w:t>.</w:t>
      </w:r>
      <w:r w:rsidR="00E64E80" w:rsidRPr="00A27D8A">
        <w:rPr>
          <w:lang w:val="fr-CA"/>
        </w:rPr>
        <w:t xml:space="preserve"> </w:t>
      </w:r>
      <w:r w:rsidR="00A27D8A" w:rsidRPr="00A27D8A">
        <w:rPr>
          <w:lang w:val="fr-CA"/>
        </w:rPr>
        <w:t>U</w:t>
      </w:r>
      <w:r w:rsidR="00E64E80" w:rsidRPr="00A27D8A">
        <w:rPr>
          <w:lang w:val="fr-CA"/>
        </w:rPr>
        <w:t xml:space="preserve">ne contribution ponctuelle du Gouvernement suisse </w:t>
      </w:r>
      <w:r w:rsidR="00A27D8A" w:rsidRPr="00A27D8A">
        <w:rPr>
          <w:lang w:val="fr-CA"/>
        </w:rPr>
        <w:t>se montant à</w:t>
      </w:r>
      <w:r w:rsidR="00E64E80" w:rsidRPr="00A27D8A">
        <w:rPr>
          <w:lang w:val="fr-CA"/>
        </w:rPr>
        <w:t xml:space="preserve"> 100 </w:t>
      </w:r>
      <w:r w:rsidR="00C07931" w:rsidRPr="00A27D8A">
        <w:rPr>
          <w:lang w:val="fr-CA"/>
        </w:rPr>
        <w:t>000</w:t>
      </w:r>
      <w:r w:rsidR="00A159E0" w:rsidRPr="00A27D8A">
        <w:rPr>
          <w:lang w:val="fr-CA"/>
        </w:rPr>
        <w:t> </w:t>
      </w:r>
      <w:r w:rsidR="00E64E80" w:rsidRPr="00A27D8A">
        <w:rPr>
          <w:lang w:val="fr-CA"/>
        </w:rPr>
        <w:t xml:space="preserve">francs suisses pour les coûts liés aux infrastructures conjointes serait fournie pour toutes les options </w:t>
      </w:r>
      <w:r w:rsidR="00A27D8A" w:rsidRPr="00A27D8A">
        <w:rPr>
          <w:lang w:val="fr-CA"/>
        </w:rPr>
        <w:t>d’implantation du</w:t>
      </w:r>
      <w:r w:rsidR="00E64E80" w:rsidRPr="00A27D8A">
        <w:rPr>
          <w:lang w:val="fr-CA"/>
        </w:rPr>
        <w:t xml:space="preserve"> secrétariat à Genève.</w:t>
      </w:r>
    </w:p>
    <w:p w14:paraId="749DC7D3" w14:textId="5E96D570" w:rsidR="005642B6" w:rsidRPr="00A27D8A" w:rsidRDefault="00065928" w:rsidP="0057111C">
      <w:pPr>
        <w:pStyle w:val="CH1"/>
        <w:ind w:left="0" w:firstLine="0"/>
        <w:rPr>
          <w:lang w:val="fr-CA"/>
        </w:rPr>
      </w:pPr>
      <w:r w:rsidRPr="00A27D8A">
        <w:rPr>
          <w:lang w:val="fr-CA"/>
        </w:rPr>
        <w:tab/>
      </w:r>
      <w:r w:rsidR="005642B6" w:rsidRPr="00A27D8A">
        <w:rPr>
          <w:lang w:val="fr-CA"/>
        </w:rPr>
        <w:t>II.</w:t>
      </w:r>
      <w:r w:rsidR="005642B6" w:rsidRPr="00A27D8A">
        <w:rPr>
          <w:lang w:val="fr-CA"/>
        </w:rPr>
        <w:tab/>
      </w:r>
      <w:r w:rsidR="00E64E80" w:rsidRPr="00A27D8A">
        <w:rPr>
          <w:lang w:val="fr-CA"/>
        </w:rPr>
        <w:t>Mise en œuvre</w:t>
      </w:r>
    </w:p>
    <w:p w14:paraId="7CD7E17E" w14:textId="48FB9B14" w:rsidR="005642B6" w:rsidRPr="00A27D8A" w:rsidRDefault="005642B6" w:rsidP="00A413C1">
      <w:pPr>
        <w:pStyle w:val="CH2"/>
        <w:rPr>
          <w:lang w:val="fr-CA"/>
        </w:rPr>
      </w:pPr>
      <w:r w:rsidRPr="00A27D8A">
        <w:rPr>
          <w:lang w:val="fr-CA"/>
        </w:rPr>
        <w:tab/>
        <w:t>A.</w:t>
      </w:r>
      <w:r w:rsidRPr="00A27D8A">
        <w:rPr>
          <w:lang w:val="fr-CA"/>
        </w:rPr>
        <w:tab/>
      </w:r>
      <w:r w:rsidR="00E64E80" w:rsidRPr="00A27D8A">
        <w:rPr>
          <w:lang w:val="fr-CA"/>
        </w:rPr>
        <w:t xml:space="preserve">Vue d’ensemble du projet de programme de travail et de budget </w:t>
      </w:r>
      <w:r w:rsidR="00A159E0" w:rsidRPr="00A27D8A">
        <w:rPr>
          <w:lang w:val="fr-CA"/>
        </w:rPr>
        <w:br/>
      </w:r>
      <w:r w:rsidR="00E64E80" w:rsidRPr="00A27D8A">
        <w:rPr>
          <w:lang w:val="fr-CA"/>
        </w:rPr>
        <w:t>pour la période 2018–2019</w:t>
      </w:r>
    </w:p>
    <w:p w14:paraId="49958006" w14:textId="4195ACBB" w:rsidR="00E278EE" w:rsidRPr="00A27D8A" w:rsidRDefault="00E64E80" w:rsidP="00C03273">
      <w:pPr>
        <w:pStyle w:val="Normalnumber"/>
        <w:ind w:left="1247" w:firstLine="0"/>
        <w:rPr>
          <w:lang w:val="fr-CA"/>
        </w:rPr>
      </w:pPr>
      <w:r w:rsidRPr="00A27D8A">
        <w:rPr>
          <w:lang w:val="fr-CA"/>
        </w:rPr>
        <w:t>Le projet de programme de travail et de budget</w:t>
      </w:r>
      <w:r w:rsidR="00B56C4B" w:rsidRPr="00A27D8A">
        <w:rPr>
          <w:lang w:val="fr-CA"/>
        </w:rPr>
        <w:t xml:space="preserve"> pour le secrétariat de la Convention de Minamata est fondé sur la meilleure évaluation réalisée par le secrétariat provisoire concernant les activités et les ressources qui seront nécessaires pour appuyer </w:t>
      </w:r>
      <w:r w:rsidR="00CB00F2" w:rsidRPr="00A27D8A">
        <w:rPr>
          <w:lang w:val="fr-CA"/>
        </w:rPr>
        <w:t>la mise en œuvre</w:t>
      </w:r>
      <w:r w:rsidR="00B56C4B" w:rsidRPr="00A27D8A">
        <w:rPr>
          <w:lang w:val="fr-CA"/>
        </w:rPr>
        <w:t xml:space="preserve"> de la Convention durant l’exercice biennal </w:t>
      </w:r>
      <w:r w:rsidR="00E278EE" w:rsidRPr="00A27D8A">
        <w:rPr>
          <w:lang w:val="fr-CA"/>
        </w:rPr>
        <w:t>2018</w:t>
      </w:r>
      <w:r w:rsidR="00072BF1" w:rsidRPr="00A27D8A">
        <w:rPr>
          <w:lang w:val="fr-CA"/>
        </w:rPr>
        <w:t>–</w:t>
      </w:r>
      <w:r w:rsidR="00E278EE" w:rsidRPr="00A27D8A">
        <w:rPr>
          <w:lang w:val="fr-CA"/>
        </w:rPr>
        <w:t xml:space="preserve">2019. </w:t>
      </w:r>
    </w:p>
    <w:p w14:paraId="3947BB16" w14:textId="11D4BE78" w:rsidR="00285A5C" w:rsidRPr="00A27D8A" w:rsidRDefault="00B56C4B" w:rsidP="00C03273">
      <w:pPr>
        <w:pStyle w:val="Normalnumber"/>
        <w:ind w:left="1247" w:firstLine="0"/>
        <w:rPr>
          <w:lang w:val="fr-CA"/>
        </w:rPr>
      </w:pPr>
      <w:r w:rsidRPr="00A27D8A">
        <w:rPr>
          <w:lang w:val="fr-CA"/>
        </w:rPr>
        <w:t>Dans la mesure où il s’agit du premier programme de travail du secrétariat de la Convention, il conviendrait de noter que, si toutes les activités proposées dans le programme de travail sont nouvelles, le programme s’appuie sur l’expérience acquise par le secrétariat provisoire depuis 2010,</w:t>
      </w:r>
      <w:r w:rsidR="00285A5C" w:rsidRPr="00A27D8A">
        <w:rPr>
          <w:lang w:val="fr-CA"/>
        </w:rPr>
        <w:t xml:space="preserve"> </w:t>
      </w:r>
      <w:r w:rsidRPr="00A27D8A">
        <w:rPr>
          <w:lang w:val="fr-CA"/>
        </w:rPr>
        <w:t>à savoir notamment </w:t>
      </w:r>
      <w:r w:rsidR="00285A5C" w:rsidRPr="00A27D8A">
        <w:rPr>
          <w:lang w:val="fr-CA"/>
        </w:rPr>
        <w:t xml:space="preserve">: </w:t>
      </w:r>
    </w:p>
    <w:p w14:paraId="2B100373" w14:textId="34A1A4B3" w:rsidR="005642B6" w:rsidRPr="00A27D8A" w:rsidRDefault="00F812E3" w:rsidP="00B56C4B">
      <w:pPr>
        <w:pStyle w:val="Normalnumber"/>
        <w:numPr>
          <w:ilvl w:val="0"/>
          <w:numId w:val="77"/>
        </w:numPr>
        <w:ind w:left="1276" w:firstLine="567"/>
        <w:rPr>
          <w:lang w:val="fr-CA"/>
        </w:rPr>
      </w:pPr>
      <w:r w:rsidRPr="00A27D8A">
        <w:rPr>
          <w:lang w:val="fr-CA"/>
        </w:rPr>
        <w:t>Avoir organisé</w:t>
      </w:r>
      <w:r w:rsidR="000A4BAB" w:rsidRPr="00A27D8A">
        <w:rPr>
          <w:lang w:val="fr-CA"/>
        </w:rPr>
        <w:t xml:space="preserve"> sept réunions du Comité de négociation intergouvernemental, les</w:t>
      </w:r>
      <w:r w:rsidR="00726AD6">
        <w:rPr>
          <w:lang w:val="fr-CA"/>
        </w:rPr>
        <w:t> </w:t>
      </w:r>
      <w:r w:rsidR="000A4BAB" w:rsidRPr="00A27D8A">
        <w:rPr>
          <w:lang w:val="fr-CA"/>
        </w:rPr>
        <w:t>réunions du Bureau du Comité, plusieurs réunions intersessions et, plus récemment, la première</w:t>
      </w:r>
      <w:r w:rsidR="00726AD6">
        <w:rPr>
          <w:lang w:val="fr-CA"/>
        </w:rPr>
        <w:t> </w:t>
      </w:r>
      <w:r w:rsidR="000A4BAB" w:rsidRPr="00A27D8A">
        <w:rPr>
          <w:lang w:val="fr-CA"/>
        </w:rPr>
        <w:t xml:space="preserve">réunion de la Conférence des Parties, ainsi que des réunions régionales </w:t>
      </w:r>
      <w:proofErr w:type="gramStart"/>
      <w:r w:rsidR="000A4BAB" w:rsidRPr="00A27D8A">
        <w:rPr>
          <w:lang w:val="fr-CA"/>
        </w:rPr>
        <w:t>préparatoires</w:t>
      </w:r>
      <w:r w:rsidR="000E62F0" w:rsidRPr="00A27D8A">
        <w:rPr>
          <w:lang w:val="fr-CA"/>
        </w:rPr>
        <w:t>;</w:t>
      </w:r>
      <w:proofErr w:type="gramEnd"/>
      <w:r w:rsidR="005642B6" w:rsidRPr="00A27D8A">
        <w:rPr>
          <w:lang w:val="fr-CA"/>
        </w:rPr>
        <w:t xml:space="preserve"> </w:t>
      </w:r>
    </w:p>
    <w:p w14:paraId="47016BE4" w14:textId="67B715EE" w:rsidR="005642B6" w:rsidRPr="00A27D8A" w:rsidRDefault="000A4BAB" w:rsidP="00B56C4B">
      <w:pPr>
        <w:pStyle w:val="Normalnumber"/>
        <w:numPr>
          <w:ilvl w:val="0"/>
          <w:numId w:val="77"/>
        </w:numPr>
        <w:ind w:left="1276" w:firstLine="567"/>
        <w:rPr>
          <w:lang w:val="fr-CA"/>
        </w:rPr>
      </w:pPr>
      <w:r w:rsidRPr="00A27D8A">
        <w:rPr>
          <w:lang w:val="fr-CA"/>
        </w:rPr>
        <w:t xml:space="preserve">Avoir facilité et fourni, sur demande, une assistance aux États, en particulier aux pays en développement </w:t>
      </w:r>
      <w:r w:rsidR="00CB00F2" w:rsidRPr="00A27D8A">
        <w:rPr>
          <w:lang w:val="fr-CA"/>
        </w:rPr>
        <w:t>et aux pays</w:t>
      </w:r>
      <w:r w:rsidRPr="00A27D8A">
        <w:rPr>
          <w:lang w:val="fr-CA"/>
        </w:rPr>
        <w:t xml:space="preserve"> à économie en transition, afin d’appuyer la ratification et </w:t>
      </w:r>
      <w:r w:rsidR="00CB00F2" w:rsidRPr="00A27D8A">
        <w:rPr>
          <w:lang w:val="fr-CA"/>
        </w:rPr>
        <w:t xml:space="preserve">la mise en œuvre rapide de la Convention de </w:t>
      </w:r>
      <w:proofErr w:type="gramStart"/>
      <w:r w:rsidR="00CB00F2" w:rsidRPr="00A27D8A">
        <w:rPr>
          <w:lang w:val="fr-CA"/>
        </w:rPr>
        <w:t>Minamata</w:t>
      </w:r>
      <w:r w:rsidR="0002540B" w:rsidRPr="00A27D8A">
        <w:rPr>
          <w:lang w:val="fr-CA"/>
        </w:rPr>
        <w:t>;</w:t>
      </w:r>
      <w:proofErr w:type="gramEnd"/>
    </w:p>
    <w:p w14:paraId="7103E02D" w14:textId="03C8ED29" w:rsidR="005F22CA" w:rsidRPr="00A27D8A" w:rsidRDefault="00CB00F2" w:rsidP="00B56C4B">
      <w:pPr>
        <w:pStyle w:val="Normalnumber"/>
        <w:numPr>
          <w:ilvl w:val="0"/>
          <w:numId w:val="77"/>
        </w:numPr>
        <w:ind w:left="1276" w:firstLine="567"/>
        <w:rPr>
          <w:lang w:val="fr-CA"/>
        </w:rPr>
      </w:pPr>
      <w:r w:rsidRPr="00A27D8A">
        <w:rPr>
          <w:lang w:val="fr-CA"/>
        </w:rPr>
        <w:t>Avoir assuré la coordination, si besoin</w:t>
      </w:r>
      <w:r w:rsidR="009F7211" w:rsidRPr="00A27D8A">
        <w:rPr>
          <w:lang w:val="fr-CA"/>
        </w:rPr>
        <w:t xml:space="preserve"> en</w:t>
      </w:r>
      <w:r w:rsidRPr="00A27D8A">
        <w:rPr>
          <w:lang w:val="fr-CA"/>
        </w:rPr>
        <w:t xml:space="preserve"> </w:t>
      </w:r>
      <w:r w:rsidR="009F7211" w:rsidRPr="00A27D8A">
        <w:rPr>
          <w:lang w:val="fr-CA"/>
        </w:rPr>
        <w:t>était</w:t>
      </w:r>
      <w:r w:rsidRPr="00A27D8A">
        <w:rPr>
          <w:lang w:val="fr-CA"/>
        </w:rPr>
        <w:t xml:space="preserve">, avec les secrétariats d’organismes internationaux compétents, en particulier avec ceux d’autres conventions sur les produits chimiques et les </w:t>
      </w:r>
      <w:proofErr w:type="gramStart"/>
      <w:r w:rsidRPr="00A27D8A">
        <w:rPr>
          <w:lang w:val="fr-CA"/>
        </w:rPr>
        <w:t>déchets</w:t>
      </w:r>
      <w:r w:rsidR="0002540B" w:rsidRPr="00A27D8A">
        <w:rPr>
          <w:lang w:val="fr-CA"/>
        </w:rPr>
        <w:t>;</w:t>
      </w:r>
      <w:proofErr w:type="gramEnd"/>
    </w:p>
    <w:p w14:paraId="0B7E9B33" w14:textId="17E43694" w:rsidR="005642B6" w:rsidRPr="00A27D8A" w:rsidRDefault="00CC5525" w:rsidP="00B56C4B">
      <w:pPr>
        <w:pStyle w:val="Normalnumber"/>
        <w:numPr>
          <w:ilvl w:val="0"/>
          <w:numId w:val="77"/>
        </w:numPr>
        <w:ind w:left="1276" w:firstLine="567"/>
        <w:rPr>
          <w:lang w:val="fr-CA"/>
        </w:rPr>
      </w:pPr>
      <w:r w:rsidRPr="00A27D8A">
        <w:rPr>
          <w:lang w:val="fr-CA"/>
        </w:rPr>
        <w:t xml:space="preserve">Avoir conclu, </w:t>
      </w:r>
      <w:r w:rsidR="002C52B4" w:rsidRPr="00A27D8A">
        <w:rPr>
          <w:lang w:val="fr-CA"/>
        </w:rPr>
        <w:t>dans le cadre général des compétences déléguées par le Directeur</w:t>
      </w:r>
      <w:r w:rsidR="00726AD6">
        <w:rPr>
          <w:lang w:val="fr-CA"/>
        </w:rPr>
        <w:t> </w:t>
      </w:r>
      <w:r w:rsidR="002C52B4" w:rsidRPr="00A27D8A">
        <w:rPr>
          <w:lang w:val="fr-CA"/>
        </w:rPr>
        <w:t>exécutif du PNUE, l</w:t>
      </w:r>
      <w:r w:rsidRPr="00A27D8A">
        <w:rPr>
          <w:lang w:val="fr-CA"/>
        </w:rPr>
        <w:t>es arrangements administratifs et contractuels nécessaires pour</w:t>
      </w:r>
      <w:r w:rsidR="00726AD6">
        <w:rPr>
          <w:lang w:val="fr-CA"/>
        </w:rPr>
        <w:t> </w:t>
      </w:r>
      <w:r w:rsidRPr="00A27D8A">
        <w:rPr>
          <w:lang w:val="fr-CA"/>
        </w:rPr>
        <w:t xml:space="preserve">s’acquitter efficacement </w:t>
      </w:r>
      <w:r w:rsidR="002C52B4" w:rsidRPr="00A27D8A">
        <w:rPr>
          <w:lang w:val="fr-CA"/>
        </w:rPr>
        <w:t>des</w:t>
      </w:r>
      <w:r w:rsidRPr="00A27D8A">
        <w:rPr>
          <w:lang w:val="fr-CA"/>
        </w:rPr>
        <w:t xml:space="preserve"> fonctions</w:t>
      </w:r>
      <w:r w:rsidR="002C52B4" w:rsidRPr="00A27D8A">
        <w:rPr>
          <w:lang w:val="fr-CA"/>
        </w:rPr>
        <w:t xml:space="preserve"> </w:t>
      </w:r>
      <w:proofErr w:type="gramStart"/>
      <w:r w:rsidR="002C52B4" w:rsidRPr="00A27D8A">
        <w:rPr>
          <w:lang w:val="fr-CA"/>
        </w:rPr>
        <w:t>susmentionnées</w:t>
      </w:r>
      <w:r w:rsidR="0002540B" w:rsidRPr="00A27D8A">
        <w:rPr>
          <w:lang w:val="fr-CA"/>
        </w:rPr>
        <w:t>;</w:t>
      </w:r>
      <w:proofErr w:type="gramEnd"/>
      <w:r w:rsidR="008162A1" w:rsidRPr="00A27D8A">
        <w:rPr>
          <w:lang w:val="fr-CA"/>
        </w:rPr>
        <w:t xml:space="preserve"> </w:t>
      </w:r>
    </w:p>
    <w:p w14:paraId="352DE795" w14:textId="0AFD9B3A" w:rsidR="008162A1" w:rsidRPr="00A27D8A" w:rsidRDefault="00761E3D" w:rsidP="00B56C4B">
      <w:pPr>
        <w:pStyle w:val="Normalnumber"/>
        <w:numPr>
          <w:ilvl w:val="0"/>
          <w:numId w:val="77"/>
        </w:numPr>
        <w:ind w:left="1276" w:firstLine="567"/>
        <w:rPr>
          <w:lang w:val="fr-CA"/>
        </w:rPr>
      </w:pPr>
      <w:r w:rsidRPr="00A27D8A">
        <w:rPr>
          <w:lang w:val="fr-CA"/>
        </w:rPr>
        <w:t>Avoir fourni une expertise scientifique et technique pour appuyer et étayer l’élaboration d’orientations, notamment concernant les meilleures techniques disponibles et pratiques environnementales</w:t>
      </w:r>
      <w:r w:rsidR="005A0730" w:rsidRPr="00A27D8A">
        <w:rPr>
          <w:lang w:val="fr-CA"/>
        </w:rPr>
        <w:t>,</w:t>
      </w:r>
      <w:r w:rsidRPr="00A27D8A">
        <w:rPr>
          <w:lang w:val="fr-CA"/>
        </w:rPr>
        <w:t xml:space="preserve"> durant les travaux du Comité de négociation intergouvernemental</w:t>
      </w:r>
      <w:r w:rsidR="005A0730" w:rsidRPr="00A27D8A">
        <w:rPr>
          <w:lang w:val="fr-CA"/>
        </w:rPr>
        <w:t>.</w:t>
      </w:r>
      <w:r w:rsidRPr="00A27D8A">
        <w:rPr>
          <w:lang w:val="fr-CA"/>
        </w:rPr>
        <w:t xml:space="preserve"> Ces orientations seront présentées pour adoption à la première réunion de la Conférence</w:t>
      </w:r>
      <w:r w:rsidR="005A0730" w:rsidRPr="00A27D8A">
        <w:rPr>
          <w:lang w:val="fr-CA"/>
        </w:rPr>
        <w:t>.</w:t>
      </w:r>
    </w:p>
    <w:p w14:paraId="45A473FA" w14:textId="046EE449" w:rsidR="00C027AC" w:rsidRPr="00A27D8A" w:rsidRDefault="008E6DFF" w:rsidP="00542FF9">
      <w:pPr>
        <w:pStyle w:val="Normalnumber"/>
        <w:tabs>
          <w:tab w:val="clear" w:pos="624"/>
          <w:tab w:val="left" w:pos="1701"/>
        </w:tabs>
        <w:ind w:left="1247" w:hanging="1"/>
        <w:rPr>
          <w:lang w:val="fr-CA"/>
        </w:rPr>
      </w:pPr>
      <w:r w:rsidRPr="00A27D8A">
        <w:rPr>
          <w:lang w:val="fr-CA"/>
        </w:rPr>
        <w:t>Les activités proposées dans le programme de travail sont également fondées sur l’évaluation réalisée par le secrétariat provisoire concernant les activités et les ressources nécessaires pour</w:t>
      </w:r>
      <w:r w:rsidR="00587778" w:rsidRPr="00A27D8A">
        <w:rPr>
          <w:lang w:val="fr-CA"/>
        </w:rPr>
        <w:t xml:space="preserve"> </w:t>
      </w:r>
      <w:r w:rsidR="00C75894" w:rsidRPr="00A27D8A">
        <w:rPr>
          <w:lang w:val="fr-CA"/>
        </w:rPr>
        <w:t xml:space="preserve">faire avancer et régler </w:t>
      </w:r>
      <w:r w:rsidR="00BC41BA" w:rsidRPr="00A27D8A">
        <w:rPr>
          <w:lang w:val="fr-CA"/>
        </w:rPr>
        <w:t>les questions appelant une décision avant</w:t>
      </w:r>
      <w:r w:rsidR="00C75894" w:rsidRPr="00A27D8A">
        <w:rPr>
          <w:lang w:val="fr-CA"/>
        </w:rPr>
        <w:t xml:space="preserve"> les deuxième et troisième réunions de la Conférence</w:t>
      </w:r>
      <w:r w:rsidR="00B0362A" w:rsidRPr="00A27D8A">
        <w:rPr>
          <w:lang w:val="fr-CA"/>
        </w:rPr>
        <w:t xml:space="preserve"> des Parties</w:t>
      </w:r>
      <w:r w:rsidR="00C75894" w:rsidRPr="00A27D8A">
        <w:rPr>
          <w:lang w:val="fr-CA"/>
        </w:rPr>
        <w:t xml:space="preserve">, </w:t>
      </w:r>
      <w:r w:rsidR="00CB40E2" w:rsidRPr="00A27D8A">
        <w:rPr>
          <w:lang w:val="fr-CA"/>
        </w:rPr>
        <w:t>conformément à</w:t>
      </w:r>
      <w:r w:rsidR="00C75894" w:rsidRPr="00A27D8A">
        <w:rPr>
          <w:lang w:val="fr-CA"/>
        </w:rPr>
        <w:t xml:space="preserve"> la Convention de Minamata et </w:t>
      </w:r>
      <w:r w:rsidR="00CB40E2" w:rsidRPr="00A27D8A">
        <w:rPr>
          <w:lang w:val="fr-CA"/>
        </w:rPr>
        <w:t xml:space="preserve">à </w:t>
      </w:r>
      <w:r w:rsidR="00C75894" w:rsidRPr="00A27D8A">
        <w:rPr>
          <w:lang w:val="fr-CA"/>
        </w:rPr>
        <w:t xml:space="preserve">l’Acte final, ainsi que les </w:t>
      </w:r>
      <w:r w:rsidR="00C75894" w:rsidRPr="00A27D8A">
        <w:rPr>
          <w:lang w:val="fr-CA"/>
        </w:rPr>
        <w:lastRenderedPageBreak/>
        <w:t xml:space="preserve">activités qui doivent être entreprises pour </w:t>
      </w:r>
      <w:r w:rsidR="009479DA" w:rsidRPr="00A27D8A">
        <w:rPr>
          <w:lang w:val="fr-CA"/>
        </w:rPr>
        <w:t>soutenir</w:t>
      </w:r>
      <w:r w:rsidR="00C75894" w:rsidRPr="00A27D8A">
        <w:rPr>
          <w:lang w:val="fr-CA"/>
        </w:rPr>
        <w:t xml:space="preserve"> la mise en œuvre de la Convention au cours de l’</w:t>
      </w:r>
      <w:r w:rsidR="009479DA" w:rsidRPr="00A27D8A">
        <w:rPr>
          <w:lang w:val="fr-CA"/>
        </w:rPr>
        <w:t>exercice biennal 2018-2019</w:t>
      </w:r>
      <w:r w:rsidR="00BC09DB" w:rsidRPr="00A27D8A">
        <w:rPr>
          <w:lang w:val="fr-CA"/>
        </w:rPr>
        <w:t>.</w:t>
      </w:r>
      <w:r w:rsidR="004661C0" w:rsidRPr="00A27D8A">
        <w:rPr>
          <w:lang w:val="fr-CA"/>
        </w:rPr>
        <w:t xml:space="preserve"> </w:t>
      </w:r>
    </w:p>
    <w:p w14:paraId="07D5B4F6" w14:textId="0607ED53" w:rsidR="00336272" w:rsidRPr="00A27D8A" w:rsidRDefault="009479DA" w:rsidP="00C03273">
      <w:pPr>
        <w:pStyle w:val="Normalnumber"/>
        <w:ind w:left="1247" w:firstLine="0"/>
        <w:rPr>
          <w:lang w:val="fr-CA"/>
        </w:rPr>
      </w:pPr>
      <w:r w:rsidRPr="00A27D8A">
        <w:rPr>
          <w:lang w:val="fr-CA"/>
        </w:rPr>
        <w:t xml:space="preserve">Le projet de programme de travail s’appuie également sur les expériences et les enseignements acquis par le </w:t>
      </w:r>
      <w:r w:rsidR="0033041F" w:rsidRPr="00A27D8A">
        <w:rPr>
          <w:lang w:val="fr-CA"/>
        </w:rPr>
        <w:t>S</w:t>
      </w:r>
      <w:r w:rsidRPr="00A27D8A">
        <w:rPr>
          <w:lang w:val="fr-CA"/>
        </w:rPr>
        <w:t xml:space="preserve">ecrétariat des conventions de Bâle, de </w:t>
      </w:r>
      <w:r w:rsidR="00D85155" w:rsidRPr="00A27D8A">
        <w:rPr>
          <w:lang w:val="fr-CA"/>
        </w:rPr>
        <w:t xml:space="preserve">Rotterdam </w:t>
      </w:r>
      <w:r w:rsidRPr="00A27D8A">
        <w:rPr>
          <w:lang w:val="fr-CA"/>
        </w:rPr>
        <w:t>et de</w:t>
      </w:r>
      <w:r w:rsidR="00D85155" w:rsidRPr="00A27D8A">
        <w:rPr>
          <w:lang w:val="fr-CA"/>
        </w:rPr>
        <w:t xml:space="preserve"> Stockholm</w:t>
      </w:r>
      <w:r w:rsidR="001117B9" w:rsidRPr="00A27D8A">
        <w:rPr>
          <w:lang w:val="fr-CA"/>
        </w:rPr>
        <w:t>,</w:t>
      </w:r>
      <w:r w:rsidRPr="00A27D8A">
        <w:rPr>
          <w:lang w:val="fr-CA"/>
        </w:rPr>
        <w:t xml:space="preserve"> notamment sur le plan</w:t>
      </w:r>
      <w:r w:rsidR="00506520" w:rsidRPr="00A27D8A">
        <w:rPr>
          <w:lang w:val="fr-CA"/>
        </w:rPr>
        <w:t xml:space="preserve"> de la transposition des estimations de coûts et de l’examen du temps nécessaire pour mettre en œuvre les activités</w:t>
      </w:r>
      <w:r w:rsidR="00D85155" w:rsidRPr="00A27D8A">
        <w:rPr>
          <w:lang w:val="fr-CA"/>
        </w:rPr>
        <w:t xml:space="preserve">. </w:t>
      </w:r>
    </w:p>
    <w:p w14:paraId="3F0EB12D" w14:textId="70A3B7AA" w:rsidR="00510281" w:rsidRPr="00A27D8A" w:rsidRDefault="00EA03DB" w:rsidP="00C03273">
      <w:pPr>
        <w:pStyle w:val="Normalnumber"/>
        <w:ind w:left="1247" w:firstLine="0"/>
        <w:rPr>
          <w:lang w:val="fr-CA"/>
        </w:rPr>
      </w:pPr>
      <w:r w:rsidRPr="00A27D8A">
        <w:rPr>
          <w:lang w:val="fr-CA"/>
        </w:rPr>
        <w:t xml:space="preserve">Le projet de programme de travail et de budget pour l’exercice biennal </w:t>
      </w:r>
      <w:r w:rsidR="00510281" w:rsidRPr="00A27D8A">
        <w:rPr>
          <w:lang w:val="fr-CA"/>
        </w:rPr>
        <w:t>2018–2019</w:t>
      </w:r>
      <w:r w:rsidRPr="00A27D8A">
        <w:rPr>
          <w:lang w:val="fr-CA"/>
        </w:rPr>
        <w:t xml:space="preserve"> prévoit que le secrétariat permanent appuie et facilite la mise en œuvre de la Convention par les Parties ainsi que des décisions de la Conférence</w:t>
      </w:r>
      <w:r w:rsidR="001A0AE1" w:rsidRPr="00A27D8A">
        <w:rPr>
          <w:lang w:val="fr-CA"/>
        </w:rPr>
        <w:t xml:space="preserve">. </w:t>
      </w:r>
      <w:r w:rsidRPr="00A27D8A">
        <w:rPr>
          <w:lang w:val="fr-CA"/>
        </w:rPr>
        <w:t>Parmi les activités proposées figurent les suivantes </w:t>
      </w:r>
      <w:r w:rsidR="005C46B8" w:rsidRPr="00A27D8A">
        <w:rPr>
          <w:lang w:val="fr-CA"/>
        </w:rPr>
        <w:t>:</w:t>
      </w:r>
    </w:p>
    <w:p w14:paraId="31AFD7C7" w14:textId="24745C61" w:rsidR="00510281" w:rsidRPr="00A27D8A" w:rsidRDefault="00F21952" w:rsidP="00C711E3">
      <w:pPr>
        <w:pStyle w:val="Normalnumber"/>
        <w:numPr>
          <w:ilvl w:val="0"/>
          <w:numId w:val="0"/>
        </w:numPr>
        <w:tabs>
          <w:tab w:val="clear" w:pos="624"/>
          <w:tab w:val="left" w:pos="2250"/>
        </w:tabs>
        <w:ind w:left="1260" w:firstLine="448"/>
        <w:rPr>
          <w:lang w:val="fr-CA"/>
        </w:rPr>
      </w:pPr>
      <w:r w:rsidRPr="00A27D8A">
        <w:rPr>
          <w:lang w:val="fr-CA"/>
        </w:rPr>
        <w:t>a)</w:t>
      </w:r>
      <w:r w:rsidRPr="00A27D8A">
        <w:rPr>
          <w:lang w:val="fr-CA"/>
        </w:rPr>
        <w:tab/>
      </w:r>
      <w:r w:rsidR="00EA03DB" w:rsidRPr="00A27D8A">
        <w:rPr>
          <w:lang w:val="fr-CA"/>
        </w:rPr>
        <w:t>Organiser les réunions de la Conférence</w:t>
      </w:r>
      <w:r w:rsidR="00B0362A" w:rsidRPr="00A27D8A">
        <w:rPr>
          <w:lang w:val="fr-CA"/>
        </w:rPr>
        <w:t xml:space="preserve"> des Parties</w:t>
      </w:r>
      <w:r w:rsidR="00EA03DB" w:rsidRPr="00A27D8A">
        <w:rPr>
          <w:lang w:val="fr-CA"/>
        </w:rPr>
        <w:t xml:space="preserve"> et leur fournir les services </w:t>
      </w:r>
      <w:proofErr w:type="gramStart"/>
      <w:r w:rsidR="00EA03DB" w:rsidRPr="00A27D8A">
        <w:rPr>
          <w:lang w:val="fr-CA"/>
        </w:rPr>
        <w:t>requis</w:t>
      </w:r>
      <w:r w:rsidR="001A0AE1" w:rsidRPr="00A27D8A">
        <w:rPr>
          <w:lang w:val="fr-CA"/>
        </w:rPr>
        <w:t>;</w:t>
      </w:r>
      <w:proofErr w:type="gramEnd"/>
    </w:p>
    <w:p w14:paraId="41F5AB42" w14:textId="18CCB82A" w:rsidR="00510281" w:rsidRPr="00A27D8A" w:rsidRDefault="00F21952" w:rsidP="00C711E3">
      <w:pPr>
        <w:pStyle w:val="Normalnumber"/>
        <w:numPr>
          <w:ilvl w:val="0"/>
          <w:numId w:val="0"/>
        </w:numPr>
        <w:tabs>
          <w:tab w:val="clear" w:pos="624"/>
          <w:tab w:val="left" w:pos="2250"/>
        </w:tabs>
        <w:ind w:left="1260" w:firstLine="448"/>
        <w:rPr>
          <w:lang w:val="fr-CA"/>
        </w:rPr>
      </w:pPr>
      <w:r w:rsidRPr="00A27D8A">
        <w:rPr>
          <w:lang w:val="fr-CA"/>
        </w:rPr>
        <w:t>b)</w:t>
      </w:r>
      <w:r w:rsidRPr="00A27D8A">
        <w:rPr>
          <w:lang w:val="fr-CA"/>
        </w:rPr>
        <w:tab/>
      </w:r>
      <w:r w:rsidR="00616209" w:rsidRPr="00A27D8A">
        <w:rPr>
          <w:lang w:val="fr-CA"/>
        </w:rPr>
        <w:t xml:space="preserve">Faciliter l’octroi, sur demande, d’une assistance aux Parties, en particulier </w:t>
      </w:r>
      <w:r w:rsidR="0068258C">
        <w:rPr>
          <w:lang w:val="fr-CA"/>
        </w:rPr>
        <w:t>celles</w:t>
      </w:r>
      <w:r w:rsidR="00616209" w:rsidRPr="00A27D8A">
        <w:rPr>
          <w:lang w:val="fr-CA"/>
        </w:rPr>
        <w:t xml:space="preserve"> qui</w:t>
      </w:r>
      <w:r w:rsidR="00726AD6">
        <w:rPr>
          <w:lang w:val="fr-CA"/>
        </w:rPr>
        <w:t> </w:t>
      </w:r>
      <w:r w:rsidR="00616209" w:rsidRPr="00A27D8A">
        <w:rPr>
          <w:lang w:val="fr-CA"/>
        </w:rPr>
        <w:t>sont</w:t>
      </w:r>
      <w:r w:rsidR="00726AD6">
        <w:rPr>
          <w:lang w:val="fr-CA"/>
        </w:rPr>
        <w:t> </w:t>
      </w:r>
      <w:r w:rsidR="00616209" w:rsidRPr="00A27D8A">
        <w:rPr>
          <w:lang w:val="fr-CA"/>
        </w:rPr>
        <w:t>des pays en développement ou à économie en transition, aux fins de la mise en œuvre de la</w:t>
      </w:r>
      <w:r w:rsidR="00726AD6">
        <w:rPr>
          <w:lang w:val="fr-CA"/>
        </w:rPr>
        <w:t> </w:t>
      </w:r>
      <w:proofErr w:type="gramStart"/>
      <w:r w:rsidR="00616209" w:rsidRPr="00A27D8A">
        <w:rPr>
          <w:lang w:val="fr-CA"/>
        </w:rPr>
        <w:t>Convention</w:t>
      </w:r>
      <w:r w:rsidR="001A0AE1" w:rsidRPr="00A27D8A">
        <w:rPr>
          <w:lang w:val="fr-CA"/>
        </w:rPr>
        <w:t>;</w:t>
      </w:r>
      <w:proofErr w:type="gramEnd"/>
    </w:p>
    <w:p w14:paraId="08B7E523" w14:textId="4DDF60C9" w:rsidR="00510281" w:rsidRPr="00A27D8A" w:rsidRDefault="00F21952" w:rsidP="00C711E3">
      <w:pPr>
        <w:pStyle w:val="Normalnumber"/>
        <w:numPr>
          <w:ilvl w:val="0"/>
          <w:numId w:val="0"/>
        </w:numPr>
        <w:tabs>
          <w:tab w:val="clear" w:pos="624"/>
          <w:tab w:val="left" w:pos="2250"/>
        </w:tabs>
        <w:ind w:left="1260" w:firstLine="448"/>
        <w:rPr>
          <w:lang w:val="fr-CA"/>
        </w:rPr>
      </w:pPr>
      <w:r w:rsidRPr="00A27D8A">
        <w:rPr>
          <w:lang w:val="fr-CA"/>
        </w:rPr>
        <w:t>c)</w:t>
      </w:r>
      <w:r w:rsidRPr="00A27D8A">
        <w:rPr>
          <w:lang w:val="fr-CA"/>
        </w:rPr>
        <w:tab/>
      </w:r>
      <w:r w:rsidR="00616209" w:rsidRPr="00A27D8A">
        <w:rPr>
          <w:lang w:val="fr-CA"/>
        </w:rPr>
        <w:t xml:space="preserve">Assurer la coordination, si besoin est, avec les secrétariats d’organismes internationaux compétents, en particulier avec ceux de conventions sur les produits chimiques et les </w:t>
      </w:r>
      <w:proofErr w:type="gramStart"/>
      <w:r w:rsidR="00616209" w:rsidRPr="00A27D8A">
        <w:rPr>
          <w:lang w:val="fr-CA"/>
        </w:rPr>
        <w:t>déchets</w:t>
      </w:r>
      <w:r w:rsidR="001A0AE1" w:rsidRPr="00A27D8A">
        <w:rPr>
          <w:lang w:val="fr-CA"/>
        </w:rPr>
        <w:t>;</w:t>
      </w:r>
      <w:proofErr w:type="gramEnd"/>
    </w:p>
    <w:p w14:paraId="11DE213F" w14:textId="67E362F0" w:rsidR="00510281" w:rsidRPr="00A27D8A" w:rsidRDefault="00F21952" w:rsidP="00C711E3">
      <w:pPr>
        <w:pStyle w:val="Normalnumber"/>
        <w:numPr>
          <w:ilvl w:val="0"/>
          <w:numId w:val="0"/>
        </w:numPr>
        <w:tabs>
          <w:tab w:val="clear" w:pos="624"/>
          <w:tab w:val="left" w:pos="2250"/>
        </w:tabs>
        <w:ind w:left="1260" w:firstLine="448"/>
        <w:rPr>
          <w:lang w:val="fr-CA"/>
        </w:rPr>
      </w:pPr>
      <w:r w:rsidRPr="00A27D8A">
        <w:rPr>
          <w:lang w:val="fr-CA"/>
        </w:rPr>
        <w:t>d)</w:t>
      </w:r>
      <w:r w:rsidRPr="00A27D8A">
        <w:rPr>
          <w:lang w:val="fr-CA"/>
        </w:rPr>
        <w:tab/>
      </w:r>
      <w:r w:rsidR="00616209" w:rsidRPr="00A27D8A">
        <w:rPr>
          <w:lang w:val="fr-CA"/>
        </w:rPr>
        <w:t xml:space="preserve">Soutenir les pays dans le cadre de l’échange d’informations concernant la mise en œuvre de la </w:t>
      </w:r>
      <w:proofErr w:type="gramStart"/>
      <w:r w:rsidR="00616209" w:rsidRPr="00A27D8A">
        <w:rPr>
          <w:lang w:val="fr-CA"/>
        </w:rPr>
        <w:t>Convention</w:t>
      </w:r>
      <w:r w:rsidR="001A0AE1" w:rsidRPr="00A27D8A">
        <w:rPr>
          <w:lang w:val="fr-CA"/>
        </w:rPr>
        <w:t>;</w:t>
      </w:r>
      <w:proofErr w:type="gramEnd"/>
    </w:p>
    <w:p w14:paraId="11AE23D7" w14:textId="47D07B06" w:rsidR="00510281" w:rsidRPr="00A27D8A" w:rsidRDefault="00F21952" w:rsidP="00C711E3">
      <w:pPr>
        <w:pStyle w:val="Normalnumber"/>
        <w:numPr>
          <w:ilvl w:val="0"/>
          <w:numId w:val="0"/>
        </w:numPr>
        <w:tabs>
          <w:tab w:val="clear" w:pos="624"/>
          <w:tab w:val="left" w:pos="2250"/>
        </w:tabs>
        <w:ind w:left="1260" w:firstLine="448"/>
        <w:rPr>
          <w:lang w:val="fr-CA"/>
        </w:rPr>
      </w:pPr>
      <w:r w:rsidRPr="00A27D8A">
        <w:rPr>
          <w:lang w:val="fr-CA"/>
        </w:rPr>
        <w:t>e)</w:t>
      </w:r>
      <w:r w:rsidRPr="00A27D8A">
        <w:rPr>
          <w:lang w:val="fr-CA"/>
        </w:rPr>
        <w:tab/>
      </w:r>
      <w:r w:rsidR="00616209" w:rsidRPr="00A27D8A">
        <w:rPr>
          <w:lang w:val="fr-CA"/>
        </w:rPr>
        <w:t xml:space="preserve">Établir et mettre à la disposition des Parties des rapports périodiques fondés sur les informations reçues en vertu des articles 15 et 21 ainsi que d’autres informations </w:t>
      </w:r>
      <w:proofErr w:type="gramStart"/>
      <w:r w:rsidR="00616209" w:rsidRPr="00A27D8A">
        <w:rPr>
          <w:lang w:val="fr-CA"/>
        </w:rPr>
        <w:t>disponibles</w:t>
      </w:r>
      <w:r w:rsidR="001A0AE1" w:rsidRPr="00A27D8A">
        <w:rPr>
          <w:lang w:val="fr-CA"/>
        </w:rPr>
        <w:t>;</w:t>
      </w:r>
      <w:proofErr w:type="gramEnd"/>
    </w:p>
    <w:p w14:paraId="60A19A30" w14:textId="12ACD492" w:rsidR="00510281" w:rsidRPr="00A27D8A" w:rsidRDefault="00F21952" w:rsidP="00C711E3">
      <w:pPr>
        <w:pStyle w:val="Normalnumber"/>
        <w:numPr>
          <w:ilvl w:val="0"/>
          <w:numId w:val="0"/>
        </w:numPr>
        <w:tabs>
          <w:tab w:val="clear" w:pos="624"/>
          <w:tab w:val="left" w:pos="2250"/>
        </w:tabs>
        <w:ind w:left="1260" w:firstLine="448"/>
        <w:rPr>
          <w:lang w:val="fr-CA"/>
        </w:rPr>
      </w:pPr>
      <w:r w:rsidRPr="00A27D8A">
        <w:rPr>
          <w:lang w:val="fr-CA"/>
        </w:rPr>
        <w:t>f)</w:t>
      </w:r>
      <w:r w:rsidRPr="00A27D8A">
        <w:rPr>
          <w:lang w:val="fr-CA"/>
        </w:rPr>
        <w:tab/>
      </w:r>
      <w:r w:rsidR="00616209" w:rsidRPr="00A27D8A">
        <w:rPr>
          <w:lang w:val="fr-CA"/>
        </w:rPr>
        <w:t>Conclure, sous la supervision générale de la Conférence</w:t>
      </w:r>
      <w:r w:rsidR="00B0362A" w:rsidRPr="00A27D8A">
        <w:rPr>
          <w:lang w:val="fr-CA"/>
        </w:rPr>
        <w:t xml:space="preserve"> des Parties</w:t>
      </w:r>
      <w:r w:rsidR="00616209" w:rsidRPr="00A27D8A">
        <w:rPr>
          <w:lang w:val="fr-CA"/>
        </w:rPr>
        <w:t xml:space="preserve">, les arrangements administratifs et contractuels qui pourraient lui être nécessaires pour s’acquitter efficacement de ses </w:t>
      </w:r>
      <w:proofErr w:type="gramStart"/>
      <w:r w:rsidR="00616209" w:rsidRPr="00A27D8A">
        <w:rPr>
          <w:lang w:val="fr-CA"/>
        </w:rPr>
        <w:t>fonctions</w:t>
      </w:r>
      <w:r w:rsidR="001A0AE1" w:rsidRPr="00A27D8A">
        <w:rPr>
          <w:lang w:val="fr-CA"/>
        </w:rPr>
        <w:t>;</w:t>
      </w:r>
      <w:proofErr w:type="gramEnd"/>
    </w:p>
    <w:p w14:paraId="355F8886" w14:textId="641B24F4" w:rsidR="005E577F" w:rsidRPr="00A27D8A" w:rsidRDefault="00F21952" w:rsidP="00C711E3">
      <w:pPr>
        <w:pStyle w:val="Normalnumber"/>
        <w:numPr>
          <w:ilvl w:val="0"/>
          <w:numId w:val="0"/>
        </w:numPr>
        <w:tabs>
          <w:tab w:val="clear" w:pos="624"/>
          <w:tab w:val="left" w:pos="2250"/>
        </w:tabs>
        <w:ind w:left="1260" w:firstLine="448"/>
        <w:rPr>
          <w:lang w:val="fr-CA"/>
        </w:rPr>
      </w:pPr>
      <w:r w:rsidRPr="00A27D8A">
        <w:rPr>
          <w:lang w:val="fr-CA"/>
        </w:rPr>
        <w:t>g)</w:t>
      </w:r>
      <w:r w:rsidRPr="00A27D8A">
        <w:rPr>
          <w:lang w:val="fr-CA"/>
        </w:rPr>
        <w:tab/>
      </w:r>
      <w:r w:rsidR="00616209" w:rsidRPr="00A27D8A">
        <w:rPr>
          <w:lang w:val="fr-CA"/>
        </w:rPr>
        <w:t>S’acquitter des autres fonctions de secrétariat spécifiées dans la Convention et de toute fonction qui pourrait lui être confiée par la Conférence</w:t>
      </w:r>
      <w:r w:rsidR="00510281" w:rsidRPr="00A27D8A">
        <w:rPr>
          <w:lang w:val="fr-CA"/>
        </w:rPr>
        <w:t xml:space="preserve">. </w:t>
      </w:r>
    </w:p>
    <w:p w14:paraId="2B76530A" w14:textId="40E7C0F3" w:rsidR="00827321" w:rsidRPr="00A27D8A" w:rsidRDefault="00616209" w:rsidP="00C03273">
      <w:pPr>
        <w:pStyle w:val="Normalnumber"/>
        <w:ind w:left="1247" w:firstLine="0"/>
        <w:rPr>
          <w:lang w:val="fr-CA"/>
        </w:rPr>
      </w:pPr>
      <w:r w:rsidRPr="00A27D8A">
        <w:rPr>
          <w:lang w:val="fr-CA"/>
        </w:rPr>
        <w:t>Le projet de programme de travail est structuré en sept</w:t>
      </w:r>
      <w:r w:rsidR="00216565" w:rsidRPr="00A27D8A">
        <w:rPr>
          <w:lang w:val="fr-CA"/>
        </w:rPr>
        <w:t xml:space="preserve"> rubriques fonctionnelles qui correspondent globalement aux fonctions du secrétariat, à savoir :</w:t>
      </w:r>
      <w:r w:rsidR="00827321" w:rsidRPr="00A27D8A">
        <w:rPr>
          <w:lang w:val="fr-CA"/>
        </w:rPr>
        <w:t xml:space="preserve"> </w:t>
      </w:r>
    </w:p>
    <w:p w14:paraId="755C7455" w14:textId="63E1443F" w:rsidR="00827321" w:rsidRPr="00A27D8A" w:rsidRDefault="00835746" w:rsidP="00C711E3">
      <w:pPr>
        <w:pStyle w:val="Normalnumber"/>
        <w:numPr>
          <w:ilvl w:val="0"/>
          <w:numId w:val="0"/>
        </w:numPr>
        <w:tabs>
          <w:tab w:val="clear" w:pos="624"/>
          <w:tab w:val="left" w:pos="2259"/>
        </w:tabs>
        <w:ind w:left="1260" w:firstLine="448"/>
        <w:rPr>
          <w:lang w:val="fr-CA"/>
        </w:rPr>
      </w:pPr>
      <w:r w:rsidRPr="00A27D8A">
        <w:rPr>
          <w:lang w:val="fr-CA"/>
        </w:rPr>
        <w:t>a)</w:t>
      </w:r>
      <w:r w:rsidRPr="00A27D8A">
        <w:rPr>
          <w:lang w:val="fr-CA"/>
        </w:rPr>
        <w:tab/>
      </w:r>
      <w:r w:rsidR="00216565" w:rsidRPr="00A27D8A">
        <w:rPr>
          <w:lang w:val="fr-CA"/>
        </w:rPr>
        <w:t xml:space="preserve">Conférences et </w:t>
      </w:r>
      <w:proofErr w:type="gramStart"/>
      <w:r w:rsidR="00216565" w:rsidRPr="00A27D8A">
        <w:rPr>
          <w:lang w:val="fr-CA"/>
        </w:rPr>
        <w:t>réunions</w:t>
      </w:r>
      <w:r w:rsidR="00827321" w:rsidRPr="00A27D8A">
        <w:rPr>
          <w:lang w:val="fr-CA"/>
        </w:rPr>
        <w:t>;</w:t>
      </w:r>
      <w:proofErr w:type="gramEnd"/>
    </w:p>
    <w:p w14:paraId="76E7C894" w14:textId="0FC913E6" w:rsidR="00827321" w:rsidRPr="00A27D8A" w:rsidRDefault="00835746" w:rsidP="00C711E3">
      <w:pPr>
        <w:pStyle w:val="Normalnumber"/>
        <w:numPr>
          <w:ilvl w:val="0"/>
          <w:numId w:val="0"/>
        </w:numPr>
        <w:tabs>
          <w:tab w:val="clear" w:pos="624"/>
          <w:tab w:val="left" w:pos="2259"/>
        </w:tabs>
        <w:ind w:left="1260" w:firstLine="448"/>
        <w:rPr>
          <w:lang w:val="fr-CA"/>
        </w:rPr>
      </w:pPr>
      <w:r w:rsidRPr="00A27D8A">
        <w:rPr>
          <w:lang w:val="fr-CA"/>
        </w:rPr>
        <w:t>b)</w:t>
      </w:r>
      <w:r w:rsidRPr="00A27D8A">
        <w:rPr>
          <w:lang w:val="fr-CA"/>
        </w:rPr>
        <w:tab/>
      </w:r>
      <w:r w:rsidR="00216565" w:rsidRPr="00A27D8A">
        <w:rPr>
          <w:lang w:val="fr-CA"/>
        </w:rPr>
        <w:t xml:space="preserve">Renforcement des capacités et assistance </w:t>
      </w:r>
      <w:proofErr w:type="gramStart"/>
      <w:r w:rsidR="00216565" w:rsidRPr="00A27D8A">
        <w:rPr>
          <w:lang w:val="fr-CA"/>
        </w:rPr>
        <w:t>technique</w:t>
      </w:r>
      <w:r w:rsidR="00827321" w:rsidRPr="00A27D8A">
        <w:rPr>
          <w:lang w:val="fr-CA"/>
        </w:rPr>
        <w:t>;</w:t>
      </w:r>
      <w:proofErr w:type="gramEnd"/>
    </w:p>
    <w:p w14:paraId="3506BE97" w14:textId="774B7C76" w:rsidR="00827321" w:rsidRPr="00A27D8A" w:rsidRDefault="00835746" w:rsidP="00C711E3">
      <w:pPr>
        <w:pStyle w:val="Normalnumber"/>
        <w:numPr>
          <w:ilvl w:val="0"/>
          <w:numId w:val="0"/>
        </w:numPr>
        <w:tabs>
          <w:tab w:val="clear" w:pos="624"/>
          <w:tab w:val="left" w:pos="2259"/>
        </w:tabs>
        <w:ind w:left="1260" w:firstLine="448"/>
        <w:rPr>
          <w:lang w:val="fr-CA"/>
        </w:rPr>
      </w:pPr>
      <w:r w:rsidRPr="00A27D8A">
        <w:rPr>
          <w:lang w:val="fr-CA"/>
        </w:rPr>
        <w:t>c)</w:t>
      </w:r>
      <w:r w:rsidRPr="00A27D8A">
        <w:rPr>
          <w:lang w:val="fr-CA"/>
        </w:rPr>
        <w:tab/>
      </w:r>
      <w:r w:rsidR="00216565" w:rsidRPr="00A27D8A">
        <w:rPr>
          <w:lang w:val="fr-CA"/>
        </w:rPr>
        <w:t xml:space="preserve">Activités scientifiques et </w:t>
      </w:r>
      <w:proofErr w:type="gramStart"/>
      <w:r w:rsidR="00216565" w:rsidRPr="00A27D8A">
        <w:rPr>
          <w:lang w:val="fr-CA"/>
        </w:rPr>
        <w:t>techniques</w:t>
      </w:r>
      <w:r w:rsidR="00827321" w:rsidRPr="00A27D8A">
        <w:rPr>
          <w:lang w:val="fr-CA"/>
        </w:rPr>
        <w:t>;</w:t>
      </w:r>
      <w:proofErr w:type="gramEnd"/>
    </w:p>
    <w:p w14:paraId="5ECA8530" w14:textId="1E2A3EE8" w:rsidR="00827321" w:rsidRPr="00A27D8A" w:rsidRDefault="00835746" w:rsidP="00C711E3">
      <w:pPr>
        <w:pStyle w:val="Normalnumber"/>
        <w:numPr>
          <w:ilvl w:val="0"/>
          <w:numId w:val="0"/>
        </w:numPr>
        <w:tabs>
          <w:tab w:val="clear" w:pos="624"/>
          <w:tab w:val="left" w:pos="2259"/>
        </w:tabs>
        <w:ind w:left="1260" w:firstLine="448"/>
        <w:rPr>
          <w:lang w:val="fr-CA"/>
        </w:rPr>
      </w:pPr>
      <w:r w:rsidRPr="00A27D8A">
        <w:rPr>
          <w:lang w:val="fr-CA"/>
        </w:rPr>
        <w:t>d)</w:t>
      </w:r>
      <w:r w:rsidRPr="00A27D8A">
        <w:rPr>
          <w:lang w:val="fr-CA"/>
        </w:rPr>
        <w:tab/>
      </w:r>
      <w:r w:rsidR="00216565" w:rsidRPr="00A27D8A">
        <w:rPr>
          <w:lang w:val="fr-CA"/>
        </w:rPr>
        <w:t xml:space="preserve">Gestion des connaissances et de l’information et </w:t>
      </w:r>
      <w:proofErr w:type="gramStart"/>
      <w:r w:rsidR="00216565" w:rsidRPr="00A27D8A">
        <w:rPr>
          <w:lang w:val="fr-CA"/>
        </w:rPr>
        <w:t>communication</w:t>
      </w:r>
      <w:r w:rsidR="00827321" w:rsidRPr="00A27D8A">
        <w:rPr>
          <w:lang w:val="fr-CA"/>
        </w:rPr>
        <w:t>;</w:t>
      </w:r>
      <w:proofErr w:type="gramEnd"/>
    </w:p>
    <w:p w14:paraId="1A647694" w14:textId="76F28DE2" w:rsidR="00827321" w:rsidRPr="00A27D8A" w:rsidRDefault="00835746" w:rsidP="00C711E3">
      <w:pPr>
        <w:pStyle w:val="Normalnumber"/>
        <w:numPr>
          <w:ilvl w:val="0"/>
          <w:numId w:val="0"/>
        </w:numPr>
        <w:tabs>
          <w:tab w:val="clear" w:pos="624"/>
          <w:tab w:val="left" w:pos="2259"/>
        </w:tabs>
        <w:ind w:left="1260" w:firstLine="448"/>
        <w:rPr>
          <w:lang w:val="fr-CA"/>
        </w:rPr>
      </w:pPr>
      <w:r w:rsidRPr="00A27D8A">
        <w:rPr>
          <w:lang w:val="fr-CA"/>
        </w:rPr>
        <w:t>e)</w:t>
      </w:r>
      <w:r w:rsidRPr="00A27D8A">
        <w:rPr>
          <w:lang w:val="fr-CA"/>
        </w:rPr>
        <w:tab/>
      </w:r>
      <w:r w:rsidR="00216565" w:rsidRPr="00A27D8A">
        <w:rPr>
          <w:lang w:val="fr-CA"/>
        </w:rPr>
        <w:t xml:space="preserve">Gestion </w:t>
      </w:r>
      <w:proofErr w:type="gramStart"/>
      <w:r w:rsidR="00216565" w:rsidRPr="00A27D8A">
        <w:rPr>
          <w:lang w:val="fr-CA"/>
        </w:rPr>
        <w:t>générale</w:t>
      </w:r>
      <w:r w:rsidR="00827321" w:rsidRPr="00A27D8A">
        <w:rPr>
          <w:lang w:val="fr-CA"/>
        </w:rPr>
        <w:t>;</w:t>
      </w:r>
      <w:proofErr w:type="gramEnd"/>
    </w:p>
    <w:p w14:paraId="1B25D413" w14:textId="0752C490" w:rsidR="00827321" w:rsidRPr="00A27D8A" w:rsidRDefault="00835746" w:rsidP="00C711E3">
      <w:pPr>
        <w:pStyle w:val="Normalnumber"/>
        <w:numPr>
          <w:ilvl w:val="0"/>
          <w:numId w:val="0"/>
        </w:numPr>
        <w:tabs>
          <w:tab w:val="clear" w:pos="624"/>
          <w:tab w:val="left" w:pos="2259"/>
        </w:tabs>
        <w:ind w:left="1260" w:firstLine="448"/>
        <w:rPr>
          <w:lang w:val="fr-CA"/>
        </w:rPr>
      </w:pPr>
      <w:r w:rsidRPr="00A27D8A">
        <w:rPr>
          <w:lang w:val="fr-CA"/>
        </w:rPr>
        <w:t>f)</w:t>
      </w:r>
      <w:r w:rsidRPr="00A27D8A">
        <w:rPr>
          <w:lang w:val="fr-CA"/>
        </w:rPr>
        <w:tab/>
      </w:r>
      <w:r w:rsidR="00216565" w:rsidRPr="00A27D8A">
        <w:rPr>
          <w:lang w:val="fr-CA"/>
        </w:rPr>
        <w:t xml:space="preserve">Activités juridiques et de politique </w:t>
      </w:r>
      <w:proofErr w:type="gramStart"/>
      <w:r w:rsidR="00216565" w:rsidRPr="00A27D8A">
        <w:rPr>
          <w:lang w:val="fr-CA"/>
        </w:rPr>
        <w:t>générale</w:t>
      </w:r>
      <w:r w:rsidR="00827321" w:rsidRPr="00A27D8A">
        <w:rPr>
          <w:lang w:val="fr-CA"/>
        </w:rPr>
        <w:t>;</w:t>
      </w:r>
      <w:proofErr w:type="gramEnd"/>
    </w:p>
    <w:p w14:paraId="05C7657E" w14:textId="234E6B9C" w:rsidR="00556F3A" w:rsidRPr="00A27D8A" w:rsidRDefault="00835746" w:rsidP="00C711E3">
      <w:pPr>
        <w:pStyle w:val="Normalnumber"/>
        <w:numPr>
          <w:ilvl w:val="0"/>
          <w:numId w:val="0"/>
        </w:numPr>
        <w:tabs>
          <w:tab w:val="clear" w:pos="624"/>
          <w:tab w:val="left" w:pos="2259"/>
        </w:tabs>
        <w:ind w:left="1260" w:firstLine="448"/>
        <w:rPr>
          <w:lang w:val="fr-CA"/>
        </w:rPr>
      </w:pPr>
      <w:r w:rsidRPr="00A27D8A">
        <w:rPr>
          <w:lang w:val="fr-CA"/>
        </w:rPr>
        <w:t>g)</w:t>
      </w:r>
      <w:r w:rsidRPr="00A27D8A">
        <w:rPr>
          <w:lang w:val="fr-CA"/>
        </w:rPr>
        <w:tab/>
      </w:r>
      <w:r w:rsidR="00216565" w:rsidRPr="00A27D8A">
        <w:rPr>
          <w:lang w:val="fr-CA"/>
        </w:rPr>
        <w:t>Entretien des locaux et services</w:t>
      </w:r>
      <w:r w:rsidR="00827321" w:rsidRPr="00A27D8A">
        <w:rPr>
          <w:lang w:val="fr-CA"/>
        </w:rPr>
        <w:t xml:space="preserve">. </w:t>
      </w:r>
    </w:p>
    <w:p w14:paraId="12397B12" w14:textId="2FDA2C8E" w:rsidR="00A67AF2" w:rsidRPr="00A27D8A" w:rsidRDefault="00F4232E" w:rsidP="005563D9">
      <w:pPr>
        <w:pStyle w:val="CH2"/>
        <w:rPr>
          <w:lang w:val="fr-CA"/>
        </w:rPr>
      </w:pPr>
      <w:r w:rsidRPr="00A27D8A">
        <w:rPr>
          <w:lang w:val="fr-CA"/>
        </w:rPr>
        <w:tab/>
      </w:r>
      <w:r w:rsidR="00AE60CF" w:rsidRPr="00A27D8A">
        <w:rPr>
          <w:lang w:val="fr-CA"/>
        </w:rPr>
        <w:t>B</w:t>
      </w:r>
      <w:r w:rsidRPr="00A27D8A">
        <w:rPr>
          <w:lang w:val="fr-CA"/>
        </w:rPr>
        <w:t>.</w:t>
      </w:r>
      <w:r w:rsidRPr="00A27D8A">
        <w:rPr>
          <w:lang w:val="fr-CA"/>
        </w:rPr>
        <w:tab/>
      </w:r>
      <w:r w:rsidR="00935417" w:rsidRPr="00A27D8A">
        <w:rPr>
          <w:lang w:val="fr-CA"/>
        </w:rPr>
        <w:t>Activit</w:t>
      </w:r>
      <w:r w:rsidR="00216565" w:rsidRPr="00A27D8A">
        <w:rPr>
          <w:lang w:val="fr-CA"/>
        </w:rPr>
        <w:t>é</w:t>
      </w:r>
      <w:r w:rsidR="00935417" w:rsidRPr="00A27D8A">
        <w:rPr>
          <w:lang w:val="fr-CA"/>
        </w:rPr>
        <w:t xml:space="preserve">s </w:t>
      </w:r>
      <w:r w:rsidR="00C711E3" w:rsidRPr="00A27D8A">
        <w:rPr>
          <w:lang w:val="fr-CA"/>
        </w:rPr>
        <w:t>inscrites au</w:t>
      </w:r>
      <w:r w:rsidR="00935417" w:rsidRPr="00A27D8A">
        <w:rPr>
          <w:lang w:val="fr-CA"/>
        </w:rPr>
        <w:t xml:space="preserve"> programme </w:t>
      </w:r>
      <w:r w:rsidR="00216565" w:rsidRPr="00A27D8A">
        <w:rPr>
          <w:lang w:val="fr-CA"/>
        </w:rPr>
        <w:t>de travail pour la période</w:t>
      </w:r>
      <w:r w:rsidRPr="00A27D8A">
        <w:rPr>
          <w:lang w:val="fr-CA"/>
        </w:rPr>
        <w:t xml:space="preserve"> 2018</w:t>
      </w:r>
      <w:r w:rsidR="002D3A9E" w:rsidRPr="00A27D8A">
        <w:rPr>
          <w:lang w:val="fr-CA"/>
        </w:rPr>
        <w:t>–</w:t>
      </w:r>
      <w:r w:rsidRPr="00A27D8A">
        <w:rPr>
          <w:lang w:val="fr-CA"/>
        </w:rPr>
        <w:t>2019</w:t>
      </w:r>
      <w:r w:rsidR="000A7CE7" w:rsidRPr="00A27D8A">
        <w:rPr>
          <w:lang w:val="fr-CA"/>
        </w:rPr>
        <w:t xml:space="preserve"> </w:t>
      </w:r>
    </w:p>
    <w:p w14:paraId="3149758F" w14:textId="523364FA" w:rsidR="003660BF" w:rsidRPr="00A27D8A" w:rsidRDefault="00216565" w:rsidP="00C03273">
      <w:pPr>
        <w:pStyle w:val="Normalnumber"/>
        <w:ind w:left="1247" w:firstLine="0"/>
        <w:rPr>
          <w:lang w:val="fr-CA"/>
        </w:rPr>
      </w:pPr>
      <w:r w:rsidRPr="00A27D8A">
        <w:rPr>
          <w:lang w:val="fr-CA"/>
        </w:rPr>
        <w:t>Conformément au</w:t>
      </w:r>
      <w:r w:rsidR="002A4379" w:rsidRPr="00A27D8A">
        <w:rPr>
          <w:lang w:val="fr-CA"/>
        </w:rPr>
        <w:t xml:space="preserve"> </w:t>
      </w:r>
      <w:r w:rsidR="00C711E3" w:rsidRPr="00A27D8A">
        <w:rPr>
          <w:bCs/>
          <w:lang w:val="fr-CA"/>
        </w:rPr>
        <w:t>s</w:t>
      </w:r>
      <w:r w:rsidRPr="00A27D8A">
        <w:rPr>
          <w:bCs/>
          <w:lang w:val="fr-CA"/>
        </w:rPr>
        <w:t>ystème de gestion financière</w:t>
      </w:r>
      <w:r w:rsidR="00CD1E4B" w:rsidRPr="00A27D8A">
        <w:rPr>
          <w:bCs/>
          <w:lang w:val="fr-CA"/>
        </w:rPr>
        <w:t xml:space="preserve"> </w:t>
      </w:r>
      <w:r w:rsidRPr="00A27D8A">
        <w:rPr>
          <w:bCs/>
          <w:lang w:val="fr-CA"/>
        </w:rPr>
        <w:t>de l’Organisation des Nations Unies</w:t>
      </w:r>
      <w:r w:rsidR="001A67C0" w:rsidRPr="00A27D8A">
        <w:rPr>
          <w:bCs/>
          <w:lang w:val="fr-CA"/>
        </w:rPr>
        <w:t xml:space="preserve"> (voir</w:t>
      </w:r>
      <w:r w:rsidR="00726AD6">
        <w:rPr>
          <w:bCs/>
          <w:lang w:val="fr-CA"/>
        </w:rPr>
        <w:t> </w:t>
      </w:r>
      <w:r w:rsidR="001A67C0" w:rsidRPr="00A27D8A">
        <w:rPr>
          <w:bCs/>
          <w:lang w:val="fr-CA"/>
        </w:rPr>
        <w:t>les</w:t>
      </w:r>
      <w:r w:rsidR="00726AD6">
        <w:rPr>
          <w:bCs/>
          <w:lang w:val="fr-CA"/>
        </w:rPr>
        <w:t> </w:t>
      </w:r>
      <w:r w:rsidR="001A67C0" w:rsidRPr="00A27D8A">
        <w:rPr>
          <w:bCs/>
          <w:lang w:val="fr-CA"/>
        </w:rPr>
        <w:t xml:space="preserve">explications supplémentaires ci-après concernant les </w:t>
      </w:r>
      <w:r w:rsidR="00ED060D" w:rsidRPr="00A27D8A">
        <w:rPr>
          <w:lang w:val="fr-CA"/>
        </w:rPr>
        <w:t xml:space="preserve">IPSAS </w:t>
      </w:r>
      <w:r w:rsidR="001A67C0" w:rsidRPr="00A27D8A">
        <w:rPr>
          <w:lang w:val="fr-CA"/>
        </w:rPr>
        <w:t>et</w:t>
      </w:r>
      <w:r w:rsidR="00ED060D" w:rsidRPr="00A27D8A">
        <w:rPr>
          <w:lang w:val="fr-CA"/>
        </w:rPr>
        <w:t xml:space="preserve"> </w:t>
      </w:r>
      <w:proofErr w:type="spellStart"/>
      <w:r w:rsidR="00ED060D" w:rsidRPr="00A27D8A">
        <w:rPr>
          <w:lang w:val="fr-CA"/>
        </w:rPr>
        <w:t>Umoja</w:t>
      </w:r>
      <w:proofErr w:type="spellEnd"/>
      <w:r w:rsidR="00ED060D" w:rsidRPr="00A27D8A">
        <w:rPr>
          <w:lang w:val="fr-CA"/>
        </w:rPr>
        <w:t>)</w:t>
      </w:r>
      <w:r w:rsidR="00762C5D" w:rsidRPr="00A27D8A">
        <w:rPr>
          <w:lang w:val="fr-CA"/>
        </w:rPr>
        <w:t>,</w:t>
      </w:r>
      <w:r w:rsidR="00E729A3" w:rsidRPr="00A27D8A">
        <w:rPr>
          <w:lang w:val="fr-CA"/>
        </w:rPr>
        <w:t xml:space="preserve"> </w:t>
      </w:r>
      <w:r w:rsidR="001A67C0" w:rsidRPr="00A27D8A">
        <w:rPr>
          <w:lang w:val="fr-CA"/>
        </w:rPr>
        <w:t>les activités qui forment le programme de travail servent de base pour l’établissement du budget</w:t>
      </w:r>
      <w:r w:rsidR="00ED060D" w:rsidRPr="00A27D8A">
        <w:rPr>
          <w:lang w:val="fr-CA"/>
        </w:rPr>
        <w:t>.</w:t>
      </w:r>
      <w:r w:rsidR="001A67C0" w:rsidRPr="00A27D8A">
        <w:rPr>
          <w:lang w:val="fr-CA"/>
        </w:rPr>
        <w:t xml:space="preserve"> À cet égard, sous les sept</w:t>
      </w:r>
      <w:r w:rsidR="00726AD6">
        <w:rPr>
          <w:lang w:val="fr-CA"/>
        </w:rPr>
        <w:t> </w:t>
      </w:r>
      <w:r w:rsidR="001A67C0" w:rsidRPr="00A27D8A">
        <w:rPr>
          <w:lang w:val="fr-CA"/>
        </w:rPr>
        <w:t>rubriques fonctionnelles, le projet de programme de travail et budget co</w:t>
      </w:r>
      <w:r w:rsidR="00407842" w:rsidRPr="00A27D8A">
        <w:rPr>
          <w:lang w:val="fr-CA"/>
        </w:rPr>
        <w:t>nnexe</w:t>
      </w:r>
      <w:r w:rsidR="001A67C0" w:rsidRPr="00A27D8A">
        <w:rPr>
          <w:lang w:val="fr-CA"/>
        </w:rPr>
        <w:t xml:space="preserve"> pour la Convention de Minamata est structuré en 16 activités proposées </w:t>
      </w:r>
      <w:r w:rsidR="000E55D9" w:rsidRPr="00A27D8A">
        <w:rPr>
          <w:lang w:val="fr-CA"/>
        </w:rPr>
        <w:t>(</w:t>
      </w:r>
      <w:r w:rsidR="001A67C0" w:rsidRPr="00A27D8A">
        <w:rPr>
          <w:lang w:val="fr-CA"/>
        </w:rPr>
        <w:t>voir</w:t>
      </w:r>
      <w:r w:rsidR="000E55D9" w:rsidRPr="00A27D8A">
        <w:rPr>
          <w:lang w:val="fr-CA"/>
        </w:rPr>
        <w:t xml:space="preserve"> </w:t>
      </w:r>
      <w:r w:rsidR="00BF6266" w:rsidRPr="00A27D8A">
        <w:rPr>
          <w:lang w:val="fr-CA"/>
        </w:rPr>
        <w:t>a</w:t>
      </w:r>
      <w:r w:rsidR="001A67C0" w:rsidRPr="00A27D8A">
        <w:rPr>
          <w:lang w:val="fr-CA"/>
        </w:rPr>
        <w:t>nnexe </w:t>
      </w:r>
      <w:r w:rsidR="00F47F83" w:rsidRPr="00A27D8A">
        <w:rPr>
          <w:lang w:val="fr-CA"/>
        </w:rPr>
        <w:t>II</w:t>
      </w:r>
      <w:r w:rsidR="000E55D9" w:rsidRPr="00A27D8A">
        <w:rPr>
          <w:lang w:val="fr-CA"/>
        </w:rPr>
        <w:t>)</w:t>
      </w:r>
      <w:r w:rsidR="00ED060D" w:rsidRPr="00A27D8A">
        <w:rPr>
          <w:lang w:val="fr-CA"/>
        </w:rPr>
        <w:t xml:space="preserve">. </w:t>
      </w:r>
    </w:p>
    <w:p w14:paraId="23EDA497" w14:textId="2273EE3F" w:rsidR="002A4379" w:rsidRPr="00A27D8A" w:rsidRDefault="00B82D5E" w:rsidP="000E5516">
      <w:pPr>
        <w:pStyle w:val="Normalnumber"/>
        <w:ind w:left="1247" w:firstLine="0"/>
        <w:rPr>
          <w:lang w:val="fr-CA"/>
        </w:rPr>
      </w:pPr>
      <w:r w:rsidRPr="00A27D8A">
        <w:rPr>
          <w:lang w:val="fr-CA"/>
        </w:rPr>
        <w:t xml:space="preserve">Les activités constituant le projet de programme de travail de la Convention sont décrites </w:t>
      </w:r>
      <w:r w:rsidR="00ED449E" w:rsidRPr="00A27D8A">
        <w:rPr>
          <w:lang w:val="fr-CA"/>
        </w:rPr>
        <w:br/>
      </w:r>
      <w:r w:rsidRPr="00A27D8A">
        <w:rPr>
          <w:lang w:val="fr-CA"/>
        </w:rPr>
        <w:t xml:space="preserve">ci-après, tandis que les ressources nécessaires pour ces activités, autres que le personnel, sont présentées dans l’additif 1 à la présente note </w:t>
      </w:r>
      <w:r w:rsidR="00542FF9" w:rsidRPr="00A27D8A">
        <w:rPr>
          <w:lang w:val="fr-CA"/>
        </w:rPr>
        <w:t>(</w:t>
      </w:r>
      <w:r w:rsidR="000E55D9" w:rsidRPr="00A27D8A">
        <w:rPr>
          <w:lang w:val="fr-CA"/>
        </w:rPr>
        <w:t>UNEP/MC/COP.1/21/Add</w:t>
      </w:r>
      <w:r w:rsidR="00AE60CF" w:rsidRPr="00A27D8A">
        <w:rPr>
          <w:lang w:val="fr-CA"/>
        </w:rPr>
        <w:t>.</w:t>
      </w:r>
      <w:r w:rsidR="000E55D9" w:rsidRPr="00A27D8A">
        <w:rPr>
          <w:lang w:val="fr-CA"/>
        </w:rPr>
        <w:t>1</w:t>
      </w:r>
      <w:r w:rsidR="00542FF9" w:rsidRPr="00A27D8A">
        <w:rPr>
          <w:lang w:val="fr-CA"/>
        </w:rPr>
        <w:t>)</w:t>
      </w:r>
      <w:r w:rsidR="000E55D9" w:rsidRPr="00A27D8A">
        <w:rPr>
          <w:lang w:val="fr-CA"/>
        </w:rPr>
        <w:t xml:space="preserve">. </w:t>
      </w:r>
      <w:r w:rsidR="0068258C">
        <w:rPr>
          <w:lang w:val="fr-CA"/>
        </w:rPr>
        <w:t xml:space="preserve">Les coûts sont calculés sur la base des estimations établies </w:t>
      </w:r>
      <w:r w:rsidR="002B66E6">
        <w:rPr>
          <w:lang w:val="fr-CA"/>
        </w:rPr>
        <w:t xml:space="preserve">pour </w:t>
      </w:r>
      <w:r w:rsidR="0068258C">
        <w:rPr>
          <w:lang w:val="fr-CA"/>
        </w:rPr>
        <w:t>un secrétariat implanté à Genève.</w:t>
      </w:r>
    </w:p>
    <w:p w14:paraId="41666406" w14:textId="0E5D70CD" w:rsidR="009D2448" w:rsidRPr="00A27D8A" w:rsidRDefault="002A4379" w:rsidP="00040F66">
      <w:pPr>
        <w:pStyle w:val="CH3"/>
        <w:rPr>
          <w:lang w:val="fr-CA"/>
        </w:rPr>
      </w:pPr>
      <w:r w:rsidRPr="00A27D8A">
        <w:rPr>
          <w:lang w:val="fr-CA"/>
        </w:rPr>
        <w:tab/>
      </w:r>
      <w:r w:rsidR="00C16EB7" w:rsidRPr="00A27D8A">
        <w:rPr>
          <w:lang w:val="fr-CA"/>
        </w:rPr>
        <w:t>1.</w:t>
      </w:r>
      <w:r w:rsidR="00431A61" w:rsidRPr="00A27D8A">
        <w:rPr>
          <w:lang w:val="fr-CA"/>
        </w:rPr>
        <w:tab/>
      </w:r>
      <w:r w:rsidR="009D2448" w:rsidRPr="00A27D8A">
        <w:rPr>
          <w:lang w:val="fr-CA"/>
        </w:rPr>
        <w:t>Conf</w:t>
      </w:r>
      <w:r w:rsidR="00B82D5E" w:rsidRPr="00A27D8A">
        <w:rPr>
          <w:lang w:val="fr-CA"/>
        </w:rPr>
        <w:t>é</w:t>
      </w:r>
      <w:r w:rsidR="00C16EB7" w:rsidRPr="00A27D8A">
        <w:rPr>
          <w:lang w:val="fr-CA"/>
        </w:rPr>
        <w:t xml:space="preserve">rences </w:t>
      </w:r>
      <w:r w:rsidR="00B82D5E" w:rsidRPr="00A27D8A">
        <w:rPr>
          <w:lang w:val="fr-CA"/>
        </w:rPr>
        <w:t>et réunions</w:t>
      </w:r>
      <w:r w:rsidR="000A7CE7" w:rsidRPr="00A27D8A">
        <w:rPr>
          <w:lang w:val="fr-CA"/>
        </w:rPr>
        <w:t xml:space="preserve"> </w:t>
      </w:r>
    </w:p>
    <w:p w14:paraId="0DA96340" w14:textId="2CB46FA7" w:rsidR="009D2448" w:rsidRPr="00A27D8A" w:rsidRDefault="008726DF" w:rsidP="000E5516">
      <w:pPr>
        <w:pStyle w:val="Normalnumber"/>
        <w:ind w:left="1247" w:firstLine="0"/>
        <w:rPr>
          <w:lang w:val="fr-CA"/>
        </w:rPr>
      </w:pPr>
      <w:r w:rsidRPr="00A27D8A">
        <w:rPr>
          <w:lang w:val="fr-CA"/>
        </w:rPr>
        <w:t>La</w:t>
      </w:r>
      <w:r w:rsidR="00124F81" w:rsidRPr="00A27D8A">
        <w:rPr>
          <w:lang w:val="fr-CA"/>
        </w:rPr>
        <w:t xml:space="preserve"> Conf</w:t>
      </w:r>
      <w:r w:rsidRPr="00A27D8A">
        <w:rPr>
          <w:lang w:val="fr-CA"/>
        </w:rPr>
        <w:t>é</w:t>
      </w:r>
      <w:r w:rsidR="00124F81" w:rsidRPr="00A27D8A">
        <w:rPr>
          <w:lang w:val="fr-CA"/>
        </w:rPr>
        <w:t xml:space="preserve">rence </w:t>
      </w:r>
      <w:r w:rsidRPr="00A27D8A">
        <w:rPr>
          <w:lang w:val="fr-CA"/>
        </w:rPr>
        <w:t>des</w:t>
      </w:r>
      <w:r w:rsidR="00124F81" w:rsidRPr="00A27D8A">
        <w:rPr>
          <w:lang w:val="fr-CA"/>
        </w:rPr>
        <w:t xml:space="preserve"> Parties</w:t>
      </w:r>
      <w:r w:rsidR="009D2448" w:rsidRPr="00A27D8A">
        <w:rPr>
          <w:lang w:val="fr-CA"/>
        </w:rPr>
        <w:t xml:space="preserve"> </w:t>
      </w:r>
      <w:r w:rsidRPr="00A27D8A">
        <w:rPr>
          <w:lang w:val="fr-CA"/>
        </w:rPr>
        <w:t>est l’organe de décision</w:t>
      </w:r>
      <w:r w:rsidR="009D2448" w:rsidRPr="00A27D8A">
        <w:rPr>
          <w:lang w:val="fr-CA"/>
        </w:rPr>
        <w:t xml:space="preserve"> </w:t>
      </w:r>
      <w:r w:rsidR="00981550" w:rsidRPr="00A27D8A">
        <w:rPr>
          <w:lang w:val="fr-CA"/>
        </w:rPr>
        <w:t>de la Convention de</w:t>
      </w:r>
      <w:r w:rsidR="009D2448" w:rsidRPr="00A27D8A">
        <w:rPr>
          <w:lang w:val="fr-CA"/>
        </w:rPr>
        <w:t xml:space="preserve"> Minamata</w:t>
      </w:r>
      <w:r w:rsidR="00935417" w:rsidRPr="00A27D8A">
        <w:rPr>
          <w:lang w:val="fr-CA"/>
        </w:rPr>
        <w:t xml:space="preserve">, </w:t>
      </w:r>
      <w:r w:rsidR="00981550" w:rsidRPr="00A27D8A">
        <w:rPr>
          <w:lang w:val="fr-CA"/>
        </w:rPr>
        <w:t>conformément à l’</w:t>
      </w:r>
      <w:r w:rsidR="00935417" w:rsidRPr="00A27D8A">
        <w:rPr>
          <w:lang w:val="fr-CA"/>
        </w:rPr>
        <w:t>a</w:t>
      </w:r>
      <w:r w:rsidR="00981550" w:rsidRPr="00A27D8A">
        <w:rPr>
          <w:lang w:val="fr-CA"/>
        </w:rPr>
        <w:t>rticle </w:t>
      </w:r>
      <w:r w:rsidR="00DE0287" w:rsidRPr="00A27D8A">
        <w:rPr>
          <w:lang w:val="fr-CA"/>
        </w:rPr>
        <w:t>23</w:t>
      </w:r>
      <w:r w:rsidR="009D2448" w:rsidRPr="00A27D8A">
        <w:rPr>
          <w:lang w:val="fr-CA"/>
        </w:rPr>
        <w:t xml:space="preserve">. </w:t>
      </w:r>
      <w:r w:rsidR="00981550" w:rsidRPr="00A27D8A">
        <w:rPr>
          <w:lang w:val="fr-CA"/>
        </w:rPr>
        <w:t>L’organisation de ses réunions, à des intervalles que détermine la Conférence, est une activité centrale du secrétariat</w:t>
      </w:r>
      <w:r w:rsidR="009D2448" w:rsidRPr="00A27D8A">
        <w:rPr>
          <w:lang w:val="fr-CA"/>
        </w:rPr>
        <w:t>.</w:t>
      </w:r>
      <w:r w:rsidR="00981550" w:rsidRPr="00A27D8A">
        <w:rPr>
          <w:lang w:val="fr-CA"/>
        </w:rPr>
        <w:t xml:space="preserve"> Conformément au projet de règlement intérieur, les deuxième et troisième réunions de la Conférence se tiendront annuellement et, par la suite, les réunions se tiendront tous les deux ans</w:t>
      </w:r>
      <w:r w:rsidR="009D2448" w:rsidRPr="00A27D8A">
        <w:rPr>
          <w:lang w:val="fr-CA"/>
        </w:rPr>
        <w:t>.</w:t>
      </w:r>
      <w:r w:rsidR="00981550" w:rsidRPr="00A27D8A">
        <w:rPr>
          <w:lang w:val="fr-CA"/>
        </w:rPr>
        <w:t xml:space="preserve"> Les deuxième et troisième réunions de la Conférence devraient donc être organisées avant la fin de 2018 et 2019, respectivement</w:t>
      </w:r>
      <w:r w:rsidR="005A1036" w:rsidRPr="00A27D8A">
        <w:rPr>
          <w:lang w:val="fr-CA"/>
        </w:rPr>
        <w:t>.</w:t>
      </w:r>
      <w:r w:rsidR="004F2825" w:rsidRPr="00A27D8A">
        <w:rPr>
          <w:lang w:val="fr-CA"/>
        </w:rPr>
        <w:t xml:space="preserve"> Les coûts liés à l’organisation des réunions, qui sont une activité centrale de la Convention, seront supportés par le Fonds général </w:t>
      </w:r>
      <w:r w:rsidR="004F2825" w:rsidRPr="00A27D8A">
        <w:rPr>
          <w:lang w:val="fr-CA"/>
        </w:rPr>
        <w:lastRenderedPageBreak/>
        <w:t xml:space="preserve">d’affectation spéciale. Chaque réunion sera précédée </w:t>
      </w:r>
      <w:r w:rsidR="00187377" w:rsidRPr="00A27D8A">
        <w:rPr>
          <w:lang w:val="fr-CA"/>
        </w:rPr>
        <w:t>de</w:t>
      </w:r>
      <w:r w:rsidR="004F2825" w:rsidRPr="00A27D8A">
        <w:rPr>
          <w:lang w:val="fr-CA"/>
        </w:rPr>
        <w:t xml:space="preserve"> réunions préparatoires</w:t>
      </w:r>
      <w:r w:rsidR="005A1036" w:rsidRPr="00A27D8A">
        <w:rPr>
          <w:lang w:val="fr-CA"/>
        </w:rPr>
        <w:t>.</w:t>
      </w:r>
      <w:r w:rsidR="004F2825" w:rsidRPr="00A27D8A">
        <w:rPr>
          <w:lang w:val="fr-CA"/>
        </w:rPr>
        <w:t xml:space="preserve"> Des réunions régionales préparatoires sont tenues pour permettre aux Parties de se préparer à la réunion de la Conférence</w:t>
      </w:r>
      <w:r w:rsidR="00156829" w:rsidRPr="00A27D8A">
        <w:rPr>
          <w:lang w:val="fr-CA"/>
        </w:rPr>
        <w:t>.</w:t>
      </w:r>
      <w:r w:rsidR="004F2825" w:rsidRPr="00A27D8A">
        <w:rPr>
          <w:lang w:val="fr-CA"/>
        </w:rPr>
        <w:t xml:space="preserve"> L’appui financier pour les vo</w:t>
      </w:r>
      <w:r w:rsidR="00187377" w:rsidRPr="00A27D8A">
        <w:rPr>
          <w:lang w:val="fr-CA"/>
        </w:rPr>
        <w:t xml:space="preserve">yages des participants </w:t>
      </w:r>
      <w:r w:rsidR="00605E0A">
        <w:rPr>
          <w:lang w:val="fr-CA"/>
        </w:rPr>
        <w:t>de</w:t>
      </w:r>
      <w:r w:rsidR="004F2825" w:rsidRPr="00A27D8A">
        <w:rPr>
          <w:lang w:val="fr-CA"/>
        </w:rPr>
        <w:t xml:space="preserve"> pays en développement ou </w:t>
      </w:r>
      <w:r w:rsidR="00726AD6">
        <w:rPr>
          <w:lang w:val="fr-FR"/>
        </w:rPr>
        <w:t xml:space="preserve">à économie </w:t>
      </w:r>
      <w:r w:rsidR="004F2825" w:rsidRPr="00A27D8A">
        <w:rPr>
          <w:lang w:val="fr-CA"/>
        </w:rPr>
        <w:t xml:space="preserve">en transition </w:t>
      </w:r>
      <w:r w:rsidR="00605E0A">
        <w:rPr>
          <w:lang w:val="fr-CA"/>
        </w:rPr>
        <w:t xml:space="preserve">Parties </w:t>
      </w:r>
      <w:r w:rsidR="004F2825" w:rsidRPr="00A27D8A">
        <w:rPr>
          <w:lang w:val="fr-CA"/>
        </w:rPr>
        <w:t>permet leur participation pleine et effective au processus décisionnel</w:t>
      </w:r>
      <w:r w:rsidR="00BF0346" w:rsidRPr="00A27D8A">
        <w:rPr>
          <w:lang w:val="fr-CA"/>
        </w:rPr>
        <w:t>.</w:t>
      </w:r>
      <w:r w:rsidR="004F2825" w:rsidRPr="00A27D8A">
        <w:rPr>
          <w:lang w:val="fr-CA"/>
        </w:rPr>
        <w:t xml:space="preserve"> Ces voyages seront financés par le Fonds d’affectation spéciale de contributions volontaires</w:t>
      </w:r>
      <w:r w:rsidR="00156829" w:rsidRPr="00A27D8A">
        <w:rPr>
          <w:lang w:val="fr-CA"/>
        </w:rPr>
        <w:t>.</w:t>
      </w:r>
    </w:p>
    <w:p w14:paraId="6338F8F5" w14:textId="5966D34C" w:rsidR="00EC0B75" w:rsidRPr="00A27D8A" w:rsidRDefault="005006BA" w:rsidP="000E5516">
      <w:pPr>
        <w:pStyle w:val="Normalnumber"/>
        <w:ind w:left="1247" w:firstLine="0"/>
        <w:rPr>
          <w:lang w:val="fr-CA"/>
        </w:rPr>
      </w:pPr>
      <w:r w:rsidRPr="00A27D8A">
        <w:rPr>
          <w:lang w:val="fr-CA"/>
        </w:rPr>
        <w:t xml:space="preserve">Les première et deuxième réunions de la Conférence pourraient créer pour une certaine période de temps des groupes d’experts intersessions qui seraient chargés d’examiner des questions techniques, notamment l’évaluation de l’efficacité, le stockage provisoire du mercure et des composés de mercure, l’établissement de seuils relatifs aux déchets et l’élaboration d’orientations sur </w:t>
      </w:r>
      <w:r w:rsidR="00DA6EA0" w:rsidRPr="00A27D8A">
        <w:rPr>
          <w:lang w:val="fr-CA"/>
        </w:rPr>
        <w:t>la gestion des sites contaminés</w:t>
      </w:r>
      <w:r w:rsidR="00C2392A" w:rsidRPr="00A27D8A">
        <w:rPr>
          <w:lang w:val="fr-CA"/>
        </w:rPr>
        <w:t>.</w:t>
      </w:r>
      <w:r w:rsidR="00DA6EA0" w:rsidRPr="00A27D8A">
        <w:rPr>
          <w:lang w:val="fr-CA"/>
        </w:rPr>
        <w:t xml:space="preserve"> Le fait de prendre des dispositions pour appuyer ces groupes d’experts, conformément aux décisions prises par la Conférence concernant</w:t>
      </w:r>
      <w:r w:rsidR="00C2392A" w:rsidRPr="00A27D8A">
        <w:rPr>
          <w:lang w:val="fr-CA"/>
        </w:rPr>
        <w:t xml:space="preserve"> </w:t>
      </w:r>
      <w:r w:rsidR="00DA6EA0" w:rsidRPr="00A27D8A">
        <w:rPr>
          <w:lang w:val="fr-CA"/>
        </w:rPr>
        <w:t>le fonctionnement de ces groupes, est considéré comme une activité centrale d</w:t>
      </w:r>
      <w:r w:rsidR="00DE0287" w:rsidRPr="00A27D8A">
        <w:rPr>
          <w:lang w:val="fr-CA"/>
        </w:rPr>
        <w:t>u secrétariat</w:t>
      </w:r>
      <w:r w:rsidR="00C2392A" w:rsidRPr="00A27D8A">
        <w:rPr>
          <w:lang w:val="fr-CA"/>
        </w:rPr>
        <w:t xml:space="preserve">. </w:t>
      </w:r>
    </w:p>
    <w:p w14:paraId="40670A54" w14:textId="4D9DC0C1" w:rsidR="00EC0B75" w:rsidRPr="00A27D8A" w:rsidRDefault="00DA6EA0" w:rsidP="000E5516">
      <w:pPr>
        <w:pStyle w:val="Normalnumber"/>
        <w:ind w:left="1247" w:firstLine="0"/>
        <w:rPr>
          <w:lang w:val="fr-CA"/>
        </w:rPr>
      </w:pPr>
      <w:r w:rsidRPr="00A27D8A">
        <w:rPr>
          <w:lang w:val="fr-CA"/>
        </w:rPr>
        <w:t>Le secrétariat organisera également les réunions du Bureau de la Conférence</w:t>
      </w:r>
      <w:r w:rsidR="0068258C">
        <w:rPr>
          <w:lang w:val="fr-CA"/>
        </w:rPr>
        <w:t xml:space="preserve"> des Parties</w:t>
      </w:r>
      <w:r w:rsidR="001258EC" w:rsidRPr="00A27D8A">
        <w:rPr>
          <w:lang w:val="fr-CA"/>
        </w:rPr>
        <w:t xml:space="preserve">. </w:t>
      </w:r>
      <w:r w:rsidRPr="00A27D8A">
        <w:rPr>
          <w:lang w:val="fr-CA"/>
        </w:rPr>
        <w:t>L</w:t>
      </w:r>
      <w:r w:rsidR="001258EC" w:rsidRPr="00A27D8A">
        <w:rPr>
          <w:lang w:val="fr-CA"/>
        </w:rPr>
        <w:t>e Bureau</w:t>
      </w:r>
      <w:r w:rsidRPr="00A27D8A">
        <w:rPr>
          <w:lang w:val="fr-CA"/>
        </w:rPr>
        <w:t xml:space="preserve"> est composé de </w:t>
      </w:r>
      <w:r w:rsidR="00BF0346" w:rsidRPr="00A27D8A">
        <w:rPr>
          <w:lang w:val="fr-CA"/>
        </w:rPr>
        <w:t>10</w:t>
      </w:r>
      <w:r w:rsidRPr="00A27D8A">
        <w:rPr>
          <w:lang w:val="fr-CA"/>
        </w:rPr>
        <w:t> membres</w:t>
      </w:r>
      <w:r w:rsidR="00EC0B75" w:rsidRPr="00A27D8A">
        <w:rPr>
          <w:lang w:val="fr-CA"/>
        </w:rPr>
        <w:t>,</w:t>
      </w:r>
      <w:r w:rsidRPr="00A27D8A">
        <w:rPr>
          <w:lang w:val="fr-CA"/>
        </w:rPr>
        <w:t xml:space="preserve"> chacun des groupes régionaux de l’Organisation des Nations Unies étant représenté par deux membres</w:t>
      </w:r>
      <w:r w:rsidR="00EC0B75" w:rsidRPr="00A27D8A">
        <w:rPr>
          <w:lang w:val="fr-CA"/>
        </w:rPr>
        <w:t>.</w:t>
      </w:r>
      <w:r w:rsidRPr="00A27D8A">
        <w:rPr>
          <w:lang w:val="fr-CA"/>
        </w:rPr>
        <w:t xml:space="preserve"> L</w:t>
      </w:r>
      <w:r w:rsidR="00EC0B75" w:rsidRPr="00A27D8A">
        <w:rPr>
          <w:lang w:val="fr-CA"/>
        </w:rPr>
        <w:t>e Bureau</w:t>
      </w:r>
      <w:r w:rsidRPr="00A27D8A">
        <w:rPr>
          <w:lang w:val="fr-CA"/>
        </w:rPr>
        <w:t xml:space="preserve"> devrait se réunir entre les sessions, notamment dans le cadre d’une réunion organisée en face à face</w:t>
      </w:r>
      <w:r w:rsidR="00867724" w:rsidRPr="00A27D8A">
        <w:rPr>
          <w:lang w:val="fr-CA"/>
        </w:rPr>
        <w:t>.</w:t>
      </w:r>
      <w:r w:rsidR="00187377" w:rsidRPr="00A27D8A">
        <w:rPr>
          <w:lang w:val="fr-CA"/>
        </w:rPr>
        <w:t xml:space="preserve"> D’</w:t>
      </w:r>
      <w:r w:rsidR="00B225E4" w:rsidRPr="00A27D8A">
        <w:rPr>
          <w:lang w:val="fr-CA"/>
        </w:rPr>
        <w:t>autres réunions se tiendront par téléconférence</w:t>
      </w:r>
      <w:r w:rsidR="00867724" w:rsidRPr="00A27D8A">
        <w:rPr>
          <w:lang w:val="fr-CA"/>
        </w:rPr>
        <w:t>.</w:t>
      </w:r>
    </w:p>
    <w:p w14:paraId="24A29D73" w14:textId="29A3531B" w:rsidR="00EC0B75" w:rsidRPr="00A27D8A" w:rsidRDefault="00174E0D" w:rsidP="000E5516">
      <w:pPr>
        <w:pStyle w:val="Normalnumber"/>
        <w:ind w:left="1247" w:firstLine="0"/>
        <w:rPr>
          <w:lang w:val="fr-CA"/>
        </w:rPr>
      </w:pPr>
      <w:r w:rsidRPr="00A27D8A">
        <w:rPr>
          <w:lang w:val="fr-CA"/>
        </w:rPr>
        <w:t>Le sec</w:t>
      </w:r>
      <w:r w:rsidR="00DE0287" w:rsidRPr="00A27D8A">
        <w:rPr>
          <w:lang w:val="fr-CA"/>
        </w:rPr>
        <w:t xml:space="preserve">rétariat organisera </w:t>
      </w:r>
      <w:r w:rsidR="0068258C">
        <w:rPr>
          <w:lang w:val="fr-CA"/>
        </w:rPr>
        <w:t xml:space="preserve">en outre </w:t>
      </w:r>
      <w:r w:rsidR="00DE0287" w:rsidRPr="00A27D8A">
        <w:rPr>
          <w:lang w:val="fr-CA"/>
        </w:rPr>
        <w:t>les</w:t>
      </w:r>
      <w:r w:rsidRPr="00A27D8A">
        <w:rPr>
          <w:lang w:val="fr-CA"/>
        </w:rPr>
        <w:t xml:space="preserve"> réunion</w:t>
      </w:r>
      <w:r w:rsidR="00DE0287" w:rsidRPr="00A27D8A">
        <w:rPr>
          <w:lang w:val="fr-CA"/>
        </w:rPr>
        <w:t>s</w:t>
      </w:r>
      <w:r w:rsidRPr="00A27D8A">
        <w:rPr>
          <w:lang w:val="fr-CA"/>
        </w:rPr>
        <w:t xml:space="preserve"> du Comité de mise en œuvre et du respect des obligations, qui doit être créé en tant qu’organe subsidiaire à la première réunion de la Conférence des Parties</w:t>
      </w:r>
      <w:r w:rsidR="00BF0346" w:rsidRPr="00A27D8A">
        <w:rPr>
          <w:lang w:val="fr-CA"/>
        </w:rPr>
        <w:t>,</w:t>
      </w:r>
      <w:r w:rsidRPr="00A27D8A">
        <w:rPr>
          <w:lang w:val="fr-CA"/>
        </w:rPr>
        <w:t xml:space="preserve"> conformément à l’</w:t>
      </w:r>
      <w:r w:rsidR="00935417" w:rsidRPr="00A27D8A">
        <w:rPr>
          <w:lang w:val="fr-CA"/>
        </w:rPr>
        <w:t>a</w:t>
      </w:r>
      <w:r w:rsidR="00EC0B75" w:rsidRPr="00A27D8A">
        <w:rPr>
          <w:lang w:val="fr-CA"/>
        </w:rPr>
        <w:t>rticle</w:t>
      </w:r>
      <w:r w:rsidRPr="00A27D8A">
        <w:rPr>
          <w:lang w:val="fr-CA"/>
        </w:rPr>
        <w:t> </w:t>
      </w:r>
      <w:r w:rsidR="00EC0B75" w:rsidRPr="00A27D8A">
        <w:rPr>
          <w:lang w:val="fr-CA"/>
        </w:rPr>
        <w:t>15</w:t>
      </w:r>
      <w:r w:rsidR="00BF0346" w:rsidRPr="00A27D8A">
        <w:rPr>
          <w:lang w:val="fr-CA"/>
        </w:rPr>
        <w:t xml:space="preserve"> </w:t>
      </w:r>
      <w:r w:rsidRPr="00A27D8A">
        <w:rPr>
          <w:lang w:val="fr-CA"/>
        </w:rPr>
        <w:t>de la</w:t>
      </w:r>
      <w:r w:rsidR="00BF0346" w:rsidRPr="00A27D8A">
        <w:rPr>
          <w:lang w:val="fr-CA"/>
        </w:rPr>
        <w:t xml:space="preserve"> Convention</w:t>
      </w:r>
      <w:r w:rsidR="00EC0B75" w:rsidRPr="00A27D8A">
        <w:rPr>
          <w:lang w:val="fr-CA"/>
        </w:rPr>
        <w:t xml:space="preserve">. </w:t>
      </w:r>
      <w:r w:rsidRPr="00A27D8A">
        <w:rPr>
          <w:lang w:val="fr-CA"/>
        </w:rPr>
        <w:t>Le Comité sera composé de 15 membres</w:t>
      </w:r>
      <w:r w:rsidR="00EC0B75" w:rsidRPr="00A27D8A">
        <w:rPr>
          <w:lang w:val="fr-CA"/>
        </w:rPr>
        <w:t xml:space="preserve">, </w:t>
      </w:r>
      <w:r w:rsidRPr="00A27D8A">
        <w:rPr>
          <w:lang w:val="fr-CA"/>
        </w:rPr>
        <w:t>en tenant dûment compte d’une représentation fondée sur les cinq régions</w:t>
      </w:r>
      <w:r w:rsidR="005E05EF" w:rsidRPr="00A27D8A">
        <w:rPr>
          <w:lang w:val="fr-CA"/>
        </w:rPr>
        <w:t xml:space="preserve"> de l’Organisation des Nations </w:t>
      </w:r>
      <w:r w:rsidRPr="00A27D8A">
        <w:rPr>
          <w:lang w:val="fr-CA"/>
        </w:rPr>
        <w:t>Unies</w:t>
      </w:r>
      <w:r w:rsidR="001258EC" w:rsidRPr="00A27D8A">
        <w:rPr>
          <w:lang w:val="fr-CA"/>
        </w:rPr>
        <w:t>.</w:t>
      </w:r>
      <w:r w:rsidR="005E05EF" w:rsidRPr="00A27D8A">
        <w:rPr>
          <w:lang w:val="fr-CA"/>
        </w:rPr>
        <w:t xml:space="preserve"> La première tâche que le Comité accomplira, conformément au texte de la Convention, sera l’élaboration de son règlement intérieur afin que la Conférence des Parties puisse l’approuver à sa deuxième réunion</w:t>
      </w:r>
      <w:r w:rsidR="001258EC" w:rsidRPr="00A27D8A">
        <w:rPr>
          <w:lang w:val="fr-CA"/>
        </w:rPr>
        <w:t>.</w:t>
      </w:r>
      <w:r w:rsidR="005E05EF" w:rsidRPr="00A27D8A">
        <w:rPr>
          <w:lang w:val="fr-CA"/>
        </w:rPr>
        <w:t xml:space="preserve"> Le Comité devrait tenir des réunions intersessions afin d’élaborer le règlement intérieur</w:t>
      </w:r>
      <w:r w:rsidR="00EC0B75" w:rsidRPr="00A27D8A">
        <w:rPr>
          <w:lang w:val="fr-CA"/>
        </w:rPr>
        <w:t>.</w:t>
      </w:r>
    </w:p>
    <w:p w14:paraId="77841A5F" w14:textId="5BDDA1E1" w:rsidR="00EC0B75" w:rsidRPr="00A27D8A" w:rsidRDefault="005E05EF" w:rsidP="000E5516">
      <w:pPr>
        <w:pStyle w:val="Normalnumber"/>
        <w:ind w:left="1247" w:firstLine="0"/>
        <w:rPr>
          <w:lang w:val="fr-CA"/>
        </w:rPr>
      </w:pPr>
      <w:r w:rsidRPr="00A27D8A">
        <w:rPr>
          <w:lang w:val="fr-CA"/>
        </w:rPr>
        <w:t>La plupart des activités concernant les conférences et les réunions pour l’exercice biennal</w:t>
      </w:r>
      <w:r w:rsidR="00726AD6">
        <w:rPr>
          <w:lang w:val="fr-CA"/>
        </w:rPr>
        <w:t> </w:t>
      </w:r>
      <w:r w:rsidR="00EC0B75" w:rsidRPr="00A27D8A">
        <w:rPr>
          <w:lang w:val="fr-CA"/>
        </w:rPr>
        <w:t>2018</w:t>
      </w:r>
      <w:r w:rsidR="00616984" w:rsidRPr="00A27D8A">
        <w:rPr>
          <w:lang w:val="fr-CA"/>
        </w:rPr>
        <w:t>–</w:t>
      </w:r>
      <w:r w:rsidR="00EC0B75" w:rsidRPr="00A27D8A">
        <w:rPr>
          <w:lang w:val="fr-CA"/>
        </w:rPr>
        <w:t xml:space="preserve">2019 </w:t>
      </w:r>
      <w:r w:rsidRPr="00A27D8A">
        <w:rPr>
          <w:lang w:val="fr-CA"/>
        </w:rPr>
        <w:t>sont des activités centrales du secrétariat et nécessiteront donc un appui du Fonds général d’affectation spéciale</w:t>
      </w:r>
      <w:r w:rsidR="00EC0B75" w:rsidRPr="00A27D8A">
        <w:rPr>
          <w:lang w:val="fr-CA"/>
        </w:rPr>
        <w:t>.</w:t>
      </w:r>
      <w:r w:rsidRPr="00A27D8A">
        <w:rPr>
          <w:lang w:val="fr-CA"/>
        </w:rPr>
        <w:t xml:space="preserve"> Les réunions préparatoires </w:t>
      </w:r>
      <w:r w:rsidR="00C25EDE" w:rsidRPr="00A27D8A">
        <w:rPr>
          <w:lang w:val="fr-CA"/>
        </w:rPr>
        <w:t xml:space="preserve">régionales </w:t>
      </w:r>
      <w:r w:rsidRPr="00A27D8A">
        <w:rPr>
          <w:lang w:val="fr-CA"/>
        </w:rPr>
        <w:t xml:space="preserve">et les réunions supplémentaires de la Conférence </w:t>
      </w:r>
      <w:r w:rsidR="00DE0287" w:rsidRPr="00A27D8A">
        <w:rPr>
          <w:lang w:val="fr-CA"/>
        </w:rPr>
        <w:t xml:space="preserve">des Parties </w:t>
      </w:r>
      <w:r w:rsidRPr="00A27D8A">
        <w:rPr>
          <w:lang w:val="fr-CA"/>
        </w:rPr>
        <w:t>seront financées par le Fonds d’affectation spéciale et sont subordonnées à la disponibilité de fonds</w:t>
      </w:r>
      <w:r w:rsidR="001258EC" w:rsidRPr="00A27D8A">
        <w:rPr>
          <w:lang w:val="fr-CA"/>
        </w:rPr>
        <w:t>.</w:t>
      </w:r>
    </w:p>
    <w:p w14:paraId="11A6EE61" w14:textId="39B9B184" w:rsidR="00D134D2" w:rsidRPr="00A27D8A" w:rsidRDefault="00431A61" w:rsidP="00C03273">
      <w:pPr>
        <w:pStyle w:val="CH3"/>
        <w:rPr>
          <w:lang w:val="fr-CA"/>
        </w:rPr>
      </w:pPr>
      <w:r w:rsidRPr="00A27D8A">
        <w:rPr>
          <w:lang w:val="fr-CA"/>
        </w:rPr>
        <w:tab/>
      </w:r>
      <w:r w:rsidR="00D134D2" w:rsidRPr="00A27D8A">
        <w:rPr>
          <w:lang w:val="fr-CA"/>
        </w:rPr>
        <w:t>2.</w:t>
      </w:r>
      <w:r w:rsidR="00D134D2" w:rsidRPr="00A27D8A">
        <w:rPr>
          <w:lang w:val="fr-CA"/>
        </w:rPr>
        <w:tab/>
      </w:r>
      <w:r w:rsidR="00846CA2" w:rsidRPr="00A27D8A">
        <w:rPr>
          <w:lang w:val="fr-CA"/>
        </w:rPr>
        <w:t>R</w:t>
      </w:r>
      <w:r w:rsidR="005E05EF" w:rsidRPr="00A27D8A">
        <w:rPr>
          <w:lang w:val="fr-CA"/>
        </w:rPr>
        <w:t>enforcement des capacités et assistance technique</w:t>
      </w:r>
    </w:p>
    <w:p w14:paraId="4C13AD65" w14:textId="75313F18" w:rsidR="00D134D2" w:rsidRPr="00A27D8A" w:rsidRDefault="00846CA2" w:rsidP="000E5516">
      <w:pPr>
        <w:pStyle w:val="Normalnumber"/>
        <w:ind w:left="1247" w:firstLine="0"/>
        <w:rPr>
          <w:lang w:val="fr-CA"/>
        </w:rPr>
      </w:pPr>
      <w:r w:rsidRPr="00A27D8A">
        <w:rPr>
          <w:lang w:val="fr-CA"/>
        </w:rPr>
        <w:t>Conformément à l’</w:t>
      </w:r>
      <w:r w:rsidR="00935417" w:rsidRPr="00A27D8A">
        <w:rPr>
          <w:lang w:val="fr-CA"/>
        </w:rPr>
        <w:t>a</w:t>
      </w:r>
      <w:r w:rsidR="008B6EFE" w:rsidRPr="00A27D8A">
        <w:rPr>
          <w:lang w:val="fr-CA"/>
        </w:rPr>
        <w:t>rtic</w:t>
      </w:r>
      <w:r w:rsidRPr="00A27D8A">
        <w:rPr>
          <w:lang w:val="fr-CA"/>
        </w:rPr>
        <w:t>le </w:t>
      </w:r>
      <w:r w:rsidR="008B6EFE" w:rsidRPr="00A27D8A">
        <w:rPr>
          <w:lang w:val="fr-CA"/>
        </w:rPr>
        <w:t>14</w:t>
      </w:r>
      <w:r w:rsidR="00101884" w:rsidRPr="00A27D8A">
        <w:rPr>
          <w:lang w:val="fr-CA"/>
        </w:rPr>
        <w:t xml:space="preserve"> </w:t>
      </w:r>
      <w:r w:rsidRPr="00A27D8A">
        <w:rPr>
          <w:lang w:val="fr-CA"/>
        </w:rPr>
        <w:t>de la</w:t>
      </w:r>
      <w:r w:rsidR="00101884" w:rsidRPr="00A27D8A">
        <w:rPr>
          <w:lang w:val="fr-CA"/>
        </w:rPr>
        <w:t xml:space="preserve"> Convention</w:t>
      </w:r>
      <w:r w:rsidR="004A5554" w:rsidRPr="00A27D8A">
        <w:rPr>
          <w:lang w:val="fr-CA"/>
        </w:rPr>
        <w:t>,</w:t>
      </w:r>
      <w:r w:rsidRPr="00A27D8A">
        <w:rPr>
          <w:lang w:val="fr-CA"/>
        </w:rPr>
        <w:t xml:space="preserve"> les Parties à la Convention de</w:t>
      </w:r>
      <w:r w:rsidR="008B6EFE" w:rsidRPr="00A27D8A">
        <w:rPr>
          <w:lang w:val="fr-CA"/>
        </w:rPr>
        <w:t xml:space="preserve"> Minamata </w:t>
      </w:r>
      <w:r w:rsidRPr="00A27D8A">
        <w:rPr>
          <w:lang w:val="fr-CA"/>
        </w:rPr>
        <w:t>coopèrent en vue de fournir, dans les limites de leurs capacités respectives, un renforcement des capacités et une assistance technique appropriés, en temps utile, aux Parties qui sont des pays en développement, en particulier aux pays les moins avancés et aux petits États insulaires en développement, et aux Parties qui sont des pays à économie en transition, pour les aider à mettre en œuvre leurs obligations au titre de la Convention</w:t>
      </w:r>
      <w:r w:rsidR="008B6EFE" w:rsidRPr="00A27D8A">
        <w:rPr>
          <w:lang w:val="fr-CA"/>
        </w:rPr>
        <w:t>.</w:t>
      </w:r>
      <w:r w:rsidR="006C5AA3" w:rsidRPr="00A27D8A">
        <w:rPr>
          <w:lang w:val="fr-CA"/>
        </w:rPr>
        <w:t xml:space="preserve"> </w:t>
      </w:r>
      <w:r w:rsidRPr="00A27D8A">
        <w:rPr>
          <w:lang w:val="fr-CA"/>
        </w:rPr>
        <w:t>En réponse à cette demande, le secrétariat doit mettre en place un programme de renforcement des capacités et d’assistance technique aux fins de la mise en œuvre de la Convention</w:t>
      </w:r>
      <w:r w:rsidR="008B6EFE" w:rsidRPr="00A27D8A">
        <w:rPr>
          <w:lang w:val="fr-CA"/>
        </w:rPr>
        <w:t xml:space="preserve">. </w:t>
      </w:r>
      <w:r w:rsidRPr="00A27D8A">
        <w:rPr>
          <w:lang w:val="fr-CA"/>
        </w:rPr>
        <w:t>Les activités du programme viseront principalement à fournir un soutien aux Parties mais comprendr</w:t>
      </w:r>
      <w:r w:rsidR="00DE33DE" w:rsidRPr="00A27D8A">
        <w:rPr>
          <w:lang w:val="fr-CA"/>
        </w:rPr>
        <w:t>ont également un appui aux non P</w:t>
      </w:r>
      <w:r w:rsidRPr="00A27D8A">
        <w:rPr>
          <w:lang w:val="fr-CA"/>
        </w:rPr>
        <w:t>arties en vue d’une mise en œuvre et d’une ratification rapides</w:t>
      </w:r>
      <w:r w:rsidR="008B6EFE" w:rsidRPr="00A27D8A">
        <w:rPr>
          <w:lang w:val="fr-CA"/>
        </w:rPr>
        <w:t xml:space="preserve">. </w:t>
      </w:r>
    </w:p>
    <w:p w14:paraId="604BB83F" w14:textId="6A35D474" w:rsidR="008B6EFE" w:rsidRPr="00A27D8A" w:rsidRDefault="00846CA2" w:rsidP="000E5516">
      <w:pPr>
        <w:pStyle w:val="Normalnumber"/>
        <w:ind w:left="1247" w:firstLine="0"/>
        <w:rPr>
          <w:lang w:val="fr-CA"/>
        </w:rPr>
      </w:pPr>
      <w:r w:rsidRPr="00A27D8A">
        <w:rPr>
          <w:lang w:val="fr-CA"/>
        </w:rPr>
        <w:t>L’objectif global du programme de renforcement des capacités et d’assistance technique sera de concevoir, mettre en place, renforcer et maintenir</w:t>
      </w:r>
      <w:r w:rsidR="006F53FF" w:rsidRPr="00A27D8A">
        <w:rPr>
          <w:lang w:val="fr-CA"/>
        </w:rPr>
        <w:t xml:space="preserve"> les capacités nécessaires aux Parties pour s’acquitter de leurs obligations au titre de la Convention aux niveaux individuel, organisationnel et systémique</w:t>
      </w:r>
      <w:r w:rsidR="008B6EFE" w:rsidRPr="00A27D8A">
        <w:rPr>
          <w:lang w:val="fr-CA"/>
        </w:rPr>
        <w:t>.</w:t>
      </w:r>
    </w:p>
    <w:p w14:paraId="781A72D3" w14:textId="42307763" w:rsidR="008B6EFE" w:rsidRPr="00A27D8A" w:rsidRDefault="00233372" w:rsidP="000E5516">
      <w:pPr>
        <w:pStyle w:val="Normalnumber"/>
        <w:ind w:left="1247" w:firstLine="0"/>
        <w:rPr>
          <w:lang w:val="fr-CA"/>
        </w:rPr>
      </w:pPr>
      <w:r w:rsidRPr="00A27D8A">
        <w:rPr>
          <w:lang w:val="fr-CA"/>
        </w:rPr>
        <w:t>Le programme de renforcement des capacités et d’assistance technique</w:t>
      </w:r>
      <w:r w:rsidR="00E16C76" w:rsidRPr="00A27D8A">
        <w:rPr>
          <w:lang w:val="fr-CA"/>
        </w:rPr>
        <w:t xml:space="preserve"> comprendra des activités transversales destinées à appuyer la coordination nationale, les capacités institutionnelles, la législation nationale et l’échange d’informations</w:t>
      </w:r>
      <w:r w:rsidR="008B6EFE" w:rsidRPr="00A27D8A">
        <w:rPr>
          <w:lang w:val="fr-CA"/>
        </w:rPr>
        <w:t>.</w:t>
      </w:r>
      <w:r w:rsidR="00E16C76" w:rsidRPr="00A27D8A">
        <w:rPr>
          <w:lang w:val="fr-CA"/>
        </w:rPr>
        <w:t xml:space="preserve"> Ces activités appuieront également une évaluation des besoins et des incidences ainsi que l’élaboration des outils et des méthodologies nécessaires pour soutenir la mise en œuvre</w:t>
      </w:r>
      <w:r w:rsidR="00A44139" w:rsidRPr="00A27D8A">
        <w:rPr>
          <w:lang w:val="fr-CA"/>
        </w:rPr>
        <w:t>.</w:t>
      </w:r>
      <w:r w:rsidR="00E16C76" w:rsidRPr="00A27D8A">
        <w:rPr>
          <w:lang w:val="fr-CA"/>
        </w:rPr>
        <w:t xml:space="preserve"> En outre, le secrétariat mènera des activités de renforcement des capacités sur la base de l’évaluation des besoins et des incidences</w:t>
      </w:r>
      <w:r w:rsidR="00A44139" w:rsidRPr="00A27D8A">
        <w:rPr>
          <w:lang w:val="fr-CA"/>
        </w:rPr>
        <w:t>.</w:t>
      </w:r>
      <w:r w:rsidR="00E16C76" w:rsidRPr="00A27D8A">
        <w:rPr>
          <w:lang w:val="fr-CA"/>
        </w:rPr>
        <w:t xml:space="preserve"> Le secrétariat doit également se tenir prêt à donner suite</w:t>
      </w:r>
      <w:r w:rsidR="00EF28B9" w:rsidRPr="00A27D8A">
        <w:rPr>
          <w:lang w:val="fr-CA"/>
        </w:rPr>
        <w:t>, sur demande,</w:t>
      </w:r>
      <w:r w:rsidR="00E16C76" w:rsidRPr="00A27D8A">
        <w:rPr>
          <w:lang w:val="fr-CA"/>
        </w:rPr>
        <w:t xml:space="preserve"> à des activités spécifiques de renforcement des capacités</w:t>
      </w:r>
      <w:r w:rsidR="008B6EFE" w:rsidRPr="00A27D8A">
        <w:rPr>
          <w:lang w:val="fr-CA"/>
        </w:rPr>
        <w:t xml:space="preserve">. </w:t>
      </w:r>
    </w:p>
    <w:p w14:paraId="6EC2535A" w14:textId="31EC1886" w:rsidR="00CE7657" w:rsidRPr="00A27D8A" w:rsidRDefault="00EF28B9" w:rsidP="000E5516">
      <w:pPr>
        <w:pStyle w:val="Normalnumber"/>
        <w:ind w:left="1247" w:firstLine="0"/>
        <w:rPr>
          <w:lang w:val="fr-CA"/>
        </w:rPr>
      </w:pPr>
      <w:r w:rsidRPr="00A27D8A">
        <w:rPr>
          <w:lang w:val="fr-CA"/>
        </w:rPr>
        <w:t xml:space="preserve">Toutes les activités liées au renforcement des capacités et à l’assistance technique pour l’exercice biennal </w:t>
      </w:r>
      <w:r w:rsidR="008B6EFE" w:rsidRPr="00A27D8A">
        <w:rPr>
          <w:lang w:val="fr-CA"/>
        </w:rPr>
        <w:t>2018</w:t>
      </w:r>
      <w:r w:rsidR="00A05BF6" w:rsidRPr="00A27D8A">
        <w:rPr>
          <w:lang w:val="fr-CA"/>
        </w:rPr>
        <w:t>–</w:t>
      </w:r>
      <w:r w:rsidR="008B6EFE" w:rsidRPr="00A27D8A">
        <w:rPr>
          <w:lang w:val="fr-CA"/>
        </w:rPr>
        <w:t xml:space="preserve">2019 </w:t>
      </w:r>
      <w:r w:rsidRPr="00A27D8A">
        <w:rPr>
          <w:lang w:val="fr-CA"/>
        </w:rPr>
        <w:t>seront financées par l’intermédiaire du</w:t>
      </w:r>
      <w:r w:rsidR="008B6EFE" w:rsidRPr="00A27D8A">
        <w:rPr>
          <w:lang w:val="fr-CA"/>
        </w:rPr>
        <w:t xml:space="preserve"> </w:t>
      </w:r>
      <w:r w:rsidRPr="00A27D8A">
        <w:rPr>
          <w:lang w:val="fr-CA"/>
        </w:rPr>
        <w:t>Fonds d’affectation spéciale de contributions volontaires</w:t>
      </w:r>
      <w:r w:rsidR="008B6EFE" w:rsidRPr="00A27D8A">
        <w:rPr>
          <w:lang w:val="fr-CA"/>
        </w:rPr>
        <w:t xml:space="preserve">. </w:t>
      </w:r>
    </w:p>
    <w:p w14:paraId="0E4E32BD" w14:textId="554BE932" w:rsidR="00CE7657" w:rsidRPr="00A27D8A" w:rsidRDefault="00431A61" w:rsidP="00C25EDE">
      <w:pPr>
        <w:pStyle w:val="CH3"/>
        <w:ind w:left="1253"/>
        <w:rPr>
          <w:lang w:val="fr-CA"/>
        </w:rPr>
      </w:pPr>
      <w:r w:rsidRPr="00A27D8A">
        <w:rPr>
          <w:lang w:val="fr-CA"/>
        </w:rPr>
        <w:lastRenderedPageBreak/>
        <w:tab/>
      </w:r>
      <w:r w:rsidR="00CE7657" w:rsidRPr="00A27D8A">
        <w:rPr>
          <w:lang w:val="fr-CA"/>
        </w:rPr>
        <w:t>3.</w:t>
      </w:r>
      <w:r w:rsidR="00CE7657" w:rsidRPr="00A27D8A">
        <w:rPr>
          <w:lang w:val="fr-CA"/>
        </w:rPr>
        <w:tab/>
      </w:r>
      <w:r w:rsidR="00EF28B9" w:rsidRPr="00A27D8A">
        <w:rPr>
          <w:lang w:val="fr-CA"/>
        </w:rPr>
        <w:t>Activités scientifiques et techniques</w:t>
      </w:r>
    </w:p>
    <w:p w14:paraId="61F1A4DA" w14:textId="05E30DDE" w:rsidR="00CE7657" w:rsidRPr="00A27D8A" w:rsidRDefault="003D057F" w:rsidP="00C25EDE">
      <w:pPr>
        <w:pStyle w:val="Normalnumber"/>
        <w:keepNext/>
        <w:keepLines/>
        <w:ind w:left="1253" w:firstLine="0"/>
        <w:rPr>
          <w:lang w:val="fr-CA"/>
        </w:rPr>
      </w:pPr>
      <w:r w:rsidRPr="00A27D8A">
        <w:rPr>
          <w:lang w:val="fr-CA"/>
        </w:rPr>
        <w:t>Le secrétariat est chargé de fournir un appui scientifique et technique aux Parties à la Convention, notamment en poursuivant l’élaboration des documents d’orientation et des projets de directive nécessaires à la Convention</w:t>
      </w:r>
      <w:r w:rsidR="002E73EF" w:rsidRPr="00A27D8A">
        <w:rPr>
          <w:lang w:val="fr-CA"/>
        </w:rPr>
        <w:t xml:space="preserve">. </w:t>
      </w:r>
      <w:r w:rsidR="001C1465" w:rsidRPr="00A27D8A">
        <w:rPr>
          <w:lang w:val="fr-CA"/>
        </w:rPr>
        <w:t>Les domaines d’activité comprennent les émissions et les rejets de mercure et de composés du mercure, le stockage provisoire, les déchets et les sites contaminés</w:t>
      </w:r>
      <w:r w:rsidR="008A54FB" w:rsidRPr="00A27D8A">
        <w:rPr>
          <w:lang w:val="fr-CA"/>
        </w:rPr>
        <w:t>.</w:t>
      </w:r>
      <w:r w:rsidR="001C1465" w:rsidRPr="00A27D8A">
        <w:rPr>
          <w:lang w:val="fr-CA"/>
        </w:rPr>
        <w:t xml:space="preserve"> Le secrétariat réalisera des rapports équilibrés et fondés sur des données factuelles ainsi que des analyses</w:t>
      </w:r>
      <w:r w:rsidR="00351162" w:rsidRPr="00A27D8A">
        <w:rPr>
          <w:lang w:val="fr-CA"/>
        </w:rPr>
        <w:t xml:space="preserve"> scientifiques et techniques afin de faciliter la prise de décisions et de soutenir la mise en œuvre de la Convention, produira des analyses politiques et techniques concernant des questions transversales et coordonnera les efforts collaboratifs avec les partenaires à l’appui de la Convention, auxquels il prendra part</w:t>
      </w:r>
      <w:r w:rsidR="002738BA" w:rsidRPr="00A27D8A">
        <w:rPr>
          <w:lang w:val="fr-CA"/>
        </w:rPr>
        <w:t>.</w:t>
      </w:r>
      <w:r w:rsidR="00351162" w:rsidRPr="00A27D8A">
        <w:rPr>
          <w:lang w:val="fr-CA"/>
        </w:rPr>
        <w:t xml:space="preserve"> Enfin, </w:t>
      </w:r>
      <w:r w:rsidR="00CB40E2" w:rsidRPr="00A27D8A">
        <w:rPr>
          <w:lang w:val="fr-CA"/>
        </w:rPr>
        <w:t>l’</w:t>
      </w:r>
      <w:r w:rsidR="00351162" w:rsidRPr="00A27D8A">
        <w:rPr>
          <w:lang w:val="fr-CA"/>
        </w:rPr>
        <w:t xml:space="preserve">appui scientifique et technique soutiendra également la communication stratégique de la </w:t>
      </w:r>
      <w:r w:rsidR="002E73EF" w:rsidRPr="00A27D8A">
        <w:rPr>
          <w:lang w:val="fr-CA"/>
        </w:rPr>
        <w:t>Convention</w:t>
      </w:r>
      <w:r w:rsidR="002738BA" w:rsidRPr="00A27D8A">
        <w:rPr>
          <w:lang w:val="fr-CA"/>
        </w:rPr>
        <w:t xml:space="preserve">. </w:t>
      </w:r>
    </w:p>
    <w:p w14:paraId="36674CC5" w14:textId="0E3EAEC3" w:rsidR="00C10042" w:rsidRPr="00A27D8A" w:rsidRDefault="001E4C0A" w:rsidP="000E5516">
      <w:pPr>
        <w:pStyle w:val="Normalnumber"/>
        <w:ind w:left="1247" w:firstLine="0"/>
        <w:rPr>
          <w:lang w:val="fr-CA"/>
        </w:rPr>
      </w:pPr>
      <w:r w:rsidRPr="00A27D8A">
        <w:rPr>
          <w:lang w:val="fr-CA"/>
        </w:rPr>
        <w:t>En vertu de la</w:t>
      </w:r>
      <w:r w:rsidR="00C10042" w:rsidRPr="00A27D8A">
        <w:rPr>
          <w:lang w:val="fr-CA"/>
        </w:rPr>
        <w:t xml:space="preserve"> Convention, </w:t>
      </w:r>
      <w:r w:rsidRPr="00A27D8A">
        <w:rPr>
          <w:lang w:val="fr-CA"/>
        </w:rPr>
        <w:t>la Conférence des Parties devrait entreprendre une évaluation de l’efficacité de la Convention</w:t>
      </w:r>
      <w:r w:rsidRPr="00A27D8A">
        <w:rPr>
          <w:color w:val="000000"/>
          <w:sz w:val="27"/>
          <w:szCs w:val="27"/>
          <w:lang w:val="fr-CA"/>
        </w:rPr>
        <w:t xml:space="preserve"> </w:t>
      </w:r>
      <w:r w:rsidRPr="00A27D8A">
        <w:rPr>
          <w:lang w:val="fr-CA"/>
        </w:rPr>
        <w:t>au plus tard six ans après sa date d’entrée en vigueur</w:t>
      </w:r>
      <w:r w:rsidR="00C10042" w:rsidRPr="00A27D8A">
        <w:rPr>
          <w:lang w:val="fr-CA"/>
        </w:rPr>
        <w:t>.</w:t>
      </w:r>
      <w:r w:rsidRPr="00A27D8A">
        <w:rPr>
          <w:lang w:val="fr-CA"/>
        </w:rPr>
        <w:t xml:space="preserve"> Les travaux doivent commencer à la première réunion en amorçant l’établissement de dispositions visant à recueillir des données de surveillance</w:t>
      </w:r>
      <w:r w:rsidR="00C10042" w:rsidRPr="00A27D8A">
        <w:rPr>
          <w:lang w:val="fr-CA"/>
        </w:rPr>
        <w:t>.</w:t>
      </w:r>
      <w:r w:rsidRPr="00A27D8A">
        <w:rPr>
          <w:lang w:val="fr-CA"/>
        </w:rPr>
        <w:t xml:space="preserve"> Le secrétariat devrait être chargé d’aider ce processus par l’élaboration de projets de document, selon les besoins, ainsi que la coordination des contributions et l’organisation de réunions pour les groupes d’experts qui pourraient être mis en place</w:t>
      </w:r>
      <w:r w:rsidR="00C10042" w:rsidRPr="00A27D8A">
        <w:rPr>
          <w:lang w:val="fr-CA"/>
        </w:rPr>
        <w:t xml:space="preserve">. </w:t>
      </w:r>
    </w:p>
    <w:p w14:paraId="06B88E07" w14:textId="2EE7E6C1" w:rsidR="002738BA" w:rsidRPr="00A27D8A" w:rsidRDefault="001E4C0A" w:rsidP="000E5516">
      <w:pPr>
        <w:pStyle w:val="Normalnumber"/>
        <w:ind w:left="1247" w:firstLine="0"/>
        <w:rPr>
          <w:lang w:val="fr-CA"/>
        </w:rPr>
      </w:pPr>
      <w:r w:rsidRPr="00A27D8A">
        <w:rPr>
          <w:lang w:val="fr-CA"/>
        </w:rPr>
        <w:t>La première réunion de la Conférence des Parties conviendra de la structure et du contenu</w:t>
      </w:r>
      <w:r w:rsidR="009579BE" w:rsidRPr="00A27D8A">
        <w:rPr>
          <w:lang w:val="fr-CA"/>
        </w:rPr>
        <w:t xml:space="preserve"> du</w:t>
      </w:r>
      <w:r w:rsidR="00A271B3" w:rsidRPr="00A27D8A">
        <w:rPr>
          <w:lang w:val="fr-CA"/>
        </w:rPr>
        <w:t xml:space="preserve"> </w:t>
      </w:r>
      <w:r w:rsidR="009579BE" w:rsidRPr="00A27D8A">
        <w:rPr>
          <w:lang w:val="fr-CA"/>
        </w:rPr>
        <w:t>formulaire de communication d’informations ainsi que de la fréquence de la communication d’informations</w:t>
      </w:r>
      <w:r w:rsidR="00A271B3" w:rsidRPr="00A27D8A">
        <w:rPr>
          <w:lang w:val="fr-CA"/>
        </w:rPr>
        <w:t>.</w:t>
      </w:r>
      <w:r w:rsidR="009579BE" w:rsidRPr="00A27D8A">
        <w:rPr>
          <w:lang w:val="fr-CA"/>
        </w:rPr>
        <w:t xml:space="preserve"> Le secrétariat appuiera le processus de communication d’informations, notamment par l’élaboration d’un outil en ligne à l’intention des Parties</w:t>
      </w:r>
      <w:r w:rsidR="00431574" w:rsidRPr="00A27D8A">
        <w:rPr>
          <w:lang w:val="fr-CA"/>
        </w:rPr>
        <w:t xml:space="preserve">. </w:t>
      </w:r>
      <w:r w:rsidR="009579BE" w:rsidRPr="00A27D8A">
        <w:rPr>
          <w:lang w:val="fr-CA"/>
        </w:rPr>
        <w:t>Le secrétariat fournira également des informations ainsi que d’autres outils et orientations concernant la communication d’informations, selon les besoins</w:t>
      </w:r>
      <w:r w:rsidR="00A271B3" w:rsidRPr="00A27D8A">
        <w:rPr>
          <w:lang w:val="fr-CA"/>
        </w:rPr>
        <w:t xml:space="preserve">. </w:t>
      </w:r>
    </w:p>
    <w:p w14:paraId="1D2FFE3E" w14:textId="0652AFBE" w:rsidR="007B6BE2" w:rsidRPr="00A27D8A" w:rsidRDefault="009579BE" w:rsidP="000E5516">
      <w:pPr>
        <w:pStyle w:val="Normalnumber"/>
        <w:ind w:left="1247" w:firstLine="0"/>
        <w:rPr>
          <w:lang w:val="fr-CA"/>
        </w:rPr>
      </w:pPr>
      <w:r w:rsidRPr="00A27D8A">
        <w:rPr>
          <w:lang w:val="fr-CA"/>
        </w:rPr>
        <w:t xml:space="preserve">Les activités scientifiques et techniques pour l’exercice biennal </w:t>
      </w:r>
      <w:r w:rsidR="002738BA" w:rsidRPr="00A27D8A">
        <w:rPr>
          <w:lang w:val="fr-CA"/>
        </w:rPr>
        <w:t>2018</w:t>
      </w:r>
      <w:r w:rsidR="00616984" w:rsidRPr="00A27D8A">
        <w:rPr>
          <w:lang w:val="fr-CA"/>
        </w:rPr>
        <w:t>–</w:t>
      </w:r>
      <w:r w:rsidR="002738BA" w:rsidRPr="00A27D8A">
        <w:rPr>
          <w:lang w:val="fr-CA"/>
        </w:rPr>
        <w:t xml:space="preserve">2019 </w:t>
      </w:r>
      <w:r w:rsidRPr="00A27D8A">
        <w:rPr>
          <w:lang w:val="fr-CA"/>
        </w:rPr>
        <w:t xml:space="preserve">devraient être financées </w:t>
      </w:r>
      <w:bookmarkStart w:id="12" w:name="_Hlk489780028"/>
      <w:r w:rsidRPr="00A27D8A">
        <w:rPr>
          <w:lang w:val="fr-CA"/>
        </w:rPr>
        <w:t>par la dotation budgétaire prévue pour les dépenses de personnel</w:t>
      </w:r>
      <w:bookmarkEnd w:id="12"/>
      <w:r w:rsidR="00A271B3" w:rsidRPr="00A27D8A">
        <w:rPr>
          <w:lang w:val="fr-CA"/>
        </w:rPr>
        <w:t>,</w:t>
      </w:r>
      <w:r w:rsidRPr="00A27D8A">
        <w:rPr>
          <w:lang w:val="fr-CA"/>
        </w:rPr>
        <w:t xml:space="preserve"> à l’exception d’un montant</w:t>
      </w:r>
      <w:r w:rsidR="00A271B3" w:rsidRPr="00A27D8A">
        <w:rPr>
          <w:lang w:val="fr-CA"/>
        </w:rPr>
        <w:t xml:space="preserve"> </w:t>
      </w:r>
      <w:r w:rsidRPr="00A27D8A">
        <w:rPr>
          <w:lang w:val="fr-CA"/>
        </w:rPr>
        <w:t>alloué à l’élaboration d’un outil en ligne</w:t>
      </w:r>
      <w:r w:rsidR="00A271B3" w:rsidRPr="00A27D8A">
        <w:rPr>
          <w:lang w:val="fr-CA"/>
        </w:rPr>
        <w:t>.</w:t>
      </w:r>
    </w:p>
    <w:p w14:paraId="659E2407" w14:textId="5D71EB51" w:rsidR="00EF5CEC" w:rsidRPr="00A27D8A" w:rsidRDefault="00431A61" w:rsidP="00040F66">
      <w:pPr>
        <w:pStyle w:val="CH3"/>
        <w:rPr>
          <w:lang w:val="fr-CA"/>
        </w:rPr>
      </w:pPr>
      <w:r w:rsidRPr="00A27D8A">
        <w:rPr>
          <w:lang w:val="fr-CA"/>
        </w:rPr>
        <w:tab/>
      </w:r>
      <w:r w:rsidR="0078236F" w:rsidRPr="00A27D8A">
        <w:rPr>
          <w:lang w:val="fr-CA"/>
        </w:rPr>
        <w:t>4.</w:t>
      </w:r>
      <w:r w:rsidR="0078236F" w:rsidRPr="00A27D8A">
        <w:rPr>
          <w:lang w:val="fr-CA"/>
        </w:rPr>
        <w:tab/>
      </w:r>
      <w:r w:rsidR="003A7508" w:rsidRPr="00A27D8A">
        <w:rPr>
          <w:lang w:val="fr-CA"/>
        </w:rPr>
        <w:t>Gestion des connaissances et de l’information et communication</w:t>
      </w:r>
    </w:p>
    <w:p w14:paraId="3FFF0B8E" w14:textId="5635E007" w:rsidR="00EF5CEC" w:rsidRPr="00A27D8A" w:rsidRDefault="0034145A" w:rsidP="000E5516">
      <w:pPr>
        <w:pStyle w:val="Normalnumber"/>
        <w:ind w:left="1247" w:firstLine="0"/>
        <w:rPr>
          <w:lang w:val="fr-CA"/>
        </w:rPr>
      </w:pPr>
      <w:r w:rsidRPr="00A27D8A">
        <w:rPr>
          <w:lang w:val="fr-CA"/>
        </w:rPr>
        <w:t>Le secrétariat appuiera l</w:t>
      </w:r>
      <w:r w:rsidR="0068258C">
        <w:rPr>
          <w:lang w:val="fr-CA"/>
        </w:rPr>
        <w:t>es activités de</w:t>
      </w:r>
      <w:r w:rsidRPr="00A27D8A">
        <w:rPr>
          <w:lang w:val="fr-CA"/>
        </w:rPr>
        <w:t xml:space="preserve"> gestion des connaissances et de l’information de la Convention, comme le prévoit l’</w:t>
      </w:r>
      <w:r w:rsidR="00431574" w:rsidRPr="00A27D8A">
        <w:rPr>
          <w:lang w:val="fr-CA"/>
        </w:rPr>
        <w:t>a</w:t>
      </w:r>
      <w:r w:rsidRPr="00A27D8A">
        <w:rPr>
          <w:lang w:val="fr-CA"/>
        </w:rPr>
        <w:t>rticle </w:t>
      </w:r>
      <w:r w:rsidR="004A5554" w:rsidRPr="00A27D8A">
        <w:rPr>
          <w:lang w:val="fr-CA"/>
        </w:rPr>
        <w:t>17.</w:t>
      </w:r>
      <w:r w:rsidRPr="00A27D8A">
        <w:rPr>
          <w:lang w:val="fr-CA"/>
        </w:rPr>
        <w:t xml:space="preserve"> La gestion efficace des connaissances et de l’information représente</w:t>
      </w:r>
      <w:r w:rsidR="004A5554" w:rsidRPr="00A27D8A">
        <w:rPr>
          <w:lang w:val="fr-CA"/>
        </w:rPr>
        <w:t xml:space="preserve"> </w:t>
      </w:r>
      <w:r w:rsidRPr="00A27D8A">
        <w:rPr>
          <w:lang w:val="fr-CA"/>
        </w:rPr>
        <w:t>une pierre angulaire des effort</w:t>
      </w:r>
      <w:r w:rsidR="00EA3C72" w:rsidRPr="00A27D8A">
        <w:rPr>
          <w:lang w:val="fr-CA"/>
        </w:rPr>
        <w:t>s</w:t>
      </w:r>
      <w:r w:rsidRPr="00A27D8A">
        <w:rPr>
          <w:lang w:val="fr-CA"/>
        </w:rPr>
        <w:t xml:space="preserve"> de mise en œuvre</w:t>
      </w:r>
      <w:r w:rsidR="00006B07" w:rsidRPr="00A27D8A">
        <w:rPr>
          <w:lang w:val="fr-CA"/>
        </w:rPr>
        <w:t>,</w:t>
      </w:r>
      <w:r w:rsidRPr="00A27D8A">
        <w:rPr>
          <w:lang w:val="fr-CA"/>
        </w:rPr>
        <w:t xml:space="preserve"> en ce qu’elle permet aux Parties d’échanger des informations entre elles et d’établir </w:t>
      </w:r>
      <w:r w:rsidR="00074FFF" w:rsidRPr="00A27D8A">
        <w:rPr>
          <w:lang w:val="fr-CA"/>
        </w:rPr>
        <w:t>le</w:t>
      </w:r>
      <w:r w:rsidRPr="00A27D8A">
        <w:rPr>
          <w:lang w:val="fr-CA"/>
        </w:rPr>
        <w:t xml:space="preserve"> répertoire des connaissances sur la mise en œuvre de la Convention dans différents contextes nationaux et régionaux, notamment concernant les enseignements acquis dans le cadre de la co</w:t>
      </w:r>
      <w:r w:rsidR="00FD0E00" w:rsidRPr="00A27D8A">
        <w:rPr>
          <w:lang w:val="fr-CA"/>
        </w:rPr>
        <w:t>llaboration Sud-Sud et Nord-Sud</w:t>
      </w:r>
      <w:r w:rsidR="004A5554" w:rsidRPr="00A27D8A">
        <w:rPr>
          <w:lang w:val="fr-CA"/>
        </w:rPr>
        <w:t>.</w:t>
      </w:r>
      <w:r w:rsidR="00FD0E00" w:rsidRPr="00A27D8A">
        <w:rPr>
          <w:lang w:val="fr-CA"/>
        </w:rPr>
        <w:t xml:space="preserve"> La mise en place d’un système de gestion des connaissances et de l’information dédié, souple et accessible pour la Convention est essentielle à cet égard</w:t>
      </w:r>
      <w:r w:rsidR="004A5554" w:rsidRPr="00A27D8A">
        <w:rPr>
          <w:lang w:val="fr-CA"/>
        </w:rPr>
        <w:t xml:space="preserve">. </w:t>
      </w:r>
    </w:p>
    <w:p w14:paraId="143D199E" w14:textId="4E3A92AE" w:rsidR="00924EA9" w:rsidRPr="00A27D8A" w:rsidRDefault="009B6351" w:rsidP="000E5516">
      <w:pPr>
        <w:pStyle w:val="Normalnumber"/>
        <w:ind w:left="1247" w:firstLine="0"/>
        <w:rPr>
          <w:lang w:val="fr-CA"/>
        </w:rPr>
      </w:pPr>
      <w:r w:rsidRPr="00A27D8A">
        <w:rPr>
          <w:lang w:val="fr-CA"/>
        </w:rPr>
        <w:t>Le secrétariat est également chargé de mieux faire connaître la Convention par la mise en place d’une communication stratégique</w:t>
      </w:r>
      <w:r w:rsidR="004A5554" w:rsidRPr="00A27D8A">
        <w:rPr>
          <w:lang w:val="fr-CA"/>
        </w:rPr>
        <w:t xml:space="preserve">. </w:t>
      </w:r>
      <w:r w:rsidRPr="00A27D8A">
        <w:rPr>
          <w:lang w:val="fr-CA"/>
        </w:rPr>
        <w:t>La viabilité à long terme de la Convention sera renforcée si les décideurs et le grand public sont conscients et informés de l’importance de ses objectifs, de la pertinence de ces objectifs dans la vie de tous les jours et des liens entre les travaux de la Convention et différents autres secteurs</w:t>
      </w:r>
      <w:r w:rsidR="004A5554" w:rsidRPr="00A27D8A">
        <w:rPr>
          <w:lang w:val="fr-CA"/>
        </w:rPr>
        <w:t xml:space="preserve">. </w:t>
      </w:r>
    </w:p>
    <w:p w14:paraId="21C1C60B" w14:textId="5D71EA65" w:rsidR="00FC4067" w:rsidRPr="00A27D8A" w:rsidRDefault="001B3E08" w:rsidP="000E5516">
      <w:pPr>
        <w:pStyle w:val="Normalnumber"/>
        <w:ind w:left="1247" w:firstLine="0"/>
        <w:rPr>
          <w:lang w:val="fr-CA"/>
        </w:rPr>
      </w:pPr>
      <w:r w:rsidRPr="00A27D8A">
        <w:rPr>
          <w:lang w:val="fr-CA"/>
        </w:rPr>
        <w:t>L’élaboration et la diffusion de</w:t>
      </w:r>
      <w:r w:rsidR="003B0F48" w:rsidRPr="00A27D8A">
        <w:rPr>
          <w:lang w:val="fr-CA"/>
        </w:rPr>
        <w:t xml:space="preserve"> matériels et de publications (y compris des publications en ligne) sont essentielles aux efforts de sensibilisation et devraient comprendre la publication et la diffusion du texte</w:t>
      </w:r>
      <w:r w:rsidR="00C25EDE" w:rsidRPr="00A27D8A">
        <w:rPr>
          <w:lang w:val="fr-CA"/>
        </w:rPr>
        <w:t xml:space="preserve"> de la Convention</w:t>
      </w:r>
      <w:r w:rsidR="003B0F48" w:rsidRPr="00A27D8A">
        <w:rPr>
          <w:lang w:val="fr-CA"/>
        </w:rPr>
        <w:t xml:space="preserve">, du règlement intérieur et des règles de gestion financière de la Convention, ainsi que de fiches d’information et </w:t>
      </w:r>
      <w:r w:rsidR="00074FFF" w:rsidRPr="00A27D8A">
        <w:rPr>
          <w:lang w:val="fr-CA"/>
        </w:rPr>
        <w:t>d’</w:t>
      </w:r>
      <w:r w:rsidR="003B0F48" w:rsidRPr="00A27D8A">
        <w:rPr>
          <w:lang w:val="fr-CA"/>
        </w:rPr>
        <w:t>autres publications clés</w:t>
      </w:r>
      <w:r w:rsidR="00FC4067" w:rsidRPr="00A27D8A">
        <w:rPr>
          <w:lang w:val="fr-CA"/>
        </w:rPr>
        <w:t xml:space="preserve">. </w:t>
      </w:r>
    </w:p>
    <w:p w14:paraId="441098C8" w14:textId="43D52614" w:rsidR="00FC4067" w:rsidRPr="00A27D8A" w:rsidRDefault="003B0F48" w:rsidP="000E5516">
      <w:pPr>
        <w:pStyle w:val="Normalnumber"/>
        <w:ind w:left="1247" w:firstLine="0"/>
        <w:rPr>
          <w:lang w:val="fr-CA"/>
        </w:rPr>
      </w:pPr>
      <w:r w:rsidRPr="00A27D8A">
        <w:rPr>
          <w:lang w:val="fr-CA"/>
        </w:rPr>
        <w:t>Dans la mesure où il s’agit d’une nouvelle convention, une campagne de communication stratégique devra également être mise en place</w:t>
      </w:r>
      <w:r w:rsidR="004B2837" w:rsidRPr="00A27D8A">
        <w:rPr>
          <w:lang w:val="fr-CA"/>
        </w:rPr>
        <w:t>, comprenant un</w:t>
      </w:r>
      <w:r w:rsidR="001037D0" w:rsidRPr="00A27D8A">
        <w:rPr>
          <w:lang w:val="fr-CA"/>
        </w:rPr>
        <w:t xml:space="preserve"> profil</w:t>
      </w:r>
      <w:r w:rsidR="004B2837" w:rsidRPr="00A27D8A">
        <w:rPr>
          <w:lang w:val="fr-CA"/>
        </w:rPr>
        <w:t xml:space="preserve"> </w:t>
      </w:r>
      <w:r w:rsidR="001037D0" w:rsidRPr="00A27D8A">
        <w:rPr>
          <w:lang w:val="fr-CA"/>
        </w:rPr>
        <w:t>de</w:t>
      </w:r>
      <w:r w:rsidR="004B2837" w:rsidRPr="00A27D8A">
        <w:rPr>
          <w:lang w:val="fr-CA"/>
        </w:rPr>
        <w:t xml:space="preserve"> média social, une identité, un emblème et un logo visuels ainsi que des éléments multimédias connexes à des fins de publicité</w:t>
      </w:r>
      <w:r w:rsidR="00FC4067" w:rsidRPr="00A27D8A">
        <w:rPr>
          <w:lang w:val="fr-CA"/>
        </w:rPr>
        <w:t xml:space="preserve">. </w:t>
      </w:r>
    </w:p>
    <w:p w14:paraId="616D30F5" w14:textId="7FE01796" w:rsidR="00FC4067" w:rsidRPr="00A27D8A" w:rsidRDefault="004B2837" w:rsidP="000E5516">
      <w:pPr>
        <w:pStyle w:val="Normalnumber"/>
        <w:ind w:left="1247" w:firstLine="0"/>
        <w:rPr>
          <w:lang w:val="fr-CA"/>
        </w:rPr>
      </w:pPr>
      <w:r w:rsidRPr="00A27D8A">
        <w:rPr>
          <w:lang w:val="fr-CA"/>
        </w:rPr>
        <w:t xml:space="preserve">Les fonctions de gestion des connaissances et de l’information, ainsi que les activités de communication stratégique pour l’exercice biennal </w:t>
      </w:r>
      <w:r w:rsidR="00FC4067" w:rsidRPr="00A27D8A">
        <w:rPr>
          <w:lang w:val="fr-CA"/>
        </w:rPr>
        <w:t>2018</w:t>
      </w:r>
      <w:r w:rsidR="006801E3" w:rsidRPr="00A27D8A">
        <w:rPr>
          <w:lang w:val="fr-CA"/>
        </w:rPr>
        <w:t>–</w:t>
      </w:r>
      <w:r w:rsidR="00FC4067" w:rsidRPr="00A27D8A">
        <w:rPr>
          <w:lang w:val="fr-CA"/>
        </w:rPr>
        <w:t xml:space="preserve">2019 </w:t>
      </w:r>
      <w:r w:rsidRPr="00A27D8A">
        <w:rPr>
          <w:lang w:val="fr-CA"/>
        </w:rPr>
        <w:t>constituent une partie essentielle des travaux du secrétariat et seront principalement financées par le</w:t>
      </w:r>
      <w:r w:rsidR="00FC4067" w:rsidRPr="00A27D8A">
        <w:rPr>
          <w:lang w:val="fr-CA"/>
        </w:rPr>
        <w:t xml:space="preserve"> </w:t>
      </w:r>
      <w:r w:rsidRPr="00A27D8A">
        <w:rPr>
          <w:lang w:val="fr-CA"/>
        </w:rPr>
        <w:t>Fonds général d’affectation spéciale</w:t>
      </w:r>
      <w:r w:rsidR="00FC4067" w:rsidRPr="00A27D8A">
        <w:rPr>
          <w:lang w:val="fr-CA"/>
        </w:rPr>
        <w:t xml:space="preserve">. </w:t>
      </w:r>
    </w:p>
    <w:p w14:paraId="4BFD7E59" w14:textId="5DDC89E9" w:rsidR="00C07F78" w:rsidRPr="00A27D8A" w:rsidRDefault="00431A61" w:rsidP="00C03273">
      <w:pPr>
        <w:pStyle w:val="CH3"/>
        <w:rPr>
          <w:lang w:val="fr-CA"/>
        </w:rPr>
      </w:pPr>
      <w:r w:rsidRPr="00A27D8A">
        <w:rPr>
          <w:lang w:val="fr-CA"/>
        </w:rPr>
        <w:tab/>
      </w:r>
      <w:r w:rsidR="00C07F78" w:rsidRPr="00A27D8A">
        <w:rPr>
          <w:lang w:val="fr-CA"/>
        </w:rPr>
        <w:t>5.</w:t>
      </w:r>
      <w:r w:rsidR="00C07F78" w:rsidRPr="00A27D8A">
        <w:rPr>
          <w:lang w:val="fr-CA"/>
        </w:rPr>
        <w:tab/>
      </w:r>
      <w:r w:rsidR="004B2837" w:rsidRPr="00A27D8A">
        <w:rPr>
          <w:lang w:val="fr-CA"/>
        </w:rPr>
        <w:t>Gestion générale</w:t>
      </w:r>
      <w:r w:rsidR="000A7CE7" w:rsidRPr="00A27D8A">
        <w:rPr>
          <w:lang w:val="fr-CA"/>
        </w:rPr>
        <w:t xml:space="preserve"> </w:t>
      </w:r>
    </w:p>
    <w:p w14:paraId="2896BF7E" w14:textId="6F307F90" w:rsidR="00C07F78" w:rsidRPr="00A27D8A" w:rsidRDefault="004F10C0" w:rsidP="000E5516">
      <w:pPr>
        <w:pStyle w:val="Normalnumber"/>
        <w:ind w:left="1247" w:firstLine="0"/>
        <w:rPr>
          <w:lang w:val="fr-CA"/>
        </w:rPr>
      </w:pPr>
      <w:r w:rsidRPr="00A27D8A">
        <w:rPr>
          <w:lang w:val="fr-CA"/>
        </w:rPr>
        <w:t>La fourniture d’un appui efficace aux Parties à la Convention requiert une direction exécutive réactive et stratégique</w:t>
      </w:r>
      <w:r w:rsidR="00346ACA" w:rsidRPr="00A27D8A">
        <w:rPr>
          <w:lang w:val="fr-CA"/>
        </w:rPr>
        <w:t>.</w:t>
      </w:r>
      <w:r w:rsidRPr="00A27D8A">
        <w:rPr>
          <w:lang w:val="fr-CA"/>
        </w:rPr>
        <w:t xml:space="preserve"> Elle requiert également </w:t>
      </w:r>
      <w:r w:rsidR="005F584D" w:rsidRPr="00A27D8A">
        <w:rPr>
          <w:lang w:val="fr-CA"/>
        </w:rPr>
        <w:t>de la cohérence dans la gestion du personnel, dans l’exécution des fonctions de secrétariat et dans les ressources financières</w:t>
      </w:r>
      <w:r w:rsidR="00C07F78" w:rsidRPr="00A27D8A">
        <w:rPr>
          <w:lang w:val="fr-CA"/>
        </w:rPr>
        <w:t>.</w:t>
      </w:r>
      <w:r w:rsidR="005F584D" w:rsidRPr="00A27D8A">
        <w:rPr>
          <w:lang w:val="fr-CA"/>
        </w:rPr>
        <w:t xml:space="preserve"> À cet égard, le Chef du secrétariat assure la planification et la gestion stratégique</w:t>
      </w:r>
      <w:r w:rsidR="001037D0" w:rsidRPr="00A27D8A">
        <w:rPr>
          <w:lang w:val="fr-CA"/>
        </w:rPr>
        <w:t>s</w:t>
      </w:r>
      <w:r w:rsidR="005F584D" w:rsidRPr="00A27D8A">
        <w:rPr>
          <w:lang w:val="fr-CA"/>
        </w:rPr>
        <w:t>, veille à la circulation efficace de l’information et surveille les progrès accomplis dans la mise en œuvre du programme de travail</w:t>
      </w:r>
      <w:r w:rsidR="00C07F78" w:rsidRPr="00A27D8A">
        <w:rPr>
          <w:lang w:val="fr-CA"/>
        </w:rPr>
        <w:t>.</w:t>
      </w:r>
    </w:p>
    <w:p w14:paraId="11E8B333" w14:textId="3D56C53C" w:rsidR="00C07F78" w:rsidRPr="00A27D8A" w:rsidRDefault="005F584D" w:rsidP="000E5516">
      <w:pPr>
        <w:pStyle w:val="Normalnumber"/>
        <w:ind w:left="1247" w:firstLine="0"/>
        <w:rPr>
          <w:lang w:val="fr-CA"/>
        </w:rPr>
      </w:pPr>
      <w:r w:rsidRPr="00A27D8A">
        <w:rPr>
          <w:lang w:val="fr-CA"/>
        </w:rPr>
        <w:lastRenderedPageBreak/>
        <w:t xml:space="preserve">Le Chef du secrétariat est chargé d’assurer la cohérence des réunions, d’établir un ordre de priorité </w:t>
      </w:r>
      <w:r w:rsidR="00CB40E2" w:rsidRPr="00A27D8A">
        <w:rPr>
          <w:lang w:val="fr-CA"/>
        </w:rPr>
        <w:t>pour les</w:t>
      </w:r>
      <w:r w:rsidRPr="00A27D8A">
        <w:rPr>
          <w:lang w:val="fr-CA"/>
        </w:rPr>
        <w:t xml:space="preserve"> travaux</w:t>
      </w:r>
      <w:r w:rsidR="00CB40E2" w:rsidRPr="00A27D8A">
        <w:rPr>
          <w:lang w:val="fr-CA"/>
        </w:rPr>
        <w:t xml:space="preserve"> du secrétariat</w:t>
      </w:r>
      <w:r w:rsidRPr="00A27D8A">
        <w:rPr>
          <w:lang w:val="fr-CA"/>
        </w:rPr>
        <w:t xml:space="preserve"> et d’orga</w:t>
      </w:r>
      <w:r w:rsidR="00CB40E2" w:rsidRPr="00A27D8A">
        <w:rPr>
          <w:lang w:val="fr-CA"/>
        </w:rPr>
        <w:t>niser ces derniers, d’utiliser l</w:t>
      </w:r>
      <w:r w:rsidRPr="00A27D8A">
        <w:rPr>
          <w:lang w:val="fr-CA"/>
        </w:rPr>
        <w:t xml:space="preserve">es ressources </w:t>
      </w:r>
      <w:r w:rsidR="00CB40E2" w:rsidRPr="00A27D8A">
        <w:rPr>
          <w:lang w:val="fr-CA"/>
        </w:rPr>
        <w:t xml:space="preserve">disponibles </w:t>
      </w:r>
      <w:r w:rsidRPr="00A27D8A">
        <w:rPr>
          <w:lang w:val="fr-CA"/>
        </w:rPr>
        <w:t xml:space="preserve">efficacement et d’assurer une certaine cohérence dans ses procédures, l’objectif global étant l’efficience et l’efficacité des processus et des structures afin </w:t>
      </w:r>
      <w:r w:rsidR="00CB40E2" w:rsidRPr="00A27D8A">
        <w:rPr>
          <w:lang w:val="fr-CA"/>
        </w:rPr>
        <w:t>d’</w:t>
      </w:r>
      <w:r w:rsidRPr="00A27D8A">
        <w:rPr>
          <w:lang w:val="fr-CA"/>
        </w:rPr>
        <w:t>appuyer</w:t>
      </w:r>
      <w:r w:rsidR="00CB40E2" w:rsidRPr="00A27D8A">
        <w:rPr>
          <w:lang w:val="fr-CA"/>
        </w:rPr>
        <w:t xml:space="preserve"> le mieux possible</w:t>
      </w:r>
      <w:r w:rsidRPr="00A27D8A">
        <w:rPr>
          <w:lang w:val="fr-CA"/>
        </w:rPr>
        <w:t xml:space="preserve"> la mise en œuvre de la Convention</w:t>
      </w:r>
      <w:r w:rsidR="00C07F78" w:rsidRPr="00A27D8A">
        <w:rPr>
          <w:lang w:val="fr-CA"/>
        </w:rPr>
        <w:t>.</w:t>
      </w:r>
    </w:p>
    <w:p w14:paraId="6270CBE6" w14:textId="5E648E23" w:rsidR="00C07F78" w:rsidRPr="00A27D8A" w:rsidRDefault="002035CF" w:rsidP="000E5516">
      <w:pPr>
        <w:pStyle w:val="Normalnumber"/>
        <w:ind w:left="1247" w:firstLine="0"/>
        <w:rPr>
          <w:lang w:val="fr-CA"/>
        </w:rPr>
      </w:pPr>
      <w:r w:rsidRPr="00A27D8A">
        <w:rPr>
          <w:lang w:val="fr-CA"/>
        </w:rPr>
        <w:t>Le Chef du secrétariat doit également veiller à ce que les travaux de celui-ci bénéficient d’un financement suffisant</w:t>
      </w:r>
      <w:r w:rsidR="00C07F78" w:rsidRPr="00A27D8A">
        <w:rPr>
          <w:lang w:val="fr-CA"/>
        </w:rPr>
        <w:t>.</w:t>
      </w:r>
      <w:r w:rsidRPr="00A27D8A">
        <w:rPr>
          <w:lang w:val="fr-CA"/>
        </w:rPr>
        <w:t xml:space="preserve"> L’établissement et</w:t>
      </w:r>
      <w:r w:rsidR="00C07F78" w:rsidRPr="00A27D8A">
        <w:rPr>
          <w:lang w:val="fr-CA"/>
        </w:rPr>
        <w:t xml:space="preserve"> </w:t>
      </w:r>
      <w:r w:rsidRPr="00A27D8A">
        <w:rPr>
          <w:lang w:val="fr-CA"/>
        </w:rPr>
        <w:t xml:space="preserve">le suivi du budget </w:t>
      </w:r>
      <w:r w:rsidR="00FB73D6" w:rsidRPr="00A27D8A">
        <w:rPr>
          <w:lang w:val="fr-CA"/>
        </w:rPr>
        <w:t>et, en particulier, la mobilisation de ressources sont des fonctions centrales à cet égard</w:t>
      </w:r>
      <w:r w:rsidR="00C07F78" w:rsidRPr="00A27D8A">
        <w:rPr>
          <w:lang w:val="fr-CA"/>
        </w:rPr>
        <w:t>.</w:t>
      </w:r>
      <w:r w:rsidR="00FB73D6" w:rsidRPr="00A27D8A">
        <w:rPr>
          <w:lang w:val="fr-CA"/>
        </w:rPr>
        <w:t xml:space="preserve"> En outre, le Chef du secrétariat est chargé d’établir et de renforcer des relations avec des donateurs dans le cadre de l’allocation générale des ressources aux fins de la mise en œuvre de la Convention</w:t>
      </w:r>
      <w:r w:rsidR="006801E3" w:rsidRPr="00A27D8A">
        <w:rPr>
          <w:lang w:val="fr-CA"/>
        </w:rPr>
        <w:t>,</w:t>
      </w:r>
      <w:r w:rsidR="00FB73D6" w:rsidRPr="00A27D8A">
        <w:rPr>
          <w:lang w:val="fr-CA"/>
        </w:rPr>
        <w:t xml:space="preserve"> en faisant appel à des sources de financement traditionnelles et non-traditionnelles ainsi qu’au</w:t>
      </w:r>
      <w:r w:rsidR="00FB73D6" w:rsidRPr="00A27D8A">
        <w:rPr>
          <w:rFonts w:ascii="Helvetica" w:hAnsi="Helvetica"/>
          <w:b/>
          <w:bCs/>
          <w:color w:val="6B16A5"/>
          <w:sz w:val="21"/>
          <w:szCs w:val="21"/>
          <w:shd w:val="clear" w:color="auto" w:fill="F5F5F5"/>
          <w:lang w:val="fr-CA"/>
        </w:rPr>
        <w:t xml:space="preserve"> </w:t>
      </w:r>
      <w:r w:rsidR="00FB73D6" w:rsidRPr="00A27D8A">
        <w:rPr>
          <w:bCs/>
          <w:lang w:val="fr-CA"/>
        </w:rPr>
        <w:t xml:space="preserve">Fonds pour l’environnement mondial, qui fait partie du mécanisme </w:t>
      </w:r>
      <w:r w:rsidR="003544D2" w:rsidRPr="00A27D8A">
        <w:rPr>
          <w:bCs/>
          <w:lang w:val="fr-CA"/>
        </w:rPr>
        <w:t>de financement de la Convention</w:t>
      </w:r>
      <w:r w:rsidR="00C07F78" w:rsidRPr="00A27D8A">
        <w:rPr>
          <w:lang w:val="fr-CA"/>
        </w:rPr>
        <w:t xml:space="preserve">. </w:t>
      </w:r>
    </w:p>
    <w:p w14:paraId="2B7F6498" w14:textId="50D57196" w:rsidR="00C07F78" w:rsidRPr="00A27D8A" w:rsidRDefault="000C2EEA" w:rsidP="000E5516">
      <w:pPr>
        <w:pStyle w:val="Normalnumber"/>
        <w:ind w:left="1247" w:firstLine="0"/>
        <w:rPr>
          <w:lang w:val="fr-CA"/>
        </w:rPr>
      </w:pPr>
      <w:r w:rsidRPr="00A27D8A">
        <w:rPr>
          <w:lang w:val="fr-CA"/>
        </w:rPr>
        <w:t>Un appui efficace</w:t>
      </w:r>
      <w:r w:rsidR="003544D2" w:rsidRPr="00A27D8A">
        <w:rPr>
          <w:lang w:val="fr-CA"/>
        </w:rPr>
        <w:t xml:space="preserve"> à la mise en œuvre nécessite également une coordination et une coopération </w:t>
      </w:r>
      <w:r w:rsidRPr="00A27D8A">
        <w:rPr>
          <w:lang w:val="fr-CA"/>
        </w:rPr>
        <w:t>du</w:t>
      </w:r>
      <w:r w:rsidR="003544D2" w:rsidRPr="00A27D8A">
        <w:rPr>
          <w:lang w:val="fr-CA"/>
        </w:rPr>
        <w:t xml:space="preserve"> secrétariat </w:t>
      </w:r>
      <w:r w:rsidRPr="00A27D8A">
        <w:rPr>
          <w:lang w:val="fr-CA"/>
        </w:rPr>
        <w:t>avec</w:t>
      </w:r>
      <w:r w:rsidR="003544D2" w:rsidRPr="00A27D8A">
        <w:rPr>
          <w:lang w:val="fr-CA"/>
        </w:rPr>
        <w:t xml:space="preserve"> le groupe des produits chimiques et des déchets ainsi qu’avec </w:t>
      </w:r>
      <w:r w:rsidRPr="00A27D8A">
        <w:rPr>
          <w:lang w:val="fr-CA"/>
        </w:rPr>
        <w:t>le programme plus large en matière de développement durable et d’environnement, notamment par l’intermédiaire du PNUE, d’autres fo</w:t>
      </w:r>
      <w:r w:rsidR="00CB40E2" w:rsidRPr="00A27D8A">
        <w:rPr>
          <w:lang w:val="fr-CA"/>
        </w:rPr>
        <w:t>rums appropriés et actifs dans c</w:t>
      </w:r>
      <w:r w:rsidRPr="00A27D8A">
        <w:rPr>
          <w:lang w:val="fr-CA"/>
        </w:rPr>
        <w:t>e domaine et des institutions partenaires, notamment l’Organisation mondiale de la Santé</w:t>
      </w:r>
      <w:r w:rsidR="00313772" w:rsidRPr="00A27D8A">
        <w:rPr>
          <w:lang w:val="fr-CA"/>
        </w:rPr>
        <w:t>.</w:t>
      </w:r>
    </w:p>
    <w:p w14:paraId="741A812D" w14:textId="2167BB2C" w:rsidR="00C07F78" w:rsidRPr="00A27D8A" w:rsidRDefault="00121918" w:rsidP="000E5516">
      <w:pPr>
        <w:pStyle w:val="Normalnumber"/>
        <w:ind w:left="1247" w:firstLine="0"/>
        <w:rPr>
          <w:lang w:val="fr-CA"/>
        </w:rPr>
      </w:pPr>
      <w:r w:rsidRPr="00A27D8A">
        <w:rPr>
          <w:lang w:val="fr-CA"/>
        </w:rPr>
        <w:t xml:space="preserve">Il se peut que des membres du personnel doivent voyager durant l’exercice biennal </w:t>
      </w:r>
      <w:r w:rsidR="00C07F78" w:rsidRPr="00A27D8A">
        <w:rPr>
          <w:lang w:val="fr-CA"/>
        </w:rPr>
        <w:t>2018</w:t>
      </w:r>
      <w:r w:rsidR="006801E3" w:rsidRPr="00A27D8A">
        <w:rPr>
          <w:lang w:val="fr-CA"/>
        </w:rPr>
        <w:t>–</w:t>
      </w:r>
      <w:r w:rsidR="00C07F78" w:rsidRPr="00A27D8A">
        <w:rPr>
          <w:lang w:val="fr-CA"/>
        </w:rPr>
        <w:t>2019</w:t>
      </w:r>
      <w:r w:rsidR="001037D0" w:rsidRPr="00A27D8A">
        <w:rPr>
          <w:lang w:val="fr-CA"/>
        </w:rPr>
        <w:t xml:space="preserve"> afin d’appuyer l</w:t>
      </w:r>
      <w:r w:rsidRPr="00A27D8A">
        <w:rPr>
          <w:lang w:val="fr-CA"/>
        </w:rPr>
        <w:t xml:space="preserve">es activités </w:t>
      </w:r>
      <w:r w:rsidR="001037D0" w:rsidRPr="00A27D8A">
        <w:rPr>
          <w:lang w:val="fr-CA"/>
        </w:rPr>
        <w:t>relatives à</w:t>
      </w:r>
      <w:r w:rsidRPr="00A27D8A">
        <w:rPr>
          <w:lang w:val="fr-CA"/>
        </w:rPr>
        <w:t xml:space="preserve"> la mise en œuvre de la Convention et </w:t>
      </w:r>
      <w:r w:rsidR="001037D0" w:rsidRPr="00A27D8A">
        <w:rPr>
          <w:lang w:val="fr-CA"/>
        </w:rPr>
        <w:t>de répondre</w:t>
      </w:r>
      <w:r w:rsidRPr="00A27D8A">
        <w:rPr>
          <w:lang w:val="fr-CA"/>
        </w:rPr>
        <w:t xml:space="preserve"> aux besoins de la Convention et de ses organes subsidiaires</w:t>
      </w:r>
      <w:r w:rsidR="00C07F78" w:rsidRPr="00A27D8A">
        <w:rPr>
          <w:lang w:val="fr-CA"/>
        </w:rPr>
        <w:t xml:space="preserve">. </w:t>
      </w:r>
    </w:p>
    <w:p w14:paraId="66FFA417" w14:textId="10F7E458" w:rsidR="003D18D9" w:rsidRPr="00A27D8A" w:rsidRDefault="00121918" w:rsidP="000E5516">
      <w:pPr>
        <w:pStyle w:val="Normalnumber"/>
        <w:ind w:left="1247" w:firstLine="0"/>
        <w:rPr>
          <w:lang w:val="fr-CA"/>
        </w:rPr>
      </w:pPr>
      <w:r w:rsidRPr="00A27D8A">
        <w:rPr>
          <w:lang w:val="fr-CA"/>
        </w:rPr>
        <w:t>Il conviendrait de noter qu’un programme international spécifique doit être établi à la première</w:t>
      </w:r>
      <w:r w:rsidR="00726AD6">
        <w:rPr>
          <w:lang w:val="fr-CA"/>
        </w:rPr>
        <w:t> </w:t>
      </w:r>
      <w:r w:rsidRPr="00A27D8A">
        <w:rPr>
          <w:lang w:val="fr-CA"/>
        </w:rPr>
        <w:t>réunion de la Conférence</w:t>
      </w:r>
      <w:r w:rsidR="00DE0287" w:rsidRPr="00A27D8A">
        <w:rPr>
          <w:lang w:val="fr-CA"/>
        </w:rPr>
        <w:t xml:space="preserve"> des Parties</w:t>
      </w:r>
      <w:r w:rsidRPr="00A27D8A">
        <w:rPr>
          <w:lang w:val="fr-CA"/>
        </w:rPr>
        <w:t>, qui, avec la Caisse du Fonds pour l’environnement mondial, formera le mécanisme de financement de la Convention</w:t>
      </w:r>
      <w:r w:rsidR="003D18D9" w:rsidRPr="00A27D8A">
        <w:rPr>
          <w:lang w:val="fr-CA"/>
        </w:rPr>
        <w:t>.</w:t>
      </w:r>
      <w:r w:rsidR="009A60D4" w:rsidRPr="00A27D8A">
        <w:rPr>
          <w:lang w:val="fr-CA"/>
        </w:rPr>
        <w:t xml:space="preserve"> L’emplacement du programme et de</w:t>
      </w:r>
      <w:r w:rsidR="00726AD6">
        <w:rPr>
          <w:lang w:val="fr-CA"/>
        </w:rPr>
        <w:t> </w:t>
      </w:r>
      <w:r w:rsidR="009A60D4" w:rsidRPr="00A27D8A">
        <w:rPr>
          <w:lang w:val="fr-CA"/>
        </w:rPr>
        <w:t xml:space="preserve">son secrétariat doit encore être décidé </w:t>
      </w:r>
      <w:r w:rsidR="002C01DD" w:rsidRPr="00A27D8A">
        <w:rPr>
          <w:lang w:val="fr-CA"/>
        </w:rPr>
        <w:t>(</w:t>
      </w:r>
      <w:r w:rsidR="009A60D4" w:rsidRPr="00A27D8A">
        <w:rPr>
          <w:lang w:val="fr-CA"/>
        </w:rPr>
        <w:t>voir</w:t>
      </w:r>
      <w:r w:rsidR="002C01DD" w:rsidRPr="00A27D8A">
        <w:rPr>
          <w:lang w:val="fr-CA"/>
        </w:rPr>
        <w:t xml:space="preserve"> UNEP/MC/COP.1/9 </w:t>
      </w:r>
      <w:r w:rsidR="009A60D4" w:rsidRPr="00A27D8A">
        <w:rPr>
          <w:lang w:val="fr-CA"/>
        </w:rPr>
        <w:t>et</w:t>
      </w:r>
      <w:r w:rsidR="002C01DD" w:rsidRPr="00A27D8A">
        <w:rPr>
          <w:lang w:val="fr-CA"/>
        </w:rPr>
        <w:t xml:space="preserve"> </w:t>
      </w:r>
      <w:r w:rsidR="004865B6" w:rsidRPr="00A27D8A">
        <w:rPr>
          <w:lang w:val="fr-CA"/>
        </w:rPr>
        <w:t>UNEP/MC/COP.1/9/</w:t>
      </w:r>
      <w:r w:rsidR="002C01DD" w:rsidRPr="00A27D8A">
        <w:rPr>
          <w:lang w:val="fr-CA"/>
        </w:rPr>
        <w:t>Add.1)</w:t>
      </w:r>
      <w:r w:rsidR="003D18D9" w:rsidRPr="00A27D8A">
        <w:rPr>
          <w:lang w:val="fr-CA"/>
        </w:rPr>
        <w:t xml:space="preserve">. </w:t>
      </w:r>
      <w:r w:rsidR="009A60D4" w:rsidRPr="00A27D8A">
        <w:rPr>
          <w:lang w:val="fr-CA"/>
        </w:rPr>
        <w:t>Le</w:t>
      </w:r>
      <w:r w:rsidR="00726AD6">
        <w:rPr>
          <w:lang w:val="fr-CA"/>
        </w:rPr>
        <w:t> </w:t>
      </w:r>
      <w:r w:rsidR="009A60D4" w:rsidRPr="00A27D8A">
        <w:rPr>
          <w:lang w:val="fr-CA"/>
        </w:rPr>
        <w:t>secrétariat et ses activités devraient être financés par des contributions volontaires</w:t>
      </w:r>
      <w:r w:rsidR="002506FD" w:rsidRPr="00A27D8A">
        <w:rPr>
          <w:lang w:val="fr-CA"/>
        </w:rPr>
        <w:t xml:space="preserve">. </w:t>
      </w:r>
    </w:p>
    <w:p w14:paraId="5DC94C64" w14:textId="04385FE1" w:rsidR="002506FD" w:rsidRPr="00A27D8A" w:rsidRDefault="00431A61" w:rsidP="00C03273">
      <w:pPr>
        <w:pStyle w:val="CH3"/>
        <w:rPr>
          <w:lang w:val="fr-CA"/>
        </w:rPr>
      </w:pPr>
      <w:r w:rsidRPr="00A27D8A">
        <w:rPr>
          <w:lang w:val="fr-CA"/>
        </w:rPr>
        <w:tab/>
      </w:r>
      <w:r w:rsidR="002506FD" w:rsidRPr="00A27D8A">
        <w:rPr>
          <w:lang w:val="fr-CA"/>
        </w:rPr>
        <w:t>6.</w:t>
      </w:r>
      <w:r w:rsidR="002506FD" w:rsidRPr="00A27D8A">
        <w:rPr>
          <w:lang w:val="fr-CA"/>
        </w:rPr>
        <w:tab/>
      </w:r>
      <w:r w:rsidR="009A60D4" w:rsidRPr="00A27D8A">
        <w:rPr>
          <w:lang w:val="fr-CA"/>
        </w:rPr>
        <w:t>Activités juridiques et de politique générale</w:t>
      </w:r>
    </w:p>
    <w:p w14:paraId="458C5599" w14:textId="420FCE17" w:rsidR="002506FD" w:rsidRPr="00A27D8A" w:rsidRDefault="00F03006" w:rsidP="00C03273">
      <w:pPr>
        <w:pStyle w:val="Normalnumber"/>
        <w:keepNext/>
        <w:keepLines/>
        <w:ind w:left="1247" w:firstLine="0"/>
        <w:rPr>
          <w:lang w:val="fr-CA"/>
        </w:rPr>
      </w:pPr>
      <w:r w:rsidRPr="00A27D8A">
        <w:rPr>
          <w:lang w:val="fr-CA"/>
        </w:rPr>
        <w:t>Les activités juridiques et de politique générale</w:t>
      </w:r>
      <w:r w:rsidR="00191000" w:rsidRPr="00A27D8A">
        <w:rPr>
          <w:lang w:val="fr-CA"/>
        </w:rPr>
        <w:t xml:space="preserve"> sous-tendent un grand nombre des fonctions du secrétariat, notamment des activités génériques ainsi que des activités spécifiques à la Convention</w:t>
      </w:r>
      <w:r w:rsidR="003017C8" w:rsidRPr="00A27D8A">
        <w:rPr>
          <w:lang w:val="fr-CA"/>
        </w:rPr>
        <w:t xml:space="preserve">. </w:t>
      </w:r>
      <w:r w:rsidR="00191000" w:rsidRPr="00A27D8A">
        <w:rPr>
          <w:lang w:val="fr-CA"/>
        </w:rPr>
        <w:t>Ces activités comprennent la fourniture de conseils juridiques et politiques sur une série de sujets, notamment la mise en œuvre et le développement de la Convention, les activités de coopération internationale concernant des questions juridiques et de politique générale</w:t>
      </w:r>
      <w:r w:rsidR="00393026" w:rsidRPr="00A27D8A">
        <w:rPr>
          <w:lang w:val="fr-CA"/>
        </w:rPr>
        <w:t xml:space="preserve"> ainsi que l</w:t>
      </w:r>
      <w:r w:rsidR="00191000" w:rsidRPr="00A27D8A">
        <w:rPr>
          <w:lang w:val="fr-CA"/>
        </w:rPr>
        <w:t>es activités</w:t>
      </w:r>
      <w:r w:rsidR="009E6C89" w:rsidRPr="00A27D8A">
        <w:rPr>
          <w:lang w:val="fr-CA"/>
        </w:rPr>
        <w:t xml:space="preserve"> </w:t>
      </w:r>
      <w:r w:rsidR="00393026" w:rsidRPr="00A27D8A">
        <w:rPr>
          <w:lang w:val="fr-CA"/>
        </w:rPr>
        <w:t>juridiques institutionnelles du secrétariat</w:t>
      </w:r>
      <w:r w:rsidR="0036498C" w:rsidRPr="00A27D8A">
        <w:rPr>
          <w:lang w:val="fr-CA"/>
        </w:rPr>
        <w:t xml:space="preserve">. </w:t>
      </w:r>
    </w:p>
    <w:p w14:paraId="1C55340B" w14:textId="38806802" w:rsidR="0036498C" w:rsidRPr="00A27D8A" w:rsidRDefault="00393026" w:rsidP="000E5516">
      <w:pPr>
        <w:pStyle w:val="Normalnumber"/>
        <w:ind w:left="1247" w:firstLine="0"/>
        <w:rPr>
          <w:lang w:val="fr-CA"/>
        </w:rPr>
      </w:pPr>
      <w:r w:rsidRPr="00A27D8A">
        <w:rPr>
          <w:lang w:val="fr-CA"/>
        </w:rPr>
        <w:t>Les activités juridiques et de politique générale du secrétariat comprennent également la fourniture d’un appui spécifique à la Convention visant à assurer la cohérence de ses conférences, réunions, processus et procédures ainsi que l’organisation de ses travaux</w:t>
      </w:r>
      <w:r w:rsidR="0045736D" w:rsidRPr="00A27D8A">
        <w:rPr>
          <w:lang w:val="fr-CA"/>
        </w:rPr>
        <w:t>. Parmi ces activités figure également la fourniture d’un appui intersessions au Comité de mise en œuvre et du respect des obligations qui sera créé à la première réunion de la Conférence des Parties, comprenant un soutien à l’établissement d’un mandat</w:t>
      </w:r>
      <w:r w:rsidR="002B687B" w:rsidRPr="00A27D8A">
        <w:rPr>
          <w:lang w:val="fr-CA"/>
        </w:rPr>
        <w:t>.</w:t>
      </w:r>
    </w:p>
    <w:p w14:paraId="59800AA4" w14:textId="643A9749" w:rsidR="0036498C" w:rsidRPr="00A27D8A" w:rsidRDefault="0045736D" w:rsidP="000E5516">
      <w:pPr>
        <w:pStyle w:val="Normalnumber"/>
        <w:ind w:left="1247" w:firstLine="0"/>
        <w:rPr>
          <w:lang w:val="fr-CA"/>
        </w:rPr>
      </w:pPr>
      <w:r w:rsidRPr="00A27D8A">
        <w:rPr>
          <w:lang w:val="fr-CA"/>
        </w:rPr>
        <w:t xml:space="preserve">Les activités juridiques et de politique générale pour l’exercice biennal </w:t>
      </w:r>
      <w:r w:rsidR="0036498C" w:rsidRPr="00A27D8A">
        <w:rPr>
          <w:lang w:val="fr-CA"/>
        </w:rPr>
        <w:t>2018</w:t>
      </w:r>
      <w:r w:rsidR="000A7CE7" w:rsidRPr="00A27D8A">
        <w:rPr>
          <w:lang w:val="fr-CA"/>
        </w:rPr>
        <w:t>–</w:t>
      </w:r>
      <w:r w:rsidR="0036498C" w:rsidRPr="00A27D8A">
        <w:rPr>
          <w:lang w:val="fr-CA"/>
        </w:rPr>
        <w:t xml:space="preserve">2019 </w:t>
      </w:r>
      <w:r w:rsidRPr="00A27D8A">
        <w:rPr>
          <w:lang w:val="fr-CA"/>
        </w:rPr>
        <w:t>devraient être financées par</w:t>
      </w:r>
      <w:r w:rsidR="0036498C" w:rsidRPr="00A27D8A">
        <w:rPr>
          <w:lang w:val="fr-CA"/>
        </w:rPr>
        <w:t xml:space="preserve"> </w:t>
      </w:r>
      <w:r w:rsidRPr="00A27D8A">
        <w:rPr>
          <w:lang w:val="fr-CA"/>
        </w:rPr>
        <w:t xml:space="preserve">la dotation budgétaire prévue pour les dépenses de personnel. Aucune </w:t>
      </w:r>
      <w:r w:rsidR="0068258C">
        <w:rPr>
          <w:lang w:val="fr-CA"/>
        </w:rPr>
        <w:t>exigence en matière d’</w:t>
      </w:r>
      <w:r w:rsidRPr="00A27D8A">
        <w:rPr>
          <w:lang w:val="fr-CA"/>
        </w:rPr>
        <w:t xml:space="preserve">expertise </w:t>
      </w:r>
      <w:r w:rsidR="0068258C">
        <w:rPr>
          <w:lang w:val="fr-CA"/>
        </w:rPr>
        <w:t xml:space="preserve">supplémentaire </w:t>
      </w:r>
      <w:r w:rsidRPr="00A27D8A">
        <w:rPr>
          <w:lang w:val="fr-CA"/>
        </w:rPr>
        <w:t>n’est prévue</w:t>
      </w:r>
      <w:r w:rsidR="00106A80" w:rsidRPr="00A27D8A">
        <w:rPr>
          <w:lang w:val="fr-CA"/>
        </w:rPr>
        <w:t xml:space="preserve">. </w:t>
      </w:r>
      <w:r w:rsidR="00CB6384" w:rsidRPr="00A27D8A">
        <w:rPr>
          <w:lang w:val="fr-CA"/>
        </w:rPr>
        <w:t xml:space="preserve"> </w:t>
      </w:r>
    </w:p>
    <w:p w14:paraId="0C273B42" w14:textId="7058B1F5" w:rsidR="0036498C" w:rsidRPr="00A27D8A" w:rsidRDefault="00431A61" w:rsidP="00040F66">
      <w:pPr>
        <w:pStyle w:val="CH3"/>
        <w:rPr>
          <w:lang w:val="fr-CA"/>
        </w:rPr>
      </w:pPr>
      <w:r w:rsidRPr="00A27D8A">
        <w:rPr>
          <w:lang w:val="fr-CA"/>
        </w:rPr>
        <w:tab/>
      </w:r>
      <w:r w:rsidR="0036498C" w:rsidRPr="00A27D8A">
        <w:rPr>
          <w:lang w:val="fr-CA"/>
        </w:rPr>
        <w:t>7.</w:t>
      </w:r>
      <w:r w:rsidR="0036498C" w:rsidRPr="00A27D8A">
        <w:rPr>
          <w:lang w:val="fr-CA"/>
        </w:rPr>
        <w:tab/>
      </w:r>
      <w:r w:rsidR="0045736D" w:rsidRPr="00A27D8A">
        <w:rPr>
          <w:lang w:val="fr-CA"/>
        </w:rPr>
        <w:t>Entretien des locaux et services</w:t>
      </w:r>
      <w:r w:rsidR="000A7CE7" w:rsidRPr="00A27D8A">
        <w:rPr>
          <w:lang w:val="fr-CA"/>
        </w:rPr>
        <w:t xml:space="preserve"> </w:t>
      </w:r>
    </w:p>
    <w:p w14:paraId="4C7E60F7" w14:textId="4F1E0350" w:rsidR="00446662" w:rsidRPr="00A27D8A" w:rsidRDefault="0045736D" w:rsidP="00253274">
      <w:pPr>
        <w:pStyle w:val="Normalnumber"/>
        <w:tabs>
          <w:tab w:val="clear" w:pos="624"/>
          <w:tab w:val="left" w:pos="1701"/>
        </w:tabs>
        <w:ind w:left="1247" w:hanging="1"/>
        <w:rPr>
          <w:lang w:val="fr-CA"/>
        </w:rPr>
      </w:pPr>
      <w:r w:rsidRPr="00A27D8A">
        <w:rPr>
          <w:lang w:val="fr-CA"/>
        </w:rPr>
        <w:t>Un secrétariat performant nécessite la mise à disposition</w:t>
      </w:r>
      <w:r w:rsidR="007D27F7" w:rsidRPr="00A27D8A">
        <w:rPr>
          <w:lang w:val="fr-CA"/>
        </w:rPr>
        <w:t xml:space="preserve"> de locaux à usage de bureaux et</w:t>
      </w:r>
      <w:r w:rsidRPr="00A27D8A">
        <w:rPr>
          <w:lang w:val="fr-CA"/>
        </w:rPr>
        <w:t xml:space="preserve"> </w:t>
      </w:r>
      <w:r w:rsidR="007D27F7" w:rsidRPr="00A27D8A">
        <w:rPr>
          <w:lang w:val="fr-CA"/>
        </w:rPr>
        <w:t>de fournitures de bureau ainsi qu’un financement des frais liés à l’entretien des bureaux, aux services collectifs et à l’administration</w:t>
      </w:r>
      <w:r w:rsidR="00446662" w:rsidRPr="00A27D8A">
        <w:rPr>
          <w:lang w:val="fr-CA"/>
        </w:rPr>
        <w:t>.</w:t>
      </w:r>
      <w:r w:rsidR="007D27F7" w:rsidRPr="00A27D8A">
        <w:rPr>
          <w:lang w:val="fr-CA"/>
        </w:rPr>
        <w:t xml:space="preserve"> Il nécessite également une infrastructure d’information appropriée, des équipements et un appui continu à cet égard</w:t>
      </w:r>
      <w:r w:rsidR="005324E7" w:rsidRPr="00A27D8A">
        <w:rPr>
          <w:lang w:val="fr-CA"/>
        </w:rPr>
        <w:t>.</w:t>
      </w:r>
      <w:r w:rsidR="007D27F7" w:rsidRPr="00A27D8A">
        <w:rPr>
          <w:lang w:val="fr-CA"/>
        </w:rPr>
        <w:t xml:space="preserve"> Bien qu’une estimation globale des besoins opérationnels puisse être réalisée, il y aura probablement une différence au niveau de ces coûts en fonction du lieu d’affectation proposé</w:t>
      </w:r>
      <w:r w:rsidR="005324E7" w:rsidRPr="00A27D8A">
        <w:rPr>
          <w:lang w:val="fr-CA"/>
        </w:rPr>
        <w:t xml:space="preserve">. </w:t>
      </w:r>
    </w:p>
    <w:p w14:paraId="59C94EC9" w14:textId="45D5E6B8" w:rsidR="00EC5915" w:rsidRPr="00A27D8A" w:rsidRDefault="009262E4" w:rsidP="00040F66">
      <w:pPr>
        <w:pStyle w:val="CH2"/>
        <w:rPr>
          <w:lang w:val="fr-CA"/>
        </w:rPr>
      </w:pPr>
      <w:r w:rsidRPr="00A27D8A">
        <w:rPr>
          <w:lang w:val="fr-CA"/>
        </w:rPr>
        <w:tab/>
      </w:r>
      <w:r w:rsidR="0001018F" w:rsidRPr="00A27D8A">
        <w:rPr>
          <w:lang w:val="fr-CA"/>
        </w:rPr>
        <w:t>C</w:t>
      </w:r>
      <w:r w:rsidR="00EC5915" w:rsidRPr="00A27D8A">
        <w:rPr>
          <w:lang w:val="fr-CA"/>
        </w:rPr>
        <w:t>.</w:t>
      </w:r>
      <w:r w:rsidR="00EC5915" w:rsidRPr="00A27D8A">
        <w:rPr>
          <w:lang w:val="fr-CA"/>
        </w:rPr>
        <w:tab/>
      </w:r>
      <w:r w:rsidR="00E6461D" w:rsidRPr="00A27D8A">
        <w:rPr>
          <w:lang w:val="fr-CA"/>
        </w:rPr>
        <w:t>Besoins en personnel pour la période</w:t>
      </w:r>
      <w:r w:rsidR="00EC5915" w:rsidRPr="00A27D8A">
        <w:rPr>
          <w:lang w:val="fr-CA"/>
        </w:rPr>
        <w:t xml:space="preserve"> 2018-2019 </w:t>
      </w:r>
    </w:p>
    <w:p w14:paraId="18D14C5C" w14:textId="728B542C" w:rsidR="00EC5915" w:rsidRPr="00A27D8A" w:rsidRDefault="00827A3E" w:rsidP="00972D3B">
      <w:pPr>
        <w:pStyle w:val="Normalnumber"/>
        <w:tabs>
          <w:tab w:val="clear" w:pos="624"/>
          <w:tab w:val="left" w:pos="1701"/>
        </w:tabs>
        <w:ind w:left="1247" w:hanging="1"/>
        <w:rPr>
          <w:lang w:val="fr-CA"/>
        </w:rPr>
      </w:pPr>
      <w:r w:rsidRPr="00A27D8A">
        <w:rPr>
          <w:lang w:val="fr-CA"/>
        </w:rPr>
        <w:t>Comme indiqué plus haut, les dispositions concernant la manière dont le Directeur exécutif accomplira les fonctions du secrétariat doivent être décidées à la première réunion de la Conférence des Parties</w:t>
      </w:r>
      <w:r w:rsidR="009262E4" w:rsidRPr="00A27D8A">
        <w:rPr>
          <w:lang w:val="fr-CA"/>
        </w:rPr>
        <w:t>.</w:t>
      </w:r>
      <w:r w:rsidRPr="00A27D8A">
        <w:rPr>
          <w:lang w:val="fr-CA"/>
        </w:rPr>
        <w:t xml:space="preserve"> L’implantation du secrétariat doit également être décidée à l’occasion de cette réunion</w:t>
      </w:r>
      <w:r w:rsidR="009262E4" w:rsidRPr="00A27D8A">
        <w:rPr>
          <w:lang w:val="fr-CA"/>
        </w:rPr>
        <w:t xml:space="preserve">. </w:t>
      </w:r>
    </w:p>
    <w:p w14:paraId="5D0854DA" w14:textId="03632CD8" w:rsidR="00EC5915" w:rsidRPr="00A27D8A" w:rsidRDefault="00827A3E" w:rsidP="008D2E58">
      <w:pPr>
        <w:pStyle w:val="Normalnumber"/>
        <w:tabs>
          <w:tab w:val="clear" w:pos="624"/>
          <w:tab w:val="left" w:pos="1701"/>
        </w:tabs>
        <w:ind w:left="1247" w:hanging="1"/>
        <w:rPr>
          <w:lang w:val="fr-CA"/>
        </w:rPr>
      </w:pPr>
      <w:r w:rsidRPr="00A27D8A">
        <w:rPr>
          <w:lang w:val="fr-CA"/>
        </w:rPr>
        <w:t>Le</w:t>
      </w:r>
      <w:r w:rsidR="008D2E58" w:rsidRPr="00A27D8A">
        <w:rPr>
          <w:lang w:val="fr-CA"/>
        </w:rPr>
        <w:t xml:space="preserve"> document</w:t>
      </w:r>
      <w:r w:rsidR="009262E4" w:rsidRPr="00A27D8A">
        <w:rPr>
          <w:lang w:val="fr-CA"/>
        </w:rPr>
        <w:t xml:space="preserve"> </w:t>
      </w:r>
      <w:r w:rsidR="00DB3E2D" w:rsidRPr="00A27D8A">
        <w:rPr>
          <w:lang w:val="fr-CA"/>
        </w:rPr>
        <w:t>UNEP/MC/COP.1/14</w:t>
      </w:r>
      <w:r w:rsidRPr="00A27D8A">
        <w:rPr>
          <w:lang w:val="fr-CA"/>
        </w:rPr>
        <w:t xml:space="preserve"> précise que </w:t>
      </w:r>
      <w:r w:rsidR="00906CDC" w:rsidRPr="00A27D8A">
        <w:rPr>
          <w:lang w:val="fr-CA"/>
        </w:rPr>
        <w:t>les effectifs requis varieront en fonction de l’option</w:t>
      </w:r>
      <w:r w:rsidR="00DB3E2D" w:rsidRPr="00A27D8A">
        <w:rPr>
          <w:lang w:val="fr-CA"/>
        </w:rPr>
        <w:t xml:space="preserve"> </w:t>
      </w:r>
      <w:r w:rsidR="00906CDC" w:rsidRPr="00A27D8A">
        <w:rPr>
          <w:lang w:val="fr-CA"/>
        </w:rPr>
        <w:t xml:space="preserve">de secrétariat choisie et que, si l’option d’un secrétariat autonome est </w:t>
      </w:r>
      <w:r w:rsidR="00D453E5" w:rsidRPr="00A27D8A">
        <w:rPr>
          <w:lang w:val="fr-CA"/>
        </w:rPr>
        <w:t>retenue</w:t>
      </w:r>
      <w:r w:rsidR="00906CDC" w:rsidRPr="00A27D8A">
        <w:rPr>
          <w:lang w:val="fr-CA"/>
        </w:rPr>
        <w:t>, les ressources nécessaires pour le personnel seront également</w:t>
      </w:r>
      <w:r w:rsidR="009262E4" w:rsidRPr="00A27D8A">
        <w:rPr>
          <w:lang w:val="fr-CA"/>
        </w:rPr>
        <w:t xml:space="preserve"> </w:t>
      </w:r>
      <w:r w:rsidR="00906CDC" w:rsidRPr="00A27D8A">
        <w:rPr>
          <w:lang w:val="fr-CA"/>
        </w:rPr>
        <w:t xml:space="preserve">différentes selon l’implantation choisie </w:t>
      </w:r>
      <w:r w:rsidR="0028454A" w:rsidRPr="00A27D8A">
        <w:rPr>
          <w:lang w:val="fr-CA"/>
        </w:rPr>
        <w:t>(</w:t>
      </w:r>
      <w:r w:rsidR="00906CDC" w:rsidRPr="00A27D8A">
        <w:rPr>
          <w:lang w:val="fr-CA"/>
        </w:rPr>
        <w:t>voir</w:t>
      </w:r>
      <w:r w:rsidR="00A159E0" w:rsidRPr="00A27D8A">
        <w:rPr>
          <w:lang w:val="fr-CA"/>
        </w:rPr>
        <w:t> </w:t>
      </w:r>
      <w:r w:rsidR="00E02022" w:rsidRPr="00A27D8A">
        <w:rPr>
          <w:lang w:val="fr-CA"/>
        </w:rPr>
        <w:t>UNEP/MC/COP.1/21/Add.2</w:t>
      </w:r>
      <w:r w:rsidR="00306438" w:rsidRPr="00A27D8A">
        <w:rPr>
          <w:lang w:val="fr-CA"/>
        </w:rPr>
        <w:t>)</w:t>
      </w:r>
      <w:r w:rsidR="008D2E58" w:rsidRPr="00A27D8A">
        <w:rPr>
          <w:lang w:val="fr-CA"/>
        </w:rPr>
        <w:t>.</w:t>
      </w:r>
      <w:r w:rsidR="00906CDC" w:rsidRPr="00A27D8A">
        <w:rPr>
          <w:lang w:val="fr-CA"/>
        </w:rPr>
        <w:t xml:space="preserve"> Les différents scénarios sont résumés ci-dessous</w:t>
      </w:r>
      <w:r w:rsidR="009262E4" w:rsidRPr="00A27D8A">
        <w:rPr>
          <w:lang w:val="fr-CA"/>
        </w:rPr>
        <w:t xml:space="preserve">. </w:t>
      </w:r>
    </w:p>
    <w:p w14:paraId="1ECC00D5" w14:textId="7409AB6B" w:rsidR="003D246F" w:rsidRPr="00A27D8A" w:rsidRDefault="00623CB1" w:rsidP="00D34447">
      <w:pPr>
        <w:pStyle w:val="CH3"/>
        <w:ind w:firstLine="0"/>
        <w:rPr>
          <w:lang w:val="fr-CA"/>
        </w:rPr>
      </w:pPr>
      <w:r w:rsidRPr="00623CB1">
        <w:rPr>
          <w:lang w:val="fr-CA"/>
        </w:rPr>
        <w:lastRenderedPageBreak/>
        <w:t>Option 1 a) (fusionnement) : In</w:t>
      </w:r>
      <w:r>
        <w:rPr>
          <w:lang w:val="fr-CA"/>
        </w:rPr>
        <w:t>corpo</w:t>
      </w:r>
      <w:r w:rsidRPr="00623CB1">
        <w:rPr>
          <w:lang w:val="fr-CA"/>
        </w:rPr>
        <w:t xml:space="preserve">ration des fonctions du secrétariat de la Convention de Minamata dans la structure actuelle du </w:t>
      </w:r>
      <w:r w:rsidR="00726AD6">
        <w:rPr>
          <w:lang w:val="fr-CA"/>
        </w:rPr>
        <w:t>S</w:t>
      </w:r>
      <w:r w:rsidRPr="00623CB1">
        <w:rPr>
          <w:lang w:val="fr-CA"/>
        </w:rPr>
        <w:t>ecrétariat des conventions de Bâle, de Rotterdam et de Stockholm (lieu d’implantation : Genève)</w:t>
      </w:r>
    </w:p>
    <w:p w14:paraId="2E58163A" w14:textId="2CB32F10" w:rsidR="003D246F" w:rsidRPr="00A27D8A" w:rsidRDefault="00D34447" w:rsidP="006C21B1">
      <w:pPr>
        <w:pStyle w:val="Normalnumber"/>
        <w:tabs>
          <w:tab w:val="clear" w:pos="624"/>
          <w:tab w:val="left" w:pos="1701"/>
        </w:tabs>
        <w:ind w:left="1247" w:hanging="1"/>
        <w:rPr>
          <w:lang w:val="fr-CA"/>
        </w:rPr>
      </w:pPr>
      <w:r w:rsidRPr="00A27D8A">
        <w:rPr>
          <w:lang w:val="fr-CA"/>
        </w:rPr>
        <w:t>Dans le cadre de l’</w:t>
      </w:r>
      <w:r w:rsidR="003D246F" w:rsidRPr="00A27D8A">
        <w:rPr>
          <w:rFonts w:eastAsia="MS Mincho"/>
          <w:lang w:val="fr-CA"/>
        </w:rPr>
        <w:t>option</w:t>
      </w:r>
      <w:r w:rsidRPr="00A27D8A">
        <w:rPr>
          <w:rFonts w:eastAsia="MS Mincho"/>
          <w:lang w:val="fr-CA"/>
        </w:rPr>
        <w:t> 1 </w:t>
      </w:r>
      <w:r w:rsidR="007F5C9D" w:rsidRPr="00A27D8A">
        <w:rPr>
          <w:rFonts w:eastAsia="MS Mincho"/>
          <w:lang w:val="fr-CA"/>
        </w:rPr>
        <w:t>a)</w:t>
      </w:r>
      <w:r w:rsidR="003D246F" w:rsidRPr="00A27D8A">
        <w:rPr>
          <w:rFonts w:eastAsia="MS Mincho"/>
          <w:lang w:val="fr-CA"/>
        </w:rPr>
        <w:t xml:space="preserve">, </w:t>
      </w:r>
      <w:r w:rsidRPr="00A27D8A">
        <w:rPr>
          <w:rFonts w:eastAsia="MS Mincho"/>
          <w:lang w:val="fr-CA"/>
        </w:rPr>
        <w:t xml:space="preserve">les fonctions du secrétariat de la Convention de Minamata seraient incorporées </w:t>
      </w:r>
      <w:r w:rsidR="002B0ACB" w:rsidRPr="00A27D8A">
        <w:rPr>
          <w:rFonts w:eastAsia="MS Mincho"/>
          <w:lang w:val="fr-CA"/>
        </w:rPr>
        <w:t xml:space="preserve">dans le </w:t>
      </w:r>
      <w:r w:rsidR="00726AD6">
        <w:rPr>
          <w:rFonts w:eastAsia="MS Mincho"/>
          <w:lang w:val="fr-CA"/>
        </w:rPr>
        <w:t>S</w:t>
      </w:r>
      <w:r w:rsidR="002B0ACB" w:rsidRPr="00A27D8A">
        <w:rPr>
          <w:rFonts w:eastAsia="MS Mincho"/>
          <w:lang w:val="fr-CA"/>
        </w:rPr>
        <w:t xml:space="preserve">ecrétariat fusionné des conventions de Bâle, de </w:t>
      </w:r>
      <w:r w:rsidR="006E1A6B" w:rsidRPr="00A27D8A">
        <w:rPr>
          <w:rFonts w:eastAsia="MS Mincho"/>
          <w:lang w:val="fr-CA"/>
        </w:rPr>
        <w:t xml:space="preserve">Rotterdam </w:t>
      </w:r>
      <w:r w:rsidR="002B0ACB" w:rsidRPr="00A27D8A">
        <w:rPr>
          <w:rFonts w:eastAsia="MS Mincho"/>
          <w:lang w:val="fr-CA"/>
        </w:rPr>
        <w:t>et de</w:t>
      </w:r>
      <w:r w:rsidR="006E1A6B" w:rsidRPr="00A27D8A">
        <w:rPr>
          <w:rFonts w:eastAsia="MS Mincho"/>
          <w:lang w:val="fr-CA"/>
        </w:rPr>
        <w:t xml:space="preserve"> Stockholm</w:t>
      </w:r>
      <w:r w:rsidR="003D246F" w:rsidRPr="00A27D8A">
        <w:rPr>
          <w:rFonts w:eastAsia="MS Mincho"/>
          <w:lang w:val="fr-CA"/>
        </w:rPr>
        <w:t xml:space="preserve"> </w:t>
      </w:r>
      <w:r w:rsidR="002B0ACB" w:rsidRPr="00A27D8A">
        <w:rPr>
          <w:rFonts w:eastAsia="MS Mincho"/>
          <w:lang w:val="fr-CA"/>
        </w:rPr>
        <w:t>et le partage du temps et des coûts connexes de tous les postes d</w:t>
      </w:r>
      <w:r w:rsidR="0096499A">
        <w:rPr>
          <w:rFonts w:eastAsia="MS Mincho"/>
          <w:lang w:val="fr-CA"/>
        </w:rPr>
        <w:t>u</w:t>
      </w:r>
      <w:r w:rsidR="002B0ACB" w:rsidRPr="00A27D8A">
        <w:rPr>
          <w:rFonts w:eastAsia="MS Mincho"/>
          <w:lang w:val="fr-CA"/>
        </w:rPr>
        <w:t xml:space="preserve"> secrétariat fusionné serait déterminé et approuvé par les conféren</w:t>
      </w:r>
      <w:r w:rsidR="00DE33DE" w:rsidRPr="00A27D8A">
        <w:rPr>
          <w:rFonts w:eastAsia="MS Mincho"/>
          <w:lang w:val="fr-CA"/>
        </w:rPr>
        <w:t>ces des P</w:t>
      </w:r>
      <w:r w:rsidR="002B0ACB" w:rsidRPr="00A27D8A">
        <w:rPr>
          <w:rFonts w:eastAsia="MS Mincho"/>
          <w:lang w:val="fr-CA"/>
        </w:rPr>
        <w:t>arties aux quatre conventions</w:t>
      </w:r>
      <w:r w:rsidR="003D246F" w:rsidRPr="00A27D8A">
        <w:rPr>
          <w:rFonts w:eastAsia="MS Mincho"/>
          <w:lang w:val="fr-CA"/>
        </w:rPr>
        <w:t>.</w:t>
      </w:r>
      <w:r w:rsidR="002B0ACB" w:rsidRPr="00A27D8A">
        <w:rPr>
          <w:rFonts w:eastAsia="MS Mincho"/>
          <w:lang w:val="fr-CA"/>
        </w:rPr>
        <w:t xml:space="preserve"> Les prochaine</w:t>
      </w:r>
      <w:r w:rsidR="00DE33DE" w:rsidRPr="00A27D8A">
        <w:rPr>
          <w:rFonts w:eastAsia="MS Mincho"/>
          <w:lang w:val="fr-CA"/>
        </w:rPr>
        <w:t>s réunions des conférences des P</w:t>
      </w:r>
      <w:r w:rsidR="002B0ACB" w:rsidRPr="00A27D8A">
        <w:rPr>
          <w:rFonts w:eastAsia="MS Mincho"/>
          <w:lang w:val="fr-CA"/>
        </w:rPr>
        <w:t xml:space="preserve">arties aux conventions de Bâle, de </w:t>
      </w:r>
      <w:r w:rsidR="006E1A6B" w:rsidRPr="00A27D8A">
        <w:rPr>
          <w:rFonts w:eastAsia="MS Mincho"/>
          <w:lang w:val="fr-CA"/>
        </w:rPr>
        <w:t xml:space="preserve">Rotterdam </w:t>
      </w:r>
      <w:r w:rsidR="002B0ACB" w:rsidRPr="00A27D8A">
        <w:rPr>
          <w:rFonts w:eastAsia="MS Mincho"/>
          <w:lang w:val="fr-CA"/>
        </w:rPr>
        <w:t>et de</w:t>
      </w:r>
      <w:r w:rsidR="006E1A6B" w:rsidRPr="00A27D8A">
        <w:rPr>
          <w:rFonts w:eastAsia="MS Mincho"/>
          <w:lang w:val="fr-CA"/>
        </w:rPr>
        <w:t xml:space="preserve"> Stockholm </w:t>
      </w:r>
      <w:r w:rsidR="0096499A">
        <w:rPr>
          <w:rFonts w:eastAsia="MS Mincho"/>
          <w:lang w:val="fr-CA"/>
        </w:rPr>
        <w:t>au</w:t>
      </w:r>
      <w:r w:rsidR="002B0ACB" w:rsidRPr="00A27D8A">
        <w:rPr>
          <w:rFonts w:eastAsia="MS Mincho"/>
          <w:lang w:val="fr-CA"/>
        </w:rPr>
        <w:t xml:space="preserve">ront </w:t>
      </w:r>
      <w:r w:rsidR="0096499A">
        <w:rPr>
          <w:rFonts w:eastAsia="MS Mincho"/>
          <w:lang w:val="fr-CA"/>
        </w:rPr>
        <w:t>lieu</w:t>
      </w:r>
      <w:r w:rsidR="002B0ACB" w:rsidRPr="00A27D8A">
        <w:rPr>
          <w:rFonts w:eastAsia="MS Mincho"/>
          <w:lang w:val="fr-CA"/>
        </w:rPr>
        <w:t xml:space="preserve"> en </w:t>
      </w:r>
      <w:r w:rsidR="006E1A6B" w:rsidRPr="00A27D8A">
        <w:rPr>
          <w:rFonts w:eastAsia="MS Mincho"/>
          <w:lang w:val="fr-CA"/>
        </w:rPr>
        <w:t xml:space="preserve">2019. </w:t>
      </w:r>
      <w:r w:rsidR="002B0ACB" w:rsidRPr="00A27D8A">
        <w:rPr>
          <w:rFonts w:eastAsia="MS Mincho"/>
          <w:lang w:val="fr-CA"/>
        </w:rPr>
        <w:t>Selon cette option</w:t>
      </w:r>
      <w:r w:rsidR="00892DFA" w:rsidRPr="00A27D8A">
        <w:rPr>
          <w:rFonts w:eastAsia="MS Mincho"/>
          <w:lang w:val="fr-CA"/>
        </w:rPr>
        <w:t>,</w:t>
      </w:r>
      <w:r w:rsidR="002B0ACB" w:rsidRPr="00A27D8A">
        <w:rPr>
          <w:rFonts w:eastAsia="MS Mincho"/>
          <w:lang w:val="fr-CA"/>
        </w:rPr>
        <w:t xml:space="preserve"> il est prévu que la Convention de </w:t>
      </w:r>
      <w:r w:rsidR="003D246F" w:rsidRPr="00A27D8A">
        <w:rPr>
          <w:rFonts w:eastAsia="MS Mincho"/>
          <w:lang w:val="fr-CA"/>
        </w:rPr>
        <w:t xml:space="preserve">Minamata </w:t>
      </w:r>
      <w:r w:rsidR="002B0ACB" w:rsidRPr="00A27D8A">
        <w:rPr>
          <w:rFonts w:eastAsia="MS Mincho"/>
          <w:lang w:val="fr-CA"/>
        </w:rPr>
        <w:t>paye 20 % des postes de Secrétaire</w:t>
      </w:r>
      <w:r w:rsidR="00726AD6">
        <w:rPr>
          <w:rFonts w:eastAsia="MS Mincho"/>
          <w:lang w:val="fr-CA"/>
        </w:rPr>
        <w:t> </w:t>
      </w:r>
      <w:r w:rsidR="002B0ACB" w:rsidRPr="00A27D8A">
        <w:rPr>
          <w:rFonts w:eastAsia="MS Mincho"/>
          <w:lang w:val="fr-CA"/>
        </w:rPr>
        <w:t>exécutif et de Secrétaire exécutif adjoint ainsi que 20 % des postes restants actuellement financés par les</w:t>
      </w:r>
      <w:r w:rsidR="003D246F" w:rsidRPr="00A27D8A">
        <w:rPr>
          <w:rFonts w:eastAsia="MS Mincho"/>
          <w:lang w:val="fr-CA"/>
        </w:rPr>
        <w:t xml:space="preserve"> </w:t>
      </w:r>
      <w:r w:rsidR="002B0ACB" w:rsidRPr="00A27D8A">
        <w:rPr>
          <w:rFonts w:eastAsia="MS Mincho"/>
          <w:lang w:val="fr-CA"/>
        </w:rPr>
        <w:t>fonds généraux d’affectation spéciale des trois conventions</w:t>
      </w:r>
      <w:r w:rsidR="003D246F" w:rsidRPr="00A27D8A">
        <w:rPr>
          <w:rFonts w:eastAsia="MS Mincho"/>
          <w:lang w:val="fr-CA"/>
        </w:rPr>
        <w:t>.</w:t>
      </w:r>
      <w:r w:rsidR="002B0ACB" w:rsidRPr="00A27D8A">
        <w:rPr>
          <w:rFonts w:eastAsia="MS Mincho"/>
          <w:lang w:val="fr-CA"/>
        </w:rPr>
        <w:t xml:space="preserve"> Le pourcentage pour la Convention de </w:t>
      </w:r>
      <w:r w:rsidR="003D246F" w:rsidRPr="00A27D8A">
        <w:rPr>
          <w:rFonts w:eastAsia="MS Mincho"/>
          <w:lang w:val="fr-CA"/>
        </w:rPr>
        <w:t xml:space="preserve">Minamata </w:t>
      </w:r>
      <w:r w:rsidR="002B0ACB" w:rsidRPr="00A27D8A">
        <w:rPr>
          <w:rFonts w:eastAsia="MS Mincho"/>
          <w:lang w:val="fr-CA"/>
        </w:rPr>
        <w:t>a été fixé à 20 %, compte tenu du niveau d’activité attendu pour les différentes conventions</w:t>
      </w:r>
      <w:r w:rsidR="003D246F" w:rsidRPr="00A27D8A">
        <w:rPr>
          <w:rFonts w:eastAsia="MS Mincho"/>
          <w:lang w:val="fr-CA"/>
        </w:rPr>
        <w:t xml:space="preserve">. </w:t>
      </w:r>
      <w:r w:rsidR="001267F5" w:rsidRPr="00A27D8A">
        <w:rPr>
          <w:rFonts w:eastAsia="MS Mincho"/>
          <w:lang w:val="fr-CA"/>
        </w:rPr>
        <w:t xml:space="preserve">Le </w:t>
      </w:r>
      <w:r w:rsidR="00426CDF">
        <w:rPr>
          <w:rFonts w:eastAsia="MS Mincho"/>
          <w:lang w:val="fr-CA"/>
        </w:rPr>
        <w:t>reste,</w:t>
      </w:r>
      <w:r w:rsidR="001267F5" w:rsidRPr="00A27D8A">
        <w:rPr>
          <w:rFonts w:eastAsia="MS Mincho"/>
          <w:lang w:val="fr-CA"/>
        </w:rPr>
        <w:t xml:space="preserve"> </w:t>
      </w:r>
      <w:r w:rsidR="00426CDF">
        <w:rPr>
          <w:rFonts w:eastAsia="MS Mincho"/>
          <w:lang w:val="fr-CA"/>
        </w:rPr>
        <w:t>à savoir</w:t>
      </w:r>
      <w:r w:rsidR="001267F5" w:rsidRPr="00A27D8A">
        <w:rPr>
          <w:rFonts w:eastAsia="MS Mincho"/>
          <w:lang w:val="fr-CA"/>
        </w:rPr>
        <w:t xml:space="preserve"> 80 %</w:t>
      </w:r>
      <w:r w:rsidR="00426CDF">
        <w:rPr>
          <w:rFonts w:eastAsia="MS Mincho"/>
          <w:lang w:val="fr-CA"/>
        </w:rPr>
        <w:t xml:space="preserve"> du </w:t>
      </w:r>
      <w:r w:rsidR="00426CDF" w:rsidRPr="00A27D8A">
        <w:rPr>
          <w:rFonts w:eastAsia="MS Mincho"/>
          <w:lang w:val="fr-CA"/>
        </w:rPr>
        <w:t xml:space="preserve">temps de </w:t>
      </w:r>
      <w:r w:rsidR="00426CDF">
        <w:rPr>
          <w:rFonts w:eastAsia="MS Mincho"/>
          <w:lang w:val="fr-CA"/>
        </w:rPr>
        <w:t>travail,</w:t>
      </w:r>
      <w:r w:rsidR="001267F5" w:rsidRPr="00A27D8A">
        <w:rPr>
          <w:rFonts w:eastAsia="MS Mincho"/>
          <w:lang w:val="fr-CA"/>
        </w:rPr>
        <w:t xml:space="preserve"> sera </w:t>
      </w:r>
      <w:r w:rsidR="00426CDF">
        <w:rPr>
          <w:rFonts w:eastAsia="MS Mincho"/>
          <w:lang w:val="fr-CA"/>
        </w:rPr>
        <w:t>consacr</w:t>
      </w:r>
      <w:r w:rsidR="001267F5" w:rsidRPr="00A27D8A">
        <w:rPr>
          <w:rFonts w:eastAsia="MS Mincho"/>
          <w:lang w:val="fr-CA"/>
        </w:rPr>
        <w:t xml:space="preserve">é à la mise en œuvre des conventions de Bâle, de </w:t>
      </w:r>
      <w:r w:rsidR="008C34E6" w:rsidRPr="00A27D8A">
        <w:rPr>
          <w:rFonts w:eastAsia="MS Mincho"/>
          <w:lang w:val="fr-CA"/>
        </w:rPr>
        <w:t xml:space="preserve">Rotterdam </w:t>
      </w:r>
      <w:r w:rsidR="001267F5" w:rsidRPr="00A27D8A">
        <w:rPr>
          <w:rFonts w:eastAsia="MS Mincho"/>
          <w:lang w:val="fr-CA"/>
        </w:rPr>
        <w:t>et de</w:t>
      </w:r>
      <w:r w:rsidR="008C34E6" w:rsidRPr="00A27D8A">
        <w:rPr>
          <w:rFonts w:eastAsia="MS Mincho"/>
          <w:lang w:val="fr-CA"/>
        </w:rPr>
        <w:t xml:space="preserve"> Stockholm.</w:t>
      </w:r>
    </w:p>
    <w:p w14:paraId="63276EAC" w14:textId="1BC700FC" w:rsidR="0028454A" w:rsidRPr="00A27D8A" w:rsidRDefault="00CB40E2" w:rsidP="006C21B1">
      <w:pPr>
        <w:pStyle w:val="Normalnumber"/>
        <w:tabs>
          <w:tab w:val="clear" w:pos="624"/>
          <w:tab w:val="left" w:pos="1701"/>
        </w:tabs>
        <w:ind w:left="1247" w:hanging="1"/>
        <w:rPr>
          <w:lang w:val="fr-CA"/>
        </w:rPr>
      </w:pPr>
      <w:r w:rsidRPr="00A27D8A">
        <w:rPr>
          <w:lang w:val="fr-CA"/>
        </w:rPr>
        <w:t>En complément du</w:t>
      </w:r>
      <w:r w:rsidR="00FF683B" w:rsidRPr="00A27D8A">
        <w:rPr>
          <w:lang w:val="fr-CA"/>
        </w:rPr>
        <w:t xml:space="preserve"> personnel existant d</w:t>
      </w:r>
      <w:r w:rsidR="00623CB1">
        <w:rPr>
          <w:lang w:val="fr-CA"/>
        </w:rPr>
        <w:t>u</w:t>
      </w:r>
      <w:r w:rsidR="007B773B">
        <w:rPr>
          <w:lang w:val="fr-CA"/>
        </w:rPr>
        <w:t xml:space="preserve"> S</w:t>
      </w:r>
      <w:r w:rsidR="00FF683B" w:rsidRPr="00A27D8A">
        <w:rPr>
          <w:lang w:val="fr-CA"/>
        </w:rPr>
        <w:t xml:space="preserve">ecrétariat des conventions de Bâle, de </w:t>
      </w:r>
      <w:r w:rsidR="001170F8" w:rsidRPr="00A27D8A">
        <w:rPr>
          <w:rFonts w:eastAsia="MS Mincho"/>
          <w:lang w:val="fr-CA"/>
        </w:rPr>
        <w:t xml:space="preserve">Rotterdam </w:t>
      </w:r>
      <w:r w:rsidR="00FF683B" w:rsidRPr="00A27D8A">
        <w:rPr>
          <w:rFonts w:eastAsia="MS Mincho"/>
          <w:lang w:val="fr-CA"/>
        </w:rPr>
        <w:t>et de</w:t>
      </w:r>
      <w:r w:rsidR="001170F8" w:rsidRPr="00A27D8A">
        <w:rPr>
          <w:rFonts w:eastAsia="MS Mincho"/>
          <w:lang w:val="fr-CA"/>
        </w:rPr>
        <w:t xml:space="preserve"> </w:t>
      </w:r>
      <w:r w:rsidR="001170F8" w:rsidRPr="00A27D8A">
        <w:rPr>
          <w:lang w:val="fr-CA"/>
        </w:rPr>
        <w:t>Stockholm</w:t>
      </w:r>
      <w:r w:rsidR="001170F8" w:rsidRPr="00A27D8A">
        <w:rPr>
          <w:rFonts w:eastAsia="MS Mincho"/>
          <w:lang w:val="fr-CA"/>
        </w:rPr>
        <w:t>,</w:t>
      </w:r>
      <w:r w:rsidR="00FF683B" w:rsidRPr="00A27D8A">
        <w:rPr>
          <w:rFonts w:eastAsia="MS Mincho"/>
          <w:lang w:val="fr-CA"/>
        </w:rPr>
        <w:t xml:space="preserve"> </w:t>
      </w:r>
      <w:r w:rsidR="0096499A">
        <w:rPr>
          <w:rFonts w:eastAsia="MS Mincho"/>
          <w:lang w:val="fr-CA"/>
        </w:rPr>
        <w:t xml:space="preserve">il est estimé que </w:t>
      </w:r>
      <w:r w:rsidR="00FF683B" w:rsidRPr="00A27D8A">
        <w:rPr>
          <w:rFonts w:eastAsia="MS Mincho"/>
          <w:lang w:val="fr-CA"/>
        </w:rPr>
        <w:t xml:space="preserve">les nouveaux postes </w:t>
      </w:r>
      <w:r w:rsidR="003563DE" w:rsidRPr="00A27D8A">
        <w:rPr>
          <w:rFonts w:eastAsia="MS Mincho"/>
          <w:lang w:val="fr-CA"/>
        </w:rPr>
        <w:t>ci-après</w:t>
      </w:r>
      <w:r w:rsidR="00FF683B" w:rsidRPr="00A27D8A">
        <w:rPr>
          <w:rFonts w:eastAsia="MS Mincho"/>
          <w:lang w:val="fr-CA"/>
        </w:rPr>
        <w:t xml:space="preserve"> </w:t>
      </w:r>
      <w:r w:rsidR="0096499A">
        <w:rPr>
          <w:rFonts w:eastAsia="MS Mincho"/>
          <w:lang w:val="fr-CA"/>
        </w:rPr>
        <w:t>seront</w:t>
      </w:r>
      <w:r w:rsidR="00FF683B" w:rsidRPr="00A27D8A">
        <w:rPr>
          <w:rFonts w:eastAsia="MS Mincho"/>
          <w:lang w:val="fr-CA"/>
        </w:rPr>
        <w:t xml:space="preserve"> nécessaires aux fins de l’appui aux programmes de la Convention de Minamata </w:t>
      </w:r>
      <w:r w:rsidR="001170F8" w:rsidRPr="00A27D8A">
        <w:rPr>
          <w:rFonts w:eastAsia="MS Mincho"/>
          <w:lang w:val="fr-CA"/>
        </w:rPr>
        <w:t xml:space="preserve">: </w:t>
      </w:r>
      <w:r w:rsidR="00623CB1">
        <w:rPr>
          <w:rFonts w:eastAsia="MS Mincho"/>
          <w:lang w:val="fr-CA"/>
        </w:rPr>
        <w:t>deux</w:t>
      </w:r>
      <w:r w:rsidR="00FF683B" w:rsidRPr="00A27D8A">
        <w:rPr>
          <w:rFonts w:eastAsia="MS Mincho"/>
          <w:lang w:val="fr-CA"/>
        </w:rPr>
        <w:t xml:space="preserve"> P-4 (</w:t>
      </w:r>
      <w:r w:rsidR="00623CB1">
        <w:rPr>
          <w:rFonts w:eastAsia="MS Mincho"/>
          <w:lang w:val="fr-CA"/>
        </w:rPr>
        <w:t xml:space="preserve">un pour l’appui </w:t>
      </w:r>
      <w:r w:rsidR="00FF683B" w:rsidRPr="00A27D8A">
        <w:rPr>
          <w:rFonts w:eastAsia="MS Mincho"/>
          <w:lang w:val="fr-CA"/>
        </w:rPr>
        <w:t>scientifique</w:t>
      </w:r>
      <w:r w:rsidR="00623CB1">
        <w:rPr>
          <w:rFonts w:eastAsia="MS Mincho"/>
          <w:lang w:val="fr-CA"/>
        </w:rPr>
        <w:t xml:space="preserve"> et un autre pour </w:t>
      </w:r>
      <w:r w:rsidR="006E5AA8">
        <w:rPr>
          <w:rFonts w:eastAsia="MS Mincho"/>
          <w:lang w:val="fr-CA"/>
        </w:rPr>
        <w:t>le renforcement des capacités et l’assistance technique</w:t>
      </w:r>
      <w:r w:rsidR="001170F8" w:rsidRPr="00A27D8A">
        <w:rPr>
          <w:rFonts w:eastAsia="MS Mincho"/>
          <w:lang w:val="fr-CA"/>
        </w:rPr>
        <w:t xml:space="preserve">), </w:t>
      </w:r>
      <w:r w:rsidR="006E5AA8">
        <w:rPr>
          <w:rFonts w:eastAsia="MS Mincho"/>
          <w:lang w:val="fr-CA"/>
        </w:rPr>
        <w:t>trois</w:t>
      </w:r>
      <w:r w:rsidR="00030C1A" w:rsidRPr="00A27D8A">
        <w:rPr>
          <w:rFonts w:eastAsia="MS Mincho"/>
          <w:lang w:val="fr-CA"/>
        </w:rPr>
        <w:t xml:space="preserve"> </w:t>
      </w:r>
      <w:r w:rsidR="001170F8" w:rsidRPr="00A27D8A">
        <w:rPr>
          <w:rFonts w:eastAsia="MS Mincho"/>
          <w:lang w:val="fr-CA"/>
        </w:rPr>
        <w:t>P-3 (</w:t>
      </w:r>
      <w:r w:rsidR="00FF683B" w:rsidRPr="00A27D8A">
        <w:rPr>
          <w:rFonts w:eastAsia="MS Mincho"/>
          <w:lang w:val="fr-CA"/>
        </w:rPr>
        <w:t xml:space="preserve">un pour </w:t>
      </w:r>
      <w:r w:rsidR="006E5AA8">
        <w:rPr>
          <w:rFonts w:eastAsia="MS Mincho"/>
          <w:lang w:val="fr-CA"/>
        </w:rPr>
        <w:t xml:space="preserve">le renforcement des capacités et </w:t>
      </w:r>
      <w:r w:rsidR="00FF683B" w:rsidRPr="00A27D8A">
        <w:rPr>
          <w:rFonts w:eastAsia="MS Mincho"/>
          <w:lang w:val="fr-CA"/>
        </w:rPr>
        <w:t>l’assistance technique</w:t>
      </w:r>
      <w:r w:rsidR="006E5AA8">
        <w:rPr>
          <w:rFonts w:eastAsia="MS Mincho"/>
          <w:lang w:val="fr-CA"/>
        </w:rPr>
        <w:t>, un pour l’appui scientifique</w:t>
      </w:r>
      <w:r w:rsidR="00FF683B" w:rsidRPr="00A27D8A">
        <w:rPr>
          <w:rFonts w:eastAsia="MS Mincho"/>
          <w:lang w:val="fr-CA"/>
        </w:rPr>
        <w:t xml:space="preserve"> et un pour la coordination des </w:t>
      </w:r>
      <w:r w:rsidR="006E5AA8">
        <w:rPr>
          <w:rFonts w:eastAsia="MS Mincho"/>
          <w:lang w:val="fr-CA"/>
        </w:rPr>
        <w:t>conférence</w:t>
      </w:r>
      <w:r w:rsidR="00FF683B" w:rsidRPr="00A27D8A">
        <w:rPr>
          <w:rFonts w:eastAsia="MS Mincho"/>
          <w:lang w:val="fr-CA"/>
        </w:rPr>
        <w:t>s</w:t>
      </w:r>
      <w:r w:rsidR="001170F8" w:rsidRPr="00A27D8A">
        <w:rPr>
          <w:rFonts w:eastAsia="MS Mincho"/>
          <w:lang w:val="fr-CA"/>
        </w:rPr>
        <w:t xml:space="preserve">) </w:t>
      </w:r>
      <w:r w:rsidR="00FF683B" w:rsidRPr="00A27D8A">
        <w:rPr>
          <w:rFonts w:eastAsia="MS Mincho"/>
          <w:lang w:val="fr-CA"/>
        </w:rPr>
        <w:t>et quatre</w:t>
      </w:r>
      <w:r w:rsidR="001170F8" w:rsidRPr="00A27D8A">
        <w:rPr>
          <w:rFonts w:eastAsia="MS Mincho"/>
          <w:lang w:val="fr-CA"/>
        </w:rPr>
        <w:t xml:space="preserve"> </w:t>
      </w:r>
      <w:r w:rsidR="00FF683B" w:rsidRPr="00A27D8A">
        <w:rPr>
          <w:rFonts w:eastAsia="MS Mincho"/>
          <w:lang w:val="fr-CA"/>
        </w:rPr>
        <w:t>postes de la catégorie des services généraux</w:t>
      </w:r>
      <w:r w:rsidR="001170F8" w:rsidRPr="00A27D8A">
        <w:rPr>
          <w:rFonts w:eastAsia="MS Mincho"/>
          <w:lang w:val="fr-CA"/>
        </w:rPr>
        <w:t>.</w:t>
      </w:r>
      <w:r w:rsidR="00511FD7" w:rsidRPr="00A27D8A">
        <w:rPr>
          <w:rFonts w:eastAsia="MS Mincho"/>
          <w:lang w:val="fr-CA"/>
        </w:rPr>
        <w:t xml:space="preserve"> Ces postes</w:t>
      </w:r>
      <w:r w:rsidR="00426CDF">
        <w:rPr>
          <w:rFonts w:eastAsia="MS Mincho"/>
          <w:lang w:val="fr-CA"/>
        </w:rPr>
        <w:t>, dont les titulaires</w:t>
      </w:r>
      <w:r w:rsidR="00511FD7" w:rsidRPr="00A27D8A">
        <w:rPr>
          <w:rFonts w:eastAsia="MS Mincho"/>
          <w:lang w:val="fr-CA"/>
        </w:rPr>
        <w:t xml:space="preserve"> </w:t>
      </w:r>
      <w:r w:rsidR="006E5AA8">
        <w:rPr>
          <w:rFonts w:eastAsia="MS Mincho"/>
          <w:lang w:val="fr-CA"/>
        </w:rPr>
        <w:t>s</w:t>
      </w:r>
      <w:r w:rsidR="00426CDF">
        <w:rPr>
          <w:rFonts w:eastAsia="MS Mincho"/>
          <w:lang w:val="fr-CA"/>
        </w:rPr>
        <w:t>’occup</w:t>
      </w:r>
      <w:r w:rsidR="006E5AA8">
        <w:rPr>
          <w:rFonts w:eastAsia="MS Mincho"/>
          <w:lang w:val="fr-CA"/>
        </w:rPr>
        <w:t xml:space="preserve">eraient </w:t>
      </w:r>
      <w:r w:rsidR="00426CDF">
        <w:rPr>
          <w:rFonts w:eastAsia="MS Mincho"/>
          <w:lang w:val="fr-CA"/>
        </w:rPr>
        <w:t>également</w:t>
      </w:r>
      <w:r w:rsidR="006E5AA8">
        <w:rPr>
          <w:rFonts w:eastAsia="MS Mincho"/>
          <w:lang w:val="fr-CA"/>
        </w:rPr>
        <w:t xml:space="preserve"> des </w:t>
      </w:r>
      <w:r w:rsidR="00426CDF">
        <w:rPr>
          <w:rFonts w:eastAsia="MS Mincho"/>
          <w:lang w:val="fr-CA"/>
        </w:rPr>
        <w:t xml:space="preserve">trois autres </w:t>
      </w:r>
      <w:r w:rsidR="00511FD7" w:rsidRPr="00A27D8A">
        <w:rPr>
          <w:rFonts w:eastAsia="MS Mincho"/>
          <w:lang w:val="fr-CA"/>
        </w:rPr>
        <w:t>conventions</w:t>
      </w:r>
      <w:r w:rsidR="00426CDF">
        <w:rPr>
          <w:rFonts w:eastAsia="MS Mincho"/>
          <w:lang w:val="fr-CA"/>
        </w:rPr>
        <w:t>,</w:t>
      </w:r>
      <w:r w:rsidR="006E5AA8">
        <w:rPr>
          <w:rFonts w:eastAsia="MS Mincho"/>
          <w:lang w:val="fr-CA"/>
        </w:rPr>
        <w:t xml:space="preserve"> seraient financés</w:t>
      </w:r>
      <w:r w:rsidR="00511FD7" w:rsidRPr="00A27D8A">
        <w:rPr>
          <w:rFonts w:eastAsia="MS Mincho"/>
          <w:lang w:val="fr-CA"/>
        </w:rPr>
        <w:t xml:space="preserve"> dans le cadre</w:t>
      </w:r>
      <w:r w:rsidR="003354A2" w:rsidRPr="00A27D8A">
        <w:rPr>
          <w:rFonts w:eastAsia="MS Mincho"/>
          <w:lang w:val="fr-CA"/>
        </w:rPr>
        <w:t xml:space="preserve"> d’un a</w:t>
      </w:r>
      <w:r w:rsidR="0096499A">
        <w:rPr>
          <w:rFonts w:eastAsia="MS Mincho"/>
          <w:lang w:val="fr-CA"/>
        </w:rPr>
        <w:t>ccord</w:t>
      </w:r>
      <w:r w:rsidR="003354A2" w:rsidRPr="00A27D8A">
        <w:rPr>
          <w:rFonts w:eastAsia="MS Mincho"/>
          <w:lang w:val="fr-CA"/>
        </w:rPr>
        <w:t xml:space="preserve"> de partage des coûts </w:t>
      </w:r>
      <w:r w:rsidR="00426CDF">
        <w:rPr>
          <w:rFonts w:eastAsia="MS Mincho"/>
          <w:lang w:val="fr-CA"/>
        </w:rPr>
        <w:t>entre</w:t>
      </w:r>
      <w:r w:rsidR="003354A2" w:rsidRPr="00A27D8A">
        <w:rPr>
          <w:rFonts w:eastAsia="MS Mincho"/>
          <w:lang w:val="fr-CA"/>
        </w:rPr>
        <w:t xml:space="preserve"> </w:t>
      </w:r>
      <w:r w:rsidR="00426CDF">
        <w:rPr>
          <w:rFonts w:eastAsia="MS Mincho"/>
          <w:lang w:val="fr-CA"/>
        </w:rPr>
        <w:t>l</w:t>
      </w:r>
      <w:r w:rsidR="003354A2" w:rsidRPr="00A27D8A">
        <w:rPr>
          <w:rFonts w:eastAsia="MS Mincho"/>
          <w:lang w:val="fr-CA"/>
        </w:rPr>
        <w:t xml:space="preserve">es quatre conventions, </w:t>
      </w:r>
      <w:r w:rsidR="0096499A">
        <w:rPr>
          <w:rFonts w:eastAsia="MS Mincho"/>
          <w:lang w:val="fr-CA"/>
        </w:rPr>
        <w:t>au titre du</w:t>
      </w:r>
      <w:r w:rsidR="00426CDF">
        <w:rPr>
          <w:rFonts w:eastAsia="MS Mincho"/>
          <w:lang w:val="fr-CA"/>
        </w:rPr>
        <w:t xml:space="preserve">quel </w:t>
      </w:r>
      <w:r w:rsidR="003354A2" w:rsidRPr="00A27D8A">
        <w:rPr>
          <w:rFonts w:eastAsia="MS Mincho"/>
          <w:lang w:val="fr-CA"/>
        </w:rPr>
        <w:t xml:space="preserve">la Convention de Minamata </w:t>
      </w:r>
      <w:r w:rsidR="00426CDF">
        <w:rPr>
          <w:rFonts w:eastAsia="MS Mincho"/>
          <w:lang w:val="fr-CA"/>
        </w:rPr>
        <w:t>prendrait en charge</w:t>
      </w:r>
      <w:r w:rsidR="003354A2" w:rsidRPr="00A27D8A">
        <w:rPr>
          <w:rFonts w:eastAsia="MS Mincho"/>
          <w:lang w:val="fr-CA"/>
        </w:rPr>
        <w:t xml:space="preserve"> 20 % des coûts liés aux postes actuellement financés par les fonds généraux d’affectation spéciale des conventions de Bâle, de </w:t>
      </w:r>
      <w:r w:rsidR="008C34E6" w:rsidRPr="00A27D8A">
        <w:rPr>
          <w:rFonts w:eastAsia="MS Mincho"/>
          <w:lang w:val="fr-CA"/>
        </w:rPr>
        <w:t xml:space="preserve">Rotterdam </w:t>
      </w:r>
      <w:r w:rsidR="003563DE" w:rsidRPr="00A27D8A">
        <w:rPr>
          <w:rFonts w:eastAsia="MS Mincho"/>
          <w:lang w:val="fr-CA"/>
        </w:rPr>
        <w:t>et de</w:t>
      </w:r>
      <w:r w:rsidR="008C34E6" w:rsidRPr="00A27D8A">
        <w:rPr>
          <w:rFonts w:eastAsia="MS Mincho"/>
          <w:lang w:val="fr-CA"/>
        </w:rPr>
        <w:t xml:space="preserve"> Stockholm,</w:t>
      </w:r>
      <w:r w:rsidR="003563DE" w:rsidRPr="00A27D8A">
        <w:rPr>
          <w:rFonts w:eastAsia="MS Mincho"/>
          <w:lang w:val="fr-CA"/>
        </w:rPr>
        <w:t xml:space="preserve"> ainsi que les nouveaux postes créés</w:t>
      </w:r>
      <w:r w:rsidR="001170F8" w:rsidRPr="00A27D8A">
        <w:rPr>
          <w:rFonts w:eastAsia="MS Mincho"/>
          <w:lang w:val="fr-CA"/>
        </w:rPr>
        <w:t>.</w:t>
      </w:r>
    </w:p>
    <w:p w14:paraId="74970B49" w14:textId="358E34F2" w:rsidR="00DE0287" w:rsidRPr="00A27D8A" w:rsidRDefault="00971B76" w:rsidP="006C21B1">
      <w:pPr>
        <w:pStyle w:val="Normalnumber"/>
        <w:tabs>
          <w:tab w:val="clear" w:pos="624"/>
          <w:tab w:val="left" w:pos="1701"/>
        </w:tabs>
        <w:ind w:left="1247" w:hanging="1"/>
        <w:rPr>
          <w:lang w:val="fr-CA"/>
        </w:rPr>
      </w:pPr>
      <w:r>
        <w:rPr>
          <w:rFonts w:eastAsia="MS Mincho"/>
          <w:lang w:val="fr-CA"/>
        </w:rPr>
        <w:t xml:space="preserve">Les </w:t>
      </w:r>
      <w:r w:rsidR="00831B2D">
        <w:rPr>
          <w:rFonts w:eastAsia="MS Mincho"/>
          <w:lang w:val="fr-CA"/>
        </w:rPr>
        <w:t xml:space="preserve">économies que cette option permettrait aux </w:t>
      </w:r>
      <w:r>
        <w:rPr>
          <w:rFonts w:eastAsia="MS Mincho"/>
          <w:lang w:val="fr-CA"/>
        </w:rPr>
        <w:t xml:space="preserve">Parties aux conventions de Bâle, de Rotterdam et de Stockholm </w:t>
      </w:r>
      <w:r w:rsidR="00831B2D">
        <w:rPr>
          <w:rFonts w:eastAsia="MS Mincho"/>
          <w:lang w:val="fr-CA"/>
        </w:rPr>
        <w:t>de réaliser pourraient en outre être partiellement réinvesties dans le renforcement de la structure du secrétariat conjoint, qui pourrait ainsi se doter de l’équivalent de 1,5 poste supplémentaire d’administrateur de programme P-3 (pour des fonctions telles que l’appui juridique, la gestion des connaissances, les relations extérieures et les services informatiques).</w:t>
      </w:r>
    </w:p>
    <w:p w14:paraId="63CAEED9" w14:textId="4960685E" w:rsidR="00F62ED2" w:rsidRPr="00A27D8A" w:rsidRDefault="00831B2D" w:rsidP="00E379EA">
      <w:pPr>
        <w:pStyle w:val="CH3"/>
        <w:ind w:firstLine="0"/>
        <w:rPr>
          <w:lang w:val="fr-CA"/>
        </w:rPr>
      </w:pPr>
      <w:r w:rsidRPr="00831B2D">
        <w:rPr>
          <w:lang w:val="fr-CA"/>
        </w:rPr>
        <w:t xml:space="preserve">Option 1 b) (intégration sous forme de </w:t>
      </w:r>
      <w:r w:rsidR="005B136C" w:rsidRPr="00831B2D">
        <w:rPr>
          <w:lang w:val="fr-CA"/>
        </w:rPr>
        <w:t>Service</w:t>
      </w:r>
      <w:r w:rsidR="007B773B">
        <w:rPr>
          <w:lang w:val="fr-CA"/>
        </w:rPr>
        <w:t>) : Re</w:t>
      </w:r>
      <w:r w:rsidRPr="00831B2D">
        <w:rPr>
          <w:lang w:val="fr-CA"/>
        </w:rPr>
        <w:t xml:space="preserve">groupement du secrétariat de la Convention de Minamata et du Secrétariat des conventions de Bâle, de Rotterdam et de Stockholm par la création, au cours de la période intérimaire, d’un </w:t>
      </w:r>
      <w:r w:rsidR="005B136C" w:rsidRPr="00831B2D">
        <w:rPr>
          <w:lang w:val="fr-CA"/>
        </w:rPr>
        <w:t xml:space="preserve">Service </w:t>
      </w:r>
      <w:r w:rsidRPr="00831B2D">
        <w:rPr>
          <w:lang w:val="fr-CA"/>
        </w:rPr>
        <w:t>de la Convention de Minamata au sein de celui-ci (lieu d’implantation : Genève)</w:t>
      </w:r>
    </w:p>
    <w:p w14:paraId="22DE3A3A" w14:textId="6CDF805A" w:rsidR="007A6FCF" w:rsidRPr="007A6FCF" w:rsidRDefault="00E379EA" w:rsidP="007D08BC">
      <w:pPr>
        <w:pStyle w:val="Normalnumber"/>
        <w:tabs>
          <w:tab w:val="clear" w:pos="624"/>
          <w:tab w:val="left" w:pos="1701"/>
        </w:tabs>
        <w:ind w:left="1247" w:hanging="1"/>
        <w:rPr>
          <w:lang w:val="fr-CA"/>
        </w:rPr>
      </w:pPr>
      <w:r w:rsidRPr="00A27D8A">
        <w:rPr>
          <w:rFonts w:eastAsia="MS Mincho"/>
          <w:lang w:val="fr-CA"/>
        </w:rPr>
        <w:t xml:space="preserve">Dans le cadre de </w:t>
      </w:r>
      <w:r w:rsidR="00831B2D">
        <w:rPr>
          <w:rFonts w:eastAsia="MS Mincho"/>
          <w:lang w:val="fr-CA"/>
        </w:rPr>
        <w:t xml:space="preserve">cette </w:t>
      </w:r>
      <w:r w:rsidRPr="00A27D8A">
        <w:rPr>
          <w:rFonts w:eastAsia="MS Mincho"/>
          <w:lang w:val="fr-CA"/>
        </w:rPr>
        <w:t xml:space="preserve">option, </w:t>
      </w:r>
      <w:r w:rsidR="00831B2D">
        <w:rPr>
          <w:rFonts w:eastAsia="MS Mincho"/>
          <w:lang w:val="fr-CA"/>
        </w:rPr>
        <w:t xml:space="preserve">un </w:t>
      </w:r>
      <w:r w:rsidR="005B136C">
        <w:rPr>
          <w:rFonts w:eastAsia="MS Mincho"/>
          <w:lang w:val="fr-CA"/>
        </w:rPr>
        <w:t xml:space="preserve">Service </w:t>
      </w:r>
      <w:r w:rsidR="00831B2D">
        <w:rPr>
          <w:rFonts w:eastAsia="MS Mincho"/>
          <w:lang w:val="fr-CA"/>
        </w:rPr>
        <w:t xml:space="preserve">de la Convention de Minamata </w:t>
      </w:r>
      <w:r w:rsidR="007A6FCF">
        <w:rPr>
          <w:rFonts w:eastAsia="MS Mincho"/>
          <w:lang w:val="fr-CA"/>
        </w:rPr>
        <w:t xml:space="preserve">serait créé sous la direction du Secrétaire exécutif des conventions de Bâle, de Rotterdam et de Stockholm et de la Convention de Minamata. Le Secrétaire exécutif adjoint et le Chef du Service des opérations des conventions </w:t>
      </w:r>
      <w:r w:rsidR="00BC26AC">
        <w:rPr>
          <w:rFonts w:eastAsia="MS Mincho"/>
          <w:lang w:val="fr-CA"/>
        </w:rPr>
        <w:t xml:space="preserve">lui </w:t>
      </w:r>
      <w:r w:rsidR="007A6FCF">
        <w:rPr>
          <w:rFonts w:eastAsia="MS Mincho"/>
          <w:lang w:val="fr-CA"/>
        </w:rPr>
        <w:t>fourniraient également un appui.</w:t>
      </w:r>
    </w:p>
    <w:p w14:paraId="6153C10F" w14:textId="65C7030F" w:rsidR="00F62ED2" w:rsidRPr="00A27D8A" w:rsidRDefault="00BC26AC" w:rsidP="007D08BC">
      <w:pPr>
        <w:pStyle w:val="Normalnumber"/>
        <w:tabs>
          <w:tab w:val="clear" w:pos="624"/>
          <w:tab w:val="left" w:pos="1701"/>
        </w:tabs>
        <w:ind w:left="1247" w:hanging="1"/>
        <w:rPr>
          <w:lang w:val="fr-CA"/>
        </w:rPr>
      </w:pPr>
      <w:r>
        <w:rPr>
          <w:rFonts w:eastAsia="MS Mincho"/>
          <w:lang w:val="fr-CA"/>
        </w:rPr>
        <w:t>Comme l’option</w:t>
      </w:r>
      <w:r w:rsidR="004B129B">
        <w:rPr>
          <w:rFonts w:eastAsia="MS Mincho"/>
          <w:lang w:val="fr-CA"/>
        </w:rPr>
        <w:t> </w:t>
      </w:r>
      <w:r>
        <w:rPr>
          <w:rFonts w:eastAsia="MS Mincho"/>
          <w:lang w:val="fr-CA"/>
        </w:rPr>
        <w:t>1</w:t>
      </w:r>
      <w:r w:rsidR="004B129B">
        <w:rPr>
          <w:rFonts w:eastAsia="MS Mincho"/>
          <w:lang w:val="fr-CA"/>
        </w:rPr>
        <w:t> </w:t>
      </w:r>
      <w:r>
        <w:rPr>
          <w:rFonts w:eastAsia="MS Mincho"/>
          <w:lang w:val="fr-CA"/>
        </w:rPr>
        <w:t>a),</w:t>
      </w:r>
      <w:r w:rsidR="007A6FCF">
        <w:rPr>
          <w:rFonts w:eastAsia="MS Mincho"/>
          <w:lang w:val="fr-CA"/>
        </w:rPr>
        <w:t xml:space="preserve"> </w:t>
      </w:r>
      <w:r w:rsidR="004B129B" w:rsidRPr="00A27D8A">
        <w:rPr>
          <w:rFonts w:eastAsia="MS Mincho"/>
          <w:lang w:val="fr-CA"/>
        </w:rPr>
        <w:t>l</w:t>
      </w:r>
      <w:r w:rsidR="004B129B">
        <w:rPr>
          <w:rFonts w:eastAsia="MS Mincho"/>
          <w:lang w:val="fr-CA"/>
        </w:rPr>
        <w:t xml:space="preserve">’option 1 b) (intégration sous forme de </w:t>
      </w:r>
      <w:r w:rsidR="00A22ECB">
        <w:rPr>
          <w:rFonts w:eastAsia="MS Mincho"/>
          <w:lang w:val="fr-CA"/>
        </w:rPr>
        <w:t>Service</w:t>
      </w:r>
      <w:r w:rsidR="004B129B">
        <w:rPr>
          <w:rFonts w:eastAsia="MS Mincho"/>
          <w:lang w:val="fr-CA"/>
        </w:rPr>
        <w:t>) prévoit la prise en charge des fonctions de la Convention de Minamata par</w:t>
      </w:r>
      <w:r>
        <w:rPr>
          <w:rFonts w:eastAsia="MS Mincho"/>
          <w:lang w:val="fr-CA"/>
        </w:rPr>
        <w:t xml:space="preserve"> le personnel actuel du Secrétariat des conventions de Bâle, de Rotterdam et de Stockholm</w:t>
      </w:r>
      <w:r w:rsidR="004B129B">
        <w:rPr>
          <w:rFonts w:eastAsia="MS Mincho"/>
          <w:lang w:val="fr-CA"/>
        </w:rPr>
        <w:t xml:space="preserve"> et un partage des coûts des postes concernés entre les quatre</w:t>
      </w:r>
      <w:r w:rsidR="003552BB">
        <w:rPr>
          <w:rFonts w:eastAsia="MS Mincho"/>
          <w:lang w:val="fr-CA"/>
        </w:rPr>
        <w:t> </w:t>
      </w:r>
      <w:r w:rsidR="004B129B">
        <w:rPr>
          <w:rFonts w:eastAsia="MS Mincho"/>
          <w:lang w:val="fr-CA"/>
        </w:rPr>
        <w:t>conventions. L</w:t>
      </w:r>
      <w:r w:rsidR="00630146" w:rsidRPr="00A27D8A">
        <w:rPr>
          <w:rFonts w:eastAsia="MS Mincho"/>
          <w:lang w:val="fr-CA"/>
        </w:rPr>
        <w:t xml:space="preserve">a participation </w:t>
      </w:r>
      <w:r w:rsidR="004B129B">
        <w:rPr>
          <w:rFonts w:eastAsia="MS Mincho"/>
          <w:lang w:val="fr-CA"/>
        </w:rPr>
        <w:t xml:space="preserve">de la Convention de Minamata </w:t>
      </w:r>
      <w:r w:rsidR="00630146" w:rsidRPr="00A27D8A">
        <w:rPr>
          <w:rFonts w:eastAsia="MS Mincho"/>
          <w:lang w:val="fr-CA"/>
        </w:rPr>
        <w:t xml:space="preserve">aux dépenses pourrait être estimée à 40 % d’un poste D-2 </w:t>
      </w:r>
      <w:r w:rsidR="0028454A" w:rsidRPr="00A27D8A">
        <w:rPr>
          <w:rFonts w:eastAsia="MS Mincho"/>
          <w:lang w:val="fr-CA"/>
        </w:rPr>
        <w:t>(</w:t>
      </w:r>
      <w:r w:rsidR="00630146" w:rsidRPr="00A27D8A">
        <w:rPr>
          <w:rFonts w:eastAsia="MS Mincho"/>
          <w:lang w:val="fr-CA"/>
        </w:rPr>
        <w:t>Secrétaire exécutif</w:t>
      </w:r>
      <w:r w:rsidR="00FE7493" w:rsidRPr="00A27D8A">
        <w:rPr>
          <w:rFonts w:eastAsia="MS Mincho"/>
          <w:lang w:val="fr-CA"/>
        </w:rPr>
        <w:t xml:space="preserve">), </w:t>
      </w:r>
      <w:r w:rsidR="00886920" w:rsidRPr="00A27D8A">
        <w:rPr>
          <w:rFonts w:eastAsia="MS Mincho"/>
          <w:lang w:val="fr-CA"/>
        </w:rPr>
        <w:t>20</w:t>
      </w:r>
      <w:r w:rsidR="00630146" w:rsidRPr="00A27D8A">
        <w:rPr>
          <w:rFonts w:eastAsia="MS Mincho"/>
          <w:lang w:val="fr-CA"/>
        </w:rPr>
        <w:t> % d’un poste </w:t>
      </w:r>
      <w:r w:rsidR="00886920" w:rsidRPr="00A27D8A">
        <w:rPr>
          <w:rFonts w:eastAsia="MS Mincho"/>
          <w:lang w:val="fr-CA"/>
        </w:rPr>
        <w:t>D-1</w:t>
      </w:r>
      <w:r w:rsidR="00B17475" w:rsidRPr="00A27D8A">
        <w:rPr>
          <w:rFonts w:eastAsia="MS Mincho"/>
          <w:lang w:val="fr-CA"/>
        </w:rPr>
        <w:t xml:space="preserve"> </w:t>
      </w:r>
      <w:r w:rsidR="00FE7493" w:rsidRPr="00A27D8A">
        <w:rPr>
          <w:rFonts w:eastAsia="MS Mincho"/>
          <w:lang w:val="fr-CA"/>
        </w:rPr>
        <w:t>(</w:t>
      </w:r>
      <w:r w:rsidR="00630146" w:rsidRPr="00A27D8A">
        <w:rPr>
          <w:rFonts w:eastAsia="MS Mincho"/>
          <w:lang w:val="fr-CA"/>
        </w:rPr>
        <w:t>Secrétaire exécutif adjoint</w:t>
      </w:r>
      <w:r w:rsidR="00FE7493" w:rsidRPr="00A27D8A">
        <w:rPr>
          <w:rFonts w:eastAsia="MS Mincho"/>
          <w:lang w:val="fr-CA"/>
        </w:rPr>
        <w:t xml:space="preserve">) </w:t>
      </w:r>
      <w:r w:rsidR="00630146" w:rsidRPr="00A27D8A">
        <w:rPr>
          <w:rFonts w:eastAsia="MS Mincho"/>
          <w:lang w:val="fr-CA"/>
        </w:rPr>
        <w:t xml:space="preserve">et </w:t>
      </w:r>
      <w:r w:rsidR="00FE7493" w:rsidRPr="00A27D8A">
        <w:rPr>
          <w:rFonts w:eastAsia="MS Mincho"/>
          <w:lang w:val="fr-CA"/>
        </w:rPr>
        <w:t>40</w:t>
      </w:r>
      <w:r w:rsidR="00630146" w:rsidRPr="00A27D8A">
        <w:rPr>
          <w:rFonts w:eastAsia="MS Mincho"/>
          <w:lang w:val="fr-CA"/>
        </w:rPr>
        <w:t> % d’un poste </w:t>
      </w:r>
      <w:r w:rsidR="0028454A" w:rsidRPr="00A27D8A">
        <w:rPr>
          <w:rFonts w:eastAsia="MS Mincho"/>
          <w:lang w:val="fr-CA"/>
        </w:rPr>
        <w:t>P-5 (</w:t>
      </w:r>
      <w:r w:rsidR="00630146" w:rsidRPr="00A27D8A">
        <w:rPr>
          <w:rFonts w:eastAsia="MS Mincho"/>
          <w:lang w:val="fr-CA"/>
        </w:rPr>
        <w:t>Chef du Service des opérations des conventions</w:t>
      </w:r>
      <w:r w:rsidR="0028454A" w:rsidRPr="00A27D8A">
        <w:rPr>
          <w:rFonts w:eastAsia="MS Mincho"/>
          <w:lang w:val="fr-CA"/>
        </w:rPr>
        <w:t>)</w:t>
      </w:r>
      <w:r w:rsidR="004B129B">
        <w:rPr>
          <w:rFonts w:eastAsia="MS Mincho"/>
          <w:lang w:val="fr-CA"/>
        </w:rPr>
        <w:t>.</w:t>
      </w:r>
      <w:r w:rsidR="0028454A" w:rsidRPr="00A27D8A">
        <w:rPr>
          <w:rFonts w:eastAsia="MS Mincho"/>
          <w:lang w:val="fr-CA"/>
        </w:rPr>
        <w:t xml:space="preserve"> </w:t>
      </w:r>
      <w:r w:rsidR="00630146" w:rsidRPr="00A27D8A">
        <w:rPr>
          <w:rFonts w:eastAsia="MS Mincho"/>
          <w:lang w:val="fr-CA"/>
        </w:rPr>
        <w:t>De plus</w:t>
      </w:r>
      <w:r w:rsidR="0028454A" w:rsidRPr="00A27D8A">
        <w:rPr>
          <w:rFonts w:eastAsia="MS Mincho"/>
          <w:lang w:val="fr-CA"/>
        </w:rPr>
        <w:t>,</w:t>
      </w:r>
      <w:r w:rsidR="00630146" w:rsidRPr="00A27D8A">
        <w:rPr>
          <w:rFonts w:eastAsia="MS Mincho"/>
          <w:lang w:val="fr-CA"/>
        </w:rPr>
        <w:t xml:space="preserve"> afin de renforcer l</w:t>
      </w:r>
      <w:r w:rsidR="009768BA">
        <w:rPr>
          <w:rFonts w:eastAsia="MS Mincho"/>
          <w:lang w:val="fr-CA"/>
        </w:rPr>
        <w:t>’aptitude de la structure du secrétariat à</w:t>
      </w:r>
      <w:r w:rsidR="00B16E84" w:rsidRPr="00A27D8A">
        <w:rPr>
          <w:rFonts w:eastAsia="MS Mincho"/>
          <w:lang w:val="fr-CA"/>
        </w:rPr>
        <w:t xml:space="preserve"> répondre aux besoins du Service </w:t>
      </w:r>
      <w:r w:rsidR="00A22ECB">
        <w:rPr>
          <w:rFonts w:eastAsia="MS Mincho"/>
          <w:lang w:val="fr-CA"/>
        </w:rPr>
        <w:t>de</w:t>
      </w:r>
      <w:r w:rsidR="00B16E84" w:rsidRPr="00A27D8A">
        <w:rPr>
          <w:rFonts w:eastAsia="MS Mincho"/>
          <w:lang w:val="fr-CA"/>
        </w:rPr>
        <w:t xml:space="preserve"> la Convention de Minamata, l’équivalent de 1,5 poste </w:t>
      </w:r>
      <w:r w:rsidR="0028454A" w:rsidRPr="00A27D8A">
        <w:rPr>
          <w:rFonts w:eastAsia="MS Mincho"/>
          <w:lang w:val="fr-CA"/>
        </w:rPr>
        <w:t>P-3 (</w:t>
      </w:r>
      <w:r w:rsidR="00B16E84" w:rsidRPr="00A27D8A">
        <w:rPr>
          <w:rFonts w:eastAsia="MS Mincho"/>
          <w:lang w:val="fr-CA"/>
        </w:rPr>
        <w:t xml:space="preserve">pour </w:t>
      </w:r>
      <w:r w:rsidR="00CB40E2" w:rsidRPr="00A27D8A">
        <w:rPr>
          <w:rFonts w:eastAsia="MS Mincho"/>
          <w:lang w:val="fr-CA"/>
        </w:rPr>
        <w:t>des</w:t>
      </w:r>
      <w:r w:rsidR="00B16E84" w:rsidRPr="00A27D8A">
        <w:rPr>
          <w:rFonts w:eastAsia="MS Mincho"/>
          <w:lang w:val="fr-CA"/>
        </w:rPr>
        <w:t xml:space="preserve"> fonctions </w:t>
      </w:r>
      <w:r w:rsidR="009768BA">
        <w:rPr>
          <w:rFonts w:eastAsia="MS Mincho"/>
          <w:lang w:val="fr-CA"/>
        </w:rPr>
        <w:t xml:space="preserve">comme, par exemple, </w:t>
      </w:r>
      <w:r>
        <w:rPr>
          <w:rFonts w:eastAsia="MS Mincho"/>
          <w:lang w:val="fr-CA"/>
        </w:rPr>
        <w:t>l’appui juridique</w:t>
      </w:r>
      <w:r w:rsidR="00B16E84" w:rsidRPr="00A27D8A">
        <w:rPr>
          <w:rFonts w:eastAsia="MS Mincho"/>
          <w:lang w:val="fr-CA"/>
        </w:rPr>
        <w:t xml:space="preserve">, </w:t>
      </w:r>
      <w:r>
        <w:rPr>
          <w:rFonts w:eastAsia="MS Mincho"/>
          <w:lang w:val="fr-CA"/>
        </w:rPr>
        <w:t>la</w:t>
      </w:r>
      <w:r w:rsidR="00B16E84" w:rsidRPr="00A27D8A">
        <w:rPr>
          <w:rFonts w:eastAsia="MS Mincho"/>
          <w:lang w:val="fr-CA"/>
        </w:rPr>
        <w:t xml:space="preserve"> communication et </w:t>
      </w:r>
      <w:r>
        <w:rPr>
          <w:rFonts w:eastAsia="MS Mincho"/>
          <w:lang w:val="fr-CA"/>
        </w:rPr>
        <w:t>la</w:t>
      </w:r>
      <w:r w:rsidR="00B16E84" w:rsidRPr="00A27D8A">
        <w:rPr>
          <w:rFonts w:eastAsia="MS Mincho"/>
          <w:lang w:val="fr-CA"/>
        </w:rPr>
        <w:t xml:space="preserve"> sensibilisation du public, </w:t>
      </w:r>
      <w:r>
        <w:rPr>
          <w:rFonts w:eastAsia="MS Mincho"/>
          <w:lang w:val="fr-CA"/>
        </w:rPr>
        <w:t xml:space="preserve">les services </w:t>
      </w:r>
      <w:r w:rsidR="00B16E84" w:rsidRPr="00A27D8A">
        <w:rPr>
          <w:rFonts w:eastAsia="MS Mincho"/>
          <w:lang w:val="fr-CA"/>
        </w:rPr>
        <w:t>informati</w:t>
      </w:r>
      <w:r>
        <w:rPr>
          <w:rFonts w:eastAsia="MS Mincho"/>
          <w:lang w:val="fr-CA"/>
        </w:rPr>
        <w:t>ques</w:t>
      </w:r>
      <w:r w:rsidR="00B16E84" w:rsidRPr="00A27D8A">
        <w:rPr>
          <w:rFonts w:eastAsia="MS Mincho"/>
          <w:lang w:val="fr-CA"/>
        </w:rPr>
        <w:t xml:space="preserve"> et </w:t>
      </w:r>
      <w:r>
        <w:rPr>
          <w:rFonts w:eastAsia="MS Mincho"/>
          <w:lang w:val="fr-CA"/>
        </w:rPr>
        <w:t>la</w:t>
      </w:r>
      <w:r w:rsidR="00B16E84" w:rsidRPr="00A27D8A">
        <w:rPr>
          <w:rFonts w:eastAsia="MS Mincho"/>
          <w:lang w:val="fr-CA"/>
        </w:rPr>
        <w:t xml:space="preserve"> gestion de l’information) et </w:t>
      </w:r>
      <w:r w:rsidR="00A22ECB">
        <w:rPr>
          <w:rFonts w:eastAsia="MS Mincho"/>
          <w:lang w:val="fr-CA"/>
        </w:rPr>
        <w:t xml:space="preserve">de </w:t>
      </w:r>
      <w:r w:rsidR="00B16E84" w:rsidRPr="00A27D8A">
        <w:rPr>
          <w:rFonts w:eastAsia="MS Mincho"/>
          <w:lang w:val="fr-CA"/>
        </w:rPr>
        <w:t>quatre postes de la catégorie des services généraux serait nécessaire</w:t>
      </w:r>
      <w:r w:rsidR="0028454A" w:rsidRPr="00A27D8A">
        <w:rPr>
          <w:rFonts w:eastAsia="MS Mincho"/>
          <w:lang w:val="fr-CA"/>
        </w:rPr>
        <w:t>.</w:t>
      </w:r>
    </w:p>
    <w:p w14:paraId="2F1DA80A" w14:textId="5F871D89" w:rsidR="00740323" w:rsidRPr="00A27D8A" w:rsidRDefault="00A22ECB" w:rsidP="00972D3B">
      <w:pPr>
        <w:pStyle w:val="Normalnumber"/>
        <w:tabs>
          <w:tab w:val="clear" w:pos="624"/>
          <w:tab w:val="left" w:pos="1701"/>
        </w:tabs>
        <w:ind w:left="1247" w:hanging="1"/>
        <w:rPr>
          <w:lang w:val="fr-CA"/>
        </w:rPr>
      </w:pPr>
      <w:r>
        <w:rPr>
          <w:rFonts w:eastAsia="MS Mincho"/>
          <w:lang w:val="fr-CA"/>
        </w:rPr>
        <w:t>Les nouveaux postes suivants seraient en outre nécessaires pour assurer</w:t>
      </w:r>
      <w:r w:rsidR="008F36B7" w:rsidRPr="00A27D8A">
        <w:rPr>
          <w:rFonts w:eastAsia="MS Mincho"/>
          <w:lang w:val="fr-CA"/>
        </w:rPr>
        <w:t xml:space="preserve"> les fonctions du Service </w:t>
      </w:r>
      <w:r w:rsidR="00B93E9C" w:rsidRPr="00A27D8A">
        <w:rPr>
          <w:rFonts w:eastAsia="MS Mincho"/>
          <w:lang w:val="fr-CA"/>
        </w:rPr>
        <w:t xml:space="preserve">: </w:t>
      </w:r>
      <w:r w:rsidR="00EE41C1" w:rsidRPr="00A27D8A">
        <w:rPr>
          <w:rFonts w:eastAsia="MS Mincho"/>
          <w:lang w:val="fr-CA"/>
        </w:rPr>
        <w:t>un </w:t>
      </w:r>
      <w:r w:rsidR="008F36B7" w:rsidRPr="00A27D8A">
        <w:rPr>
          <w:rFonts w:eastAsia="MS Mincho"/>
          <w:lang w:val="fr-CA"/>
        </w:rPr>
        <w:t>poste </w:t>
      </w:r>
      <w:r w:rsidR="005C7828" w:rsidRPr="00A27D8A">
        <w:rPr>
          <w:rFonts w:eastAsia="MS Mincho"/>
          <w:lang w:val="fr-CA"/>
        </w:rPr>
        <w:t>D-1</w:t>
      </w:r>
      <w:r w:rsidR="00886920" w:rsidRPr="00A27D8A">
        <w:rPr>
          <w:rFonts w:eastAsia="MS Mincho"/>
          <w:lang w:val="fr-CA"/>
        </w:rPr>
        <w:t xml:space="preserve"> </w:t>
      </w:r>
      <w:r w:rsidR="005C7828" w:rsidRPr="00A27D8A">
        <w:rPr>
          <w:rFonts w:eastAsia="MS Mincho"/>
          <w:lang w:val="fr-CA"/>
        </w:rPr>
        <w:t>(</w:t>
      </w:r>
      <w:r w:rsidR="00F93CCA" w:rsidRPr="00A27D8A">
        <w:rPr>
          <w:rFonts w:eastAsia="MS Mincho"/>
          <w:lang w:val="fr-CA"/>
        </w:rPr>
        <w:t>Chef de Service</w:t>
      </w:r>
      <w:r w:rsidR="00B93E9C" w:rsidRPr="00A27D8A">
        <w:rPr>
          <w:rFonts w:eastAsia="MS Mincho"/>
          <w:lang w:val="fr-CA"/>
        </w:rPr>
        <w:t xml:space="preserve">), </w:t>
      </w:r>
      <w:r w:rsidR="008F36B7" w:rsidRPr="00A27D8A">
        <w:rPr>
          <w:lang w:val="fr-CA"/>
        </w:rPr>
        <w:t>un poste </w:t>
      </w:r>
      <w:r w:rsidR="00B93E9C" w:rsidRPr="00A27D8A">
        <w:rPr>
          <w:rFonts w:eastAsia="MS Mincho"/>
          <w:lang w:val="fr-CA"/>
        </w:rPr>
        <w:t>P-4 (</w:t>
      </w:r>
      <w:r>
        <w:rPr>
          <w:rFonts w:eastAsia="MS Mincho"/>
          <w:lang w:val="fr-CA"/>
        </w:rPr>
        <w:t xml:space="preserve">questions </w:t>
      </w:r>
      <w:r w:rsidR="00B93E9C" w:rsidRPr="00A27D8A">
        <w:rPr>
          <w:rFonts w:eastAsia="MS Mincho"/>
          <w:lang w:val="fr-CA"/>
        </w:rPr>
        <w:t>scientifi</w:t>
      </w:r>
      <w:r w:rsidR="00F93CCA" w:rsidRPr="00A27D8A">
        <w:rPr>
          <w:rFonts w:eastAsia="MS Mincho"/>
          <w:lang w:val="fr-CA"/>
        </w:rPr>
        <w:t>que</w:t>
      </w:r>
      <w:r>
        <w:rPr>
          <w:rFonts w:eastAsia="MS Mincho"/>
          <w:lang w:val="fr-CA"/>
        </w:rPr>
        <w:t>s</w:t>
      </w:r>
      <w:r w:rsidR="00B93E9C" w:rsidRPr="00A27D8A">
        <w:rPr>
          <w:rFonts w:eastAsia="MS Mincho"/>
          <w:lang w:val="fr-CA"/>
        </w:rPr>
        <w:t xml:space="preserve">), </w:t>
      </w:r>
      <w:r w:rsidR="008F36B7" w:rsidRPr="00A27D8A">
        <w:rPr>
          <w:rFonts w:eastAsia="MS Mincho"/>
          <w:lang w:val="fr-CA"/>
        </w:rPr>
        <w:t>trois postes </w:t>
      </w:r>
      <w:r w:rsidR="00B93E9C" w:rsidRPr="00A27D8A">
        <w:rPr>
          <w:rFonts w:eastAsia="MS Mincho"/>
          <w:lang w:val="fr-CA"/>
        </w:rPr>
        <w:t>P-3 (</w:t>
      </w:r>
      <w:r w:rsidR="00F93CCA" w:rsidRPr="00A27D8A">
        <w:rPr>
          <w:rFonts w:eastAsia="MS Mincho"/>
          <w:lang w:val="fr-CA"/>
        </w:rPr>
        <w:t>un</w:t>
      </w:r>
      <w:r w:rsidR="003552BB">
        <w:rPr>
          <w:rFonts w:eastAsia="MS Mincho"/>
          <w:lang w:val="fr-CA"/>
        </w:rPr>
        <w:t> </w:t>
      </w:r>
      <w:r w:rsidR="00F93CCA" w:rsidRPr="00A27D8A">
        <w:rPr>
          <w:rFonts w:eastAsia="MS Mincho"/>
          <w:lang w:val="fr-CA"/>
        </w:rPr>
        <w:t xml:space="preserve">pour </w:t>
      </w:r>
      <w:r>
        <w:rPr>
          <w:rFonts w:eastAsia="MS Mincho"/>
          <w:lang w:val="fr-CA"/>
        </w:rPr>
        <w:t xml:space="preserve">les questions scientifiques et techniques, un pour </w:t>
      </w:r>
      <w:r w:rsidR="00F93CCA" w:rsidRPr="00A27D8A">
        <w:rPr>
          <w:rFonts w:eastAsia="MS Mincho"/>
          <w:lang w:val="fr-CA"/>
        </w:rPr>
        <w:t>l’assistance technique</w:t>
      </w:r>
      <w:r>
        <w:rPr>
          <w:rFonts w:eastAsia="MS Mincho"/>
          <w:lang w:val="fr-CA"/>
        </w:rPr>
        <w:t xml:space="preserve"> et</w:t>
      </w:r>
      <w:r w:rsidR="00F93CCA" w:rsidRPr="00A27D8A">
        <w:rPr>
          <w:rFonts w:eastAsia="MS Mincho"/>
          <w:lang w:val="fr-CA"/>
        </w:rPr>
        <w:t xml:space="preserve"> le renforcement des capacités et un pour la </w:t>
      </w:r>
      <w:r>
        <w:rPr>
          <w:rFonts w:eastAsia="MS Mincho"/>
          <w:lang w:val="fr-CA"/>
        </w:rPr>
        <w:t>gestion des connaissances et la communication des données)</w:t>
      </w:r>
      <w:r w:rsidR="00B93E9C" w:rsidRPr="00A27D8A">
        <w:rPr>
          <w:rFonts w:eastAsia="MS Mincho"/>
          <w:lang w:val="fr-CA"/>
        </w:rPr>
        <w:t>.</w:t>
      </w:r>
      <w:r w:rsidR="00F44FF7" w:rsidRPr="00A27D8A">
        <w:rPr>
          <w:rFonts w:eastAsia="MS Mincho"/>
          <w:lang w:val="fr-CA"/>
        </w:rPr>
        <w:t xml:space="preserve"> </w:t>
      </w:r>
    </w:p>
    <w:p w14:paraId="67310D04" w14:textId="601D9681" w:rsidR="00740323" w:rsidRPr="00A27D8A" w:rsidRDefault="000278E9" w:rsidP="00F73D22">
      <w:pPr>
        <w:pStyle w:val="CH3"/>
        <w:ind w:firstLine="0"/>
        <w:rPr>
          <w:lang w:val="fr-CA"/>
        </w:rPr>
      </w:pPr>
      <w:r w:rsidRPr="000278E9">
        <w:rPr>
          <w:lang w:val="fr-CA"/>
        </w:rPr>
        <w:t>Option 2 (autonomie) : Création d’un secrétariat indépendant de la Convention de Minamata (lieu d’implantation : à déterminer sur la base d’une analyse des lieux d’affectation du PNUE suivants : Bangkok, Genève, Nairobi, Osaka, Vienne et Washington)</w:t>
      </w:r>
    </w:p>
    <w:p w14:paraId="16394263" w14:textId="577BE91C" w:rsidR="00740323" w:rsidRPr="00A27D8A" w:rsidRDefault="00234273" w:rsidP="00972D3B">
      <w:pPr>
        <w:pStyle w:val="Normalnumber"/>
        <w:tabs>
          <w:tab w:val="clear" w:pos="624"/>
          <w:tab w:val="left" w:pos="1701"/>
        </w:tabs>
        <w:ind w:left="1247" w:hanging="1"/>
        <w:rPr>
          <w:lang w:val="fr-CA"/>
        </w:rPr>
      </w:pPr>
      <w:r w:rsidRPr="00A27D8A">
        <w:rPr>
          <w:lang w:val="fr-CA"/>
        </w:rPr>
        <w:t>Dans le cadre de l’</w:t>
      </w:r>
      <w:r w:rsidR="0095385F" w:rsidRPr="00A27D8A">
        <w:rPr>
          <w:lang w:val="fr-CA"/>
        </w:rPr>
        <w:t>option</w:t>
      </w:r>
      <w:r w:rsidRPr="00A27D8A">
        <w:rPr>
          <w:lang w:val="fr-CA"/>
        </w:rPr>
        <w:t> </w:t>
      </w:r>
      <w:r w:rsidR="005C7828" w:rsidRPr="00A27D8A">
        <w:rPr>
          <w:lang w:val="fr-CA"/>
        </w:rPr>
        <w:t>2,</w:t>
      </w:r>
      <w:r w:rsidR="0095385F" w:rsidRPr="00A27D8A">
        <w:rPr>
          <w:lang w:val="fr-CA"/>
        </w:rPr>
        <w:t xml:space="preserve"> </w:t>
      </w:r>
      <w:r w:rsidRPr="00A27D8A">
        <w:rPr>
          <w:lang w:val="fr-CA"/>
        </w:rPr>
        <w:t xml:space="preserve">le secrétariat de la Convention de </w:t>
      </w:r>
      <w:r w:rsidR="006E0667" w:rsidRPr="00A27D8A">
        <w:rPr>
          <w:lang w:val="fr-CA"/>
        </w:rPr>
        <w:t xml:space="preserve">Minamata </w:t>
      </w:r>
      <w:r w:rsidRPr="00A27D8A">
        <w:rPr>
          <w:lang w:val="fr-CA"/>
        </w:rPr>
        <w:t>serait dirigé par un Secrétaire exécutif de classe </w:t>
      </w:r>
      <w:r w:rsidR="004C3380" w:rsidRPr="00A27D8A">
        <w:rPr>
          <w:rFonts w:eastAsia="MS Mincho"/>
          <w:lang w:val="fr-CA"/>
        </w:rPr>
        <w:t>D-1,</w:t>
      </w:r>
      <w:r w:rsidRPr="00A27D8A">
        <w:rPr>
          <w:rFonts w:eastAsia="MS Mincho"/>
          <w:lang w:val="fr-CA"/>
        </w:rPr>
        <w:t xml:space="preserve"> qui serait appuyé par un chef de service pour les services </w:t>
      </w:r>
      <w:r w:rsidR="008D0B7E" w:rsidRPr="00A27D8A">
        <w:rPr>
          <w:rFonts w:eastAsia="MS Mincho"/>
          <w:lang w:val="fr-CA"/>
        </w:rPr>
        <w:t>de politique générale et un chef de service pour les services</w:t>
      </w:r>
      <w:r w:rsidRPr="00A27D8A">
        <w:rPr>
          <w:rFonts w:eastAsia="MS Mincho"/>
          <w:lang w:val="fr-CA"/>
        </w:rPr>
        <w:t xml:space="preserve"> techniques</w:t>
      </w:r>
      <w:r w:rsidR="008D0B7E" w:rsidRPr="00A27D8A">
        <w:rPr>
          <w:rFonts w:eastAsia="MS Mincho"/>
          <w:lang w:val="fr-CA"/>
        </w:rPr>
        <w:t xml:space="preserve"> (tous deux de classe </w:t>
      </w:r>
      <w:r w:rsidR="003877DF" w:rsidRPr="00A27D8A">
        <w:rPr>
          <w:rFonts w:eastAsia="MS Mincho"/>
          <w:lang w:val="fr-CA"/>
        </w:rPr>
        <w:t>P-5)</w:t>
      </w:r>
      <w:r w:rsidR="004C3380" w:rsidRPr="00A27D8A">
        <w:rPr>
          <w:rFonts w:eastAsia="MS Mincho"/>
          <w:lang w:val="fr-CA"/>
        </w:rPr>
        <w:t xml:space="preserve">. </w:t>
      </w:r>
      <w:r w:rsidR="008D0B7E" w:rsidRPr="00A27D8A">
        <w:rPr>
          <w:rFonts w:eastAsia="MS Mincho"/>
          <w:lang w:val="fr-CA"/>
        </w:rPr>
        <w:t xml:space="preserve">Au sein des services de politique générale, les travaux concernant la science et l’interface science-politique </w:t>
      </w:r>
      <w:r w:rsidR="008D0B7E" w:rsidRPr="00A27D8A">
        <w:rPr>
          <w:rFonts w:eastAsia="MS Mincho"/>
          <w:lang w:val="fr-CA"/>
        </w:rPr>
        <w:lastRenderedPageBreak/>
        <w:t>seraient menés par un</w:t>
      </w:r>
      <w:r w:rsidR="0095385F" w:rsidRPr="00A27D8A">
        <w:rPr>
          <w:rFonts w:eastAsia="MS Mincho"/>
          <w:lang w:val="fr-CA"/>
        </w:rPr>
        <w:t xml:space="preserve"> </w:t>
      </w:r>
      <w:r w:rsidR="008D0B7E" w:rsidRPr="00A27D8A">
        <w:rPr>
          <w:rFonts w:eastAsia="MS Mincho"/>
          <w:lang w:val="fr-CA"/>
        </w:rPr>
        <w:t>responsable scientifique de classe </w:t>
      </w:r>
      <w:r w:rsidR="007D7EF5" w:rsidRPr="00A27D8A">
        <w:rPr>
          <w:rFonts w:eastAsia="MS Mincho"/>
          <w:lang w:val="fr-CA"/>
        </w:rPr>
        <w:t>P-4</w:t>
      </w:r>
      <w:r w:rsidR="008D0B7E" w:rsidRPr="00A27D8A">
        <w:rPr>
          <w:rFonts w:eastAsia="MS Mincho"/>
          <w:lang w:val="fr-CA"/>
        </w:rPr>
        <w:t xml:space="preserve"> et un responsable de la communication en matière de politique scientifique de classe </w:t>
      </w:r>
      <w:r w:rsidR="007D7EF5" w:rsidRPr="00A27D8A">
        <w:rPr>
          <w:rFonts w:eastAsia="MS Mincho"/>
          <w:lang w:val="fr-CA"/>
        </w:rPr>
        <w:t>P</w:t>
      </w:r>
      <w:r w:rsidR="003877DF" w:rsidRPr="00A27D8A">
        <w:rPr>
          <w:rFonts w:eastAsia="MS Mincho"/>
          <w:lang w:val="fr-CA"/>
        </w:rPr>
        <w:t>-</w:t>
      </w:r>
      <w:r w:rsidR="007D7EF5" w:rsidRPr="00A27D8A">
        <w:rPr>
          <w:rFonts w:eastAsia="MS Mincho"/>
          <w:lang w:val="fr-CA"/>
        </w:rPr>
        <w:t xml:space="preserve">3. </w:t>
      </w:r>
      <w:r w:rsidR="00374F7E" w:rsidRPr="00A27D8A">
        <w:rPr>
          <w:rFonts w:eastAsia="MS Mincho"/>
          <w:lang w:val="fr-CA"/>
        </w:rPr>
        <w:t>Un juriste de classe </w:t>
      </w:r>
      <w:r w:rsidR="007D7EF5" w:rsidRPr="00A27D8A">
        <w:rPr>
          <w:rFonts w:eastAsia="MS Mincho"/>
          <w:lang w:val="fr-CA"/>
        </w:rPr>
        <w:t>P-3</w:t>
      </w:r>
      <w:r w:rsidR="00374F7E" w:rsidRPr="00A27D8A">
        <w:rPr>
          <w:rFonts w:eastAsia="MS Mincho"/>
          <w:lang w:val="fr-CA"/>
        </w:rPr>
        <w:t xml:space="preserve"> serait employé pour travailler sur les orientations juridiques et les questions de politique générale, tandis que la coordination et la préparation des </w:t>
      </w:r>
      <w:r w:rsidR="005834C1" w:rsidRPr="00A27D8A">
        <w:rPr>
          <w:rFonts w:eastAsia="MS Mincho"/>
          <w:lang w:val="fr-CA"/>
        </w:rPr>
        <w:t>conférences</w:t>
      </w:r>
      <w:r w:rsidR="00374F7E" w:rsidRPr="00A27D8A">
        <w:rPr>
          <w:rFonts w:eastAsia="MS Mincho"/>
          <w:lang w:val="fr-CA"/>
        </w:rPr>
        <w:t xml:space="preserve"> seraient effectuées par un autre membre du personnel de classe </w:t>
      </w:r>
      <w:r w:rsidR="007D7EF5" w:rsidRPr="00A27D8A">
        <w:rPr>
          <w:rFonts w:eastAsia="MS Mincho"/>
          <w:lang w:val="fr-CA"/>
        </w:rPr>
        <w:t xml:space="preserve">P-3. </w:t>
      </w:r>
      <w:r w:rsidR="00CB40E2" w:rsidRPr="00A27D8A">
        <w:rPr>
          <w:rFonts w:eastAsia="MS Mincho"/>
          <w:lang w:val="fr-CA"/>
        </w:rPr>
        <w:t>Au sein</w:t>
      </w:r>
      <w:r w:rsidR="005834C1" w:rsidRPr="00A27D8A">
        <w:rPr>
          <w:rFonts w:eastAsia="MS Mincho"/>
          <w:lang w:val="fr-CA"/>
        </w:rPr>
        <w:t xml:space="preserve"> des services techniques</w:t>
      </w:r>
      <w:r w:rsidR="00374F7E" w:rsidRPr="00A27D8A">
        <w:rPr>
          <w:rFonts w:eastAsia="MS Mincho"/>
          <w:lang w:val="fr-CA"/>
        </w:rPr>
        <w:t>, les travaux concernant le renforcement des capacités et l’assistance technique seraient facilités par un fonctionnaire de classe </w:t>
      </w:r>
      <w:r w:rsidR="007D7EF5" w:rsidRPr="00A27D8A">
        <w:rPr>
          <w:rFonts w:eastAsia="MS Mincho"/>
          <w:lang w:val="fr-CA"/>
        </w:rPr>
        <w:t>P-4</w:t>
      </w:r>
      <w:r w:rsidR="003877DF" w:rsidRPr="00A27D8A">
        <w:rPr>
          <w:rFonts w:eastAsia="MS Mincho"/>
          <w:lang w:val="fr-CA"/>
        </w:rPr>
        <w:t>,</w:t>
      </w:r>
      <w:r w:rsidR="00374F7E" w:rsidRPr="00A27D8A">
        <w:rPr>
          <w:rFonts w:eastAsia="MS Mincho"/>
          <w:lang w:val="fr-CA"/>
        </w:rPr>
        <w:t xml:space="preserve"> un membre du personnel de classe </w:t>
      </w:r>
      <w:r w:rsidR="007D7EF5" w:rsidRPr="00A27D8A">
        <w:rPr>
          <w:rFonts w:eastAsia="MS Mincho"/>
          <w:lang w:val="fr-CA"/>
        </w:rPr>
        <w:t xml:space="preserve">P-3 </w:t>
      </w:r>
      <w:r w:rsidR="00374F7E" w:rsidRPr="00A27D8A">
        <w:rPr>
          <w:rFonts w:eastAsia="MS Mincho"/>
          <w:lang w:val="fr-CA"/>
        </w:rPr>
        <w:t>étant chargé de la gestion des connaissances, des services en matière de technologies de l’information et de la communication à l’appui du renforcement des capacités et de l’assistance technique</w:t>
      </w:r>
      <w:r w:rsidR="007D7EF5" w:rsidRPr="00A27D8A">
        <w:rPr>
          <w:rFonts w:eastAsia="MS Mincho"/>
          <w:lang w:val="fr-CA"/>
        </w:rPr>
        <w:t>.</w:t>
      </w:r>
      <w:r w:rsidR="00374F7E" w:rsidRPr="00A27D8A">
        <w:rPr>
          <w:rFonts w:eastAsia="MS Mincho"/>
          <w:lang w:val="fr-CA"/>
        </w:rPr>
        <w:t xml:space="preserve"> Cette option serait appuyée par un total de quatre membres du personnel</w:t>
      </w:r>
      <w:r w:rsidR="007D7EF5" w:rsidRPr="00A27D8A">
        <w:rPr>
          <w:rFonts w:eastAsia="MS Mincho"/>
          <w:lang w:val="fr-CA"/>
        </w:rPr>
        <w:t xml:space="preserve"> </w:t>
      </w:r>
      <w:r w:rsidR="00374F7E" w:rsidRPr="00A27D8A">
        <w:rPr>
          <w:rFonts w:eastAsia="MS Mincho"/>
          <w:lang w:val="fr-CA"/>
        </w:rPr>
        <w:t>de la catégorie des services généraux</w:t>
      </w:r>
      <w:r w:rsidR="007D7EF5" w:rsidRPr="00A27D8A">
        <w:rPr>
          <w:rFonts w:eastAsia="MS Mincho"/>
          <w:lang w:val="fr-CA"/>
        </w:rPr>
        <w:t xml:space="preserve">. </w:t>
      </w:r>
    </w:p>
    <w:p w14:paraId="65A3B24E" w14:textId="36ABACFF" w:rsidR="0051131A" w:rsidRPr="00A27D8A" w:rsidRDefault="00593548" w:rsidP="0051131A">
      <w:pPr>
        <w:pStyle w:val="CH2"/>
        <w:rPr>
          <w:lang w:val="fr-CA"/>
        </w:rPr>
      </w:pPr>
      <w:r w:rsidRPr="00A27D8A">
        <w:rPr>
          <w:lang w:val="fr-CA"/>
        </w:rPr>
        <w:tab/>
        <w:t>D</w:t>
      </w:r>
      <w:r w:rsidR="0051131A" w:rsidRPr="00A27D8A">
        <w:rPr>
          <w:lang w:val="fr-CA"/>
        </w:rPr>
        <w:t xml:space="preserve">. </w:t>
      </w:r>
      <w:r w:rsidR="0051131A" w:rsidRPr="00A27D8A">
        <w:rPr>
          <w:lang w:val="fr-CA"/>
        </w:rPr>
        <w:tab/>
      </w:r>
      <w:r w:rsidR="00712B28" w:rsidRPr="00A27D8A">
        <w:rPr>
          <w:lang w:val="fr-CA"/>
        </w:rPr>
        <w:t>Projet de</w:t>
      </w:r>
      <w:r w:rsidR="0051131A" w:rsidRPr="00A27D8A">
        <w:rPr>
          <w:lang w:val="fr-CA"/>
        </w:rPr>
        <w:t xml:space="preserve"> </w:t>
      </w:r>
      <w:r w:rsidR="00712B28" w:rsidRPr="00A27D8A">
        <w:rPr>
          <w:bCs/>
          <w:lang w:val="fr-CA"/>
        </w:rPr>
        <w:t>barème des quotes-parts</w:t>
      </w:r>
      <w:r w:rsidR="00712B28" w:rsidRPr="00A27D8A">
        <w:rPr>
          <w:lang w:val="fr-CA"/>
        </w:rPr>
        <w:t xml:space="preserve"> pour la période</w:t>
      </w:r>
      <w:r w:rsidR="00391F03" w:rsidRPr="00A27D8A">
        <w:rPr>
          <w:lang w:val="fr-CA"/>
        </w:rPr>
        <w:t xml:space="preserve"> </w:t>
      </w:r>
      <w:r w:rsidR="0051131A" w:rsidRPr="00A27D8A">
        <w:rPr>
          <w:lang w:val="fr-CA"/>
        </w:rPr>
        <w:t>2018</w:t>
      </w:r>
      <w:r w:rsidR="00D91EAA" w:rsidRPr="00A27D8A">
        <w:rPr>
          <w:lang w:val="fr-CA"/>
        </w:rPr>
        <w:t>–</w:t>
      </w:r>
      <w:r w:rsidR="0051131A" w:rsidRPr="00A27D8A">
        <w:rPr>
          <w:lang w:val="fr-CA"/>
        </w:rPr>
        <w:t>2019</w:t>
      </w:r>
    </w:p>
    <w:p w14:paraId="0090352F" w14:textId="11F15CF1" w:rsidR="0051131A" w:rsidRPr="00A27D8A" w:rsidRDefault="00712B28" w:rsidP="00972D3B">
      <w:pPr>
        <w:pStyle w:val="Normalnumber"/>
        <w:tabs>
          <w:tab w:val="clear" w:pos="624"/>
          <w:tab w:val="left" w:pos="1701"/>
        </w:tabs>
        <w:ind w:left="1247" w:hanging="1"/>
        <w:rPr>
          <w:lang w:val="fr-CA"/>
        </w:rPr>
      </w:pPr>
      <w:r w:rsidRPr="00A27D8A">
        <w:rPr>
          <w:lang w:val="fr-CA"/>
        </w:rPr>
        <w:t>Conformément à l’article </w:t>
      </w:r>
      <w:r w:rsidR="0051131A" w:rsidRPr="00A27D8A">
        <w:rPr>
          <w:lang w:val="fr-CA"/>
        </w:rPr>
        <w:t>5</w:t>
      </w:r>
      <w:r w:rsidR="00B509FF" w:rsidRPr="00A27D8A">
        <w:rPr>
          <w:lang w:val="fr-CA"/>
        </w:rPr>
        <w:t xml:space="preserve"> </w:t>
      </w:r>
      <w:r w:rsidR="003A70FE" w:rsidRPr="00A27D8A">
        <w:rPr>
          <w:lang w:val="fr-CA"/>
        </w:rPr>
        <w:t xml:space="preserve">du projet de règles de gestion financière de la Convention de Minamata, les ressources de la </w:t>
      </w:r>
      <w:r w:rsidR="000278E9">
        <w:rPr>
          <w:lang w:val="fr-CA"/>
        </w:rPr>
        <w:t xml:space="preserve">Conférence des Parties </w:t>
      </w:r>
      <w:r w:rsidR="003A70FE" w:rsidRPr="00A27D8A">
        <w:rPr>
          <w:lang w:val="fr-CA"/>
        </w:rPr>
        <w:t>comprennent des contributions</w:t>
      </w:r>
      <w:r w:rsidR="00676A48">
        <w:rPr>
          <w:lang w:val="fr-CA"/>
        </w:rPr>
        <w:t xml:space="preserve"> versées </w:t>
      </w:r>
      <w:r w:rsidR="002B66E6">
        <w:rPr>
          <w:lang w:val="fr-CA"/>
        </w:rPr>
        <w:t>selon</w:t>
      </w:r>
      <w:r w:rsidR="003A70FE" w:rsidRPr="00A27D8A">
        <w:rPr>
          <w:lang w:val="fr-CA"/>
        </w:rPr>
        <w:t xml:space="preserve"> un barème indicatif adopté par </w:t>
      </w:r>
      <w:r w:rsidR="000278E9">
        <w:rPr>
          <w:lang w:val="fr-CA"/>
        </w:rPr>
        <w:t xml:space="preserve">la Conférence des Parties </w:t>
      </w:r>
      <w:r w:rsidR="00676A48">
        <w:rPr>
          <w:lang w:val="fr-CA"/>
        </w:rPr>
        <w:t xml:space="preserve">sur la base d’un </w:t>
      </w:r>
      <w:r w:rsidR="00676A48" w:rsidRPr="00676A48">
        <w:rPr>
          <w:lang w:val="fr-CA"/>
        </w:rPr>
        <w:t>barème des quotes-parts</w:t>
      </w:r>
      <w:r w:rsidR="00676A48" w:rsidRPr="00A27D8A">
        <w:rPr>
          <w:lang w:val="fr-CA"/>
        </w:rPr>
        <w:t xml:space="preserve"> </w:t>
      </w:r>
      <w:r w:rsidR="00676A48">
        <w:rPr>
          <w:lang w:val="fr-CA"/>
        </w:rPr>
        <w:t xml:space="preserve">de </w:t>
      </w:r>
      <w:r w:rsidR="003A70FE" w:rsidRPr="00A27D8A">
        <w:rPr>
          <w:lang w:val="fr-CA"/>
        </w:rPr>
        <w:t xml:space="preserve">l’Organisation des Nations Unies ajusté de telle sorte </w:t>
      </w:r>
      <w:r w:rsidR="00EF1EBF" w:rsidRPr="00A27D8A">
        <w:rPr>
          <w:lang w:val="fr-CA"/>
        </w:rPr>
        <w:t>a) </w:t>
      </w:r>
      <w:r w:rsidR="00676A48">
        <w:rPr>
          <w:lang w:val="fr-CA"/>
        </w:rPr>
        <w:t>qu’</w:t>
      </w:r>
      <w:r w:rsidR="003A70FE" w:rsidRPr="00A27D8A">
        <w:rPr>
          <w:lang w:val="fr-CA"/>
        </w:rPr>
        <w:t>aucune Partie ne contribue moins de 0,01 % du total</w:t>
      </w:r>
      <w:r w:rsidR="0051131A" w:rsidRPr="00A27D8A">
        <w:rPr>
          <w:lang w:val="fr-CA"/>
        </w:rPr>
        <w:t xml:space="preserve">, </w:t>
      </w:r>
      <w:r w:rsidR="005C429F" w:rsidRPr="00A27D8A">
        <w:rPr>
          <w:lang w:val="fr-CA"/>
        </w:rPr>
        <w:t>b)</w:t>
      </w:r>
      <w:r w:rsidR="00EF1EBF" w:rsidRPr="00A27D8A">
        <w:rPr>
          <w:lang w:val="fr-CA"/>
        </w:rPr>
        <w:t> </w:t>
      </w:r>
      <w:r w:rsidR="00676A48">
        <w:rPr>
          <w:lang w:val="fr-CA"/>
        </w:rPr>
        <w:t>qu’</w:t>
      </w:r>
      <w:r w:rsidR="003A70FE" w:rsidRPr="00A27D8A">
        <w:rPr>
          <w:lang w:val="fr-CA"/>
        </w:rPr>
        <w:t>aucune contribution ne représente plus de 22 % du total et</w:t>
      </w:r>
      <w:r w:rsidR="0051131A" w:rsidRPr="00A27D8A">
        <w:rPr>
          <w:lang w:val="fr-CA"/>
        </w:rPr>
        <w:t xml:space="preserve"> </w:t>
      </w:r>
      <w:r w:rsidR="005C429F" w:rsidRPr="00A27D8A">
        <w:rPr>
          <w:lang w:val="fr-CA"/>
        </w:rPr>
        <w:t>c)</w:t>
      </w:r>
      <w:r w:rsidR="00676A48">
        <w:rPr>
          <w:lang w:val="fr-CA"/>
        </w:rPr>
        <w:t> qu’</w:t>
      </w:r>
      <w:r w:rsidR="003A70FE" w:rsidRPr="00A27D8A">
        <w:rPr>
          <w:lang w:val="fr-CA"/>
        </w:rPr>
        <w:t>aucune contribution d’une Partie figurant parmi les pays les moins avancés n’excède 0,01 % du total</w:t>
      </w:r>
      <w:r w:rsidR="0051131A" w:rsidRPr="00A27D8A">
        <w:rPr>
          <w:lang w:val="fr-CA"/>
        </w:rPr>
        <w:t>.</w:t>
      </w:r>
      <w:r w:rsidR="00D92D75" w:rsidRPr="00A27D8A">
        <w:rPr>
          <w:lang w:val="fr-CA"/>
        </w:rPr>
        <w:t xml:space="preserve"> Les contributions des Parties</w:t>
      </w:r>
      <w:r w:rsidR="0051131A" w:rsidRPr="00A27D8A">
        <w:rPr>
          <w:lang w:val="fr-CA"/>
        </w:rPr>
        <w:t xml:space="preserve"> </w:t>
      </w:r>
      <w:r w:rsidR="00B4283F" w:rsidRPr="00A27D8A">
        <w:rPr>
          <w:lang w:val="fr-CA"/>
        </w:rPr>
        <w:t>sont et continueront d’être fixées à l’aide de l’actuel barème des quotes-parts de l’Organisation</w:t>
      </w:r>
      <w:r w:rsidR="00DB4DEA" w:rsidRPr="00A27D8A">
        <w:rPr>
          <w:lang w:val="fr-CA"/>
        </w:rPr>
        <w:t xml:space="preserve"> des Nations </w:t>
      </w:r>
      <w:r w:rsidR="00B4283F" w:rsidRPr="00A27D8A">
        <w:rPr>
          <w:lang w:val="fr-CA"/>
        </w:rPr>
        <w:t>Unies pour la période 2016-2018, qui a été adopté par la résolution 70/245 de l’Assemblée générale</w:t>
      </w:r>
      <w:r w:rsidR="006526B0" w:rsidRPr="00A27D8A">
        <w:rPr>
          <w:lang w:val="fr-CA"/>
        </w:rPr>
        <w:t>.</w:t>
      </w:r>
      <w:r w:rsidR="0051131A" w:rsidRPr="00A27D8A">
        <w:rPr>
          <w:lang w:val="fr-CA"/>
        </w:rPr>
        <w:t xml:space="preserve"> </w:t>
      </w:r>
      <w:r w:rsidR="00676A48">
        <w:rPr>
          <w:lang w:val="fr-CA"/>
        </w:rPr>
        <w:t>C</w:t>
      </w:r>
      <w:r w:rsidR="00B4283F" w:rsidRPr="00A27D8A">
        <w:rPr>
          <w:lang w:val="fr-CA"/>
        </w:rPr>
        <w:t>e</w:t>
      </w:r>
      <w:r w:rsidR="006526B0" w:rsidRPr="00A27D8A">
        <w:rPr>
          <w:lang w:val="fr-CA"/>
        </w:rPr>
        <w:t xml:space="preserve"> </w:t>
      </w:r>
      <w:r w:rsidR="00B4283F" w:rsidRPr="00A27D8A">
        <w:rPr>
          <w:lang w:val="fr-CA"/>
        </w:rPr>
        <w:t xml:space="preserve">barème a été ajusté pour tenir compte du fait que les États Membres de l’Organisation des </w:t>
      </w:r>
      <w:r w:rsidR="00DB4DEA" w:rsidRPr="00A27D8A">
        <w:rPr>
          <w:lang w:val="fr-CA"/>
        </w:rPr>
        <w:t>Nations </w:t>
      </w:r>
      <w:r w:rsidR="00DE33DE" w:rsidRPr="00A27D8A">
        <w:rPr>
          <w:lang w:val="fr-CA"/>
        </w:rPr>
        <w:t>Unies ne sont pas tous P</w:t>
      </w:r>
      <w:r w:rsidR="00B4283F" w:rsidRPr="00A27D8A">
        <w:rPr>
          <w:lang w:val="fr-CA"/>
        </w:rPr>
        <w:t>arties à la Convention</w:t>
      </w:r>
      <w:r w:rsidR="006526B0" w:rsidRPr="00A27D8A">
        <w:rPr>
          <w:lang w:val="fr-CA"/>
        </w:rPr>
        <w:t>.</w:t>
      </w:r>
    </w:p>
    <w:p w14:paraId="37550E03" w14:textId="6069ED34" w:rsidR="0051131A" w:rsidRPr="00A27D8A" w:rsidRDefault="00B4283F" w:rsidP="006853F2">
      <w:pPr>
        <w:pStyle w:val="Normalnumber"/>
        <w:tabs>
          <w:tab w:val="clear" w:pos="624"/>
          <w:tab w:val="left" w:pos="1701"/>
        </w:tabs>
        <w:ind w:left="1247" w:hanging="1"/>
        <w:rPr>
          <w:lang w:val="fr-CA"/>
        </w:rPr>
      </w:pPr>
      <w:r w:rsidRPr="00A27D8A">
        <w:rPr>
          <w:lang w:val="fr-CA"/>
        </w:rPr>
        <w:t>Le</w:t>
      </w:r>
      <w:r w:rsidR="00062993" w:rsidRPr="00A27D8A">
        <w:rPr>
          <w:lang w:val="fr-CA"/>
        </w:rPr>
        <w:t xml:space="preserve"> </w:t>
      </w:r>
      <w:r w:rsidRPr="00A27D8A">
        <w:rPr>
          <w:lang w:val="fr-CA"/>
        </w:rPr>
        <w:t xml:space="preserve">barème indicatif des quotes-parts et les contributions annuelles de chaque Partie figurent dans le troisième additif à la présente note </w:t>
      </w:r>
      <w:r w:rsidR="008D78ED" w:rsidRPr="00A27D8A">
        <w:rPr>
          <w:lang w:val="fr-CA"/>
        </w:rPr>
        <w:t>(</w:t>
      </w:r>
      <w:r w:rsidR="00062993" w:rsidRPr="00A27D8A">
        <w:rPr>
          <w:lang w:val="fr-CA"/>
        </w:rPr>
        <w:t>UNEP/MC/COP.1/21/</w:t>
      </w:r>
      <w:r w:rsidR="00593548" w:rsidRPr="00A27D8A">
        <w:rPr>
          <w:lang w:val="fr-CA"/>
        </w:rPr>
        <w:t>Add.3</w:t>
      </w:r>
      <w:r w:rsidR="008D78ED" w:rsidRPr="00A27D8A">
        <w:rPr>
          <w:lang w:val="fr-CA"/>
        </w:rPr>
        <w:t>)</w:t>
      </w:r>
      <w:r w:rsidR="00365AD8" w:rsidRPr="00A27D8A">
        <w:rPr>
          <w:lang w:val="fr-CA"/>
        </w:rPr>
        <w:t>.</w:t>
      </w:r>
      <w:r w:rsidR="00F358B9" w:rsidRPr="00A27D8A">
        <w:rPr>
          <w:lang w:val="fr-CA"/>
        </w:rPr>
        <w:t xml:space="preserve"> </w:t>
      </w:r>
      <w:r w:rsidRPr="00A27D8A">
        <w:rPr>
          <w:lang w:val="fr-CA"/>
        </w:rPr>
        <w:t>Au 1</w:t>
      </w:r>
      <w:r w:rsidRPr="00A27D8A">
        <w:rPr>
          <w:vertAlign w:val="superscript"/>
          <w:lang w:val="fr-CA"/>
        </w:rPr>
        <w:t>er</w:t>
      </w:r>
      <w:r w:rsidRPr="00A27D8A">
        <w:rPr>
          <w:lang w:val="fr-CA"/>
        </w:rPr>
        <w:t> juillet </w:t>
      </w:r>
      <w:r w:rsidR="0051131A" w:rsidRPr="00A27D8A">
        <w:rPr>
          <w:lang w:val="fr-CA"/>
        </w:rPr>
        <w:t xml:space="preserve">2017, </w:t>
      </w:r>
      <w:r w:rsidRPr="00A27D8A">
        <w:rPr>
          <w:lang w:val="fr-CA"/>
        </w:rPr>
        <w:t>le dernier jour de dépôt des instruments de ratification permettant d’être partie au moment de la première réunion de la Conférence, 70 futures Parties avaient déposé leurs instruments</w:t>
      </w:r>
      <w:r w:rsidR="00062993" w:rsidRPr="00A27D8A">
        <w:rPr>
          <w:lang w:val="fr-CA"/>
        </w:rPr>
        <w:t>.</w:t>
      </w:r>
      <w:r w:rsidRPr="00A27D8A">
        <w:rPr>
          <w:lang w:val="fr-CA"/>
        </w:rPr>
        <w:t xml:space="preserve"> </w:t>
      </w:r>
      <w:r w:rsidR="00C60A3D">
        <w:rPr>
          <w:lang w:val="fr-CA"/>
        </w:rPr>
        <w:t xml:space="preserve">Au 24 août, le nombre de pays ayant déposé leurs instruments de ratification, qui seront Parties lorsque le budget pour l’exercice biennal 2018-2019 prendra effet, se montait à 74. </w:t>
      </w:r>
      <w:r w:rsidRPr="00A27D8A">
        <w:rPr>
          <w:lang w:val="fr-CA"/>
        </w:rPr>
        <w:t>Une version révisée de l’additif sera établie peu de temps avant la première réunion</w:t>
      </w:r>
      <w:r w:rsidR="006216C5" w:rsidRPr="00A27D8A">
        <w:rPr>
          <w:lang w:val="fr-CA"/>
        </w:rPr>
        <w:t xml:space="preserve"> de la Conférence</w:t>
      </w:r>
      <w:r w:rsidRPr="00A27D8A">
        <w:rPr>
          <w:lang w:val="fr-CA"/>
        </w:rPr>
        <w:t xml:space="preserve"> </w:t>
      </w:r>
      <w:r w:rsidR="00C60A3D">
        <w:rPr>
          <w:lang w:val="fr-CA"/>
        </w:rPr>
        <w:t>d</w:t>
      </w:r>
      <w:r w:rsidRPr="00A27D8A">
        <w:rPr>
          <w:lang w:val="fr-CA"/>
        </w:rPr>
        <w:t>es Parties</w:t>
      </w:r>
      <w:r w:rsidR="00C60A3D">
        <w:rPr>
          <w:lang w:val="fr-CA"/>
        </w:rPr>
        <w:t>,</w:t>
      </w:r>
      <w:r w:rsidRPr="00A27D8A">
        <w:rPr>
          <w:lang w:val="fr-CA"/>
        </w:rPr>
        <w:t xml:space="preserve"> </w:t>
      </w:r>
      <w:r w:rsidR="00C60A3D">
        <w:rPr>
          <w:lang w:val="fr-CA"/>
        </w:rPr>
        <w:t>pour faire le point</w:t>
      </w:r>
      <w:r w:rsidR="00B019DD" w:rsidRPr="00A27D8A">
        <w:rPr>
          <w:lang w:val="fr-CA"/>
        </w:rPr>
        <w:t xml:space="preserve">. </w:t>
      </w:r>
      <w:r w:rsidR="006216C5" w:rsidRPr="00A27D8A">
        <w:rPr>
          <w:lang w:val="fr-CA"/>
        </w:rPr>
        <w:t>Cette liste continuera d’être mise à jour</w:t>
      </w:r>
      <w:r w:rsidR="00CB40E2" w:rsidRPr="00A27D8A">
        <w:rPr>
          <w:lang w:val="fr-CA"/>
        </w:rPr>
        <w:t xml:space="preserve"> au fur et</w:t>
      </w:r>
      <w:r w:rsidR="006216C5" w:rsidRPr="00A27D8A">
        <w:rPr>
          <w:lang w:val="fr-CA"/>
        </w:rPr>
        <w:t xml:space="preserve"> à mesure que des États dépose</w:t>
      </w:r>
      <w:r w:rsidR="00192F8E" w:rsidRPr="00A27D8A">
        <w:rPr>
          <w:lang w:val="fr-CA"/>
        </w:rPr>
        <w:t>ro</w:t>
      </w:r>
      <w:r w:rsidR="006216C5" w:rsidRPr="00A27D8A">
        <w:rPr>
          <w:lang w:val="fr-CA"/>
        </w:rPr>
        <w:t xml:space="preserve">nt leurs </w:t>
      </w:r>
      <w:r w:rsidR="006853F2" w:rsidRPr="00A27D8A">
        <w:rPr>
          <w:lang w:val="fr-CA"/>
        </w:rPr>
        <w:t>instruments</w:t>
      </w:r>
      <w:r w:rsidR="00B019DD" w:rsidRPr="00A27D8A">
        <w:rPr>
          <w:lang w:val="fr-CA"/>
        </w:rPr>
        <w:t>.</w:t>
      </w:r>
    </w:p>
    <w:p w14:paraId="30FEAF69" w14:textId="6DA5B64C" w:rsidR="00B019DD" w:rsidRPr="00A27D8A" w:rsidRDefault="00593548" w:rsidP="00B019DD">
      <w:pPr>
        <w:pStyle w:val="CH2"/>
        <w:rPr>
          <w:lang w:val="fr-CA"/>
        </w:rPr>
      </w:pPr>
      <w:r w:rsidRPr="00A27D8A">
        <w:rPr>
          <w:lang w:val="fr-CA"/>
        </w:rPr>
        <w:tab/>
        <w:t>E</w:t>
      </w:r>
      <w:r w:rsidR="000032CE" w:rsidRPr="00A27D8A">
        <w:rPr>
          <w:lang w:val="fr-CA"/>
        </w:rPr>
        <w:t>.</w:t>
      </w:r>
      <w:r w:rsidR="00B019DD" w:rsidRPr="00A27D8A">
        <w:rPr>
          <w:lang w:val="fr-CA"/>
        </w:rPr>
        <w:tab/>
      </w:r>
      <w:r w:rsidR="00192F8E" w:rsidRPr="00A27D8A">
        <w:rPr>
          <w:lang w:val="fr-CA"/>
        </w:rPr>
        <w:t xml:space="preserve">Mise en œuvre des </w:t>
      </w:r>
      <w:r w:rsidR="00B35CB9" w:rsidRPr="00A27D8A">
        <w:rPr>
          <w:lang w:val="fr-CA"/>
        </w:rPr>
        <w:t>Normes comptables internationales pour le secteur public (</w:t>
      </w:r>
      <w:r w:rsidR="00B019DD" w:rsidRPr="00A27D8A">
        <w:rPr>
          <w:lang w:val="fr-CA"/>
        </w:rPr>
        <w:t>IPSAS</w:t>
      </w:r>
      <w:r w:rsidR="00B35CB9" w:rsidRPr="00A27D8A">
        <w:rPr>
          <w:lang w:val="fr-CA"/>
        </w:rPr>
        <w:t>)</w:t>
      </w:r>
      <w:r w:rsidR="00B019DD" w:rsidRPr="00A27D8A">
        <w:rPr>
          <w:lang w:val="fr-CA"/>
        </w:rPr>
        <w:t xml:space="preserve"> </w:t>
      </w:r>
      <w:r w:rsidR="00B35CB9" w:rsidRPr="00A27D8A">
        <w:rPr>
          <w:lang w:val="fr-CA"/>
        </w:rPr>
        <w:t xml:space="preserve">et du progiciel </w:t>
      </w:r>
      <w:proofErr w:type="spellStart"/>
      <w:r w:rsidR="00B019DD" w:rsidRPr="00A27D8A">
        <w:rPr>
          <w:lang w:val="fr-CA"/>
        </w:rPr>
        <w:t>Umoja</w:t>
      </w:r>
      <w:proofErr w:type="spellEnd"/>
      <w:r w:rsidR="00B019DD" w:rsidRPr="00A27D8A">
        <w:rPr>
          <w:lang w:val="fr-CA"/>
        </w:rPr>
        <w:t xml:space="preserve"> </w:t>
      </w:r>
      <w:r w:rsidR="00CA41BC" w:rsidRPr="00A27D8A">
        <w:rPr>
          <w:lang w:val="fr-CA"/>
        </w:rPr>
        <w:t>au sein du S</w:t>
      </w:r>
      <w:r w:rsidR="00A159E0" w:rsidRPr="00A27D8A">
        <w:rPr>
          <w:lang w:val="fr-CA"/>
        </w:rPr>
        <w:t>ecrétariat de </w:t>
      </w:r>
      <w:r w:rsidR="00D54941" w:rsidRPr="00A27D8A">
        <w:rPr>
          <w:lang w:val="fr-CA"/>
        </w:rPr>
        <w:t>l’Organisation des </w:t>
      </w:r>
      <w:r w:rsidR="00192F8E" w:rsidRPr="00A27D8A">
        <w:rPr>
          <w:lang w:val="fr-CA"/>
        </w:rPr>
        <w:t>Nations Unies et du PNUE</w:t>
      </w:r>
      <w:r w:rsidR="00B019DD" w:rsidRPr="00A27D8A">
        <w:rPr>
          <w:lang w:val="fr-CA"/>
        </w:rPr>
        <w:t xml:space="preserve"> </w:t>
      </w:r>
    </w:p>
    <w:p w14:paraId="1474AE52" w14:textId="3DDE2155" w:rsidR="00B019DD" w:rsidRPr="00A27D8A" w:rsidRDefault="00192F8E" w:rsidP="008D78ED">
      <w:pPr>
        <w:pStyle w:val="Normalnumber"/>
        <w:tabs>
          <w:tab w:val="clear" w:pos="624"/>
          <w:tab w:val="left" w:pos="1701"/>
        </w:tabs>
        <w:ind w:left="1247" w:hanging="1"/>
        <w:rPr>
          <w:lang w:val="fr-CA"/>
        </w:rPr>
      </w:pPr>
      <w:r w:rsidRPr="00A27D8A">
        <w:rPr>
          <w:lang w:val="fr-CA"/>
        </w:rPr>
        <w:t xml:space="preserve">Les </w:t>
      </w:r>
      <w:r w:rsidR="00D54941" w:rsidRPr="00A27D8A">
        <w:rPr>
          <w:lang w:val="fr-CA"/>
        </w:rPr>
        <w:t xml:space="preserve">normes </w:t>
      </w:r>
      <w:r w:rsidR="00B019DD" w:rsidRPr="00A27D8A">
        <w:rPr>
          <w:lang w:val="fr-CA"/>
        </w:rPr>
        <w:t xml:space="preserve">IPSAS </w:t>
      </w:r>
      <w:r w:rsidRPr="00A27D8A">
        <w:rPr>
          <w:lang w:val="fr-CA"/>
        </w:rPr>
        <w:t>constituent une série de principes</w:t>
      </w:r>
      <w:r w:rsidR="00987A46" w:rsidRPr="00A27D8A">
        <w:rPr>
          <w:lang w:val="fr-CA"/>
        </w:rPr>
        <w:t xml:space="preserve"> et normes</w:t>
      </w:r>
      <w:r w:rsidRPr="00A27D8A">
        <w:rPr>
          <w:lang w:val="fr-CA"/>
        </w:rPr>
        <w:t xml:space="preserve"> comptables</w:t>
      </w:r>
      <w:r w:rsidR="00987A46" w:rsidRPr="00A27D8A">
        <w:rPr>
          <w:lang w:val="fr-CA"/>
        </w:rPr>
        <w:t xml:space="preserve"> qui sont recommandés en tant que meilleure pratique dans</w:t>
      </w:r>
      <w:r w:rsidR="005A74D8" w:rsidRPr="00A27D8A">
        <w:rPr>
          <w:lang w:val="fr-CA"/>
        </w:rPr>
        <w:t xml:space="preserve"> le cadre de</w:t>
      </w:r>
      <w:r w:rsidR="00987A46" w:rsidRPr="00A27D8A">
        <w:rPr>
          <w:lang w:val="fr-CA"/>
        </w:rPr>
        <w:t xml:space="preserve"> l’établissement </w:t>
      </w:r>
      <w:r w:rsidR="005A74D8" w:rsidRPr="00A27D8A">
        <w:rPr>
          <w:lang w:val="fr-CA"/>
        </w:rPr>
        <w:t>d’états financiers pour les entités du secteur public</w:t>
      </w:r>
      <w:r w:rsidR="00877034" w:rsidRPr="00A27D8A">
        <w:rPr>
          <w:lang w:val="fr-CA"/>
        </w:rPr>
        <w:t>.</w:t>
      </w:r>
      <w:r w:rsidR="005A74D8" w:rsidRPr="00A27D8A">
        <w:rPr>
          <w:lang w:val="fr-CA"/>
        </w:rPr>
        <w:t xml:space="preserve"> À la suite de l’adoption des </w:t>
      </w:r>
      <w:r w:rsidR="00D54941" w:rsidRPr="00A27D8A">
        <w:rPr>
          <w:lang w:val="fr-CA"/>
        </w:rPr>
        <w:t xml:space="preserve">normes </w:t>
      </w:r>
      <w:r w:rsidR="00D91EAA" w:rsidRPr="00A27D8A">
        <w:rPr>
          <w:lang w:val="fr-CA"/>
        </w:rPr>
        <w:t xml:space="preserve">IPSAS </w:t>
      </w:r>
      <w:r w:rsidR="005A74D8" w:rsidRPr="00A27D8A">
        <w:rPr>
          <w:lang w:val="fr-CA"/>
        </w:rPr>
        <w:t>par</w:t>
      </w:r>
      <w:r w:rsidR="00D91EAA" w:rsidRPr="00A27D8A">
        <w:rPr>
          <w:lang w:val="fr-CA"/>
        </w:rPr>
        <w:t xml:space="preserve"> </w:t>
      </w:r>
      <w:r w:rsidR="005A74D8" w:rsidRPr="00A27D8A">
        <w:rPr>
          <w:lang w:val="fr-CA"/>
        </w:rPr>
        <w:t xml:space="preserve">l’Assemblée générale </w:t>
      </w:r>
      <w:r w:rsidR="008D78ED" w:rsidRPr="00A27D8A">
        <w:rPr>
          <w:lang w:val="fr-CA"/>
        </w:rPr>
        <w:t>(</w:t>
      </w:r>
      <w:r w:rsidR="005A74D8" w:rsidRPr="00A27D8A">
        <w:rPr>
          <w:lang w:val="fr-CA"/>
        </w:rPr>
        <w:t>résolution 60/283 de l’Assemblée générale des Nations Unies</w:t>
      </w:r>
      <w:r w:rsidR="008D78ED" w:rsidRPr="00A27D8A">
        <w:rPr>
          <w:lang w:val="fr-CA"/>
        </w:rPr>
        <w:t>)</w:t>
      </w:r>
      <w:r w:rsidR="00B019DD" w:rsidRPr="00A27D8A">
        <w:rPr>
          <w:lang w:val="fr-CA"/>
        </w:rPr>
        <w:t xml:space="preserve">, </w:t>
      </w:r>
      <w:r w:rsidR="005A74D8" w:rsidRPr="00A27D8A">
        <w:rPr>
          <w:lang w:val="fr-CA"/>
        </w:rPr>
        <w:t>l’Organisation des Nations Unies a progressivement mis en œuvre ces nouvelles normes</w:t>
      </w:r>
      <w:r w:rsidR="00B019DD" w:rsidRPr="00A27D8A">
        <w:rPr>
          <w:lang w:val="fr-CA"/>
        </w:rPr>
        <w:t xml:space="preserve">. </w:t>
      </w:r>
      <w:r w:rsidR="005A74D8" w:rsidRPr="00A27D8A">
        <w:rPr>
          <w:lang w:val="fr-CA"/>
        </w:rPr>
        <w:t xml:space="preserve">Le Secrétariat de l’Organisation des Nations Unies et le PNUE ont adopté les </w:t>
      </w:r>
      <w:r w:rsidR="00D54941" w:rsidRPr="00A27D8A">
        <w:rPr>
          <w:lang w:val="fr-CA"/>
        </w:rPr>
        <w:t xml:space="preserve">normes </w:t>
      </w:r>
      <w:r w:rsidR="005A74D8" w:rsidRPr="00A27D8A">
        <w:rPr>
          <w:lang w:val="fr-CA"/>
        </w:rPr>
        <w:t xml:space="preserve">IPSAS, </w:t>
      </w:r>
      <w:r w:rsidR="00D54941" w:rsidRPr="00A27D8A">
        <w:rPr>
          <w:lang w:val="fr-CA"/>
        </w:rPr>
        <w:t xml:space="preserve">dont l’application a pris </w:t>
      </w:r>
      <w:r w:rsidR="005A74D8" w:rsidRPr="00A27D8A">
        <w:rPr>
          <w:lang w:val="fr-CA"/>
        </w:rPr>
        <w:t>effet à compter du 1</w:t>
      </w:r>
      <w:r w:rsidR="005A74D8" w:rsidRPr="00A27D8A">
        <w:rPr>
          <w:vertAlign w:val="superscript"/>
          <w:lang w:val="fr-CA"/>
        </w:rPr>
        <w:t>er</w:t>
      </w:r>
      <w:r w:rsidR="005A74D8" w:rsidRPr="00A27D8A">
        <w:rPr>
          <w:lang w:val="fr-CA"/>
        </w:rPr>
        <w:t> janvier </w:t>
      </w:r>
      <w:r w:rsidR="00E142AC" w:rsidRPr="00A27D8A">
        <w:rPr>
          <w:lang w:val="fr-CA"/>
        </w:rPr>
        <w:t>2014</w:t>
      </w:r>
      <w:r w:rsidR="00B019DD" w:rsidRPr="00A27D8A">
        <w:rPr>
          <w:lang w:val="fr-CA"/>
        </w:rPr>
        <w:t xml:space="preserve">. </w:t>
      </w:r>
    </w:p>
    <w:p w14:paraId="57D1727D" w14:textId="422A9346" w:rsidR="0009539A" w:rsidRPr="00A27D8A" w:rsidRDefault="005A74D8" w:rsidP="008D78ED">
      <w:pPr>
        <w:pStyle w:val="Normalnumber"/>
        <w:tabs>
          <w:tab w:val="clear" w:pos="624"/>
          <w:tab w:val="left" w:pos="1701"/>
        </w:tabs>
        <w:ind w:left="1247" w:hanging="1"/>
        <w:rPr>
          <w:lang w:val="fr-CA"/>
        </w:rPr>
      </w:pPr>
      <w:r w:rsidRPr="00A27D8A">
        <w:rPr>
          <w:lang w:val="fr-CA"/>
        </w:rPr>
        <w:t>En</w:t>
      </w:r>
      <w:r w:rsidR="00B019DD" w:rsidRPr="00A27D8A">
        <w:rPr>
          <w:lang w:val="fr-CA"/>
        </w:rPr>
        <w:t xml:space="preserve"> 2015</w:t>
      </w:r>
      <w:r w:rsidR="005C429F" w:rsidRPr="00A27D8A">
        <w:rPr>
          <w:lang w:val="fr-CA"/>
        </w:rPr>
        <w:t>,</w:t>
      </w:r>
      <w:r w:rsidR="00B019DD" w:rsidRPr="00A27D8A">
        <w:rPr>
          <w:lang w:val="fr-CA"/>
        </w:rPr>
        <w:t xml:space="preserve"> </w:t>
      </w:r>
      <w:r w:rsidRPr="00A27D8A">
        <w:rPr>
          <w:lang w:val="fr-CA"/>
        </w:rPr>
        <w:t>le</w:t>
      </w:r>
      <w:r w:rsidR="00B019DD" w:rsidRPr="00A27D8A">
        <w:rPr>
          <w:lang w:val="fr-CA"/>
        </w:rPr>
        <w:t xml:space="preserve"> </w:t>
      </w:r>
      <w:r w:rsidRPr="00A27D8A">
        <w:rPr>
          <w:lang w:val="fr-CA"/>
        </w:rPr>
        <w:t xml:space="preserve">Secrétariat de l’Organisation des Nations Unies, dans le cadre d’un effort majeur </w:t>
      </w:r>
      <w:r w:rsidR="00D460CF" w:rsidRPr="00A27D8A">
        <w:rPr>
          <w:lang w:val="fr-CA"/>
        </w:rPr>
        <w:t xml:space="preserve">de réforme administrative, a adopté un nouveau progiciel de gestion intégré, </w:t>
      </w:r>
      <w:proofErr w:type="spellStart"/>
      <w:r w:rsidR="00B019DD" w:rsidRPr="00A27D8A">
        <w:rPr>
          <w:lang w:val="fr-CA"/>
        </w:rPr>
        <w:t>Umoja</w:t>
      </w:r>
      <w:proofErr w:type="spellEnd"/>
      <w:r w:rsidR="008D78ED" w:rsidRPr="00A27D8A">
        <w:rPr>
          <w:lang w:val="fr-CA"/>
        </w:rPr>
        <w:t xml:space="preserve">, </w:t>
      </w:r>
      <w:r w:rsidR="00D460CF" w:rsidRPr="00A27D8A">
        <w:rPr>
          <w:lang w:val="fr-CA"/>
        </w:rPr>
        <w:t xml:space="preserve">qui offre un processus simplifié, fonctionnant en temps réel, de gestion des finances, des ressources et des actifs du </w:t>
      </w:r>
      <w:r w:rsidR="001547A0" w:rsidRPr="00A27D8A">
        <w:rPr>
          <w:lang w:val="fr-CA"/>
        </w:rPr>
        <w:t>Secrétariat de</w:t>
      </w:r>
      <w:r w:rsidR="00D460CF" w:rsidRPr="00A27D8A">
        <w:rPr>
          <w:lang w:val="fr-CA"/>
        </w:rPr>
        <w:t xml:space="preserve"> l’Organisation</w:t>
      </w:r>
      <w:r w:rsidR="001547A0" w:rsidRPr="00A27D8A">
        <w:rPr>
          <w:lang w:val="fr-CA"/>
        </w:rPr>
        <w:t xml:space="preserve"> des Nations Unies</w:t>
      </w:r>
      <w:r w:rsidR="00B019DD" w:rsidRPr="00A27D8A">
        <w:rPr>
          <w:lang w:val="fr-CA"/>
        </w:rPr>
        <w:t xml:space="preserve">. </w:t>
      </w:r>
      <w:proofErr w:type="spellStart"/>
      <w:r w:rsidR="00B019DD" w:rsidRPr="00A27D8A">
        <w:rPr>
          <w:lang w:val="fr-CA"/>
        </w:rPr>
        <w:t>Umoja</w:t>
      </w:r>
      <w:proofErr w:type="spellEnd"/>
      <w:r w:rsidR="001547A0" w:rsidRPr="00A27D8A">
        <w:rPr>
          <w:lang w:val="fr-CA"/>
        </w:rPr>
        <w:t xml:space="preserve"> est conçu pour appuyer les </w:t>
      </w:r>
      <w:r w:rsidR="00D54941" w:rsidRPr="00A27D8A">
        <w:rPr>
          <w:lang w:val="fr-CA"/>
        </w:rPr>
        <w:t xml:space="preserve">normes </w:t>
      </w:r>
      <w:r w:rsidR="00B019DD" w:rsidRPr="00A27D8A">
        <w:rPr>
          <w:lang w:val="fr-CA"/>
        </w:rPr>
        <w:t xml:space="preserve">IPSAS </w:t>
      </w:r>
      <w:r w:rsidR="001547A0" w:rsidRPr="00A27D8A">
        <w:rPr>
          <w:lang w:val="fr-CA"/>
        </w:rPr>
        <w:t>et est, en conséquence, entièrement conforme à ces dernières</w:t>
      </w:r>
      <w:r w:rsidR="00B019DD" w:rsidRPr="00A27D8A">
        <w:rPr>
          <w:lang w:val="fr-CA"/>
        </w:rPr>
        <w:t>.</w:t>
      </w:r>
      <w:r w:rsidR="001547A0" w:rsidRPr="00A27D8A">
        <w:rPr>
          <w:lang w:val="fr-CA"/>
        </w:rPr>
        <w:t xml:space="preserve"> Le PNUE a commencé </w:t>
      </w:r>
      <w:r w:rsidR="00D54941" w:rsidRPr="00A27D8A">
        <w:rPr>
          <w:lang w:val="fr-CA"/>
        </w:rPr>
        <w:t xml:space="preserve">à mettre en œuvre le système </w:t>
      </w:r>
      <w:proofErr w:type="spellStart"/>
      <w:r w:rsidR="00B019DD" w:rsidRPr="00A27D8A">
        <w:rPr>
          <w:lang w:val="fr-CA"/>
        </w:rPr>
        <w:t>Umoja</w:t>
      </w:r>
      <w:proofErr w:type="spellEnd"/>
      <w:r w:rsidR="00B019DD" w:rsidRPr="00A27D8A">
        <w:rPr>
          <w:lang w:val="fr-CA"/>
        </w:rPr>
        <w:t xml:space="preserve"> </w:t>
      </w:r>
      <w:r w:rsidR="001547A0" w:rsidRPr="00A27D8A">
        <w:rPr>
          <w:lang w:val="fr-CA"/>
        </w:rPr>
        <w:t>le</w:t>
      </w:r>
      <w:r w:rsidR="00B019DD" w:rsidRPr="00A27D8A">
        <w:rPr>
          <w:lang w:val="fr-CA"/>
        </w:rPr>
        <w:t xml:space="preserve"> 1</w:t>
      </w:r>
      <w:r w:rsidR="001547A0" w:rsidRPr="00A27D8A">
        <w:rPr>
          <w:vertAlign w:val="superscript"/>
          <w:lang w:val="fr-CA"/>
        </w:rPr>
        <w:t>er</w:t>
      </w:r>
      <w:r w:rsidR="001547A0" w:rsidRPr="00A27D8A">
        <w:rPr>
          <w:lang w:val="fr-CA"/>
        </w:rPr>
        <w:t> juin </w:t>
      </w:r>
      <w:r w:rsidR="00B019DD" w:rsidRPr="00A27D8A">
        <w:rPr>
          <w:lang w:val="fr-CA"/>
        </w:rPr>
        <w:t xml:space="preserve">2015. </w:t>
      </w:r>
    </w:p>
    <w:p w14:paraId="7E15E092" w14:textId="76C54E9E" w:rsidR="000B08F0" w:rsidRPr="00A27D8A" w:rsidRDefault="000005B2" w:rsidP="00972D3B">
      <w:pPr>
        <w:pStyle w:val="Normalnumber"/>
        <w:tabs>
          <w:tab w:val="clear" w:pos="624"/>
          <w:tab w:val="left" w:pos="1701"/>
        </w:tabs>
        <w:ind w:left="1247" w:hanging="1"/>
        <w:rPr>
          <w:lang w:val="fr-CA"/>
        </w:rPr>
      </w:pPr>
      <w:r w:rsidRPr="00A27D8A">
        <w:rPr>
          <w:lang w:val="fr-CA"/>
        </w:rPr>
        <w:t xml:space="preserve">Le secrétariat de la Convention de </w:t>
      </w:r>
      <w:r w:rsidR="000B08F0" w:rsidRPr="00A27D8A">
        <w:rPr>
          <w:lang w:val="fr-CA"/>
        </w:rPr>
        <w:t>Minamata,</w:t>
      </w:r>
      <w:r w:rsidRPr="00A27D8A">
        <w:rPr>
          <w:lang w:val="fr-CA"/>
        </w:rPr>
        <w:t xml:space="preserve"> </w:t>
      </w:r>
      <w:r w:rsidR="00CA41BC" w:rsidRPr="00A27D8A">
        <w:rPr>
          <w:lang w:val="fr-CA"/>
        </w:rPr>
        <w:t>qui fait</w:t>
      </w:r>
      <w:r w:rsidRPr="00A27D8A">
        <w:rPr>
          <w:lang w:val="fr-CA"/>
        </w:rPr>
        <w:t xml:space="preserve"> partie du PNUE, </w:t>
      </w:r>
      <w:r w:rsidR="008012A0" w:rsidRPr="00A27D8A">
        <w:rPr>
          <w:lang w:val="fr-CA"/>
        </w:rPr>
        <w:t xml:space="preserve">traitera ses activités financières dans </w:t>
      </w:r>
      <w:proofErr w:type="spellStart"/>
      <w:r w:rsidR="000B08F0" w:rsidRPr="00A27D8A">
        <w:rPr>
          <w:lang w:val="fr-CA"/>
        </w:rPr>
        <w:t>Umoja</w:t>
      </w:r>
      <w:proofErr w:type="spellEnd"/>
      <w:r w:rsidR="000B08F0" w:rsidRPr="00A27D8A">
        <w:rPr>
          <w:lang w:val="fr-CA"/>
        </w:rPr>
        <w:t xml:space="preserve"> </w:t>
      </w:r>
      <w:r w:rsidR="008012A0" w:rsidRPr="00A27D8A">
        <w:rPr>
          <w:lang w:val="fr-CA"/>
        </w:rPr>
        <w:t xml:space="preserve">et </w:t>
      </w:r>
      <w:r w:rsidR="00D54941" w:rsidRPr="00A27D8A">
        <w:rPr>
          <w:lang w:val="fr-CA"/>
        </w:rPr>
        <w:t xml:space="preserve">se conformera aux normes </w:t>
      </w:r>
      <w:r w:rsidR="000B08F0" w:rsidRPr="00A27D8A">
        <w:rPr>
          <w:lang w:val="fr-CA"/>
        </w:rPr>
        <w:t>IPSAS</w:t>
      </w:r>
      <w:r w:rsidR="00FC436B" w:rsidRPr="00A27D8A">
        <w:rPr>
          <w:lang w:val="fr-CA"/>
        </w:rPr>
        <w:t>.</w:t>
      </w:r>
    </w:p>
    <w:p w14:paraId="1F4A7BB8" w14:textId="136E783B" w:rsidR="000B08F0" w:rsidRPr="00A27D8A" w:rsidRDefault="00A2401E" w:rsidP="00972D3B">
      <w:pPr>
        <w:pStyle w:val="Normalnumber"/>
        <w:tabs>
          <w:tab w:val="clear" w:pos="624"/>
          <w:tab w:val="left" w:pos="1701"/>
        </w:tabs>
        <w:ind w:left="1247" w:hanging="1"/>
        <w:rPr>
          <w:lang w:val="fr-CA"/>
        </w:rPr>
      </w:pPr>
      <w:r w:rsidRPr="00A27D8A">
        <w:rPr>
          <w:lang w:val="fr-CA"/>
        </w:rPr>
        <w:t xml:space="preserve">Il conviendrait de noter que les </w:t>
      </w:r>
      <w:r w:rsidR="00D54941" w:rsidRPr="00A27D8A">
        <w:rPr>
          <w:lang w:val="fr-CA"/>
        </w:rPr>
        <w:t xml:space="preserve">normes </w:t>
      </w:r>
      <w:r w:rsidR="000B08F0" w:rsidRPr="00A27D8A">
        <w:rPr>
          <w:lang w:val="fr-CA"/>
        </w:rPr>
        <w:t xml:space="preserve">IPSAS </w:t>
      </w:r>
      <w:r w:rsidRPr="00A27D8A">
        <w:rPr>
          <w:lang w:val="fr-CA"/>
        </w:rPr>
        <w:t>sont fondées sur une comptabilité d’exercice</w:t>
      </w:r>
      <w:r w:rsidR="000B08F0" w:rsidRPr="00A27D8A">
        <w:rPr>
          <w:lang w:val="fr-CA"/>
        </w:rPr>
        <w:t xml:space="preserve"> </w:t>
      </w:r>
      <w:r w:rsidRPr="00A27D8A">
        <w:rPr>
          <w:lang w:val="fr-CA"/>
        </w:rPr>
        <w:t xml:space="preserve">conforme aux principes comptables généralement acceptés et aux </w:t>
      </w:r>
      <w:r w:rsidRPr="00A27D8A">
        <w:rPr>
          <w:bCs/>
          <w:lang w:val="fr-CA"/>
        </w:rPr>
        <w:t>n</w:t>
      </w:r>
      <w:r w:rsidR="009262AD" w:rsidRPr="00A27D8A">
        <w:rPr>
          <w:bCs/>
          <w:lang w:val="fr-CA"/>
        </w:rPr>
        <w:t>ormes internationales d’</w:t>
      </w:r>
      <w:r w:rsidRPr="00A27D8A">
        <w:rPr>
          <w:bCs/>
          <w:lang w:val="fr-CA"/>
        </w:rPr>
        <w:t>information financière</w:t>
      </w:r>
      <w:r w:rsidR="000B08F0" w:rsidRPr="00A27D8A">
        <w:rPr>
          <w:lang w:val="fr-CA"/>
        </w:rPr>
        <w:t xml:space="preserve">. </w:t>
      </w:r>
      <w:r w:rsidR="009262AD" w:rsidRPr="00A27D8A">
        <w:rPr>
          <w:lang w:val="fr-CA"/>
        </w:rPr>
        <w:t>Cela permettra de réaliser des évaluations mieux étayées des décisions en matière d’allocation des ressources que dans le cadre du système précédent utilisé par le Secrétariat de l’Organisation des Nations Unies</w:t>
      </w:r>
      <w:r w:rsidR="000B08F0" w:rsidRPr="00A27D8A">
        <w:rPr>
          <w:lang w:val="fr-CA"/>
        </w:rPr>
        <w:t>.</w:t>
      </w:r>
      <w:r w:rsidR="009262AD" w:rsidRPr="00A27D8A">
        <w:rPr>
          <w:lang w:val="fr-CA"/>
        </w:rPr>
        <w:t xml:space="preserve"> L’information financière </w:t>
      </w:r>
      <w:r w:rsidR="002E3BD4" w:rsidRPr="00A27D8A">
        <w:rPr>
          <w:lang w:val="fr-CA"/>
        </w:rPr>
        <w:t xml:space="preserve">fondée sur les </w:t>
      </w:r>
      <w:r w:rsidR="00F93580" w:rsidRPr="00A27D8A">
        <w:rPr>
          <w:lang w:val="fr-CA"/>
        </w:rPr>
        <w:t xml:space="preserve">normes </w:t>
      </w:r>
      <w:r w:rsidR="002E3BD4" w:rsidRPr="00A27D8A">
        <w:rPr>
          <w:lang w:val="fr-CA"/>
        </w:rPr>
        <w:t>IPSAS fournit une information complète concernant les ressources de l’organisation et ses obligations futures</w:t>
      </w:r>
      <w:r w:rsidR="000B08F0" w:rsidRPr="00A27D8A">
        <w:rPr>
          <w:lang w:val="fr-CA"/>
        </w:rPr>
        <w:t xml:space="preserve">. </w:t>
      </w:r>
      <w:r w:rsidR="002E3BD4" w:rsidRPr="00A27D8A">
        <w:rPr>
          <w:lang w:val="fr-CA"/>
        </w:rPr>
        <w:t xml:space="preserve">Sur la base des </w:t>
      </w:r>
      <w:r w:rsidR="00F93580" w:rsidRPr="00A27D8A">
        <w:rPr>
          <w:lang w:val="fr-CA"/>
        </w:rPr>
        <w:t xml:space="preserve">normes </w:t>
      </w:r>
      <w:r w:rsidR="002E3BD4" w:rsidRPr="00A27D8A">
        <w:rPr>
          <w:lang w:val="fr-CA"/>
        </w:rPr>
        <w:t>I</w:t>
      </w:r>
      <w:r w:rsidR="000B08F0" w:rsidRPr="00A27D8A">
        <w:rPr>
          <w:lang w:val="fr-CA"/>
        </w:rPr>
        <w:t xml:space="preserve">PSAS, </w:t>
      </w:r>
      <w:proofErr w:type="spellStart"/>
      <w:r w:rsidR="000B08F0" w:rsidRPr="00A27D8A">
        <w:rPr>
          <w:lang w:val="fr-CA"/>
        </w:rPr>
        <w:t>Umoja</w:t>
      </w:r>
      <w:proofErr w:type="spellEnd"/>
      <w:r w:rsidR="002E3BD4" w:rsidRPr="00A27D8A">
        <w:rPr>
          <w:lang w:val="fr-CA"/>
        </w:rPr>
        <w:t xml:space="preserve"> met en œuvre un système strict de gestion des liquidités, qui s’applique </w:t>
      </w:r>
      <w:r w:rsidR="00CA41BC" w:rsidRPr="00A27D8A">
        <w:rPr>
          <w:lang w:val="fr-CA"/>
        </w:rPr>
        <w:t xml:space="preserve">tant </w:t>
      </w:r>
      <w:r w:rsidR="002E3BD4" w:rsidRPr="00A27D8A">
        <w:rPr>
          <w:lang w:val="fr-CA"/>
        </w:rPr>
        <w:t xml:space="preserve">aux contributions statutaires </w:t>
      </w:r>
      <w:r w:rsidR="00CA41BC" w:rsidRPr="00A27D8A">
        <w:rPr>
          <w:lang w:val="fr-CA"/>
        </w:rPr>
        <w:t>qu’aux contributions</w:t>
      </w:r>
      <w:r w:rsidR="002E3BD4" w:rsidRPr="00A27D8A">
        <w:rPr>
          <w:lang w:val="fr-CA"/>
        </w:rPr>
        <w:t xml:space="preserve"> volontaires</w:t>
      </w:r>
      <w:r w:rsidR="000B08F0" w:rsidRPr="00A27D8A">
        <w:rPr>
          <w:lang w:val="fr-CA"/>
        </w:rPr>
        <w:t>.</w:t>
      </w:r>
      <w:r w:rsidR="002E3BD4" w:rsidRPr="00A27D8A">
        <w:rPr>
          <w:lang w:val="fr-CA"/>
        </w:rPr>
        <w:t xml:space="preserve"> Des fonds peuvent être déboursés uniquement lorsqu’ils sont disponibles</w:t>
      </w:r>
      <w:r w:rsidR="00C379E4" w:rsidRPr="00A27D8A">
        <w:rPr>
          <w:lang w:val="fr-CA"/>
        </w:rPr>
        <w:t xml:space="preserve"> en caisse</w:t>
      </w:r>
      <w:r w:rsidR="000B08F0" w:rsidRPr="00A27D8A">
        <w:rPr>
          <w:lang w:val="fr-CA"/>
        </w:rPr>
        <w:t>.</w:t>
      </w:r>
      <w:r w:rsidR="00C379E4" w:rsidRPr="00A27D8A">
        <w:rPr>
          <w:lang w:val="fr-CA"/>
        </w:rPr>
        <w:t xml:space="preserve"> Le début de la mise en œuvre des projets est donc directement lié au transfert de contributions annoncées</w:t>
      </w:r>
      <w:r w:rsidR="000B08F0" w:rsidRPr="00A27D8A">
        <w:rPr>
          <w:lang w:val="fr-CA"/>
        </w:rPr>
        <w:t>.</w:t>
      </w:r>
      <w:r w:rsidR="000B08F0" w:rsidRPr="00A27D8A">
        <w:rPr>
          <w:color w:val="00B050"/>
          <w:lang w:val="fr-CA"/>
        </w:rPr>
        <w:t xml:space="preserve"> </w:t>
      </w:r>
      <w:r w:rsidR="00C379E4" w:rsidRPr="00A27D8A">
        <w:rPr>
          <w:lang w:val="fr-CA"/>
        </w:rPr>
        <w:t>En conséquence</w:t>
      </w:r>
      <w:r w:rsidR="00D463B0" w:rsidRPr="00A27D8A">
        <w:rPr>
          <w:lang w:val="fr-CA"/>
        </w:rPr>
        <w:t>,</w:t>
      </w:r>
      <w:r w:rsidR="000B08F0" w:rsidRPr="00A27D8A">
        <w:rPr>
          <w:lang w:val="fr-CA"/>
        </w:rPr>
        <w:t xml:space="preserve"> </w:t>
      </w:r>
      <w:r w:rsidR="00C379E4" w:rsidRPr="00A27D8A">
        <w:rPr>
          <w:lang w:val="fr-CA"/>
        </w:rPr>
        <w:t xml:space="preserve">la Conférence des Parties à la Convention de </w:t>
      </w:r>
      <w:r w:rsidR="000B08F0" w:rsidRPr="00A27D8A">
        <w:rPr>
          <w:lang w:val="fr-CA"/>
        </w:rPr>
        <w:t xml:space="preserve">Minamata </w:t>
      </w:r>
      <w:r w:rsidR="00C379E4" w:rsidRPr="00A27D8A">
        <w:rPr>
          <w:lang w:val="fr-CA"/>
        </w:rPr>
        <w:t>devra</w:t>
      </w:r>
      <w:r w:rsidR="000B08F0" w:rsidRPr="00A27D8A">
        <w:rPr>
          <w:lang w:val="fr-CA"/>
        </w:rPr>
        <w:t xml:space="preserve"> </w:t>
      </w:r>
      <w:r w:rsidR="00C379E4" w:rsidRPr="00A27D8A">
        <w:rPr>
          <w:lang w:val="fr-CA"/>
        </w:rPr>
        <w:t xml:space="preserve">prendre soigneusement note du niveau des contributions ainsi que de </w:t>
      </w:r>
      <w:r w:rsidR="00C379E4" w:rsidRPr="00A27D8A">
        <w:rPr>
          <w:lang w:val="fr-CA"/>
        </w:rPr>
        <w:lastRenderedPageBreak/>
        <w:t>leur calendrier afin d’assurer le fonctionnement efficace du secrétariat</w:t>
      </w:r>
      <w:r w:rsidR="000B08F0" w:rsidRPr="00A27D8A">
        <w:rPr>
          <w:lang w:val="fr-CA"/>
        </w:rPr>
        <w:t>.</w:t>
      </w:r>
      <w:r w:rsidR="00C379E4" w:rsidRPr="00A27D8A">
        <w:rPr>
          <w:lang w:val="fr-CA"/>
        </w:rPr>
        <w:t xml:space="preserve"> Conformément à l’article </w:t>
      </w:r>
      <w:r w:rsidR="000B08F0" w:rsidRPr="00A27D8A">
        <w:rPr>
          <w:lang w:val="fr-CA"/>
        </w:rPr>
        <w:t>5</w:t>
      </w:r>
      <w:r w:rsidR="00B246B0" w:rsidRPr="00A27D8A">
        <w:rPr>
          <w:lang w:val="fr-CA"/>
        </w:rPr>
        <w:t xml:space="preserve"> </w:t>
      </w:r>
      <w:r w:rsidR="00C379E4" w:rsidRPr="00A27D8A">
        <w:rPr>
          <w:lang w:val="fr-CA"/>
        </w:rPr>
        <w:t>du projet de règles de gestion financière de la Convention, les</w:t>
      </w:r>
      <w:r w:rsidR="000B08F0" w:rsidRPr="00A27D8A">
        <w:rPr>
          <w:lang w:val="fr-CA"/>
        </w:rPr>
        <w:t xml:space="preserve"> contributions</w:t>
      </w:r>
      <w:r w:rsidR="00C379E4" w:rsidRPr="00A27D8A">
        <w:rPr>
          <w:lang w:val="fr-CA"/>
        </w:rPr>
        <w:t xml:space="preserve"> pour chaque année civile sont attendues avant le 1</w:t>
      </w:r>
      <w:r w:rsidR="00C379E4" w:rsidRPr="00A27D8A">
        <w:rPr>
          <w:vertAlign w:val="superscript"/>
          <w:lang w:val="fr-CA"/>
        </w:rPr>
        <w:t>er</w:t>
      </w:r>
      <w:r w:rsidR="00C379E4" w:rsidRPr="00A27D8A">
        <w:rPr>
          <w:lang w:val="fr-CA"/>
        </w:rPr>
        <w:t> janvier de l’année considérée</w:t>
      </w:r>
      <w:r w:rsidR="000B08F0" w:rsidRPr="00A27D8A">
        <w:rPr>
          <w:lang w:val="fr-CA"/>
        </w:rPr>
        <w:t xml:space="preserve">. </w:t>
      </w:r>
      <w:r w:rsidR="00C379E4" w:rsidRPr="00A27D8A">
        <w:rPr>
          <w:lang w:val="fr-CA"/>
        </w:rPr>
        <w:t>Toutes les contributions sont versées en dollars ou dans une monnaie convertible</w:t>
      </w:r>
      <w:r w:rsidR="000B08F0" w:rsidRPr="00A27D8A">
        <w:rPr>
          <w:lang w:val="fr-CA"/>
        </w:rPr>
        <w:t xml:space="preserve">. </w:t>
      </w:r>
    </w:p>
    <w:p w14:paraId="39FC939E" w14:textId="10E36927" w:rsidR="000B08F0" w:rsidRPr="00A27D8A" w:rsidRDefault="00A3578C" w:rsidP="00972D3B">
      <w:pPr>
        <w:pStyle w:val="Normalnumber"/>
        <w:tabs>
          <w:tab w:val="clear" w:pos="624"/>
          <w:tab w:val="left" w:pos="1701"/>
        </w:tabs>
        <w:ind w:left="1247" w:hanging="1"/>
        <w:rPr>
          <w:lang w:val="fr-CA"/>
        </w:rPr>
      </w:pPr>
      <w:r w:rsidRPr="00A27D8A">
        <w:rPr>
          <w:lang w:val="fr-CA"/>
        </w:rPr>
        <w:t>En outre</w:t>
      </w:r>
      <w:r w:rsidR="000B08F0" w:rsidRPr="00A27D8A">
        <w:rPr>
          <w:lang w:val="fr-CA"/>
        </w:rPr>
        <w:t>,</w:t>
      </w:r>
      <w:r w:rsidRPr="00A27D8A">
        <w:rPr>
          <w:lang w:val="fr-CA"/>
        </w:rPr>
        <w:t xml:space="preserve"> compte tenu du système strict de gestion des liquidités, le Comité des commissaires aux comptes de l’</w:t>
      </w:r>
      <w:r w:rsidR="00DB4DEA" w:rsidRPr="00A27D8A">
        <w:rPr>
          <w:lang w:val="fr-CA"/>
        </w:rPr>
        <w:t xml:space="preserve">Organisation des </w:t>
      </w:r>
      <w:r w:rsidRPr="00A27D8A">
        <w:rPr>
          <w:iCs/>
          <w:lang w:val="fr-CA"/>
        </w:rPr>
        <w:t>Nations</w:t>
      </w:r>
      <w:r w:rsidRPr="00A27D8A">
        <w:rPr>
          <w:i/>
          <w:iCs/>
          <w:lang w:val="fr-CA"/>
        </w:rPr>
        <w:t> </w:t>
      </w:r>
      <w:r w:rsidRPr="00A27D8A">
        <w:rPr>
          <w:lang w:val="fr-CA"/>
        </w:rPr>
        <w:t xml:space="preserve">Unies a recommandé que l’ensemble des accords multilatéraux sur l’environnement, des conventions et des programmes des conventions concernant les mers régionales </w:t>
      </w:r>
      <w:r w:rsidR="00EA4BA1" w:rsidRPr="00A27D8A">
        <w:rPr>
          <w:lang w:val="fr-CA"/>
        </w:rPr>
        <w:t>constituent</w:t>
      </w:r>
      <w:r w:rsidRPr="00A27D8A">
        <w:rPr>
          <w:lang w:val="fr-CA"/>
        </w:rPr>
        <w:t xml:space="preserve"> </w:t>
      </w:r>
      <w:r w:rsidR="00EA4BA1" w:rsidRPr="00A27D8A">
        <w:rPr>
          <w:lang w:val="fr-CA"/>
        </w:rPr>
        <w:t>une réserve opérationnelle</w:t>
      </w:r>
      <w:r w:rsidR="000B08F0" w:rsidRPr="00A27D8A">
        <w:rPr>
          <w:lang w:val="fr-CA"/>
        </w:rPr>
        <w:t xml:space="preserve"> </w:t>
      </w:r>
      <w:r w:rsidR="00B246B0" w:rsidRPr="00A27D8A">
        <w:rPr>
          <w:lang w:val="fr-CA"/>
        </w:rPr>
        <w:t>(</w:t>
      </w:r>
      <w:r w:rsidRPr="00A27D8A">
        <w:rPr>
          <w:lang w:val="fr-CA"/>
        </w:rPr>
        <w:t>réserve de trésorerie</w:t>
      </w:r>
      <w:r w:rsidR="00B246B0" w:rsidRPr="00A27D8A">
        <w:rPr>
          <w:lang w:val="fr-CA"/>
        </w:rPr>
        <w:t>)</w:t>
      </w:r>
      <w:r w:rsidR="000B08F0" w:rsidRPr="00A27D8A">
        <w:rPr>
          <w:lang w:val="fr-CA"/>
        </w:rPr>
        <w:t xml:space="preserve"> </w:t>
      </w:r>
      <w:r w:rsidR="00EA4BA1" w:rsidRPr="00A27D8A">
        <w:rPr>
          <w:lang w:val="fr-CA"/>
        </w:rPr>
        <w:t>de 15 %</w:t>
      </w:r>
      <w:r w:rsidR="000B08F0" w:rsidRPr="00A27D8A">
        <w:rPr>
          <w:lang w:val="fr-CA"/>
        </w:rPr>
        <w:t xml:space="preserve">, </w:t>
      </w:r>
      <w:r w:rsidR="003D36E3" w:rsidRPr="00A27D8A">
        <w:rPr>
          <w:lang w:val="fr-CA"/>
        </w:rPr>
        <w:t>afin</w:t>
      </w:r>
      <w:r w:rsidR="000B08F0" w:rsidRPr="00A27D8A">
        <w:rPr>
          <w:lang w:val="fr-CA"/>
        </w:rPr>
        <w:t xml:space="preserve"> </w:t>
      </w:r>
      <w:r w:rsidR="003D36E3" w:rsidRPr="00A27D8A">
        <w:rPr>
          <w:lang w:val="fr-CA"/>
        </w:rPr>
        <w:t>d’amortir</w:t>
      </w:r>
      <w:r w:rsidR="000B08F0" w:rsidRPr="00A27D8A">
        <w:rPr>
          <w:lang w:val="fr-CA"/>
        </w:rPr>
        <w:t xml:space="preserve"> </w:t>
      </w:r>
      <w:r w:rsidR="003D36E3" w:rsidRPr="00A27D8A">
        <w:rPr>
          <w:lang w:val="fr-CA"/>
        </w:rPr>
        <w:t>les flux irréguliers de liquidités et les fluctuations imprévues</w:t>
      </w:r>
      <w:r w:rsidR="004C5A94" w:rsidRPr="00A27D8A">
        <w:rPr>
          <w:lang w:val="fr-CA"/>
        </w:rPr>
        <w:t xml:space="preserve"> </w:t>
      </w:r>
      <w:r w:rsidR="00CA41BC" w:rsidRPr="00A27D8A">
        <w:rPr>
          <w:lang w:val="fr-CA"/>
        </w:rPr>
        <w:t>des</w:t>
      </w:r>
      <w:r w:rsidR="004C5A94" w:rsidRPr="00A27D8A">
        <w:rPr>
          <w:lang w:val="fr-CA"/>
        </w:rPr>
        <w:t xml:space="preserve"> budget</w:t>
      </w:r>
      <w:r w:rsidR="00CA41BC" w:rsidRPr="00A27D8A">
        <w:rPr>
          <w:lang w:val="fr-CA"/>
        </w:rPr>
        <w:t>s</w:t>
      </w:r>
      <w:r w:rsidR="004C5A94" w:rsidRPr="00A27D8A">
        <w:rPr>
          <w:lang w:val="fr-CA"/>
        </w:rPr>
        <w:t>-programme</w:t>
      </w:r>
      <w:r w:rsidR="00CA41BC" w:rsidRPr="00A27D8A">
        <w:rPr>
          <w:lang w:val="fr-CA"/>
        </w:rPr>
        <w:t>s</w:t>
      </w:r>
      <w:r w:rsidR="000B08F0" w:rsidRPr="00A27D8A">
        <w:rPr>
          <w:lang w:val="fr-CA"/>
        </w:rPr>
        <w:t xml:space="preserve">, </w:t>
      </w:r>
      <w:r w:rsidR="004C5A94" w:rsidRPr="00A27D8A">
        <w:rPr>
          <w:lang w:val="fr-CA"/>
        </w:rPr>
        <w:t>dans les limites établies par les organes directeurs</w:t>
      </w:r>
      <w:r w:rsidR="000B08F0" w:rsidRPr="00A27D8A">
        <w:rPr>
          <w:lang w:val="fr-CA"/>
        </w:rPr>
        <w:t>.</w:t>
      </w:r>
      <w:r w:rsidR="004C5A94" w:rsidRPr="00A27D8A">
        <w:rPr>
          <w:lang w:val="fr-CA"/>
        </w:rPr>
        <w:t xml:space="preserve"> La réserve de trésorerie pour la Convention de Minamata devra être constituée</w:t>
      </w:r>
      <w:r w:rsidR="005114AD" w:rsidRPr="00A27D8A">
        <w:rPr>
          <w:lang w:val="fr-CA"/>
        </w:rPr>
        <w:t xml:space="preserve">. </w:t>
      </w:r>
      <w:r w:rsidR="004C5A94" w:rsidRPr="00A27D8A">
        <w:rPr>
          <w:lang w:val="fr-CA"/>
        </w:rPr>
        <w:t>La constitution de cette réserve peut se faire progressivement et prendre un certain nombre d’années, conformément à un calendrier établi par la Conférence des Parties</w:t>
      </w:r>
      <w:r w:rsidR="000B08F0" w:rsidRPr="00A27D8A">
        <w:rPr>
          <w:lang w:val="fr-CA"/>
        </w:rPr>
        <w:t xml:space="preserve">. </w:t>
      </w:r>
    </w:p>
    <w:p w14:paraId="2499D071" w14:textId="02F82338" w:rsidR="0008780C" w:rsidRPr="00A27D8A" w:rsidRDefault="0008780C" w:rsidP="0008780C">
      <w:pPr>
        <w:pStyle w:val="CH2"/>
        <w:rPr>
          <w:lang w:val="fr-CA"/>
        </w:rPr>
      </w:pPr>
      <w:r w:rsidRPr="00A27D8A">
        <w:rPr>
          <w:lang w:val="fr-CA"/>
        </w:rPr>
        <w:tab/>
      </w:r>
      <w:r w:rsidR="00532129" w:rsidRPr="00A27D8A">
        <w:rPr>
          <w:lang w:val="fr-CA"/>
        </w:rPr>
        <w:t>F</w:t>
      </w:r>
      <w:r w:rsidR="000032CE" w:rsidRPr="00A27D8A">
        <w:rPr>
          <w:lang w:val="fr-CA"/>
        </w:rPr>
        <w:t>.</w:t>
      </w:r>
      <w:r w:rsidRPr="00A27D8A">
        <w:rPr>
          <w:lang w:val="fr-CA"/>
        </w:rPr>
        <w:tab/>
      </w:r>
      <w:r w:rsidR="004C5A94" w:rsidRPr="00A27D8A">
        <w:rPr>
          <w:lang w:val="fr-CA"/>
        </w:rPr>
        <w:t>Autres facteurs et considérations</w:t>
      </w:r>
      <w:r w:rsidR="00A84056" w:rsidRPr="00A27D8A">
        <w:rPr>
          <w:lang w:val="fr-CA"/>
        </w:rPr>
        <w:t xml:space="preserve"> </w:t>
      </w:r>
    </w:p>
    <w:p w14:paraId="5DE2FCE6" w14:textId="347083BE" w:rsidR="0008780C" w:rsidRPr="00A27D8A" w:rsidRDefault="008053F5" w:rsidP="00972D3B">
      <w:pPr>
        <w:pStyle w:val="Normalnumber"/>
        <w:tabs>
          <w:tab w:val="clear" w:pos="624"/>
          <w:tab w:val="left" w:pos="1701"/>
        </w:tabs>
        <w:ind w:left="1247" w:hanging="1"/>
        <w:rPr>
          <w:lang w:val="fr-CA"/>
        </w:rPr>
      </w:pPr>
      <w:r w:rsidRPr="00A27D8A">
        <w:rPr>
          <w:lang w:val="fr-CA"/>
        </w:rPr>
        <w:t>Alors que</w:t>
      </w:r>
      <w:r w:rsidR="004937B0" w:rsidRPr="00A27D8A">
        <w:rPr>
          <w:lang w:val="fr-CA"/>
        </w:rPr>
        <w:t xml:space="preserve"> les coûts de déploiement d’</w:t>
      </w:r>
      <w:proofErr w:type="spellStart"/>
      <w:r w:rsidR="00880F7E" w:rsidRPr="00A27D8A">
        <w:rPr>
          <w:lang w:val="fr-CA"/>
        </w:rPr>
        <w:t>Umoja</w:t>
      </w:r>
      <w:proofErr w:type="spellEnd"/>
      <w:r w:rsidR="00880F7E" w:rsidRPr="00A27D8A">
        <w:rPr>
          <w:lang w:val="fr-CA"/>
        </w:rPr>
        <w:t xml:space="preserve"> </w:t>
      </w:r>
      <w:r w:rsidR="004937B0" w:rsidRPr="00A27D8A">
        <w:rPr>
          <w:lang w:val="fr-CA"/>
        </w:rPr>
        <w:t xml:space="preserve">ont été initialement pris en charge au niveau central par le </w:t>
      </w:r>
      <w:r w:rsidR="004937B0" w:rsidRPr="00A27D8A">
        <w:rPr>
          <w:bCs/>
          <w:lang w:val="fr-CA"/>
        </w:rPr>
        <w:t>Siège de l’Organisation des Nations Unies et le PNUE, les futurs coûts opérationnels, notamment les droits de licence, seront répercutés sur les entités utilisatrices, dont le secrétariat de la Convention de Minamata</w:t>
      </w:r>
      <w:r w:rsidR="00880F7E" w:rsidRPr="00A27D8A">
        <w:rPr>
          <w:lang w:val="fr-CA"/>
        </w:rPr>
        <w:t xml:space="preserve">. </w:t>
      </w:r>
      <w:r w:rsidR="004937B0" w:rsidRPr="00A27D8A">
        <w:rPr>
          <w:lang w:val="fr-CA"/>
        </w:rPr>
        <w:t>La</w:t>
      </w:r>
      <w:r w:rsidR="00880F7E" w:rsidRPr="00A27D8A">
        <w:rPr>
          <w:lang w:val="fr-CA"/>
        </w:rPr>
        <w:t xml:space="preserve"> Convention </w:t>
      </w:r>
      <w:r w:rsidR="004937B0" w:rsidRPr="00A27D8A">
        <w:rPr>
          <w:lang w:val="fr-CA"/>
        </w:rPr>
        <w:t>sera tenue de contribuer à ces dépenses sur la base d’une formule fournie par le</w:t>
      </w:r>
      <w:r w:rsidR="00880F7E" w:rsidRPr="00A27D8A">
        <w:rPr>
          <w:lang w:val="fr-CA"/>
        </w:rPr>
        <w:t xml:space="preserve"> </w:t>
      </w:r>
      <w:r w:rsidR="004937B0" w:rsidRPr="00A27D8A">
        <w:rPr>
          <w:bCs/>
          <w:lang w:val="fr-CA"/>
        </w:rPr>
        <w:t>Siège de l’Organisation des Nations Unies</w:t>
      </w:r>
      <w:r w:rsidR="00880F7E" w:rsidRPr="00A27D8A">
        <w:rPr>
          <w:lang w:val="fr-CA"/>
        </w:rPr>
        <w:t>.</w:t>
      </w:r>
      <w:r w:rsidR="004937B0" w:rsidRPr="00A27D8A">
        <w:rPr>
          <w:lang w:val="fr-CA"/>
        </w:rPr>
        <w:t xml:space="preserve"> En vertu des</w:t>
      </w:r>
      <w:r w:rsidR="00880F7E" w:rsidRPr="00A27D8A">
        <w:rPr>
          <w:lang w:val="fr-CA"/>
        </w:rPr>
        <w:t xml:space="preserve"> </w:t>
      </w:r>
      <w:r w:rsidR="00F93580" w:rsidRPr="00A27D8A">
        <w:rPr>
          <w:lang w:val="fr-CA"/>
        </w:rPr>
        <w:t xml:space="preserve">normes </w:t>
      </w:r>
      <w:r w:rsidR="00880F7E" w:rsidRPr="00A27D8A">
        <w:rPr>
          <w:lang w:val="fr-CA"/>
        </w:rPr>
        <w:t>IPSAS</w:t>
      </w:r>
      <w:r w:rsidR="00FF0B18" w:rsidRPr="00A27D8A">
        <w:rPr>
          <w:lang w:val="fr-CA"/>
        </w:rPr>
        <w:t>,</w:t>
      </w:r>
      <w:r w:rsidR="00F650B6" w:rsidRPr="00A27D8A">
        <w:rPr>
          <w:lang w:val="fr-CA"/>
        </w:rPr>
        <w:t xml:space="preserve"> d</w:t>
      </w:r>
      <w:r w:rsidR="004937B0" w:rsidRPr="00A27D8A">
        <w:rPr>
          <w:lang w:val="fr-CA"/>
        </w:rPr>
        <w:t xml:space="preserve">es états financiers vérifiés doivent être produits annuellement, impliquant des </w:t>
      </w:r>
      <w:r w:rsidR="00F650B6" w:rsidRPr="00A27D8A">
        <w:rPr>
          <w:lang w:val="fr-CA"/>
        </w:rPr>
        <w:t xml:space="preserve">dépenses de vérification devant être financées par la </w:t>
      </w:r>
      <w:r w:rsidR="00F82561" w:rsidRPr="00A27D8A">
        <w:rPr>
          <w:lang w:val="fr-CA"/>
        </w:rPr>
        <w:t xml:space="preserve">Convention. </w:t>
      </w:r>
    </w:p>
    <w:p w14:paraId="5F4DE6B4" w14:textId="19A1B911" w:rsidR="00FA4966" w:rsidRPr="00A27D8A" w:rsidRDefault="00F84B89" w:rsidP="00972D3B">
      <w:pPr>
        <w:pStyle w:val="Normalnumber"/>
        <w:tabs>
          <w:tab w:val="clear" w:pos="624"/>
          <w:tab w:val="left" w:pos="1701"/>
        </w:tabs>
        <w:ind w:left="1247" w:hanging="1"/>
        <w:rPr>
          <w:lang w:val="fr-CA"/>
        </w:rPr>
      </w:pPr>
      <w:r w:rsidRPr="00A27D8A">
        <w:rPr>
          <w:lang w:val="fr-CA"/>
        </w:rPr>
        <w:t>Le Secrétariat de l’Organisation des Nations Unies a mis en place un système de recouvrement des coûts</w:t>
      </w:r>
      <w:r w:rsidR="00FF0B18" w:rsidRPr="00A27D8A">
        <w:rPr>
          <w:lang w:val="fr-CA"/>
        </w:rPr>
        <w:t xml:space="preserve">. </w:t>
      </w:r>
      <w:r w:rsidRPr="00A27D8A">
        <w:rPr>
          <w:lang w:val="fr-CA"/>
        </w:rPr>
        <w:t>Par conséquent</w:t>
      </w:r>
      <w:r w:rsidR="00F82561" w:rsidRPr="00A27D8A">
        <w:rPr>
          <w:lang w:val="fr-CA"/>
        </w:rPr>
        <w:t>,</w:t>
      </w:r>
      <w:r w:rsidRPr="00A27D8A">
        <w:rPr>
          <w:lang w:val="fr-CA"/>
        </w:rPr>
        <w:t xml:space="preserve"> certains coûts qui étaient précédemment gérés et couverts au niveau central par le PNUE – notamment la location de bureaux, les frais administratifs liés à la mise à disposit</w:t>
      </w:r>
      <w:r w:rsidR="00CD1E4B" w:rsidRPr="00A27D8A">
        <w:rPr>
          <w:lang w:val="fr-CA"/>
        </w:rPr>
        <w:t xml:space="preserve">ion gratuite de locaux de </w:t>
      </w:r>
      <w:r w:rsidRPr="00A27D8A">
        <w:rPr>
          <w:lang w:val="fr-CA"/>
        </w:rPr>
        <w:t xml:space="preserve">bureau, les frais d’entretien, les frais liés à la sécurité locale et les coûts opérationnels des infrastructures de communication </w:t>
      </w:r>
      <w:r w:rsidR="00276BC0" w:rsidRPr="00A27D8A">
        <w:rPr>
          <w:lang w:val="fr-CA"/>
        </w:rPr>
        <w:t>–</w:t>
      </w:r>
      <w:r w:rsidR="00FA4966" w:rsidRPr="00A27D8A">
        <w:rPr>
          <w:lang w:val="fr-CA"/>
        </w:rPr>
        <w:t xml:space="preserve"> </w:t>
      </w:r>
      <w:r w:rsidRPr="00A27D8A">
        <w:rPr>
          <w:lang w:val="fr-CA"/>
        </w:rPr>
        <w:t>seront à présent répartis dans le cadre d’un système</w:t>
      </w:r>
      <w:r w:rsidR="001B54CD" w:rsidRPr="00A27D8A">
        <w:rPr>
          <w:lang w:val="fr-CA"/>
        </w:rPr>
        <w:t xml:space="preserve"> d’utilisateur-payeur</w:t>
      </w:r>
      <w:r w:rsidR="00FA4966" w:rsidRPr="00A27D8A">
        <w:rPr>
          <w:lang w:val="fr-CA"/>
        </w:rPr>
        <w:t>.</w:t>
      </w:r>
      <w:r w:rsidR="001B54CD" w:rsidRPr="00A27D8A">
        <w:rPr>
          <w:lang w:val="fr-CA"/>
        </w:rPr>
        <w:t xml:space="preserve"> En conséquence, il y aura lieu de prévoir dans le futur une provision pour ces dépenses, le secrétariat de la Convention présentant cette information dans le cadre de son programme de travail et budget</w:t>
      </w:r>
      <w:r w:rsidR="000810AE" w:rsidRPr="00A27D8A">
        <w:rPr>
          <w:lang w:val="fr-CA"/>
        </w:rPr>
        <w:t xml:space="preserve">. </w:t>
      </w:r>
    </w:p>
    <w:p w14:paraId="7410FBDF" w14:textId="639C9A51" w:rsidR="00FA4966" w:rsidRPr="00A27D8A" w:rsidRDefault="007E61D7" w:rsidP="00BB600A">
      <w:pPr>
        <w:pStyle w:val="Normalnumber"/>
        <w:tabs>
          <w:tab w:val="clear" w:pos="624"/>
          <w:tab w:val="left" w:pos="1701"/>
        </w:tabs>
        <w:ind w:left="1247" w:hanging="1"/>
        <w:rPr>
          <w:lang w:val="fr-CA"/>
        </w:rPr>
      </w:pPr>
      <w:r w:rsidRPr="00A27D8A">
        <w:rPr>
          <w:lang w:val="fr-CA"/>
        </w:rPr>
        <w:t xml:space="preserve">Conformément </w:t>
      </w:r>
      <w:r w:rsidR="008639E2" w:rsidRPr="00A27D8A">
        <w:rPr>
          <w:lang w:val="fr-CA"/>
        </w:rPr>
        <w:t>au</w:t>
      </w:r>
      <w:r w:rsidRPr="00A27D8A">
        <w:rPr>
          <w:lang w:val="fr-CA"/>
        </w:rPr>
        <w:t xml:space="preserve"> </w:t>
      </w:r>
      <w:r w:rsidRPr="00A27D8A">
        <w:rPr>
          <w:bCs/>
          <w:lang w:val="fr-CA"/>
        </w:rPr>
        <w:t xml:space="preserve">Règlement financier et </w:t>
      </w:r>
      <w:r w:rsidR="008639E2" w:rsidRPr="00A27D8A">
        <w:rPr>
          <w:bCs/>
          <w:lang w:val="fr-CA"/>
        </w:rPr>
        <w:t>aux R</w:t>
      </w:r>
      <w:r w:rsidRPr="00A27D8A">
        <w:rPr>
          <w:bCs/>
          <w:lang w:val="fr-CA"/>
        </w:rPr>
        <w:t>ègles de gestion financière de l’Organisation des Nations Unies, un pourcentage de 13 % pour</w:t>
      </w:r>
      <w:r w:rsidR="00FA4966" w:rsidRPr="00A27D8A">
        <w:rPr>
          <w:lang w:val="fr-CA"/>
        </w:rPr>
        <w:t xml:space="preserve"> </w:t>
      </w:r>
      <w:r w:rsidRPr="00A27D8A">
        <w:rPr>
          <w:lang w:val="fr-CA"/>
        </w:rPr>
        <w:t>les dépenses d’appui aux programmes est dû au PNUE afin de</w:t>
      </w:r>
      <w:r w:rsidRPr="00A27D8A">
        <w:rPr>
          <w:color w:val="000000"/>
          <w:sz w:val="27"/>
          <w:szCs w:val="27"/>
          <w:lang w:val="fr-CA"/>
        </w:rPr>
        <w:t xml:space="preserve"> </w:t>
      </w:r>
      <w:r w:rsidRPr="00A27D8A">
        <w:rPr>
          <w:lang w:val="fr-CA"/>
        </w:rPr>
        <w:t xml:space="preserve">récupérer les </w:t>
      </w:r>
      <w:r w:rsidR="00F93580" w:rsidRPr="00A27D8A">
        <w:rPr>
          <w:lang w:val="fr-CA"/>
        </w:rPr>
        <w:t>sur</w:t>
      </w:r>
      <w:r w:rsidRPr="00A27D8A">
        <w:rPr>
          <w:lang w:val="fr-CA"/>
        </w:rPr>
        <w:t>coûts encourus lorsque les activités d’appui sont financées par des contributions</w:t>
      </w:r>
      <w:r w:rsidR="00F82561" w:rsidRPr="00A27D8A">
        <w:rPr>
          <w:lang w:val="fr-CA"/>
        </w:rPr>
        <w:t xml:space="preserve">. </w:t>
      </w:r>
      <w:r w:rsidRPr="00A27D8A">
        <w:rPr>
          <w:lang w:val="fr-CA"/>
        </w:rPr>
        <w:t>Selon la pratique</w:t>
      </w:r>
      <w:r w:rsidR="00125582" w:rsidRPr="00A27D8A">
        <w:rPr>
          <w:lang w:val="fr-CA"/>
        </w:rPr>
        <w:t xml:space="preserve"> courante en matière d’utilisation</w:t>
      </w:r>
      <w:r w:rsidR="00F82561" w:rsidRPr="00A27D8A">
        <w:rPr>
          <w:lang w:val="fr-CA"/>
        </w:rPr>
        <w:t xml:space="preserve"> </w:t>
      </w:r>
      <w:r w:rsidR="00125582" w:rsidRPr="00A27D8A">
        <w:rPr>
          <w:lang w:val="fr-CA"/>
        </w:rPr>
        <w:t>des dépenses d’appui aux programmes, le PNUE fournira une allocation annuelle à la Convention pour aider à couvrir les dépenses des services d’appui</w:t>
      </w:r>
      <w:r w:rsidR="00F82561" w:rsidRPr="00A27D8A">
        <w:rPr>
          <w:lang w:val="fr-CA"/>
        </w:rPr>
        <w:t>.</w:t>
      </w:r>
      <w:r w:rsidR="00125582" w:rsidRPr="00A27D8A">
        <w:rPr>
          <w:lang w:val="fr-CA"/>
        </w:rPr>
        <w:t xml:space="preserve"> Selon les estimations, les</w:t>
      </w:r>
      <w:r w:rsidR="00F82561" w:rsidRPr="00A27D8A">
        <w:rPr>
          <w:lang w:val="fr-CA"/>
        </w:rPr>
        <w:t xml:space="preserve"> </w:t>
      </w:r>
      <w:r w:rsidR="00125582" w:rsidRPr="00A27D8A">
        <w:rPr>
          <w:lang w:val="fr-CA"/>
        </w:rPr>
        <w:t>dépenses d’appui aux programmes allouées au secrétariat de la Convention couvriront une partie du coût d’un</w:t>
      </w:r>
      <w:r w:rsidR="00F82561" w:rsidRPr="00A27D8A">
        <w:rPr>
          <w:lang w:val="fr-CA"/>
        </w:rPr>
        <w:t xml:space="preserve"> </w:t>
      </w:r>
      <w:r w:rsidR="00125582" w:rsidRPr="00A27D8A">
        <w:rPr>
          <w:bCs/>
          <w:lang w:val="fr-CA"/>
        </w:rPr>
        <w:t>fonctionnaire d’administration et des finances</w:t>
      </w:r>
      <w:r w:rsidR="00125582" w:rsidRPr="00A27D8A">
        <w:rPr>
          <w:lang w:val="fr-CA"/>
        </w:rPr>
        <w:t xml:space="preserve"> </w:t>
      </w:r>
      <w:r w:rsidR="00C60A3D">
        <w:rPr>
          <w:lang w:val="fr-CA"/>
        </w:rPr>
        <w:t xml:space="preserve">(de classe P-3) </w:t>
      </w:r>
      <w:r w:rsidR="00ED74C8" w:rsidRPr="00A27D8A">
        <w:rPr>
          <w:lang w:val="fr-CA"/>
        </w:rPr>
        <w:t>et d’un</w:t>
      </w:r>
      <w:r w:rsidR="00C60A3D">
        <w:rPr>
          <w:lang w:val="fr-CA"/>
        </w:rPr>
        <w:t xml:space="preserve"> assistant </w:t>
      </w:r>
      <w:r w:rsidR="00125582" w:rsidRPr="00A27D8A">
        <w:rPr>
          <w:lang w:val="fr-CA"/>
        </w:rPr>
        <w:t>financ</w:t>
      </w:r>
      <w:r w:rsidR="00C60A3D">
        <w:rPr>
          <w:lang w:val="fr-CA"/>
        </w:rPr>
        <w:t>ier</w:t>
      </w:r>
      <w:r w:rsidR="00BB600A" w:rsidRPr="00A27D8A">
        <w:rPr>
          <w:lang w:val="fr-CA"/>
        </w:rPr>
        <w:t>.</w:t>
      </w:r>
      <w:r w:rsidR="00125582" w:rsidRPr="00A27D8A">
        <w:rPr>
          <w:lang w:val="fr-CA"/>
        </w:rPr>
        <w:t xml:space="preserve"> Le</w:t>
      </w:r>
      <w:r w:rsidR="00BB600A" w:rsidRPr="00A27D8A">
        <w:rPr>
          <w:lang w:val="fr-CA"/>
        </w:rPr>
        <w:t xml:space="preserve"> </w:t>
      </w:r>
      <w:r w:rsidR="00125582" w:rsidRPr="00A27D8A">
        <w:rPr>
          <w:bCs/>
          <w:lang w:val="fr-CA"/>
        </w:rPr>
        <w:t>fonctionnaire d’administration et des finances</w:t>
      </w:r>
      <w:r w:rsidR="00125582" w:rsidRPr="00A27D8A">
        <w:rPr>
          <w:lang w:val="fr-CA"/>
        </w:rPr>
        <w:t xml:space="preserve"> sera chargé de la gestion des fonds, des services financiers et de l’appui logistique ainsi que des fonctions administratives et</w:t>
      </w:r>
      <w:r w:rsidR="00032E34" w:rsidRPr="00A27D8A">
        <w:rPr>
          <w:lang w:val="fr-CA"/>
        </w:rPr>
        <w:t xml:space="preserve"> de gestion des ressources humaines pour le secrétariat</w:t>
      </w:r>
      <w:r w:rsidR="00FA4966" w:rsidRPr="00A27D8A">
        <w:rPr>
          <w:lang w:val="fr-CA"/>
        </w:rPr>
        <w:t xml:space="preserve">. </w:t>
      </w:r>
    </w:p>
    <w:p w14:paraId="52FA4DF2" w14:textId="3B637CD2" w:rsidR="00FA4966" w:rsidRPr="00A27D8A" w:rsidRDefault="00032E34" w:rsidP="00972D3B">
      <w:pPr>
        <w:pStyle w:val="Normalnumber"/>
        <w:tabs>
          <w:tab w:val="clear" w:pos="624"/>
          <w:tab w:val="left" w:pos="1701"/>
        </w:tabs>
        <w:ind w:left="1247" w:hanging="1"/>
        <w:rPr>
          <w:lang w:val="fr-CA"/>
        </w:rPr>
      </w:pPr>
      <w:r w:rsidRPr="00A27D8A">
        <w:rPr>
          <w:lang w:val="fr-CA"/>
        </w:rPr>
        <w:t xml:space="preserve">Les chiffres utilisés pour estimer les dépenses de personnel </w:t>
      </w:r>
      <w:r w:rsidR="00AA6D1D">
        <w:rPr>
          <w:lang w:val="fr-CA"/>
        </w:rPr>
        <w:t>dans</w:t>
      </w:r>
      <w:r w:rsidRPr="00A27D8A">
        <w:rPr>
          <w:lang w:val="fr-CA"/>
        </w:rPr>
        <w:t xml:space="preserve"> le projet de budget de l’exercice biennal </w:t>
      </w:r>
      <w:r w:rsidR="00FD1F97" w:rsidRPr="00A27D8A">
        <w:rPr>
          <w:lang w:val="fr-CA"/>
        </w:rPr>
        <w:t>2018–2019</w:t>
      </w:r>
      <w:r w:rsidR="00AA6D1D">
        <w:rPr>
          <w:lang w:val="fr-CA"/>
        </w:rPr>
        <w:t xml:space="preserve"> son</w:t>
      </w:r>
      <w:r w:rsidR="003552BB">
        <w:rPr>
          <w:lang w:val="fr-CA"/>
        </w:rPr>
        <w:t>t basés sur les coûts réels du S</w:t>
      </w:r>
      <w:r w:rsidR="00AA6D1D">
        <w:rPr>
          <w:lang w:val="fr-CA"/>
        </w:rPr>
        <w:t>ecrétariat des conventions de Bâle, de Rotterdam et de Stockholm pour toutes les options d’implantation à Genève.</w:t>
      </w:r>
      <w:r w:rsidRPr="00A27D8A">
        <w:rPr>
          <w:lang w:val="fr-CA"/>
        </w:rPr>
        <w:t xml:space="preserve"> </w:t>
      </w:r>
      <w:r w:rsidR="00AA6D1D">
        <w:rPr>
          <w:lang w:val="fr-CA"/>
        </w:rPr>
        <w:t>Des coûts</w:t>
      </w:r>
      <w:r w:rsidRPr="00A27D8A">
        <w:rPr>
          <w:lang w:val="fr-CA"/>
        </w:rPr>
        <w:t xml:space="preserve"> standard </w:t>
      </w:r>
      <w:r w:rsidR="00AA6D1D">
        <w:rPr>
          <w:lang w:val="fr-CA"/>
        </w:rPr>
        <w:t>sont utilisés pour les dépenses de personnel relatives à l’option 2 dans le cas d’une implantation à un autre endroit. Les différentes options et les</w:t>
      </w:r>
      <w:r w:rsidRPr="00A27D8A">
        <w:rPr>
          <w:lang w:val="fr-CA"/>
        </w:rPr>
        <w:t xml:space="preserve"> </w:t>
      </w:r>
      <w:r w:rsidR="00FB79BD">
        <w:rPr>
          <w:lang w:val="fr-CA"/>
        </w:rPr>
        <w:t xml:space="preserve">dépenses de personnel correspondantes sont exposées </w:t>
      </w:r>
      <w:r w:rsidRPr="00A27D8A">
        <w:rPr>
          <w:lang w:val="fr-CA"/>
        </w:rPr>
        <w:t>dans l’additif </w:t>
      </w:r>
      <w:r w:rsidR="00FB79BD">
        <w:rPr>
          <w:lang w:val="fr-CA"/>
        </w:rPr>
        <w:t>2</w:t>
      </w:r>
      <w:r w:rsidRPr="00A27D8A">
        <w:rPr>
          <w:lang w:val="fr-CA"/>
        </w:rPr>
        <w:t xml:space="preserve"> </w:t>
      </w:r>
      <w:r w:rsidR="00FB79BD">
        <w:rPr>
          <w:lang w:val="fr-CA"/>
        </w:rPr>
        <w:t>à</w:t>
      </w:r>
      <w:r w:rsidRPr="00A27D8A">
        <w:rPr>
          <w:lang w:val="fr-CA"/>
        </w:rPr>
        <w:t xml:space="preserve"> la présente note </w:t>
      </w:r>
      <w:r w:rsidR="000B4B86" w:rsidRPr="00A27D8A">
        <w:rPr>
          <w:lang w:val="fr-CA"/>
        </w:rPr>
        <w:t>(</w:t>
      </w:r>
      <w:r w:rsidR="00FA57EE" w:rsidRPr="00A27D8A">
        <w:rPr>
          <w:lang w:val="fr-CA"/>
        </w:rPr>
        <w:t>UNEP/MC/COP.1/21</w:t>
      </w:r>
      <w:r w:rsidR="00FD1F97" w:rsidRPr="00A27D8A">
        <w:rPr>
          <w:lang w:val="fr-CA"/>
        </w:rPr>
        <w:t>/</w:t>
      </w:r>
      <w:r w:rsidR="00FA57EE" w:rsidRPr="00A27D8A">
        <w:rPr>
          <w:lang w:val="fr-CA"/>
        </w:rPr>
        <w:t>Add.</w:t>
      </w:r>
      <w:r w:rsidR="00FB79BD">
        <w:rPr>
          <w:lang w:val="fr-CA"/>
        </w:rPr>
        <w:t>2</w:t>
      </w:r>
      <w:r w:rsidR="000B4B86" w:rsidRPr="00A27D8A">
        <w:rPr>
          <w:lang w:val="fr-CA"/>
        </w:rPr>
        <w:t>)</w:t>
      </w:r>
      <w:r w:rsidR="00FD1F97" w:rsidRPr="00A27D8A">
        <w:rPr>
          <w:lang w:val="fr-CA"/>
        </w:rPr>
        <w:t>.</w:t>
      </w:r>
      <w:r w:rsidR="00FA57EE" w:rsidRPr="00A27D8A">
        <w:rPr>
          <w:lang w:val="fr-CA"/>
        </w:rPr>
        <w:t xml:space="preserve"> </w:t>
      </w:r>
    </w:p>
    <w:p w14:paraId="5F9FABC8" w14:textId="40EFDE00" w:rsidR="007D4D6F" w:rsidRPr="00A27D8A" w:rsidRDefault="00032E34" w:rsidP="00972D3B">
      <w:pPr>
        <w:pStyle w:val="Normalnumber"/>
        <w:tabs>
          <w:tab w:val="clear" w:pos="624"/>
          <w:tab w:val="left" w:pos="1701"/>
        </w:tabs>
        <w:ind w:left="1247" w:hanging="1"/>
        <w:rPr>
          <w:lang w:val="fr-CA"/>
        </w:rPr>
      </w:pPr>
      <w:r w:rsidRPr="00A27D8A">
        <w:rPr>
          <w:lang w:val="fr-CA"/>
        </w:rPr>
        <w:t xml:space="preserve">Selon </w:t>
      </w:r>
      <w:r w:rsidR="00ED74C8" w:rsidRPr="00A27D8A">
        <w:rPr>
          <w:lang w:val="fr-CA"/>
        </w:rPr>
        <w:t>les</w:t>
      </w:r>
      <w:r w:rsidRPr="00A27D8A">
        <w:rPr>
          <w:lang w:val="fr-CA"/>
        </w:rPr>
        <w:t xml:space="preserve"> décision</w:t>
      </w:r>
      <w:r w:rsidR="00ED74C8" w:rsidRPr="00A27D8A">
        <w:rPr>
          <w:lang w:val="fr-CA"/>
        </w:rPr>
        <w:t>s</w:t>
      </w:r>
      <w:r w:rsidRPr="00A27D8A">
        <w:rPr>
          <w:lang w:val="fr-CA"/>
        </w:rPr>
        <w:t xml:space="preserve"> prise</w:t>
      </w:r>
      <w:r w:rsidR="00ED74C8" w:rsidRPr="00A27D8A">
        <w:rPr>
          <w:lang w:val="fr-CA"/>
        </w:rPr>
        <w:t>s</w:t>
      </w:r>
      <w:r w:rsidRPr="00A27D8A">
        <w:rPr>
          <w:lang w:val="fr-CA"/>
        </w:rPr>
        <w:t xml:space="preserve"> à la première réunion, les ressources de la Convention peuvent comprendre une contribution </w:t>
      </w:r>
      <w:r w:rsidR="00ED74C8" w:rsidRPr="00A27D8A">
        <w:rPr>
          <w:lang w:val="fr-CA"/>
        </w:rPr>
        <w:t>du</w:t>
      </w:r>
      <w:r w:rsidRPr="00A27D8A">
        <w:rPr>
          <w:lang w:val="fr-CA"/>
        </w:rPr>
        <w:t xml:space="preserve"> pays hôte au</w:t>
      </w:r>
      <w:r w:rsidR="00FA4966" w:rsidRPr="00A27D8A">
        <w:rPr>
          <w:lang w:val="fr-CA"/>
        </w:rPr>
        <w:t xml:space="preserve"> </w:t>
      </w:r>
      <w:r w:rsidRPr="00A27D8A">
        <w:rPr>
          <w:lang w:val="fr-CA"/>
        </w:rPr>
        <w:t>Fonds général d’affectation spéciale et au Fonds d’affectation spéciale de contributions volontaires</w:t>
      </w:r>
      <w:r w:rsidR="00FA4966" w:rsidRPr="00A27D8A">
        <w:rPr>
          <w:lang w:val="fr-CA"/>
        </w:rPr>
        <w:t xml:space="preserve">. </w:t>
      </w:r>
    </w:p>
    <w:p w14:paraId="25C87FE2" w14:textId="3D72F612" w:rsidR="00FA4966" w:rsidRPr="00A27D8A" w:rsidRDefault="00954147" w:rsidP="007D4D6F">
      <w:pPr>
        <w:pStyle w:val="Normalnumber"/>
        <w:tabs>
          <w:tab w:val="clear" w:pos="624"/>
          <w:tab w:val="left" w:pos="1701"/>
        </w:tabs>
        <w:ind w:left="1247" w:hanging="1"/>
        <w:rPr>
          <w:lang w:val="fr-CA"/>
        </w:rPr>
      </w:pPr>
      <w:r w:rsidRPr="00A27D8A">
        <w:rPr>
          <w:lang w:val="fr-CA"/>
        </w:rPr>
        <w:t>Dans la mesure où de</w:t>
      </w:r>
      <w:r w:rsidR="000F49FA" w:rsidRPr="00A27D8A">
        <w:rPr>
          <w:lang w:val="fr-CA"/>
        </w:rPr>
        <w:t xml:space="preserve"> nombreux éléments </w:t>
      </w:r>
      <w:r w:rsidRPr="00A27D8A">
        <w:rPr>
          <w:lang w:val="fr-CA"/>
        </w:rPr>
        <w:t>ont</w:t>
      </w:r>
      <w:r w:rsidR="000F49FA" w:rsidRPr="00A27D8A">
        <w:rPr>
          <w:lang w:val="fr-CA"/>
        </w:rPr>
        <w:t xml:space="preserve"> une incidence sur les paramètres généraux du programme de travail et </w:t>
      </w:r>
      <w:r w:rsidR="002215FB" w:rsidRPr="00A27D8A">
        <w:rPr>
          <w:lang w:val="fr-CA"/>
        </w:rPr>
        <w:t xml:space="preserve">du </w:t>
      </w:r>
      <w:r w:rsidR="000F49FA" w:rsidRPr="00A27D8A">
        <w:rPr>
          <w:lang w:val="fr-CA"/>
        </w:rPr>
        <w:t xml:space="preserve">budget, </w:t>
      </w:r>
      <w:r w:rsidR="00FB79BD">
        <w:rPr>
          <w:lang w:val="fr-CA"/>
        </w:rPr>
        <w:t xml:space="preserve">on trouvera dans un </w:t>
      </w:r>
      <w:r w:rsidR="00FB79BD" w:rsidRPr="00A27D8A">
        <w:rPr>
          <w:lang w:val="fr-CA"/>
        </w:rPr>
        <w:t>quatrième additif à la présente note</w:t>
      </w:r>
      <w:r w:rsidR="00FB79BD">
        <w:rPr>
          <w:lang w:val="fr-CA"/>
        </w:rPr>
        <w:t xml:space="preserve"> </w:t>
      </w:r>
      <w:r w:rsidR="00FB79BD" w:rsidRPr="00AA6D1D">
        <w:rPr>
          <w:lang w:val="fr-CA"/>
        </w:rPr>
        <w:t>(UNEP/MC/COP.1/21/Add.4)</w:t>
      </w:r>
      <w:r w:rsidR="00FB79BD">
        <w:rPr>
          <w:lang w:val="fr-CA"/>
        </w:rPr>
        <w:t xml:space="preserve"> </w:t>
      </w:r>
      <w:r w:rsidR="00F771C6" w:rsidRPr="00A27D8A">
        <w:rPr>
          <w:lang w:val="fr-CA"/>
        </w:rPr>
        <w:t xml:space="preserve">un </w:t>
      </w:r>
      <w:r w:rsidR="00FB79BD">
        <w:rPr>
          <w:lang w:val="fr-CA"/>
        </w:rPr>
        <w:t xml:space="preserve">aperçu </w:t>
      </w:r>
      <w:r w:rsidRPr="00A27D8A">
        <w:rPr>
          <w:lang w:val="fr-CA"/>
        </w:rPr>
        <w:t xml:space="preserve">du programme de travail et </w:t>
      </w:r>
      <w:r w:rsidR="002B66E6">
        <w:rPr>
          <w:lang w:val="fr-CA"/>
        </w:rPr>
        <w:t xml:space="preserve">du </w:t>
      </w:r>
      <w:r w:rsidRPr="00A27D8A">
        <w:rPr>
          <w:lang w:val="fr-CA"/>
        </w:rPr>
        <w:t>budget</w:t>
      </w:r>
      <w:r w:rsidR="007D4D6F" w:rsidRPr="00A27D8A">
        <w:rPr>
          <w:lang w:val="fr-CA"/>
        </w:rPr>
        <w:t xml:space="preserve"> </w:t>
      </w:r>
      <w:r w:rsidR="00066F75">
        <w:rPr>
          <w:lang w:val="fr-CA"/>
        </w:rPr>
        <w:t>selon l’</w:t>
      </w:r>
      <w:r w:rsidRPr="00A27D8A">
        <w:rPr>
          <w:lang w:val="fr-CA"/>
        </w:rPr>
        <w:t xml:space="preserve">option </w:t>
      </w:r>
      <w:r w:rsidR="00066F75">
        <w:rPr>
          <w:lang w:val="fr-CA"/>
        </w:rPr>
        <w:t>envisagée pour l</w:t>
      </w:r>
      <w:r w:rsidRPr="00A27D8A">
        <w:rPr>
          <w:lang w:val="fr-CA"/>
        </w:rPr>
        <w:t>e secrétariat</w:t>
      </w:r>
      <w:r w:rsidR="00FB79BD">
        <w:rPr>
          <w:lang w:val="fr-CA"/>
        </w:rPr>
        <w:t>.</w:t>
      </w:r>
    </w:p>
    <w:p w14:paraId="30CFD90A" w14:textId="775208C7" w:rsidR="00D77B12" w:rsidRPr="00A27D8A" w:rsidRDefault="00954147" w:rsidP="00972D3B">
      <w:pPr>
        <w:pStyle w:val="Normalnumber"/>
        <w:tabs>
          <w:tab w:val="clear" w:pos="624"/>
          <w:tab w:val="left" w:pos="1701"/>
        </w:tabs>
        <w:ind w:left="1247" w:hanging="1"/>
        <w:rPr>
          <w:lang w:val="fr-CA"/>
        </w:rPr>
      </w:pPr>
      <w:r w:rsidRPr="00A27D8A">
        <w:rPr>
          <w:lang w:val="fr-CA"/>
        </w:rPr>
        <w:t xml:space="preserve">Le projet de budget pour l’exercice biennal </w:t>
      </w:r>
      <w:r w:rsidR="00FA4966" w:rsidRPr="00A27D8A">
        <w:rPr>
          <w:lang w:val="fr-CA"/>
        </w:rPr>
        <w:t>2018</w:t>
      </w:r>
      <w:r w:rsidR="009C3938" w:rsidRPr="00A27D8A">
        <w:rPr>
          <w:lang w:val="fr-CA"/>
        </w:rPr>
        <w:t>–</w:t>
      </w:r>
      <w:r w:rsidR="00FA4966" w:rsidRPr="00A27D8A">
        <w:rPr>
          <w:lang w:val="fr-CA"/>
        </w:rPr>
        <w:t xml:space="preserve">2019 </w:t>
      </w:r>
      <w:r w:rsidRPr="00A27D8A">
        <w:rPr>
          <w:lang w:val="fr-CA"/>
        </w:rPr>
        <w:t xml:space="preserve">a été examiné </w:t>
      </w:r>
      <w:r w:rsidR="008B10E5" w:rsidRPr="00A27D8A">
        <w:rPr>
          <w:lang w:val="fr-CA"/>
        </w:rPr>
        <w:t xml:space="preserve">pour le compte du Directeur exécutif du PNUE </w:t>
      </w:r>
      <w:r w:rsidRPr="00A27D8A">
        <w:rPr>
          <w:lang w:val="fr-CA"/>
        </w:rPr>
        <w:t>par</w:t>
      </w:r>
      <w:r w:rsidR="00FA4966" w:rsidRPr="00A27D8A">
        <w:rPr>
          <w:lang w:val="fr-CA"/>
        </w:rPr>
        <w:t xml:space="preserve"> </w:t>
      </w:r>
      <w:r w:rsidR="008B10E5" w:rsidRPr="00A27D8A">
        <w:rPr>
          <w:lang w:val="fr-CA"/>
        </w:rPr>
        <w:t xml:space="preserve">la Division des services internes </w:t>
      </w:r>
      <w:r w:rsidRPr="00A27D8A">
        <w:rPr>
          <w:lang w:val="fr-CA"/>
        </w:rPr>
        <w:t>dans le cadre du processus d’élaboration de projets de budgets</w:t>
      </w:r>
      <w:r w:rsidR="000810AE" w:rsidRPr="00A27D8A">
        <w:rPr>
          <w:lang w:val="fr-CA"/>
        </w:rPr>
        <w:t>.</w:t>
      </w:r>
    </w:p>
    <w:p w14:paraId="3AB4AB3C" w14:textId="7965C720" w:rsidR="00844429" w:rsidRPr="00A27D8A" w:rsidRDefault="009C3938" w:rsidP="00C61322">
      <w:pPr>
        <w:pStyle w:val="CH1"/>
        <w:ind w:left="1253"/>
        <w:rPr>
          <w:lang w:val="fr-CA"/>
        </w:rPr>
      </w:pPr>
      <w:r w:rsidRPr="00A27D8A">
        <w:rPr>
          <w:lang w:val="fr-CA"/>
        </w:rPr>
        <w:lastRenderedPageBreak/>
        <w:tab/>
      </w:r>
      <w:r w:rsidR="00D77B12" w:rsidRPr="00A27D8A">
        <w:rPr>
          <w:lang w:val="fr-CA"/>
        </w:rPr>
        <w:t>III.</w:t>
      </w:r>
      <w:r w:rsidR="00D77B12" w:rsidRPr="00A27D8A">
        <w:rPr>
          <w:lang w:val="fr-CA"/>
        </w:rPr>
        <w:tab/>
      </w:r>
      <w:r w:rsidR="002215FB" w:rsidRPr="00A27D8A">
        <w:rPr>
          <w:lang w:val="fr-CA"/>
        </w:rPr>
        <w:t>Mesures que pourrait prendre la Conférence des Parties</w:t>
      </w:r>
    </w:p>
    <w:p w14:paraId="6703EF9B" w14:textId="1FFBBD25" w:rsidR="00294386" w:rsidRPr="00A27D8A" w:rsidRDefault="002215FB" w:rsidP="00C61322">
      <w:pPr>
        <w:pStyle w:val="Normalnumber"/>
        <w:keepNext/>
        <w:keepLines/>
        <w:tabs>
          <w:tab w:val="clear" w:pos="624"/>
          <w:tab w:val="left" w:pos="1701"/>
        </w:tabs>
        <w:ind w:left="1253" w:hanging="1"/>
        <w:rPr>
          <w:lang w:val="fr-CA"/>
        </w:rPr>
      </w:pPr>
      <w:r w:rsidRPr="00A27D8A">
        <w:rPr>
          <w:lang w:val="fr-CA"/>
        </w:rPr>
        <w:t>Ayant examiné la présente note sur le programme de travail du secrétariat et le budget</w:t>
      </w:r>
      <w:r w:rsidR="00844429" w:rsidRPr="00A27D8A">
        <w:rPr>
          <w:lang w:val="fr-CA"/>
        </w:rPr>
        <w:t xml:space="preserve"> </w:t>
      </w:r>
      <w:r w:rsidRPr="00A27D8A">
        <w:rPr>
          <w:lang w:val="fr-CA"/>
        </w:rPr>
        <w:t xml:space="preserve">de la Convention de Minamata pour l’exercice biennal </w:t>
      </w:r>
      <w:r w:rsidR="00827089" w:rsidRPr="00A27D8A">
        <w:rPr>
          <w:lang w:val="fr-CA"/>
        </w:rPr>
        <w:t>2018</w:t>
      </w:r>
      <w:r w:rsidR="009C3938" w:rsidRPr="00A27D8A">
        <w:rPr>
          <w:lang w:val="fr-CA"/>
        </w:rPr>
        <w:t>–</w:t>
      </w:r>
      <w:r w:rsidR="00827089" w:rsidRPr="00A27D8A">
        <w:rPr>
          <w:lang w:val="fr-CA"/>
        </w:rPr>
        <w:t>2019</w:t>
      </w:r>
      <w:r w:rsidR="00D75D4B" w:rsidRPr="00A27D8A">
        <w:rPr>
          <w:lang w:val="fr-CA"/>
        </w:rPr>
        <w:t xml:space="preserve"> </w:t>
      </w:r>
      <w:r w:rsidR="00CD1E4B" w:rsidRPr="00A27D8A">
        <w:rPr>
          <w:lang w:val="fr-CA"/>
        </w:rPr>
        <w:t>ainsi que les additifs </w:t>
      </w:r>
      <w:r w:rsidRPr="00A27D8A">
        <w:rPr>
          <w:lang w:val="fr-CA"/>
        </w:rPr>
        <w:t xml:space="preserve">1 à 4 </w:t>
      </w:r>
      <w:r w:rsidR="00224AB2" w:rsidRPr="00A27D8A">
        <w:rPr>
          <w:lang w:val="fr-CA"/>
        </w:rPr>
        <w:t>concernant</w:t>
      </w:r>
      <w:r w:rsidRPr="00A27D8A">
        <w:rPr>
          <w:lang w:val="fr-CA"/>
        </w:rPr>
        <w:t xml:space="preserve">, respectivement, les contributions, les ressources nécessaires pour les activités et les ressources nécessaires pour </w:t>
      </w:r>
      <w:r w:rsidR="00224AB2" w:rsidRPr="00A27D8A">
        <w:rPr>
          <w:lang w:val="fr-CA"/>
        </w:rPr>
        <w:t xml:space="preserve">le personnel, et à la lumière des décisions de la Conférence relatives </w:t>
      </w:r>
      <w:r w:rsidR="00CB40E2" w:rsidRPr="00A27D8A">
        <w:rPr>
          <w:lang w:val="fr-CA"/>
        </w:rPr>
        <w:t>au</w:t>
      </w:r>
      <w:r w:rsidR="00CA57C7" w:rsidRPr="00A27D8A">
        <w:rPr>
          <w:lang w:val="fr-CA"/>
        </w:rPr>
        <w:t>x</w:t>
      </w:r>
      <w:r w:rsidR="00C61322" w:rsidRPr="00A27D8A">
        <w:rPr>
          <w:lang w:val="fr-CA"/>
        </w:rPr>
        <w:t xml:space="preserve"> dispositions concernant le </w:t>
      </w:r>
      <w:r w:rsidR="00CB40E2" w:rsidRPr="00A27D8A">
        <w:rPr>
          <w:lang w:val="fr-CA"/>
        </w:rPr>
        <w:t>fonctionnement</w:t>
      </w:r>
      <w:r w:rsidR="00C61322" w:rsidRPr="00A27D8A">
        <w:rPr>
          <w:lang w:val="fr-CA"/>
        </w:rPr>
        <w:t xml:space="preserve"> </w:t>
      </w:r>
      <w:r w:rsidR="00224AB2" w:rsidRPr="00A27D8A">
        <w:rPr>
          <w:lang w:val="fr-CA"/>
        </w:rPr>
        <w:t>du secrétariat permanent</w:t>
      </w:r>
      <w:r w:rsidR="00C61322" w:rsidRPr="00A27D8A">
        <w:rPr>
          <w:lang w:val="fr-CA"/>
        </w:rPr>
        <w:t xml:space="preserve"> et à l’implantation de ce dernier</w:t>
      </w:r>
      <w:r w:rsidR="00827089" w:rsidRPr="00A27D8A">
        <w:rPr>
          <w:lang w:val="fr-CA"/>
        </w:rPr>
        <w:t xml:space="preserve">, </w:t>
      </w:r>
      <w:r w:rsidR="00224AB2" w:rsidRPr="00A27D8A">
        <w:rPr>
          <w:lang w:val="fr-CA"/>
        </w:rPr>
        <w:t xml:space="preserve">la Conférence </w:t>
      </w:r>
      <w:r w:rsidR="00DE0287" w:rsidRPr="00A27D8A">
        <w:rPr>
          <w:lang w:val="fr-CA"/>
        </w:rPr>
        <w:t xml:space="preserve">des Parties </w:t>
      </w:r>
      <w:r w:rsidR="00224AB2" w:rsidRPr="00A27D8A">
        <w:rPr>
          <w:lang w:val="fr-CA"/>
        </w:rPr>
        <w:t>souhaitera peut-être achever ses délibérations sur le budget et adopter une décision</w:t>
      </w:r>
      <w:r w:rsidR="00844429" w:rsidRPr="00A27D8A">
        <w:rPr>
          <w:lang w:val="fr-CA"/>
        </w:rPr>
        <w:t xml:space="preserve"> </w:t>
      </w:r>
      <w:r w:rsidR="00224AB2" w:rsidRPr="00A27D8A">
        <w:rPr>
          <w:lang w:val="fr-CA"/>
        </w:rPr>
        <w:t>s’inspirant de celle contenue dans l’annexe </w:t>
      </w:r>
      <w:r w:rsidR="00844429" w:rsidRPr="00A27D8A">
        <w:rPr>
          <w:lang w:val="fr-CA"/>
        </w:rPr>
        <w:t xml:space="preserve">I. </w:t>
      </w:r>
    </w:p>
    <w:p w14:paraId="2ADA4A7D" w14:textId="77777777" w:rsidR="00294386" w:rsidRPr="00A27D8A" w:rsidRDefault="00294386">
      <w:pPr>
        <w:tabs>
          <w:tab w:val="clear" w:pos="1247"/>
          <w:tab w:val="clear" w:pos="1814"/>
          <w:tab w:val="clear" w:pos="2381"/>
          <w:tab w:val="clear" w:pos="2948"/>
          <w:tab w:val="clear" w:pos="3515"/>
        </w:tabs>
        <w:rPr>
          <w:lang w:val="fr-CA"/>
        </w:rPr>
      </w:pPr>
      <w:r w:rsidRPr="00A27D8A">
        <w:rPr>
          <w:lang w:val="fr-CA"/>
        </w:rPr>
        <w:br w:type="page"/>
      </w:r>
    </w:p>
    <w:p w14:paraId="3A7E933B" w14:textId="1810D9D0" w:rsidR="00D63972" w:rsidRPr="00A27D8A" w:rsidRDefault="00D63972" w:rsidP="00040F66">
      <w:pPr>
        <w:pStyle w:val="ZZAnxheader"/>
        <w:rPr>
          <w:szCs w:val="28"/>
          <w:lang w:val="fr-CA"/>
        </w:rPr>
      </w:pPr>
      <w:r w:rsidRPr="00A27D8A">
        <w:rPr>
          <w:szCs w:val="28"/>
          <w:lang w:val="fr-CA"/>
        </w:rPr>
        <w:lastRenderedPageBreak/>
        <w:t>A</w:t>
      </w:r>
      <w:r w:rsidR="003D2303" w:rsidRPr="00A27D8A">
        <w:rPr>
          <w:szCs w:val="28"/>
          <w:lang w:val="fr-CA"/>
        </w:rPr>
        <w:t>nnexe </w:t>
      </w:r>
      <w:r w:rsidR="00657F10" w:rsidRPr="00A27D8A">
        <w:rPr>
          <w:szCs w:val="28"/>
          <w:lang w:val="fr-CA"/>
        </w:rPr>
        <w:t>I</w:t>
      </w:r>
    </w:p>
    <w:p w14:paraId="3F64DDAC" w14:textId="31CB109F" w:rsidR="00D63972" w:rsidRPr="00A27D8A" w:rsidRDefault="003D2303" w:rsidP="00040F66">
      <w:pPr>
        <w:pStyle w:val="ZZAnxtitle"/>
        <w:rPr>
          <w:lang w:val="fr-CA"/>
        </w:rPr>
      </w:pPr>
      <w:r w:rsidRPr="00A27D8A">
        <w:rPr>
          <w:lang w:val="fr-CA"/>
        </w:rPr>
        <w:t>Projet de décision </w:t>
      </w:r>
      <w:r w:rsidR="00D63972" w:rsidRPr="00A27D8A">
        <w:rPr>
          <w:lang w:val="fr-CA"/>
        </w:rPr>
        <w:t>MC-1/X</w:t>
      </w:r>
      <w:r w:rsidRPr="00A27D8A">
        <w:rPr>
          <w:lang w:val="fr-CA"/>
        </w:rPr>
        <w:t> </w:t>
      </w:r>
      <w:r w:rsidR="00D63972" w:rsidRPr="00A27D8A">
        <w:rPr>
          <w:lang w:val="fr-CA"/>
        </w:rPr>
        <w:t xml:space="preserve">: </w:t>
      </w:r>
      <w:r w:rsidR="006A5CB4" w:rsidRPr="00A27D8A">
        <w:rPr>
          <w:lang w:val="fr-CA"/>
        </w:rPr>
        <w:t>p</w:t>
      </w:r>
      <w:r w:rsidR="00D63972" w:rsidRPr="00A27D8A">
        <w:rPr>
          <w:lang w:val="fr-CA"/>
        </w:rPr>
        <w:t xml:space="preserve">rogramme </w:t>
      </w:r>
      <w:r w:rsidR="000032CE" w:rsidRPr="00A27D8A">
        <w:rPr>
          <w:lang w:val="fr-CA"/>
        </w:rPr>
        <w:t>de travail du secrétariat et </w:t>
      </w:r>
      <w:r w:rsidRPr="00A27D8A">
        <w:rPr>
          <w:lang w:val="fr-CA"/>
        </w:rPr>
        <w:t xml:space="preserve">projet de budget pour l’exercice biennal </w:t>
      </w:r>
      <w:r w:rsidR="00D63972" w:rsidRPr="00A27D8A">
        <w:rPr>
          <w:lang w:val="fr-CA"/>
        </w:rPr>
        <w:t>2018–2019</w:t>
      </w:r>
    </w:p>
    <w:p w14:paraId="538F020C" w14:textId="5F053C61" w:rsidR="005C4233" w:rsidRPr="00A27D8A" w:rsidRDefault="00DA35DD" w:rsidP="00040F66">
      <w:pPr>
        <w:spacing w:after="120"/>
        <w:ind w:left="1247" w:firstLine="624"/>
        <w:rPr>
          <w:lang w:val="fr-CA"/>
        </w:rPr>
      </w:pPr>
      <w:r w:rsidRPr="00A27D8A">
        <w:rPr>
          <w:i/>
          <w:lang w:val="fr-CA"/>
        </w:rPr>
        <w:t>La</w:t>
      </w:r>
      <w:r w:rsidR="00D63972" w:rsidRPr="00A27D8A">
        <w:rPr>
          <w:i/>
          <w:lang w:val="fr-CA"/>
        </w:rPr>
        <w:t xml:space="preserve"> Conf</w:t>
      </w:r>
      <w:r w:rsidRPr="00A27D8A">
        <w:rPr>
          <w:i/>
          <w:lang w:val="fr-CA"/>
        </w:rPr>
        <w:t>é</w:t>
      </w:r>
      <w:r w:rsidR="00D63972" w:rsidRPr="00A27D8A">
        <w:rPr>
          <w:i/>
          <w:lang w:val="fr-CA"/>
        </w:rPr>
        <w:t xml:space="preserve">rence </w:t>
      </w:r>
      <w:r w:rsidRPr="00A27D8A">
        <w:rPr>
          <w:i/>
          <w:lang w:val="fr-CA"/>
        </w:rPr>
        <w:t>des</w:t>
      </w:r>
      <w:r w:rsidR="00D63972" w:rsidRPr="00A27D8A">
        <w:rPr>
          <w:i/>
          <w:lang w:val="fr-CA"/>
        </w:rPr>
        <w:t xml:space="preserve"> Parties</w:t>
      </w:r>
      <w:r w:rsidR="00FF25E0" w:rsidRPr="00A27D8A">
        <w:rPr>
          <w:lang w:val="fr-CA"/>
        </w:rPr>
        <w:t>,</w:t>
      </w:r>
    </w:p>
    <w:p w14:paraId="1753272A" w14:textId="3B01ADCF" w:rsidR="00FF25E0" w:rsidRPr="00A27D8A" w:rsidRDefault="0080150F" w:rsidP="00040F66">
      <w:pPr>
        <w:spacing w:after="120"/>
        <w:ind w:left="1247" w:firstLine="624"/>
        <w:rPr>
          <w:lang w:val="fr-CA"/>
        </w:rPr>
      </w:pPr>
      <w:r w:rsidRPr="00A27D8A">
        <w:rPr>
          <w:i/>
          <w:iCs/>
          <w:lang w:val="fr-CA"/>
        </w:rPr>
        <w:t>Prenant</w:t>
      </w:r>
      <w:r w:rsidR="00FF25E0" w:rsidRPr="00A27D8A">
        <w:rPr>
          <w:i/>
          <w:iCs/>
          <w:lang w:val="fr-CA"/>
        </w:rPr>
        <w:t xml:space="preserve"> note</w:t>
      </w:r>
      <w:r w:rsidR="00BB1444" w:rsidRPr="00A27D8A">
        <w:rPr>
          <w:lang w:val="fr-CA"/>
        </w:rPr>
        <w:t xml:space="preserve"> </w:t>
      </w:r>
      <w:r w:rsidRPr="00A27D8A">
        <w:rPr>
          <w:lang w:val="fr-CA"/>
        </w:rPr>
        <w:t>de la décision</w:t>
      </w:r>
      <w:r w:rsidR="00BB1444" w:rsidRPr="00A27D8A">
        <w:rPr>
          <w:lang w:val="fr-CA"/>
        </w:rPr>
        <w:t xml:space="preserve"> </w:t>
      </w:r>
      <w:r w:rsidR="0079606E" w:rsidRPr="00A27D8A">
        <w:rPr>
          <w:lang w:val="fr-CA"/>
        </w:rPr>
        <w:t>relative aux dispositions</w:t>
      </w:r>
      <w:r w:rsidR="00E24103" w:rsidRPr="00A27D8A">
        <w:rPr>
          <w:lang w:val="fr-CA"/>
        </w:rPr>
        <w:t xml:space="preserve"> </w:t>
      </w:r>
      <w:r w:rsidR="00CB40E2" w:rsidRPr="00A27D8A">
        <w:rPr>
          <w:lang w:val="fr-CA"/>
        </w:rPr>
        <w:t>sur</w:t>
      </w:r>
      <w:r w:rsidR="00E24103" w:rsidRPr="00A27D8A">
        <w:rPr>
          <w:lang w:val="fr-CA"/>
        </w:rPr>
        <w:t xml:space="preserve"> le fonctionnement du secrétariat</w:t>
      </w:r>
      <w:r w:rsidR="0079606E" w:rsidRPr="00A27D8A">
        <w:rPr>
          <w:lang w:val="fr-CA"/>
        </w:rPr>
        <w:t xml:space="preserve"> et </w:t>
      </w:r>
      <w:r w:rsidR="002B4B8D" w:rsidRPr="00A27D8A">
        <w:rPr>
          <w:lang w:val="fr-CA"/>
        </w:rPr>
        <w:t>à l’implantation du secrétariat</w:t>
      </w:r>
      <w:r w:rsidR="00BB1444" w:rsidRPr="00A27D8A">
        <w:rPr>
          <w:lang w:val="fr-CA"/>
        </w:rPr>
        <w:t xml:space="preserve">, </w:t>
      </w:r>
    </w:p>
    <w:p w14:paraId="304E7BC6" w14:textId="77777777" w:rsidR="005C4233" w:rsidRPr="00A27D8A" w:rsidRDefault="005C4233" w:rsidP="005C4233">
      <w:pPr>
        <w:pStyle w:val="CH2"/>
        <w:spacing w:after="80"/>
        <w:ind w:right="0" w:firstLine="0"/>
        <w:jc w:val="center"/>
        <w:rPr>
          <w:lang w:val="fr-CA"/>
        </w:rPr>
      </w:pPr>
      <w:r w:rsidRPr="00A27D8A">
        <w:rPr>
          <w:lang w:val="fr-CA"/>
        </w:rPr>
        <w:t>I</w:t>
      </w:r>
    </w:p>
    <w:p w14:paraId="4DEF269B" w14:textId="06699FCC" w:rsidR="005C4233" w:rsidRPr="00A27D8A" w:rsidRDefault="002B4B8D" w:rsidP="00FF25E0">
      <w:pPr>
        <w:pStyle w:val="CH2"/>
        <w:spacing w:before="0"/>
        <w:ind w:right="0" w:firstLine="0"/>
        <w:jc w:val="center"/>
        <w:rPr>
          <w:lang w:val="fr-CA"/>
        </w:rPr>
      </w:pPr>
      <w:r w:rsidRPr="00A27D8A">
        <w:rPr>
          <w:lang w:val="fr-CA"/>
        </w:rPr>
        <w:t xml:space="preserve">Fonds général d’affectation spéciale </w:t>
      </w:r>
      <w:r w:rsidR="00C61322" w:rsidRPr="00A27D8A">
        <w:rPr>
          <w:lang w:val="fr-CA"/>
        </w:rPr>
        <w:t xml:space="preserve">pour </w:t>
      </w:r>
      <w:r w:rsidRPr="00A27D8A">
        <w:rPr>
          <w:lang w:val="fr-CA"/>
        </w:rPr>
        <w:t xml:space="preserve">la Convention de </w:t>
      </w:r>
      <w:r w:rsidR="00FF25E0" w:rsidRPr="00A27D8A">
        <w:rPr>
          <w:lang w:val="fr-CA"/>
        </w:rPr>
        <w:t>Minamata</w:t>
      </w:r>
      <w:r w:rsidR="005C4233" w:rsidRPr="00A27D8A">
        <w:rPr>
          <w:lang w:val="fr-CA"/>
        </w:rPr>
        <w:t xml:space="preserve"> </w:t>
      </w:r>
      <w:r w:rsidR="00A159E0" w:rsidRPr="00A27D8A">
        <w:rPr>
          <w:lang w:val="fr-CA"/>
        </w:rPr>
        <w:br/>
      </w:r>
      <w:r w:rsidRPr="00A27D8A">
        <w:rPr>
          <w:lang w:val="fr-CA"/>
        </w:rPr>
        <w:t>sur le mercure</w:t>
      </w:r>
    </w:p>
    <w:p w14:paraId="2699BDD7" w14:textId="3E1DBDB7" w:rsidR="004C769D" w:rsidRPr="00A27D8A" w:rsidRDefault="002B4B8D"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fr-CA"/>
        </w:rPr>
      </w:pPr>
      <w:r w:rsidRPr="00A27D8A">
        <w:rPr>
          <w:i/>
          <w:iCs/>
          <w:lang w:val="fr-CA"/>
        </w:rPr>
        <w:t>Prend</w:t>
      </w:r>
      <w:r w:rsidR="004C769D" w:rsidRPr="00A27D8A">
        <w:rPr>
          <w:i/>
          <w:iCs/>
          <w:lang w:val="fr-CA"/>
        </w:rPr>
        <w:t xml:space="preserve"> note </w:t>
      </w:r>
      <w:r w:rsidRPr="00A27D8A">
        <w:rPr>
          <w:lang w:val="fr-CA"/>
        </w:rPr>
        <w:t>du</w:t>
      </w:r>
      <w:r w:rsidR="004C769D" w:rsidRPr="00A27D8A">
        <w:rPr>
          <w:lang w:val="fr-CA"/>
        </w:rPr>
        <w:t xml:space="preserve"> programme</w:t>
      </w:r>
      <w:r w:rsidRPr="00A27D8A">
        <w:rPr>
          <w:lang w:val="fr-CA"/>
        </w:rPr>
        <w:t xml:space="preserve"> de travail du secrétariat pour l’exercice biennal </w:t>
      </w:r>
      <w:r w:rsidR="004C769D" w:rsidRPr="00A27D8A">
        <w:rPr>
          <w:lang w:val="fr-CA"/>
        </w:rPr>
        <w:t>2018</w:t>
      </w:r>
      <w:r w:rsidR="00BF6266" w:rsidRPr="00A27D8A">
        <w:rPr>
          <w:lang w:val="fr-CA"/>
        </w:rPr>
        <w:t>–</w:t>
      </w:r>
      <w:r w:rsidR="004C769D" w:rsidRPr="00A27D8A">
        <w:rPr>
          <w:lang w:val="fr-CA"/>
        </w:rPr>
        <w:t>2019</w:t>
      </w:r>
      <w:r w:rsidRPr="00A27D8A">
        <w:rPr>
          <w:lang w:val="fr-CA"/>
        </w:rPr>
        <w:t xml:space="preserve">, tel qu’il figure dans la note du </w:t>
      </w:r>
      <w:proofErr w:type="gramStart"/>
      <w:r w:rsidRPr="00A27D8A">
        <w:rPr>
          <w:lang w:val="fr-CA"/>
        </w:rPr>
        <w:t>secrétariat</w:t>
      </w:r>
      <w:r w:rsidR="006A5CB4" w:rsidRPr="00A27D8A">
        <w:rPr>
          <w:lang w:val="fr-CA"/>
        </w:rPr>
        <w:t>;</w:t>
      </w:r>
      <w:proofErr w:type="gramEnd"/>
    </w:p>
    <w:p w14:paraId="4A93740B" w14:textId="33FF4385" w:rsidR="004908C1" w:rsidRPr="00A27D8A" w:rsidRDefault="004C769D"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fr-CA"/>
        </w:rPr>
      </w:pPr>
      <w:r w:rsidRPr="00A27D8A">
        <w:rPr>
          <w:i/>
          <w:iCs/>
          <w:lang w:val="fr-CA"/>
        </w:rPr>
        <w:t>A</w:t>
      </w:r>
      <w:r w:rsidR="004908C1" w:rsidRPr="00A27D8A">
        <w:rPr>
          <w:i/>
          <w:iCs/>
          <w:lang w:val="fr-CA"/>
        </w:rPr>
        <w:t>ppro</w:t>
      </w:r>
      <w:r w:rsidR="002B4B8D" w:rsidRPr="00A27D8A">
        <w:rPr>
          <w:i/>
          <w:iCs/>
          <w:lang w:val="fr-CA"/>
        </w:rPr>
        <w:t>uve</w:t>
      </w:r>
      <w:r w:rsidR="004908C1" w:rsidRPr="00A27D8A">
        <w:rPr>
          <w:i/>
          <w:iCs/>
          <w:lang w:val="fr-CA"/>
        </w:rPr>
        <w:t xml:space="preserve"> </w:t>
      </w:r>
      <w:r w:rsidR="002B4B8D" w:rsidRPr="00A27D8A">
        <w:rPr>
          <w:iCs/>
          <w:lang w:val="fr-CA"/>
        </w:rPr>
        <w:t xml:space="preserve">le budget-programme de la Convention de </w:t>
      </w:r>
      <w:r w:rsidR="004908C1" w:rsidRPr="00A27D8A">
        <w:rPr>
          <w:iCs/>
          <w:lang w:val="fr-CA"/>
        </w:rPr>
        <w:t xml:space="preserve">Minamata </w:t>
      </w:r>
      <w:r w:rsidR="002B4B8D" w:rsidRPr="00A27D8A">
        <w:rPr>
          <w:iCs/>
          <w:lang w:val="fr-CA"/>
        </w:rPr>
        <w:t>pour l’exercice biennal</w:t>
      </w:r>
      <w:r w:rsidR="003552BB">
        <w:rPr>
          <w:iCs/>
          <w:lang w:val="fr-CA"/>
        </w:rPr>
        <w:t> </w:t>
      </w:r>
      <w:r w:rsidR="004908C1" w:rsidRPr="00A27D8A">
        <w:rPr>
          <w:iCs/>
          <w:lang w:val="fr-CA"/>
        </w:rPr>
        <w:t>2018</w:t>
      </w:r>
      <w:r w:rsidR="00BF6266" w:rsidRPr="00A27D8A">
        <w:rPr>
          <w:iCs/>
          <w:lang w:val="fr-CA"/>
        </w:rPr>
        <w:t>–</w:t>
      </w:r>
      <w:r w:rsidR="004908C1" w:rsidRPr="00A27D8A">
        <w:rPr>
          <w:iCs/>
          <w:lang w:val="fr-CA"/>
        </w:rPr>
        <w:t xml:space="preserve">2019 </w:t>
      </w:r>
      <w:r w:rsidR="00C61322" w:rsidRPr="00A27D8A">
        <w:rPr>
          <w:iCs/>
          <w:lang w:val="fr-CA"/>
        </w:rPr>
        <w:t xml:space="preserve">d’un montant </w:t>
      </w:r>
      <w:r w:rsidR="002B4B8D" w:rsidRPr="00A27D8A">
        <w:rPr>
          <w:iCs/>
          <w:lang w:val="fr-CA"/>
        </w:rPr>
        <w:t>de</w:t>
      </w:r>
      <w:r w:rsidR="004908C1" w:rsidRPr="00A27D8A">
        <w:rPr>
          <w:lang w:val="fr-CA"/>
        </w:rPr>
        <w:t xml:space="preserve"> </w:t>
      </w:r>
      <w:proofErr w:type="gramStart"/>
      <w:r w:rsidR="004908C1" w:rsidRPr="00A27D8A">
        <w:rPr>
          <w:lang w:val="fr-CA"/>
        </w:rPr>
        <w:t xml:space="preserve">[  </w:t>
      </w:r>
      <w:proofErr w:type="gramEnd"/>
      <w:r w:rsidR="004908C1" w:rsidRPr="00A27D8A">
        <w:rPr>
          <w:lang w:val="fr-CA"/>
        </w:rPr>
        <w:t xml:space="preserve"> ] </w:t>
      </w:r>
      <w:r w:rsidR="002B4B8D" w:rsidRPr="00A27D8A">
        <w:rPr>
          <w:lang w:val="fr-CA"/>
        </w:rPr>
        <w:t>dollars pour</w:t>
      </w:r>
      <w:r w:rsidR="004908C1" w:rsidRPr="00A27D8A">
        <w:rPr>
          <w:lang w:val="fr-CA"/>
        </w:rPr>
        <w:t xml:space="preserve"> 2018 </w:t>
      </w:r>
      <w:r w:rsidR="002B4B8D" w:rsidRPr="00A27D8A">
        <w:rPr>
          <w:lang w:val="fr-CA"/>
        </w:rPr>
        <w:t>et de</w:t>
      </w:r>
      <w:r w:rsidR="004908C1" w:rsidRPr="00A27D8A">
        <w:rPr>
          <w:lang w:val="fr-CA"/>
        </w:rPr>
        <w:t xml:space="preserve"> [   ] </w:t>
      </w:r>
      <w:r w:rsidR="002B4B8D" w:rsidRPr="00A27D8A">
        <w:rPr>
          <w:lang w:val="fr-CA"/>
        </w:rPr>
        <w:t>dollars pour</w:t>
      </w:r>
      <w:r w:rsidR="004908C1" w:rsidRPr="00A27D8A">
        <w:rPr>
          <w:lang w:val="fr-CA"/>
        </w:rPr>
        <w:t xml:space="preserve"> 2019 </w:t>
      </w:r>
      <w:r w:rsidR="002B4B8D" w:rsidRPr="00A27D8A">
        <w:rPr>
          <w:lang w:val="fr-CA"/>
        </w:rPr>
        <w:t>aux fins énoncées au tableau</w:t>
      </w:r>
      <w:r w:rsidR="006B3928" w:rsidRPr="00A27D8A">
        <w:rPr>
          <w:lang w:val="fr-CA"/>
        </w:rPr>
        <w:t xml:space="preserve"> </w:t>
      </w:r>
      <w:r w:rsidR="004908C1" w:rsidRPr="00A27D8A">
        <w:rPr>
          <w:lang w:val="fr-CA"/>
        </w:rPr>
        <w:t xml:space="preserve">[   ] </w:t>
      </w:r>
      <w:r w:rsidR="002B4B8D" w:rsidRPr="00A27D8A">
        <w:rPr>
          <w:lang w:val="fr-CA"/>
        </w:rPr>
        <w:t>de la présente décision</w:t>
      </w:r>
      <w:r w:rsidR="006A5CB4" w:rsidRPr="00A27D8A">
        <w:rPr>
          <w:lang w:val="fr-CA"/>
        </w:rPr>
        <w:t>;</w:t>
      </w:r>
    </w:p>
    <w:p w14:paraId="413AD8C3" w14:textId="000C02A1" w:rsidR="004908C1" w:rsidRPr="00A27D8A" w:rsidRDefault="002B4B8D"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fr-CA"/>
        </w:rPr>
      </w:pPr>
      <w:r w:rsidRPr="00A27D8A">
        <w:rPr>
          <w:i/>
          <w:iCs/>
          <w:lang w:val="fr-CA"/>
        </w:rPr>
        <w:t>Aut</w:t>
      </w:r>
      <w:r w:rsidR="004908C1" w:rsidRPr="00A27D8A">
        <w:rPr>
          <w:i/>
          <w:iCs/>
          <w:lang w:val="fr-CA"/>
        </w:rPr>
        <w:t>ori</w:t>
      </w:r>
      <w:r w:rsidRPr="00A27D8A">
        <w:rPr>
          <w:i/>
          <w:iCs/>
          <w:lang w:val="fr-CA"/>
        </w:rPr>
        <w:t>se</w:t>
      </w:r>
      <w:r w:rsidR="004908C1" w:rsidRPr="00A27D8A">
        <w:rPr>
          <w:i/>
          <w:iCs/>
          <w:lang w:val="fr-CA"/>
        </w:rPr>
        <w:t xml:space="preserve"> </w:t>
      </w:r>
      <w:r w:rsidRPr="00A27D8A">
        <w:rPr>
          <w:lang w:val="fr-CA"/>
        </w:rPr>
        <w:t xml:space="preserve">le Secrétaire exécutif de la Convention de </w:t>
      </w:r>
      <w:r w:rsidR="004908C1" w:rsidRPr="00A27D8A">
        <w:rPr>
          <w:lang w:val="fr-CA"/>
        </w:rPr>
        <w:t xml:space="preserve">Minamata </w:t>
      </w:r>
      <w:r w:rsidRPr="00A27D8A">
        <w:rPr>
          <w:lang w:val="fr-CA"/>
        </w:rPr>
        <w:t xml:space="preserve">à engager des dépenses à hauteur du montant approuvé pour le budget opérationnel, en prélevant sur les liquidités </w:t>
      </w:r>
      <w:proofErr w:type="gramStart"/>
      <w:r w:rsidRPr="00A27D8A">
        <w:rPr>
          <w:lang w:val="fr-CA"/>
        </w:rPr>
        <w:t>disponibles</w:t>
      </w:r>
      <w:r w:rsidR="006A5CB4" w:rsidRPr="00A27D8A">
        <w:rPr>
          <w:lang w:val="fr-CA"/>
        </w:rPr>
        <w:t>;</w:t>
      </w:r>
      <w:proofErr w:type="gramEnd"/>
    </w:p>
    <w:p w14:paraId="7BB0C495" w14:textId="4E75B182" w:rsidR="004908C1" w:rsidRPr="00A27D8A" w:rsidRDefault="004908C1"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fr-CA"/>
        </w:rPr>
      </w:pPr>
      <w:r w:rsidRPr="00A27D8A">
        <w:rPr>
          <w:i/>
          <w:iCs/>
          <w:lang w:val="fr-CA"/>
        </w:rPr>
        <w:t>D</w:t>
      </w:r>
      <w:r w:rsidR="006C359B" w:rsidRPr="00A27D8A">
        <w:rPr>
          <w:i/>
          <w:iCs/>
          <w:lang w:val="fr-CA"/>
        </w:rPr>
        <w:t>écide</w:t>
      </w:r>
      <w:r w:rsidRPr="00A27D8A">
        <w:rPr>
          <w:lang w:val="fr-CA"/>
        </w:rPr>
        <w:t xml:space="preserve"> </w:t>
      </w:r>
      <w:r w:rsidR="006C359B" w:rsidRPr="00A27D8A">
        <w:rPr>
          <w:lang w:val="fr-CA"/>
        </w:rPr>
        <w:t xml:space="preserve">de commencer à constituer la réserve opérationnelle devant atteindre, avant </w:t>
      </w:r>
      <w:proofErr w:type="gramStart"/>
      <w:r w:rsidR="006C359B" w:rsidRPr="00A27D8A">
        <w:rPr>
          <w:lang w:val="fr-CA"/>
        </w:rPr>
        <w:t>[</w:t>
      </w:r>
      <w:r w:rsidR="00EA3C72" w:rsidRPr="00A27D8A">
        <w:rPr>
          <w:lang w:val="fr-CA"/>
        </w:rPr>
        <w:t>  </w:t>
      </w:r>
      <w:r w:rsidR="006C359B" w:rsidRPr="00A27D8A">
        <w:rPr>
          <w:lang w:val="fr-CA"/>
        </w:rPr>
        <w:t>]</w:t>
      </w:r>
      <w:proofErr w:type="gramEnd"/>
      <w:r w:rsidR="006C359B" w:rsidRPr="00A27D8A">
        <w:rPr>
          <w:lang w:val="fr-CA"/>
        </w:rPr>
        <w:t>, 15 %</w:t>
      </w:r>
      <w:r w:rsidRPr="00A27D8A">
        <w:rPr>
          <w:lang w:val="fr-CA"/>
        </w:rPr>
        <w:t xml:space="preserve"> </w:t>
      </w:r>
      <w:r w:rsidR="006C359B" w:rsidRPr="00A27D8A">
        <w:rPr>
          <w:lang w:val="fr-CA"/>
        </w:rPr>
        <w:t>de la moyenne annuelle d’un budget opérationnel biennal et de fixer à [   ] l’objectif pour l’exercice biennal 2018-2019</w:t>
      </w:r>
      <w:r w:rsidR="006A5CB4" w:rsidRPr="00A27D8A">
        <w:rPr>
          <w:lang w:val="fr-CA"/>
        </w:rPr>
        <w:t>;</w:t>
      </w:r>
    </w:p>
    <w:p w14:paraId="2BF3C734" w14:textId="51450325" w:rsidR="004908C1" w:rsidRPr="00A27D8A" w:rsidRDefault="004908C1"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fr-CA"/>
        </w:rPr>
      </w:pPr>
      <w:r w:rsidRPr="00A27D8A">
        <w:rPr>
          <w:lang w:val="fr-CA"/>
        </w:rPr>
        <w:t>[</w:t>
      </w:r>
      <w:r w:rsidR="006C359B" w:rsidRPr="00A27D8A">
        <w:rPr>
          <w:i/>
          <w:lang w:val="fr-CA"/>
        </w:rPr>
        <w:t>Se félicite</w:t>
      </w:r>
      <w:r w:rsidRPr="00A27D8A">
        <w:rPr>
          <w:lang w:val="fr-CA"/>
        </w:rPr>
        <w:t xml:space="preserve"> </w:t>
      </w:r>
      <w:r w:rsidR="006C359B" w:rsidRPr="00A27D8A">
        <w:rPr>
          <w:lang w:val="fr-CA"/>
        </w:rPr>
        <w:t>de la</w:t>
      </w:r>
      <w:r w:rsidR="004C769D" w:rsidRPr="00A27D8A">
        <w:rPr>
          <w:lang w:val="fr-CA"/>
        </w:rPr>
        <w:t xml:space="preserve"> </w:t>
      </w:r>
      <w:r w:rsidRPr="00A27D8A">
        <w:rPr>
          <w:lang w:val="fr-CA"/>
        </w:rPr>
        <w:t>contribution</w:t>
      </w:r>
      <w:r w:rsidR="006C359B" w:rsidRPr="00A27D8A">
        <w:rPr>
          <w:lang w:val="fr-CA"/>
        </w:rPr>
        <w:t xml:space="preserve"> annuelle </w:t>
      </w:r>
      <w:r w:rsidR="00066F75" w:rsidRPr="00A27D8A">
        <w:rPr>
          <w:lang w:val="fr-CA"/>
        </w:rPr>
        <w:t xml:space="preserve">de </w:t>
      </w:r>
      <w:proofErr w:type="gramStart"/>
      <w:r w:rsidR="00066F75" w:rsidRPr="00A27D8A">
        <w:rPr>
          <w:lang w:val="fr-CA"/>
        </w:rPr>
        <w:t xml:space="preserve">[  </w:t>
      </w:r>
      <w:proofErr w:type="gramEnd"/>
      <w:r w:rsidR="00066F75" w:rsidRPr="00A27D8A">
        <w:rPr>
          <w:lang w:val="fr-CA"/>
        </w:rPr>
        <w:t xml:space="preserve"> ] </w:t>
      </w:r>
      <w:r w:rsidR="002B31E6">
        <w:rPr>
          <w:lang w:val="fr-CA"/>
        </w:rPr>
        <w:t>faite par</w:t>
      </w:r>
      <w:r w:rsidR="006C359B" w:rsidRPr="00A27D8A">
        <w:rPr>
          <w:lang w:val="fr-CA"/>
        </w:rPr>
        <w:t xml:space="preserve"> la Suisse, le pays hôte du secrétariat</w:t>
      </w:r>
      <w:r w:rsidRPr="00A27D8A">
        <w:rPr>
          <w:lang w:val="fr-CA"/>
        </w:rPr>
        <w:t xml:space="preserve">, </w:t>
      </w:r>
      <w:r w:rsidR="00066F75">
        <w:rPr>
          <w:lang w:val="fr-CA"/>
        </w:rPr>
        <w:t>au</w:t>
      </w:r>
      <w:r w:rsidRPr="00A27D8A">
        <w:rPr>
          <w:lang w:val="fr-CA"/>
        </w:rPr>
        <w:t xml:space="preserve"> [</w:t>
      </w:r>
      <w:r w:rsidR="003552BB">
        <w:rPr>
          <w:lang w:val="fr-CA"/>
        </w:rPr>
        <w:t>   </w:t>
      </w:r>
      <w:r w:rsidRPr="00A27D8A">
        <w:rPr>
          <w:lang w:val="fr-CA"/>
        </w:rPr>
        <w:t>];</w:t>
      </w:r>
      <w:r w:rsidR="00BF6266" w:rsidRPr="00A27D8A">
        <w:rPr>
          <w:lang w:val="fr-CA"/>
        </w:rPr>
        <w:t>]</w:t>
      </w:r>
    </w:p>
    <w:p w14:paraId="422DCE29" w14:textId="62BF5EFC" w:rsidR="004908C1" w:rsidRPr="00A27D8A" w:rsidRDefault="004908C1"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Cs/>
          <w:lang w:val="fr-CA"/>
        </w:rPr>
      </w:pPr>
      <w:r w:rsidRPr="00A27D8A">
        <w:rPr>
          <w:lang w:val="fr-CA"/>
        </w:rPr>
        <w:t>[</w:t>
      </w:r>
      <w:r w:rsidR="00BE3B3A" w:rsidRPr="00A27D8A">
        <w:rPr>
          <w:i/>
          <w:iCs/>
          <w:lang w:val="fr-CA"/>
        </w:rPr>
        <w:t>Note</w:t>
      </w:r>
      <w:r w:rsidRPr="00A27D8A">
        <w:rPr>
          <w:iCs/>
          <w:lang w:val="fr-CA"/>
        </w:rPr>
        <w:t xml:space="preserve"> </w:t>
      </w:r>
      <w:r w:rsidR="00BE3B3A" w:rsidRPr="00A27D8A">
        <w:rPr>
          <w:iCs/>
          <w:lang w:val="fr-CA"/>
        </w:rPr>
        <w:t xml:space="preserve">qu’en 2018, 2019 et par la suite, </w:t>
      </w:r>
      <w:proofErr w:type="gramStart"/>
      <w:r w:rsidR="00BE3B3A" w:rsidRPr="00A27D8A">
        <w:rPr>
          <w:iCs/>
          <w:lang w:val="fr-CA"/>
        </w:rPr>
        <w:t xml:space="preserve">[  </w:t>
      </w:r>
      <w:proofErr w:type="gramEnd"/>
      <w:r w:rsidR="00BE3B3A" w:rsidRPr="00A27D8A">
        <w:rPr>
          <w:iCs/>
          <w:lang w:val="fr-CA"/>
        </w:rPr>
        <w:t xml:space="preserve"> ] de la contribution versée par la Suisse en tant que pays hôte</w:t>
      </w:r>
      <w:r w:rsidRPr="00A27D8A">
        <w:rPr>
          <w:iCs/>
          <w:lang w:val="fr-CA"/>
        </w:rPr>
        <w:t xml:space="preserve"> </w:t>
      </w:r>
      <w:r w:rsidR="00BE3B3A" w:rsidRPr="00A27D8A">
        <w:rPr>
          <w:iCs/>
          <w:lang w:val="fr-CA"/>
        </w:rPr>
        <w:t>ser</w:t>
      </w:r>
      <w:r w:rsidR="0051786A" w:rsidRPr="00A27D8A">
        <w:rPr>
          <w:iCs/>
          <w:lang w:val="fr-CA"/>
        </w:rPr>
        <w:t>ont affectés</w:t>
      </w:r>
      <w:r w:rsidR="00BE3B3A" w:rsidRPr="00A27D8A">
        <w:rPr>
          <w:iCs/>
          <w:lang w:val="fr-CA"/>
        </w:rPr>
        <w:t xml:space="preserve"> au Fonds général d’affectation spéciale et </w:t>
      </w:r>
      <w:bookmarkStart w:id="13" w:name="_Hlk489953584"/>
      <w:r w:rsidRPr="00A27D8A">
        <w:rPr>
          <w:lang w:val="fr-CA"/>
        </w:rPr>
        <w:t>[   ]</w:t>
      </w:r>
      <w:bookmarkEnd w:id="13"/>
      <w:r w:rsidRPr="00A27D8A">
        <w:rPr>
          <w:lang w:val="fr-CA"/>
        </w:rPr>
        <w:t xml:space="preserve"> </w:t>
      </w:r>
      <w:r w:rsidR="00BE3B3A" w:rsidRPr="00A27D8A">
        <w:rPr>
          <w:iCs/>
          <w:lang w:val="fr-CA"/>
        </w:rPr>
        <w:t>au Fonds d’affectation spéciale de contributions volontaires</w:t>
      </w:r>
      <w:r w:rsidRPr="00A27D8A">
        <w:rPr>
          <w:iCs/>
          <w:lang w:val="fr-CA"/>
        </w:rPr>
        <w:t>;</w:t>
      </w:r>
      <w:r w:rsidR="00BF6266" w:rsidRPr="00A27D8A">
        <w:rPr>
          <w:iCs/>
          <w:lang w:val="fr-CA"/>
        </w:rPr>
        <w:t>]</w:t>
      </w:r>
    </w:p>
    <w:p w14:paraId="34DC61D0" w14:textId="55C8DA22" w:rsidR="004908C1" w:rsidRPr="00A27D8A" w:rsidRDefault="004908C1"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Cs/>
          <w:lang w:val="fr-CA"/>
        </w:rPr>
      </w:pPr>
      <w:r w:rsidRPr="00A27D8A">
        <w:rPr>
          <w:i/>
          <w:lang w:val="fr-CA"/>
        </w:rPr>
        <w:t>Adopt</w:t>
      </w:r>
      <w:r w:rsidR="00BE3B3A" w:rsidRPr="00A27D8A">
        <w:rPr>
          <w:i/>
          <w:lang w:val="fr-CA"/>
        </w:rPr>
        <w:t>e</w:t>
      </w:r>
      <w:r w:rsidRPr="00A27D8A">
        <w:rPr>
          <w:i/>
          <w:lang w:val="fr-CA"/>
        </w:rPr>
        <w:t xml:space="preserve"> </w:t>
      </w:r>
      <w:r w:rsidR="001F074F" w:rsidRPr="00A27D8A">
        <w:rPr>
          <w:lang w:val="fr-CA"/>
        </w:rPr>
        <w:t>le barème indicatif des quotes-parts pour la répartition des dépenses de</w:t>
      </w:r>
      <w:r w:rsidR="003552BB">
        <w:rPr>
          <w:lang w:val="fr-CA"/>
        </w:rPr>
        <w:t> </w:t>
      </w:r>
      <w:r w:rsidR="001F074F" w:rsidRPr="00A27D8A">
        <w:rPr>
          <w:lang w:val="fr-CA"/>
        </w:rPr>
        <w:t xml:space="preserve">l’exercice biennal 2018-2019 figurant au tableau </w:t>
      </w:r>
      <w:proofErr w:type="gramStart"/>
      <w:r w:rsidR="001F074F" w:rsidRPr="00A27D8A">
        <w:rPr>
          <w:lang w:val="fr-CA"/>
        </w:rPr>
        <w:t>[</w:t>
      </w:r>
      <w:r w:rsidR="003552BB">
        <w:rPr>
          <w:lang w:val="fr-CA"/>
        </w:rPr>
        <w:t>  </w:t>
      </w:r>
      <w:proofErr w:type="gramEnd"/>
      <w:r w:rsidR="003552BB">
        <w:rPr>
          <w:lang w:val="fr-CA"/>
        </w:rPr>
        <w:t> </w:t>
      </w:r>
      <w:r w:rsidR="001F074F" w:rsidRPr="00A27D8A">
        <w:rPr>
          <w:lang w:val="fr-CA"/>
        </w:rPr>
        <w:t>] de la présente décision et autorise le</w:t>
      </w:r>
      <w:r w:rsidR="003552BB">
        <w:rPr>
          <w:lang w:val="fr-CA"/>
        </w:rPr>
        <w:t> </w:t>
      </w:r>
      <w:r w:rsidR="001F074F" w:rsidRPr="00A27D8A">
        <w:rPr>
          <w:lang w:val="fr-CA"/>
        </w:rPr>
        <w:t>Secrétaire exécutif, conformément au Règlement financier et aux Règles de gestion financière en vigueur à l’ONU, à ajuster ce barème pour y inclure toutes les Parties pour lesquelles la Convention</w:t>
      </w:r>
      <w:r w:rsidR="008639E2" w:rsidRPr="00A27D8A">
        <w:rPr>
          <w:lang w:val="fr-CA"/>
        </w:rPr>
        <w:t xml:space="preserve"> entrera en vigueur avant le 1</w:t>
      </w:r>
      <w:r w:rsidR="008639E2" w:rsidRPr="00A27D8A">
        <w:rPr>
          <w:vertAlign w:val="superscript"/>
          <w:lang w:val="fr-CA"/>
        </w:rPr>
        <w:t>er</w:t>
      </w:r>
      <w:r w:rsidR="008639E2" w:rsidRPr="00A27D8A">
        <w:rPr>
          <w:lang w:val="fr-CA"/>
        </w:rPr>
        <w:t> janvier 2018 pour 2018 et avant le 1</w:t>
      </w:r>
      <w:r w:rsidR="008639E2" w:rsidRPr="00A27D8A">
        <w:rPr>
          <w:vertAlign w:val="superscript"/>
          <w:lang w:val="fr-CA"/>
        </w:rPr>
        <w:t>er</w:t>
      </w:r>
      <w:r w:rsidR="008639E2" w:rsidRPr="00A27D8A">
        <w:rPr>
          <w:lang w:val="fr-CA"/>
        </w:rPr>
        <w:t> </w:t>
      </w:r>
      <w:r w:rsidR="001F074F" w:rsidRPr="00A27D8A">
        <w:rPr>
          <w:lang w:val="fr-CA"/>
        </w:rPr>
        <w:t>janvier 2019 pour 2019</w:t>
      </w:r>
      <w:r w:rsidR="006A5CB4" w:rsidRPr="00A27D8A">
        <w:rPr>
          <w:lang w:val="fr-CA"/>
        </w:rPr>
        <w:t>;</w:t>
      </w:r>
    </w:p>
    <w:p w14:paraId="755A8E94" w14:textId="545884A3" w:rsidR="004908C1" w:rsidRPr="00A27D8A" w:rsidRDefault="008639E2"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Cs/>
          <w:lang w:val="fr-CA"/>
        </w:rPr>
      </w:pPr>
      <w:r w:rsidRPr="00A27D8A">
        <w:rPr>
          <w:i/>
          <w:lang w:val="fr-CA"/>
        </w:rPr>
        <w:t>Rappelle</w:t>
      </w:r>
      <w:r w:rsidR="004908C1" w:rsidRPr="00A27D8A">
        <w:rPr>
          <w:iCs/>
          <w:lang w:val="fr-CA"/>
        </w:rPr>
        <w:t xml:space="preserve"> </w:t>
      </w:r>
      <w:r w:rsidRPr="00A27D8A">
        <w:rPr>
          <w:lang w:val="fr-CA"/>
        </w:rPr>
        <w:t>que les contributions au Fonds d’affectation spéciale pour la Convention de Minamata sont dues le 1</w:t>
      </w:r>
      <w:r w:rsidRPr="00A27D8A">
        <w:rPr>
          <w:vertAlign w:val="superscript"/>
          <w:lang w:val="fr-CA"/>
        </w:rPr>
        <w:t>er</w:t>
      </w:r>
      <w:r w:rsidRPr="00A27D8A">
        <w:rPr>
          <w:lang w:val="fr-CA"/>
        </w:rPr>
        <w:t> janvier de l’année pour laquelle ces contributions ont été budgétisées</w:t>
      </w:r>
      <w:r w:rsidR="004908C1" w:rsidRPr="00A27D8A">
        <w:rPr>
          <w:lang w:val="fr-CA"/>
        </w:rPr>
        <w:t>,</w:t>
      </w:r>
      <w:r w:rsidRPr="00A27D8A">
        <w:rPr>
          <w:lang w:val="fr-CA"/>
        </w:rPr>
        <w:t xml:space="preserve"> et</w:t>
      </w:r>
      <w:r w:rsidR="004908C1" w:rsidRPr="00A27D8A">
        <w:rPr>
          <w:lang w:val="fr-CA"/>
        </w:rPr>
        <w:t xml:space="preserve"> </w:t>
      </w:r>
      <w:r w:rsidRPr="00A27D8A">
        <w:rPr>
          <w:lang w:val="fr-CA"/>
        </w:rPr>
        <w:t>prie les Parties de payer promptement leurs contributions</w:t>
      </w:r>
      <w:r w:rsidR="00EF6FB9" w:rsidRPr="00A27D8A">
        <w:rPr>
          <w:lang w:val="fr-CA"/>
        </w:rPr>
        <w:t xml:space="preserve"> afin de permettre au secrétariat de commencer ses travaux </w:t>
      </w:r>
      <w:proofErr w:type="gramStart"/>
      <w:r w:rsidR="00EF6FB9" w:rsidRPr="00A27D8A">
        <w:rPr>
          <w:lang w:val="fr-CA"/>
        </w:rPr>
        <w:t>immédiatement</w:t>
      </w:r>
      <w:r w:rsidR="006A5CB4" w:rsidRPr="00A27D8A">
        <w:rPr>
          <w:lang w:val="fr-CA"/>
        </w:rPr>
        <w:t>;</w:t>
      </w:r>
      <w:proofErr w:type="gramEnd"/>
    </w:p>
    <w:p w14:paraId="58B4B2D1" w14:textId="046BED9E" w:rsidR="00BB1444" w:rsidRPr="003552BB" w:rsidRDefault="004C769D" w:rsidP="00BF6F05">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
          <w:lang w:val="fr-CA"/>
        </w:rPr>
      </w:pPr>
      <w:r w:rsidRPr="003552BB">
        <w:rPr>
          <w:i/>
          <w:lang w:val="fr-CA"/>
        </w:rPr>
        <w:t>Appro</w:t>
      </w:r>
      <w:r w:rsidR="00EF6FB9" w:rsidRPr="003552BB">
        <w:rPr>
          <w:i/>
          <w:lang w:val="fr-CA"/>
        </w:rPr>
        <w:t>uve</w:t>
      </w:r>
      <w:r w:rsidR="00BB1444" w:rsidRPr="003552BB">
        <w:rPr>
          <w:lang w:val="fr-CA"/>
        </w:rPr>
        <w:t xml:space="preserve"> </w:t>
      </w:r>
      <w:r w:rsidR="00EF6FB9" w:rsidRPr="003552BB">
        <w:rPr>
          <w:lang w:val="fr-CA"/>
        </w:rPr>
        <w:t>le</w:t>
      </w:r>
      <w:r w:rsidR="00BB1444" w:rsidRPr="003552BB">
        <w:rPr>
          <w:lang w:val="fr-CA"/>
        </w:rPr>
        <w:t xml:space="preserve"> </w:t>
      </w:r>
      <w:r w:rsidR="00EF6FB9" w:rsidRPr="003552BB">
        <w:rPr>
          <w:lang w:val="fr-CA"/>
        </w:rPr>
        <w:t>tableau indicatif des effectifs du secr</w:t>
      </w:r>
      <w:r w:rsidR="00DB4DEA" w:rsidRPr="003552BB">
        <w:rPr>
          <w:lang w:val="fr-CA"/>
        </w:rPr>
        <w:t xml:space="preserve">étariat pour l’exercice </w:t>
      </w:r>
      <w:r w:rsidR="003552BB">
        <w:rPr>
          <w:lang w:val="fr-CA"/>
        </w:rPr>
        <w:br/>
      </w:r>
      <w:r w:rsidR="00DB4DEA" w:rsidRPr="003552BB">
        <w:rPr>
          <w:lang w:val="fr-CA"/>
        </w:rPr>
        <w:t>biennal</w:t>
      </w:r>
      <w:r w:rsidR="003552BB" w:rsidRPr="003552BB">
        <w:rPr>
          <w:lang w:val="fr-CA"/>
        </w:rPr>
        <w:t> </w:t>
      </w:r>
      <w:r w:rsidR="00EF6FB9" w:rsidRPr="003552BB">
        <w:rPr>
          <w:lang w:val="fr-CA"/>
        </w:rPr>
        <w:t xml:space="preserve">2018-2019 utilisé pour le calcul des coûts qui ont servi à l’élaboration du budget global figurant au tableau </w:t>
      </w:r>
      <w:proofErr w:type="gramStart"/>
      <w:r w:rsidR="00EF6FB9" w:rsidRPr="003552BB">
        <w:rPr>
          <w:lang w:val="fr-CA"/>
        </w:rPr>
        <w:t>[</w:t>
      </w:r>
      <w:r w:rsidR="003552BB">
        <w:rPr>
          <w:lang w:val="fr-CA"/>
        </w:rPr>
        <w:t>  </w:t>
      </w:r>
      <w:proofErr w:type="gramEnd"/>
      <w:r w:rsidR="003552BB">
        <w:rPr>
          <w:lang w:val="fr-CA"/>
        </w:rPr>
        <w:t> </w:t>
      </w:r>
      <w:r w:rsidR="00EF6FB9" w:rsidRPr="003552BB">
        <w:rPr>
          <w:lang w:val="fr-CA"/>
        </w:rPr>
        <w:t>] de la présente décision</w:t>
      </w:r>
      <w:r w:rsidR="00BB1444" w:rsidRPr="003552BB">
        <w:rPr>
          <w:lang w:val="fr-CA"/>
        </w:rPr>
        <w:t>;</w:t>
      </w:r>
    </w:p>
    <w:p w14:paraId="73442E76" w14:textId="77777777" w:rsidR="005C4233" w:rsidRPr="00A27D8A" w:rsidRDefault="005C4233" w:rsidP="005C4233">
      <w:pPr>
        <w:pStyle w:val="CH2"/>
        <w:spacing w:after="80"/>
        <w:ind w:right="0" w:firstLine="0"/>
        <w:jc w:val="center"/>
        <w:rPr>
          <w:lang w:val="fr-CA"/>
        </w:rPr>
      </w:pPr>
      <w:r w:rsidRPr="00A27D8A">
        <w:rPr>
          <w:lang w:val="fr-CA"/>
        </w:rPr>
        <w:t>II</w:t>
      </w:r>
    </w:p>
    <w:p w14:paraId="19B75F9A" w14:textId="56F53199" w:rsidR="005C4233" w:rsidRPr="00A27D8A" w:rsidRDefault="00EF6FB9" w:rsidP="00365888">
      <w:pPr>
        <w:pStyle w:val="CH2"/>
        <w:spacing w:before="0"/>
        <w:ind w:right="0" w:firstLine="0"/>
        <w:jc w:val="center"/>
        <w:rPr>
          <w:lang w:val="fr-CA"/>
        </w:rPr>
      </w:pPr>
      <w:r w:rsidRPr="00A27D8A">
        <w:rPr>
          <w:lang w:val="fr-CA"/>
        </w:rPr>
        <w:t>Fonds d’affectation spéciale pour la Convention de</w:t>
      </w:r>
      <w:r w:rsidR="00365888" w:rsidRPr="00A27D8A">
        <w:rPr>
          <w:lang w:val="fr-CA"/>
        </w:rPr>
        <w:t xml:space="preserve"> Minamata</w:t>
      </w:r>
      <w:r w:rsidR="005C4233" w:rsidRPr="00A27D8A">
        <w:rPr>
          <w:lang w:val="fr-CA"/>
        </w:rPr>
        <w:t xml:space="preserve"> </w:t>
      </w:r>
    </w:p>
    <w:p w14:paraId="2ADB5ECE" w14:textId="37C64338" w:rsidR="005C4233" w:rsidRPr="00A27D8A" w:rsidRDefault="00EF6FB9"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fr-CA"/>
        </w:rPr>
      </w:pPr>
      <w:r w:rsidRPr="00A27D8A">
        <w:rPr>
          <w:i/>
          <w:lang w:val="fr-CA"/>
        </w:rPr>
        <w:t>Approuve</w:t>
      </w:r>
      <w:r w:rsidR="005C4233" w:rsidRPr="00A27D8A">
        <w:rPr>
          <w:lang w:val="fr-CA"/>
        </w:rPr>
        <w:t xml:space="preserve"> </w:t>
      </w:r>
      <w:r w:rsidRPr="00A27D8A">
        <w:rPr>
          <w:lang w:val="fr-CA"/>
        </w:rPr>
        <w:t>le</w:t>
      </w:r>
      <w:r w:rsidR="005C4233" w:rsidRPr="00A27D8A">
        <w:rPr>
          <w:lang w:val="fr-CA"/>
        </w:rPr>
        <w:t xml:space="preserve"> </w:t>
      </w:r>
      <w:r w:rsidRPr="00A27D8A">
        <w:rPr>
          <w:lang w:val="fr-CA"/>
        </w:rPr>
        <w:t xml:space="preserve">montant estimatif des </w:t>
      </w:r>
      <w:r w:rsidR="00671DA8" w:rsidRPr="00A27D8A">
        <w:rPr>
          <w:lang w:val="fr-CA"/>
        </w:rPr>
        <w:t>ressources nécessaires</w:t>
      </w:r>
      <w:r w:rsidRPr="00A27D8A">
        <w:rPr>
          <w:lang w:val="fr-CA"/>
        </w:rPr>
        <w:t xml:space="preserve"> indiqué au tableau </w:t>
      </w:r>
      <w:proofErr w:type="gramStart"/>
      <w:r w:rsidRPr="00A27D8A">
        <w:rPr>
          <w:lang w:val="fr-CA"/>
        </w:rPr>
        <w:t>[</w:t>
      </w:r>
      <w:r w:rsidR="003552BB">
        <w:rPr>
          <w:lang w:val="fr-CA"/>
        </w:rPr>
        <w:t>  </w:t>
      </w:r>
      <w:proofErr w:type="gramEnd"/>
      <w:r w:rsidR="003552BB">
        <w:rPr>
          <w:lang w:val="fr-CA"/>
        </w:rPr>
        <w:t> </w:t>
      </w:r>
      <w:r w:rsidRPr="00A27D8A">
        <w:rPr>
          <w:lang w:val="fr-CA"/>
        </w:rPr>
        <w:t>] de la présente décision pour financer les activités au titre de la Convention à imputer sur le Fonds d’affectation spéciale d’un montant de [</w:t>
      </w:r>
      <w:r w:rsidR="003552BB">
        <w:rPr>
          <w:lang w:val="fr-CA"/>
        </w:rPr>
        <w:t>   </w:t>
      </w:r>
      <w:r w:rsidRPr="00A27D8A">
        <w:rPr>
          <w:lang w:val="fr-CA"/>
        </w:rPr>
        <w:t>] dollars pour 2018 et de [</w:t>
      </w:r>
      <w:r w:rsidR="003552BB">
        <w:rPr>
          <w:lang w:val="fr-CA"/>
        </w:rPr>
        <w:t>   </w:t>
      </w:r>
      <w:r w:rsidRPr="00A27D8A">
        <w:rPr>
          <w:lang w:val="fr-CA"/>
        </w:rPr>
        <w:t>] dollars pour 2019</w:t>
      </w:r>
      <w:r w:rsidR="005C4233" w:rsidRPr="00A27D8A">
        <w:rPr>
          <w:lang w:val="fr-CA"/>
        </w:rPr>
        <w:t>;</w:t>
      </w:r>
    </w:p>
    <w:p w14:paraId="381D34A9" w14:textId="7A066516" w:rsidR="007C5644" w:rsidRPr="00A27D8A" w:rsidRDefault="00980C00"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fr-CA"/>
        </w:rPr>
      </w:pPr>
      <w:r w:rsidRPr="00A27D8A">
        <w:rPr>
          <w:i/>
          <w:lang w:val="fr-CA"/>
        </w:rPr>
        <w:t>Engage</w:t>
      </w:r>
      <w:r w:rsidR="00365888" w:rsidRPr="00A27D8A">
        <w:rPr>
          <w:i/>
          <w:lang w:val="fr-CA"/>
        </w:rPr>
        <w:t xml:space="preserve"> </w:t>
      </w:r>
      <w:r w:rsidRPr="00A27D8A">
        <w:rPr>
          <w:lang w:val="fr-CA"/>
        </w:rPr>
        <w:t>les P</w:t>
      </w:r>
      <w:r w:rsidR="005C4233" w:rsidRPr="00A27D8A">
        <w:rPr>
          <w:lang w:val="fr-CA"/>
        </w:rPr>
        <w:t>arties</w:t>
      </w:r>
      <w:r w:rsidR="00DE33DE" w:rsidRPr="00A27D8A">
        <w:rPr>
          <w:lang w:val="fr-CA"/>
        </w:rPr>
        <w:t xml:space="preserve"> et invite les non P</w:t>
      </w:r>
      <w:r w:rsidRPr="00A27D8A">
        <w:rPr>
          <w:lang w:val="fr-CA"/>
        </w:rPr>
        <w:t>arties à la Convention et les autres intéressés en mesure de le faire à contribuer au</w:t>
      </w:r>
      <w:r w:rsidR="005C4233" w:rsidRPr="00A27D8A">
        <w:rPr>
          <w:lang w:val="fr-CA"/>
        </w:rPr>
        <w:t xml:space="preserve"> </w:t>
      </w:r>
      <w:r w:rsidRPr="00A27D8A">
        <w:rPr>
          <w:lang w:val="fr-CA"/>
        </w:rPr>
        <w:t xml:space="preserve">Fonds d’affectation spéciale </w:t>
      </w:r>
      <w:r w:rsidR="00671DA8" w:rsidRPr="00A27D8A">
        <w:rPr>
          <w:lang w:val="fr-CA"/>
        </w:rPr>
        <w:t>pour appuyer le renforcement des capacités et</w:t>
      </w:r>
      <w:r w:rsidRPr="00A27D8A">
        <w:rPr>
          <w:lang w:val="fr-CA"/>
        </w:rPr>
        <w:t xml:space="preserve"> l’assistance techniques conformément à l’article </w:t>
      </w:r>
      <w:proofErr w:type="gramStart"/>
      <w:r w:rsidR="00365888" w:rsidRPr="00A27D8A">
        <w:rPr>
          <w:lang w:val="fr-CA"/>
        </w:rPr>
        <w:t>14</w:t>
      </w:r>
      <w:r w:rsidR="005C4233" w:rsidRPr="00A27D8A">
        <w:rPr>
          <w:lang w:val="fr-CA"/>
        </w:rPr>
        <w:t>;</w:t>
      </w:r>
      <w:proofErr w:type="gramEnd"/>
      <w:r w:rsidR="00365888" w:rsidRPr="00A27D8A">
        <w:rPr>
          <w:lang w:val="fr-CA"/>
        </w:rPr>
        <w:t xml:space="preserve"> </w:t>
      </w:r>
    </w:p>
    <w:p w14:paraId="5C2B965A" w14:textId="7D2BADC8" w:rsidR="00D63972" w:rsidRPr="00A27D8A" w:rsidRDefault="009E4E14"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fr-CA"/>
        </w:rPr>
      </w:pPr>
      <w:r w:rsidRPr="00A27D8A">
        <w:rPr>
          <w:i/>
          <w:lang w:val="fr-CA"/>
        </w:rPr>
        <w:t>Engage</w:t>
      </w:r>
      <w:r w:rsidR="00671DA8" w:rsidRPr="00A27D8A">
        <w:rPr>
          <w:i/>
          <w:lang w:val="fr-CA"/>
        </w:rPr>
        <w:t xml:space="preserve"> également</w:t>
      </w:r>
      <w:r w:rsidR="007C5644" w:rsidRPr="00A27D8A">
        <w:rPr>
          <w:i/>
          <w:lang w:val="fr-CA"/>
        </w:rPr>
        <w:t xml:space="preserve"> </w:t>
      </w:r>
      <w:r w:rsidR="00DE33DE" w:rsidRPr="00A27D8A">
        <w:rPr>
          <w:lang w:val="fr-CA"/>
        </w:rPr>
        <w:t>les Parties et invite les non P</w:t>
      </w:r>
      <w:r w:rsidRPr="00A27D8A">
        <w:rPr>
          <w:lang w:val="fr-CA"/>
        </w:rPr>
        <w:t>arties à la Convention et les autres intéressés en mesure de le faire à contribuer au Fonds d’affectation spéciale afin d’appuyer la</w:t>
      </w:r>
      <w:r w:rsidR="00365888" w:rsidRPr="00A27D8A">
        <w:rPr>
          <w:lang w:val="fr-CA"/>
        </w:rPr>
        <w:t xml:space="preserve"> participation </w:t>
      </w:r>
      <w:r w:rsidRPr="00A27D8A">
        <w:rPr>
          <w:lang w:val="fr-CA"/>
        </w:rPr>
        <w:t xml:space="preserve">des représentants d’États Parties qui sont des pays en développement aux réunions de la Conférence des Parties et de ses organes </w:t>
      </w:r>
      <w:proofErr w:type="gramStart"/>
      <w:r w:rsidRPr="00A27D8A">
        <w:rPr>
          <w:lang w:val="fr-CA"/>
        </w:rPr>
        <w:t>subsidiaires</w:t>
      </w:r>
      <w:r w:rsidR="00365888" w:rsidRPr="00A27D8A">
        <w:rPr>
          <w:lang w:val="fr-CA"/>
        </w:rPr>
        <w:t>;</w:t>
      </w:r>
      <w:proofErr w:type="gramEnd"/>
    </w:p>
    <w:p w14:paraId="616465A5" w14:textId="385C7CFC" w:rsidR="00BB1444" w:rsidRPr="00A27D8A" w:rsidRDefault="00BB1444"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
          <w:lang w:val="fr-CA"/>
        </w:rPr>
      </w:pPr>
      <w:r w:rsidRPr="00A27D8A">
        <w:rPr>
          <w:lang w:val="fr-CA"/>
        </w:rPr>
        <w:lastRenderedPageBreak/>
        <w:t>[</w:t>
      </w:r>
      <w:r w:rsidR="009932D2" w:rsidRPr="00A27D8A">
        <w:rPr>
          <w:i/>
          <w:lang w:val="fr-CA"/>
        </w:rPr>
        <w:t>Invite</w:t>
      </w:r>
      <w:r w:rsidRPr="00A27D8A">
        <w:rPr>
          <w:lang w:val="fr-CA"/>
        </w:rPr>
        <w:t xml:space="preserve"> </w:t>
      </w:r>
      <w:r w:rsidR="009932D2" w:rsidRPr="00A27D8A">
        <w:rPr>
          <w:lang w:val="fr-CA"/>
        </w:rPr>
        <w:t>la Suisse</w:t>
      </w:r>
      <w:r w:rsidRPr="00A27D8A">
        <w:rPr>
          <w:lang w:val="fr-CA"/>
        </w:rPr>
        <w:t xml:space="preserve"> </w:t>
      </w:r>
      <w:r w:rsidR="009932D2" w:rsidRPr="00A27D8A">
        <w:rPr>
          <w:lang w:val="fr-CA"/>
        </w:rPr>
        <w:t xml:space="preserve">à inclure dans sa contribution au Fonds d’affectation spéciale de contributions volontaires un appui visant notamment à faciliter la participation des pays en développement Parties, en particulier la participation des pays les moins avancés et des petits États insulaires </w:t>
      </w:r>
      <w:r w:rsidR="00671DA8" w:rsidRPr="00A27D8A">
        <w:rPr>
          <w:lang w:val="fr-CA"/>
        </w:rPr>
        <w:t>en développement, et des pays</w:t>
      </w:r>
      <w:r w:rsidR="009932D2" w:rsidRPr="00A27D8A">
        <w:rPr>
          <w:lang w:val="fr-CA"/>
        </w:rPr>
        <w:t xml:space="preserve"> à économie en transition</w:t>
      </w:r>
      <w:r w:rsidR="00671DA8" w:rsidRPr="00A27D8A">
        <w:rPr>
          <w:lang w:val="fr-CA"/>
        </w:rPr>
        <w:t xml:space="preserve"> Parties</w:t>
      </w:r>
      <w:r w:rsidR="009932D2" w:rsidRPr="00A27D8A">
        <w:rPr>
          <w:lang w:val="fr-CA"/>
        </w:rPr>
        <w:t xml:space="preserve"> aux réunions de la Convention ainsi qu’aux activités conjointes au titre des conventions de Bâle, de Rotterdam et de Stockholm</w:t>
      </w:r>
      <w:proofErr w:type="gramStart"/>
      <w:r w:rsidRPr="00A27D8A">
        <w:rPr>
          <w:lang w:val="fr-CA"/>
        </w:rPr>
        <w:t>];</w:t>
      </w:r>
      <w:proofErr w:type="gramEnd"/>
    </w:p>
    <w:p w14:paraId="70C2074F" w14:textId="2461A252" w:rsidR="00BB1444" w:rsidRPr="00A27D8A" w:rsidRDefault="00BB1444" w:rsidP="00440B9B">
      <w:pPr>
        <w:pStyle w:val="CH2"/>
        <w:spacing w:after="80"/>
        <w:ind w:right="0" w:firstLine="22"/>
        <w:jc w:val="center"/>
        <w:rPr>
          <w:lang w:val="fr-CA"/>
        </w:rPr>
      </w:pPr>
      <w:r w:rsidRPr="00A27D8A">
        <w:rPr>
          <w:lang w:val="fr-CA"/>
        </w:rPr>
        <w:t>III</w:t>
      </w:r>
    </w:p>
    <w:p w14:paraId="55C47021" w14:textId="4CFA6A8C" w:rsidR="00BB1444" w:rsidRPr="00A27D8A" w:rsidRDefault="00352D4D" w:rsidP="00D87BF6">
      <w:pPr>
        <w:pStyle w:val="CH2"/>
        <w:spacing w:after="80"/>
        <w:ind w:right="0" w:hanging="5"/>
        <w:jc w:val="center"/>
        <w:rPr>
          <w:lang w:val="fr-CA"/>
        </w:rPr>
      </w:pPr>
      <w:r w:rsidRPr="00A27D8A">
        <w:rPr>
          <w:lang w:val="fr-CA"/>
        </w:rPr>
        <w:t xml:space="preserve">Exercice biennal actuel et travaux préparatoires en vue </w:t>
      </w:r>
      <w:r w:rsidR="003552BB">
        <w:rPr>
          <w:lang w:val="fr-CA"/>
        </w:rPr>
        <w:br/>
      </w:r>
      <w:r w:rsidRPr="00A27D8A">
        <w:rPr>
          <w:lang w:val="fr-CA"/>
        </w:rPr>
        <w:t>du prochain exercice biennal</w:t>
      </w:r>
    </w:p>
    <w:p w14:paraId="792C5340" w14:textId="01F379E6" w:rsidR="003E2D1B" w:rsidRPr="00A27D8A" w:rsidRDefault="00150898"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lang w:val="fr-CA"/>
        </w:rPr>
      </w:pPr>
      <w:r w:rsidRPr="00A27D8A">
        <w:rPr>
          <w:i/>
          <w:lang w:val="fr-CA"/>
        </w:rPr>
        <w:t>Prie</w:t>
      </w:r>
      <w:r w:rsidR="003E2D1B" w:rsidRPr="00A27D8A">
        <w:rPr>
          <w:lang w:val="fr-CA"/>
        </w:rPr>
        <w:t xml:space="preserve"> </w:t>
      </w:r>
      <w:r w:rsidRPr="00A27D8A">
        <w:rPr>
          <w:lang w:val="fr-CA"/>
        </w:rPr>
        <w:t>le Secrétaire exécutif de fournir à la Conférence des Parties, à sa deuxième</w:t>
      </w:r>
      <w:r w:rsidR="003552BB">
        <w:rPr>
          <w:lang w:val="fr-CA"/>
        </w:rPr>
        <w:t> </w:t>
      </w:r>
      <w:r w:rsidRPr="00A27D8A">
        <w:rPr>
          <w:lang w:val="fr-CA"/>
        </w:rPr>
        <w:t>réunion, des informations actualisées sur</w:t>
      </w:r>
      <w:r w:rsidR="003E2D1B" w:rsidRPr="00A27D8A">
        <w:rPr>
          <w:lang w:val="fr-CA"/>
        </w:rPr>
        <w:t xml:space="preserve"> </w:t>
      </w:r>
      <w:proofErr w:type="gramStart"/>
      <w:r w:rsidR="003E2D1B" w:rsidRPr="00A27D8A">
        <w:rPr>
          <w:lang w:val="fr-CA"/>
        </w:rPr>
        <w:t xml:space="preserve">[  </w:t>
      </w:r>
      <w:proofErr w:type="gramEnd"/>
      <w:r w:rsidR="003E2D1B" w:rsidRPr="00A27D8A">
        <w:rPr>
          <w:lang w:val="fr-CA"/>
        </w:rPr>
        <w:t xml:space="preserve"> ] </w:t>
      </w:r>
      <w:r w:rsidRPr="00A27D8A">
        <w:rPr>
          <w:lang w:val="fr-CA"/>
        </w:rPr>
        <w:t>et</w:t>
      </w:r>
      <w:r w:rsidR="00410A75" w:rsidRPr="00A27D8A">
        <w:rPr>
          <w:lang w:val="fr-CA"/>
        </w:rPr>
        <w:t>,</w:t>
      </w:r>
      <w:r w:rsidR="003E2D1B" w:rsidRPr="00A27D8A">
        <w:rPr>
          <w:lang w:val="fr-CA"/>
        </w:rPr>
        <w:t xml:space="preserve"> </w:t>
      </w:r>
      <w:r w:rsidRPr="00A27D8A">
        <w:rPr>
          <w:lang w:val="fr-CA"/>
        </w:rPr>
        <w:t xml:space="preserve">le cas échéant, une estimation du coût des activités qui ont des incidences budgétaires qui n’étaient pas prévues dans le premier programme de travail mais figurent dans les projets de décision proposés, avant l’adoption de ces décisions par la Conférence des Parties, et ont donc des incidences budgétaires </w:t>
      </w:r>
      <w:r w:rsidR="00E24103" w:rsidRPr="00A27D8A">
        <w:rPr>
          <w:lang w:val="fr-CA"/>
        </w:rPr>
        <w:t>sur</w:t>
      </w:r>
      <w:r w:rsidRPr="00A27D8A">
        <w:rPr>
          <w:lang w:val="fr-CA"/>
        </w:rPr>
        <w:t xml:space="preserve"> l’exercice biennal actuel</w:t>
      </w:r>
      <w:r w:rsidR="003E2D1B" w:rsidRPr="00A27D8A">
        <w:rPr>
          <w:lang w:val="fr-CA"/>
        </w:rPr>
        <w:t>;</w:t>
      </w:r>
    </w:p>
    <w:p w14:paraId="4C28F2E9" w14:textId="3CB9E553" w:rsidR="003E2D1B" w:rsidRPr="00A27D8A" w:rsidRDefault="00B26378"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
          <w:lang w:val="fr-CA"/>
        </w:rPr>
      </w:pPr>
      <w:r w:rsidRPr="00A27D8A">
        <w:rPr>
          <w:i/>
          <w:lang w:val="fr-CA"/>
        </w:rPr>
        <w:t>Prie</w:t>
      </w:r>
      <w:r w:rsidR="00671DA8" w:rsidRPr="00A27D8A">
        <w:rPr>
          <w:i/>
          <w:lang w:val="fr-CA"/>
        </w:rPr>
        <w:t xml:space="preserve"> également</w:t>
      </w:r>
      <w:r w:rsidR="003E2D1B" w:rsidRPr="00A27D8A">
        <w:rPr>
          <w:i/>
          <w:lang w:val="fr-CA"/>
        </w:rPr>
        <w:t xml:space="preserve"> </w:t>
      </w:r>
      <w:r w:rsidRPr="00A27D8A">
        <w:rPr>
          <w:lang w:val="fr-CA"/>
        </w:rPr>
        <w:t>le Secrétaire exécutif de préparer un budget pour l’exercice biennal</w:t>
      </w:r>
      <w:r w:rsidR="003552BB">
        <w:rPr>
          <w:lang w:val="fr-CA"/>
        </w:rPr>
        <w:t> </w:t>
      </w:r>
      <w:r w:rsidRPr="00A27D8A">
        <w:rPr>
          <w:lang w:val="fr-CA"/>
        </w:rPr>
        <w:t>2020-2021, que la Conférence des Parties examinera à sa troisième réunion e</w:t>
      </w:r>
      <w:r w:rsidR="005D5AE3" w:rsidRPr="00A27D8A">
        <w:rPr>
          <w:lang w:val="fr-CA"/>
        </w:rPr>
        <w:t>n 2019</w:t>
      </w:r>
      <w:r w:rsidR="003E2D1B" w:rsidRPr="00A27D8A">
        <w:rPr>
          <w:lang w:val="fr-CA"/>
        </w:rPr>
        <w:t xml:space="preserve">, </w:t>
      </w:r>
      <w:r w:rsidR="00DB4DEA" w:rsidRPr="00A27D8A">
        <w:rPr>
          <w:lang w:val="fr-CA"/>
        </w:rPr>
        <w:t xml:space="preserve">en </w:t>
      </w:r>
      <w:r w:rsidRPr="00A27D8A">
        <w:rPr>
          <w:lang w:val="fr-CA"/>
        </w:rPr>
        <w:t>expliquant les principes fondamentaux, les hypothèses et la stratégie de programmation sur lesquels repose ce budget et en présentant les dépenses pour cet exercice biennal par programme</w:t>
      </w:r>
      <w:r w:rsidR="00410A75" w:rsidRPr="00A27D8A">
        <w:rPr>
          <w:lang w:val="fr-CA"/>
        </w:rPr>
        <w:t>.</w:t>
      </w:r>
      <w:r w:rsidR="003E2D1B" w:rsidRPr="00A27D8A">
        <w:rPr>
          <w:lang w:val="fr-CA"/>
        </w:rPr>
        <w:t xml:space="preserve"> </w:t>
      </w:r>
    </w:p>
    <w:p w14:paraId="1CA2DBD7" w14:textId="7954980E" w:rsidR="00D63972" w:rsidRPr="00A27D8A" w:rsidRDefault="00D63972">
      <w:pPr>
        <w:tabs>
          <w:tab w:val="clear" w:pos="1247"/>
          <w:tab w:val="clear" w:pos="1814"/>
          <w:tab w:val="clear" w:pos="2381"/>
          <w:tab w:val="clear" w:pos="2948"/>
          <w:tab w:val="clear" w:pos="3515"/>
        </w:tabs>
        <w:rPr>
          <w:b/>
          <w:bCs/>
          <w:sz w:val="28"/>
          <w:szCs w:val="22"/>
          <w:lang w:val="fr-CA"/>
        </w:rPr>
      </w:pPr>
      <w:r w:rsidRPr="00A27D8A">
        <w:rPr>
          <w:lang w:val="fr-CA"/>
        </w:rPr>
        <w:br w:type="page"/>
      </w:r>
    </w:p>
    <w:p w14:paraId="3D5A50FD" w14:textId="0F9991E0" w:rsidR="00D63972" w:rsidRPr="00A27D8A" w:rsidRDefault="003879B2" w:rsidP="00367F75">
      <w:pPr>
        <w:pStyle w:val="ZZAnxheader"/>
        <w:rPr>
          <w:lang w:val="fr-CA"/>
        </w:rPr>
      </w:pPr>
      <w:r w:rsidRPr="00A27D8A">
        <w:rPr>
          <w:szCs w:val="28"/>
          <w:lang w:val="fr-CA"/>
        </w:rPr>
        <w:lastRenderedPageBreak/>
        <w:t>Annexe </w:t>
      </w:r>
      <w:r w:rsidR="00D63972" w:rsidRPr="00A27D8A">
        <w:rPr>
          <w:szCs w:val="28"/>
          <w:lang w:val="fr-CA"/>
        </w:rPr>
        <w:t>II</w:t>
      </w:r>
      <w:r w:rsidR="007423DF" w:rsidRPr="00A27D8A">
        <w:rPr>
          <w:szCs w:val="28"/>
          <w:lang w:val="fr-CA"/>
        </w:rPr>
        <w:t xml:space="preserve"> </w:t>
      </w:r>
    </w:p>
    <w:p w14:paraId="4587FD74" w14:textId="47E5505B" w:rsidR="00FF1C4E" w:rsidRPr="00A27D8A" w:rsidRDefault="00FF1C4E" w:rsidP="00FF1C4E">
      <w:pPr>
        <w:pStyle w:val="ZZAnxtitle"/>
        <w:rPr>
          <w:sz w:val="24"/>
          <w:szCs w:val="24"/>
          <w:lang w:val="fr-CA"/>
        </w:rPr>
      </w:pPr>
      <w:r w:rsidRPr="00A27D8A">
        <w:rPr>
          <w:sz w:val="24"/>
          <w:szCs w:val="24"/>
          <w:lang w:val="fr-CA"/>
        </w:rPr>
        <w:t>List</w:t>
      </w:r>
      <w:r w:rsidR="003879B2" w:rsidRPr="00A27D8A">
        <w:rPr>
          <w:sz w:val="24"/>
          <w:szCs w:val="24"/>
          <w:lang w:val="fr-CA"/>
        </w:rPr>
        <w:t xml:space="preserve">e des activités qu’il est proposé d’inclure dans le programme de travail </w:t>
      </w:r>
      <w:r w:rsidR="00A97E03" w:rsidRPr="00A27D8A">
        <w:rPr>
          <w:sz w:val="24"/>
          <w:szCs w:val="24"/>
          <w:lang w:val="fr-CA"/>
        </w:rPr>
        <w:br/>
      </w:r>
      <w:r w:rsidR="003879B2" w:rsidRPr="00A27D8A">
        <w:rPr>
          <w:sz w:val="24"/>
          <w:szCs w:val="24"/>
          <w:lang w:val="fr-CA"/>
        </w:rPr>
        <w:t xml:space="preserve">de la Convention de Minamata sur le mercure pour la période </w:t>
      </w:r>
      <w:r w:rsidRPr="00A27D8A">
        <w:rPr>
          <w:sz w:val="24"/>
          <w:szCs w:val="24"/>
          <w:lang w:val="fr-CA"/>
        </w:rPr>
        <w:t>2018</w:t>
      </w:r>
      <w:r w:rsidRPr="00A27D8A">
        <w:rPr>
          <w:rFonts w:eastAsia="Calibri"/>
          <w:sz w:val="24"/>
          <w:szCs w:val="24"/>
          <w:lang w:val="fr-CA"/>
        </w:rPr>
        <w:t>–</w:t>
      </w:r>
      <w:r w:rsidRPr="00A27D8A">
        <w:rPr>
          <w:sz w:val="24"/>
          <w:szCs w:val="24"/>
          <w:lang w:val="fr-CA"/>
        </w:rPr>
        <w:t>2019</w:t>
      </w:r>
      <w:r w:rsidR="00717BEA" w:rsidRPr="00A27D8A">
        <w:rPr>
          <w:sz w:val="24"/>
          <w:szCs w:val="24"/>
          <w:lang w:val="fr-CA"/>
        </w:rPr>
        <w:t xml:space="preserve"> </w:t>
      </w:r>
    </w:p>
    <w:tbl>
      <w:tblPr>
        <w:tblW w:w="8363" w:type="dxa"/>
        <w:jc w:val="right"/>
        <w:tblLook w:val="01E0" w:firstRow="1" w:lastRow="1" w:firstColumn="1" w:lastColumn="1" w:noHBand="0" w:noVBand="0"/>
      </w:tblPr>
      <w:tblGrid>
        <w:gridCol w:w="1008"/>
        <w:gridCol w:w="7355"/>
      </w:tblGrid>
      <w:tr w:rsidR="00FF1C4E" w:rsidRPr="00A27D8A" w14:paraId="16BD7E85" w14:textId="77777777" w:rsidTr="003552BB">
        <w:trPr>
          <w:trHeight w:val="522"/>
          <w:tblHeader/>
          <w:jc w:val="right"/>
        </w:trPr>
        <w:tc>
          <w:tcPr>
            <w:tcW w:w="991" w:type="dxa"/>
            <w:tcBorders>
              <w:top w:val="single" w:sz="4" w:space="0" w:color="auto"/>
              <w:bottom w:val="single" w:sz="12" w:space="0" w:color="auto"/>
            </w:tcBorders>
            <w:vAlign w:val="center"/>
          </w:tcPr>
          <w:p w14:paraId="0D132EE0" w14:textId="2D6E5EA5" w:rsidR="00FF1C4E" w:rsidRPr="00A27D8A" w:rsidRDefault="003879B2" w:rsidP="00D815A6">
            <w:pPr>
              <w:tabs>
                <w:tab w:val="clear" w:pos="1814"/>
                <w:tab w:val="clear" w:pos="2381"/>
                <w:tab w:val="clear" w:pos="2948"/>
                <w:tab w:val="clear" w:pos="3515"/>
                <w:tab w:val="left" w:pos="624"/>
                <w:tab w:val="left" w:pos="1871"/>
                <w:tab w:val="left" w:pos="2495"/>
                <w:tab w:val="left" w:pos="3119"/>
                <w:tab w:val="left" w:pos="3742"/>
              </w:tabs>
              <w:spacing w:before="60" w:after="60"/>
              <w:rPr>
                <w:i/>
                <w:lang w:val="fr-CA"/>
              </w:rPr>
            </w:pPr>
            <w:r w:rsidRPr="00A27D8A">
              <w:rPr>
                <w:i/>
                <w:lang w:val="fr-CA"/>
              </w:rPr>
              <w:t>Activité</w:t>
            </w:r>
          </w:p>
        </w:tc>
        <w:tc>
          <w:tcPr>
            <w:tcW w:w="7230" w:type="dxa"/>
            <w:tcBorders>
              <w:top w:val="single" w:sz="4" w:space="0" w:color="auto"/>
              <w:bottom w:val="single" w:sz="12" w:space="0" w:color="auto"/>
            </w:tcBorders>
            <w:vAlign w:val="center"/>
          </w:tcPr>
          <w:p w14:paraId="33F9F1C9" w14:textId="666B3CA5" w:rsidR="00FF1C4E" w:rsidRPr="00A27D8A" w:rsidRDefault="003879B2" w:rsidP="00D815A6">
            <w:pPr>
              <w:tabs>
                <w:tab w:val="clear" w:pos="1814"/>
                <w:tab w:val="clear" w:pos="2381"/>
                <w:tab w:val="clear" w:pos="2948"/>
                <w:tab w:val="clear" w:pos="3515"/>
                <w:tab w:val="left" w:pos="624"/>
                <w:tab w:val="left" w:pos="1871"/>
                <w:tab w:val="left" w:pos="2495"/>
                <w:tab w:val="left" w:pos="3119"/>
                <w:tab w:val="left" w:pos="3742"/>
              </w:tabs>
              <w:spacing w:before="60" w:after="60"/>
              <w:rPr>
                <w:i/>
                <w:lang w:val="fr-CA"/>
              </w:rPr>
            </w:pPr>
            <w:r w:rsidRPr="00A27D8A">
              <w:rPr>
                <w:i/>
                <w:lang w:val="fr-CA"/>
              </w:rPr>
              <w:t>Rubrique et description de l’activité</w:t>
            </w:r>
          </w:p>
        </w:tc>
      </w:tr>
      <w:tr w:rsidR="00FF1C4E" w:rsidRPr="00A27D8A" w14:paraId="3992051A" w14:textId="77777777" w:rsidTr="003552BB">
        <w:trPr>
          <w:jc w:val="right"/>
        </w:trPr>
        <w:tc>
          <w:tcPr>
            <w:tcW w:w="991" w:type="dxa"/>
            <w:tcBorders>
              <w:top w:val="single" w:sz="12" w:space="0" w:color="auto"/>
              <w:bottom w:val="single" w:sz="4" w:space="0" w:color="auto"/>
            </w:tcBorders>
          </w:tcPr>
          <w:p w14:paraId="7EAB6744"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
                <w:bCs/>
                <w:lang w:val="fr-CA"/>
              </w:rPr>
            </w:pPr>
          </w:p>
        </w:tc>
        <w:tc>
          <w:tcPr>
            <w:tcW w:w="7230" w:type="dxa"/>
            <w:tcBorders>
              <w:top w:val="single" w:sz="12" w:space="0" w:color="auto"/>
              <w:bottom w:val="single" w:sz="4" w:space="0" w:color="auto"/>
            </w:tcBorders>
          </w:tcPr>
          <w:p w14:paraId="10A58954" w14:textId="339AC4A0"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fr-CA"/>
              </w:rPr>
            </w:pPr>
            <w:r w:rsidRPr="00A27D8A">
              <w:rPr>
                <w:b/>
                <w:lang w:val="fr-CA"/>
              </w:rPr>
              <w:t>1. Conf</w:t>
            </w:r>
            <w:r w:rsidR="003879B2" w:rsidRPr="00A27D8A">
              <w:rPr>
                <w:b/>
                <w:lang w:val="fr-CA"/>
              </w:rPr>
              <w:t>é</w:t>
            </w:r>
            <w:r w:rsidRPr="00A27D8A">
              <w:rPr>
                <w:b/>
                <w:lang w:val="fr-CA"/>
              </w:rPr>
              <w:t xml:space="preserve">rences </w:t>
            </w:r>
            <w:r w:rsidR="003879B2" w:rsidRPr="00A27D8A">
              <w:rPr>
                <w:b/>
                <w:lang w:val="fr-CA"/>
              </w:rPr>
              <w:t>et réunions</w:t>
            </w:r>
            <w:r w:rsidRPr="00A27D8A">
              <w:rPr>
                <w:b/>
                <w:lang w:val="fr-CA"/>
              </w:rPr>
              <w:t xml:space="preserve"> </w:t>
            </w:r>
          </w:p>
        </w:tc>
      </w:tr>
      <w:tr w:rsidR="00FF1C4E" w:rsidRPr="00A27D8A" w14:paraId="21BE9BCC" w14:textId="77777777" w:rsidTr="003552BB">
        <w:trPr>
          <w:jc w:val="right"/>
        </w:trPr>
        <w:tc>
          <w:tcPr>
            <w:tcW w:w="991" w:type="dxa"/>
            <w:tcBorders>
              <w:top w:val="single" w:sz="4" w:space="0" w:color="auto"/>
            </w:tcBorders>
          </w:tcPr>
          <w:p w14:paraId="31DA8904"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r w:rsidRPr="00A27D8A">
              <w:rPr>
                <w:bCs/>
                <w:lang w:val="fr-CA"/>
              </w:rPr>
              <w:t xml:space="preserve">1 </w:t>
            </w:r>
          </w:p>
        </w:tc>
        <w:tc>
          <w:tcPr>
            <w:tcW w:w="7230" w:type="dxa"/>
            <w:tcBorders>
              <w:top w:val="single" w:sz="4" w:space="0" w:color="auto"/>
            </w:tcBorders>
          </w:tcPr>
          <w:p w14:paraId="27C73EBD" w14:textId="529028AA" w:rsidR="00FF1C4E" w:rsidRPr="00A27D8A" w:rsidRDefault="003879B2"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r w:rsidRPr="00A27D8A">
              <w:rPr>
                <w:lang w:val="fr-CA"/>
              </w:rPr>
              <w:t>Deuxième réunion de la Conférence des Parties</w:t>
            </w:r>
          </w:p>
        </w:tc>
      </w:tr>
      <w:tr w:rsidR="00FF1C4E" w:rsidRPr="00A27D8A" w14:paraId="3287CAAA" w14:textId="77777777" w:rsidTr="003552BB">
        <w:trPr>
          <w:jc w:val="right"/>
        </w:trPr>
        <w:tc>
          <w:tcPr>
            <w:tcW w:w="991" w:type="dxa"/>
          </w:tcPr>
          <w:p w14:paraId="286BB15C"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r w:rsidRPr="00A27D8A">
              <w:rPr>
                <w:bCs/>
                <w:lang w:val="fr-CA"/>
              </w:rPr>
              <w:t>2</w:t>
            </w:r>
          </w:p>
        </w:tc>
        <w:tc>
          <w:tcPr>
            <w:tcW w:w="7230" w:type="dxa"/>
          </w:tcPr>
          <w:p w14:paraId="467FDE81" w14:textId="5CAA4F55" w:rsidR="00FF1C4E" w:rsidRPr="00A27D8A" w:rsidRDefault="003879B2"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r w:rsidRPr="00A27D8A">
              <w:rPr>
                <w:lang w:val="fr-CA"/>
              </w:rPr>
              <w:t>Troisième</w:t>
            </w:r>
            <w:r w:rsidR="00FF1C4E" w:rsidRPr="00A27D8A">
              <w:rPr>
                <w:lang w:val="fr-CA"/>
              </w:rPr>
              <w:t xml:space="preserve"> </w:t>
            </w:r>
            <w:r w:rsidRPr="00A27D8A">
              <w:rPr>
                <w:lang w:val="fr-CA"/>
              </w:rPr>
              <w:t>réunion de la Conférence des Parties</w:t>
            </w:r>
          </w:p>
        </w:tc>
      </w:tr>
      <w:tr w:rsidR="00FF1C4E" w:rsidRPr="00A27D8A" w14:paraId="776B07F1" w14:textId="77777777" w:rsidTr="003552BB">
        <w:trPr>
          <w:jc w:val="right"/>
        </w:trPr>
        <w:tc>
          <w:tcPr>
            <w:tcW w:w="991" w:type="dxa"/>
          </w:tcPr>
          <w:p w14:paraId="1E76A065"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r w:rsidRPr="00A27D8A">
              <w:rPr>
                <w:bCs/>
                <w:lang w:val="fr-CA"/>
              </w:rPr>
              <w:t>3</w:t>
            </w:r>
          </w:p>
        </w:tc>
        <w:tc>
          <w:tcPr>
            <w:tcW w:w="7230" w:type="dxa"/>
          </w:tcPr>
          <w:p w14:paraId="47F404DA" w14:textId="5FEC2963"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r w:rsidRPr="00A27D8A">
              <w:rPr>
                <w:lang w:val="fr-CA"/>
              </w:rPr>
              <w:t xml:space="preserve">Bureau </w:t>
            </w:r>
            <w:r w:rsidR="003879B2" w:rsidRPr="00A27D8A">
              <w:rPr>
                <w:lang w:val="fr-CA"/>
              </w:rPr>
              <w:t>de la Conférence des</w:t>
            </w:r>
            <w:r w:rsidRPr="00A27D8A">
              <w:rPr>
                <w:lang w:val="fr-CA"/>
              </w:rPr>
              <w:t xml:space="preserve"> Parties</w:t>
            </w:r>
          </w:p>
        </w:tc>
      </w:tr>
      <w:tr w:rsidR="00FF1C4E" w:rsidRPr="00A27D8A" w14:paraId="7C9358FE" w14:textId="77777777" w:rsidTr="003552BB">
        <w:trPr>
          <w:jc w:val="right"/>
        </w:trPr>
        <w:tc>
          <w:tcPr>
            <w:tcW w:w="991" w:type="dxa"/>
          </w:tcPr>
          <w:p w14:paraId="601CA634"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r w:rsidRPr="00A27D8A">
              <w:rPr>
                <w:bCs/>
                <w:lang w:val="fr-CA"/>
              </w:rPr>
              <w:t>4</w:t>
            </w:r>
          </w:p>
        </w:tc>
        <w:tc>
          <w:tcPr>
            <w:tcW w:w="7230" w:type="dxa"/>
          </w:tcPr>
          <w:p w14:paraId="46210A42" w14:textId="31364EB7" w:rsidR="00FF1C4E" w:rsidRPr="00A27D8A" w:rsidRDefault="003879B2"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r w:rsidRPr="00A27D8A">
              <w:rPr>
                <w:lang w:val="fr-CA"/>
              </w:rPr>
              <w:t>Comité de mise en œuvre et du respect des obligations</w:t>
            </w:r>
            <w:r w:rsidR="00FF1C4E" w:rsidRPr="00A27D8A">
              <w:rPr>
                <w:lang w:val="fr-CA"/>
              </w:rPr>
              <w:t xml:space="preserve"> </w:t>
            </w:r>
          </w:p>
        </w:tc>
      </w:tr>
      <w:tr w:rsidR="00FF1C4E" w:rsidRPr="00A27D8A" w14:paraId="010EC01B" w14:textId="77777777" w:rsidTr="003552BB">
        <w:trPr>
          <w:jc w:val="right"/>
        </w:trPr>
        <w:tc>
          <w:tcPr>
            <w:tcW w:w="991" w:type="dxa"/>
            <w:tcBorders>
              <w:top w:val="single" w:sz="4" w:space="0" w:color="auto"/>
              <w:bottom w:val="single" w:sz="4" w:space="0" w:color="auto"/>
            </w:tcBorders>
          </w:tcPr>
          <w:p w14:paraId="3BCA125E"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p>
        </w:tc>
        <w:tc>
          <w:tcPr>
            <w:tcW w:w="7230" w:type="dxa"/>
            <w:tcBorders>
              <w:top w:val="single" w:sz="4" w:space="0" w:color="auto"/>
              <w:bottom w:val="single" w:sz="4" w:space="0" w:color="auto"/>
            </w:tcBorders>
          </w:tcPr>
          <w:p w14:paraId="522F70FF" w14:textId="13FC2E63"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fr-CA"/>
              </w:rPr>
            </w:pPr>
            <w:r w:rsidRPr="00A27D8A">
              <w:rPr>
                <w:b/>
                <w:lang w:val="fr-CA"/>
              </w:rPr>
              <w:t xml:space="preserve">2. </w:t>
            </w:r>
            <w:r w:rsidR="003879B2" w:rsidRPr="00A27D8A">
              <w:rPr>
                <w:b/>
                <w:lang w:val="fr-CA"/>
              </w:rPr>
              <w:t>Renforcement des capacités et assistance technique</w:t>
            </w:r>
          </w:p>
        </w:tc>
      </w:tr>
      <w:tr w:rsidR="00FF1C4E" w:rsidRPr="00A27D8A" w14:paraId="2DE6C879" w14:textId="77777777" w:rsidTr="003552BB">
        <w:trPr>
          <w:jc w:val="right"/>
        </w:trPr>
        <w:tc>
          <w:tcPr>
            <w:tcW w:w="991" w:type="dxa"/>
            <w:tcBorders>
              <w:top w:val="single" w:sz="4" w:space="0" w:color="auto"/>
            </w:tcBorders>
          </w:tcPr>
          <w:p w14:paraId="2DEC7AA4"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r w:rsidRPr="00A27D8A">
              <w:rPr>
                <w:bCs/>
                <w:lang w:val="fr-CA"/>
              </w:rPr>
              <w:t>5</w:t>
            </w:r>
          </w:p>
        </w:tc>
        <w:tc>
          <w:tcPr>
            <w:tcW w:w="7230" w:type="dxa"/>
            <w:tcBorders>
              <w:top w:val="single" w:sz="4" w:space="0" w:color="auto"/>
            </w:tcBorders>
          </w:tcPr>
          <w:p w14:paraId="6429AD35" w14:textId="6A9611EF" w:rsidR="00FF1C4E" w:rsidRPr="00A27D8A" w:rsidRDefault="003879B2"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r w:rsidRPr="00A27D8A">
              <w:rPr>
                <w:lang w:val="fr-CA"/>
              </w:rPr>
              <w:t xml:space="preserve">Programme de renforcement des capacités et d’assistance technique </w:t>
            </w:r>
            <w:r w:rsidR="003552BB">
              <w:rPr>
                <w:lang w:val="fr-CA"/>
              </w:rPr>
              <w:br/>
            </w:r>
            <w:r w:rsidRPr="00A27D8A">
              <w:rPr>
                <w:lang w:val="fr-CA"/>
              </w:rPr>
              <w:t xml:space="preserve">de la Convention de </w:t>
            </w:r>
            <w:r w:rsidR="00FF1C4E" w:rsidRPr="00A27D8A">
              <w:rPr>
                <w:lang w:val="fr-CA"/>
              </w:rPr>
              <w:t xml:space="preserve">Minamata </w:t>
            </w:r>
          </w:p>
        </w:tc>
      </w:tr>
      <w:tr w:rsidR="00FF1C4E" w:rsidRPr="00A27D8A" w14:paraId="04067F76" w14:textId="77777777" w:rsidTr="003552BB">
        <w:trPr>
          <w:jc w:val="right"/>
        </w:trPr>
        <w:tc>
          <w:tcPr>
            <w:tcW w:w="991" w:type="dxa"/>
            <w:tcBorders>
              <w:top w:val="single" w:sz="4" w:space="0" w:color="auto"/>
              <w:bottom w:val="single" w:sz="4" w:space="0" w:color="auto"/>
            </w:tcBorders>
          </w:tcPr>
          <w:p w14:paraId="09A58FA5" w14:textId="77777777" w:rsidR="00FF1C4E" w:rsidRPr="00A27D8A" w:rsidRDefault="00FF1C4E" w:rsidP="00D815A6">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p>
        </w:tc>
        <w:tc>
          <w:tcPr>
            <w:tcW w:w="7230" w:type="dxa"/>
            <w:tcBorders>
              <w:top w:val="single" w:sz="4" w:space="0" w:color="auto"/>
              <w:bottom w:val="single" w:sz="4" w:space="0" w:color="auto"/>
            </w:tcBorders>
          </w:tcPr>
          <w:p w14:paraId="2F845D92" w14:textId="1F075C64"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fr-CA"/>
              </w:rPr>
            </w:pPr>
            <w:r w:rsidRPr="00A27D8A">
              <w:rPr>
                <w:b/>
                <w:lang w:val="fr-CA"/>
              </w:rPr>
              <w:t xml:space="preserve">3. </w:t>
            </w:r>
            <w:r w:rsidR="003879B2" w:rsidRPr="00A27D8A">
              <w:rPr>
                <w:b/>
                <w:lang w:val="fr-CA"/>
              </w:rPr>
              <w:t>Activités scientifiques et techniques</w:t>
            </w:r>
          </w:p>
        </w:tc>
      </w:tr>
      <w:tr w:rsidR="00FF1C4E" w:rsidRPr="00A27D8A" w14:paraId="7D321B07" w14:textId="77777777" w:rsidTr="003552BB">
        <w:trPr>
          <w:jc w:val="right"/>
        </w:trPr>
        <w:tc>
          <w:tcPr>
            <w:tcW w:w="991" w:type="dxa"/>
            <w:tcBorders>
              <w:top w:val="single" w:sz="4" w:space="0" w:color="auto"/>
            </w:tcBorders>
          </w:tcPr>
          <w:p w14:paraId="0854880B" w14:textId="77777777" w:rsidR="00FF1C4E" w:rsidRPr="00A27D8A" w:rsidRDefault="00FF1C4E" w:rsidP="00D815A6">
            <w:pPr>
              <w:keepNext/>
              <w:keepLines/>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r w:rsidRPr="00A27D8A">
              <w:rPr>
                <w:bCs/>
                <w:lang w:val="fr-CA"/>
              </w:rPr>
              <w:t>6</w:t>
            </w:r>
          </w:p>
        </w:tc>
        <w:tc>
          <w:tcPr>
            <w:tcW w:w="7230" w:type="dxa"/>
            <w:tcBorders>
              <w:top w:val="single" w:sz="4" w:space="0" w:color="auto"/>
            </w:tcBorders>
          </w:tcPr>
          <w:p w14:paraId="2DF3CDFC" w14:textId="0A0DF584" w:rsidR="00FF1C4E" w:rsidRPr="00A27D8A" w:rsidRDefault="003879B2" w:rsidP="00717BEA">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r w:rsidRPr="00A27D8A">
              <w:rPr>
                <w:lang w:val="fr-CA"/>
              </w:rPr>
              <w:t xml:space="preserve">Appui scientifique aux États Parties à la Convention de </w:t>
            </w:r>
            <w:r w:rsidR="00FF1C4E" w:rsidRPr="00A27D8A">
              <w:rPr>
                <w:lang w:val="fr-CA"/>
              </w:rPr>
              <w:t xml:space="preserve">Minamata </w:t>
            </w:r>
          </w:p>
        </w:tc>
      </w:tr>
      <w:tr w:rsidR="00FF1C4E" w:rsidRPr="00A27D8A" w14:paraId="4DB9701B" w14:textId="77777777" w:rsidTr="003552BB">
        <w:trPr>
          <w:jc w:val="right"/>
        </w:trPr>
        <w:tc>
          <w:tcPr>
            <w:tcW w:w="991" w:type="dxa"/>
          </w:tcPr>
          <w:p w14:paraId="0643DD9F" w14:textId="77777777" w:rsidR="00FF1C4E" w:rsidRPr="00A27D8A" w:rsidRDefault="00FF1C4E" w:rsidP="00D815A6">
            <w:pPr>
              <w:keepNext/>
              <w:keepLines/>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r w:rsidRPr="00A27D8A">
              <w:rPr>
                <w:bCs/>
                <w:lang w:val="fr-CA"/>
              </w:rPr>
              <w:t>7</w:t>
            </w:r>
          </w:p>
        </w:tc>
        <w:tc>
          <w:tcPr>
            <w:tcW w:w="7230" w:type="dxa"/>
          </w:tcPr>
          <w:p w14:paraId="7499DCD3" w14:textId="7C2FE2FF" w:rsidR="00FF1C4E" w:rsidRPr="00A27D8A" w:rsidRDefault="003879B2" w:rsidP="00D815A6">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r w:rsidRPr="00A27D8A">
              <w:rPr>
                <w:lang w:val="fr-CA"/>
              </w:rPr>
              <w:t>Évaluation de l’efficacité et plan mondial de surveillance</w:t>
            </w:r>
          </w:p>
        </w:tc>
      </w:tr>
      <w:tr w:rsidR="00FF1C4E" w:rsidRPr="00A27D8A" w14:paraId="48EA0545" w14:textId="77777777" w:rsidTr="003552BB">
        <w:trPr>
          <w:jc w:val="right"/>
        </w:trPr>
        <w:tc>
          <w:tcPr>
            <w:tcW w:w="991" w:type="dxa"/>
            <w:tcBorders>
              <w:bottom w:val="single" w:sz="4" w:space="0" w:color="auto"/>
            </w:tcBorders>
          </w:tcPr>
          <w:p w14:paraId="5E0E938C" w14:textId="77777777" w:rsidR="00FF1C4E" w:rsidRPr="00A27D8A" w:rsidRDefault="00FF1C4E" w:rsidP="00D815A6">
            <w:pPr>
              <w:keepNext/>
              <w:keepLines/>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r w:rsidRPr="00A27D8A">
              <w:rPr>
                <w:bCs/>
                <w:lang w:val="fr-CA"/>
              </w:rPr>
              <w:t>8</w:t>
            </w:r>
          </w:p>
        </w:tc>
        <w:tc>
          <w:tcPr>
            <w:tcW w:w="7230" w:type="dxa"/>
            <w:tcBorders>
              <w:bottom w:val="single" w:sz="4" w:space="0" w:color="auto"/>
            </w:tcBorders>
          </w:tcPr>
          <w:p w14:paraId="703F5698" w14:textId="66FED7C1" w:rsidR="00FF1C4E" w:rsidRPr="00A27D8A" w:rsidRDefault="006F5D58" w:rsidP="00D815A6">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r w:rsidRPr="00A27D8A">
              <w:rPr>
                <w:lang w:val="fr-CA"/>
              </w:rPr>
              <w:t xml:space="preserve">Rapports nationaux présentés au titre de la Convention de </w:t>
            </w:r>
            <w:r w:rsidR="00FF1C4E" w:rsidRPr="00A27D8A">
              <w:rPr>
                <w:lang w:val="fr-CA"/>
              </w:rPr>
              <w:t xml:space="preserve">Minamata </w:t>
            </w:r>
          </w:p>
        </w:tc>
      </w:tr>
      <w:tr w:rsidR="00FF1C4E" w:rsidRPr="00A27D8A" w14:paraId="06AD8033" w14:textId="77777777" w:rsidTr="003552BB">
        <w:trPr>
          <w:jc w:val="right"/>
        </w:trPr>
        <w:tc>
          <w:tcPr>
            <w:tcW w:w="991" w:type="dxa"/>
            <w:tcBorders>
              <w:top w:val="single" w:sz="4" w:space="0" w:color="auto"/>
              <w:bottom w:val="single" w:sz="4" w:space="0" w:color="auto"/>
            </w:tcBorders>
          </w:tcPr>
          <w:p w14:paraId="54D9123D" w14:textId="77777777" w:rsidR="00FF1C4E" w:rsidRPr="00A27D8A" w:rsidRDefault="00FF1C4E" w:rsidP="00D815A6">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p>
        </w:tc>
        <w:tc>
          <w:tcPr>
            <w:tcW w:w="7230" w:type="dxa"/>
            <w:tcBorders>
              <w:top w:val="single" w:sz="4" w:space="0" w:color="auto"/>
              <w:bottom w:val="single" w:sz="4" w:space="0" w:color="auto"/>
            </w:tcBorders>
          </w:tcPr>
          <w:p w14:paraId="269D96C3" w14:textId="6BC651F4"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fr-CA"/>
              </w:rPr>
            </w:pPr>
            <w:r w:rsidRPr="00A27D8A">
              <w:rPr>
                <w:b/>
                <w:lang w:val="fr-CA"/>
              </w:rPr>
              <w:t xml:space="preserve">4. </w:t>
            </w:r>
            <w:r w:rsidR="006F5D58" w:rsidRPr="00A27D8A">
              <w:rPr>
                <w:b/>
                <w:lang w:val="fr-CA"/>
              </w:rPr>
              <w:t>Gestion des connaissances et de l’information et communication</w:t>
            </w:r>
          </w:p>
        </w:tc>
      </w:tr>
      <w:tr w:rsidR="00FF1C4E" w:rsidRPr="00A27D8A" w14:paraId="226E1264" w14:textId="77777777" w:rsidTr="003552BB">
        <w:trPr>
          <w:jc w:val="right"/>
        </w:trPr>
        <w:tc>
          <w:tcPr>
            <w:tcW w:w="991" w:type="dxa"/>
          </w:tcPr>
          <w:p w14:paraId="491BD156"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r w:rsidRPr="00A27D8A">
              <w:rPr>
                <w:bCs/>
                <w:lang w:val="fr-CA"/>
              </w:rPr>
              <w:t>9</w:t>
            </w:r>
          </w:p>
        </w:tc>
        <w:tc>
          <w:tcPr>
            <w:tcW w:w="7230" w:type="dxa"/>
          </w:tcPr>
          <w:p w14:paraId="4B3A9B8B"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r w:rsidRPr="00A27D8A">
              <w:rPr>
                <w:lang w:val="fr-CA"/>
              </w:rPr>
              <w:t>Publications</w:t>
            </w:r>
          </w:p>
        </w:tc>
      </w:tr>
      <w:tr w:rsidR="00FF1C4E" w:rsidRPr="00A27D8A" w14:paraId="64E46768" w14:textId="77777777" w:rsidTr="003552BB">
        <w:trPr>
          <w:jc w:val="right"/>
        </w:trPr>
        <w:tc>
          <w:tcPr>
            <w:tcW w:w="991" w:type="dxa"/>
            <w:tcBorders>
              <w:bottom w:val="single" w:sz="4" w:space="0" w:color="auto"/>
            </w:tcBorders>
          </w:tcPr>
          <w:p w14:paraId="73C45992"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r w:rsidRPr="00A27D8A">
              <w:rPr>
                <w:bCs/>
                <w:lang w:val="fr-CA"/>
              </w:rPr>
              <w:t>10</w:t>
            </w:r>
          </w:p>
        </w:tc>
        <w:tc>
          <w:tcPr>
            <w:tcW w:w="7230" w:type="dxa"/>
            <w:tcBorders>
              <w:bottom w:val="single" w:sz="4" w:space="0" w:color="auto"/>
            </w:tcBorders>
          </w:tcPr>
          <w:p w14:paraId="4EAD2EAC" w14:textId="30011088"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r w:rsidRPr="00A27D8A">
              <w:rPr>
                <w:lang w:val="fr-CA"/>
              </w:rPr>
              <w:t xml:space="preserve">Communication, </w:t>
            </w:r>
            <w:r w:rsidR="006F5D58" w:rsidRPr="00A27D8A">
              <w:rPr>
                <w:lang w:val="fr-CA"/>
              </w:rPr>
              <w:t xml:space="preserve">information et sensibilisation du </w:t>
            </w:r>
            <w:r w:rsidRPr="00A27D8A">
              <w:rPr>
                <w:lang w:val="fr-CA"/>
              </w:rPr>
              <w:t xml:space="preserve">public </w:t>
            </w:r>
          </w:p>
        </w:tc>
      </w:tr>
      <w:tr w:rsidR="00FF1C4E" w:rsidRPr="00A27D8A" w14:paraId="2C743174" w14:textId="77777777" w:rsidTr="003552BB">
        <w:trPr>
          <w:jc w:val="right"/>
        </w:trPr>
        <w:tc>
          <w:tcPr>
            <w:tcW w:w="991" w:type="dxa"/>
            <w:tcBorders>
              <w:top w:val="single" w:sz="4" w:space="0" w:color="auto"/>
              <w:bottom w:val="single" w:sz="4" w:space="0" w:color="auto"/>
            </w:tcBorders>
          </w:tcPr>
          <w:p w14:paraId="295FE257"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p>
        </w:tc>
        <w:tc>
          <w:tcPr>
            <w:tcW w:w="7230" w:type="dxa"/>
            <w:tcBorders>
              <w:top w:val="single" w:sz="4" w:space="0" w:color="auto"/>
              <w:bottom w:val="single" w:sz="4" w:space="0" w:color="auto"/>
            </w:tcBorders>
          </w:tcPr>
          <w:p w14:paraId="5E7AEA1D" w14:textId="168FF03C"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fr-CA"/>
              </w:rPr>
            </w:pPr>
            <w:r w:rsidRPr="00A27D8A">
              <w:rPr>
                <w:b/>
                <w:lang w:val="fr-CA"/>
              </w:rPr>
              <w:t xml:space="preserve">5. </w:t>
            </w:r>
            <w:r w:rsidR="006F5D58" w:rsidRPr="00A27D8A">
              <w:rPr>
                <w:b/>
                <w:lang w:val="fr-CA"/>
              </w:rPr>
              <w:t>Gestion générale</w:t>
            </w:r>
          </w:p>
        </w:tc>
      </w:tr>
      <w:tr w:rsidR="00FF1C4E" w:rsidRPr="00A27D8A" w14:paraId="27DD0992" w14:textId="77777777" w:rsidTr="003552BB">
        <w:trPr>
          <w:jc w:val="right"/>
        </w:trPr>
        <w:tc>
          <w:tcPr>
            <w:tcW w:w="991" w:type="dxa"/>
            <w:tcBorders>
              <w:top w:val="single" w:sz="4" w:space="0" w:color="auto"/>
            </w:tcBorders>
          </w:tcPr>
          <w:p w14:paraId="0099FD98"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r w:rsidRPr="00A27D8A">
              <w:rPr>
                <w:bCs/>
                <w:lang w:val="fr-CA"/>
              </w:rPr>
              <w:t>11</w:t>
            </w:r>
          </w:p>
        </w:tc>
        <w:tc>
          <w:tcPr>
            <w:tcW w:w="7230" w:type="dxa"/>
            <w:tcBorders>
              <w:top w:val="single" w:sz="4" w:space="0" w:color="auto"/>
            </w:tcBorders>
          </w:tcPr>
          <w:p w14:paraId="2EA26A84" w14:textId="78FF12DF" w:rsidR="00FF1C4E" w:rsidRPr="00A27D8A" w:rsidRDefault="006F5D58"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r w:rsidRPr="00A27D8A">
              <w:rPr>
                <w:lang w:val="fr-CA"/>
              </w:rPr>
              <w:t>Direction exécutive et administration</w:t>
            </w:r>
          </w:p>
        </w:tc>
      </w:tr>
      <w:tr w:rsidR="00FF1C4E" w:rsidRPr="00A27D8A" w14:paraId="02A95DDB" w14:textId="77777777" w:rsidTr="003552BB">
        <w:trPr>
          <w:jc w:val="right"/>
        </w:trPr>
        <w:tc>
          <w:tcPr>
            <w:tcW w:w="991" w:type="dxa"/>
          </w:tcPr>
          <w:p w14:paraId="65C4ED2E"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r w:rsidRPr="00A27D8A">
              <w:rPr>
                <w:bCs/>
                <w:lang w:val="fr-CA"/>
              </w:rPr>
              <w:t>12</w:t>
            </w:r>
          </w:p>
        </w:tc>
        <w:tc>
          <w:tcPr>
            <w:tcW w:w="7230" w:type="dxa"/>
          </w:tcPr>
          <w:p w14:paraId="4ECBFCAD" w14:textId="0827CEEE" w:rsidR="00FF1C4E" w:rsidRPr="00A27D8A" w:rsidRDefault="006F5D58"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r w:rsidRPr="00A27D8A">
              <w:rPr>
                <w:lang w:val="fr-CA"/>
              </w:rPr>
              <w:t>Coopération et coordination au niveau international</w:t>
            </w:r>
          </w:p>
        </w:tc>
      </w:tr>
      <w:tr w:rsidR="00FF1C4E" w:rsidRPr="00A27D8A" w14:paraId="7E901E40" w14:textId="77777777" w:rsidTr="003552BB">
        <w:trPr>
          <w:jc w:val="right"/>
        </w:trPr>
        <w:tc>
          <w:tcPr>
            <w:tcW w:w="991" w:type="dxa"/>
            <w:tcBorders>
              <w:bottom w:val="single" w:sz="4" w:space="0" w:color="auto"/>
            </w:tcBorders>
          </w:tcPr>
          <w:p w14:paraId="36824857"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r w:rsidRPr="00A27D8A">
              <w:rPr>
                <w:bCs/>
                <w:lang w:val="fr-CA"/>
              </w:rPr>
              <w:t>13</w:t>
            </w:r>
          </w:p>
        </w:tc>
        <w:tc>
          <w:tcPr>
            <w:tcW w:w="7230" w:type="dxa"/>
            <w:tcBorders>
              <w:bottom w:val="single" w:sz="4" w:space="0" w:color="auto"/>
            </w:tcBorders>
          </w:tcPr>
          <w:p w14:paraId="3F1E0AC6" w14:textId="37077C35" w:rsidR="00FF1C4E" w:rsidRPr="00A27D8A" w:rsidRDefault="006F5D58"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r w:rsidRPr="00A27D8A">
              <w:rPr>
                <w:lang w:val="fr-CA"/>
              </w:rPr>
              <w:t>Ressources financières et mécanismes de financement</w:t>
            </w:r>
          </w:p>
        </w:tc>
      </w:tr>
      <w:tr w:rsidR="00FF1C4E" w:rsidRPr="00A27D8A" w14:paraId="4E9600A4" w14:textId="77777777" w:rsidTr="003552BB">
        <w:trPr>
          <w:jc w:val="right"/>
        </w:trPr>
        <w:tc>
          <w:tcPr>
            <w:tcW w:w="991" w:type="dxa"/>
            <w:tcBorders>
              <w:top w:val="single" w:sz="4" w:space="0" w:color="auto"/>
              <w:bottom w:val="single" w:sz="4" w:space="0" w:color="auto"/>
            </w:tcBorders>
          </w:tcPr>
          <w:p w14:paraId="79E572A9"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p>
        </w:tc>
        <w:tc>
          <w:tcPr>
            <w:tcW w:w="7230" w:type="dxa"/>
            <w:tcBorders>
              <w:top w:val="single" w:sz="4" w:space="0" w:color="auto"/>
              <w:bottom w:val="single" w:sz="4" w:space="0" w:color="auto"/>
            </w:tcBorders>
          </w:tcPr>
          <w:p w14:paraId="726CAF82" w14:textId="46DB3EC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u w:val="single"/>
                <w:lang w:val="fr-CA"/>
              </w:rPr>
            </w:pPr>
            <w:r w:rsidRPr="00A27D8A">
              <w:rPr>
                <w:b/>
                <w:lang w:val="fr-CA"/>
              </w:rPr>
              <w:t xml:space="preserve">6. </w:t>
            </w:r>
            <w:r w:rsidR="006F5D58" w:rsidRPr="00A27D8A">
              <w:rPr>
                <w:b/>
                <w:lang w:val="fr-CA"/>
              </w:rPr>
              <w:t>Activités juridiques et de politique générale</w:t>
            </w:r>
          </w:p>
        </w:tc>
      </w:tr>
      <w:tr w:rsidR="00FF1C4E" w:rsidRPr="00A27D8A" w14:paraId="3678387B" w14:textId="77777777" w:rsidTr="003552BB">
        <w:trPr>
          <w:jc w:val="right"/>
        </w:trPr>
        <w:tc>
          <w:tcPr>
            <w:tcW w:w="991" w:type="dxa"/>
            <w:tcBorders>
              <w:top w:val="single" w:sz="4" w:space="0" w:color="auto"/>
            </w:tcBorders>
          </w:tcPr>
          <w:p w14:paraId="6BA37B80"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r w:rsidRPr="00A27D8A">
              <w:rPr>
                <w:bCs/>
                <w:lang w:val="fr-CA"/>
              </w:rPr>
              <w:t>14</w:t>
            </w:r>
          </w:p>
        </w:tc>
        <w:tc>
          <w:tcPr>
            <w:tcW w:w="7230" w:type="dxa"/>
            <w:tcBorders>
              <w:top w:val="single" w:sz="4" w:space="0" w:color="auto"/>
            </w:tcBorders>
          </w:tcPr>
          <w:p w14:paraId="79C5DB3A" w14:textId="0434FC3E" w:rsidR="00FF1C4E" w:rsidRPr="00A27D8A" w:rsidRDefault="006F5D58"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r w:rsidRPr="00A27D8A">
              <w:rPr>
                <w:lang w:val="fr-CA"/>
              </w:rPr>
              <w:t>Activités juridiques et de politique générale</w:t>
            </w:r>
          </w:p>
        </w:tc>
      </w:tr>
      <w:tr w:rsidR="00FF1C4E" w:rsidRPr="00A27D8A" w14:paraId="31B501C5" w14:textId="77777777" w:rsidTr="003552BB">
        <w:trPr>
          <w:jc w:val="right"/>
        </w:trPr>
        <w:tc>
          <w:tcPr>
            <w:tcW w:w="991" w:type="dxa"/>
            <w:tcBorders>
              <w:top w:val="single" w:sz="4" w:space="0" w:color="auto"/>
              <w:bottom w:val="single" w:sz="4" w:space="0" w:color="auto"/>
            </w:tcBorders>
          </w:tcPr>
          <w:p w14:paraId="3D1B9CA0"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p>
        </w:tc>
        <w:tc>
          <w:tcPr>
            <w:tcW w:w="7230" w:type="dxa"/>
            <w:tcBorders>
              <w:top w:val="single" w:sz="4" w:space="0" w:color="auto"/>
              <w:bottom w:val="single" w:sz="4" w:space="0" w:color="auto"/>
            </w:tcBorders>
          </w:tcPr>
          <w:p w14:paraId="67548D13" w14:textId="7062FC95"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fr-CA"/>
              </w:rPr>
            </w:pPr>
            <w:r w:rsidRPr="00A27D8A">
              <w:rPr>
                <w:b/>
                <w:lang w:val="fr-CA"/>
              </w:rPr>
              <w:t xml:space="preserve">7. </w:t>
            </w:r>
            <w:r w:rsidR="006F5D58" w:rsidRPr="00A27D8A">
              <w:rPr>
                <w:b/>
                <w:lang w:val="fr-CA"/>
              </w:rPr>
              <w:t>Entretien des locaux et services</w:t>
            </w:r>
          </w:p>
        </w:tc>
      </w:tr>
      <w:tr w:rsidR="00FF1C4E" w:rsidRPr="00A27D8A" w14:paraId="262061ED" w14:textId="77777777" w:rsidTr="003552BB">
        <w:trPr>
          <w:jc w:val="right"/>
        </w:trPr>
        <w:tc>
          <w:tcPr>
            <w:tcW w:w="991" w:type="dxa"/>
            <w:tcBorders>
              <w:top w:val="single" w:sz="4" w:space="0" w:color="auto"/>
            </w:tcBorders>
          </w:tcPr>
          <w:p w14:paraId="0811C3AD"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r w:rsidRPr="00A27D8A">
              <w:rPr>
                <w:bCs/>
                <w:lang w:val="fr-CA"/>
              </w:rPr>
              <w:t>15</w:t>
            </w:r>
          </w:p>
        </w:tc>
        <w:tc>
          <w:tcPr>
            <w:tcW w:w="7230" w:type="dxa"/>
            <w:tcBorders>
              <w:top w:val="single" w:sz="4" w:space="0" w:color="auto"/>
            </w:tcBorders>
          </w:tcPr>
          <w:p w14:paraId="2C8C86E9" w14:textId="242C270F" w:rsidR="00FF1C4E" w:rsidRPr="00A27D8A" w:rsidRDefault="006F5D58"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r w:rsidRPr="00A27D8A">
              <w:rPr>
                <w:lang w:val="fr-CA"/>
              </w:rPr>
              <w:t>Entretien des locaux et services</w:t>
            </w:r>
            <w:r w:rsidR="00FF1C4E" w:rsidRPr="00A27D8A">
              <w:rPr>
                <w:lang w:val="fr-CA"/>
              </w:rPr>
              <w:t xml:space="preserve"> </w:t>
            </w:r>
          </w:p>
        </w:tc>
      </w:tr>
      <w:tr w:rsidR="00FF1C4E" w:rsidRPr="00A27D8A" w14:paraId="41931B36" w14:textId="77777777" w:rsidTr="003552BB">
        <w:trPr>
          <w:jc w:val="right"/>
        </w:trPr>
        <w:tc>
          <w:tcPr>
            <w:tcW w:w="991" w:type="dxa"/>
            <w:tcBorders>
              <w:bottom w:val="single" w:sz="12" w:space="0" w:color="auto"/>
            </w:tcBorders>
          </w:tcPr>
          <w:p w14:paraId="43598D4D" w14:textId="77777777" w:rsidR="00FF1C4E" w:rsidRPr="00A27D8A"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fr-CA"/>
              </w:rPr>
            </w:pPr>
            <w:r w:rsidRPr="00A27D8A">
              <w:rPr>
                <w:bCs/>
                <w:lang w:val="fr-CA"/>
              </w:rPr>
              <w:t>16</w:t>
            </w:r>
          </w:p>
        </w:tc>
        <w:tc>
          <w:tcPr>
            <w:tcW w:w="7230" w:type="dxa"/>
            <w:tcBorders>
              <w:bottom w:val="single" w:sz="12" w:space="0" w:color="auto"/>
            </w:tcBorders>
          </w:tcPr>
          <w:p w14:paraId="5D8E9265" w14:textId="6C5C753C" w:rsidR="00FF1C4E" w:rsidRPr="00A27D8A" w:rsidRDefault="006F5D58"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fr-CA"/>
              </w:rPr>
            </w:pPr>
            <w:r w:rsidRPr="00A27D8A">
              <w:rPr>
                <w:lang w:val="fr-CA"/>
              </w:rPr>
              <w:t>Services en matière de technologies de l’information</w:t>
            </w:r>
          </w:p>
        </w:tc>
      </w:tr>
    </w:tbl>
    <w:tbl>
      <w:tblPr>
        <w:tblStyle w:val="PlainTable41"/>
        <w:tblW w:w="0" w:type="auto"/>
        <w:tblLook w:val="04A0" w:firstRow="1" w:lastRow="0" w:firstColumn="1" w:lastColumn="0" w:noHBand="0" w:noVBand="1"/>
      </w:tblPr>
      <w:tblGrid>
        <w:gridCol w:w="1897"/>
        <w:gridCol w:w="1897"/>
        <w:gridCol w:w="1897"/>
        <w:gridCol w:w="1898"/>
        <w:gridCol w:w="1898"/>
      </w:tblGrid>
      <w:tr w:rsidR="00D2022F" w:rsidRPr="00A27D8A" w14:paraId="3414B89F" w14:textId="77777777" w:rsidTr="00D202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416FAD0A" w14:textId="77777777" w:rsidR="00D2022F" w:rsidRPr="00A27D8A" w:rsidRDefault="00D2022F" w:rsidP="00D2022F">
            <w:pPr>
              <w:pStyle w:val="Normal-pool"/>
              <w:spacing w:before="520"/>
              <w:rPr>
                <w:rFonts w:eastAsia="Calibri"/>
                <w:lang w:val="fr-CA"/>
              </w:rPr>
            </w:pPr>
          </w:p>
        </w:tc>
        <w:tc>
          <w:tcPr>
            <w:tcW w:w="1897" w:type="dxa"/>
          </w:tcPr>
          <w:p w14:paraId="744E2C06" w14:textId="77777777" w:rsidR="00D2022F" w:rsidRPr="00A27D8A" w:rsidRDefault="00D2022F" w:rsidP="00D2022F">
            <w:pPr>
              <w:pStyle w:val="Normal-pool"/>
              <w:spacing w:before="520"/>
              <w:cnfStyle w:val="100000000000" w:firstRow="1" w:lastRow="0" w:firstColumn="0" w:lastColumn="0" w:oddVBand="0" w:evenVBand="0" w:oddHBand="0" w:evenHBand="0" w:firstRowFirstColumn="0" w:firstRowLastColumn="0" w:lastRowFirstColumn="0" w:lastRowLastColumn="0"/>
              <w:rPr>
                <w:rFonts w:eastAsia="Calibri"/>
                <w:lang w:val="fr-CA"/>
              </w:rPr>
            </w:pPr>
          </w:p>
        </w:tc>
        <w:tc>
          <w:tcPr>
            <w:tcW w:w="1897" w:type="dxa"/>
            <w:tcBorders>
              <w:bottom w:val="single" w:sz="4" w:space="0" w:color="auto"/>
            </w:tcBorders>
          </w:tcPr>
          <w:p w14:paraId="75FBE8BF" w14:textId="77777777" w:rsidR="00D2022F" w:rsidRPr="00A27D8A" w:rsidRDefault="00D2022F" w:rsidP="00D2022F">
            <w:pPr>
              <w:pStyle w:val="Normal-pool"/>
              <w:spacing w:before="520"/>
              <w:cnfStyle w:val="100000000000" w:firstRow="1" w:lastRow="0" w:firstColumn="0" w:lastColumn="0" w:oddVBand="0" w:evenVBand="0" w:oddHBand="0" w:evenHBand="0" w:firstRowFirstColumn="0" w:firstRowLastColumn="0" w:lastRowFirstColumn="0" w:lastRowLastColumn="0"/>
              <w:rPr>
                <w:rFonts w:eastAsia="Calibri"/>
                <w:lang w:val="fr-CA"/>
              </w:rPr>
            </w:pPr>
          </w:p>
        </w:tc>
        <w:tc>
          <w:tcPr>
            <w:tcW w:w="1898" w:type="dxa"/>
          </w:tcPr>
          <w:p w14:paraId="5C1CF048" w14:textId="77777777" w:rsidR="00D2022F" w:rsidRPr="00A27D8A" w:rsidRDefault="00D2022F" w:rsidP="00D2022F">
            <w:pPr>
              <w:pStyle w:val="Normal-pool"/>
              <w:spacing w:before="520"/>
              <w:cnfStyle w:val="100000000000" w:firstRow="1" w:lastRow="0" w:firstColumn="0" w:lastColumn="0" w:oddVBand="0" w:evenVBand="0" w:oddHBand="0" w:evenHBand="0" w:firstRowFirstColumn="0" w:firstRowLastColumn="0" w:lastRowFirstColumn="0" w:lastRowLastColumn="0"/>
              <w:rPr>
                <w:rFonts w:eastAsia="Calibri"/>
                <w:lang w:val="fr-CA"/>
              </w:rPr>
            </w:pPr>
          </w:p>
        </w:tc>
        <w:tc>
          <w:tcPr>
            <w:tcW w:w="1898" w:type="dxa"/>
          </w:tcPr>
          <w:p w14:paraId="5D3ACE99" w14:textId="77777777" w:rsidR="00D2022F" w:rsidRPr="00A27D8A" w:rsidRDefault="00D2022F" w:rsidP="00D2022F">
            <w:pPr>
              <w:pStyle w:val="Normal-pool"/>
              <w:spacing w:before="520"/>
              <w:cnfStyle w:val="100000000000" w:firstRow="1" w:lastRow="0" w:firstColumn="0" w:lastColumn="0" w:oddVBand="0" w:evenVBand="0" w:oddHBand="0" w:evenHBand="0" w:firstRowFirstColumn="0" w:firstRowLastColumn="0" w:lastRowFirstColumn="0" w:lastRowLastColumn="0"/>
              <w:rPr>
                <w:rFonts w:eastAsia="Calibri"/>
                <w:lang w:val="fr-CA"/>
              </w:rPr>
            </w:pPr>
          </w:p>
        </w:tc>
      </w:tr>
    </w:tbl>
    <w:p w14:paraId="43CA7C20" w14:textId="77777777" w:rsidR="00040F66" w:rsidRPr="00A27D8A" w:rsidRDefault="00040F66" w:rsidP="00040F66">
      <w:pPr>
        <w:pStyle w:val="Normal-pool"/>
        <w:rPr>
          <w:rFonts w:eastAsia="Calibri"/>
          <w:lang w:val="fr-CA"/>
        </w:rPr>
      </w:pPr>
      <w:bookmarkStart w:id="14" w:name="_GoBack"/>
      <w:bookmarkEnd w:id="14"/>
    </w:p>
    <w:sectPr w:rsidR="00040F66" w:rsidRPr="00A27D8A" w:rsidSect="00A816C6">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6D82C" w14:textId="77777777" w:rsidR="00104893" w:rsidRDefault="00104893">
      <w:r>
        <w:separator/>
      </w:r>
    </w:p>
  </w:endnote>
  <w:endnote w:type="continuationSeparator" w:id="0">
    <w:p w14:paraId="60D49C0C" w14:textId="77777777" w:rsidR="00104893" w:rsidRDefault="0010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FA2F1" w14:textId="1545E85D" w:rsidR="00A22ECB" w:rsidRDefault="00A22ECB">
    <w:pPr>
      <w:pStyle w:val="Footer"/>
    </w:pPr>
    <w:r>
      <w:rPr>
        <w:rStyle w:val="PageNumber"/>
      </w:rPr>
      <w:fldChar w:fldCharType="begin"/>
    </w:r>
    <w:r>
      <w:rPr>
        <w:rStyle w:val="PageNumber"/>
      </w:rPr>
      <w:instrText xml:space="preserve"> PAGE </w:instrText>
    </w:r>
    <w:r>
      <w:rPr>
        <w:rStyle w:val="PageNumber"/>
      </w:rPr>
      <w:fldChar w:fldCharType="separate"/>
    </w:r>
    <w:r w:rsidR="003552BB">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F1944" w14:textId="448AC74C" w:rsidR="00A22ECB" w:rsidRDefault="00A22ECB"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F4D58">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14040" w14:textId="722AFB7A" w:rsidR="00A22ECB" w:rsidRDefault="00A22ECB">
    <w:pPr>
      <w:pStyle w:val="Footer"/>
    </w:pPr>
    <w:r>
      <w:t>K1707119</w:t>
    </w:r>
    <w:r>
      <w:tab/>
    </w:r>
    <w:r w:rsidR="00732991">
      <w:t>0709</w:t>
    </w:r>
    <w: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8F26E" w14:textId="77777777" w:rsidR="00104893" w:rsidRPr="00636DD8" w:rsidRDefault="00104893" w:rsidP="00636DD8">
      <w:pPr>
        <w:tabs>
          <w:tab w:val="clear" w:pos="1247"/>
          <w:tab w:val="clear" w:pos="1814"/>
          <w:tab w:val="clear" w:pos="2381"/>
          <w:tab w:val="clear" w:pos="2948"/>
          <w:tab w:val="clear" w:pos="3515"/>
          <w:tab w:val="left" w:pos="624"/>
        </w:tabs>
        <w:spacing w:before="60"/>
        <w:ind w:left="624"/>
        <w:rPr>
          <w:sz w:val="18"/>
          <w:szCs w:val="18"/>
        </w:rPr>
      </w:pPr>
      <w:r w:rsidRPr="00636DD8">
        <w:rPr>
          <w:sz w:val="18"/>
          <w:szCs w:val="18"/>
        </w:rPr>
        <w:separator/>
      </w:r>
    </w:p>
  </w:footnote>
  <w:footnote w:type="continuationSeparator" w:id="0">
    <w:p w14:paraId="05BE7693" w14:textId="77777777" w:rsidR="00104893" w:rsidRDefault="00104893">
      <w:r>
        <w:continuationSeparator/>
      </w:r>
    </w:p>
  </w:footnote>
  <w:footnote w:id="1">
    <w:p w14:paraId="34211281" w14:textId="77777777" w:rsidR="00A22ECB" w:rsidRPr="009C3090" w:rsidRDefault="00A22ECB" w:rsidP="00CC4FD8">
      <w:pPr>
        <w:tabs>
          <w:tab w:val="left" w:pos="624"/>
        </w:tabs>
        <w:spacing w:before="20" w:after="40"/>
        <w:ind w:left="1247"/>
        <w:rPr>
          <w:sz w:val="18"/>
          <w:szCs w:val="18"/>
        </w:rPr>
      </w:pPr>
      <w:r w:rsidRPr="009C3090">
        <w:rPr>
          <w:sz w:val="18"/>
          <w:szCs w:val="18"/>
        </w:rPr>
        <w:t>* UNEP/MC/COP.1/1.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CD1AC" w14:textId="616892A1" w:rsidR="00A22ECB" w:rsidRPr="005642B6" w:rsidRDefault="00A22ECB" w:rsidP="005642B6">
    <w:pPr>
      <w:pStyle w:val="Header"/>
    </w:pPr>
    <w:r w:rsidRPr="005642B6">
      <w:rPr>
        <w:lang w:val="en-US"/>
      </w:rPr>
      <w:t>UNEP/MC/COP.1/21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728C" w14:textId="03CE048E" w:rsidR="00A22ECB" w:rsidRPr="0065130E" w:rsidRDefault="00A22ECB" w:rsidP="0065130E">
    <w:pPr>
      <w:pStyle w:val="Header"/>
    </w:pPr>
    <w:r w:rsidRPr="0065130E">
      <w:rPr>
        <w:lang w:val="en-US"/>
      </w:rPr>
      <w:t>UNEP/MC/COP.1/21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231C" w14:textId="4E31A3DF" w:rsidR="00A22ECB" w:rsidRDefault="00A22ECB" w:rsidP="00AE43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7C5756C"/>
    <w:multiLevelType w:val="hybridMultilevel"/>
    <w:tmpl w:val="8716BDF2"/>
    <w:lvl w:ilvl="0" w:tplc="DD28C7D8">
      <w:start w:val="34"/>
      <w:numFmt w:val="decimal"/>
      <w:pStyle w:val="Level1"/>
      <w:lvlText w:val="%1."/>
      <w:lvlJc w:val="left"/>
      <w:pPr>
        <w:tabs>
          <w:tab w:val="num" w:pos="578"/>
        </w:tabs>
        <w:ind w:left="578" w:firstLine="0"/>
      </w:pPr>
      <w:rPr>
        <w:rFonts w:ascii="Times New Roman" w:hAnsi="Times New Roman" w:hint="default"/>
        <w:b w:val="0"/>
        <w:i w:val="0"/>
        <w:sz w:val="20"/>
        <w:szCs w:val="20"/>
      </w:rPr>
    </w:lvl>
    <w:lvl w:ilvl="1" w:tplc="54243CD6" w:tentative="1">
      <w:start w:val="1"/>
      <w:numFmt w:val="lowerLetter"/>
      <w:lvlText w:val="%2."/>
      <w:lvlJc w:val="left"/>
      <w:pPr>
        <w:tabs>
          <w:tab w:val="num" w:pos="1440"/>
        </w:tabs>
        <w:ind w:left="1440" w:hanging="360"/>
      </w:pPr>
    </w:lvl>
    <w:lvl w:ilvl="2" w:tplc="568ED738" w:tentative="1">
      <w:start w:val="1"/>
      <w:numFmt w:val="lowerRoman"/>
      <w:lvlText w:val="%3."/>
      <w:lvlJc w:val="right"/>
      <w:pPr>
        <w:tabs>
          <w:tab w:val="num" w:pos="2160"/>
        </w:tabs>
        <w:ind w:left="2160" w:hanging="180"/>
      </w:pPr>
    </w:lvl>
    <w:lvl w:ilvl="3" w:tplc="FFD070A0" w:tentative="1">
      <w:start w:val="1"/>
      <w:numFmt w:val="decimal"/>
      <w:lvlText w:val="%4."/>
      <w:lvlJc w:val="left"/>
      <w:pPr>
        <w:tabs>
          <w:tab w:val="num" w:pos="2880"/>
        </w:tabs>
        <w:ind w:left="2880" w:hanging="360"/>
      </w:pPr>
    </w:lvl>
    <w:lvl w:ilvl="4" w:tplc="4E50DE1C" w:tentative="1">
      <w:start w:val="1"/>
      <w:numFmt w:val="lowerLetter"/>
      <w:lvlText w:val="%5."/>
      <w:lvlJc w:val="left"/>
      <w:pPr>
        <w:tabs>
          <w:tab w:val="num" w:pos="3600"/>
        </w:tabs>
        <w:ind w:left="3600" w:hanging="360"/>
      </w:pPr>
    </w:lvl>
    <w:lvl w:ilvl="5" w:tplc="90D4C250" w:tentative="1">
      <w:start w:val="1"/>
      <w:numFmt w:val="lowerRoman"/>
      <w:lvlText w:val="%6."/>
      <w:lvlJc w:val="right"/>
      <w:pPr>
        <w:tabs>
          <w:tab w:val="num" w:pos="4320"/>
        </w:tabs>
        <w:ind w:left="4320" w:hanging="180"/>
      </w:pPr>
    </w:lvl>
    <w:lvl w:ilvl="6" w:tplc="25EAE8E4" w:tentative="1">
      <w:start w:val="1"/>
      <w:numFmt w:val="decimal"/>
      <w:lvlText w:val="%7."/>
      <w:lvlJc w:val="left"/>
      <w:pPr>
        <w:tabs>
          <w:tab w:val="num" w:pos="5040"/>
        </w:tabs>
        <w:ind w:left="5040" w:hanging="360"/>
      </w:pPr>
    </w:lvl>
    <w:lvl w:ilvl="7" w:tplc="14DA7768" w:tentative="1">
      <w:start w:val="1"/>
      <w:numFmt w:val="lowerLetter"/>
      <w:lvlText w:val="%8."/>
      <w:lvlJc w:val="left"/>
      <w:pPr>
        <w:tabs>
          <w:tab w:val="num" w:pos="5760"/>
        </w:tabs>
        <w:ind w:left="5760" w:hanging="360"/>
      </w:pPr>
    </w:lvl>
    <w:lvl w:ilvl="8" w:tplc="2CA07D02" w:tentative="1">
      <w:start w:val="1"/>
      <w:numFmt w:val="lowerRoman"/>
      <w:lvlText w:val="%9."/>
      <w:lvlJc w:val="right"/>
      <w:pPr>
        <w:tabs>
          <w:tab w:val="num" w:pos="6480"/>
        </w:tabs>
        <w:ind w:left="6480" w:hanging="180"/>
      </w:pPr>
    </w:lvl>
  </w:abstractNum>
  <w:abstractNum w:abstractNumId="3" w15:restartNumberingAfterBreak="0">
    <w:nsid w:val="34D8005F"/>
    <w:multiLevelType w:val="hybridMultilevel"/>
    <w:tmpl w:val="74D48574"/>
    <w:lvl w:ilvl="0" w:tplc="C8D66788">
      <w:start w:val="1"/>
      <w:numFmt w:val="decimal"/>
      <w:pStyle w:val="Normalnumber"/>
      <w:lvlText w:val="%1."/>
      <w:lvlJc w:val="left"/>
      <w:pPr>
        <w:ind w:left="1530" w:hanging="360"/>
      </w:pPr>
      <w:rPr>
        <w:rFonts w:hint="default"/>
        <w:b w:val="0"/>
        <w:i w:val="0"/>
      </w:rPr>
    </w:lvl>
    <w:lvl w:ilvl="1" w:tplc="42F2B00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3ACE28C5"/>
    <w:multiLevelType w:val="hybridMultilevel"/>
    <w:tmpl w:val="FA8A3840"/>
    <w:lvl w:ilvl="0" w:tplc="7A2EB4FC">
      <w:start w:val="1"/>
      <w:numFmt w:val="lowerLetter"/>
      <w:lvlText w:val="%1)"/>
      <w:lvlJc w:val="left"/>
      <w:pPr>
        <w:ind w:left="1530" w:hanging="360"/>
      </w:pPr>
      <w:rPr>
        <w:rFonts w:ascii="Times New Roman" w:eastAsia="Times New Roman" w:hAnsi="Times New Roman" w:cs="Times New Roman"/>
        <w:b w:val="0"/>
        <w:i w:val="0"/>
      </w:rPr>
    </w:lvl>
    <w:lvl w:ilvl="1" w:tplc="FF98245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532D1D36"/>
    <w:multiLevelType w:val="hybridMultilevel"/>
    <w:tmpl w:val="B2F04A9E"/>
    <w:lvl w:ilvl="0" w:tplc="C8D66788">
      <w:start w:val="1"/>
      <w:numFmt w:val="decimal"/>
      <w:lvlText w:val="%1."/>
      <w:lvlJc w:val="left"/>
      <w:pPr>
        <w:ind w:left="1530" w:hanging="360"/>
      </w:pPr>
      <w:rPr>
        <w:rFonts w:hint="default"/>
        <w:b w:val="0"/>
        <w:i w:val="0"/>
      </w:r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7209F6C">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6"/>
  </w:num>
  <w:num w:numId="2">
    <w:abstractNumId w:val="1"/>
  </w:num>
  <w:num w:numId="3">
    <w:abstractNumId w:val="4"/>
  </w:num>
  <w:num w:numId="4">
    <w:abstractNumId w:val="0"/>
  </w:num>
  <w:num w:numId="5">
    <w:abstractNumId w:val="2"/>
  </w:num>
  <w:num w:numId="6">
    <w:abstractNumId w:val="8"/>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7"/>
  </w:num>
  <w:num w:numId="68">
    <w:abstractNumId w:val="3"/>
  </w:num>
  <w:num w:numId="69">
    <w:abstractNumId w:val="3"/>
  </w:num>
  <w:num w:numId="70">
    <w:abstractNumId w:val="3"/>
  </w:num>
  <w:num w:numId="71">
    <w:abstractNumId w:val="3"/>
  </w:num>
  <w:num w:numId="72">
    <w:abstractNumId w:val="3"/>
  </w:num>
  <w:num w:numId="73">
    <w:abstractNumId w:val="3"/>
  </w:num>
  <w:num w:numId="74">
    <w:abstractNumId w:val="3"/>
  </w:num>
  <w:num w:numId="75">
    <w:abstractNumId w:val="3"/>
  </w:num>
  <w:num w:numId="76">
    <w:abstractNumId w:val="3"/>
  </w:num>
  <w:num w:numId="77">
    <w:abstractNumId w:val="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18"/>
    <w:rsid w:val="000005B2"/>
    <w:rsid w:val="00002490"/>
    <w:rsid w:val="000032CE"/>
    <w:rsid w:val="00004393"/>
    <w:rsid w:val="00004744"/>
    <w:rsid w:val="00005808"/>
    <w:rsid w:val="00006B07"/>
    <w:rsid w:val="0001018F"/>
    <w:rsid w:val="00010465"/>
    <w:rsid w:val="000113F1"/>
    <w:rsid w:val="0001274D"/>
    <w:rsid w:val="00013A3A"/>
    <w:rsid w:val="0001425E"/>
    <w:rsid w:val="000149E6"/>
    <w:rsid w:val="00016078"/>
    <w:rsid w:val="0001790A"/>
    <w:rsid w:val="00020A06"/>
    <w:rsid w:val="00022D32"/>
    <w:rsid w:val="00023440"/>
    <w:rsid w:val="000244D0"/>
    <w:rsid w:val="000247B0"/>
    <w:rsid w:val="00024938"/>
    <w:rsid w:val="00024BCC"/>
    <w:rsid w:val="0002540B"/>
    <w:rsid w:val="000268EC"/>
    <w:rsid w:val="00026997"/>
    <w:rsid w:val="00026A9B"/>
    <w:rsid w:val="000278E9"/>
    <w:rsid w:val="00027A20"/>
    <w:rsid w:val="00027A65"/>
    <w:rsid w:val="00030C1A"/>
    <w:rsid w:val="00031A11"/>
    <w:rsid w:val="00031A96"/>
    <w:rsid w:val="00032A06"/>
    <w:rsid w:val="00032E34"/>
    <w:rsid w:val="000335F1"/>
    <w:rsid w:val="00033A66"/>
    <w:rsid w:val="00033E0B"/>
    <w:rsid w:val="000347EA"/>
    <w:rsid w:val="00035EDE"/>
    <w:rsid w:val="00037F2D"/>
    <w:rsid w:val="0004005F"/>
    <w:rsid w:val="00040F66"/>
    <w:rsid w:val="00041C0C"/>
    <w:rsid w:val="0004308E"/>
    <w:rsid w:val="0004535C"/>
    <w:rsid w:val="00045A1D"/>
    <w:rsid w:val="0004653A"/>
    <w:rsid w:val="00046ED2"/>
    <w:rsid w:val="000472C9"/>
    <w:rsid w:val="00050462"/>
    <w:rsid w:val="0005054B"/>
    <w:rsid w:val="000509B4"/>
    <w:rsid w:val="00050CEB"/>
    <w:rsid w:val="00053859"/>
    <w:rsid w:val="00054380"/>
    <w:rsid w:val="000550A3"/>
    <w:rsid w:val="00057E6E"/>
    <w:rsid w:val="0006035B"/>
    <w:rsid w:val="00060625"/>
    <w:rsid w:val="00061B9C"/>
    <w:rsid w:val="00062993"/>
    <w:rsid w:val="00064641"/>
    <w:rsid w:val="00065928"/>
    <w:rsid w:val="00065E8D"/>
    <w:rsid w:val="0006674D"/>
    <w:rsid w:val="00066F75"/>
    <w:rsid w:val="00070486"/>
    <w:rsid w:val="00071705"/>
    <w:rsid w:val="00071886"/>
    <w:rsid w:val="00072269"/>
    <w:rsid w:val="00072BF1"/>
    <w:rsid w:val="00072D5C"/>
    <w:rsid w:val="00073987"/>
    <w:rsid w:val="000742BC"/>
    <w:rsid w:val="00074FFF"/>
    <w:rsid w:val="0007771A"/>
    <w:rsid w:val="000810AE"/>
    <w:rsid w:val="00081A19"/>
    <w:rsid w:val="00081CA8"/>
    <w:rsid w:val="000822E1"/>
    <w:rsid w:val="00082A0C"/>
    <w:rsid w:val="00083504"/>
    <w:rsid w:val="00083D93"/>
    <w:rsid w:val="000866B9"/>
    <w:rsid w:val="000867B1"/>
    <w:rsid w:val="00086F84"/>
    <w:rsid w:val="0008780C"/>
    <w:rsid w:val="000904A7"/>
    <w:rsid w:val="00092DFD"/>
    <w:rsid w:val="000943B9"/>
    <w:rsid w:val="00094EB6"/>
    <w:rsid w:val="00095199"/>
    <w:rsid w:val="0009539A"/>
    <w:rsid w:val="000962BA"/>
    <w:rsid w:val="000962D9"/>
    <w:rsid w:val="0009640C"/>
    <w:rsid w:val="00096574"/>
    <w:rsid w:val="00096BBD"/>
    <w:rsid w:val="000A18EA"/>
    <w:rsid w:val="000A4BAB"/>
    <w:rsid w:val="000A4D3B"/>
    <w:rsid w:val="000A6BE1"/>
    <w:rsid w:val="000A7CE7"/>
    <w:rsid w:val="000B08F0"/>
    <w:rsid w:val="000B0BC0"/>
    <w:rsid w:val="000B0DAC"/>
    <w:rsid w:val="000B22A2"/>
    <w:rsid w:val="000B354F"/>
    <w:rsid w:val="000B36CD"/>
    <w:rsid w:val="000B475F"/>
    <w:rsid w:val="000B4B86"/>
    <w:rsid w:val="000B5CC0"/>
    <w:rsid w:val="000B6CE1"/>
    <w:rsid w:val="000C1DAC"/>
    <w:rsid w:val="000C28C3"/>
    <w:rsid w:val="000C2A52"/>
    <w:rsid w:val="000C2EEA"/>
    <w:rsid w:val="000C2F85"/>
    <w:rsid w:val="000C3A37"/>
    <w:rsid w:val="000C3FC9"/>
    <w:rsid w:val="000C5A20"/>
    <w:rsid w:val="000C790F"/>
    <w:rsid w:val="000C7B0C"/>
    <w:rsid w:val="000D105B"/>
    <w:rsid w:val="000D1381"/>
    <w:rsid w:val="000D21AB"/>
    <w:rsid w:val="000D2FC2"/>
    <w:rsid w:val="000D33C0"/>
    <w:rsid w:val="000D355B"/>
    <w:rsid w:val="000D4F3B"/>
    <w:rsid w:val="000D5438"/>
    <w:rsid w:val="000D5A08"/>
    <w:rsid w:val="000D6941"/>
    <w:rsid w:val="000D7B5D"/>
    <w:rsid w:val="000D7C58"/>
    <w:rsid w:val="000E05D3"/>
    <w:rsid w:val="000E301B"/>
    <w:rsid w:val="000E3AB0"/>
    <w:rsid w:val="000E44C1"/>
    <w:rsid w:val="000E45DE"/>
    <w:rsid w:val="000E5516"/>
    <w:rsid w:val="000E55D9"/>
    <w:rsid w:val="000E62F0"/>
    <w:rsid w:val="000F1744"/>
    <w:rsid w:val="000F300E"/>
    <w:rsid w:val="000F3C6F"/>
    <w:rsid w:val="000F4888"/>
    <w:rsid w:val="000F49FA"/>
    <w:rsid w:val="000F68CE"/>
    <w:rsid w:val="001017D8"/>
    <w:rsid w:val="00101884"/>
    <w:rsid w:val="001021E3"/>
    <w:rsid w:val="00102297"/>
    <w:rsid w:val="00103700"/>
    <w:rsid w:val="001037D0"/>
    <w:rsid w:val="00103FA6"/>
    <w:rsid w:val="00104893"/>
    <w:rsid w:val="00104B1C"/>
    <w:rsid w:val="00106A80"/>
    <w:rsid w:val="00107835"/>
    <w:rsid w:val="001106D7"/>
    <w:rsid w:val="001117B9"/>
    <w:rsid w:val="00112029"/>
    <w:rsid w:val="0011334F"/>
    <w:rsid w:val="001134DA"/>
    <w:rsid w:val="00115B14"/>
    <w:rsid w:val="0011610A"/>
    <w:rsid w:val="001170F8"/>
    <w:rsid w:val="001202E3"/>
    <w:rsid w:val="00120EAE"/>
    <w:rsid w:val="00121918"/>
    <w:rsid w:val="001226EB"/>
    <w:rsid w:val="00123699"/>
    <w:rsid w:val="00124F81"/>
    <w:rsid w:val="00125582"/>
    <w:rsid w:val="001258EC"/>
    <w:rsid w:val="001267F5"/>
    <w:rsid w:val="0012769F"/>
    <w:rsid w:val="00127A99"/>
    <w:rsid w:val="0013059D"/>
    <w:rsid w:val="001332A0"/>
    <w:rsid w:val="001341D4"/>
    <w:rsid w:val="001346F4"/>
    <w:rsid w:val="00134E8E"/>
    <w:rsid w:val="00135676"/>
    <w:rsid w:val="0013622A"/>
    <w:rsid w:val="00136795"/>
    <w:rsid w:val="00141A55"/>
    <w:rsid w:val="00143F7A"/>
    <w:rsid w:val="001446A3"/>
    <w:rsid w:val="00144B2F"/>
    <w:rsid w:val="00150898"/>
    <w:rsid w:val="00150A3D"/>
    <w:rsid w:val="00151EC9"/>
    <w:rsid w:val="001547A0"/>
    <w:rsid w:val="00154EB2"/>
    <w:rsid w:val="00155395"/>
    <w:rsid w:val="00155B13"/>
    <w:rsid w:val="00156829"/>
    <w:rsid w:val="00157143"/>
    <w:rsid w:val="00160D74"/>
    <w:rsid w:val="00162EAC"/>
    <w:rsid w:val="00167D02"/>
    <w:rsid w:val="001701C1"/>
    <w:rsid w:val="00171E78"/>
    <w:rsid w:val="00174E0D"/>
    <w:rsid w:val="00181EC8"/>
    <w:rsid w:val="00182E89"/>
    <w:rsid w:val="00184349"/>
    <w:rsid w:val="00187377"/>
    <w:rsid w:val="00190B61"/>
    <w:rsid w:val="00191000"/>
    <w:rsid w:val="00192F8E"/>
    <w:rsid w:val="0019304F"/>
    <w:rsid w:val="00193217"/>
    <w:rsid w:val="0019380A"/>
    <w:rsid w:val="00195F33"/>
    <w:rsid w:val="001979F4"/>
    <w:rsid w:val="001A0AE1"/>
    <w:rsid w:val="001A1F8B"/>
    <w:rsid w:val="001A67C0"/>
    <w:rsid w:val="001A6E96"/>
    <w:rsid w:val="001A7224"/>
    <w:rsid w:val="001A7557"/>
    <w:rsid w:val="001A7E34"/>
    <w:rsid w:val="001B126A"/>
    <w:rsid w:val="001B1617"/>
    <w:rsid w:val="001B17C4"/>
    <w:rsid w:val="001B2250"/>
    <w:rsid w:val="001B37D9"/>
    <w:rsid w:val="001B3E08"/>
    <w:rsid w:val="001B504B"/>
    <w:rsid w:val="001B54CD"/>
    <w:rsid w:val="001C0754"/>
    <w:rsid w:val="001C1465"/>
    <w:rsid w:val="001C3FB0"/>
    <w:rsid w:val="001C5364"/>
    <w:rsid w:val="001C7D10"/>
    <w:rsid w:val="001D1FA7"/>
    <w:rsid w:val="001D3874"/>
    <w:rsid w:val="001D5478"/>
    <w:rsid w:val="001D57CD"/>
    <w:rsid w:val="001D7910"/>
    <w:rsid w:val="001D7A26"/>
    <w:rsid w:val="001D7DBE"/>
    <w:rsid w:val="001D7E75"/>
    <w:rsid w:val="001E3CD6"/>
    <w:rsid w:val="001E3D63"/>
    <w:rsid w:val="001E4049"/>
    <w:rsid w:val="001E4C0A"/>
    <w:rsid w:val="001E56D2"/>
    <w:rsid w:val="001E6142"/>
    <w:rsid w:val="001E65EF"/>
    <w:rsid w:val="001E6B23"/>
    <w:rsid w:val="001E7D56"/>
    <w:rsid w:val="001F0388"/>
    <w:rsid w:val="001F074F"/>
    <w:rsid w:val="001F183F"/>
    <w:rsid w:val="001F1F06"/>
    <w:rsid w:val="001F68CE"/>
    <w:rsid w:val="001F75DE"/>
    <w:rsid w:val="00200D58"/>
    <w:rsid w:val="0020121D"/>
    <w:rsid w:val="002013BE"/>
    <w:rsid w:val="002018A3"/>
    <w:rsid w:val="002035CF"/>
    <w:rsid w:val="002047F9"/>
    <w:rsid w:val="002057AD"/>
    <w:rsid w:val="002063A4"/>
    <w:rsid w:val="00206D50"/>
    <w:rsid w:val="0021145B"/>
    <w:rsid w:val="00211B18"/>
    <w:rsid w:val="002142CD"/>
    <w:rsid w:val="00216565"/>
    <w:rsid w:val="00216594"/>
    <w:rsid w:val="00217B53"/>
    <w:rsid w:val="002205DD"/>
    <w:rsid w:val="002215FB"/>
    <w:rsid w:val="00221FE2"/>
    <w:rsid w:val="002225C7"/>
    <w:rsid w:val="0022422C"/>
    <w:rsid w:val="002247FB"/>
    <w:rsid w:val="00224AB2"/>
    <w:rsid w:val="002252BD"/>
    <w:rsid w:val="00225FA4"/>
    <w:rsid w:val="0023016B"/>
    <w:rsid w:val="00230C67"/>
    <w:rsid w:val="00230E02"/>
    <w:rsid w:val="00231286"/>
    <w:rsid w:val="0023189C"/>
    <w:rsid w:val="00231D29"/>
    <w:rsid w:val="00231FA8"/>
    <w:rsid w:val="00233372"/>
    <w:rsid w:val="00234273"/>
    <w:rsid w:val="00234F53"/>
    <w:rsid w:val="002354CD"/>
    <w:rsid w:val="002359AA"/>
    <w:rsid w:val="002363D5"/>
    <w:rsid w:val="002400F0"/>
    <w:rsid w:val="00241098"/>
    <w:rsid w:val="00242A25"/>
    <w:rsid w:val="00243A99"/>
    <w:rsid w:val="00243D36"/>
    <w:rsid w:val="00243D37"/>
    <w:rsid w:val="002440B7"/>
    <w:rsid w:val="00244ACA"/>
    <w:rsid w:val="0024504C"/>
    <w:rsid w:val="00246A3C"/>
    <w:rsid w:val="00247707"/>
    <w:rsid w:val="002506FD"/>
    <w:rsid w:val="00250E16"/>
    <w:rsid w:val="00252C3F"/>
    <w:rsid w:val="00253274"/>
    <w:rsid w:val="00253DCE"/>
    <w:rsid w:val="00255982"/>
    <w:rsid w:val="00257D31"/>
    <w:rsid w:val="0026018E"/>
    <w:rsid w:val="00263326"/>
    <w:rsid w:val="00266C58"/>
    <w:rsid w:val="00267C93"/>
    <w:rsid w:val="00270340"/>
    <w:rsid w:val="002704A4"/>
    <w:rsid w:val="00271EC8"/>
    <w:rsid w:val="002738BA"/>
    <w:rsid w:val="00275B02"/>
    <w:rsid w:val="00276BC0"/>
    <w:rsid w:val="0027794C"/>
    <w:rsid w:val="002779E8"/>
    <w:rsid w:val="00282710"/>
    <w:rsid w:val="00282EDB"/>
    <w:rsid w:val="0028454A"/>
    <w:rsid w:val="00285A5C"/>
    <w:rsid w:val="00286740"/>
    <w:rsid w:val="0028685F"/>
    <w:rsid w:val="00287ACC"/>
    <w:rsid w:val="0029120A"/>
    <w:rsid w:val="002929D8"/>
    <w:rsid w:val="00294386"/>
    <w:rsid w:val="002948E8"/>
    <w:rsid w:val="002A237D"/>
    <w:rsid w:val="002A4379"/>
    <w:rsid w:val="002A4C53"/>
    <w:rsid w:val="002A5AE9"/>
    <w:rsid w:val="002A6E73"/>
    <w:rsid w:val="002A7A44"/>
    <w:rsid w:val="002B0210"/>
    <w:rsid w:val="002B0672"/>
    <w:rsid w:val="002B0ACB"/>
    <w:rsid w:val="002B0B75"/>
    <w:rsid w:val="002B247F"/>
    <w:rsid w:val="002B2D24"/>
    <w:rsid w:val="002B30D2"/>
    <w:rsid w:val="002B31E6"/>
    <w:rsid w:val="002B362B"/>
    <w:rsid w:val="002B4B8D"/>
    <w:rsid w:val="002B5D13"/>
    <w:rsid w:val="002B66E6"/>
    <w:rsid w:val="002B687B"/>
    <w:rsid w:val="002C01DD"/>
    <w:rsid w:val="002C145D"/>
    <w:rsid w:val="002C2C3E"/>
    <w:rsid w:val="002C2CAE"/>
    <w:rsid w:val="002C2D79"/>
    <w:rsid w:val="002C3E31"/>
    <w:rsid w:val="002C461F"/>
    <w:rsid w:val="002C49EF"/>
    <w:rsid w:val="002C52B4"/>
    <w:rsid w:val="002C533E"/>
    <w:rsid w:val="002C6C92"/>
    <w:rsid w:val="002C7741"/>
    <w:rsid w:val="002D027F"/>
    <w:rsid w:val="002D126D"/>
    <w:rsid w:val="002D3A9E"/>
    <w:rsid w:val="002D4F0B"/>
    <w:rsid w:val="002D5106"/>
    <w:rsid w:val="002D7A85"/>
    <w:rsid w:val="002D7B60"/>
    <w:rsid w:val="002D7D94"/>
    <w:rsid w:val="002E0BC4"/>
    <w:rsid w:val="002E20A2"/>
    <w:rsid w:val="002E3BD4"/>
    <w:rsid w:val="002E553C"/>
    <w:rsid w:val="002E6887"/>
    <w:rsid w:val="002E725C"/>
    <w:rsid w:val="002E73EF"/>
    <w:rsid w:val="002E79DB"/>
    <w:rsid w:val="002E7F61"/>
    <w:rsid w:val="002F03E8"/>
    <w:rsid w:val="002F3243"/>
    <w:rsid w:val="002F3ED0"/>
    <w:rsid w:val="002F4761"/>
    <w:rsid w:val="002F5A96"/>
    <w:rsid w:val="002F5C79"/>
    <w:rsid w:val="002F6416"/>
    <w:rsid w:val="002F657A"/>
    <w:rsid w:val="002F76F2"/>
    <w:rsid w:val="003017C8"/>
    <w:rsid w:val="003019E2"/>
    <w:rsid w:val="0030234B"/>
    <w:rsid w:val="003026D4"/>
    <w:rsid w:val="003033BA"/>
    <w:rsid w:val="00305B81"/>
    <w:rsid w:val="00306438"/>
    <w:rsid w:val="003065AE"/>
    <w:rsid w:val="00312F1B"/>
    <w:rsid w:val="00313772"/>
    <w:rsid w:val="0031413F"/>
    <w:rsid w:val="003148BB"/>
    <w:rsid w:val="00314DA5"/>
    <w:rsid w:val="00316C6B"/>
    <w:rsid w:val="00317976"/>
    <w:rsid w:val="00322B1D"/>
    <w:rsid w:val="00323347"/>
    <w:rsid w:val="00324D6C"/>
    <w:rsid w:val="00324E45"/>
    <w:rsid w:val="00327196"/>
    <w:rsid w:val="00327B41"/>
    <w:rsid w:val="0033041F"/>
    <w:rsid w:val="00330E8E"/>
    <w:rsid w:val="003354A2"/>
    <w:rsid w:val="003360C6"/>
    <w:rsid w:val="00336272"/>
    <w:rsid w:val="00336EAA"/>
    <w:rsid w:val="0034145A"/>
    <w:rsid w:val="003448C7"/>
    <w:rsid w:val="00346013"/>
    <w:rsid w:val="0034621D"/>
    <w:rsid w:val="003466ED"/>
    <w:rsid w:val="0034674C"/>
    <w:rsid w:val="00346ACA"/>
    <w:rsid w:val="00351162"/>
    <w:rsid w:val="00352D4D"/>
    <w:rsid w:val="003531D7"/>
    <w:rsid w:val="003537F1"/>
    <w:rsid w:val="003544D2"/>
    <w:rsid w:val="003552BB"/>
    <w:rsid w:val="00355EA9"/>
    <w:rsid w:val="003563DE"/>
    <w:rsid w:val="003572FD"/>
    <w:rsid w:val="003578DE"/>
    <w:rsid w:val="00361520"/>
    <w:rsid w:val="0036264F"/>
    <w:rsid w:val="00362BC9"/>
    <w:rsid w:val="00363316"/>
    <w:rsid w:val="003648B0"/>
    <w:rsid w:val="0036498C"/>
    <w:rsid w:val="0036504F"/>
    <w:rsid w:val="00365888"/>
    <w:rsid w:val="00365AD8"/>
    <w:rsid w:val="003660BF"/>
    <w:rsid w:val="00366AFF"/>
    <w:rsid w:val="00367446"/>
    <w:rsid w:val="00367F75"/>
    <w:rsid w:val="003708B6"/>
    <w:rsid w:val="00370F9B"/>
    <w:rsid w:val="00373C6D"/>
    <w:rsid w:val="0037412C"/>
    <w:rsid w:val="00374F7E"/>
    <w:rsid w:val="00375FB2"/>
    <w:rsid w:val="0037643A"/>
    <w:rsid w:val="003765A4"/>
    <w:rsid w:val="00380C51"/>
    <w:rsid w:val="00380F93"/>
    <w:rsid w:val="00381D88"/>
    <w:rsid w:val="00382B83"/>
    <w:rsid w:val="0038432C"/>
    <w:rsid w:val="0038456F"/>
    <w:rsid w:val="003851A7"/>
    <w:rsid w:val="00386B6A"/>
    <w:rsid w:val="003877DF"/>
    <w:rsid w:val="003879B2"/>
    <w:rsid w:val="00390E72"/>
    <w:rsid w:val="00391F03"/>
    <w:rsid w:val="00392075"/>
    <w:rsid w:val="00392577"/>
    <w:rsid w:val="00393026"/>
    <w:rsid w:val="00393368"/>
    <w:rsid w:val="0039431F"/>
    <w:rsid w:val="00395233"/>
    <w:rsid w:val="00396257"/>
    <w:rsid w:val="00396AB6"/>
    <w:rsid w:val="00397EB8"/>
    <w:rsid w:val="003A40DE"/>
    <w:rsid w:val="003A4FD0"/>
    <w:rsid w:val="003A69D1"/>
    <w:rsid w:val="003A6A0C"/>
    <w:rsid w:val="003A70FE"/>
    <w:rsid w:val="003A7508"/>
    <w:rsid w:val="003A7705"/>
    <w:rsid w:val="003A77F1"/>
    <w:rsid w:val="003A7D53"/>
    <w:rsid w:val="003B03DB"/>
    <w:rsid w:val="003B0F48"/>
    <w:rsid w:val="003B0F87"/>
    <w:rsid w:val="003B1545"/>
    <w:rsid w:val="003B167B"/>
    <w:rsid w:val="003B36BF"/>
    <w:rsid w:val="003B403A"/>
    <w:rsid w:val="003B496E"/>
    <w:rsid w:val="003C409D"/>
    <w:rsid w:val="003C5BA6"/>
    <w:rsid w:val="003C6001"/>
    <w:rsid w:val="003C76BA"/>
    <w:rsid w:val="003C786E"/>
    <w:rsid w:val="003D00F8"/>
    <w:rsid w:val="003D057F"/>
    <w:rsid w:val="003D18D9"/>
    <w:rsid w:val="003D2303"/>
    <w:rsid w:val="003D246F"/>
    <w:rsid w:val="003D2A32"/>
    <w:rsid w:val="003D36E3"/>
    <w:rsid w:val="003D4714"/>
    <w:rsid w:val="003D59AE"/>
    <w:rsid w:val="003D5CAA"/>
    <w:rsid w:val="003D5D79"/>
    <w:rsid w:val="003E0C5B"/>
    <w:rsid w:val="003E0CD5"/>
    <w:rsid w:val="003E0FF4"/>
    <w:rsid w:val="003E142A"/>
    <w:rsid w:val="003E1E66"/>
    <w:rsid w:val="003E2D1B"/>
    <w:rsid w:val="003E2DB0"/>
    <w:rsid w:val="003E62DF"/>
    <w:rsid w:val="003E70E8"/>
    <w:rsid w:val="003E7376"/>
    <w:rsid w:val="003E7CB4"/>
    <w:rsid w:val="003E7E49"/>
    <w:rsid w:val="003F0E85"/>
    <w:rsid w:val="003F3871"/>
    <w:rsid w:val="003F6881"/>
    <w:rsid w:val="003F715E"/>
    <w:rsid w:val="0040074C"/>
    <w:rsid w:val="004021EA"/>
    <w:rsid w:val="00404061"/>
    <w:rsid w:val="00404617"/>
    <w:rsid w:val="00404D50"/>
    <w:rsid w:val="00405483"/>
    <w:rsid w:val="00405734"/>
    <w:rsid w:val="00407842"/>
    <w:rsid w:val="00407FCB"/>
    <w:rsid w:val="00410721"/>
    <w:rsid w:val="00410A75"/>
    <w:rsid w:val="00410C55"/>
    <w:rsid w:val="00411CF8"/>
    <w:rsid w:val="00411E16"/>
    <w:rsid w:val="00411E8F"/>
    <w:rsid w:val="00412AE9"/>
    <w:rsid w:val="00414C8E"/>
    <w:rsid w:val="00414DC0"/>
    <w:rsid w:val="00416854"/>
    <w:rsid w:val="00416AC9"/>
    <w:rsid w:val="00417725"/>
    <w:rsid w:val="004178E0"/>
    <w:rsid w:val="00417BE2"/>
    <w:rsid w:val="00417E4A"/>
    <w:rsid w:val="004209E8"/>
    <w:rsid w:val="00422755"/>
    <w:rsid w:val="00424370"/>
    <w:rsid w:val="00424F45"/>
    <w:rsid w:val="00425318"/>
    <w:rsid w:val="00425A73"/>
    <w:rsid w:val="00426ADC"/>
    <w:rsid w:val="00426CDF"/>
    <w:rsid w:val="00426FD8"/>
    <w:rsid w:val="004272BD"/>
    <w:rsid w:val="004304D9"/>
    <w:rsid w:val="00430605"/>
    <w:rsid w:val="004309EE"/>
    <w:rsid w:val="00431574"/>
    <w:rsid w:val="00431A61"/>
    <w:rsid w:val="0043208D"/>
    <w:rsid w:val="00433664"/>
    <w:rsid w:val="004358F5"/>
    <w:rsid w:val="004370E4"/>
    <w:rsid w:val="00437F26"/>
    <w:rsid w:val="00440054"/>
    <w:rsid w:val="00440B9B"/>
    <w:rsid w:val="0044130A"/>
    <w:rsid w:val="00444097"/>
    <w:rsid w:val="00444E16"/>
    <w:rsid w:val="004450DA"/>
    <w:rsid w:val="00445487"/>
    <w:rsid w:val="0044598F"/>
    <w:rsid w:val="00445EFC"/>
    <w:rsid w:val="00446662"/>
    <w:rsid w:val="00450869"/>
    <w:rsid w:val="00450940"/>
    <w:rsid w:val="00450DAF"/>
    <w:rsid w:val="004510AE"/>
    <w:rsid w:val="0045139F"/>
    <w:rsid w:val="004534E4"/>
    <w:rsid w:val="00454769"/>
    <w:rsid w:val="004547FE"/>
    <w:rsid w:val="0045736D"/>
    <w:rsid w:val="004634F9"/>
    <w:rsid w:val="00463C95"/>
    <w:rsid w:val="00464079"/>
    <w:rsid w:val="0046565A"/>
    <w:rsid w:val="004661C0"/>
    <w:rsid w:val="00466991"/>
    <w:rsid w:val="00466C95"/>
    <w:rsid w:val="004677C9"/>
    <w:rsid w:val="0047064C"/>
    <w:rsid w:val="00470904"/>
    <w:rsid w:val="00471EEC"/>
    <w:rsid w:val="00472994"/>
    <w:rsid w:val="00475DD3"/>
    <w:rsid w:val="00476B1D"/>
    <w:rsid w:val="00477480"/>
    <w:rsid w:val="00477647"/>
    <w:rsid w:val="00480E9B"/>
    <w:rsid w:val="004838E1"/>
    <w:rsid w:val="00484D82"/>
    <w:rsid w:val="00485FB4"/>
    <w:rsid w:val="004865B6"/>
    <w:rsid w:val="004908C1"/>
    <w:rsid w:val="00493409"/>
    <w:rsid w:val="004937B0"/>
    <w:rsid w:val="00495F8E"/>
    <w:rsid w:val="004A0271"/>
    <w:rsid w:val="004A02FC"/>
    <w:rsid w:val="004A05D2"/>
    <w:rsid w:val="004A0F1E"/>
    <w:rsid w:val="004A0FE9"/>
    <w:rsid w:val="004A412C"/>
    <w:rsid w:val="004A42E1"/>
    <w:rsid w:val="004A5554"/>
    <w:rsid w:val="004A58A9"/>
    <w:rsid w:val="004A5A6A"/>
    <w:rsid w:val="004A5D3A"/>
    <w:rsid w:val="004A5E24"/>
    <w:rsid w:val="004B0371"/>
    <w:rsid w:val="004B1029"/>
    <w:rsid w:val="004B129B"/>
    <w:rsid w:val="004B162C"/>
    <w:rsid w:val="004B2837"/>
    <w:rsid w:val="004B34AB"/>
    <w:rsid w:val="004B3C19"/>
    <w:rsid w:val="004B43F6"/>
    <w:rsid w:val="004B5038"/>
    <w:rsid w:val="004B576C"/>
    <w:rsid w:val="004B6AAB"/>
    <w:rsid w:val="004C1A82"/>
    <w:rsid w:val="004C3380"/>
    <w:rsid w:val="004C3DBE"/>
    <w:rsid w:val="004C5A94"/>
    <w:rsid w:val="004C5C96"/>
    <w:rsid w:val="004C769D"/>
    <w:rsid w:val="004D06A4"/>
    <w:rsid w:val="004D18A1"/>
    <w:rsid w:val="004D514B"/>
    <w:rsid w:val="004D63F3"/>
    <w:rsid w:val="004E1124"/>
    <w:rsid w:val="004E1EB1"/>
    <w:rsid w:val="004E20B3"/>
    <w:rsid w:val="004E37B9"/>
    <w:rsid w:val="004E380E"/>
    <w:rsid w:val="004E3A49"/>
    <w:rsid w:val="004E6106"/>
    <w:rsid w:val="004F0C62"/>
    <w:rsid w:val="004F10C0"/>
    <w:rsid w:val="004F1A81"/>
    <w:rsid w:val="004F2825"/>
    <w:rsid w:val="004F2CD2"/>
    <w:rsid w:val="004F4229"/>
    <w:rsid w:val="004F45E1"/>
    <w:rsid w:val="004F4A0C"/>
    <w:rsid w:val="004F582B"/>
    <w:rsid w:val="004F68BA"/>
    <w:rsid w:val="005006BA"/>
    <w:rsid w:val="00500D68"/>
    <w:rsid w:val="00502BEB"/>
    <w:rsid w:val="00502D55"/>
    <w:rsid w:val="0050499B"/>
    <w:rsid w:val="00504DEC"/>
    <w:rsid w:val="0050591F"/>
    <w:rsid w:val="005059FE"/>
    <w:rsid w:val="00505F26"/>
    <w:rsid w:val="00506520"/>
    <w:rsid w:val="00506874"/>
    <w:rsid w:val="005076C0"/>
    <w:rsid w:val="005077FB"/>
    <w:rsid w:val="00510281"/>
    <w:rsid w:val="0051131A"/>
    <w:rsid w:val="005114A3"/>
    <w:rsid w:val="005114AD"/>
    <w:rsid w:val="00511D5A"/>
    <w:rsid w:val="00511FD7"/>
    <w:rsid w:val="00514630"/>
    <w:rsid w:val="0051482F"/>
    <w:rsid w:val="00515134"/>
    <w:rsid w:val="0051662C"/>
    <w:rsid w:val="00516B72"/>
    <w:rsid w:val="0051786A"/>
    <w:rsid w:val="00520965"/>
    <w:rsid w:val="005218D9"/>
    <w:rsid w:val="005260AD"/>
    <w:rsid w:val="00526660"/>
    <w:rsid w:val="00526DFC"/>
    <w:rsid w:val="00527E00"/>
    <w:rsid w:val="005301BA"/>
    <w:rsid w:val="005308F9"/>
    <w:rsid w:val="00532129"/>
    <w:rsid w:val="005324E7"/>
    <w:rsid w:val="00536186"/>
    <w:rsid w:val="0053686B"/>
    <w:rsid w:val="00537ED5"/>
    <w:rsid w:val="00541DB4"/>
    <w:rsid w:val="00541F17"/>
    <w:rsid w:val="00542FF9"/>
    <w:rsid w:val="005430EF"/>
    <w:rsid w:val="0054350E"/>
    <w:rsid w:val="005448E2"/>
    <w:rsid w:val="00544CBB"/>
    <w:rsid w:val="0054520A"/>
    <w:rsid w:val="0054731D"/>
    <w:rsid w:val="00550714"/>
    <w:rsid w:val="00550E62"/>
    <w:rsid w:val="00551A8D"/>
    <w:rsid w:val="00553C6B"/>
    <w:rsid w:val="00553D11"/>
    <w:rsid w:val="005540FD"/>
    <w:rsid w:val="00554BBD"/>
    <w:rsid w:val="005563D9"/>
    <w:rsid w:val="00556553"/>
    <w:rsid w:val="00556F3A"/>
    <w:rsid w:val="005576F4"/>
    <w:rsid w:val="00557CF5"/>
    <w:rsid w:val="00560E6C"/>
    <w:rsid w:val="00561FB6"/>
    <w:rsid w:val="00562C77"/>
    <w:rsid w:val="00563AF5"/>
    <w:rsid w:val="005642B6"/>
    <w:rsid w:val="005677BD"/>
    <w:rsid w:val="0057050C"/>
    <w:rsid w:val="0057111C"/>
    <w:rsid w:val="0057315F"/>
    <w:rsid w:val="00573740"/>
    <w:rsid w:val="00573ED7"/>
    <w:rsid w:val="00574E4A"/>
    <w:rsid w:val="00576104"/>
    <w:rsid w:val="0057633F"/>
    <w:rsid w:val="005764BB"/>
    <w:rsid w:val="00577868"/>
    <w:rsid w:val="005804C9"/>
    <w:rsid w:val="0058124D"/>
    <w:rsid w:val="00581441"/>
    <w:rsid w:val="005834C1"/>
    <w:rsid w:val="005856C2"/>
    <w:rsid w:val="00586C3C"/>
    <w:rsid w:val="00587778"/>
    <w:rsid w:val="005900AA"/>
    <w:rsid w:val="00593548"/>
    <w:rsid w:val="00593EAB"/>
    <w:rsid w:val="005A0730"/>
    <w:rsid w:val="005A1036"/>
    <w:rsid w:val="005A13B8"/>
    <w:rsid w:val="005A1BDC"/>
    <w:rsid w:val="005A6FEC"/>
    <w:rsid w:val="005A74D8"/>
    <w:rsid w:val="005B069E"/>
    <w:rsid w:val="005B136C"/>
    <w:rsid w:val="005B3171"/>
    <w:rsid w:val="005B32B0"/>
    <w:rsid w:val="005B3E1D"/>
    <w:rsid w:val="005B469D"/>
    <w:rsid w:val="005B74B0"/>
    <w:rsid w:val="005C002D"/>
    <w:rsid w:val="005C04B7"/>
    <w:rsid w:val="005C4233"/>
    <w:rsid w:val="005C429F"/>
    <w:rsid w:val="005C46B8"/>
    <w:rsid w:val="005C626F"/>
    <w:rsid w:val="005C67C8"/>
    <w:rsid w:val="005C77D5"/>
    <w:rsid w:val="005C7828"/>
    <w:rsid w:val="005C7E66"/>
    <w:rsid w:val="005D0249"/>
    <w:rsid w:val="005D05EA"/>
    <w:rsid w:val="005D118A"/>
    <w:rsid w:val="005D1D24"/>
    <w:rsid w:val="005D1DDD"/>
    <w:rsid w:val="005D1F60"/>
    <w:rsid w:val="005D2BD6"/>
    <w:rsid w:val="005D4727"/>
    <w:rsid w:val="005D5AE3"/>
    <w:rsid w:val="005D6E8C"/>
    <w:rsid w:val="005D7E3D"/>
    <w:rsid w:val="005E05EF"/>
    <w:rsid w:val="005E0B6F"/>
    <w:rsid w:val="005E1218"/>
    <w:rsid w:val="005E14C6"/>
    <w:rsid w:val="005E219F"/>
    <w:rsid w:val="005E2357"/>
    <w:rsid w:val="005E3A12"/>
    <w:rsid w:val="005E5241"/>
    <w:rsid w:val="005E577F"/>
    <w:rsid w:val="005E5E5A"/>
    <w:rsid w:val="005E7B01"/>
    <w:rsid w:val="005F100C"/>
    <w:rsid w:val="005F22CA"/>
    <w:rsid w:val="005F40C0"/>
    <w:rsid w:val="005F584D"/>
    <w:rsid w:val="005F68DA"/>
    <w:rsid w:val="005F7607"/>
    <w:rsid w:val="006018AF"/>
    <w:rsid w:val="0060223C"/>
    <w:rsid w:val="0060389E"/>
    <w:rsid w:val="00604019"/>
    <w:rsid w:val="00604105"/>
    <w:rsid w:val="0060473F"/>
    <w:rsid w:val="00604876"/>
    <w:rsid w:val="00604936"/>
    <w:rsid w:val="00605E0A"/>
    <w:rsid w:val="006062DB"/>
    <w:rsid w:val="006072D1"/>
    <w:rsid w:val="0060773B"/>
    <w:rsid w:val="00607DD6"/>
    <w:rsid w:val="00613407"/>
    <w:rsid w:val="00613429"/>
    <w:rsid w:val="00614871"/>
    <w:rsid w:val="006157B5"/>
    <w:rsid w:val="006158E2"/>
    <w:rsid w:val="00616086"/>
    <w:rsid w:val="00616209"/>
    <w:rsid w:val="00616984"/>
    <w:rsid w:val="00616D6B"/>
    <w:rsid w:val="00620ECD"/>
    <w:rsid w:val="006216C5"/>
    <w:rsid w:val="00622498"/>
    <w:rsid w:val="00623CB1"/>
    <w:rsid w:val="0062620A"/>
    <w:rsid w:val="00626F81"/>
    <w:rsid w:val="00626FC6"/>
    <w:rsid w:val="00630146"/>
    <w:rsid w:val="006303B4"/>
    <w:rsid w:val="0063088A"/>
    <w:rsid w:val="00630E4A"/>
    <w:rsid w:val="0063159A"/>
    <w:rsid w:val="00631C77"/>
    <w:rsid w:val="0063334C"/>
    <w:rsid w:val="00633D3D"/>
    <w:rsid w:val="00635105"/>
    <w:rsid w:val="006366AE"/>
    <w:rsid w:val="006367B9"/>
    <w:rsid w:val="00636DD8"/>
    <w:rsid w:val="00636DFD"/>
    <w:rsid w:val="00641703"/>
    <w:rsid w:val="00641887"/>
    <w:rsid w:val="00642DE9"/>
    <w:rsid w:val="006431A6"/>
    <w:rsid w:val="00643EB1"/>
    <w:rsid w:val="006446F0"/>
    <w:rsid w:val="006457F1"/>
    <w:rsid w:val="006459F6"/>
    <w:rsid w:val="006501AD"/>
    <w:rsid w:val="00650C7A"/>
    <w:rsid w:val="0065130E"/>
    <w:rsid w:val="00651BFA"/>
    <w:rsid w:val="006526B0"/>
    <w:rsid w:val="00652F27"/>
    <w:rsid w:val="0065329E"/>
    <w:rsid w:val="00653FDF"/>
    <w:rsid w:val="00654475"/>
    <w:rsid w:val="00656626"/>
    <w:rsid w:val="00657F10"/>
    <w:rsid w:val="00660092"/>
    <w:rsid w:val="00661A40"/>
    <w:rsid w:val="006621C8"/>
    <w:rsid w:val="00662A24"/>
    <w:rsid w:val="006636F6"/>
    <w:rsid w:val="00665A4B"/>
    <w:rsid w:val="0067034F"/>
    <w:rsid w:val="00670CDC"/>
    <w:rsid w:val="00670F41"/>
    <w:rsid w:val="00671A97"/>
    <w:rsid w:val="00671DA8"/>
    <w:rsid w:val="0067546B"/>
    <w:rsid w:val="00676257"/>
    <w:rsid w:val="0067668A"/>
    <w:rsid w:val="00676A48"/>
    <w:rsid w:val="006801E3"/>
    <w:rsid w:val="0068258C"/>
    <w:rsid w:val="00684E32"/>
    <w:rsid w:val="006853F2"/>
    <w:rsid w:val="006854C1"/>
    <w:rsid w:val="00687A50"/>
    <w:rsid w:val="0069086D"/>
    <w:rsid w:val="0069148B"/>
    <w:rsid w:val="0069250E"/>
    <w:rsid w:val="006927CF"/>
    <w:rsid w:val="0069292D"/>
    <w:rsid w:val="00692E2A"/>
    <w:rsid w:val="00693F33"/>
    <w:rsid w:val="0069670F"/>
    <w:rsid w:val="006A4FB9"/>
    <w:rsid w:val="006A54F7"/>
    <w:rsid w:val="006A5CB4"/>
    <w:rsid w:val="006A5F54"/>
    <w:rsid w:val="006A66BA"/>
    <w:rsid w:val="006A76F2"/>
    <w:rsid w:val="006B2718"/>
    <w:rsid w:val="006B354F"/>
    <w:rsid w:val="006B3928"/>
    <w:rsid w:val="006B43C4"/>
    <w:rsid w:val="006B4446"/>
    <w:rsid w:val="006B5B30"/>
    <w:rsid w:val="006B6572"/>
    <w:rsid w:val="006C00C9"/>
    <w:rsid w:val="006C1CFF"/>
    <w:rsid w:val="006C21B1"/>
    <w:rsid w:val="006C359B"/>
    <w:rsid w:val="006C4C94"/>
    <w:rsid w:val="006C5828"/>
    <w:rsid w:val="006C5AA3"/>
    <w:rsid w:val="006C6E8E"/>
    <w:rsid w:val="006C74E7"/>
    <w:rsid w:val="006C7B98"/>
    <w:rsid w:val="006D17E4"/>
    <w:rsid w:val="006D2810"/>
    <w:rsid w:val="006D335C"/>
    <w:rsid w:val="006D5625"/>
    <w:rsid w:val="006D5F3A"/>
    <w:rsid w:val="006D674A"/>
    <w:rsid w:val="006D7EFB"/>
    <w:rsid w:val="006E02C6"/>
    <w:rsid w:val="006E0667"/>
    <w:rsid w:val="006E1A6B"/>
    <w:rsid w:val="006E1C62"/>
    <w:rsid w:val="006E2A6E"/>
    <w:rsid w:val="006E5AA8"/>
    <w:rsid w:val="006E6672"/>
    <w:rsid w:val="006E6722"/>
    <w:rsid w:val="006E730D"/>
    <w:rsid w:val="006F06DB"/>
    <w:rsid w:val="006F08B2"/>
    <w:rsid w:val="006F17FD"/>
    <w:rsid w:val="006F53FF"/>
    <w:rsid w:val="006F5763"/>
    <w:rsid w:val="006F5D58"/>
    <w:rsid w:val="006F6715"/>
    <w:rsid w:val="00701380"/>
    <w:rsid w:val="00701ABE"/>
    <w:rsid w:val="007027B9"/>
    <w:rsid w:val="00702B85"/>
    <w:rsid w:val="00704B03"/>
    <w:rsid w:val="00704D54"/>
    <w:rsid w:val="00711A0A"/>
    <w:rsid w:val="00712785"/>
    <w:rsid w:val="007129A5"/>
    <w:rsid w:val="00712B28"/>
    <w:rsid w:val="007132ED"/>
    <w:rsid w:val="00714DD0"/>
    <w:rsid w:val="0071536F"/>
    <w:rsid w:val="00715E88"/>
    <w:rsid w:val="007168B5"/>
    <w:rsid w:val="00717143"/>
    <w:rsid w:val="00717BEA"/>
    <w:rsid w:val="007220E0"/>
    <w:rsid w:val="00726AD6"/>
    <w:rsid w:val="007273F0"/>
    <w:rsid w:val="007311CA"/>
    <w:rsid w:val="00732960"/>
    <w:rsid w:val="00732991"/>
    <w:rsid w:val="00733979"/>
    <w:rsid w:val="00733A8D"/>
    <w:rsid w:val="00734CAA"/>
    <w:rsid w:val="00736685"/>
    <w:rsid w:val="00737FA1"/>
    <w:rsid w:val="00740323"/>
    <w:rsid w:val="00741146"/>
    <w:rsid w:val="007414B0"/>
    <w:rsid w:val="007423DF"/>
    <w:rsid w:val="00743ADD"/>
    <w:rsid w:val="00743B08"/>
    <w:rsid w:val="00743EA7"/>
    <w:rsid w:val="00745C0C"/>
    <w:rsid w:val="00751086"/>
    <w:rsid w:val="0075259E"/>
    <w:rsid w:val="007527C4"/>
    <w:rsid w:val="007540C0"/>
    <w:rsid w:val="007544ED"/>
    <w:rsid w:val="007546FF"/>
    <w:rsid w:val="0075533C"/>
    <w:rsid w:val="007569E2"/>
    <w:rsid w:val="00756CE3"/>
    <w:rsid w:val="00756ECC"/>
    <w:rsid w:val="00757581"/>
    <w:rsid w:val="007611A0"/>
    <w:rsid w:val="007614C4"/>
    <w:rsid w:val="00761688"/>
    <w:rsid w:val="007617DE"/>
    <w:rsid w:val="00761E3D"/>
    <w:rsid w:val="0076215D"/>
    <w:rsid w:val="00762424"/>
    <w:rsid w:val="00762832"/>
    <w:rsid w:val="007628C9"/>
    <w:rsid w:val="00762C5D"/>
    <w:rsid w:val="00762CCE"/>
    <w:rsid w:val="00764338"/>
    <w:rsid w:val="00765A7A"/>
    <w:rsid w:val="0076669A"/>
    <w:rsid w:val="007702CC"/>
    <w:rsid w:val="00770742"/>
    <w:rsid w:val="00772DD4"/>
    <w:rsid w:val="00772EA3"/>
    <w:rsid w:val="00772F3C"/>
    <w:rsid w:val="00773204"/>
    <w:rsid w:val="00773C7A"/>
    <w:rsid w:val="00774834"/>
    <w:rsid w:val="00774BF3"/>
    <w:rsid w:val="00776540"/>
    <w:rsid w:val="007775CC"/>
    <w:rsid w:val="007776CE"/>
    <w:rsid w:val="00781C46"/>
    <w:rsid w:val="0078236F"/>
    <w:rsid w:val="007823BD"/>
    <w:rsid w:val="007867A6"/>
    <w:rsid w:val="0079127C"/>
    <w:rsid w:val="007912E7"/>
    <w:rsid w:val="007914F1"/>
    <w:rsid w:val="0079606E"/>
    <w:rsid w:val="00796405"/>
    <w:rsid w:val="00796D3F"/>
    <w:rsid w:val="00797D62"/>
    <w:rsid w:val="007A0C71"/>
    <w:rsid w:val="007A1683"/>
    <w:rsid w:val="007A3861"/>
    <w:rsid w:val="007A4087"/>
    <w:rsid w:val="007A5711"/>
    <w:rsid w:val="007A5C12"/>
    <w:rsid w:val="007A649B"/>
    <w:rsid w:val="007A6FCF"/>
    <w:rsid w:val="007A7CB0"/>
    <w:rsid w:val="007B104B"/>
    <w:rsid w:val="007B4AF8"/>
    <w:rsid w:val="007B5751"/>
    <w:rsid w:val="007B68A3"/>
    <w:rsid w:val="007B6BE2"/>
    <w:rsid w:val="007B773B"/>
    <w:rsid w:val="007C0306"/>
    <w:rsid w:val="007C1AA3"/>
    <w:rsid w:val="007C2541"/>
    <w:rsid w:val="007C349C"/>
    <w:rsid w:val="007C38B7"/>
    <w:rsid w:val="007C5570"/>
    <w:rsid w:val="007C5644"/>
    <w:rsid w:val="007C64BE"/>
    <w:rsid w:val="007C6D3B"/>
    <w:rsid w:val="007D08BC"/>
    <w:rsid w:val="007D222F"/>
    <w:rsid w:val="007D27F7"/>
    <w:rsid w:val="007D4D6F"/>
    <w:rsid w:val="007D66A8"/>
    <w:rsid w:val="007D7649"/>
    <w:rsid w:val="007D7718"/>
    <w:rsid w:val="007D7747"/>
    <w:rsid w:val="007D7EF5"/>
    <w:rsid w:val="007E003F"/>
    <w:rsid w:val="007E007A"/>
    <w:rsid w:val="007E16E7"/>
    <w:rsid w:val="007E226E"/>
    <w:rsid w:val="007E2719"/>
    <w:rsid w:val="007E32DB"/>
    <w:rsid w:val="007E412C"/>
    <w:rsid w:val="007E5A64"/>
    <w:rsid w:val="007E61D7"/>
    <w:rsid w:val="007E67A8"/>
    <w:rsid w:val="007E6C2F"/>
    <w:rsid w:val="007E6D54"/>
    <w:rsid w:val="007E75E1"/>
    <w:rsid w:val="007F2A4C"/>
    <w:rsid w:val="007F3EBB"/>
    <w:rsid w:val="007F5C9D"/>
    <w:rsid w:val="00800B13"/>
    <w:rsid w:val="00800C0C"/>
    <w:rsid w:val="008012A0"/>
    <w:rsid w:val="0080150F"/>
    <w:rsid w:val="008027C0"/>
    <w:rsid w:val="00802B14"/>
    <w:rsid w:val="00803324"/>
    <w:rsid w:val="008053F5"/>
    <w:rsid w:val="008100CA"/>
    <w:rsid w:val="00810469"/>
    <w:rsid w:val="008105D1"/>
    <w:rsid w:val="00811B7E"/>
    <w:rsid w:val="00811F80"/>
    <w:rsid w:val="0081347B"/>
    <w:rsid w:val="0081540A"/>
    <w:rsid w:val="008162A1"/>
    <w:rsid w:val="008164F2"/>
    <w:rsid w:val="0081658C"/>
    <w:rsid w:val="0082011E"/>
    <w:rsid w:val="0082078A"/>
    <w:rsid w:val="00821395"/>
    <w:rsid w:val="008214DE"/>
    <w:rsid w:val="00822388"/>
    <w:rsid w:val="0082424A"/>
    <w:rsid w:val="00825087"/>
    <w:rsid w:val="00827089"/>
    <w:rsid w:val="008270D9"/>
    <w:rsid w:val="00827321"/>
    <w:rsid w:val="00827A3E"/>
    <w:rsid w:val="008309A1"/>
    <w:rsid w:val="00830C3D"/>
    <w:rsid w:val="00830D67"/>
    <w:rsid w:val="00830E26"/>
    <w:rsid w:val="00831B2D"/>
    <w:rsid w:val="00832730"/>
    <w:rsid w:val="00832AA1"/>
    <w:rsid w:val="00835746"/>
    <w:rsid w:val="00836249"/>
    <w:rsid w:val="0083671A"/>
    <w:rsid w:val="00843576"/>
    <w:rsid w:val="008439BC"/>
    <w:rsid w:val="00843B64"/>
    <w:rsid w:val="00844429"/>
    <w:rsid w:val="00844B64"/>
    <w:rsid w:val="00846CA2"/>
    <w:rsid w:val="008470FB"/>
    <w:rsid w:val="008478FC"/>
    <w:rsid w:val="00850D5F"/>
    <w:rsid w:val="00850FBB"/>
    <w:rsid w:val="00852705"/>
    <w:rsid w:val="008534A8"/>
    <w:rsid w:val="008537A1"/>
    <w:rsid w:val="008542F5"/>
    <w:rsid w:val="00862218"/>
    <w:rsid w:val="008626B7"/>
    <w:rsid w:val="00862DCB"/>
    <w:rsid w:val="00863240"/>
    <w:rsid w:val="0086328B"/>
    <w:rsid w:val="008639D3"/>
    <w:rsid w:val="008639E2"/>
    <w:rsid w:val="00863EC7"/>
    <w:rsid w:val="0086700E"/>
    <w:rsid w:val="00867724"/>
    <w:rsid w:val="00867BFF"/>
    <w:rsid w:val="0087023F"/>
    <w:rsid w:val="008711FC"/>
    <w:rsid w:val="008726DF"/>
    <w:rsid w:val="00873E53"/>
    <w:rsid w:val="008762E1"/>
    <w:rsid w:val="00876329"/>
    <w:rsid w:val="00877034"/>
    <w:rsid w:val="0088090F"/>
    <w:rsid w:val="00880F7E"/>
    <w:rsid w:val="00881856"/>
    <w:rsid w:val="00882125"/>
    <w:rsid w:val="0088480A"/>
    <w:rsid w:val="00885E91"/>
    <w:rsid w:val="00886920"/>
    <w:rsid w:val="00887431"/>
    <w:rsid w:val="0088757A"/>
    <w:rsid w:val="00890E28"/>
    <w:rsid w:val="00892470"/>
    <w:rsid w:val="00892DFA"/>
    <w:rsid w:val="008957CC"/>
    <w:rsid w:val="008957DD"/>
    <w:rsid w:val="008958BD"/>
    <w:rsid w:val="00897D98"/>
    <w:rsid w:val="008A02B2"/>
    <w:rsid w:val="008A25E5"/>
    <w:rsid w:val="008A3F9F"/>
    <w:rsid w:val="008A4193"/>
    <w:rsid w:val="008A54FB"/>
    <w:rsid w:val="008A5BF1"/>
    <w:rsid w:val="008A6DF2"/>
    <w:rsid w:val="008A7679"/>
    <w:rsid w:val="008A7807"/>
    <w:rsid w:val="008B10E5"/>
    <w:rsid w:val="008B42AD"/>
    <w:rsid w:val="008B47EA"/>
    <w:rsid w:val="008B4CC9"/>
    <w:rsid w:val="008B6EFE"/>
    <w:rsid w:val="008B7E89"/>
    <w:rsid w:val="008C104F"/>
    <w:rsid w:val="008C1EE9"/>
    <w:rsid w:val="008C34E6"/>
    <w:rsid w:val="008C6CF6"/>
    <w:rsid w:val="008D0B7E"/>
    <w:rsid w:val="008D137D"/>
    <w:rsid w:val="008D1B8B"/>
    <w:rsid w:val="008D2E58"/>
    <w:rsid w:val="008D5C5C"/>
    <w:rsid w:val="008D65D8"/>
    <w:rsid w:val="008D78ED"/>
    <w:rsid w:val="008D7C99"/>
    <w:rsid w:val="008E0FCB"/>
    <w:rsid w:val="008E1214"/>
    <w:rsid w:val="008E2C6F"/>
    <w:rsid w:val="008E3B0C"/>
    <w:rsid w:val="008E5504"/>
    <w:rsid w:val="008E6C16"/>
    <w:rsid w:val="008E6D76"/>
    <w:rsid w:val="008E6DFF"/>
    <w:rsid w:val="008F10B0"/>
    <w:rsid w:val="008F36B7"/>
    <w:rsid w:val="008F4EF8"/>
    <w:rsid w:val="008F54CE"/>
    <w:rsid w:val="008F6161"/>
    <w:rsid w:val="009004BB"/>
    <w:rsid w:val="00901193"/>
    <w:rsid w:val="0090208D"/>
    <w:rsid w:val="0090218F"/>
    <w:rsid w:val="00902592"/>
    <w:rsid w:val="0090273F"/>
    <w:rsid w:val="00905460"/>
    <w:rsid w:val="009062D9"/>
    <w:rsid w:val="00906CDC"/>
    <w:rsid w:val="009077A1"/>
    <w:rsid w:val="00907D44"/>
    <w:rsid w:val="00910B83"/>
    <w:rsid w:val="00911E2A"/>
    <w:rsid w:val="00912573"/>
    <w:rsid w:val="00912CAA"/>
    <w:rsid w:val="00913653"/>
    <w:rsid w:val="00914BF9"/>
    <w:rsid w:val="009170EC"/>
    <w:rsid w:val="009176E7"/>
    <w:rsid w:val="009176FB"/>
    <w:rsid w:val="009206FF"/>
    <w:rsid w:val="009214FC"/>
    <w:rsid w:val="0092178C"/>
    <w:rsid w:val="009238C5"/>
    <w:rsid w:val="00924EA9"/>
    <w:rsid w:val="00924ED9"/>
    <w:rsid w:val="00925C70"/>
    <w:rsid w:val="009262AD"/>
    <w:rsid w:val="009262E4"/>
    <w:rsid w:val="00926EAB"/>
    <w:rsid w:val="009272BA"/>
    <w:rsid w:val="00930B88"/>
    <w:rsid w:val="00930C9F"/>
    <w:rsid w:val="00930CCF"/>
    <w:rsid w:val="00935417"/>
    <w:rsid w:val="00937303"/>
    <w:rsid w:val="00940DCC"/>
    <w:rsid w:val="00941425"/>
    <w:rsid w:val="0094179A"/>
    <w:rsid w:val="00942581"/>
    <w:rsid w:val="00942B44"/>
    <w:rsid w:val="00943EEE"/>
    <w:rsid w:val="0094459E"/>
    <w:rsid w:val="00944DBC"/>
    <w:rsid w:val="00944EA7"/>
    <w:rsid w:val="00946068"/>
    <w:rsid w:val="00946C58"/>
    <w:rsid w:val="0094756A"/>
    <w:rsid w:val="009479DA"/>
    <w:rsid w:val="00947BD3"/>
    <w:rsid w:val="0095011E"/>
    <w:rsid w:val="00950977"/>
    <w:rsid w:val="00951783"/>
    <w:rsid w:val="00951A7B"/>
    <w:rsid w:val="0095385F"/>
    <w:rsid w:val="00954147"/>
    <w:rsid w:val="009564A6"/>
    <w:rsid w:val="009579BE"/>
    <w:rsid w:val="00960DCA"/>
    <w:rsid w:val="00962E18"/>
    <w:rsid w:val="0096318B"/>
    <w:rsid w:val="00963CE2"/>
    <w:rsid w:val="00964766"/>
    <w:rsid w:val="0096499A"/>
    <w:rsid w:val="00964DC4"/>
    <w:rsid w:val="00964EB3"/>
    <w:rsid w:val="00967621"/>
    <w:rsid w:val="00967E6A"/>
    <w:rsid w:val="00971B76"/>
    <w:rsid w:val="0097264B"/>
    <w:rsid w:val="00972D3B"/>
    <w:rsid w:val="009732E5"/>
    <w:rsid w:val="0097354D"/>
    <w:rsid w:val="00973AA4"/>
    <w:rsid w:val="00975BCD"/>
    <w:rsid w:val="0097647A"/>
    <w:rsid w:val="009764E1"/>
    <w:rsid w:val="009768BA"/>
    <w:rsid w:val="009774EC"/>
    <w:rsid w:val="00977F5D"/>
    <w:rsid w:val="0098081F"/>
    <w:rsid w:val="00980C00"/>
    <w:rsid w:val="00981550"/>
    <w:rsid w:val="00981DA6"/>
    <w:rsid w:val="00983377"/>
    <w:rsid w:val="009844F2"/>
    <w:rsid w:val="009845B9"/>
    <w:rsid w:val="009858B9"/>
    <w:rsid w:val="00985B2C"/>
    <w:rsid w:val="009875D1"/>
    <w:rsid w:val="00987A46"/>
    <w:rsid w:val="0099015E"/>
    <w:rsid w:val="00990438"/>
    <w:rsid w:val="00990B4C"/>
    <w:rsid w:val="009922F1"/>
    <w:rsid w:val="009925C2"/>
    <w:rsid w:val="00992976"/>
    <w:rsid w:val="009932D2"/>
    <w:rsid w:val="00993869"/>
    <w:rsid w:val="00996F19"/>
    <w:rsid w:val="009A2836"/>
    <w:rsid w:val="009A60D4"/>
    <w:rsid w:val="009B1FE1"/>
    <w:rsid w:val="009B21C1"/>
    <w:rsid w:val="009B25C6"/>
    <w:rsid w:val="009B3595"/>
    <w:rsid w:val="009B393A"/>
    <w:rsid w:val="009B3EFC"/>
    <w:rsid w:val="009B4A0F"/>
    <w:rsid w:val="009B6351"/>
    <w:rsid w:val="009B685C"/>
    <w:rsid w:val="009B7C64"/>
    <w:rsid w:val="009C04EE"/>
    <w:rsid w:val="009C11D2"/>
    <w:rsid w:val="009C3090"/>
    <w:rsid w:val="009C38CE"/>
    <w:rsid w:val="009C3938"/>
    <w:rsid w:val="009C5D0B"/>
    <w:rsid w:val="009C642B"/>
    <w:rsid w:val="009C6C70"/>
    <w:rsid w:val="009C7BA7"/>
    <w:rsid w:val="009D0106"/>
    <w:rsid w:val="009D0292"/>
    <w:rsid w:val="009D0B63"/>
    <w:rsid w:val="009D23A0"/>
    <w:rsid w:val="009D2448"/>
    <w:rsid w:val="009D2D9D"/>
    <w:rsid w:val="009D46E8"/>
    <w:rsid w:val="009D5387"/>
    <w:rsid w:val="009D6D96"/>
    <w:rsid w:val="009D7B7B"/>
    <w:rsid w:val="009D7DEC"/>
    <w:rsid w:val="009E043A"/>
    <w:rsid w:val="009E062E"/>
    <w:rsid w:val="009E0B4F"/>
    <w:rsid w:val="009E307E"/>
    <w:rsid w:val="009E4E14"/>
    <w:rsid w:val="009E573C"/>
    <w:rsid w:val="009E6C89"/>
    <w:rsid w:val="009E7D45"/>
    <w:rsid w:val="009F0370"/>
    <w:rsid w:val="009F222C"/>
    <w:rsid w:val="009F2346"/>
    <w:rsid w:val="009F28AB"/>
    <w:rsid w:val="009F3B59"/>
    <w:rsid w:val="009F3CFA"/>
    <w:rsid w:val="009F6337"/>
    <w:rsid w:val="009F7211"/>
    <w:rsid w:val="009F7F3F"/>
    <w:rsid w:val="00A005FB"/>
    <w:rsid w:val="00A03726"/>
    <w:rsid w:val="00A04FAA"/>
    <w:rsid w:val="00A05457"/>
    <w:rsid w:val="00A05589"/>
    <w:rsid w:val="00A05BF6"/>
    <w:rsid w:val="00A06BCE"/>
    <w:rsid w:val="00A06CE5"/>
    <w:rsid w:val="00A07870"/>
    <w:rsid w:val="00A078DA"/>
    <w:rsid w:val="00A07F19"/>
    <w:rsid w:val="00A1348D"/>
    <w:rsid w:val="00A14813"/>
    <w:rsid w:val="00A159E0"/>
    <w:rsid w:val="00A16EB9"/>
    <w:rsid w:val="00A21B3A"/>
    <w:rsid w:val="00A21E1B"/>
    <w:rsid w:val="00A22A16"/>
    <w:rsid w:val="00A22ECB"/>
    <w:rsid w:val="00A232EE"/>
    <w:rsid w:val="00A2401E"/>
    <w:rsid w:val="00A2412A"/>
    <w:rsid w:val="00A24B78"/>
    <w:rsid w:val="00A24C73"/>
    <w:rsid w:val="00A2547F"/>
    <w:rsid w:val="00A258A4"/>
    <w:rsid w:val="00A25C11"/>
    <w:rsid w:val="00A266B3"/>
    <w:rsid w:val="00A271B3"/>
    <w:rsid w:val="00A27D8A"/>
    <w:rsid w:val="00A30FFE"/>
    <w:rsid w:val="00A311EC"/>
    <w:rsid w:val="00A31CC8"/>
    <w:rsid w:val="00A3293F"/>
    <w:rsid w:val="00A32D93"/>
    <w:rsid w:val="00A33A89"/>
    <w:rsid w:val="00A33A9A"/>
    <w:rsid w:val="00A340CB"/>
    <w:rsid w:val="00A349AC"/>
    <w:rsid w:val="00A3578C"/>
    <w:rsid w:val="00A35B41"/>
    <w:rsid w:val="00A35B54"/>
    <w:rsid w:val="00A378FB"/>
    <w:rsid w:val="00A4095F"/>
    <w:rsid w:val="00A4133C"/>
    <w:rsid w:val="00A413C1"/>
    <w:rsid w:val="00A4175F"/>
    <w:rsid w:val="00A42315"/>
    <w:rsid w:val="00A43E08"/>
    <w:rsid w:val="00A44139"/>
    <w:rsid w:val="00A44411"/>
    <w:rsid w:val="00A45786"/>
    <w:rsid w:val="00A4592F"/>
    <w:rsid w:val="00A469FA"/>
    <w:rsid w:val="00A46ED1"/>
    <w:rsid w:val="00A47BF4"/>
    <w:rsid w:val="00A47D21"/>
    <w:rsid w:val="00A5054E"/>
    <w:rsid w:val="00A50ED9"/>
    <w:rsid w:val="00A519CD"/>
    <w:rsid w:val="00A51D44"/>
    <w:rsid w:val="00A53CF0"/>
    <w:rsid w:val="00A55148"/>
    <w:rsid w:val="00A55B01"/>
    <w:rsid w:val="00A56B5B"/>
    <w:rsid w:val="00A57BD4"/>
    <w:rsid w:val="00A6000B"/>
    <w:rsid w:val="00A603FF"/>
    <w:rsid w:val="00A604C8"/>
    <w:rsid w:val="00A61F1F"/>
    <w:rsid w:val="00A621DE"/>
    <w:rsid w:val="00A65513"/>
    <w:rsid w:val="00A65524"/>
    <w:rsid w:val="00A657DD"/>
    <w:rsid w:val="00A666A6"/>
    <w:rsid w:val="00A675FD"/>
    <w:rsid w:val="00A67AF2"/>
    <w:rsid w:val="00A7081F"/>
    <w:rsid w:val="00A7170E"/>
    <w:rsid w:val="00A72437"/>
    <w:rsid w:val="00A73A07"/>
    <w:rsid w:val="00A76AA3"/>
    <w:rsid w:val="00A76C51"/>
    <w:rsid w:val="00A77A7F"/>
    <w:rsid w:val="00A80611"/>
    <w:rsid w:val="00A816C6"/>
    <w:rsid w:val="00A84056"/>
    <w:rsid w:val="00A93DC5"/>
    <w:rsid w:val="00A949BE"/>
    <w:rsid w:val="00A95A96"/>
    <w:rsid w:val="00A96520"/>
    <w:rsid w:val="00A97490"/>
    <w:rsid w:val="00A97E03"/>
    <w:rsid w:val="00AA20E7"/>
    <w:rsid w:val="00AA2527"/>
    <w:rsid w:val="00AA468A"/>
    <w:rsid w:val="00AA6D1D"/>
    <w:rsid w:val="00AA7678"/>
    <w:rsid w:val="00AA7F53"/>
    <w:rsid w:val="00AB1F1F"/>
    <w:rsid w:val="00AB2405"/>
    <w:rsid w:val="00AB3A65"/>
    <w:rsid w:val="00AB3B23"/>
    <w:rsid w:val="00AB4E59"/>
    <w:rsid w:val="00AB5340"/>
    <w:rsid w:val="00AB54C2"/>
    <w:rsid w:val="00AB64F5"/>
    <w:rsid w:val="00AC0A89"/>
    <w:rsid w:val="00AC36D0"/>
    <w:rsid w:val="00AC4343"/>
    <w:rsid w:val="00AC4397"/>
    <w:rsid w:val="00AC7A5A"/>
    <w:rsid w:val="00AC7C96"/>
    <w:rsid w:val="00AD5697"/>
    <w:rsid w:val="00AD5802"/>
    <w:rsid w:val="00AD61C0"/>
    <w:rsid w:val="00AE1592"/>
    <w:rsid w:val="00AE237D"/>
    <w:rsid w:val="00AE293B"/>
    <w:rsid w:val="00AE3FCF"/>
    <w:rsid w:val="00AE431B"/>
    <w:rsid w:val="00AE4A07"/>
    <w:rsid w:val="00AE502A"/>
    <w:rsid w:val="00AE526F"/>
    <w:rsid w:val="00AE60CF"/>
    <w:rsid w:val="00AE78DB"/>
    <w:rsid w:val="00AF0353"/>
    <w:rsid w:val="00AF4D58"/>
    <w:rsid w:val="00AF7C07"/>
    <w:rsid w:val="00B015BB"/>
    <w:rsid w:val="00B019DD"/>
    <w:rsid w:val="00B01D71"/>
    <w:rsid w:val="00B03339"/>
    <w:rsid w:val="00B0362A"/>
    <w:rsid w:val="00B04288"/>
    <w:rsid w:val="00B0555A"/>
    <w:rsid w:val="00B05584"/>
    <w:rsid w:val="00B07158"/>
    <w:rsid w:val="00B12DC3"/>
    <w:rsid w:val="00B16E84"/>
    <w:rsid w:val="00B17475"/>
    <w:rsid w:val="00B21202"/>
    <w:rsid w:val="00B22150"/>
    <w:rsid w:val="00B225E4"/>
    <w:rsid w:val="00B22C93"/>
    <w:rsid w:val="00B23579"/>
    <w:rsid w:val="00B2458D"/>
    <w:rsid w:val="00B246B0"/>
    <w:rsid w:val="00B24B42"/>
    <w:rsid w:val="00B25F30"/>
    <w:rsid w:val="00B26378"/>
    <w:rsid w:val="00B27589"/>
    <w:rsid w:val="00B27FB2"/>
    <w:rsid w:val="00B30627"/>
    <w:rsid w:val="00B310D3"/>
    <w:rsid w:val="00B3329A"/>
    <w:rsid w:val="00B333EA"/>
    <w:rsid w:val="00B34124"/>
    <w:rsid w:val="00B3507C"/>
    <w:rsid w:val="00B35B7E"/>
    <w:rsid w:val="00B35CB9"/>
    <w:rsid w:val="00B37818"/>
    <w:rsid w:val="00B405B7"/>
    <w:rsid w:val="00B4283F"/>
    <w:rsid w:val="00B45027"/>
    <w:rsid w:val="00B471F8"/>
    <w:rsid w:val="00B500F1"/>
    <w:rsid w:val="00B5080A"/>
    <w:rsid w:val="00B509FF"/>
    <w:rsid w:val="00B52222"/>
    <w:rsid w:val="00B54238"/>
    <w:rsid w:val="00B54FE7"/>
    <w:rsid w:val="00B56C4B"/>
    <w:rsid w:val="00B57DC4"/>
    <w:rsid w:val="00B66901"/>
    <w:rsid w:val="00B66DD4"/>
    <w:rsid w:val="00B709FD"/>
    <w:rsid w:val="00B719C1"/>
    <w:rsid w:val="00B71E6D"/>
    <w:rsid w:val="00B72070"/>
    <w:rsid w:val="00B7261A"/>
    <w:rsid w:val="00B728FA"/>
    <w:rsid w:val="00B731EB"/>
    <w:rsid w:val="00B74BCC"/>
    <w:rsid w:val="00B754E6"/>
    <w:rsid w:val="00B75589"/>
    <w:rsid w:val="00B76361"/>
    <w:rsid w:val="00B770A2"/>
    <w:rsid w:val="00B779E1"/>
    <w:rsid w:val="00B801E1"/>
    <w:rsid w:val="00B80E7E"/>
    <w:rsid w:val="00B8237C"/>
    <w:rsid w:val="00B82D5E"/>
    <w:rsid w:val="00B87225"/>
    <w:rsid w:val="00B90C69"/>
    <w:rsid w:val="00B91528"/>
    <w:rsid w:val="00B91EE1"/>
    <w:rsid w:val="00B93E9C"/>
    <w:rsid w:val="00B94A05"/>
    <w:rsid w:val="00BA0090"/>
    <w:rsid w:val="00BA1A67"/>
    <w:rsid w:val="00BA2A88"/>
    <w:rsid w:val="00BA39AB"/>
    <w:rsid w:val="00BA4CDB"/>
    <w:rsid w:val="00BA4D03"/>
    <w:rsid w:val="00BB1444"/>
    <w:rsid w:val="00BB26C9"/>
    <w:rsid w:val="00BB55DF"/>
    <w:rsid w:val="00BB57F1"/>
    <w:rsid w:val="00BB600A"/>
    <w:rsid w:val="00BB638C"/>
    <w:rsid w:val="00BC09DB"/>
    <w:rsid w:val="00BC1F4B"/>
    <w:rsid w:val="00BC26AC"/>
    <w:rsid w:val="00BC41BA"/>
    <w:rsid w:val="00BC7049"/>
    <w:rsid w:val="00BC7643"/>
    <w:rsid w:val="00BD094C"/>
    <w:rsid w:val="00BD5B94"/>
    <w:rsid w:val="00BD5EBC"/>
    <w:rsid w:val="00BD601D"/>
    <w:rsid w:val="00BD7EB4"/>
    <w:rsid w:val="00BE23BC"/>
    <w:rsid w:val="00BE3B3A"/>
    <w:rsid w:val="00BE48C6"/>
    <w:rsid w:val="00BE5B5F"/>
    <w:rsid w:val="00BE7AAB"/>
    <w:rsid w:val="00BF0346"/>
    <w:rsid w:val="00BF5581"/>
    <w:rsid w:val="00BF6266"/>
    <w:rsid w:val="00BF70D1"/>
    <w:rsid w:val="00C0015A"/>
    <w:rsid w:val="00C003E0"/>
    <w:rsid w:val="00C02176"/>
    <w:rsid w:val="00C027AC"/>
    <w:rsid w:val="00C02A18"/>
    <w:rsid w:val="00C03273"/>
    <w:rsid w:val="00C0549B"/>
    <w:rsid w:val="00C07931"/>
    <w:rsid w:val="00C07C6E"/>
    <w:rsid w:val="00C07F78"/>
    <w:rsid w:val="00C10042"/>
    <w:rsid w:val="00C10A16"/>
    <w:rsid w:val="00C117E0"/>
    <w:rsid w:val="00C1273F"/>
    <w:rsid w:val="00C16EB7"/>
    <w:rsid w:val="00C17806"/>
    <w:rsid w:val="00C208D1"/>
    <w:rsid w:val="00C2184F"/>
    <w:rsid w:val="00C2392A"/>
    <w:rsid w:val="00C241EB"/>
    <w:rsid w:val="00C25EDE"/>
    <w:rsid w:val="00C26F55"/>
    <w:rsid w:val="00C27384"/>
    <w:rsid w:val="00C30C63"/>
    <w:rsid w:val="00C31A31"/>
    <w:rsid w:val="00C36B8B"/>
    <w:rsid w:val="00C379E4"/>
    <w:rsid w:val="00C415C1"/>
    <w:rsid w:val="00C436A5"/>
    <w:rsid w:val="00C44078"/>
    <w:rsid w:val="00C44AD3"/>
    <w:rsid w:val="00C47C3B"/>
    <w:rsid w:val="00C47DBF"/>
    <w:rsid w:val="00C51094"/>
    <w:rsid w:val="00C5160B"/>
    <w:rsid w:val="00C530CD"/>
    <w:rsid w:val="00C552FF"/>
    <w:rsid w:val="00C558DA"/>
    <w:rsid w:val="00C55AF3"/>
    <w:rsid w:val="00C60A3D"/>
    <w:rsid w:val="00C61322"/>
    <w:rsid w:val="00C63695"/>
    <w:rsid w:val="00C64C4A"/>
    <w:rsid w:val="00C65F3A"/>
    <w:rsid w:val="00C711E3"/>
    <w:rsid w:val="00C71B82"/>
    <w:rsid w:val="00C74B78"/>
    <w:rsid w:val="00C74CAE"/>
    <w:rsid w:val="00C75894"/>
    <w:rsid w:val="00C75BA8"/>
    <w:rsid w:val="00C75FD7"/>
    <w:rsid w:val="00C76FD0"/>
    <w:rsid w:val="00C83738"/>
    <w:rsid w:val="00C84759"/>
    <w:rsid w:val="00C87CCB"/>
    <w:rsid w:val="00C914C7"/>
    <w:rsid w:val="00C933DB"/>
    <w:rsid w:val="00C9415C"/>
    <w:rsid w:val="00C96A08"/>
    <w:rsid w:val="00C97358"/>
    <w:rsid w:val="00C97DB3"/>
    <w:rsid w:val="00CA0783"/>
    <w:rsid w:val="00CA0C96"/>
    <w:rsid w:val="00CA2EF9"/>
    <w:rsid w:val="00CA3247"/>
    <w:rsid w:val="00CA3ACC"/>
    <w:rsid w:val="00CA41BC"/>
    <w:rsid w:val="00CA4593"/>
    <w:rsid w:val="00CA57C7"/>
    <w:rsid w:val="00CA6C7F"/>
    <w:rsid w:val="00CB00F2"/>
    <w:rsid w:val="00CB0537"/>
    <w:rsid w:val="00CB40E2"/>
    <w:rsid w:val="00CB4349"/>
    <w:rsid w:val="00CB6384"/>
    <w:rsid w:val="00CB64A8"/>
    <w:rsid w:val="00CB6EB1"/>
    <w:rsid w:val="00CC0A32"/>
    <w:rsid w:val="00CC10A6"/>
    <w:rsid w:val="00CC4FD8"/>
    <w:rsid w:val="00CC5525"/>
    <w:rsid w:val="00CC5B26"/>
    <w:rsid w:val="00CC5BF0"/>
    <w:rsid w:val="00CC6A29"/>
    <w:rsid w:val="00CC7F59"/>
    <w:rsid w:val="00CD0142"/>
    <w:rsid w:val="00CD1E4B"/>
    <w:rsid w:val="00CD3C18"/>
    <w:rsid w:val="00CD3C5B"/>
    <w:rsid w:val="00CD5EB8"/>
    <w:rsid w:val="00CD6CFE"/>
    <w:rsid w:val="00CD7044"/>
    <w:rsid w:val="00CE0165"/>
    <w:rsid w:val="00CE08B9"/>
    <w:rsid w:val="00CE09CB"/>
    <w:rsid w:val="00CE1F5F"/>
    <w:rsid w:val="00CE20C9"/>
    <w:rsid w:val="00CE4195"/>
    <w:rsid w:val="00CE48AD"/>
    <w:rsid w:val="00CE524C"/>
    <w:rsid w:val="00CE740C"/>
    <w:rsid w:val="00CE7657"/>
    <w:rsid w:val="00CE7D97"/>
    <w:rsid w:val="00CF141F"/>
    <w:rsid w:val="00CF1BD2"/>
    <w:rsid w:val="00CF30C4"/>
    <w:rsid w:val="00CF41FC"/>
    <w:rsid w:val="00CF4644"/>
    <w:rsid w:val="00CF4777"/>
    <w:rsid w:val="00CF5CC9"/>
    <w:rsid w:val="00CF6B22"/>
    <w:rsid w:val="00CF7C44"/>
    <w:rsid w:val="00CF7DA6"/>
    <w:rsid w:val="00CF7F27"/>
    <w:rsid w:val="00D01854"/>
    <w:rsid w:val="00D01CCB"/>
    <w:rsid w:val="00D0261D"/>
    <w:rsid w:val="00D0279C"/>
    <w:rsid w:val="00D067BB"/>
    <w:rsid w:val="00D12AEB"/>
    <w:rsid w:val="00D13238"/>
    <w:rsid w:val="00D134D2"/>
    <w:rsid w:val="00D1352A"/>
    <w:rsid w:val="00D15618"/>
    <w:rsid w:val="00D160E8"/>
    <w:rsid w:val="00D169AF"/>
    <w:rsid w:val="00D2022F"/>
    <w:rsid w:val="00D21750"/>
    <w:rsid w:val="00D241A1"/>
    <w:rsid w:val="00D25249"/>
    <w:rsid w:val="00D26106"/>
    <w:rsid w:val="00D2725D"/>
    <w:rsid w:val="00D30166"/>
    <w:rsid w:val="00D33500"/>
    <w:rsid w:val="00D34447"/>
    <w:rsid w:val="00D4089D"/>
    <w:rsid w:val="00D44172"/>
    <w:rsid w:val="00D4460C"/>
    <w:rsid w:val="00D45134"/>
    <w:rsid w:val="00D453E5"/>
    <w:rsid w:val="00D460CF"/>
    <w:rsid w:val="00D463B0"/>
    <w:rsid w:val="00D469C5"/>
    <w:rsid w:val="00D52989"/>
    <w:rsid w:val="00D530EC"/>
    <w:rsid w:val="00D53189"/>
    <w:rsid w:val="00D5440D"/>
    <w:rsid w:val="00D54941"/>
    <w:rsid w:val="00D54F1F"/>
    <w:rsid w:val="00D55030"/>
    <w:rsid w:val="00D558E1"/>
    <w:rsid w:val="00D56EC9"/>
    <w:rsid w:val="00D60C7C"/>
    <w:rsid w:val="00D6162B"/>
    <w:rsid w:val="00D6172B"/>
    <w:rsid w:val="00D6363D"/>
    <w:rsid w:val="00D63972"/>
    <w:rsid w:val="00D63B8C"/>
    <w:rsid w:val="00D65D69"/>
    <w:rsid w:val="00D6617F"/>
    <w:rsid w:val="00D66AB0"/>
    <w:rsid w:val="00D67049"/>
    <w:rsid w:val="00D739CC"/>
    <w:rsid w:val="00D75D4B"/>
    <w:rsid w:val="00D76435"/>
    <w:rsid w:val="00D76CFF"/>
    <w:rsid w:val="00D77819"/>
    <w:rsid w:val="00D77B12"/>
    <w:rsid w:val="00D8093D"/>
    <w:rsid w:val="00D8108C"/>
    <w:rsid w:val="00D8124D"/>
    <w:rsid w:val="00D815A6"/>
    <w:rsid w:val="00D83048"/>
    <w:rsid w:val="00D842AE"/>
    <w:rsid w:val="00D85155"/>
    <w:rsid w:val="00D87BF6"/>
    <w:rsid w:val="00D90E4B"/>
    <w:rsid w:val="00D91EAA"/>
    <w:rsid w:val="00D9211C"/>
    <w:rsid w:val="00D92359"/>
    <w:rsid w:val="00D92D75"/>
    <w:rsid w:val="00D92DE0"/>
    <w:rsid w:val="00D92FEF"/>
    <w:rsid w:val="00D932AF"/>
    <w:rsid w:val="00D93A0F"/>
    <w:rsid w:val="00D93CDE"/>
    <w:rsid w:val="00D945DC"/>
    <w:rsid w:val="00D95B07"/>
    <w:rsid w:val="00DA1BCA"/>
    <w:rsid w:val="00DA2428"/>
    <w:rsid w:val="00DA269A"/>
    <w:rsid w:val="00DA35DD"/>
    <w:rsid w:val="00DA43E3"/>
    <w:rsid w:val="00DA6C8E"/>
    <w:rsid w:val="00DA6EA0"/>
    <w:rsid w:val="00DA71C9"/>
    <w:rsid w:val="00DB1886"/>
    <w:rsid w:val="00DB1D35"/>
    <w:rsid w:val="00DB35C4"/>
    <w:rsid w:val="00DB3A2C"/>
    <w:rsid w:val="00DB3E2D"/>
    <w:rsid w:val="00DB495F"/>
    <w:rsid w:val="00DB49F7"/>
    <w:rsid w:val="00DB4DEA"/>
    <w:rsid w:val="00DB4F59"/>
    <w:rsid w:val="00DB5243"/>
    <w:rsid w:val="00DC0056"/>
    <w:rsid w:val="00DC115F"/>
    <w:rsid w:val="00DC1244"/>
    <w:rsid w:val="00DC2043"/>
    <w:rsid w:val="00DC26F3"/>
    <w:rsid w:val="00DC3838"/>
    <w:rsid w:val="00DC426F"/>
    <w:rsid w:val="00DC4692"/>
    <w:rsid w:val="00DC46A2"/>
    <w:rsid w:val="00DC46FF"/>
    <w:rsid w:val="00DC4E69"/>
    <w:rsid w:val="00DC5254"/>
    <w:rsid w:val="00DC7414"/>
    <w:rsid w:val="00DD0812"/>
    <w:rsid w:val="00DD0BDA"/>
    <w:rsid w:val="00DD1A4F"/>
    <w:rsid w:val="00DD3107"/>
    <w:rsid w:val="00DD3E2E"/>
    <w:rsid w:val="00DD50F7"/>
    <w:rsid w:val="00DD663A"/>
    <w:rsid w:val="00DD7C2C"/>
    <w:rsid w:val="00DE01E8"/>
    <w:rsid w:val="00DE0287"/>
    <w:rsid w:val="00DE318D"/>
    <w:rsid w:val="00DE33DE"/>
    <w:rsid w:val="00DF2B78"/>
    <w:rsid w:val="00DF3CE0"/>
    <w:rsid w:val="00DF463A"/>
    <w:rsid w:val="00DF476B"/>
    <w:rsid w:val="00DF507B"/>
    <w:rsid w:val="00DF649D"/>
    <w:rsid w:val="00DF6C86"/>
    <w:rsid w:val="00DF7F91"/>
    <w:rsid w:val="00E00BAA"/>
    <w:rsid w:val="00E010AD"/>
    <w:rsid w:val="00E01541"/>
    <w:rsid w:val="00E01BA4"/>
    <w:rsid w:val="00E02022"/>
    <w:rsid w:val="00E02508"/>
    <w:rsid w:val="00E02D1B"/>
    <w:rsid w:val="00E02FC7"/>
    <w:rsid w:val="00E03255"/>
    <w:rsid w:val="00E03EBF"/>
    <w:rsid w:val="00E046FE"/>
    <w:rsid w:val="00E05821"/>
    <w:rsid w:val="00E06797"/>
    <w:rsid w:val="00E0754D"/>
    <w:rsid w:val="00E10BB1"/>
    <w:rsid w:val="00E1103D"/>
    <w:rsid w:val="00E1265B"/>
    <w:rsid w:val="00E12C01"/>
    <w:rsid w:val="00E12E91"/>
    <w:rsid w:val="00E13B48"/>
    <w:rsid w:val="00E1404F"/>
    <w:rsid w:val="00E140F1"/>
    <w:rsid w:val="00E142AC"/>
    <w:rsid w:val="00E16C76"/>
    <w:rsid w:val="00E16DBD"/>
    <w:rsid w:val="00E206C2"/>
    <w:rsid w:val="00E217E8"/>
    <w:rsid w:val="00E21824"/>
    <w:rsid w:val="00E21C83"/>
    <w:rsid w:val="00E2254B"/>
    <w:rsid w:val="00E2313D"/>
    <w:rsid w:val="00E24103"/>
    <w:rsid w:val="00E24ADA"/>
    <w:rsid w:val="00E2704C"/>
    <w:rsid w:val="00E271E3"/>
    <w:rsid w:val="00E278EE"/>
    <w:rsid w:val="00E3058F"/>
    <w:rsid w:val="00E31DE5"/>
    <w:rsid w:val="00E32B47"/>
    <w:rsid w:val="00E32F59"/>
    <w:rsid w:val="00E331EB"/>
    <w:rsid w:val="00E33B70"/>
    <w:rsid w:val="00E33FE2"/>
    <w:rsid w:val="00E36F37"/>
    <w:rsid w:val="00E379EA"/>
    <w:rsid w:val="00E37EE5"/>
    <w:rsid w:val="00E4072B"/>
    <w:rsid w:val="00E40A4B"/>
    <w:rsid w:val="00E41177"/>
    <w:rsid w:val="00E43401"/>
    <w:rsid w:val="00E46283"/>
    <w:rsid w:val="00E46AE7"/>
    <w:rsid w:val="00E46D9A"/>
    <w:rsid w:val="00E477A4"/>
    <w:rsid w:val="00E518DC"/>
    <w:rsid w:val="00E5197D"/>
    <w:rsid w:val="00E565FF"/>
    <w:rsid w:val="00E57D29"/>
    <w:rsid w:val="00E61E4E"/>
    <w:rsid w:val="00E6285D"/>
    <w:rsid w:val="00E63E6A"/>
    <w:rsid w:val="00E64438"/>
    <w:rsid w:val="00E6461D"/>
    <w:rsid w:val="00E64DCB"/>
    <w:rsid w:val="00E64E80"/>
    <w:rsid w:val="00E65388"/>
    <w:rsid w:val="00E65B0B"/>
    <w:rsid w:val="00E6603E"/>
    <w:rsid w:val="00E7157C"/>
    <w:rsid w:val="00E725A0"/>
    <w:rsid w:val="00E729A3"/>
    <w:rsid w:val="00E73343"/>
    <w:rsid w:val="00E74072"/>
    <w:rsid w:val="00E74586"/>
    <w:rsid w:val="00E76D6C"/>
    <w:rsid w:val="00E77385"/>
    <w:rsid w:val="00E77966"/>
    <w:rsid w:val="00E815DE"/>
    <w:rsid w:val="00E8243F"/>
    <w:rsid w:val="00E82FC3"/>
    <w:rsid w:val="00E83FD6"/>
    <w:rsid w:val="00E85189"/>
    <w:rsid w:val="00E85B7D"/>
    <w:rsid w:val="00E906A7"/>
    <w:rsid w:val="00E9121B"/>
    <w:rsid w:val="00E9204A"/>
    <w:rsid w:val="00E9402B"/>
    <w:rsid w:val="00E942DF"/>
    <w:rsid w:val="00E9699A"/>
    <w:rsid w:val="00EA03DB"/>
    <w:rsid w:val="00EA0AE2"/>
    <w:rsid w:val="00EA0E0A"/>
    <w:rsid w:val="00EA2928"/>
    <w:rsid w:val="00EA2CD4"/>
    <w:rsid w:val="00EA39E5"/>
    <w:rsid w:val="00EA3C72"/>
    <w:rsid w:val="00EA4BA1"/>
    <w:rsid w:val="00EA4C03"/>
    <w:rsid w:val="00EB1834"/>
    <w:rsid w:val="00EB58D7"/>
    <w:rsid w:val="00EB6E1A"/>
    <w:rsid w:val="00EC04A3"/>
    <w:rsid w:val="00EC0B75"/>
    <w:rsid w:val="00EC371B"/>
    <w:rsid w:val="00EC3F18"/>
    <w:rsid w:val="00EC4EA4"/>
    <w:rsid w:val="00EC4F0D"/>
    <w:rsid w:val="00EC5384"/>
    <w:rsid w:val="00EC5491"/>
    <w:rsid w:val="00EC54A1"/>
    <w:rsid w:val="00EC5915"/>
    <w:rsid w:val="00EC5A46"/>
    <w:rsid w:val="00EC5CF4"/>
    <w:rsid w:val="00EC63E2"/>
    <w:rsid w:val="00EC7805"/>
    <w:rsid w:val="00ED060D"/>
    <w:rsid w:val="00ED0B4E"/>
    <w:rsid w:val="00ED35AC"/>
    <w:rsid w:val="00ED3B8A"/>
    <w:rsid w:val="00ED449E"/>
    <w:rsid w:val="00ED556C"/>
    <w:rsid w:val="00ED5DC4"/>
    <w:rsid w:val="00ED66C6"/>
    <w:rsid w:val="00ED74C8"/>
    <w:rsid w:val="00EE41C1"/>
    <w:rsid w:val="00EE45DF"/>
    <w:rsid w:val="00EE4CFD"/>
    <w:rsid w:val="00EE641F"/>
    <w:rsid w:val="00EE68A2"/>
    <w:rsid w:val="00EE7AA1"/>
    <w:rsid w:val="00EF0860"/>
    <w:rsid w:val="00EF16A3"/>
    <w:rsid w:val="00EF1EBF"/>
    <w:rsid w:val="00EF22B3"/>
    <w:rsid w:val="00EF28B9"/>
    <w:rsid w:val="00EF39D3"/>
    <w:rsid w:val="00EF5CEC"/>
    <w:rsid w:val="00EF6FB9"/>
    <w:rsid w:val="00F01D8E"/>
    <w:rsid w:val="00F03006"/>
    <w:rsid w:val="00F03B69"/>
    <w:rsid w:val="00F074C0"/>
    <w:rsid w:val="00F07A50"/>
    <w:rsid w:val="00F113DA"/>
    <w:rsid w:val="00F114FF"/>
    <w:rsid w:val="00F11556"/>
    <w:rsid w:val="00F12A6E"/>
    <w:rsid w:val="00F14E0B"/>
    <w:rsid w:val="00F17919"/>
    <w:rsid w:val="00F21952"/>
    <w:rsid w:val="00F233B4"/>
    <w:rsid w:val="00F24C77"/>
    <w:rsid w:val="00F256FF"/>
    <w:rsid w:val="00F2593B"/>
    <w:rsid w:val="00F2657D"/>
    <w:rsid w:val="00F304EB"/>
    <w:rsid w:val="00F305AF"/>
    <w:rsid w:val="00F30C69"/>
    <w:rsid w:val="00F321FE"/>
    <w:rsid w:val="00F32C30"/>
    <w:rsid w:val="00F35159"/>
    <w:rsid w:val="00F351D7"/>
    <w:rsid w:val="00F358B9"/>
    <w:rsid w:val="00F36979"/>
    <w:rsid w:val="00F37796"/>
    <w:rsid w:val="00F37B03"/>
    <w:rsid w:val="00F37CEE"/>
    <w:rsid w:val="00F37DC8"/>
    <w:rsid w:val="00F41731"/>
    <w:rsid w:val="00F4232E"/>
    <w:rsid w:val="00F4239C"/>
    <w:rsid w:val="00F439B3"/>
    <w:rsid w:val="00F44FF7"/>
    <w:rsid w:val="00F45546"/>
    <w:rsid w:val="00F46BE3"/>
    <w:rsid w:val="00F47DD9"/>
    <w:rsid w:val="00F47F83"/>
    <w:rsid w:val="00F52998"/>
    <w:rsid w:val="00F55DC8"/>
    <w:rsid w:val="00F6003F"/>
    <w:rsid w:val="00F60C9B"/>
    <w:rsid w:val="00F61838"/>
    <w:rsid w:val="00F6297C"/>
    <w:rsid w:val="00F62ED2"/>
    <w:rsid w:val="00F64199"/>
    <w:rsid w:val="00F64F43"/>
    <w:rsid w:val="00F650B6"/>
    <w:rsid w:val="00F650C3"/>
    <w:rsid w:val="00F65D85"/>
    <w:rsid w:val="00F6667A"/>
    <w:rsid w:val="00F670CC"/>
    <w:rsid w:val="00F70754"/>
    <w:rsid w:val="00F72246"/>
    <w:rsid w:val="00F73D22"/>
    <w:rsid w:val="00F753AF"/>
    <w:rsid w:val="00F75480"/>
    <w:rsid w:val="00F76827"/>
    <w:rsid w:val="00F77136"/>
    <w:rsid w:val="00F771C6"/>
    <w:rsid w:val="00F80793"/>
    <w:rsid w:val="00F8091E"/>
    <w:rsid w:val="00F812E3"/>
    <w:rsid w:val="00F82561"/>
    <w:rsid w:val="00F82AAE"/>
    <w:rsid w:val="00F84371"/>
    <w:rsid w:val="00F84B89"/>
    <w:rsid w:val="00F8504F"/>
    <w:rsid w:val="00F8615C"/>
    <w:rsid w:val="00F863B0"/>
    <w:rsid w:val="00F9183E"/>
    <w:rsid w:val="00F9191D"/>
    <w:rsid w:val="00F92F1B"/>
    <w:rsid w:val="00F93325"/>
    <w:rsid w:val="00F93580"/>
    <w:rsid w:val="00F93A85"/>
    <w:rsid w:val="00F93CCA"/>
    <w:rsid w:val="00F948C0"/>
    <w:rsid w:val="00F94B72"/>
    <w:rsid w:val="00F94C9D"/>
    <w:rsid w:val="00F95A53"/>
    <w:rsid w:val="00F969E5"/>
    <w:rsid w:val="00F9731F"/>
    <w:rsid w:val="00F97A89"/>
    <w:rsid w:val="00FA1093"/>
    <w:rsid w:val="00FA175C"/>
    <w:rsid w:val="00FA2215"/>
    <w:rsid w:val="00FA2F16"/>
    <w:rsid w:val="00FA36D1"/>
    <w:rsid w:val="00FA4651"/>
    <w:rsid w:val="00FA4966"/>
    <w:rsid w:val="00FA556D"/>
    <w:rsid w:val="00FA57EE"/>
    <w:rsid w:val="00FA6BB0"/>
    <w:rsid w:val="00FA6CDE"/>
    <w:rsid w:val="00FB1995"/>
    <w:rsid w:val="00FB2167"/>
    <w:rsid w:val="00FB2489"/>
    <w:rsid w:val="00FB25F5"/>
    <w:rsid w:val="00FB2882"/>
    <w:rsid w:val="00FB3140"/>
    <w:rsid w:val="00FB5059"/>
    <w:rsid w:val="00FB67E0"/>
    <w:rsid w:val="00FB70B8"/>
    <w:rsid w:val="00FB73D6"/>
    <w:rsid w:val="00FB79BD"/>
    <w:rsid w:val="00FC4067"/>
    <w:rsid w:val="00FC436B"/>
    <w:rsid w:val="00FC6ECE"/>
    <w:rsid w:val="00FD0E00"/>
    <w:rsid w:val="00FD14E3"/>
    <w:rsid w:val="00FD173A"/>
    <w:rsid w:val="00FD1D01"/>
    <w:rsid w:val="00FD1F97"/>
    <w:rsid w:val="00FD2E05"/>
    <w:rsid w:val="00FD5860"/>
    <w:rsid w:val="00FD5EDA"/>
    <w:rsid w:val="00FD63C9"/>
    <w:rsid w:val="00FD7345"/>
    <w:rsid w:val="00FE033B"/>
    <w:rsid w:val="00FE352D"/>
    <w:rsid w:val="00FE40EB"/>
    <w:rsid w:val="00FE4C70"/>
    <w:rsid w:val="00FE4D02"/>
    <w:rsid w:val="00FE7493"/>
    <w:rsid w:val="00FE7D62"/>
    <w:rsid w:val="00FF0B18"/>
    <w:rsid w:val="00FF1C4E"/>
    <w:rsid w:val="00FF22E3"/>
    <w:rsid w:val="00FF25E0"/>
    <w:rsid w:val="00FF29AD"/>
    <w:rsid w:val="00FF3819"/>
    <w:rsid w:val="00FF54A0"/>
    <w:rsid w:val="00FF68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2720E1"/>
  <w15:docId w15:val="{7CABB3A3-520E-4FFC-8972-6FA55671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
    <w:basedOn w:val="Normalpool"/>
    <w:link w:val="FootnoteTextChar"/>
    <w:rsid w:val="000D6941"/>
    <w:pPr>
      <w:spacing w:before="20" w:after="40"/>
      <w:ind w:left="1247"/>
    </w:pPr>
    <w:rPr>
      <w:sz w:val="18"/>
    </w:rPr>
  </w:style>
  <w:style w:type="numbering" w:customStyle="1" w:styleId="NoList1">
    <w:name w:val="No List1"/>
    <w:next w:val="NoList"/>
    <w:uiPriority w:val="99"/>
    <w:semiHidden/>
    <w:unhideWhenUsed/>
    <w:rsid w:val="006B2718"/>
  </w:style>
  <w:style w:type="paragraph" w:styleId="Title">
    <w:name w:val="Title"/>
    <w:basedOn w:val="Normal"/>
    <w:link w:val="TitleChar"/>
    <w:autoRedefine/>
    <w:qFormat/>
    <w:rsid w:val="006B2718"/>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lang w:val="en-US"/>
    </w:rPr>
  </w:style>
  <w:style w:type="character" w:customStyle="1" w:styleId="TitleChar">
    <w:name w:val="Title Char"/>
    <w:basedOn w:val="DefaultParagraphFont"/>
    <w:link w:val="Title"/>
    <w:rsid w:val="006B2718"/>
    <w:rPr>
      <w:rFonts w:cs="Arial"/>
      <w:b/>
      <w:bCs/>
      <w:kern w:val="28"/>
      <w:sz w:val="28"/>
      <w:szCs w:val="28"/>
    </w:rPr>
  </w:style>
  <w:style w:type="paragraph" w:customStyle="1" w:styleId="main">
    <w:name w:val="main"/>
    <w:basedOn w:val="Normal"/>
    <w:autoRedefine/>
    <w:rsid w:val="006B2718"/>
    <w:pPr>
      <w:tabs>
        <w:tab w:val="clear" w:pos="1247"/>
        <w:tab w:val="clear" w:pos="1814"/>
        <w:tab w:val="clear" w:pos="2381"/>
        <w:tab w:val="clear" w:pos="2948"/>
        <w:tab w:val="clear" w:pos="3515"/>
      </w:tabs>
      <w:spacing w:after="120"/>
      <w:ind w:left="2495" w:hanging="624"/>
    </w:pPr>
    <w:rPr>
      <w:szCs w:val="22"/>
      <w:lang w:val="en-US"/>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link w:val="FootnoteText"/>
    <w:rsid w:val="006B2718"/>
    <w:rPr>
      <w:sz w:val="18"/>
      <w:lang w:val="fr-FR"/>
    </w:rPr>
  </w:style>
  <w:style w:type="paragraph" w:styleId="Caption">
    <w:name w:val="caption"/>
    <w:basedOn w:val="Normal"/>
    <w:next w:val="Normal"/>
    <w:qFormat/>
    <w:rsid w:val="006B2718"/>
    <w:pPr>
      <w:widowControl w:val="0"/>
      <w:tabs>
        <w:tab w:val="clear" w:pos="1247"/>
        <w:tab w:val="clear" w:pos="1814"/>
        <w:tab w:val="clear" w:pos="2381"/>
        <w:tab w:val="clear" w:pos="2948"/>
        <w:tab w:val="clear" w:pos="3515"/>
      </w:tabs>
    </w:pPr>
    <w:rPr>
      <w:snapToGrid w:val="0"/>
      <w:sz w:val="24"/>
      <w:lang w:val="en-GB"/>
    </w:rPr>
  </w:style>
  <w:style w:type="paragraph" w:styleId="BalloonText">
    <w:name w:val="Balloon Text"/>
    <w:basedOn w:val="Normal"/>
    <w:link w:val="BalloonTextChar"/>
    <w:rsid w:val="006B2718"/>
    <w:pPr>
      <w:tabs>
        <w:tab w:val="clear" w:pos="1247"/>
        <w:tab w:val="clear" w:pos="1814"/>
        <w:tab w:val="clear" w:pos="2381"/>
        <w:tab w:val="clear" w:pos="2948"/>
        <w:tab w:val="clear" w:pos="3515"/>
      </w:tabs>
    </w:pPr>
    <w:rPr>
      <w:rFonts w:ascii="Tahoma" w:hAnsi="Tahoma" w:cs="Tahoma"/>
      <w:sz w:val="16"/>
      <w:szCs w:val="16"/>
      <w:lang w:val="en-GB"/>
    </w:rPr>
  </w:style>
  <w:style w:type="character" w:customStyle="1" w:styleId="BalloonTextChar">
    <w:name w:val="Balloon Text Char"/>
    <w:basedOn w:val="DefaultParagraphFont"/>
    <w:link w:val="BalloonText"/>
    <w:rsid w:val="006B2718"/>
    <w:rPr>
      <w:rFonts w:ascii="Tahoma" w:hAnsi="Tahoma" w:cs="Tahoma"/>
      <w:sz w:val="16"/>
      <w:szCs w:val="16"/>
      <w:lang w:val="en-GB"/>
    </w:rPr>
  </w:style>
  <w:style w:type="paragraph" w:customStyle="1" w:styleId="Paralevel1">
    <w:name w:val="Para level1"/>
    <w:basedOn w:val="Normal"/>
    <w:autoRedefine/>
    <w:rsid w:val="006B2718"/>
    <w:pPr>
      <w:numPr>
        <w:numId w:val="4"/>
      </w:numPr>
      <w:tabs>
        <w:tab w:val="clear" w:pos="1247"/>
        <w:tab w:val="clear" w:pos="1814"/>
        <w:tab w:val="clear" w:pos="2381"/>
        <w:tab w:val="clear" w:pos="2948"/>
        <w:tab w:val="clear" w:pos="3515"/>
      </w:tabs>
      <w:suppressAutoHyphens/>
      <w:spacing w:after="120"/>
    </w:pPr>
    <w:rPr>
      <w:lang w:val="en-GB"/>
    </w:rPr>
  </w:style>
  <w:style w:type="character" w:styleId="CommentReference">
    <w:name w:val="annotation reference"/>
    <w:rsid w:val="006B2718"/>
    <w:rPr>
      <w:sz w:val="18"/>
    </w:rPr>
  </w:style>
  <w:style w:type="paragraph" w:styleId="CommentText">
    <w:name w:val="annotation text"/>
    <w:basedOn w:val="Normal"/>
    <w:link w:val="CommentTextChar"/>
    <w:rsid w:val="006B2718"/>
    <w:pPr>
      <w:tabs>
        <w:tab w:val="clear" w:pos="1247"/>
        <w:tab w:val="clear" w:pos="1814"/>
        <w:tab w:val="clear" w:pos="2381"/>
        <w:tab w:val="clear" w:pos="2948"/>
        <w:tab w:val="clear" w:pos="3515"/>
      </w:tabs>
    </w:pPr>
    <w:rPr>
      <w:sz w:val="24"/>
      <w:szCs w:val="24"/>
      <w:lang w:val="en-GB"/>
    </w:rPr>
  </w:style>
  <w:style w:type="character" w:customStyle="1" w:styleId="CommentTextChar">
    <w:name w:val="Comment Text Char"/>
    <w:basedOn w:val="DefaultParagraphFont"/>
    <w:link w:val="CommentText"/>
    <w:rsid w:val="006B2718"/>
    <w:rPr>
      <w:sz w:val="24"/>
      <w:szCs w:val="24"/>
      <w:lang w:val="en-GB"/>
    </w:rPr>
  </w:style>
  <w:style w:type="paragraph" w:styleId="CommentSubject">
    <w:name w:val="annotation subject"/>
    <w:basedOn w:val="CommentText"/>
    <w:next w:val="CommentText"/>
    <w:link w:val="CommentSubjectChar"/>
    <w:rsid w:val="006B2718"/>
    <w:rPr>
      <w:sz w:val="22"/>
      <w:szCs w:val="20"/>
    </w:rPr>
  </w:style>
  <w:style w:type="character" w:customStyle="1" w:styleId="CommentSubjectChar">
    <w:name w:val="Comment Subject Char"/>
    <w:basedOn w:val="CommentTextChar"/>
    <w:link w:val="CommentSubject"/>
    <w:rsid w:val="006B2718"/>
    <w:rPr>
      <w:sz w:val="22"/>
      <w:szCs w:val="24"/>
      <w:lang w:val="en-GB"/>
    </w:rPr>
  </w:style>
  <w:style w:type="paragraph" w:customStyle="1" w:styleId="Subtitle">
    <w:name w:val="Sub title"/>
    <w:basedOn w:val="Heading2"/>
    <w:rsid w:val="006B2718"/>
    <w:pPr>
      <w:tabs>
        <w:tab w:val="clear" w:pos="1247"/>
        <w:tab w:val="clear" w:pos="1814"/>
        <w:tab w:val="clear" w:pos="2381"/>
        <w:tab w:val="clear" w:pos="2948"/>
        <w:tab w:val="clear" w:pos="3515"/>
      </w:tabs>
      <w:spacing w:before="0" w:after="240"/>
      <w:ind w:firstLine="0"/>
    </w:pPr>
    <w:rPr>
      <w:lang w:val="en-GB"/>
    </w:rPr>
  </w:style>
  <w:style w:type="numbering" w:customStyle="1" w:styleId="Normallist1">
    <w:name w:val="Normal_list1"/>
    <w:basedOn w:val="NoList"/>
    <w:rsid w:val="006B2718"/>
  </w:style>
  <w:style w:type="character" w:customStyle="1" w:styleId="FooterChar">
    <w:name w:val="Footer Char"/>
    <w:link w:val="Footer"/>
    <w:uiPriority w:val="99"/>
    <w:rsid w:val="006B2718"/>
    <w:rPr>
      <w:sz w:val="18"/>
      <w:lang w:val="fr-FR"/>
    </w:rPr>
  </w:style>
  <w:style w:type="character" w:customStyle="1" w:styleId="NormalnumberChar">
    <w:name w:val="Normal_number Char"/>
    <w:link w:val="Normalnumber"/>
    <w:locked/>
    <w:rsid w:val="00556F3A"/>
    <w:rPr>
      <w:lang w:val="en-GB"/>
    </w:rPr>
  </w:style>
  <w:style w:type="character" w:customStyle="1" w:styleId="Normal-poolChar">
    <w:name w:val="Normal-pool Char"/>
    <w:link w:val="Normal-pool"/>
    <w:uiPriority w:val="99"/>
    <w:rsid w:val="006B2718"/>
    <w:rPr>
      <w:lang w:val="en-GB"/>
    </w:rPr>
  </w:style>
  <w:style w:type="character" w:customStyle="1" w:styleId="NormalNonumberChar">
    <w:name w:val="Normal_No_number Char"/>
    <w:link w:val="NormalNonumber"/>
    <w:uiPriority w:val="99"/>
    <w:locked/>
    <w:rsid w:val="006B2718"/>
    <w:rPr>
      <w:lang w:val="en-GB"/>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
    <w:locked/>
    <w:rsid w:val="006B2718"/>
    <w:rPr>
      <w:sz w:val="18"/>
      <w:lang w:val="fr-FR"/>
    </w:rPr>
  </w:style>
  <w:style w:type="paragraph" w:customStyle="1" w:styleId="ColorfulShading-Accent31">
    <w:name w:val="Colorful Shading - Accent 31"/>
    <w:basedOn w:val="Normal"/>
    <w:uiPriority w:val="34"/>
    <w:qFormat/>
    <w:rsid w:val="006B2718"/>
    <w:pPr>
      <w:tabs>
        <w:tab w:val="clear" w:pos="1247"/>
        <w:tab w:val="clear" w:pos="1814"/>
        <w:tab w:val="clear" w:pos="2381"/>
        <w:tab w:val="clear" w:pos="2948"/>
        <w:tab w:val="clear" w:pos="3515"/>
      </w:tabs>
      <w:ind w:left="708"/>
    </w:pPr>
    <w:rPr>
      <w:sz w:val="22"/>
      <w:lang w:val="en-GB"/>
    </w:rPr>
  </w:style>
  <w:style w:type="paragraph" w:customStyle="1" w:styleId="LightGrid-Accent31">
    <w:name w:val="Light Grid - Accent 31"/>
    <w:basedOn w:val="Normal"/>
    <w:uiPriority w:val="99"/>
    <w:rsid w:val="006B2718"/>
    <w:pPr>
      <w:tabs>
        <w:tab w:val="clear" w:pos="1247"/>
        <w:tab w:val="clear" w:pos="1814"/>
        <w:tab w:val="clear" w:pos="2381"/>
        <w:tab w:val="clear" w:pos="2948"/>
        <w:tab w:val="clear" w:pos="3515"/>
      </w:tabs>
      <w:ind w:left="720"/>
    </w:pPr>
    <w:rPr>
      <w:sz w:val="22"/>
      <w:szCs w:val="22"/>
      <w:lang w:val="en-GB"/>
    </w:rPr>
  </w:style>
  <w:style w:type="paragraph" w:customStyle="1" w:styleId="Level1">
    <w:name w:val="Level1"/>
    <w:basedOn w:val="Normal"/>
    <w:uiPriority w:val="99"/>
    <w:rsid w:val="006B2718"/>
    <w:pPr>
      <w:numPr>
        <w:numId w:val="5"/>
      </w:numPr>
      <w:tabs>
        <w:tab w:val="clear" w:pos="1247"/>
        <w:tab w:val="clear" w:pos="1814"/>
        <w:tab w:val="clear" w:pos="2381"/>
        <w:tab w:val="clear" w:pos="2948"/>
        <w:tab w:val="clear" w:pos="3515"/>
        <w:tab w:val="left" w:pos="1157"/>
      </w:tabs>
      <w:suppressAutoHyphens/>
      <w:spacing w:after="240"/>
    </w:pPr>
    <w:rPr>
      <w:rFonts w:eastAsia="MS Mincho"/>
      <w:lang w:val="en-GB"/>
    </w:rPr>
  </w:style>
  <w:style w:type="paragraph" w:customStyle="1" w:styleId="DarkList-Accent31">
    <w:name w:val="Dark List - Accent 31"/>
    <w:hidden/>
    <w:uiPriority w:val="99"/>
    <w:semiHidden/>
    <w:rsid w:val="006B2718"/>
    <w:rPr>
      <w:sz w:val="22"/>
      <w:lang w:val="en-GB"/>
    </w:rPr>
  </w:style>
  <w:style w:type="table" w:styleId="TableGrid">
    <w:name w:val="Table Grid"/>
    <w:basedOn w:val="TableNormal"/>
    <w:rsid w:val="006B271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6B2718"/>
    <w:rPr>
      <w:b/>
      <w:sz w:val="24"/>
      <w:szCs w:val="24"/>
      <w:lang w:val="en-GB"/>
    </w:rPr>
  </w:style>
  <w:style w:type="paragraph" w:customStyle="1" w:styleId="NoSpacing1">
    <w:name w:val="No Spacing1"/>
    <w:next w:val="NoSpacing"/>
    <w:uiPriority w:val="1"/>
    <w:qFormat/>
    <w:rsid w:val="006B2718"/>
    <w:rPr>
      <w:rFonts w:ascii="Calibri" w:eastAsia="Calibri" w:hAnsi="Calibri"/>
      <w:sz w:val="22"/>
      <w:szCs w:val="22"/>
    </w:rPr>
  </w:style>
  <w:style w:type="paragraph" w:customStyle="1" w:styleId="ListParagraph1">
    <w:name w:val="List Paragraph1"/>
    <w:basedOn w:val="Normal"/>
    <w:next w:val="ListParagraph"/>
    <w:uiPriority w:val="34"/>
    <w:qFormat/>
    <w:rsid w:val="006B2718"/>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en-US"/>
    </w:rPr>
  </w:style>
  <w:style w:type="paragraph" w:customStyle="1" w:styleId="Default">
    <w:name w:val="Default"/>
    <w:rsid w:val="006B2718"/>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6B2718"/>
    <w:rPr>
      <w:sz w:val="22"/>
      <w:lang w:val="en-GB"/>
    </w:rPr>
  </w:style>
  <w:style w:type="paragraph" w:customStyle="1" w:styleId="PlainText1">
    <w:name w:val="Plain Text1"/>
    <w:basedOn w:val="Normal"/>
    <w:next w:val="PlainText"/>
    <w:link w:val="PlainTextChar"/>
    <w:uiPriority w:val="99"/>
    <w:unhideWhenUsed/>
    <w:rsid w:val="006B2718"/>
    <w:pPr>
      <w:tabs>
        <w:tab w:val="clear" w:pos="1247"/>
        <w:tab w:val="clear" w:pos="1814"/>
        <w:tab w:val="clear" w:pos="2381"/>
        <w:tab w:val="clear" w:pos="2948"/>
        <w:tab w:val="clear" w:pos="3515"/>
      </w:tabs>
    </w:pPr>
    <w:rPr>
      <w:rFonts w:ascii="Consolas" w:hAnsi="Consolas" w:cs="Consolas"/>
      <w:sz w:val="21"/>
      <w:szCs w:val="21"/>
      <w:lang w:val="en-US"/>
    </w:rPr>
  </w:style>
  <w:style w:type="character" w:customStyle="1" w:styleId="PlainTextChar">
    <w:name w:val="Plain Text Char"/>
    <w:link w:val="PlainText1"/>
    <w:uiPriority w:val="99"/>
    <w:rsid w:val="006B2718"/>
    <w:rPr>
      <w:rFonts w:ascii="Consolas" w:eastAsia="Times New Roman" w:hAnsi="Consolas" w:cs="Consolas"/>
      <w:sz w:val="21"/>
      <w:szCs w:val="21"/>
    </w:rPr>
  </w:style>
  <w:style w:type="paragraph" w:styleId="NoSpacing">
    <w:name w:val="No Spacing"/>
    <w:uiPriority w:val="1"/>
    <w:qFormat/>
    <w:rsid w:val="006B2718"/>
    <w:pPr>
      <w:tabs>
        <w:tab w:val="left" w:pos="1247"/>
        <w:tab w:val="left" w:pos="1814"/>
        <w:tab w:val="left" w:pos="2381"/>
        <w:tab w:val="left" w:pos="2948"/>
        <w:tab w:val="left" w:pos="3515"/>
      </w:tabs>
    </w:pPr>
    <w:rPr>
      <w:lang w:val="fr-FR"/>
    </w:rPr>
  </w:style>
  <w:style w:type="paragraph" w:styleId="ListParagraph">
    <w:name w:val="List Paragraph"/>
    <w:basedOn w:val="Normal"/>
    <w:uiPriority w:val="34"/>
    <w:qFormat/>
    <w:rsid w:val="006B2718"/>
    <w:pPr>
      <w:ind w:left="720"/>
    </w:pPr>
  </w:style>
  <w:style w:type="paragraph" w:styleId="PlainText">
    <w:name w:val="Plain Text"/>
    <w:basedOn w:val="Normal"/>
    <w:link w:val="PlainTextChar1"/>
    <w:rsid w:val="006B2718"/>
    <w:rPr>
      <w:rFonts w:ascii="Courier New" w:hAnsi="Courier New" w:cs="Courier New"/>
    </w:rPr>
  </w:style>
  <w:style w:type="character" w:customStyle="1" w:styleId="PlainTextChar1">
    <w:name w:val="Plain Text Char1"/>
    <w:basedOn w:val="DefaultParagraphFont"/>
    <w:link w:val="PlainText"/>
    <w:rsid w:val="006B2718"/>
    <w:rPr>
      <w:rFonts w:ascii="Courier New" w:hAnsi="Courier New" w:cs="Courier New"/>
      <w:lang w:val="fr-FR"/>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uiPriority w:val="99"/>
    <w:rsid w:val="00160D74"/>
    <w:pPr>
      <w:spacing w:after="120"/>
      <w:ind w:left="1247"/>
    </w:pPr>
    <w:rPr>
      <w:lang w:val="en-GB"/>
    </w:rPr>
  </w:style>
  <w:style w:type="paragraph" w:customStyle="1" w:styleId="Normalnumber">
    <w:name w:val="Normal_number"/>
    <w:basedOn w:val="Normalpool"/>
    <w:link w:val="NormalnumberChar"/>
    <w:rsid w:val="00556F3A"/>
    <w:pPr>
      <w:numPr>
        <w:numId w:val="7"/>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character" w:customStyle="1" w:styleId="tgc">
    <w:name w:val="_tgc"/>
    <w:basedOn w:val="DefaultParagraphFont"/>
    <w:rsid w:val="009077A1"/>
  </w:style>
  <w:style w:type="character" w:customStyle="1" w:styleId="PoWnumber">
    <w:name w:val="PoW number"/>
    <w:basedOn w:val="DefaultParagraphFont"/>
    <w:uiPriority w:val="1"/>
    <w:qFormat/>
    <w:rsid w:val="009D2448"/>
    <w:rPr>
      <w:b/>
      <w:bCs/>
      <w:sz w:val="28"/>
      <w:szCs w:val="28"/>
    </w:rPr>
  </w:style>
  <w:style w:type="character" w:customStyle="1" w:styleId="preferred">
    <w:name w:val="preferred"/>
    <w:basedOn w:val="DefaultParagraphFont"/>
    <w:rsid w:val="003877DF"/>
  </w:style>
  <w:style w:type="table" w:customStyle="1" w:styleId="PlainTable41">
    <w:name w:val="Plain Table 41"/>
    <w:basedOn w:val="TableNormal"/>
    <w:uiPriority w:val="44"/>
    <w:rsid w:val="00D202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89199336">
      <w:bodyDiv w:val="1"/>
      <w:marLeft w:val="0"/>
      <w:marRight w:val="0"/>
      <w:marTop w:val="0"/>
      <w:marBottom w:val="0"/>
      <w:divBdr>
        <w:top w:val="none" w:sz="0" w:space="0" w:color="auto"/>
        <w:left w:val="none" w:sz="0" w:space="0" w:color="auto"/>
        <w:bottom w:val="none" w:sz="0" w:space="0" w:color="auto"/>
        <w:right w:val="none" w:sz="0" w:space="0" w:color="auto"/>
      </w:divBdr>
    </w:div>
    <w:div w:id="10249420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1DA0-D615-4877-A494-C4FC86B5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8831</Words>
  <Characters>48575</Characters>
  <Application>Microsoft Office Word</Application>
  <DocSecurity>0</DocSecurity>
  <Lines>404</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 Office at Geneva</Company>
  <LinksUpToDate>false</LinksUpToDate>
  <CharactersWithSpaces>57292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ten Have</dc:creator>
  <cp:lastModifiedBy>Thomas Lieven</cp:lastModifiedBy>
  <cp:revision>2</cp:revision>
  <cp:lastPrinted>2017-08-31T06:07:00Z</cp:lastPrinted>
  <dcterms:created xsi:type="dcterms:W3CDTF">2017-09-07T09:26:00Z</dcterms:created>
  <dcterms:modified xsi:type="dcterms:W3CDTF">2017-09-07T09:26:00Z</dcterms:modified>
</cp:coreProperties>
</file>