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4A0" w:firstRow="1" w:lastRow="0" w:firstColumn="1" w:lastColumn="0" w:noHBand="0" w:noVBand="1"/>
      </w:tblPr>
      <w:tblGrid>
        <w:gridCol w:w="1518"/>
        <w:gridCol w:w="4643"/>
        <w:gridCol w:w="3335"/>
      </w:tblGrid>
      <w:tr w:rsidR="00AB4080" w:rsidRPr="00405E0A" w14:paraId="6E6F1C64" w14:textId="77777777" w:rsidTr="00AB4080">
        <w:trPr>
          <w:cantSplit/>
          <w:trHeight w:val="850"/>
          <w:jc w:val="right"/>
        </w:trPr>
        <w:tc>
          <w:tcPr>
            <w:tcW w:w="1560" w:type="dxa"/>
            <w:hideMark/>
          </w:tcPr>
          <w:p w14:paraId="1C68D570" w14:textId="72962677" w:rsidR="00AB4080" w:rsidRPr="00BD3198" w:rsidRDefault="00AB4080" w:rsidP="00BD3198">
            <w:pPr>
              <w:pStyle w:val="Normal-pool"/>
              <w:rPr>
                <w:rFonts w:ascii="Arial" w:hAnsi="Arial" w:cs="Arial"/>
                <w:b/>
                <w:noProof/>
                <w:sz w:val="27"/>
                <w:szCs w:val="27"/>
                <w:lang w:eastAsia="zh-CN"/>
              </w:rPr>
            </w:pPr>
            <w:r w:rsidRPr="00BD3198">
              <w:rPr>
                <w:rFonts w:ascii="Arial" w:hAnsi="Arial" w:cs="Arial"/>
                <w:b/>
                <w:noProof/>
                <w:sz w:val="27"/>
                <w:szCs w:val="27"/>
                <w:lang w:eastAsia="zh-CN"/>
              </w:rPr>
              <w:t>NATIONS</w:t>
            </w:r>
            <w:r w:rsidR="00BD3198">
              <w:rPr>
                <w:rFonts w:ascii="Arial" w:hAnsi="Arial" w:cs="Arial"/>
                <w:b/>
                <w:noProof/>
                <w:sz w:val="27"/>
                <w:szCs w:val="27"/>
                <w:lang w:eastAsia="zh-CN"/>
              </w:rPr>
              <w:t xml:space="preserve"> </w:t>
            </w:r>
            <w:r w:rsidRPr="00BD3198">
              <w:rPr>
                <w:rFonts w:ascii="Arial" w:hAnsi="Arial" w:cs="Arial"/>
                <w:b/>
                <w:noProof/>
                <w:sz w:val="27"/>
                <w:szCs w:val="27"/>
                <w:lang w:eastAsia="zh-CN"/>
              </w:rPr>
              <w:br/>
              <w:t>UNIES</w:t>
            </w:r>
          </w:p>
        </w:tc>
        <w:tc>
          <w:tcPr>
            <w:tcW w:w="4785" w:type="dxa"/>
          </w:tcPr>
          <w:p w14:paraId="7CD0FA4F" w14:textId="77777777" w:rsidR="00AB4080" w:rsidRPr="00BD3198" w:rsidRDefault="00AB4080" w:rsidP="00BD3198">
            <w:pPr>
              <w:pStyle w:val="Normal-pool"/>
              <w:rPr>
                <w:rFonts w:ascii="Arial" w:hAnsi="Arial" w:cs="Arial"/>
                <w:b/>
                <w:lang w:eastAsia="zh-CN"/>
              </w:rPr>
            </w:pPr>
          </w:p>
        </w:tc>
        <w:tc>
          <w:tcPr>
            <w:tcW w:w="3435" w:type="dxa"/>
            <w:hideMark/>
          </w:tcPr>
          <w:p w14:paraId="781F939E" w14:textId="77777777" w:rsidR="00AB4080" w:rsidRPr="00BD3198" w:rsidRDefault="00AB4080" w:rsidP="00BD3198">
            <w:pPr>
              <w:pStyle w:val="Normal-pool"/>
              <w:jc w:val="right"/>
              <w:rPr>
                <w:rFonts w:ascii="Arial" w:hAnsi="Arial" w:cs="Arial"/>
                <w:b/>
                <w:sz w:val="64"/>
                <w:szCs w:val="64"/>
                <w:lang w:eastAsia="zh-CN"/>
              </w:rPr>
            </w:pPr>
            <w:r w:rsidRPr="00BD3198">
              <w:rPr>
                <w:rFonts w:ascii="Arial" w:hAnsi="Arial" w:cs="Arial"/>
                <w:b/>
                <w:sz w:val="64"/>
                <w:szCs w:val="64"/>
                <w:lang w:eastAsia="zh-CN"/>
              </w:rPr>
              <w:t>MC</w:t>
            </w:r>
          </w:p>
        </w:tc>
      </w:tr>
      <w:tr w:rsidR="00AB4080" w:rsidRPr="00405E0A" w14:paraId="6D784EE4" w14:textId="77777777" w:rsidTr="00AB4080">
        <w:trPr>
          <w:cantSplit/>
          <w:trHeight w:val="281"/>
          <w:jc w:val="right"/>
        </w:trPr>
        <w:tc>
          <w:tcPr>
            <w:tcW w:w="1560" w:type="dxa"/>
            <w:tcBorders>
              <w:top w:val="nil"/>
              <w:left w:val="nil"/>
              <w:bottom w:val="single" w:sz="4" w:space="0" w:color="auto"/>
              <w:right w:val="nil"/>
            </w:tcBorders>
          </w:tcPr>
          <w:p w14:paraId="37A11C3E" w14:textId="77777777" w:rsidR="00AB4080" w:rsidRPr="00405E0A" w:rsidRDefault="00AB4080" w:rsidP="00BD3198">
            <w:pPr>
              <w:pStyle w:val="Normal-pool"/>
              <w:rPr>
                <w:noProof/>
                <w:sz w:val="18"/>
                <w:szCs w:val="18"/>
                <w:lang w:eastAsia="zh-CN"/>
              </w:rPr>
            </w:pPr>
          </w:p>
        </w:tc>
        <w:tc>
          <w:tcPr>
            <w:tcW w:w="4785" w:type="dxa"/>
            <w:tcBorders>
              <w:top w:val="nil"/>
              <w:left w:val="nil"/>
              <w:bottom w:val="single" w:sz="4" w:space="0" w:color="auto"/>
              <w:right w:val="nil"/>
            </w:tcBorders>
          </w:tcPr>
          <w:p w14:paraId="3AC5505D" w14:textId="77777777" w:rsidR="00AB4080" w:rsidRPr="00405E0A" w:rsidRDefault="00AB4080" w:rsidP="00BD3198">
            <w:pPr>
              <w:pStyle w:val="Normal-pool"/>
              <w:rPr>
                <w:rFonts w:ascii="Univers" w:hAnsi="Univers"/>
                <w:sz w:val="18"/>
                <w:szCs w:val="18"/>
                <w:lang w:eastAsia="zh-CN"/>
              </w:rPr>
            </w:pPr>
          </w:p>
        </w:tc>
        <w:tc>
          <w:tcPr>
            <w:tcW w:w="3435" w:type="dxa"/>
            <w:tcBorders>
              <w:top w:val="nil"/>
              <w:left w:val="nil"/>
              <w:bottom w:val="single" w:sz="4" w:space="0" w:color="auto"/>
              <w:right w:val="nil"/>
            </w:tcBorders>
            <w:hideMark/>
          </w:tcPr>
          <w:p w14:paraId="3EA8D175" w14:textId="0B0579CF" w:rsidR="00AB4080" w:rsidRPr="00405E0A" w:rsidRDefault="00AB4080" w:rsidP="00BD3198">
            <w:pPr>
              <w:pStyle w:val="Normal-pool"/>
              <w:rPr>
                <w:noProof/>
                <w:sz w:val="18"/>
                <w:szCs w:val="18"/>
                <w:lang w:eastAsia="zh-CN"/>
              </w:rPr>
            </w:pPr>
            <w:r w:rsidRPr="00BD3198">
              <w:rPr>
                <w:b/>
                <w:bCs/>
                <w:sz w:val="28"/>
                <w:lang w:eastAsia="zh-CN"/>
              </w:rPr>
              <w:t>UNEP</w:t>
            </w:r>
            <w:bookmarkStart w:id="0" w:name="OLE_LINK1"/>
            <w:bookmarkStart w:id="1" w:name="OLE_LINK2"/>
            <w:r w:rsidRPr="00BD3198">
              <w:rPr>
                <w:bCs/>
                <w:lang w:eastAsia="zh-CN"/>
              </w:rPr>
              <w:t>/</w:t>
            </w:r>
            <w:r w:rsidRPr="00405E0A">
              <w:rPr>
                <w:lang w:eastAsia="zh-CN"/>
              </w:rPr>
              <w:t>MC/</w:t>
            </w:r>
            <w:bookmarkEnd w:id="0"/>
            <w:bookmarkEnd w:id="1"/>
            <w:r w:rsidRPr="00405E0A">
              <w:rPr>
                <w:lang w:eastAsia="zh-CN"/>
              </w:rPr>
              <w:t>COP.1/20</w:t>
            </w:r>
          </w:p>
        </w:tc>
      </w:tr>
      <w:bookmarkStart w:id="2" w:name="_MON_1021710510"/>
      <w:bookmarkEnd w:id="2"/>
      <w:tr w:rsidR="00AB4080" w:rsidRPr="00435F09" w14:paraId="237237C7" w14:textId="77777777" w:rsidTr="00AB4080">
        <w:trPr>
          <w:cantSplit/>
          <w:trHeight w:val="2549"/>
          <w:jc w:val="right"/>
        </w:trPr>
        <w:tc>
          <w:tcPr>
            <w:tcW w:w="1560" w:type="dxa"/>
            <w:tcBorders>
              <w:top w:val="single" w:sz="4" w:space="0" w:color="auto"/>
              <w:left w:val="nil"/>
              <w:bottom w:val="single" w:sz="24" w:space="0" w:color="auto"/>
              <w:right w:val="nil"/>
            </w:tcBorders>
            <w:hideMark/>
          </w:tcPr>
          <w:p w14:paraId="3B77756B" w14:textId="23B313C4" w:rsidR="00AB4080" w:rsidRPr="00405E0A" w:rsidRDefault="00AB4080" w:rsidP="00BD3198">
            <w:pPr>
              <w:pStyle w:val="Normal-pool"/>
              <w:rPr>
                <w:noProof/>
                <w:lang w:eastAsia="zh-CN"/>
              </w:rPr>
            </w:pPr>
            <w:r w:rsidRPr="00405E0A">
              <w:rPr>
                <w:noProof/>
                <w:lang w:eastAsia="zh-CN"/>
              </w:rPr>
              <w:object w:dxaOrig="1305" w:dyaOrig="1215" w14:anchorId="6A0CBA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0.75pt" o:ole="" fillcolor="window">
                  <v:imagedata r:id="rId8" o:title=""/>
                </v:shape>
                <o:OLEObject Type="Embed" ProgID="Word.Picture.8" ShapeID="_x0000_i1025" DrawAspect="Content" ObjectID="_1565599984" r:id="rId9"/>
              </w:object>
            </w:r>
            <w:r w:rsidRPr="00405E0A">
              <w:rPr>
                <w:noProof/>
                <w:lang w:eastAsia="fr-FR"/>
              </w:rPr>
              <w:drawing>
                <wp:inline distT="0" distB="0" distL="0" distR="0" wp14:anchorId="0568B15C" wp14:editId="6325296D">
                  <wp:extent cx="724535" cy="767715"/>
                  <wp:effectExtent l="0" t="0" r="0" b="0"/>
                  <wp:docPr id="3" name="Picture 3"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4535" cy="767715"/>
                          </a:xfrm>
                          <a:prstGeom prst="rect">
                            <a:avLst/>
                          </a:prstGeom>
                          <a:noFill/>
                          <a:ln>
                            <a:noFill/>
                          </a:ln>
                        </pic:spPr>
                      </pic:pic>
                    </a:graphicData>
                  </a:graphic>
                </wp:inline>
              </w:drawing>
            </w:r>
          </w:p>
        </w:tc>
        <w:tc>
          <w:tcPr>
            <w:tcW w:w="4785" w:type="dxa"/>
            <w:tcBorders>
              <w:top w:val="single" w:sz="4" w:space="0" w:color="auto"/>
              <w:left w:val="nil"/>
              <w:bottom w:val="single" w:sz="24" w:space="0" w:color="auto"/>
              <w:right w:val="nil"/>
            </w:tcBorders>
            <w:hideMark/>
          </w:tcPr>
          <w:p w14:paraId="70E0559F" w14:textId="7B6797E6" w:rsidR="00AB4080" w:rsidRPr="00BD3198" w:rsidRDefault="00AB4080" w:rsidP="00BD3198">
            <w:pPr>
              <w:pStyle w:val="Normal-pool"/>
              <w:spacing w:before="1400" w:after="240"/>
              <w:rPr>
                <w:rFonts w:ascii="Arial" w:hAnsi="Arial" w:cs="Arial"/>
                <w:b/>
                <w:sz w:val="27"/>
                <w:szCs w:val="27"/>
                <w:lang w:eastAsia="zh-CN"/>
              </w:rPr>
            </w:pPr>
            <w:r w:rsidRPr="00BD3198">
              <w:rPr>
                <w:rFonts w:ascii="Arial" w:hAnsi="Arial" w:cs="Arial"/>
                <w:b/>
                <w:sz w:val="27"/>
                <w:szCs w:val="27"/>
                <w:lang w:eastAsia="zh-CN"/>
              </w:rPr>
              <w:t>Programme</w:t>
            </w:r>
            <w:r w:rsidRPr="00BD3198">
              <w:rPr>
                <w:rFonts w:ascii="Arial" w:hAnsi="Arial" w:cs="Arial"/>
                <w:b/>
                <w:sz w:val="27"/>
                <w:szCs w:val="27"/>
                <w:lang w:eastAsia="zh-CN"/>
              </w:rPr>
              <w:br/>
              <w:t>des Nations Unies</w:t>
            </w:r>
            <w:r w:rsidRPr="00BD3198">
              <w:rPr>
                <w:rFonts w:ascii="Arial" w:hAnsi="Arial" w:cs="Arial"/>
                <w:b/>
                <w:sz w:val="27"/>
                <w:szCs w:val="27"/>
                <w:lang w:eastAsia="zh-CN"/>
              </w:rPr>
              <w:br/>
              <w:t>pour l</w:t>
            </w:r>
            <w:r w:rsidR="00BD3198">
              <w:rPr>
                <w:rFonts w:ascii="Arial" w:hAnsi="Arial" w:cs="Arial"/>
                <w:b/>
                <w:sz w:val="27"/>
                <w:szCs w:val="27"/>
                <w:lang w:eastAsia="zh-CN"/>
              </w:rPr>
              <w:t>’</w:t>
            </w:r>
            <w:r w:rsidRPr="00BD3198">
              <w:rPr>
                <w:rFonts w:ascii="Arial" w:hAnsi="Arial" w:cs="Arial"/>
                <w:b/>
                <w:sz w:val="27"/>
                <w:szCs w:val="27"/>
                <w:lang w:eastAsia="zh-CN"/>
              </w:rPr>
              <w:t>environnement</w:t>
            </w:r>
          </w:p>
        </w:tc>
        <w:tc>
          <w:tcPr>
            <w:tcW w:w="3435" w:type="dxa"/>
            <w:tcBorders>
              <w:top w:val="single" w:sz="4" w:space="0" w:color="auto"/>
              <w:left w:val="nil"/>
              <w:bottom w:val="single" w:sz="24" w:space="0" w:color="auto"/>
              <w:right w:val="nil"/>
            </w:tcBorders>
            <w:hideMark/>
          </w:tcPr>
          <w:p w14:paraId="6B1675A5" w14:textId="108E897C" w:rsidR="00BD3198" w:rsidRDefault="00BD3198" w:rsidP="00BD3198">
            <w:pPr>
              <w:pStyle w:val="Normal-pool"/>
              <w:spacing w:before="120"/>
              <w:rPr>
                <w:lang w:eastAsia="zh-CN"/>
              </w:rPr>
            </w:pPr>
            <w:r>
              <w:rPr>
                <w:lang w:eastAsia="zh-CN"/>
              </w:rPr>
              <w:t>Distr. générale</w:t>
            </w:r>
          </w:p>
          <w:p w14:paraId="6941A71A" w14:textId="28554A77" w:rsidR="00AB4080" w:rsidRPr="00405E0A" w:rsidRDefault="00AB4080" w:rsidP="00BD3198">
            <w:pPr>
              <w:pStyle w:val="Normal-pool"/>
              <w:spacing w:after="120"/>
              <w:rPr>
                <w:lang w:eastAsia="zh-CN"/>
              </w:rPr>
            </w:pPr>
            <w:r w:rsidRPr="00405E0A">
              <w:rPr>
                <w:lang w:eastAsia="zh-CN"/>
              </w:rPr>
              <w:t>7 juillet 2017</w:t>
            </w:r>
          </w:p>
          <w:p w14:paraId="4E714935" w14:textId="77777777" w:rsidR="00BD3198" w:rsidRDefault="00AB4080" w:rsidP="00BD3198">
            <w:pPr>
              <w:pStyle w:val="Normal-pool"/>
              <w:rPr>
                <w:lang w:eastAsia="zh-CN"/>
              </w:rPr>
            </w:pPr>
            <w:r w:rsidRPr="00405E0A">
              <w:rPr>
                <w:lang w:eastAsia="zh-CN"/>
              </w:rPr>
              <w:t>Français</w:t>
            </w:r>
          </w:p>
          <w:p w14:paraId="16B4717B" w14:textId="03938C12" w:rsidR="00AB4080" w:rsidRPr="00405E0A" w:rsidRDefault="00AB4080" w:rsidP="00BD3198">
            <w:pPr>
              <w:pStyle w:val="Normal-pool"/>
              <w:rPr>
                <w:lang w:eastAsia="zh-CN"/>
              </w:rPr>
            </w:pPr>
            <w:r w:rsidRPr="00405E0A">
              <w:rPr>
                <w:lang w:eastAsia="zh-CN"/>
              </w:rPr>
              <w:t>Original : anglais</w:t>
            </w:r>
          </w:p>
        </w:tc>
      </w:tr>
    </w:tbl>
    <w:p w14:paraId="6FD29AB1" w14:textId="1F6558D4" w:rsidR="00AB4080" w:rsidRPr="00405E0A" w:rsidRDefault="00AB4080" w:rsidP="00BD3198">
      <w:pPr>
        <w:pStyle w:val="AATitle"/>
        <w:rPr>
          <w:lang w:val="fr-FR"/>
        </w:rPr>
      </w:pPr>
      <w:r w:rsidRPr="00405E0A">
        <w:rPr>
          <w:lang w:val="fr-FR"/>
        </w:rPr>
        <w:t xml:space="preserve">Conférence des Parties </w:t>
      </w:r>
      <w:r w:rsidR="00BD3198">
        <w:rPr>
          <w:lang w:val="fr-FR"/>
        </w:rPr>
        <w:br/>
      </w:r>
      <w:r w:rsidRPr="00405E0A">
        <w:rPr>
          <w:lang w:val="fr-FR"/>
        </w:rPr>
        <w:t>à la Convention de Minamata sur le mercure</w:t>
      </w:r>
    </w:p>
    <w:p w14:paraId="7D856A7D" w14:textId="77777777" w:rsidR="00AB4080" w:rsidRPr="00BD3198" w:rsidRDefault="00AB4080" w:rsidP="00BD3198">
      <w:pPr>
        <w:pStyle w:val="AATitle"/>
      </w:pPr>
      <w:r w:rsidRPr="00BD3198">
        <w:t>Première réunion</w:t>
      </w:r>
    </w:p>
    <w:p w14:paraId="025336B9" w14:textId="77777777" w:rsidR="00AB4080" w:rsidRPr="00BD3198" w:rsidRDefault="00AB4080" w:rsidP="00BD3198">
      <w:pPr>
        <w:pStyle w:val="AATitle"/>
      </w:pPr>
      <w:r w:rsidRPr="00BD3198">
        <w:t>Genève, 24–29 septembre 2017</w:t>
      </w:r>
    </w:p>
    <w:p w14:paraId="0988CEB9" w14:textId="0BF1901C" w:rsidR="00775D8D" w:rsidRPr="00BD3198" w:rsidRDefault="00775D8D" w:rsidP="00BD3198">
      <w:pPr>
        <w:pStyle w:val="AATitle"/>
        <w:rPr>
          <w:b w:val="0"/>
        </w:rPr>
      </w:pPr>
      <w:r w:rsidRPr="00BD3198">
        <w:rPr>
          <w:b w:val="0"/>
        </w:rPr>
        <w:t>Point 5 d) de l</w:t>
      </w:r>
      <w:r w:rsidR="00BD3198">
        <w:rPr>
          <w:b w:val="0"/>
        </w:rPr>
        <w:t>’</w:t>
      </w:r>
      <w:r w:rsidRPr="00BD3198">
        <w:rPr>
          <w:b w:val="0"/>
        </w:rPr>
        <w:t>ordre du jour provisoire</w:t>
      </w:r>
      <w:r w:rsidRPr="00BD3198">
        <w:rPr>
          <w:b w:val="0"/>
        </w:rPr>
        <w:footnoteReference w:customMarkFollows="1" w:id="1"/>
        <w:t>*</w:t>
      </w:r>
    </w:p>
    <w:p w14:paraId="606F5244" w14:textId="77777777" w:rsidR="0025267F" w:rsidRPr="00405E0A" w:rsidRDefault="0025267F" w:rsidP="00BD3198">
      <w:pPr>
        <w:pStyle w:val="AATitle2"/>
        <w:rPr>
          <w:lang w:val="fr-FR"/>
        </w:rPr>
      </w:pPr>
      <w:r w:rsidRPr="00405E0A">
        <w:rPr>
          <w:lang w:val="fr-FR"/>
        </w:rPr>
        <w:t xml:space="preserve">Questions appelant une décision de la Conférence des </w:t>
      </w:r>
      <w:r w:rsidRPr="00BD3198">
        <w:t>Parties</w:t>
      </w:r>
      <w:r w:rsidRPr="00405E0A">
        <w:rPr>
          <w:lang w:val="fr-FR"/>
        </w:rPr>
        <w:t xml:space="preserve"> à sa première réunion : programme de travail du secrétariat et budget pour la période 2018-2019</w:t>
      </w:r>
    </w:p>
    <w:p w14:paraId="29B3EA59" w14:textId="59619B9F" w:rsidR="000760B6" w:rsidRPr="00405E0A" w:rsidRDefault="000760B6" w:rsidP="00BD3198">
      <w:pPr>
        <w:pStyle w:val="BBTitle"/>
        <w:rPr>
          <w:lang w:val="fr-FR"/>
        </w:rPr>
      </w:pPr>
      <w:r w:rsidRPr="00BD3198">
        <w:t>Rapport</w:t>
      </w:r>
      <w:r w:rsidRPr="00405E0A">
        <w:rPr>
          <w:lang w:val="fr-FR"/>
        </w:rPr>
        <w:t xml:space="preserve"> sur l</w:t>
      </w:r>
      <w:r w:rsidR="00BD3198">
        <w:rPr>
          <w:lang w:val="fr-FR"/>
        </w:rPr>
        <w:t>’</w:t>
      </w:r>
      <w:r w:rsidRPr="00405E0A">
        <w:rPr>
          <w:lang w:val="fr-FR"/>
        </w:rPr>
        <w:t>état d</w:t>
      </w:r>
      <w:r w:rsidR="00BD3198">
        <w:rPr>
          <w:lang w:val="fr-FR"/>
        </w:rPr>
        <w:t>’</w:t>
      </w:r>
      <w:r w:rsidRPr="00405E0A">
        <w:rPr>
          <w:lang w:val="fr-FR"/>
        </w:rPr>
        <w:t>avancement des travaux du secrétariat provisoire depuis la septième session du Comité de négociation intergouvernemental chargé d</w:t>
      </w:r>
      <w:r w:rsidR="00BD3198">
        <w:rPr>
          <w:lang w:val="fr-FR"/>
        </w:rPr>
        <w:t>’</w:t>
      </w:r>
      <w:r w:rsidRPr="00405E0A">
        <w:rPr>
          <w:lang w:val="fr-FR"/>
        </w:rPr>
        <w:t>élaborer un instrument international juridiquement contraignant sur le mercure</w:t>
      </w:r>
    </w:p>
    <w:p w14:paraId="76322488" w14:textId="77777777" w:rsidR="000760B6" w:rsidRPr="00BD3198" w:rsidRDefault="000760B6" w:rsidP="00BD3198">
      <w:pPr>
        <w:pStyle w:val="CH2"/>
      </w:pPr>
      <w:r w:rsidRPr="00405E0A">
        <w:rPr>
          <w:lang w:val="fr-FR"/>
        </w:rPr>
        <w:tab/>
      </w:r>
      <w:r w:rsidRPr="00405E0A">
        <w:rPr>
          <w:lang w:val="fr-FR"/>
        </w:rPr>
        <w:tab/>
        <w:t>Note du secrétariat</w:t>
      </w:r>
    </w:p>
    <w:p w14:paraId="7CB06B31" w14:textId="75088270" w:rsidR="000760B6" w:rsidRPr="00405E0A" w:rsidRDefault="00082351" w:rsidP="00BD3198">
      <w:pPr>
        <w:pStyle w:val="CH1"/>
        <w:rPr>
          <w:lang w:val="fr-FR"/>
        </w:rPr>
      </w:pPr>
      <w:r>
        <w:rPr>
          <w:lang w:val="fr-FR"/>
        </w:rPr>
        <w:tab/>
      </w:r>
      <w:r w:rsidR="000760B6" w:rsidRPr="00405E0A">
        <w:rPr>
          <w:lang w:val="fr-FR"/>
        </w:rPr>
        <w:t>I.</w:t>
      </w:r>
      <w:r w:rsidR="000760B6" w:rsidRPr="00405E0A">
        <w:rPr>
          <w:lang w:val="fr-FR"/>
        </w:rPr>
        <w:tab/>
      </w:r>
      <w:r w:rsidR="000760B6" w:rsidRPr="00BD3198">
        <w:t>Introduction</w:t>
      </w:r>
    </w:p>
    <w:p w14:paraId="170D2553" w14:textId="1724CA4C" w:rsidR="000760B6" w:rsidRPr="00405E0A" w:rsidRDefault="00082351" w:rsidP="00BD3198">
      <w:pPr>
        <w:pStyle w:val="Normalnumber"/>
        <w:rPr>
          <w:lang w:val="fr-FR"/>
        </w:rPr>
      </w:pPr>
      <w:r>
        <w:rPr>
          <w:lang w:val="fr-FR"/>
        </w:rPr>
        <w:t>Au paragraphe </w:t>
      </w:r>
      <w:r w:rsidR="000760B6" w:rsidRPr="00405E0A">
        <w:rPr>
          <w:lang w:val="fr-FR"/>
        </w:rPr>
        <w:t>11 de sa résolution relative aux dispositions provisoires précédant l</w:t>
      </w:r>
      <w:r w:rsidR="00BD3198">
        <w:rPr>
          <w:lang w:val="fr-FR"/>
        </w:rPr>
        <w:t>’</w:t>
      </w:r>
      <w:r w:rsidR="000760B6" w:rsidRPr="00405E0A">
        <w:rPr>
          <w:lang w:val="fr-FR"/>
        </w:rPr>
        <w:t>entrée en vigueur de la Convention (UNEP(DTIE)/Hg/CONF/4, annexe</w:t>
      </w:r>
      <w:r>
        <w:rPr>
          <w:lang w:val="fr-FR"/>
        </w:rPr>
        <w:t> </w:t>
      </w:r>
      <w:r w:rsidR="000760B6" w:rsidRPr="00405E0A">
        <w:rPr>
          <w:lang w:val="fr-FR"/>
        </w:rPr>
        <w:t xml:space="preserve">I), la Conférence </w:t>
      </w:r>
      <w:r w:rsidR="001E1EEC">
        <w:rPr>
          <w:lang w:val="fr-FR"/>
        </w:rPr>
        <w:t>de plénipotentiaires relative à la</w:t>
      </w:r>
      <w:r w:rsidR="000760B6" w:rsidRPr="00405E0A">
        <w:rPr>
          <w:lang w:val="fr-FR"/>
        </w:rPr>
        <w:t xml:space="preserve"> Convention de Minamata sur le mercure a prié le Directeur exécutif du Programme des Nations Unies pour l</w:t>
      </w:r>
      <w:r w:rsidR="00BD3198">
        <w:rPr>
          <w:lang w:val="fr-FR"/>
        </w:rPr>
        <w:t>’</w:t>
      </w:r>
      <w:r w:rsidR="000760B6" w:rsidRPr="00405E0A">
        <w:rPr>
          <w:lang w:val="fr-FR"/>
        </w:rPr>
        <w:t>environnement (PNUE) d</w:t>
      </w:r>
      <w:r w:rsidR="00BD3198">
        <w:rPr>
          <w:lang w:val="fr-FR"/>
        </w:rPr>
        <w:t>’</w:t>
      </w:r>
      <w:r w:rsidR="000760B6" w:rsidRPr="00405E0A">
        <w:rPr>
          <w:lang w:val="fr-FR"/>
        </w:rPr>
        <w:t>assurer provisoirement les services de secrétariat pour soutenir les travaux du Comité de négociation intergouvernemental chargé d</w:t>
      </w:r>
      <w:r w:rsidR="00BD3198">
        <w:rPr>
          <w:lang w:val="fr-FR"/>
        </w:rPr>
        <w:t>’</w:t>
      </w:r>
      <w:r w:rsidR="000760B6" w:rsidRPr="00405E0A">
        <w:rPr>
          <w:lang w:val="fr-FR"/>
        </w:rPr>
        <w:t>élaborer un instrument international juridiquement contraignant sur le mercure et ses activités jusqu</w:t>
      </w:r>
      <w:r w:rsidR="00BD3198">
        <w:rPr>
          <w:lang w:val="fr-FR"/>
        </w:rPr>
        <w:t>’</w:t>
      </w:r>
      <w:r w:rsidR="000760B6" w:rsidRPr="00405E0A">
        <w:rPr>
          <w:lang w:val="fr-FR"/>
        </w:rPr>
        <w:t>à la première réunion de la Conférence des Parties. Au paragraphe</w:t>
      </w:r>
      <w:r>
        <w:rPr>
          <w:lang w:val="fr-FR"/>
        </w:rPr>
        <w:t> </w:t>
      </w:r>
      <w:r w:rsidR="000760B6" w:rsidRPr="00405E0A">
        <w:rPr>
          <w:lang w:val="fr-FR"/>
        </w:rPr>
        <w:t>12 de cette résolution</w:t>
      </w:r>
      <w:r w:rsidR="001E1EEC">
        <w:rPr>
          <w:lang w:val="fr-FR"/>
        </w:rPr>
        <w:t>,</w:t>
      </w:r>
      <w:r w:rsidR="000760B6" w:rsidRPr="00405E0A">
        <w:rPr>
          <w:lang w:val="fr-FR"/>
        </w:rPr>
        <w:t xml:space="preserve"> la Conférence a prié le secrétariat provisoire de travailler en </w:t>
      </w:r>
      <w:r w:rsidR="000760B6" w:rsidRPr="00BD3198">
        <w:t>coopération</w:t>
      </w:r>
      <w:r w:rsidR="000760B6" w:rsidRPr="00405E0A">
        <w:rPr>
          <w:lang w:val="fr-FR"/>
        </w:rPr>
        <w:t xml:space="preserve"> et en coordination, selon qu</w:t>
      </w:r>
      <w:r w:rsidR="00BD3198">
        <w:rPr>
          <w:lang w:val="fr-FR"/>
        </w:rPr>
        <w:t>’</w:t>
      </w:r>
      <w:r w:rsidR="000760B6" w:rsidRPr="00405E0A">
        <w:rPr>
          <w:lang w:val="fr-FR"/>
        </w:rPr>
        <w:t>il convient, avec les autres acteurs compétents, dont le Secrétariat de la Convention de Bâle sur le contrôle des mouvements transfrontières de déchets dangereux et de leur élimination, de la Convention de Rotterdam sur la procédure de consentement préalable en connaissance de cause applicable à certains produits chimiques et pesticides dangereux qui font l</w:t>
      </w:r>
      <w:r w:rsidR="00BD3198">
        <w:rPr>
          <w:lang w:val="fr-FR"/>
        </w:rPr>
        <w:t>’</w:t>
      </w:r>
      <w:r w:rsidR="000760B6" w:rsidRPr="00405E0A">
        <w:rPr>
          <w:lang w:val="fr-FR"/>
        </w:rPr>
        <w:t>objet d</w:t>
      </w:r>
      <w:r w:rsidR="00BD3198">
        <w:rPr>
          <w:lang w:val="fr-FR"/>
        </w:rPr>
        <w:t>’</w:t>
      </w:r>
      <w:r w:rsidR="000760B6" w:rsidRPr="00405E0A">
        <w:rPr>
          <w:lang w:val="fr-FR"/>
        </w:rPr>
        <w:t>un commerce international et de la Convention de Stockholm sur les polluants organiques persistants, afin de mettre pleinement à profit l</w:t>
      </w:r>
      <w:r w:rsidR="00BD3198">
        <w:rPr>
          <w:lang w:val="fr-FR"/>
        </w:rPr>
        <w:t>’</w:t>
      </w:r>
      <w:r w:rsidR="000760B6" w:rsidRPr="00405E0A">
        <w:rPr>
          <w:lang w:val="fr-FR"/>
        </w:rPr>
        <w:t>expérience et l</w:t>
      </w:r>
      <w:r w:rsidR="00BD3198">
        <w:rPr>
          <w:lang w:val="fr-FR"/>
        </w:rPr>
        <w:t>’</w:t>
      </w:r>
      <w:r w:rsidR="000760B6" w:rsidRPr="00405E0A">
        <w:rPr>
          <w:lang w:val="fr-FR"/>
        </w:rPr>
        <w:t>expertise dont ils disposent. Au paragraphe</w:t>
      </w:r>
      <w:r w:rsidR="000F4AED">
        <w:rPr>
          <w:lang w:val="fr-FR"/>
        </w:rPr>
        <w:t> </w:t>
      </w:r>
      <w:r w:rsidR="000760B6" w:rsidRPr="00405E0A">
        <w:rPr>
          <w:lang w:val="fr-FR"/>
        </w:rPr>
        <w:t xml:space="preserve">13 de la résolution, la Conférence a en outre prié le Directeur exécutif de faciliter les activités menées au niveau des régions et des pays pour appuyer la mise en œuvre de manière effective et efficace durant la période intérimaire. </w:t>
      </w:r>
    </w:p>
    <w:p w14:paraId="6E5D91A1" w14:textId="7FF8EF18" w:rsidR="000760B6" w:rsidRPr="00405E0A" w:rsidRDefault="000760B6" w:rsidP="00A21697">
      <w:pPr>
        <w:pStyle w:val="Normalnumber"/>
        <w:rPr>
          <w:lang w:val="fr-FR"/>
        </w:rPr>
      </w:pPr>
      <w:r w:rsidRPr="00405E0A">
        <w:rPr>
          <w:lang w:val="fr-FR"/>
        </w:rPr>
        <w:t>Un résumé des activités menées par le secrétariat provisoire en réponse à ces demandes (UNEP(DTIE)/Hg/INC.7/21) a été présenté au Comité de négociation intergouvernemental à sa septième session, tenue du 10 au 15</w:t>
      </w:r>
      <w:r w:rsidR="00082351">
        <w:rPr>
          <w:lang w:val="fr-FR"/>
        </w:rPr>
        <w:t> </w:t>
      </w:r>
      <w:r w:rsidRPr="00405E0A">
        <w:rPr>
          <w:lang w:val="fr-FR"/>
        </w:rPr>
        <w:t>mars 2016 sur l</w:t>
      </w:r>
      <w:r w:rsidR="00EA187B">
        <w:rPr>
          <w:lang w:val="fr-FR"/>
        </w:rPr>
        <w:t>a</w:t>
      </w:r>
      <w:r w:rsidRPr="00405E0A">
        <w:rPr>
          <w:lang w:val="fr-FR"/>
        </w:rPr>
        <w:t xml:space="preserve"> rive</w:t>
      </w:r>
      <w:r w:rsidR="00EA187B">
        <w:rPr>
          <w:lang w:val="fr-FR"/>
        </w:rPr>
        <w:t xml:space="preserve"> jordanienne</w:t>
      </w:r>
      <w:r w:rsidRPr="00405E0A">
        <w:rPr>
          <w:lang w:val="fr-FR"/>
        </w:rPr>
        <w:t xml:space="preserve"> de la mer Morte. Le présent rapport résume les principales activités menées par le secrétariat provisoire depuis la septième</w:t>
      </w:r>
      <w:r w:rsidR="00BD3198">
        <w:rPr>
          <w:lang w:val="fr-FR"/>
        </w:rPr>
        <w:t> </w:t>
      </w:r>
      <w:r w:rsidRPr="00405E0A">
        <w:rPr>
          <w:lang w:val="fr-FR"/>
        </w:rPr>
        <w:t xml:space="preserve">session du Comité, et couvre à la fois ses travaux préparatoires en vue de la première réunion de la Conférence </w:t>
      </w:r>
      <w:r w:rsidRPr="00405E0A">
        <w:rPr>
          <w:lang w:val="fr-FR"/>
        </w:rPr>
        <w:lastRenderedPageBreak/>
        <w:t>des Parties, y compris les travaux intersessions demandés par le Comité à sa septième</w:t>
      </w:r>
      <w:r w:rsidR="00BD3198">
        <w:rPr>
          <w:lang w:val="fr-FR"/>
        </w:rPr>
        <w:t> </w:t>
      </w:r>
      <w:r w:rsidRPr="00405E0A">
        <w:rPr>
          <w:lang w:val="fr-FR"/>
        </w:rPr>
        <w:t xml:space="preserve">session, et ses travaux en faveur de la ratification et de la mise en œuvre rapide de la Convention de Minamata. </w:t>
      </w:r>
    </w:p>
    <w:p w14:paraId="16A8BB56" w14:textId="0175C9A9" w:rsidR="000760B6" w:rsidRPr="00405E0A" w:rsidRDefault="000F4AED" w:rsidP="00BD3198">
      <w:pPr>
        <w:pStyle w:val="CH1"/>
        <w:rPr>
          <w:rFonts w:eastAsia="MS Mincho"/>
          <w:lang w:val="fr-FR"/>
        </w:rPr>
      </w:pPr>
      <w:r>
        <w:rPr>
          <w:lang w:val="fr-FR"/>
        </w:rPr>
        <w:tab/>
      </w:r>
      <w:r w:rsidR="000760B6" w:rsidRPr="00405E0A">
        <w:rPr>
          <w:lang w:val="fr-FR"/>
        </w:rPr>
        <w:t>II.</w:t>
      </w:r>
      <w:r w:rsidR="000760B6" w:rsidRPr="00405E0A">
        <w:rPr>
          <w:lang w:val="fr-FR"/>
        </w:rPr>
        <w:tab/>
        <w:t>Appui fourni aux travaux préparatoires en vue de la première</w:t>
      </w:r>
      <w:r w:rsidR="00BD3198">
        <w:rPr>
          <w:lang w:val="fr-FR"/>
        </w:rPr>
        <w:t> </w:t>
      </w:r>
      <w:r w:rsidR="000760B6" w:rsidRPr="00BD3198">
        <w:t>Conférence</w:t>
      </w:r>
      <w:r w:rsidR="000760B6" w:rsidRPr="00405E0A">
        <w:rPr>
          <w:lang w:val="fr-FR"/>
        </w:rPr>
        <w:t xml:space="preserve"> des Parties, y compris les travaux intersessions demandés par le Comité de négociation intergouvernemental </w:t>
      </w:r>
    </w:p>
    <w:p w14:paraId="622790CE" w14:textId="77B6BDAF" w:rsidR="000760B6" w:rsidRPr="00405E0A" w:rsidRDefault="000F4AED" w:rsidP="00BD3198">
      <w:pPr>
        <w:pStyle w:val="CH2"/>
        <w:rPr>
          <w:lang w:val="fr-FR"/>
        </w:rPr>
      </w:pPr>
      <w:r>
        <w:rPr>
          <w:lang w:val="fr-FR"/>
        </w:rPr>
        <w:tab/>
      </w:r>
      <w:r w:rsidR="009718A3" w:rsidRPr="00405E0A">
        <w:rPr>
          <w:lang w:val="fr-FR"/>
        </w:rPr>
        <w:t>A.</w:t>
      </w:r>
      <w:r w:rsidR="009718A3" w:rsidRPr="00405E0A">
        <w:rPr>
          <w:lang w:val="fr-FR"/>
        </w:rPr>
        <w:tab/>
        <w:t>Première réunion de la Conférence des Parties à la Convention de Minamata sur le mercure</w:t>
      </w:r>
    </w:p>
    <w:p w14:paraId="22EB2261" w14:textId="3094F6A9" w:rsidR="000760B6" w:rsidRPr="00405E0A" w:rsidRDefault="000760B6" w:rsidP="00A21697">
      <w:pPr>
        <w:pStyle w:val="Normalnumber"/>
        <w:rPr>
          <w:lang w:val="fr-FR"/>
        </w:rPr>
      </w:pPr>
      <w:r w:rsidRPr="00405E0A">
        <w:rPr>
          <w:lang w:val="fr-FR"/>
        </w:rPr>
        <w:t>Le secrétariat provisoire s</w:t>
      </w:r>
      <w:r w:rsidR="00BD3198">
        <w:rPr>
          <w:lang w:val="fr-FR"/>
        </w:rPr>
        <w:t>’</w:t>
      </w:r>
      <w:r w:rsidRPr="00405E0A">
        <w:rPr>
          <w:lang w:val="fr-FR"/>
        </w:rPr>
        <w:t xml:space="preserve">emploie actuellement à organiser la première réunion de la Conférence des Parties à la Convention de Minamata. Le </w:t>
      </w:r>
      <w:r w:rsidR="002E084C">
        <w:rPr>
          <w:lang w:val="fr-FR"/>
        </w:rPr>
        <w:t>processus comprend</w:t>
      </w:r>
      <w:r w:rsidRPr="00405E0A">
        <w:rPr>
          <w:lang w:val="fr-FR"/>
        </w:rPr>
        <w:t xml:space="preserve"> la rédaction et l</w:t>
      </w:r>
      <w:r w:rsidR="00BD3198">
        <w:rPr>
          <w:lang w:val="fr-FR"/>
        </w:rPr>
        <w:t>’</w:t>
      </w:r>
      <w:r w:rsidRPr="00405E0A">
        <w:rPr>
          <w:lang w:val="fr-FR"/>
        </w:rPr>
        <w:t>envoi de lettres d</w:t>
      </w:r>
      <w:r w:rsidR="00BD3198">
        <w:rPr>
          <w:lang w:val="fr-FR"/>
        </w:rPr>
        <w:t>’</w:t>
      </w:r>
      <w:r w:rsidRPr="00405E0A">
        <w:rPr>
          <w:lang w:val="fr-FR"/>
        </w:rPr>
        <w:t>invitation, la création d</w:t>
      </w:r>
      <w:r w:rsidR="00BD3198">
        <w:rPr>
          <w:lang w:val="fr-FR"/>
        </w:rPr>
        <w:t>’</w:t>
      </w:r>
      <w:r w:rsidRPr="00405E0A">
        <w:rPr>
          <w:lang w:val="fr-FR"/>
        </w:rPr>
        <w:t>une plateforme de préinscription en ligne, l</w:t>
      </w:r>
      <w:r w:rsidR="00BD3198">
        <w:rPr>
          <w:lang w:val="fr-FR"/>
        </w:rPr>
        <w:t>’</w:t>
      </w:r>
      <w:r w:rsidRPr="00405E0A">
        <w:rPr>
          <w:lang w:val="fr-FR"/>
        </w:rPr>
        <w:t xml:space="preserve">élaboration de </w:t>
      </w:r>
      <w:r w:rsidR="00832107">
        <w:rPr>
          <w:lang w:val="fr-FR"/>
        </w:rPr>
        <w:t xml:space="preserve">modèles </w:t>
      </w:r>
      <w:r w:rsidRPr="00405E0A">
        <w:rPr>
          <w:lang w:val="fr-FR"/>
        </w:rPr>
        <w:t>de</w:t>
      </w:r>
      <w:r w:rsidR="002E084C">
        <w:rPr>
          <w:lang w:val="fr-FR"/>
        </w:rPr>
        <w:t>s</w:t>
      </w:r>
      <w:r w:rsidRPr="00405E0A">
        <w:rPr>
          <w:lang w:val="fr-FR"/>
        </w:rPr>
        <w:t xml:space="preserve"> pouvoirs que les Parties </w:t>
      </w:r>
      <w:r w:rsidR="002E084C">
        <w:rPr>
          <w:lang w:val="fr-FR"/>
        </w:rPr>
        <w:t xml:space="preserve">sont censées </w:t>
      </w:r>
      <w:r w:rsidRPr="00405E0A">
        <w:rPr>
          <w:lang w:val="fr-FR"/>
        </w:rPr>
        <w:t>présenter, l</w:t>
      </w:r>
      <w:r w:rsidR="00BD3198">
        <w:rPr>
          <w:lang w:val="fr-FR"/>
        </w:rPr>
        <w:t>’</w:t>
      </w:r>
      <w:r w:rsidRPr="00405E0A">
        <w:rPr>
          <w:lang w:val="fr-FR"/>
        </w:rPr>
        <w:t>examen des demandes d</w:t>
      </w:r>
      <w:r w:rsidR="00BD3198">
        <w:rPr>
          <w:lang w:val="fr-FR"/>
        </w:rPr>
        <w:t>’</w:t>
      </w:r>
      <w:r w:rsidRPr="00405E0A">
        <w:rPr>
          <w:lang w:val="fr-FR"/>
        </w:rPr>
        <w:t>admission d</w:t>
      </w:r>
      <w:r w:rsidR="00BD3198">
        <w:rPr>
          <w:lang w:val="fr-FR"/>
        </w:rPr>
        <w:t>’</w:t>
      </w:r>
      <w:r w:rsidRPr="00405E0A">
        <w:rPr>
          <w:lang w:val="fr-FR"/>
        </w:rPr>
        <w:t>observateurs et l</w:t>
      </w:r>
      <w:r w:rsidR="00BD3198">
        <w:rPr>
          <w:lang w:val="fr-FR"/>
        </w:rPr>
        <w:t>’</w:t>
      </w:r>
      <w:r w:rsidRPr="00405E0A">
        <w:rPr>
          <w:lang w:val="fr-FR"/>
        </w:rPr>
        <w:t xml:space="preserve">organisation des questions logistiques concernant le lieu de la réunion. Parmi les autres activités figurent </w:t>
      </w:r>
      <w:r w:rsidR="002E084C">
        <w:rPr>
          <w:lang w:val="fr-FR"/>
        </w:rPr>
        <w:t xml:space="preserve">la mise en place de dispositions pour la prestation </w:t>
      </w:r>
      <w:r w:rsidRPr="00405E0A">
        <w:rPr>
          <w:lang w:val="fr-FR"/>
        </w:rPr>
        <w:t>de services de conférence, l</w:t>
      </w:r>
      <w:r w:rsidR="00BD3198">
        <w:rPr>
          <w:lang w:val="fr-FR"/>
        </w:rPr>
        <w:t>’</w:t>
      </w:r>
      <w:r w:rsidRPr="00405E0A">
        <w:rPr>
          <w:lang w:val="fr-FR"/>
        </w:rPr>
        <w:t>organisation des déplacements des participants bénéficiant d</w:t>
      </w:r>
      <w:r w:rsidR="00BD3198">
        <w:rPr>
          <w:lang w:val="fr-FR"/>
        </w:rPr>
        <w:t>’</w:t>
      </w:r>
      <w:r w:rsidRPr="00405E0A">
        <w:rPr>
          <w:lang w:val="fr-FR"/>
        </w:rPr>
        <w:t>un financement, l</w:t>
      </w:r>
      <w:r w:rsidR="00BD3198">
        <w:rPr>
          <w:lang w:val="fr-FR"/>
        </w:rPr>
        <w:t>’</w:t>
      </w:r>
      <w:r w:rsidRPr="00405E0A">
        <w:rPr>
          <w:lang w:val="fr-FR"/>
        </w:rPr>
        <w:t>appui aux activités menées par le Bureau du Comité de négociation intergouvernemental et l</w:t>
      </w:r>
      <w:r w:rsidR="00BD3198">
        <w:rPr>
          <w:lang w:val="fr-FR"/>
        </w:rPr>
        <w:t>’</w:t>
      </w:r>
      <w:r w:rsidRPr="00405E0A">
        <w:rPr>
          <w:lang w:val="fr-FR"/>
        </w:rPr>
        <w:t xml:space="preserve">élaboration des documents destinés à </w:t>
      </w:r>
      <w:r w:rsidR="002E084C">
        <w:rPr>
          <w:lang w:val="fr-FR"/>
        </w:rPr>
        <w:t>être</w:t>
      </w:r>
      <w:r w:rsidRPr="00405E0A">
        <w:rPr>
          <w:lang w:val="fr-FR"/>
        </w:rPr>
        <w:t xml:space="preserve"> examinés par la Conférence des Parties à sa première réunion. </w:t>
      </w:r>
    </w:p>
    <w:p w14:paraId="31929A29" w14:textId="0C8A7145" w:rsidR="000760B6" w:rsidRPr="00405E0A" w:rsidRDefault="000760B6" w:rsidP="00A21697">
      <w:pPr>
        <w:pStyle w:val="Normalnumber"/>
        <w:rPr>
          <w:lang w:val="fr-FR"/>
        </w:rPr>
      </w:pPr>
      <w:r w:rsidRPr="00405E0A">
        <w:rPr>
          <w:lang w:val="fr-FR"/>
        </w:rPr>
        <w:t>Des activités logistiques ont été entreprises avec l</w:t>
      </w:r>
      <w:r w:rsidR="00BD3198">
        <w:rPr>
          <w:lang w:val="fr-FR"/>
        </w:rPr>
        <w:t>’</w:t>
      </w:r>
      <w:r w:rsidRPr="00405E0A">
        <w:rPr>
          <w:lang w:val="fr-FR"/>
        </w:rPr>
        <w:t>appui des membres du personnel du Service « Produits chimiques et santé » de la Division de l</w:t>
      </w:r>
      <w:r w:rsidR="00BD3198">
        <w:rPr>
          <w:lang w:val="fr-FR"/>
        </w:rPr>
        <w:t>’</w:t>
      </w:r>
      <w:r w:rsidRPr="00405E0A">
        <w:rPr>
          <w:lang w:val="fr-FR"/>
        </w:rPr>
        <w:t>économ</w:t>
      </w:r>
      <w:r w:rsidR="00435F09">
        <w:rPr>
          <w:lang w:val="fr-FR"/>
        </w:rPr>
        <w:t>ie du PNUE. Le Secrétariat des c</w:t>
      </w:r>
      <w:r w:rsidRPr="00405E0A">
        <w:rPr>
          <w:lang w:val="fr-FR"/>
        </w:rPr>
        <w:t>onventions de Bâle, de Rotterdam et de Stockholm a contribué à l</w:t>
      </w:r>
      <w:r w:rsidR="00BD3198">
        <w:rPr>
          <w:lang w:val="fr-FR"/>
        </w:rPr>
        <w:t>’</w:t>
      </w:r>
      <w:r w:rsidRPr="00405E0A">
        <w:rPr>
          <w:lang w:val="fr-FR"/>
        </w:rPr>
        <w:t>élaboration des documents connexes. Tant le Service « Produits chimiques et santé » que le Secrétariat des Conventions de Bâle, de Rotterdam et de Stockholm fourniront un appui au secrétariat provisoire afin de faciliter le bon déroulement de la réunion.</w:t>
      </w:r>
    </w:p>
    <w:p w14:paraId="6030F634" w14:textId="34CC24BC" w:rsidR="000760B6" w:rsidRPr="00405E0A" w:rsidRDefault="000760B6" w:rsidP="00A21697">
      <w:pPr>
        <w:pStyle w:val="Normalnumber"/>
        <w:rPr>
          <w:lang w:val="fr-FR"/>
        </w:rPr>
      </w:pPr>
      <w:r w:rsidRPr="00405E0A">
        <w:rPr>
          <w:lang w:val="fr-FR"/>
        </w:rPr>
        <w:t>L</w:t>
      </w:r>
      <w:r w:rsidR="00BD3198">
        <w:rPr>
          <w:lang w:val="fr-FR"/>
        </w:rPr>
        <w:t>’</w:t>
      </w:r>
      <w:r w:rsidRPr="00405E0A">
        <w:rPr>
          <w:lang w:val="fr-FR"/>
        </w:rPr>
        <w:t xml:space="preserve">élaboration des documents techniques, en particulier les documents qui seront utilisés pendant la réunion, a été dirigée par le secrétariat provisoire. Comme demandé par le Comité de négociation intergouvernemental à sa septième session, </w:t>
      </w:r>
      <w:r w:rsidR="002E084C">
        <w:rPr>
          <w:lang w:val="fr-FR"/>
        </w:rPr>
        <w:t>elle</w:t>
      </w:r>
      <w:r w:rsidRPr="00405E0A">
        <w:rPr>
          <w:lang w:val="fr-FR"/>
        </w:rPr>
        <w:t xml:space="preserve"> s</w:t>
      </w:r>
      <w:r w:rsidR="00BD3198">
        <w:rPr>
          <w:lang w:val="fr-FR"/>
        </w:rPr>
        <w:t>’</w:t>
      </w:r>
      <w:r w:rsidRPr="00405E0A">
        <w:rPr>
          <w:lang w:val="fr-FR"/>
        </w:rPr>
        <w:t xml:space="preserve">est faite en coopération avec les parties prenantes, </w:t>
      </w:r>
      <w:r w:rsidR="005A5341">
        <w:rPr>
          <w:lang w:val="fr-FR"/>
        </w:rPr>
        <w:t>do</w:t>
      </w:r>
      <w:r w:rsidRPr="00405E0A">
        <w:rPr>
          <w:lang w:val="fr-FR"/>
        </w:rPr>
        <w:t xml:space="preserve">nt les gouvernements, </w:t>
      </w:r>
      <w:r w:rsidR="005A5341">
        <w:rPr>
          <w:lang w:val="fr-FR"/>
        </w:rPr>
        <w:t>en particulier</w:t>
      </w:r>
      <w:r w:rsidRPr="00405E0A">
        <w:rPr>
          <w:lang w:val="fr-FR"/>
        </w:rPr>
        <w:t xml:space="preserve"> les Parties à la Convention de Bâle, les programmes et partenariats de surveillance régionaux et sous-régionaux, l</w:t>
      </w:r>
      <w:r w:rsidR="00BD3198">
        <w:rPr>
          <w:lang w:val="fr-FR"/>
        </w:rPr>
        <w:t>’</w:t>
      </w:r>
      <w:r w:rsidRPr="00405E0A">
        <w:rPr>
          <w:lang w:val="fr-FR"/>
        </w:rPr>
        <w:t>Organisation mondiale de la Santé, les représentants régionaux, les institutions régionales et nationales, les universités, le secteur de l</w:t>
      </w:r>
      <w:r w:rsidR="00BD3198">
        <w:rPr>
          <w:lang w:val="fr-FR"/>
        </w:rPr>
        <w:t>’</w:t>
      </w:r>
      <w:r w:rsidRPr="00405E0A">
        <w:rPr>
          <w:lang w:val="fr-FR"/>
        </w:rPr>
        <w:t xml:space="preserve">industrie, la société civile, le Partenariat mondial sur le mercure du PNUE et </w:t>
      </w:r>
      <w:r w:rsidR="005A5341">
        <w:rPr>
          <w:lang w:val="fr-FR"/>
        </w:rPr>
        <w:t>d</w:t>
      </w:r>
      <w:r w:rsidR="00BD3198">
        <w:rPr>
          <w:lang w:val="fr-FR"/>
        </w:rPr>
        <w:t>’</w:t>
      </w:r>
      <w:r w:rsidRPr="00405E0A">
        <w:rPr>
          <w:lang w:val="fr-FR"/>
        </w:rPr>
        <w:t>autres intéressés. Durant la septième session du Comité de négociation intergouvernemental, le secrétariat a été prié de solliciter la contribution des gouvernements et d</w:t>
      </w:r>
      <w:r w:rsidR="00BD3198">
        <w:rPr>
          <w:lang w:val="fr-FR"/>
        </w:rPr>
        <w:t>’</w:t>
      </w:r>
      <w:r w:rsidRPr="00405E0A">
        <w:rPr>
          <w:lang w:val="fr-FR"/>
        </w:rPr>
        <w:t>autres parties prenantes sur un certain nombre de questions qui seront examinées par la Conférence des Parties à sa première réunion. Les contributions reçues peuvent être consultées sur le site Web de la Convention de Minamata. Un groupe d</w:t>
      </w:r>
      <w:r w:rsidR="00BD3198">
        <w:rPr>
          <w:lang w:val="fr-FR"/>
        </w:rPr>
        <w:t>’</w:t>
      </w:r>
      <w:r w:rsidRPr="00405E0A">
        <w:rPr>
          <w:lang w:val="fr-FR"/>
        </w:rPr>
        <w:t>experts a contribué au projet d</w:t>
      </w:r>
      <w:r w:rsidR="00BD3198">
        <w:rPr>
          <w:lang w:val="fr-FR"/>
        </w:rPr>
        <w:t>’</w:t>
      </w:r>
      <w:r w:rsidRPr="00405E0A">
        <w:rPr>
          <w:lang w:val="fr-FR"/>
        </w:rPr>
        <w:t xml:space="preserve">orientations sur le stockage provisoire écologiquement rationnel du mercure </w:t>
      </w:r>
      <w:r w:rsidR="00BD3198">
        <w:rPr>
          <w:lang w:val="fr-FR"/>
        </w:rPr>
        <w:t xml:space="preserve">et des composés de mercure </w:t>
      </w:r>
      <w:r w:rsidRPr="00405E0A">
        <w:rPr>
          <w:lang w:val="fr-FR"/>
        </w:rPr>
        <w:t>à l</w:t>
      </w:r>
      <w:r w:rsidR="00BD3198">
        <w:rPr>
          <w:lang w:val="fr-FR"/>
        </w:rPr>
        <w:t>’</w:t>
      </w:r>
      <w:r w:rsidRPr="00405E0A">
        <w:rPr>
          <w:lang w:val="fr-FR"/>
        </w:rPr>
        <w:t xml:space="preserve">exclusion des déchets de mercure. Les projets </w:t>
      </w:r>
      <w:r w:rsidR="005A5341">
        <w:rPr>
          <w:lang w:val="fr-FR"/>
        </w:rPr>
        <w:t xml:space="preserve">de document </w:t>
      </w:r>
      <w:r w:rsidRPr="00405E0A">
        <w:rPr>
          <w:lang w:val="fr-FR"/>
        </w:rPr>
        <w:t>d</w:t>
      </w:r>
      <w:r w:rsidR="00BD3198">
        <w:rPr>
          <w:lang w:val="fr-FR"/>
        </w:rPr>
        <w:t>’</w:t>
      </w:r>
      <w:r w:rsidRPr="00405E0A">
        <w:rPr>
          <w:lang w:val="fr-FR"/>
        </w:rPr>
        <w:t xml:space="preserve">orientation sur </w:t>
      </w:r>
      <w:r w:rsidR="005A5341">
        <w:rPr>
          <w:lang w:val="fr-FR"/>
        </w:rPr>
        <w:t>c</w:t>
      </w:r>
      <w:r w:rsidRPr="00405E0A">
        <w:rPr>
          <w:lang w:val="fr-FR"/>
        </w:rPr>
        <w:t>e stockage et sur l</w:t>
      </w:r>
      <w:r w:rsidR="00BD3198">
        <w:rPr>
          <w:lang w:val="fr-FR"/>
        </w:rPr>
        <w:t>’</w:t>
      </w:r>
      <w:r w:rsidRPr="00405E0A">
        <w:rPr>
          <w:lang w:val="fr-FR"/>
        </w:rPr>
        <w:t>élaboration de plans d</w:t>
      </w:r>
      <w:r w:rsidR="00BD3198">
        <w:rPr>
          <w:lang w:val="fr-FR"/>
        </w:rPr>
        <w:t>’</w:t>
      </w:r>
      <w:r w:rsidRPr="00405E0A">
        <w:rPr>
          <w:lang w:val="fr-FR"/>
        </w:rPr>
        <w:t>action nationaux visant à réduire et, si possible, éliminer l</w:t>
      </w:r>
      <w:r w:rsidR="00BD3198">
        <w:rPr>
          <w:lang w:val="fr-FR"/>
        </w:rPr>
        <w:t>’</w:t>
      </w:r>
      <w:r w:rsidRPr="00405E0A">
        <w:rPr>
          <w:lang w:val="fr-FR"/>
        </w:rPr>
        <w:t>utilisation du mercure dans le secteur de l</w:t>
      </w:r>
      <w:r w:rsidR="00BD3198">
        <w:rPr>
          <w:lang w:val="fr-FR"/>
        </w:rPr>
        <w:t>’</w:t>
      </w:r>
      <w:r w:rsidRPr="00405E0A">
        <w:rPr>
          <w:lang w:val="fr-FR"/>
        </w:rPr>
        <w:t xml:space="preserve">extraction artisanale et à petite échelle </w:t>
      </w:r>
      <w:r w:rsidR="005A5341" w:rsidRPr="00405E0A">
        <w:rPr>
          <w:lang w:val="fr-FR"/>
        </w:rPr>
        <w:t>d</w:t>
      </w:r>
      <w:r w:rsidR="00BD3198">
        <w:rPr>
          <w:lang w:val="fr-FR"/>
        </w:rPr>
        <w:t>’</w:t>
      </w:r>
      <w:r w:rsidR="005A5341" w:rsidRPr="00405E0A">
        <w:rPr>
          <w:lang w:val="fr-FR"/>
        </w:rPr>
        <w:t xml:space="preserve">or </w:t>
      </w:r>
      <w:r w:rsidRPr="00405E0A">
        <w:rPr>
          <w:lang w:val="fr-FR"/>
        </w:rPr>
        <w:t>ont également été diffusés auprès du public pour recueillir des observations. De plus, un processus informel a été mis en place concernant la détermination des seuils applicables aux déchets de mercure sous l</w:t>
      </w:r>
      <w:r w:rsidR="00BD3198">
        <w:rPr>
          <w:lang w:val="fr-FR"/>
        </w:rPr>
        <w:t>’</w:t>
      </w:r>
      <w:r w:rsidRPr="00405E0A">
        <w:rPr>
          <w:lang w:val="fr-FR"/>
        </w:rPr>
        <w:t xml:space="preserve">égide du Gouvernement japonais. </w:t>
      </w:r>
    </w:p>
    <w:p w14:paraId="51620487" w14:textId="3F2709F5" w:rsidR="00554DFB" w:rsidRPr="00405E0A" w:rsidRDefault="00554DFB" w:rsidP="00A21697">
      <w:pPr>
        <w:pStyle w:val="Normalnumber"/>
        <w:rPr>
          <w:lang w:val="fr-FR"/>
        </w:rPr>
      </w:pPr>
      <w:r w:rsidRPr="00405E0A">
        <w:rPr>
          <w:lang w:val="fr-FR"/>
        </w:rPr>
        <w:t>Pour un certain nombre de documents destinés à la première réunion de la Conférence des Parties</w:t>
      </w:r>
      <w:r w:rsidR="005A5341">
        <w:rPr>
          <w:lang w:val="fr-FR"/>
        </w:rPr>
        <w:t>,</w:t>
      </w:r>
      <w:r w:rsidRPr="00405E0A">
        <w:rPr>
          <w:lang w:val="fr-FR"/>
        </w:rPr>
        <w:t xml:space="preserve"> il n</w:t>
      </w:r>
      <w:r w:rsidR="00BD3198">
        <w:rPr>
          <w:lang w:val="fr-FR"/>
        </w:rPr>
        <w:t>’</w:t>
      </w:r>
      <w:r w:rsidRPr="00405E0A">
        <w:rPr>
          <w:lang w:val="fr-FR"/>
        </w:rPr>
        <w:t>a pas été nécessaire d</w:t>
      </w:r>
      <w:r w:rsidR="00BD3198">
        <w:rPr>
          <w:lang w:val="fr-FR"/>
        </w:rPr>
        <w:t>’</w:t>
      </w:r>
      <w:r w:rsidRPr="00405E0A">
        <w:rPr>
          <w:lang w:val="fr-FR"/>
        </w:rPr>
        <w:t xml:space="preserve">entreprendre des travaux de fond, car ces documents ne font que présenter des éléments adoptés ou approuvés à titre provisoire par le Comité de négociation intergouvernemental. Cependant, pour certains documents, le secrétariat provisoire a procédé à des amendements sur demande du Comité, comme indiqué dans le rapport de la septième session de ce dernier (UNEP(DTIE)/Hg/INC.7/22/Rev.1). </w:t>
      </w:r>
    </w:p>
    <w:p w14:paraId="38548E81" w14:textId="779FBCB4" w:rsidR="000760B6" w:rsidRPr="00405E0A" w:rsidRDefault="000760B6" w:rsidP="00A21697">
      <w:pPr>
        <w:pStyle w:val="Normalnumber"/>
        <w:rPr>
          <w:lang w:val="fr-FR"/>
        </w:rPr>
      </w:pPr>
      <w:r w:rsidRPr="00405E0A">
        <w:rPr>
          <w:lang w:val="fr-FR"/>
        </w:rPr>
        <w:t>L</w:t>
      </w:r>
      <w:r w:rsidR="00BD3198">
        <w:rPr>
          <w:lang w:val="fr-FR"/>
        </w:rPr>
        <w:t>’</w:t>
      </w:r>
      <w:r w:rsidRPr="00405E0A">
        <w:rPr>
          <w:lang w:val="fr-FR"/>
        </w:rPr>
        <w:t>expérience et la c</w:t>
      </w:r>
      <w:r w:rsidR="00435F09">
        <w:rPr>
          <w:lang w:val="fr-FR"/>
        </w:rPr>
        <w:t>ontribution du Secrétariat des c</w:t>
      </w:r>
      <w:r w:rsidRPr="00405E0A">
        <w:rPr>
          <w:lang w:val="fr-FR"/>
        </w:rPr>
        <w:t>onventions de Bâle, de Rotterdam et de Stockholm ont été prises en considération par le Directeur exécutif dans son rapport sur les propositions concernant la manière dont les fonctions du secrétariat permanent de la Convention seraient accomplies (UNEP/MC/COP.1/14), ainsi que dans la présentation et la structure du programme de travail et du budget du s</w:t>
      </w:r>
      <w:r w:rsidR="00580C01">
        <w:rPr>
          <w:lang w:val="fr-FR"/>
        </w:rPr>
        <w:t>ecrétariat (UNEP/MC/COP.1/21 et</w:t>
      </w:r>
      <w:r w:rsidRPr="00405E0A">
        <w:rPr>
          <w:lang w:val="fr-FR"/>
        </w:rPr>
        <w:t xml:space="preserve"> Add.1). </w:t>
      </w:r>
    </w:p>
    <w:p w14:paraId="1EEBAE14" w14:textId="53938917" w:rsidR="000760B6" w:rsidRPr="00A21697" w:rsidRDefault="000760B6" w:rsidP="00A21697">
      <w:pPr>
        <w:pStyle w:val="Normalnumber"/>
        <w:rPr>
          <w:lang w:val="fr-FR"/>
        </w:rPr>
      </w:pPr>
      <w:r w:rsidRPr="00405E0A">
        <w:rPr>
          <w:lang w:val="fr-FR"/>
        </w:rPr>
        <w:t xml:space="preserve">Le Partenariat mondial sur le mercure du PNUE a contribué </w:t>
      </w:r>
      <w:r w:rsidR="00B84EAE">
        <w:rPr>
          <w:lang w:val="fr-FR"/>
        </w:rPr>
        <w:t>à l</w:t>
      </w:r>
      <w:r w:rsidR="00BD3198">
        <w:rPr>
          <w:lang w:val="fr-FR"/>
        </w:rPr>
        <w:t>’</w:t>
      </w:r>
      <w:r w:rsidR="00B84EAE">
        <w:rPr>
          <w:lang w:val="fr-FR"/>
        </w:rPr>
        <w:t>établissement du</w:t>
      </w:r>
      <w:r w:rsidRPr="00405E0A">
        <w:rPr>
          <w:lang w:val="fr-FR"/>
        </w:rPr>
        <w:t xml:space="preserve"> document d</w:t>
      </w:r>
      <w:r w:rsidR="00BD3198">
        <w:rPr>
          <w:lang w:val="fr-FR"/>
        </w:rPr>
        <w:t>’</w:t>
      </w:r>
      <w:r w:rsidRPr="00405E0A">
        <w:rPr>
          <w:lang w:val="fr-FR"/>
        </w:rPr>
        <w:t>orientation sur l</w:t>
      </w:r>
      <w:r w:rsidR="00BD3198">
        <w:rPr>
          <w:lang w:val="fr-FR"/>
        </w:rPr>
        <w:t>’</w:t>
      </w:r>
      <w:r w:rsidR="005A5341">
        <w:rPr>
          <w:lang w:val="fr-FR"/>
        </w:rPr>
        <w:t>extraction artisanale et à petite échelle d</w:t>
      </w:r>
      <w:r w:rsidR="00BD3198">
        <w:rPr>
          <w:lang w:val="fr-FR"/>
        </w:rPr>
        <w:t>’</w:t>
      </w:r>
      <w:r w:rsidR="005A5341">
        <w:rPr>
          <w:lang w:val="fr-FR"/>
        </w:rPr>
        <w:t>or</w:t>
      </w:r>
      <w:r w:rsidRPr="00405E0A">
        <w:rPr>
          <w:lang w:val="fr-FR"/>
        </w:rPr>
        <w:t xml:space="preserve">, en particulier </w:t>
      </w:r>
      <w:r w:rsidR="00B84EAE">
        <w:rPr>
          <w:lang w:val="fr-FR"/>
        </w:rPr>
        <w:t xml:space="preserve">dans la prise en compte </w:t>
      </w:r>
      <w:r w:rsidRPr="00405E0A">
        <w:rPr>
          <w:lang w:val="fr-FR"/>
        </w:rPr>
        <w:t>des observations recueillies au cours de la période intersessions. L</w:t>
      </w:r>
      <w:r w:rsidR="00BD3198">
        <w:rPr>
          <w:lang w:val="fr-FR"/>
        </w:rPr>
        <w:t>’</w:t>
      </w:r>
      <w:r w:rsidRPr="00405E0A">
        <w:rPr>
          <w:lang w:val="fr-FR"/>
        </w:rPr>
        <w:t>OMS a également été priée d</w:t>
      </w:r>
      <w:r w:rsidR="00BD3198">
        <w:rPr>
          <w:lang w:val="fr-FR"/>
        </w:rPr>
        <w:t>’</w:t>
      </w:r>
      <w:r w:rsidR="005A5341">
        <w:rPr>
          <w:lang w:val="fr-FR"/>
        </w:rPr>
        <w:t>apporter des</w:t>
      </w:r>
      <w:r w:rsidRPr="00405E0A">
        <w:rPr>
          <w:lang w:val="fr-FR"/>
        </w:rPr>
        <w:t xml:space="preserve"> contribu</w:t>
      </w:r>
      <w:r w:rsidR="005A5341">
        <w:rPr>
          <w:lang w:val="fr-FR"/>
        </w:rPr>
        <w:t>tions</w:t>
      </w:r>
      <w:r w:rsidRPr="00405E0A">
        <w:rPr>
          <w:lang w:val="fr-FR"/>
        </w:rPr>
        <w:t>, concernant notamment le projet d</w:t>
      </w:r>
      <w:r w:rsidR="00BD3198">
        <w:rPr>
          <w:lang w:val="fr-FR"/>
        </w:rPr>
        <w:t>’</w:t>
      </w:r>
      <w:r w:rsidRPr="00405E0A">
        <w:rPr>
          <w:lang w:val="fr-FR"/>
        </w:rPr>
        <w:t xml:space="preserve">orientations sur les questions de santé </w:t>
      </w:r>
      <w:r w:rsidRPr="00405E0A">
        <w:rPr>
          <w:lang w:val="fr-FR"/>
        </w:rPr>
        <w:lastRenderedPageBreak/>
        <w:t xml:space="preserve">publique </w:t>
      </w:r>
      <w:r w:rsidR="005A5341">
        <w:rPr>
          <w:lang w:val="fr-FR"/>
        </w:rPr>
        <w:t>à prendre en co</w:t>
      </w:r>
      <w:r w:rsidR="00B84EAE">
        <w:rPr>
          <w:lang w:val="fr-FR"/>
        </w:rPr>
        <w:t>nsidération lors de</w:t>
      </w:r>
      <w:r w:rsidR="005A5341">
        <w:rPr>
          <w:lang w:val="fr-FR"/>
        </w:rPr>
        <w:t xml:space="preserve"> </w:t>
      </w:r>
      <w:r w:rsidRPr="00405E0A">
        <w:rPr>
          <w:lang w:val="fr-FR"/>
        </w:rPr>
        <w:t>l</w:t>
      </w:r>
      <w:r w:rsidR="00BD3198">
        <w:rPr>
          <w:lang w:val="fr-FR"/>
        </w:rPr>
        <w:t>’</w:t>
      </w:r>
      <w:r w:rsidRPr="00405E0A">
        <w:rPr>
          <w:lang w:val="fr-FR"/>
        </w:rPr>
        <w:t>élaboration des plans d</w:t>
      </w:r>
      <w:r w:rsidR="00BD3198">
        <w:rPr>
          <w:lang w:val="fr-FR"/>
        </w:rPr>
        <w:t>’</w:t>
      </w:r>
      <w:r w:rsidRPr="00405E0A">
        <w:rPr>
          <w:lang w:val="fr-FR"/>
        </w:rPr>
        <w:t>action nationaux. Le secrétariat provisoire a travaillé en étroite collaboration avec le secrétariat du Fonds pour l</w:t>
      </w:r>
      <w:r w:rsidR="00BD3198">
        <w:rPr>
          <w:lang w:val="fr-FR"/>
        </w:rPr>
        <w:t>’</w:t>
      </w:r>
      <w:r w:rsidRPr="00405E0A">
        <w:rPr>
          <w:lang w:val="fr-FR"/>
        </w:rPr>
        <w:t xml:space="preserve">environnement mondial (FEM) à la mise au point définitive des documents </w:t>
      </w:r>
      <w:r w:rsidR="00B84EAE">
        <w:rPr>
          <w:lang w:val="fr-FR"/>
        </w:rPr>
        <w:t>relatifs</w:t>
      </w:r>
      <w:r w:rsidRPr="00405E0A">
        <w:rPr>
          <w:lang w:val="fr-FR"/>
        </w:rPr>
        <w:t xml:space="preserve"> à un projet de mémorandum d</w:t>
      </w:r>
      <w:r w:rsidR="00BD3198">
        <w:rPr>
          <w:lang w:val="fr-FR"/>
        </w:rPr>
        <w:t>’</w:t>
      </w:r>
      <w:r w:rsidRPr="00405E0A">
        <w:rPr>
          <w:lang w:val="fr-FR"/>
        </w:rPr>
        <w:t>accord entre la Conférence des Parties à la Convention de Minamata et le Conseil du FEM</w:t>
      </w:r>
      <w:r w:rsidR="00B84EAE">
        <w:rPr>
          <w:lang w:val="fr-FR"/>
        </w:rPr>
        <w:t xml:space="preserve"> et au</w:t>
      </w:r>
      <w:r w:rsidRPr="00405E0A">
        <w:rPr>
          <w:lang w:val="fr-FR"/>
        </w:rPr>
        <w:t xml:space="preserve"> projet d</w:t>
      </w:r>
      <w:r w:rsidR="00BD3198">
        <w:rPr>
          <w:lang w:val="fr-FR"/>
        </w:rPr>
        <w:t>’</w:t>
      </w:r>
      <w:r w:rsidRPr="00405E0A">
        <w:rPr>
          <w:lang w:val="fr-FR"/>
        </w:rPr>
        <w:t>orientations à l</w:t>
      </w:r>
      <w:r w:rsidR="00BD3198">
        <w:rPr>
          <w:lang w:val="fr-FR"/>
        </w:rPr>
        <w:t>’</w:t>
      </w:r>
      <w:r w:rsidRPr="00405E0A">
        <w:rPr>
          <w:lang w:val="fr-FR"/>
        </w:rPr>
        <w:t>intention du FEM</w:t>
      </w:r>
      <w:r w:rsidRPr="00A21697">
        <w:rPr>
          <w:lang w:val="fr-FR"/>
        </w:rPr>
        <w:t xml:space="preserve">. </w:t>
      </w:r>
    </w:p>
    <w:p w14:paraId="5281E61E" w14:textId="43924F27" w:rsidR="000760B6" w:rsidRPr="00405E0A" w:rsidRDefault="000760B6" w:rsidP="00A21697">
      <w:pPr>
        <w:pStyle w:val="Normalnumber"/>
        <w:rPr>
          <w:lang w:val="fr-FR"/>
        </w:rPr>
      </w:pPr>
      <w:r w:rsidRPr="00405E0A">
        <w:rPr>
          <w:lang w:val="fr-FR"/>
        </w:rPr>
        <w:t>Outre ses contributions à l</w:t>
      </w:r>
      <w:r w:rsidR="00BD3198">
        <w:rPr>
          <w:lang w:val="fr-FR"/>
        </w:rPr>
        <w:t>’</w:t>
      </w:r>
      <w:r w:rsidRPr="00405E0A">
        <w:rPr>
          <w:lang w:val="fr-FR"/>
        </w:rPr>
        <w:t xml:space="preserve">établissement des documents </w:t>
      </w:r>
      <w:r w:rsidR="00B84EAE">
        <w:rPr>
          <w:lang w:val="fr-FR"/>
        </w:rPr>
        <w:t>de</w:t>
      </w:r>
      <w:r w:rsidRPr="00405E0A">
        <w:rPr>
          <w:lang w:val="fr-FR"/>
        </w:rPr>
        <w:t xml:space="preserve"> réunion, chacune des organisations participant aux travaux du secrétariat provisoire a été invitée, en vue notamment de la ratification et de la mise en </w:t>
      </w:r>
      <w:r w:rsidR="00405E0A" w:rsidRPr="00405E0A">
        <w:rPr>
          <w:lang w:val="fr-FR"/>
        </w:rPr>
        <w:t>œuvre</w:t>
      </w:r>
      <w:r w:rsidRPr="00405E0A">
        <w:rPr>
          <w:lang w:val="fr-FR"/>
        </w:rPr>
        <w:t xml:space="preserve"> rapide de la Convention, à fournir des informations concernant ses activités à l</w:t>
      </w:r>
      <w:r w:rsidR="00BD3198">
        <w:rPr>
          <w:lang w:val="fr-FR"/>
        </w:rPr>
        <w:t>’</w:t>
      </w:r>
      <w:r w:rsidRPr="00405E0A">
        <w:rPr>
          <w:lang w:val="fr-FR"/>
        </w:rPr>
        <w:t>appui de la Convention à l</w:t>
      </w:r>
      <w:r w:rsidR="00BD3198">
        <w:rPr>
          <w:lang w:val="fr-FR"/>
        </w:rPr>
        <w:t>’</w:t>
      </w:r>
      <w:r w:rsidRPr="00405E0A">
        <w:rPr>
          <w:lang w:val="fr-FR"/>
        </w:rPr>
        <w:t>occasion de la première réunion de la Conférence des Parties. En conséquence, un rapport de situation sur les activités menées sous l</w:t>
      </w:r>
      <w:r w:rsidR="00BD3198">
        <w:rPr>
          <w:lang w:val="fr-FR"/>
        </w:rPr>
        <w:t>’</w:t>
      </w:r>
      <w:r w:rsidRPr="00405E0A">
        <w:rPr>
          <w:lang w:val="fr-FR"/>
        </w:rPr>
        <w:t xml:space="preserve">égide du Partenariat mondial sur le mercure du PNUE (UNEP/MC/COP.1/INF/2), un rapport sur les activités du FEM (UNEP/MC/COP.1/INF/3), un rapport sur les activités du </w:t>
      </w:r>
      <w:r w:rsidR="00BD3198">
        <w:rPr>
          <w:lang w:val="fr-FR"/>
        </w:rPr>
        <w:t>P</w:t>
      </w:r>
      <w:r w:rsidRPr="00405E0A">
        <w:rPr>
          <w:lang w:val="fr-FR"/>
        </w:rPr>
        <w:t>rogramme spécial d</w:t>
      </w:r>
      <w:r w:rsidR="00BD3198">
        <w:rPr>
          <w:lang w:val="fr-FR"/>
        </w:rPr>
        <w:t>’</w:t>
      </w:r>
      <w:r w:rsidRPr="00405E0A">
        <w:rPr>
          <w:lang w:val="fr-FR"/>
        </w:rPr>
        <w:t xml:space="preserve">appui au renforcement des institutions nationales pour </w:t>
      </w:r>
      <w:r w:rsidR="00435F09">
        <w:rPr>
          <w:lang w:val="fr-FR"/>
        </w:rPr>
        <w:t>améliorer la mise en œuvre des c</w:t>
      </w:r>
      <w:r w:rsidRPr="00405E0A">
        <w:rPr>
          <w:lang w:val="fr-FR"/>
        </w:rPr>
        <w:t>onventions de Bâle, Rotterdam, Stockholm et Minamata et de l</w:t>
      </w:r>
      <w:r w:rsidR="00BD3198">
        <w:rPr>
          <w:lang w:val="fr-FR"/>
        </w:rPr>
        <w:t>’</w:t>
      </w:r>
      <w:r w:rsidRPr="00405E0A">
        <w:rPr>
          <w:lang w:val="fr-FR"/>
        </w:rPr>
        <w:t xml:space="preserve">Approche stratégique de la gestion internationale des produits chimiques (UNEP/MC/COP.1/INF/4) et un rapport sur les activités entreprises par toutes les autres organisations partenaires (UNEP/MC/COP.1/INF/5) seront </w:t>
      </w:r>
      <w:r w:rsidR="00B84EAE">
        <w:rPr>
          <w:lang w:val="fr-FR"/>
        </w:rPr>
        <w:t>présentés à</w:t>
      </w:r>
      <w:r w:rsidRPr="00405E0A">
        <w:rPr>
          <w:lang w:val="fr-FR"/>
        </w:rPr>
        <w:t xml:space="preserve"> la Conférence des Parties à sa première réunion. </w:t>
      </w:r>
    </w:p>
    <w:p w14:paraId="5C65F738" w14:textId="73BD5B98" w:rsidR="000760B6" w:rsidRPr="00405E0A" w:rsidRDefault="00580C01" w:rsidP="001F2B6B">
      <w:pPr>
        <w:pStyle w:val="CH2"/>
        <w:rPr>
          <w:lang w:val="fr-FR"/>
        </w:rPr>
      </w:pPr>
      <w:r>
        <w:rPr>
          <w:lang w:val="fr-FR"/>
        </w:rPr>
        <w:tab/>
      </w:r>
      <w:r w:rsidR="000760B6" w:rsidRPr="00405E0A">
        <w:rPr>
          <w:lang w:val="fr-FR"/>
        </w:rPr>
        <w:t>B.</w:t>
      </w:r>
      <w:r w:rsidR="000760B6" w:rsidRPr="00405E0A">
        <w:rPr>
          <w:lang w:val="fr-FR"/>
        </w:rPr>
        <w:tab/>
        <w:t>Réunions du Bureau du Comité de négociation intergouvernemental</w:t>
      </w:r>
    </w:p>
    <w:p w14:paraId="4ECA15E1" w14:textId="06FFA412" w:rsidR="000760B6" w:rsidRPr="00405E0A" w:rsidRDefault="000760B6" w:rsidP="00A21697">
      <w:pPr>
        <w:pStyle w:val="Normalnumber"/>
        <w:rPr>
          <w:lang w:val="fr-FR"/>
        </w:rPr>
      </w:pPr>
      <w:r w:rsidRPr="00405E0A">
        <w:rPr>
          <w:lang w:val="fr-FR"/>
        </w:rPr>
        <w:t>Depuis la septième session du Comité de négociation intergouvernemental</w:t>
      </w:r>
      <w:r w:rsidR="00B84EAE">
        <w:rPr>
          <w:lang w:val="fr-FR"/>
        </w:rPr>
        <w:t>,</w:t>
      </w:r>
      <w:r w:rsidRPr="00405E0A">
        <w:rPr>
          <w:lang w:val="fr-FR"/>
        </w:rPr>
        <w:t xml:space="preserve"> trois réunions du Bureau </w:t>
      </w:r>
      <w:r w:rsidR="00B84EAE">
        <w:rPr>
          <w:lang w:val="fr-FR"/>
        </w:rPr>
        <w:t>ont eu lieu</w:t>
      </w:r>
      <w:r w:rsidR="00580C01">
        <w:rPr>
          <w:lang w:val="fr-FR"/>
        </w:rPr>
        <w:t>, les 24 et 25 </w:t>
      </w:r>
      <w:r w:rsidRPr="00405E0A">
        <w:rPr>
          <w:lang w:val="fr-FR"/>
        </w:rPr>
        <w:t>août 2016 à Livingston (Zambie), le 12</w:t>
      </w:r>
      <w:r w:rsidR="00580C01">
        <w:rPr>
          <w:lang w:val="fr-FR"/>
        </w:rPr>
        <w:t> </w:t>
      </w:r>
      <w:r w:rsidRPr="00405E0A">
        <w:rPr>
          <w:lang w:val="fr-FR"/>
        </w:rPr>
        <w:t>janvier 2017 à Haikou (Chine) et les 3 et 4</w:t>
      </w:r>
      <w:r w:rsidR="00580C01">
        <w:rPr>
          <w:lang w:val="fr-FR"/>
        </w:rPr>
        <w:t> </w:t>
      </w:r>
      <w:r w:rsidRPr="00405E0A">
        <w:rPr>
          <w:lang w:val="fr-FR"/>
        </w:rPr>
        <w:t>juillet 2017 à Bangkok. Le Gouvernement suisse, qui accueillera la première réunion de la Conférence des Parties à Genève, a assisté à ces réunions en tant qu</w:t>
      </w:r>
      <w:r w:rsidR="00BD3198">
        <w:rPr>
          <w:lang w:val="fr-FR"/>
        </w:rPr>
        <w:t>’</w:t>
      </w:r>
      <w:r w:rsidRPr="00405E0A">
        <w:rPr>
          <w:lang w:val="fr-FR"/>
        </w:rPr>
        <w:t>observateur. Les principaux objectifs de ces réunions étaient notamment de faire le point sur les résultats de la septième session du Comité, d</w:t>
      </w:r>
      <w:r w:rsidR="00BD3198">
        <w:rPr>
          <w:lang w:val="fr-FR"/>
        </w:rPr>
        <w:t>’</w:t>
      </w:r>
      <w:r w:rsidRPr="00405E0A">
        <w:rPr>
          <w:lang w:val="fr-FR"/>
        </w:rPr>
        <w:t>assurer une planification adéquate de la première réunion de la Conférence des Parties, en particulier son segment de haut niveau, d</w:t>
      </w:r>
      <w:r w:rsidR="00BD3198">
        <w:rPr>
          <w:lang w:val="fr-FR"/>
        </w:rPr>
        <w:t>’</w:t>
      </w:r>
      <w:r w:rsidRPr="00405E0A">
        <w:rPr>
          <w:lang w:val="fr-FR"/>
        </w:rPr>
        <w:t>examiner les questions devant être traitées, de débattre de questions stratégiques et politiques et d</w:t>
      </w:r>
      <w:r w:rsidR="00BD3198">
        <w:rPr>
          <w:lang w:val="fr-FR"/>
        </w:rPr>
        <w:t>’</w:t>
      </w:r>
      <w:r w:rsidRPr="00405E0A">
        <w:rPr>
          <w:lang w:val="fr-FR"/>
        </w:rPr>
        <w:t xml:space="preserve">élaborer des plans logistiques en vue de la première réunion de la Conférence des Parties. Les rapports </w:t>
      </w:r>
      <w:r w:rsidR="004043A7">
        <w:rPr>
          <w:lang w:val="fr-FR"/>
        </w:rPr>
        <w:t>correspondants</w:t>
      </w:r>
      <w:r w:rsidRPr="00405E0A">
        <w:rPr>
          <w:lang w:val="fr-FR"/>
        </w:rPr>
        <w:t xml:space="preserve"> sont disponibles sur le site Web de la Convention</w:t>
      </w:r>
      <w:r w:rsidRPr="00405E0A">
        <w:rPr>
          <w:rStyle w:val="FootnoteReference"/>
          <w:lang w:val="fr-FR"/>
        </w:rPr>
        <w:footnoteReference w:id="2"/>
      </w:r>
      <w:r w:rsidRPr="00405E0A">
        <w:rPr>
          <w:lang w:val="fr-FR"/>
        </w:rPr>
        <w:t>. La coopération avec les secré</w:t>
      </w:r>
      <w:r w:rsidR="00435F09">
        <w:rPr>
          <w:lang w:val="fr-FR"/>
        </w:rPr>
        <w:t>tariats du FEM et des c</w:t>
      </w:r>
      <w:r w:rsidRPr="00405E0A">
        <w:rPr>
          <w:lang w:val="fr-FR"/>
        </w:rPr>
        <w:t>onventions de Bâle, de Rotterdam et de Stockholm en particulier a aussi été abordée lors des réunions, au moyen d</w:t>
      </w:r>
      <w:r w:rsidR="00BD3198">
        <w:rPr>
          <w:lang w:val="fr-FR"/>
        </w:rPr>
        <w:t>’</w:t>
      </w:r>
      <w:r w:rsidRPr="00405E0A">
        <w:rPr>
          <w:lang w:val="fr-FR"/>
        </w:rPr>
        <w:t>exposés présentés par les deux secrétariats.</w:t>
      </w:r>
    </w:p>
    <w:p w14:paraId="39B64037" w14:textId="4F5BBFB6" w:rsidR="000760B6" w:rsidRPr="00405E0A" w:rsidRDefault="000760B6" w:rsidP="001F2B6B">
      <w:pPr>
        <w:pStyle w:val="Normalnumber"/>
        <w:numPr>
          <w:ilvl w:val="0"/>
          <w:numId w:val="0"/>
        </w:numPr>
        <w:ind w:left="1247"/>
        <w:rPr>
          <w:lang w:val="fr-FR"/>
        </w:rPr>
      </w:pPr>
      <w:r w:rsidRPr="00405E0A">
        <w:rPr>
          <w:lang w:val="fr-FR"/>
        </w:rPr>
        <w:t>Le secrétariat provisoire a contribué à l</w:t>
      </w:r>
      <w:r w:rsidR="00BD3198">
        <w:rPr>
          <w:lang w:val="fr-FR"/>
        </w:rPr>
        <w:t>’</w:t>
      </w:r>
      <w:r w:rsidRPr="00405E0A">
        <w:rPr>
          <w:lang w:val="fr-FR"/>
        </w:rPr>
        <w:t>organisation des réunions en veillant aux préparatifs logistiques et en mettant à disposition les informations nécessaires avant et pendant les réunions.</w:t>
      </w:r>
    </w:p>
    <w:p w14:paraId="1FCA51E7" w14:textId="7D22E258" w:rsidR="000760B6" w:rsidRPr="00405E0A" w:rsidRDefault="00580C01" w:rsidP="009718A3">
      <w:pPr>
        <w:pStyle w:val="CH2"/>
        <w:rPr>
          <w:lang w:val="fr-FR"/>
        </w:rPr>
      </w:pPr>
      <w:r>
        <w:rPr>
          <w:lang w:val="fr-FR"/>
        </w:rPr>
        <w:tab/>
      </w:r>
      <w:r w:rsidR="009718A3" w:rsidRPr="00405E0A">
        <w:rPr>
          <w:lang w:val="fr-FR"/>
        </w:rPr>
        <w:t>C.</w:t>
      </w:r>
      <w:r w:rsidR="009718A3" w:rsidRPr="00405E0A">
        <w:rPr>
          <w:lang w:val="fr-FR"/>
        </w:rPr>
        <w:tab/>
        <w:t xml:space="preserve">Réunions régionales en prévision de la première réunion de la Conférence </w:t>
      </w:r>
      <w:r>
        <w:rPr>
          <w:lang w:val="fr-FR"/>
        </w:rPr>
        <w:br/>
      </w:r>
      <w:r w:rsidR="009718A3" w:rsidRPr="00405E0A">
        <w:rPr>
          <w:lang w:val="fr-FR"/>
        </w:rPr>
        <w:t xml:space="preserve">des Parties </w:t>
      </w:r>
    </w:p>
    <w:p w14:paraId="2FB4CF2E" w14:textId="0A3A4ED3" w:rsidR="000760B6" w:rsidRPr="00405E0A" w:rsidRDefault="000760B6" w:rsidP="00A21697">
      <w:pPr>
        <w:pStyle w:val="Normalnumber"/>
        <w:rPr>
          <w:bCs/>
          <w:lang w:val="fr-FR"/>
        </w:rPr>
      </w:pPr>
      <w:r w:rsidRPr="00405E0A">
        <w:rPr>
          <w:lang w:val="fr-FR"/>
        </w:rPr>
        <w:t>Dans le cadre des préparatifs de la première réunion de la Conférence des Parties à la Convention de Minamata, le secrétariat provisoire organise</w:t>
      </w:r>
      <w:r w:rsidR="008A6211">
        <w:rPr>
          <w:lang w:val="fr-FR"/>
        </w:rPr>
        <w:t xml:space="preserve"> actuellement</w:t>
      </w:r>
      <w:r w:rsidRPr="00405E0A">
        <w:rPr>
          <w:lang w:val="fr-FR"/>
        </w:rPr>
        <w:t xml:space="preserve"> une série de consultations régionales pour les régions de l</w:t>
      </w:r>
      <w:r w:rsidR="00BD3198">
        <w:rPr>
          <w:lang w:val="fr-FR"/>
        </w:rPr>
        <w:t>’</w:t>
      </w:r>
      <w:r w:rsidRPr="00405E0A">
        <w:rPr>
          <w:lang w:val="fr-FR"/>
        </w:rPr>
        <w:t>Afrique, de l</w:t>
      </w:r>
      <w:r w:rsidR="00BD3198">
        <w:rPr>
          <w:lang w:val="fr-FR"/>
        </w:rPr>
        <w:t>’</w:t>
      </w:r>
      <w:r w:rsidRPr="00405E0A">
        <w:rPr>
          <w:lang w:val="fr-FR"/>
        </w:rPr>
        <w:t>Asie et du Pacifique, de l</w:t>
      </w:r>
      <w:r w:rsidR="00BD3198">
        <w:rPr>
          <w:lang w:val="fr-FR"/>
        </w:rPr>
        <w:t>’</w:t>
      </w:r>
      <w:r w:rsidRPr="00405E0A">
        <w:rPr>
          <w:lang w:val="fr-FR"/>
        </w:rPr>
        <w:t>Europe centrale et orientale et de l</w:t>
      </w:r>
      <w:r w:rsidR="00BD3198">
        <w:rPr>
          <w:lang w:val="fr-FR"/>
        </w:rPr>
        <w:t>’</w:t>
      </w:r>
      <w:r w:rsidRPr="00405E0A">
        <w:rPr>
          <w:lang w:val="fr-FR"/>
        </w:rPr>
        <w:t>Asie centrale, ainsi que de l</w:t>
      </w:r>
      <w:r w:rsidR="00BD3198">
        <w:rPr>
          <w:lang w:val="fr-FR"/>
        </w:rPr>
        <w:t>’</w:t>
      </w:r>
      <w:r w:rsidRPr="00405E0A">
        <w:rPr>
          <w:lang w:val="fr-FR"/>
        </w:rPr>
        <w:t>Amérique latine et des Caraïbes. Bon nombre de gouvernements ont appelé à la tenue de ces consultations, afin de permettre aux régions de se préparer à la première réunion de la Conférence des Parties, en veillant tout particulièrement à ce que les régions y participent pleinement. Ces réunions se tien</w:t>
      </w:r>
      <w:r w:rsidR="00BD3198">
        <w:rPr>
          <w:lang w:val="fr-FR"/>
        </w:rPr>
        <w:t xml:space="preserve">nent </w:t>
      </w:r>
      <w:r w:rsidRPr="00405E0A">
        <w:rPr>
          <w:lang w:val="fr-FR"/>
        </w:rPr>
        <w:t xml:space="preserve">comme suit : </w:t>
      </w:r>
    </w:p>
    <w:p w14:paraId="541B6D12" w14:textId="4524B32E" w:rsidR="008A6211" w:rsidRDefault="000760B6" w:rsidP="00A21697">
      <w:pPr>
        <w:pStyle w:val="Normalnumber"/>
        <w:numPr>
          <w:ilvl w:val="1"/>
          <w:numId w:val="4"/>
        </w:numPr>
        <w:rPr>
          <w:lang w:val="fr-FR"/>
        </w:rPr>
      </w:pPr>
      <w:r w:rsidRPr="008A6211">
        <w:rPr>
          <w:lang w:val="fr-FR"/>
        </w:rPr>
        <w:t>Pour l</w:t>
      </w:r>
      <w:r w:rsidR="00BD3198">
        <w:rPr>
          <w:lang w:val="fr-FR"/>
        </w:rPr>
        <w:t>’Asie-</w:t>
      </w:r>
      <w:r w:rsidRPr="008A6211">
        <w:rPr>
          <w:lang w:val="fr-FR"/>
        </w:rPr>
        <w:t>Pacifique, du 5 au 7</w:t>
      </w:r>
      <w:r w:rsidR="00580C01">
        <w:rPr>
          <w:lang w:val="fr-FR"/>
        </w:rPr>
        <w:t> </w:t>
      </w:r>
      <w:r w:rsidRPr="008A6211">
        <w:rPr>
          <w:lang w:val="fr-FR"/>
        </w:rPr>
        <w:t>juillet 2017 à Bangkok;</w:t>
      </w:r>
    </w:p>
    <w:p w14:paraId="3F4642AF" w14:textId="1B9B43B2" w:rsidR="000760B6" w:rsidRPr="008A6211" w:rsidRDefault="000760B6" w:rsidP="00A21697">
      <w:pPr>
        <w:pStyle w:val="Normalnumber"/>
        <w:numPr>
          <w:ilvl w:val="1"/>
          <w:numId w:val="4"/>
        </w:numPr>
        <w:rPr>
          <w:lang w:val="fr-FR"/>
        </w:rPr>
      </w:pPr>
      <w:r w:rsidRPr="008A6211">
        <w:rPr>
          <w:lang w:val="fr-FR"/>
        </w:rPr>
        <w:t>Pour l</w:t>
      </w:r>
      <w:r w:rsidR="00BD3198">
        <w:rPr>
          <w:lang w:val="fr-FR"/>
        </w:rPr>
        <w:t>’</w:t>
      </w:r>
      <w:r w:rsidR="00CA7280">
        <w:rPr>
          <w:lang w:val="fr-FR"/>
        </w:rPr>
        <w:t>Afrique, du 11 au 13 </w:t>
      </w:r>
      <w:r w:rsidRPr="008A6211">
        <w:rPr>
          <w:lang w:val="fr-FR"/>
        </w:rPr>
        <w:t>juillet 2017 à Johannesburg (Afrique du Sud);</w:t>
      </w:r>
    </w:p>
    <w:p w14:paraId="057908FF" w14:textId="41405496" w:rsidR="000760B6" w:rsidRPr="00405E0A" w:rsidRDefault="000760B6" w:rsidP="00A21697">
      <w:pPr>
        <w:pStyle w:val="Normalnumber"/>
        <w:numPr>
          <w:ilvl w:val="1"/>
          <w:numId w:val="4"/>
        </w:numPr>
        <w:rPr>
          <w:lang w:val="fr-FR"/>
        </w:rPr>
      </w:pPr>
      <w:r w:rsidRPr="00405E0A">
        <w:rPr>
          <w:lang w:val="fr-FR"/>
        </w:rPr>
        <w:t>Pour l</w:t>
      </w:r>
      <w:r w:rsidR="00BD3198">
        <w:rPr>
          <w:lang w:val="fr-FR"/>
        </w:rPr>
        <w:t>’</w:t>
      </w:r>
      <w:r w:rsidRPr="00405E0A">
        <w:rPr>
          <w:lang w:val="fr-FR"/>
        </w:rPr>
        <w:t>Europe centrale et orientale et l</w:t>
      </w:r>
      <w:r w:rsidR="00BD3198">
        <w:rPr>
          <w:lang w:val="fr-FR"/>
        </w:rPr>
        <w:t>’</w:t>
      </w:r>
      <w:r w:rsidR="00580C01">
        <w:rPr>
          <w:lang w:val="fr-FR"/>
        </w:rPr>
        <w:t>Asie centrale, les 12 et 13 </w:t>
      </w:r>
      <w:r w:rsidRPr="00405E0A">
        <w:rPr>
          <w:lang w:val="fr-FR"/>
        </w:rPr>
        <w:t xml:space="preserve">juillet 2017 </w:t>
      </w:r>
      <w:r w:rsidR="00BD3198">
        <w:rPr>
          <w:lang w:val="fr-FR"/>
        </w:rPr>
        <w:br/>
      </w:r>
      <w:r w:rsidRPr="00405E0A">
        <w:rPr>
          <w:lang w:val="fr-FR"/>
        </w:rPr>
        <w:t>à Brno (</w:t>
      </w:r>
      <w:r w:rsidR="008A6211">
        <w:rPr>
          <w:lang w:val="fr-FR"/>
        </w:rPr>
        <w:t>T</w:t>
      </w:r>
      <w:r w:rsidRPr="00405E0A">
        <w:rPr>
          <w:lang w:val="fr-FR"/>
        </w:rPr>
        <w:t>ch</w:t>
      </w:r>
      <w:r w:rsidR="008A6211">
        <w:rPr>
          <w:lang w:val="fr-FR"/>
        </w:rPr>
        <w:t>é</w:t>
      </w:r>
      <w:r w:rsidRPr="00405E0A">
        <w:rPr>
          <w:lang w:val="fr-FR"/>
        </w:rPr>
        <w:t>qu</w:t>
      </w:r>
      <w:r w:rsidR="008A6211">
        <w:rPr>
          <w:lang w:val="fr-FR"/>
        </w:rPr>
        <w:t>i</w:t>
      </w:r>
      <w:r w:rsidRPr="00405E0A">
        <w:rPr>
          <w:lang w:val="fr-FR"/>
        </w:rPr>
        <w:t>e);</w:t>
      </w:r>
    </w:p>
    <w:p w14:paraId="0F5AD4D0" w14:textId="09602F99" w:rsidR="000760B6" w:rsidRPr="00405E0A" w:rsidRDefault="000760B6" w:rsidP="00A21697">
      <w:pPr>
        <w:pStyle w:val="Normalnumber"/>
        <w:numPr>
          <w:ilvl w:val="1"/>
          <w:numId w:val="4"/>
        </w:numPr>
        <w:rPr>
          <w:lang w:val="fr-FR"/>
        </w:rPr>
      </w:pPr>
      <w:r w:rsidRPr="00405E0A">
        <w:rPr>
          <w:lang w:val="fr-FR"/>
        </w:rPr>
        <w:t>Pour l</w:t>
      </w:r>
      <w:r w:rsidR="00BD3198">
        <w:rPr>
          <w:lang w:val="fr-FR"/>
        </w:rPr>
        <w:t>’</w:t>
      </w:r>
      <w:r w:rsidRPr="00405E0A">
        <w:rPr>
          <w:lang w:val="fr-FR"/>
        </w:rPr>
        <w:t>Amérique lati</w:t>
      </w:r>
      <w:r w:rsidR="00580C01">
        <w:rPr>
          <w:lang w:val="fr-FR"/>
        </w:rPr>
        <w:t xml:space="preserve">ne et </w:t>
      </w:r>
      <w:r w:rsidR="00BD3198">
        <w:rPr>
          <w:lang w:val="fr-FR"/>
        </w:rPr>
        <w:t>l</w:t>
      </w:r>
      <w:r w:rsidR="00580C01">
        <w:rPr>
          <w:lang w:val="fr-FR"/>
        </w:rPr>
        <w:t>e</w:t>
      </w:r>
      <w:r w:rsidR="00A21697">
        <w:rPr>
          <w:lang w:val="fr-FR"/>
        </w:rPr>
        <w:t>s Caraïbes, du 25 au 28 juillet </w:t>
      </w:r>
      <w:r w:rsidR="00580C01">
        <w:rPr>
          <w:lang w:val="fr-FR"/>
        </w:rPr>
        <w:t>2017 à Buenos </w:t>
      </w:r>
      <w:r w:rsidRPr="00405E0A">
        <w:rPr>
          <w:lang w:val="fr-FR"/>
        </w:rPr>
        <w:t>Aires.</w:t>
      </w:r>
    </w:p>
    <w:p w14:paraId="2AA2EF8E" w14:textId="56EAEF5E" w:rsidR="000760B6" w:rsidRPr="00405E0A" w:rsidRDefault="000760B6" w:rsidP="00A21697">
      <w:pPr>
        <w:pStyle w:val="Normalnumber"/>
        <w:rPr>
          <w:lang w:val="fr-FR"/>
        </w:rPr>
      </w:pPr>
      <w:r w:rsidRPr="00405E0A">
        <w:rPr>
          <w:lang w:val="fr-FR"/>
        </w:rPr>
        <w:t>Ces consultations ont pour objectif global de contribuer au succès de la première réunion de la Conférence des Parties en donnant aux Parties et pays des différentes régions la possibilité de se consulter les uns les autres avant la tenue de la réunion, d</w:t>
      </w:r>
      <w:r w:rsidR="00BD3198">
        <w:rPr>
          <w:lang w:val="fr-FR"/>
        </w:rPr>
        <w:t>’</w:t>
      </w:r>
      <w:r w:rsidRPr="00405E0A">
        <w:rPr>
          <w:lang w:val="fr-FR"/>
        </w:rPr>
        <w:t>examiner les documents de réunion, de débattre de questions de fond inscrites à l</w:t>
      </w:r>
      <w:r w:rsidR="00BD3198">
        <w:rPr>
          <w:lang w:val="fr-FR"/>
        </w:rPr>
        <w:t>’</w:t>
      </w:r>
      <w:r w:rsidRPr="00405E0A">
        <w:rPr>
          <w:lang w:val="fr-FR"/>
        </w:rPr>
        <w:t>ordre du jour, de cerner les priorités et problèmes régionaux et de faciliter l</w:t>
      </w:r>
      <w:r w:rsidR="00BD3198">
        <w:rPr>
          <w:lang w:val="fr-FR"/>
        </w:rPr>
        <w:t>’</w:t>
      </w:r>
      <w:r w:rsidRPr="00405E0A">
        <w:rPr>
          <w:lang w:val="fr-FR"/>
        </w:rPr>
        <w:t>élaboration de positions régionales. Ces réunions seront également l</w:t>
      </w:r>
      <w:r w:rsidR="00BD3198">
        <w:rPr>
          <w:lang w:val="fr-FR"/>
        </w:rPr>
        <w:t>’</w:t>
      </w:r>
      <w:r w:rsidRPr="00405E0A">
        <w:rPr>
          <w:lang w:val="fr-FR"/>
        </w:rPr>
        <w:t xml:space="preserve">occasion pour les régions de se pencher sur la composition du Bureau pour la Conférence des Parties, ainsi que sur la composition du Comité pour la mise en œuvre et le respect de la Convention. Les consultations régionales incluront </w:t>
      </w:r>
      <w:r w:rsidR="001441B2">
        <w:rPr>
          <w:lang w:val="fr-FR"/>
        </w:rPr>
        <w:t>une</w:t>
      </w:r>
      <w:r w:rsidRPr="00405E0A">
        <w:rPr>
          <w:lang w:val="fr-FR"/>
        </w:rPr>
        <w:t xml:space="preserve"> présentation par le secrétariat provisoire des documents prévus pour la première réunion, après quoi les gouvernements débattront entre eux et exposeront peut-être leur </w:t>
      </w:r>
      <w:r w:rsidRPr="00405E0A">
        <w:rPr>
          <w:lang w:val="fr-FR"/>
        </w:rPr>
        <w:lastRenderedPageBreak/>
        <w:t>position sur les divers sujets qui seront traités lors de la réunion. Le programme provisoire de chaque consultation régionale a été établi en coopération avec les membres du Bureau du Comité de négociation intergouvernemental de la région.</w:t>
      </w:r>
    </w:p>
    <w:p w14:paraId="47CCD2B5" w14:textId="1D12B0DE" w:rsidR="000760B6" w:rsidRPr="00405E0A" w:rsidRDefault="000760B6" w:rsidP="00A21697">
      <w:pPr>
        <w:pStyle w:val="Normalnumber"/>
        <w:rPr>
          <w:lang w:val="fr-FR"/>
        </w:rPr>
      </w:pPr>
      <w:r w:rsidRPr="00405E0A">
        <w:rPr>
          <w:lang w:val="fr-FR"/>
        </w:rPr>
        <w:t xml:space="preserve">Les consultations régionales sont organisées par le secrétariat provisoire en coopération avec les centres régionaux des </w:t>
      </w:r>
      <w:r w:rsidR="00435F09">
        <w:rPr>
          <w:lang w:val="fr-FR"/>
        </w:rPr>
        <w:t>c</w:t>
      </w:r>
      <w:r w:rsidRPr="00405E0A">
        <w:rPr>
          <w:lang w:val="fr-FR"/>
        </w:rPr>
        <w:t>onventions de Bâle et de Stockholm pour les régions de l</w:t>
      </w:r>
      <w:r w:rsidR="00BD3198">
        <w:rPr>
          <w:lang w:val="fr-FR"/>
        </w:rPr>
        <w:t>’</w:t>
      </w:r>
      <w:r w:rsidRPr="00405E0A">
        <w:rPr>
          <w:lang w:val="fr-FR"/>
        </w:rPr>
        <w:t>Afrique, de l</w:t>
      </w:r>
      <w:r w:rsidR="00BD3198">
        <w:rPr>
          <w:lang w:val="fr-FR"/>
        </w:rPr>
        <w:t>’</w:t>
      </w:r>
      <w:r w:rsidRPr="00405E0A">
        <w:rPr>
          <w:lang w:val="fr-FR"/>
        </w:rPr>
        <w:t>Europe centrale et orientale et de l</w:t>
      </w:r>
      <w:r w:rsidR="00BD3198">
        <w:rPr>
          <w:lang w:val="fr-FR"/>
        </w:rPr>
        <w:t>’</w:t>
      </w:r>
      <w:r w:rsidRPr="00405E0A">
        <w:rPr>
          <w:lang w:val="fr-FR"/>
        </w:rPr>
        <w:t>Asie centrale</w:t>
      </w:r>
      <w:r w:rsidR="001441B2">
        <w:rPr>
          <w:lang w:val="fr-FR"/>
        </w:rPr>
        <w:t>,</w:t>
      </w:r>
      <w:r w:rsidRPr="00405E0A">
        <w:rPr>
          <w:lang w:val="fr-FR"/>
        </w:rPr>
        <w:t xml:space="preserve"> et de l</w:t>
      </w:r>
      <w:r w:rsidR="00BD3198">
        <w:rPr>
          <w:lang w:val="fr-FR"/>
        </w:rPr>
        <w:t>’</w:t>
      </w:r>
      <w:r w:rsidRPr="00405E0A">
        <w:rPr>
          <w:lang w:val="fr-FR"/>
        </w:rPr>
        <w:t>Amérique latine et des Caraïbes, ainsi qu</w:t>
      </w:r>
      <w:r w:rsidR="00BD3198">
        <w:rPr>
          <w:lang w:val="fr-FR"/>
        </w:rPr>
        <w:t>’</w:t>
      </w:r>
      <w:r w:rsidRPr="00405E0A">
        <w:rPr>
          <w:lang w:val="fr-FR"/>
        </w:rPr>
        <w:t>avec le Bureau du PNUE pour la région de l</w:t>
      </w:r>
      <w:r w:rsidR="00BD3198">
        <w:rPr>
          <w:lang w:val="fr-FR"/>
        </w:rPr>
        <w:t>’</w:t>
      </w:r>
      <w:r w:rsidRPr="00405E0A">
        <w:rPr>
          <w:lang w:val="fr-FR"/>
        </w:rPr>
        <w:t>Asie et du Pacifique</w:t>
      </w:r>
      <w:r w:rsidR="001441B2">
        <w:rPr>
          <w:lang w:val="fr-FR"/>
        </w:rPr>
        <w:t>,</w:t>
      </w:r>
      <w:r w:rsidRPr="00405E0A">
        <w:rPr>
          <w:lang w:val="fr-FR"/>
        </w:rPr>
        <w:t xml:space="preserve"> et en coopération et coordination étroites avec le Secrétariat des Conventions de Bâle, de Rotterdam et de Stockholm. Ces réunions sont financées au moyen de</w:t>
      </w:r>
      <w:bookmarkStart w:id="3" w:name="_GoBack"/>
      <w:bookmarkEnd w:id="3"/>
      <w:r w:rsidRPr="00405E0A">
        <w:rPr>
          <w:lang w:val="fr-FR"/>
        </w:rPr>
        <w:t>s contributions volontaires versées par le Gouvernement suisse et la Commission européenne, qui sont les principaux contributeurs.</w:t>
      </w:r>
    </w:p>
    <w:p w14:paraId="17BC4578" w14:textId="3DB7C584" w:rsidR="000760B6" w:rsidRPr="00405E0A" w:rsidRDefault="00CA7280" w:rsidP="000760B6">
      <w:pPr>
        <w:pStyle w:val="CH1"/>
        <w:rPr>
          <w:lang w:val="fr-FR"/>
        </w:rPr>
      </w:pPr>
      <w:r>
        <w:rPr>
          <w:lang w:val="fr-FR"/>
        </w:rPr>
        <w:tab/>
      </w:r>
      <w:r w:rsidR="000760B6" w:rsidRPr="00405E0A">
        <w:rPr>
          <w:lang w:val="fr-FR"/>
        </w:rPr>
        <w:t>III.</w:t>
      </w:r>
      <w:r w:rsidR="000760B6" w:rsidRPr="00405E0A">
        <w:rPr>
          <w:lang w:val="fr-FR"/>
        </w:rPr>
        <w:tab/>
        <w:t xml:space="preserve">Aide à la ratification et à la mise en œuvre rapide </w:t>
      </w:r>
      <w:r>
        <w:rPr>
          <w:lang w:val="fr-FR"/>
        </w:rPr>
        <w:br/>
      </w:r>
      <w:r w:rsidR="000760B6" w:rsidRPr="00405E0A">
        <w:rPr>
          <w:lang w:val="fr-FR"/>
        </w:rPr>
        <w:t xml:space="preserve">de la Convention de Minamata </w:t>
      </w:r>
    </w:p>
    <w:p w14:paraId="2CC1CCA9" w14:textId="3E647776" w:rsidR="000760B6" w:rsidRPr="00405E0A" w:rsidRDefault="000760B6" w:rsidP="00A21697">
      <w:pPr>
        <w:pStyle w:val="Normalnumber"/>
        <w:rPr>
          <w:lang w:val="fr-FR"/>
        </w:rPr>
      </w:pPr>
      <w:r w:rsidRPr="00405E0A">
        <w:rPr>
          <w:lang w:val="fr-FR"/>
        </w:rPr>
        <w:t>Outre ses travaux à l</w:t>
      </w:r>
      <w:r w:rsidR="00BD3198">
        <w:rPr>
          <w:lang w:val="fr-FR"/>
        </w:rPr>
        <w:t>’</w:t>
      </w:r>
      <w:r w:rsidRPr="00405E0A">
        <w:rPr>
          <w:lang w:val="fr-FR"/>
        </w:rPr>
        <w:t xml:space="preserve">appui du Comité de négociation intergouvernemental et ses </w:t>
      </w:r>
      <w:r w:rsidR="008115AF">
        <w:rPr>
          <w:lang w:val="fr-FR"/>
        </w:rPr>
        <w:t xml:space="preserve">autres </w:t>
      </w:r>
      <w:r w:rsidRPr="00405E0A">
        <w:rPr>
          <w:lang w:val="fr-FR"/>
        </w:rPr>
        <w:t>activités</w:t>
      </w:r>
      <w:r w:rsidR="008115AF">
        <w:rPr>
          <w:lang w:val="fr-FR"/>
        </w:rPr>
        <w:t>,</w:t>
      </w:r>
      <w:r w:rsidRPr="00405E0A">
        <w:rPr>
          <w:lang w:val="fr-FR"/>
        </w:rPr>
        <w:t xml:space="preserve"> </w:t>
      </w:r>
      <w:r w:rsidR="008115AF">
        <w:rPr>
          <w:lang w:val="fr-FR"/>
        </w:rPr>
        <w:t xml:space="preserve">dont celles de préparation </w:t>
      </w:r>
      <w:r w:rsidRPr="00405E0A">
        <w:rPr>
          <w:lang w:val="fr-FR"/>
        </w:rPr>
        <w:t xml:space="preserve">de la première réunion de la Conférence des Parties, le secrétariat provisoire a appuyé les activités menées aux niveaux national et régional afin de faciliter la ratification et la mise en œuvre rapide de la Convention de Minamata. </w:t>
      </w:r>
    </w:p>
    <w:p w14:paraId="21D52E7C" w14:textId="4E2BC313" w:rsidR="000760B6" w:rsidRPr="00405E0A" w:rsidRDefault="00CA7280" w:rsidP="001F2B6B">
      <w:pPr>
        <w:pStyle w:val="CH2"/>
        <w:rPr>
          <w:lang w:val="fr-FR"/>
        </w:rPr>
      </w:pPr>
      <w:r>
        <w:rPr>
          <w:lang w:val="fr-FR"/>
        </w:rPr>
        <w:tab/>
      </w:r>
      <w:r w:rsidR="009718A3" w:rsidRPr="00405E0A">
        <w:rPr>
          <w:lang w:val="fr-FR"/>
        </w:rPr>
        <w:t>A.</w:t>
      </w:r>
      <w:r w:rsidR="009718A3" w:rsidRPr="00405E0A">
        <w:rPr>
          <w:lang w:val="fr-FR"/>
        </w:rPr>
        <w:tab/>
        <w:t xml:space="preserve">Organisation de </w:t>
      </w:r>
      <w:r w:rsidR="00351A1A">
        <w:rPr>
          <w:lang w:val="fr-FR"/>
        </w:rPr>
        <w:t>réunion</w:t>
      </w:r>
      <w:r w:rsidR="009718A3" w:rsidRPr="00405E0A">
        <w:rPr>
          <w:lang w:val="fr-FR"/>
        </w:rPr>
        <w:t xml:space="preserve">s de travail sur la Convention de Minamata </w:t>
      </w:r>
    </w:p>
    <w:p w14:paraId="0A6522A4" w14:textId="5B319FE3" w:rsidR="000760B6" w:rsidRPr="00405E0A" w:rsidRDefault="000760B6" w:rsidP="00A21697">
      <w:pPr>
        <w:pStyle w:val="Normalnumber"/>
        <w:rPr>
          <w:lang w:val="fr-FR"/>
        </w:rPr>
      </w:pPr>
      <w:r w:rsidRPr="00405E0A">
        <w:rPr>
          <w:lang w:val="fr-FR"/>
        </w:rPr>
        <w:t>En coopé</w:t>
      </w:r>
      <w:r w:rsidR="00435F09">
        <w:rPr>
          <w:lang w:val="fr-FR"/>
        </w:rPr>
        <w:t>ration avec le Secrétariat des c</w:t>
      </w:r>
      <w:r w:rsidRPr="00405E0A">
        <w:rPr>
          <w:lang w:val="fr-FR"/>
        </w:rPr>
        <w:t>onventions de Bâle, de Rotterdam et de Stockholm et les c</w:t>
      </w:r>
      <w:r w:rsidR="00435F09">
        <w:rPr>
          <w:lang w:val="fr-FR"/>
        </w:rPr>
        <w:t>entres régionaux concernés des c</w:t>
      </w:r>
      <w:r w:rsidRPr="00405E0A">
        <w:rPr>
          <w:lang w:val="fr-FR"/>
        </w:rPr>
        <w:t xml:space="preserve">onventions de Bâle et de Stockholm, le secrétariat provisoire a organisé des </w:t>
      </w:r>
      <w:r w:rsidR="00351A1A">
        <w:rPr>
          <w:lang w:val="fr-FR"/>
        </w:rPr>
        <w:t>réunion</w:t>
      </w:r>
      <w:r w:rsidRPr="00405E0A">
        <w:rPr>
          <w:lang w:val="fr-FR"/>
        </w:rPr>
        <w:t xml:space="preserve">s de travail portant sur la Convention de Minamata sur le mercure. Ces </w:t>
      </w:r>
      <w:r w:rsidR="00351A1A">
        <w:rPr>
          <w:lang w:val="fr-FR"/>
        </w:rPr>
        <w:t>réun</w:t>
      </w:r>
      <w:r w:rsidRPr="00405E0A">
        <w:rPr>
          <w:lang w:val="fr-FR"/>
        </w:rPr>
        <w:t>ions ont été couplées avec les réunions préparatoires d</w:t>
      </w:r>
      <w:r w:rsidR="00435F09">
        <w:rPr>
          <w:lang w:val="fr-FR"/>
        </w:rPr>
        <w:t>es Conférences des Parties aux c</w:t>
      </w:r>
      <w:r w:rsidRPr="00405E0A">
        <w:rPr>
          <w:lang w:val="fr-FR"/>
        </w:rPr>
        <w:t xml:space="preserve">onventions de Bâle, de Rotterdam et de Stockholm. </w:t>
      </w:r>
      <w:r w:rsidR="00351A1A">
        <w:rPr>
          <w:lang w:val="fr-FR"/>
        </w:rPr>
        <w:t>Elles se sont tenues</w:t>
      </w:r>
      <w:r w:rsidRPr="00405E0A">
        <w:rPr>
          <w:lang w:val="fr-FR"/>
        </w:rPr>
        <w:t xml:space="preserve"> comme suit : </w:t>
      </w:r>
    </w:p>
    <w:p w14:paraId="64EEAE04" w14:textId="0171A8DC" w:rsidR="00F747D1" w:rsidRPr="00405E0A" w:rsidRDefault="00F747D1" w:rsidP="00A21697">
      <w:pPr>
        <w:pStyle w:val="Normalnumber"/>
        <w:numPr>
          <w:ilvl w:val="1"/>
          <w:numId w:val="4"/>
        </w:numPr>
        <w:rPr>
          <w:lang w:val="fr-FR"/>
        </w:rPr>
      </w:pPr>
      <w:r w:rsidRPr="00405E0A">
        <w:rPr>
          <w:lang w:val="fr-FR"/>
        </w:rPr>
        <w:t>Asie</w:t>
      </w:r>
      <w:r w:rsidR="00BD3198">
        <w:rPr>
          <w:lang w:val="fr-FR"/>
        </w:rPr>
        <w:t>-</w:t>
      </w:r>
      <w:r w:rsidRPr="00405E0A">
        <w:rPr>
          <w:lang w:val="fr-FR"/>
        </w:rPr>
        <w:t>Pacifique : 9 et 10</w:t>
      </w:r>
      <w:r w:rsidR="00CA7280">
        <w:rPr>
          <w:lang w:val="fr-FR"/>
        </w:rPr>
        <w:t> </w:t>
      </w:r>
      <w:r w:rsidRPr="00405E0A">
        <w:rPr>
          <w:lang w:val="fr-FR"/>
        </w:rPr>
        <w:t>mars 2017 à Bangkok</w:t>
      </w:r>
    </w:p>
    <w:p w14:paraId="3396B163" w14:textId="49260C41" w:rsidR="00F747D1" w:rsidRPr="00405E0A" w:rsidRDefault="00F747D1" w:rsidP="00A21697">
      <w:pPr>
        <w:pStyle w:val="Normalnumber"/>
        <w:numPr>
          <w:ilvl w:val="1"/>
          <w:numId w:val="4"/>
        </w:numPr>
        <w:rPr>
          <w:lang w:val="fr-FR"/>
        </w:rPr>
      </w:pPr>
      <w:r w:rsidRPr="00405E0A">
        <w:rPr>
          <w:lang w:val="fr-FR"/>
        </w:rPr>
        <w:t>Afrique : 17</w:t>
      </w:r>
      <w:r w:rsidR="00CA7280">
        <w:rPr>
          <w:lang w:val="fr-FR"/>
        </w:rPr>
        <w:t> </w:t>
      </w:r>
      <w:r w:rsidRPr="00405E0A">
        <w:rPr>
          <w:lang w:val="fr-FR"/>
        </w:rPr>
        <w:t>mars 2017 à Dakar</w:t>
      </w:r>
    </w:p>
    <w:p w14:paraId="371FE5F4" w14:textId="553AF02D" w:rsidR="00F747D1" w:rsidRPr="00405E0A" w:rsidRDefault="00F747D1" w:rsidP="00A21697">
      <w:pPr>
        <w:pStyle w:val="Normalnumber"/>
        <w:numPr>
          <w:ilvl w:val="1"/>
          <w:numId w:val="4"/>
        </w:numPr>
        <w:rPr>
          <w:lang w:val="fr-FR"/>
        </w:rPr>
      </w:pPr>
      <w:r w:rsidRPr="00405E0A">
        <w:rPr>
          <w:lang w:val="fr-FR"/>
        </w:rPr>
        <w:t>Europe centrale et orientale : 24</w:t>
      </w:r>
      <w:r w:rsidR="00CA7280">
        <w:rPr>
          <w:lang w:val="fr-FR"/>
        </w:rPr>
        <w:t> </w:t>
      </w:r>
      <w:r w:rsidRPr="00405E0A">
        <w:rPr>
          <w:lang w:val="fr-FR"/>
        </w:rPr>
        <w:t>mars 2017 à Riga</w:t>
      </w:r>
    </w:p>
    <w:p w14:paraId="5DC583F3" w14:textId="2704972A" w:rsidR="00F747D1" w:rsidRPr="00405E0A" w:rsidRDefault="00F747D1" w:rsidP="00A21697">
      <w:pPr>
        <w:pStyle w:val="Normalnumber"/>
        <w:numPr>
          <w:ilvl w:val="1"/>
          <w:numId w:val="4"/>
        </w:numPr>
        <w:rPr>
          <w:lang w:val="fr-FR"/>
        </w:rPr>
      </w:pPr>
      <w:r w:rsidRPr="00405E0A">
        <w:rPr>
          <w:lang w:val="fr-FR"/>
        </w:rPr>
        <w:t>Amérique latine et Caraïbes: du 27 au 31</w:t>
      </w:r>
      <w:r w:rsidR="00CA7280">
        <w:rPr>
          <w:lang w:val="fr-FR"/>
        </w:rPr>
        <w:t> </w:t>
      </w:r>
      <w:r w:rsidRPr="00405E0A">
        <w:rPr>
          <w:lang w:val="fr-FR"/>
        </w:rPr>
        <w:t xml:space="preserve">mars 2017 à São Paulo (Brésil) </w:t>
      </w:r>
    </w:p>
    <w:p w14:paraId="7D63F7F6" w14:textId="4BE1A539" w:rsidR="000760B6" w:rsidRPr="00405E0A" w:rsidRDefault="000760B6" w:rsidP="00A21697">
      <w:pPr>
        <w:pStyle w:val="Normalnumber"/>
        <w:rPr>
          <w:lang w:val="fr-FR"/>
        </w:rPr>
      </w:pPr>
      <w:r w:rsidRPr="00405E0A">
        <w:rPr>
          <w:lang w:val="fr-FR"/>
        </w:rPr>
        <w:t>L</w:t>
      </w:r>
      <w:r w:rsidR="00BD3198">
        <w:rPr>
          <w:lang w:val="fr-FR"/>
        </w:rPr>
        <w:t>’</w:t>
      </w:r>
      <w:r w:rsidRPr="00405E0A">
        <w:rPr>
          <w:lang w:val="fr-FR"/>
        </w:rPr>
        <w:t xml:space="preserve">objectif de ces </w:t>
      </w:r>
      <w:r w:rsidR="00351A1A">
        <w:rPr>
          <w:lang w:val="fr-FR"/>
        </w:rPr>
        <w:t>réunion</w:t>
      </w:r>
      <w:r w:rsidRPr="00405E0A">
        <w:rPr>
          <w:lang w:val="fr-FR"/>
        </w:rPr>
        <w:t>s de travail était d</w:t>
      </w:r>
      <w:r w:rsidR="00BD3198">
        <w:rPr>
          <w:lang w:val="fr-FR"/>
        </w:rPr>
        <w:t>’</w:t>
      </w:r>
      <w:r w:rsidR="00D335E8">
        <w:rPr>
          <w:lang w:val="fr-FR"/>
        </w:rPr>
        <w:t>expos</w:t>
      </w:r>
      <w:r w:rsidRPr="00405E0A">
        <w:rPr>
          <w:lang w:val="fr-FR"/>
        </w:rPr>
        <w:t xml:space="preserve">er brièvement les objectifs de la Convention et de </w:t>
      </w:r>
      <w:r w:rsidR="00D335E8">
        <w:rPr>
          <w:lang w:val="fr-FR"/>
        </w:rPr>
        <w:t>donner</w:t>
      </w:r>
      <w:r w:rsidRPr="00405E0A">
        <w:rPr>
          <w:lang w:val="fr-FR"/>
        </w:rPr>
        <w:t xml:space="preserve"> aux pays </w:t>
      </w:r>
      <w:r w:rsidR="00D335E8">
        <w:rPr>
          <w:lang w:val="fr-FR"/>
        </w:rPr>
        <w:t xml:space="preserve">la possibilité </w:t>
      </w:r>
      <w:r w:rsidRPr="00405E0A">
        <w:rPr>
          <w:lang w:val="fr-FR"/>
        </w:rPr>
        <w:t xml:space="preserve">de </w:t>
      </w:r>
      <w:r w:rsidR="00D335E8">
        <w:rPr>
          <w:lang w:val="fr-FR"/>
        </w:rPr>
        <w:t xml:space="preserve">faire connaître </w:t>
      </w:r>
      <w:r w:rsidRPr="00405E0A">
        <w:rPr>
          <w:lang w:val="fr-FR"/>
        </w:rPr>
        <w:t xml:space="preserve">leurs préparatifs </w:t>
      </w:r>
      <w:r w:rsidR="00D335E8">
        <w:rPr>
          <w:lang w:val="fr-FR"/>
        </w:rPr>
        <w:t>en vue</w:t>
      </w:r>
      <w:r w:rsidRPr="00405E0A">
        <w:rPr>
          <w:lang w:val="fr-FR"/>
        </w:rPr>
        <w:t xml:space="preserve"> de la mise en œuvre et de la ratification de la Convention et les problèmes rencontrés </w:t>
      </w:r>
      <w:r w:rsidR="00D335E8">
        <w:rPr>
          <w:lang w:val="fr-FR"/>
        </w:rPr>
        <w:t xml:space="preserve">ainsi que </w:t>
      </w:r>
      <w:r w:rsidRPr="00405E0A">
        <w:rPr>
          <w:lang w:val="fr-FR"/>
        </w:rPr>
        <w:t xml:space="preserve">les progrès accomplis dans ce </w:t>
      </w:r>
      <w:r w:rsidR="00D335E8">
        <w:rPr>
          <w:lang w:val="fr-FR"/>
        </w:rPr>
        <w:t>domaine</w:t>
      </w:r>
      <w:r w:rsidRPr="00405E0A">
        <w:rPr>
          <w:lang w:val="fr-FR"/>
        </w:rPr>
        <w:t xml:space="preserve">. Les </w:t>
      </w:r>
      <w:r w:rsidR="00351A1A">
        <w:rPr>
          <w:lang w:val="fr-FR"/>
        </w:rPr>
        <w:t>réunion</w:t>
      </w:r>
      <w:r w:rsidRPr="00405E0A">
        <w:rPr>
          <w:lang w:val="fr-FR"/>
        </w:rPr>
        <w:t xml:space="preserve">s de travail ont également </w:t>
      </w:r>
      <w:r w:rsidR="00D335E8">
        <w:rPr>
          <w:lang w:val="fr-FR"/>
        </w:rPr>
        <w:t xml:space="preserve">offert une </w:t>
      </w:r>
      <w:r w:rsidRPr="00405E0A">
        <w:rPr>
          <w:lang w:val="fr-FR"/>
        </w:rPr>
        <w:t>occasion d</w:t>
      </w:r>
      <w:r w:rsidR="00BD3198">
        <w:rPr>
          <w:lang w:val="fr-FR"/>
        </w:rPr>
        <w:t>’</w:t>
      </w:r>
      <w:r w:rsidRPr="00405E0A">
        <w:rPr>
          <w:lang w:val="fr-FR"/>
        </w:rPr>
        <w:t>apporter des contributions et de formuler des observations sur certaines des questions qui seront examinées par la Conférence des Parties à sa première réunion, notamment les orientations sur l</w:t>
      </w:r>
      <w:r w:rsidR="00BD3198">
        <w:rPr>
          <w:lang w:val="fr-FR"/>
        </w:rPr>
        <w:t>’</w:t>
      </w:r>
      <w:r w:rsidRPr="00405E0A">
        <w:rPr>
          <w:lang w:val="fr-FR"/>
        </w:rPr>
        <w:t>élaboration de plans d</w:t>
      </w:r>
      <w:r w:rsidR="00BD3198">
        <w:rPr>
          <w:lang w:val="fr-FR"/>
        </w:rPr>
        <w:t>’</w:t>
      </w:r>
      <w:r w:rsidRPr="00405E0A">
        <w:rPr>
          <w:lang w:val="fr-FR"/>
        </w:rPr>
        <w:t>action nationaux dans le secteur de l</w:t>
      </w:r>
      <w:r w:rsidR="00BD3198">
        <w:rPr>
          <w:lang w:val="fr-FR"/>
        </w:rPr>
        <w:t>’</w:t>
      </w:r>
      <w:r w:rsidR="005A5341">
        <w:rPr>
          <w:lang w:val="fr-FR"/>
        </w:rPr>
        <w:t>extraction artisanale et à petite échelle d</w:t>
      </w:r>
      <w:r w:rsidR="00BD3198">
        <w:rPr>
          <w:lang w:val="fr-FR"/>
        </w:rPr>
        <w:t>’</w:t>
      </w:r>
      <w:r w:rsidR="005A5341">
        <w:rPr>
          <w:lang w:val="fr-FR"/>
        </w:rPr>
        <w:t>or</w:t>
      </w:r>
      <w:r w:rsidRPr="00405E0A">
        <w:rPr>
          <w:lang w:val="fr-FR"/>
        </w:rPr>
        <w:t>, ainsi que l</w:t>
      </w:r>
      <w:r w:rsidR="00BD3198">
        <w:rPr>
          <w:lang w:val="fr-FR"/>
        </w:rPr>
        <w:t>’</w:t>
      </w:r>
      <w:r w:rsidRPr="00405E0A">
        <w:rPr>
          <w:lang w:val="fr-FR"/>
        </w:rPr>
        <w:t>élaboration d</w:t>
      </w:r>
      <w:r w:rsidR="00BD3198">
        <w:rPr>
          <w:lang w:val="fr-FR"/>
        </w:rPr>
        <w:t>’</w:t>
      </w:r>
      <w:r w:rsidRPr="00405E0A">
        <w:rPr>
          <w:lang w:val="fr-FR"/>
        </w:rPr>
        <w:t>orientations sur les sites contaminés. Des questions techniques spécifiques propres à chaque région ont également pu être examinées. Les secrétariats du Programme des Nations Unies pour le développement et du PNUE, l</w:t>
      </w:r>
      <w:r w:rsidR="00BD3198">
        <w:rPr>
          <w:lang w:val="fr-FR"/>
        </w:rPr>
        <w:t>’</w:t>
      </w:r>
      <w:r w:rsidRPr="00405E0A">
        <w:rPr>
          <w:lang w:val="fr-FR"/>
        </w:rPr>
        <w:t>Organisation des Nations Unies pour le développement industriel, l</w:t>
      </w:r>
      <w:r w:rsidR="00BD3198">
        <w:rPr>
          <w:lang w:val="fr-FR"/>
        </w:rPr>
        <w:t>’</w:t>
      </w:r>
      <w:r w:rsidRPr="00405E0A">
        <w:rPr>
          <w:lang w:val="fr-FR"/>
        </w:rPr>
        <w:t>Institut des Nations</w:t>
      </w:r>
      <w:r w:rsidR="00BD3198">
        <w:rPr>
          <w:lang w:val="fr-FR"/>
        </w:rPr>
        <w:t> </w:t>
      </w:r>
      <w:r w:rsidRPr="00405E0A">
        <w:rPr>
          <w:lang w:val="fr-FR"/>
        </w:rPr>
        <w:t>Unies pour la formation et la recherche et l</w:t>
      </w:r>
      <w:r w:rsidR="00BD3198">
        <w:rPr>
          <w:lang w:val="fr-FR"/>
        </w:rPr>
        <w:t>’</w:t>
      </w:r>
      <w:r w:rsidRPr="00405E0A">
        <w:rPr>
          <w:lang w:val="fr-FR"/>
        </w:rPr>
        <w:t xml:space="preserve">OMS ont tous </w:t>
      </w:r>
      <w:r w:rsidR="00D335E8">
        <w:rPr>
          <w:lang w:val="fr-FR"/>
        </w:rPr>
        <w:t>participé.</w:t>
      </w:r>
    </w:p>
    <w:p w14:paraId="7F2C8DC7" w14:textId="41DAEB6C" w:rsidR="000760B6" w:rsidRPr="00405E0A" w:rsidRDefault="00FB2C8D" w:rsidP="00A21697">
      <w:pPr>
        <w:pStyle w:val="Normalnumber"/>
        <w:rPr>
          <w:lang w:val="fr-FR"/>
        </w:rPr>
      </w:pPr>
      <w:r w:rsidRPr="00405E0A">
        <w:rPr>
          <w:lang w:val="fr-FR"/>
        </w:rPr>
        <w:t xml:space="preserve">Les informations relatives aux </w:t>
      </w:r>
      <w:r w:rsidR="00351A1A">
        <w:rPr>
          <w:lang w:val="fr-FR"/>
        </w:rPr>
        <w:t>réunion</w:t>
      </w:r>
      <w:r w:rsidRPr="00405E0A">
        <w:rPr>
          <w:lang w:val="fr-FR"/>
        </w:rPr>
        <w:t>s de travail régionales sont disponibles à l</w:t>
      </w:r>
      <w:r w:rsidR="00BD3198">
        <w:rPr>
          <w:lang w:val="fr-FR"/>
        </w:rPr>
        <w:t>’</w:t>
      </w:r>
      <w:r w:rsidRPr="00405E0A">
        <w:rPr>
          <w:lang w:val="fr-FR"/>
        </w:rPr>
        <w:t>adresse suivante : www.mercuryconvention.org/Miseenoeuvre/Ateliers/tabid/5662/language/fr-CH/Default.aspx.</w:t>
      </w:r>
    </w:p>
    <w:p w14:paraId="6B47FD68" w14:textId="775BB17A" w:rsidR="000760B6" w:rsidRPr="00405E0A" w:rsidRDefault="008F5063" w:rsidP="001F2B6B">
      <w:pPr>
        <w:pStyle w:val="CH2"/>
        <w:rPr>
          <w:lang w:val="fr-FR"/>
        </w:rPr>
      </w:pPr>
      <w:r>
        <w:rPr>
          <w:lang w:val="fr-FR"/>
        </w:rPr>
        <w:tab/>
      </w:r>
      <w:r w:rsidR="009718A3" w:rsidRPr="00405E0A">
        <w:rPr>
          <w:lang w:val="fr-FR"/>
        </w:rPr>
        <w:t>B.</w:t>
      </w:r>
      <w:r w:rsidR="009718A3" w:rsidRPr="00405E0A">
        <w:rPr>
          <w:lang w:val="fr-FR"/>
        </w:rPr>
        <w:tab/>
        <w:t xml:space="preserve">Appui aux projets pilotes aux niveaux national et régional </w:t>
      </w:r>
    </w:p>
    <w:p w14:paraId="43D17132" w14:textId="13C74D29" w:rsidR="000760B6" w:rsidRPr="00405E0A" w:rsidRDefault="000760B6" w:rsidP="00A21697">
      <w:pPr>
        <w:pStyle w:val="Normalnumber"/>
        <w:rPr>
          <w:lang w:val="fr-FR"/>
        </w:rPr>
      </w:pPr>
      <w:r w:rsidRPr="00405E0A">
        <w:rPr>
          <w:lang w:val="fr-FR"/>
        </w:rPr>
        <w:t>Le secrétariat provisoire a continué d</w:t>
      </w:r>
      <w:r w:rsidR="00BD3198">
        <w:rPr>
          <w:lang w:val="fr-FR"/>
        </w:rPr>
        <w:t>’</w:t>
      </w:r>
      <w:r w:rsidRPr="00405E0A">
        <w:rPr>
          <w:lang w:val="fr-FR"/>
        </w:rPr>
        <w:t xml:space="preserve">apporter son appui aux projets pilotes </w:t>
      </w:r>
      <w:r w:rsidR="00D335E8">
        <w:rPr>
          <w:lang w:val="fr-FR"/>
        </w:rPr>
        <w:t xml:space="preserve">mis en place </w:t>
      </w:r>
      <w:r w:rsidR="00D335E8" w:rsidRPr="00405E0A">
        <w:rPr>
          <w:lang w:val="fr-FR"/>
        </w:rPr>
        <w:t>dans un certain nombre de pays</w:t>
      </w:r>
      <w:r w:rsidRPr="00405E0A">
        <w:rPr>
          <w:lang w:val="fr-FR"/>
        </w:rPr>
        <w:t xml:space="preserve"> </w:t>
      </w:r>
      <w:r w:rsidR="00D335E8">
        <w:rPr>
          <w:lang w:val="fr-FR"/>
        </w:rPr>
        <w:t>pour</w:t>
      </w:r>
      <w:r w:rsidRPr="00405E0A">
        <w:rPr>
          <w:lang w:val="fr-FR"/>
        </w:rPr>
        <w:t xml:space="preserve"> promouvoir les activités à l</w:t>
      </w:r>
      <w:r w:rsidR="00BD3198">
        <w:rPr>
          <w:lang w:val="fr-FR"/>
        </w:rPr>
        <w:t>’</w:t>
      </w:r>
      <w:r w:rsidRPr="00405E0A">
        <w:rPr>
          <w:lang w:val="fr-FR"/>
        </w:rPr>
        <w:t>appui de la ratification et de la mise en œuvre de la Convention. Parmi les principales activités menées au niveau des pays figurent des travaux préparatoires visant à l</w:t>
      </w:r>
      <w:r w:rsidR="00BD3198">
        <w:rPr>
          <w:lang w:val="fr-FR"/>
        </w:rPr>
        <w:t>’</w:t>
      </w:r>
      <w:r w:rsidRPr="00405E0A">
        <w:rPr>
          <w:lang w:val="fr-FR"/>
        </w:rPr>
        <w:t>élaboration de plans d</w:t>
      </w:r>
      <w:r w:rsidR="00BD3198">
        <w:rPr>
          <w:lang w:val="fr-FR"/>
        </w:rPr>
        <w:t>’</w:t>
      </w:r>
      <w:r w:rsidRPr="00405E0A">
        <w:rPr>
          <w:lang w:val="fr-FR"/>
        </w:rPr>
        <w:t>action nationaux dans le secteur de l</w:t>
      </w:r>
      <w:r w:rsidR="00BD3198">
        <w:rPr>
          <w:lang w:val="fr-FR"/>
        </w:rPr>
        <w:t>’</w:t>
      </w:r>
      <w:r w:rsidR="005A5341">
        <w:rPr>
          <w:lang w:val="fr-FR"/>
        </w:rPr>
        <w:t>extraction artisanale et à petite échelle d</w:t>
      </w:r>
      <w:r w:rsidR="00BD3198">
        <w:rPr>
          <w:lang w:val="fr-FR"/>
        </w:rPr>
        <w:t>’</w:t>
      </w:r>
      <w:r w:rsidR="005A5341">
        <w:rPr>
          <w:lang w:val="fr-FR"/>
        </w:rPr>
        <w:t>or</w:t>
      </w:r>
      <w:r w:rsidRPr="00405E0A">
        <w:rPr>
          <w:lang w:val="fr-FR"/>
        </w:rPr>
        <w:t>. Le secrétariat provisoire appuie également la mise en œuvre de projets pilotes au niveau régional, en collaboration avec les organisations partenaires, dont un projet pour déterminer les concentrations de mercure dans les cheveux des femmes en âge de procréer dans certains pays de l</w:t>
      </w:r>
      <w:r w:rsidR="00BD3198">
        <w:rPr>
          <w:lang w:val="fr-FR"/>
        </w:rPr>
        <w:t>’</w:t>
      </w:r>
      <w:r w:rsidRPr="00405E0A">
        <w:rPr>
          <w:lang w:val="fr-FR"/>
        </w:rPr>
        <w:t>Asie</w:t>
      </w:r>
      <w:r w:rsidR="00BD3198">
        <w:rPr>
          <w:lang w:val="fr-FR"/>
        </w:rPr>
        <w:t>-</w:t>
      </w:r>
      <w:r w:rsidRPr="00405E0A">
        <w:rPr>
          <w:lang w:val="fr-FR"/>
        </w:rPr>
        <w:t xml:space="preserve">Pacifique. </w:t>
      </w:r>
      <w:r w:rsidR="002F2209">
        <w:rPr>
          <w:lang w:val="fr-FR"/>
        </w:rPr>
        <w:t>En outre, il</w:t>
      </w:r>
      <w:r w:rsidRPr="00405E0A">
        <w:rPr>
          <w:lang w:val="fr-FR"/>
        </w:rPr>
        <w:t xml:space="preserve"> </w:t>
      </w:r>
      <w:r w:rsidR="002F2209">
        <w:rPr>
          <w:lang w:val="fr-FR"/>
        </w:rPr>
        <w:t>contribu</w:t>
      </w:r>
      <w:r w:rsidRPr="00405E0A">
        <w:rPr>
          <w:lang w:val="fr-FR"/>
        </w:rPr>
        <w:t xml:space="preserve">e activement, sur demande, </w:t>
      </w:r>
      <w:r w:rsidR="002F2209">
        <w:rPr>
          <w:lang w:val="fr-FR"/>
        </w:rPr>
        <w:t>aux</w:t>
      </w:r>
      <w:r w:rsidRPr="00405E0A">
        <w:rPr>
          <w:lang w:val="fr-FR"/>
        </w:rPr>
        <w:t xml:space="preserve"> activités </w:t>
      </w:r>
      <w:r w:rsidR="002F2209">
        <w:rPr>
          <w:lang w:val="fr-FR"/>
        </w:rPr>
        <w:t xml:space="preserve">habilitantes se rapportant </w:t>
      </w:r>
      <w:r w:rsidRPr="00405E0A">
        <w:rPr>
          <w:lang w:val="fr-FR"/>
        </w:rPr>
        <w:t>aux évaluations initiales au titre de la Convention de Minamata et à l</w:t>
      </w:r>
      <w:r w:rsidR="00BD3198">
        <w:rPr>
          <w:lang w:val="fr-FR"/>
        </w:rPr>
        <w:t>’</w:t>
      </w:r>
      <w:r w:rsidRPr="00405E0A">
        <w:rPr>
          <w:lang w:val="fr-FR"/>
        </w:rPr>
        <w:t>élaboration de plans d</w:t>
      </w:r>
      <w:r w:rsidR="00BD3198">
        <w:rPr>
          <w:lang w:val="fr-FR"/>
        </w:rPr>
        <w:t>’</w:t>
      </w:r>
      <w:r w:rsidRPr="00405E0A">
        <w:rPr>
          <w:lang w:val="fr-FR"/>
        </w:rPr>
        <w:t xml:space="preserve">action nationaux </w:t>
      </w:r>
      <w:r w:rsidR="002F2209">
        <w:rPr>
          <w:lang w:val="fr-FR"/>
        </w:rPr>
        <w:t>pour</w:t>
      </w:r>
      <w:r w:rsidRPr="00405E0A">
        <w:rPr>
          <w:lang w:val="fr-FR"/>
        </w:rPr>
        <w:t xml:space="preserve"> le secteur de l</w:t>
      </w:r>
      <w:r w:rsidR="00BD3198">
        <w:rPr>
          <w:lang w:val="fr-FR"/>
        </w:rPr>
        <w:t>’</w:t>
      </w:r>
      <w:r w:rsidR="005A5341">
        <w:rPr>
          <w:lang w:val="fr-FR"/>
        </w:rPr>
        <w:t>extraction artisanale et à petite échelle d</w:t>
      </w:r>
      <w:r w:rsidR="00BD3198">
        <w:rPr>
          <w:lang w:val="fr-FR"/>
        </w:rPr>
        <w:t>’</w:t>
      </w:r>
      <w:r w:rsidR="005A5341">
        <w:rPr>
          <w:lang w:val="fr-FR"/>
        </w:rPr>
        <w:t>or</w:t>
      </w:r>
      <w:r w:rsidRPr="00405E0A">
        <w:rPr>
          <w:lang w:val="fr-FR"/>
        </w:rPr>
        <w:t xml:space="preserve">, </w:t>
      </w:r>
      <w:r w:rsidR="002F2209">
        <w:rPr>
          <w:lang w:val="fr-FR"/>
        </w:rPr>
        <w:t>notamment</w:t>
      </w:r>
      <w:r w:rsidRPr="00405E0A">
        <w:rPr>
          <w:lang w:val="fr-FR"/>
        </w:rPr>
        <w:t xml:space="preserve"> </w:t>
      </w:r>
      <w:r w:rsidR="002F2209">
        <w:rPr>
          <w:lang w:val="fr-FR"/>
        </w:rPr>
        <w:t>en examinant l</w:t>
      </w:r>
      <w:r w:rsidRPr="00405E0A">
        <w:rPr>
          <w:lang w:val="fr-FR"/>
        </w:rPr>
        <w:t xml:space="preserve">es évaluations juridiques et </w:t>
      </w:r>
      <w:r w:rsidR="00FD5094">
        <w:rPr>
          <w:lang w:val="fr-FR"/>
        </w:rPr>
        <w:t xml:space="preserve">les </w:t>
      </w:r>
      <w:r w:rsidRPr="00405E0A">
        <w:rPr>
          <w:lang w:val="fr-FR"/>
        </w:rPr>
        <w:t xml:space="preserve">rapports </w:t>
      </w:r>
      <w:r w:rsidR="00FD5094">
        <w:rPr>
          <w:lang w:val="fr-FR"/>
        </w:rPr>
        <w:t xml:space="preserve">de projet </w:t>
      </w:r>
      <w:r w:rsidRPr="00405E0A">
        <w:rPr>
          <w:lang w:val="fr-FR"/>
        </w:rPr>
        <w:t>finaux présentés par les organismes d</w:t>
      </w:r>
      <w:r w:rsidR="00BD3198">
        <w:rPr>
          <w:lang w:val="fr-FR"/>
        </w:rPr>
        <w:t>’</w:t>
      </w:r>
      <w:r w:rsidRPr="00405E0A">
        <w:rPr>
          <w:lang w:val="fr-FR"/>
        </w:rPr>
        <w:t>exécution</w:t>
      </w:r>
      <w:r w:rsidR="002F2209">
        <w:rPr>
          <w:lang w:val="fr-FR"/>
        </w:rPr>
        <w:t xml:space="preserve"> et en établissant des </w:t>
      </w:r>
      <w:r w:rsidRPr="00405E0A">
        <w:rPr>
          <w:lang w:val="fr-FR"/>
        </w:rPr>
        <w:t xml:space="preserve">exposés sur la Convention </w:t>
      </w:r>
      <w:r w:rsidR="002F2209">
        <w:rPr>
          <w:lang w:val="fr-FR"/>
        </w:rPr>
        <w:t>pour les</w:t>
      </w:r>
      <w:r w:rsidRPr="00405E0A">
        <w:rPr>
          <w:lang w:val="fr-FR"/>
        </w:rPr>
        <w:t xml:space="preserve"> atel</w:t>
      </w:r>
      <w:r w:rsidR="002F2209">
        <w:rPr>
          <w:lang w:val="fr-FR"/>
        </w:rPr>
        <w:t>iers de conception des projets.</w:t>
      </w:r>
    </w:p>
    <w:p w14:paraId="54F07317" w14:textId="49B8CA2D" w:rsidR="000760B6" w:rsidRPr="00405E0A" w:rsidRDefault="008F5063" w:rsidP="00BD3198">
      <w:pPr>
        <w:pStyle w:val="CH2"/>
        <w:rPr>
          <w:lang w:val="fr-FR"/>
        </w:rPr>
      </w:pPr>
      <w:r>
        <w:rPr>
          <w:lang w:val="fr-FR"/>
        </w:rPr>
        <w:lastRenderedPageBreak/>
        <w:tab/>
      </w:r>
      <w:r w:rsidR="009718A3" w:rsidRPr="00405E0A">
        <w:rPr>
          <w:lang w:val="fr-FR"/>
        </w:rPr>
        <w:t>C.</w:t>
      </w:r>
      <w:r w:rsidR="009718A3" w:rsidRPr="00405E0A">
        <w:rPr>
          <w:lang w:val="fr-FR"/>
        </w:rPr>
        <w:tab/>
        <w:t xml:space="preserve">Activités supplémentaires </w:t>
      </w:r>
      <w:r w:rsidR="009718A3" w:rsidRPr="00BD3198">
        <w:t>d</w:t>
      </w:r>
      <w:r w:rsidR="00BD3198" w:rsidRPr="00BD3198">
        <w:t>’</w:t>
      </w:r>
      <w:r w:rsidR="009718A3" w:rsidRPr="00BD3198">
        <w:t>information</w:t>
      </w:r>
      <w:r w:rsidR="009718A3" w:rsidRPr="00405E0A">
        <w:rPr>
          <w:lang w:val="fr-FR"/>
        </w:rPr>
        <w:t xml:space="preserve"> et de sensibilisation </w:t>
      </w:r>
    </w:p>
    <w:p w14:paraId="277C10B9" w14:textId="06EA13B1" w:rsidR="000760B6" w:rsidRPr="00405E0A" w:rsidRDefault="000760B6" w:rsidP="00A21697">
      <w:pPr>
        <w:pStyle w:val="Normalnumber"/>
        <w:rPr>
          <w:lang w:val="fr-FR"/>
        </w:rPr>
      </w:pPr>
      <w:r w:rsidRPr="00405E0A">
        <w:rPr>
          <w:lang w:val="fr-FR"/>
        </w:rPr>
        <w:t>L</w:t>
      </w:r>
      <w:r w:rsidR="00BD3198">
        <w:rPr>
          <w:lang w:val="fr-FR"/>
        </w:rPr>
        <w:t>’</w:t>
      </w:r>
      <w:r w:rsidRPr="00405E0A">
        <w:rPr>
          <w:lang w:val="fr-FR"/>
        </w:rPr>
        <w:t>hébergement du site Web de la Convention sur une plateforme mise à disp</w:t>
      </w:r>
      <w:r w:rsidR="00435F09">
        <w:rPr>
          <w:lang w:val="fr-FR"/>
        </w:rPr>
        <w:t>osition par le Secrétariat des c</w:t>
      </w:r>
      <w:r w:rsidRPr="00405E0A">
        <w:rPr>
          <w:lang w:val="fr-FR"/>
        </w:rPr>
        <w:t>onventions de Bâle, de Rotterdam et de Stockholm</w:t>
      </w:r>
      <w:r w:rsidR="00561AFD">
        <w:rPr>
          <w:lang w:val="fr-FR"/>
        </w:rPr>
        <w:t>,</w:t>
      </w:r>
      <w:r w:rsidR="00561AFD" w:rsidRPr="00405E0A">
        <w:rPr>
          <w:lang w:val="fr-FR"/>
        </w:rPr>
        <w:t xml:space="preserve"> </w:t>
      </w:r>
      <w:r w:rsidR="00561AFD">
        <w:rPr>
          <w:lang w:val="fr-FR"/>
        </w:rPr>
        <w:t xml:space="preserve">de même que </w:t>
      </w:r>
      <w:r w:rsidRPr="00405E0A">
        <w:rPr>
          <w:lang w:val="fr-FR"/>
        </w:rPr>
        <w:t>l</w:t>
      </w:r>
      <w:r w:rsidR="00BD3198">
        <w:rPr>
          <w:lang w:val="fr-FR"/>
        </w:rPr>
        <w:t>’</w:t>
      </w:r>
      <w:r w:rsidRPr="00405E0A">
        <w:rPr>
          <w:lang w:val="fr-FR"/>
        </w:rPr>
        <w:t xml:space="preserve">appui technique fourni par ce dernier </w:t>
      </w:r>
      <w:r w:rsidR="00561AFD">
        <w:rPr>
          <w:lang w:val="fr-FR"/>
        </w:rPr>
        <w:t>sur le plan de l</w:t>
      </w:r>
      <w:r w:rsidR="00BD3198">
        <w:rPr>
          <w:lang w:val="fr-FR"/>
        </w:rPr>
        <w:t>’</w:t>
      </w:r>
      <w:r w:rsidR="00561AFD">
        <w:rPr>
          <w:lang w:val="fr-FR"/>
        </w:rPr>
        <w:t>entre</w:t>
      </w:r>
      <w:r w:rsidRPr="00405E0A">
        <w:rPr>
          <w:lang w:val="fr-FR"/>
        </w:rPr>
        <w:t>tien et de l</w:t>
      </w:r>
      <w:r w:rsidR="00BD3198">
        <w:rPr>
          <w:lang w:val="fr-FR"/>
        </w:rPr>
        <w:t>’</w:t>
      </w:r>
      <w:r w:rsidRPr="00405E0A">
        <w:rPr>
          <w:lang w:val="fr-FR"/>
        </w:rPr>
        <w:t>expansion du site</w:t>
      </w:r>
      <w:r w:rsidR="00561AFD">
        <w:rPr>
          <w:lang w:val="fr-FR"/>
        </w:rPr>
        <w:t xml:space="preserve">, a donné un coup de pouce aux </w:t>
      </w:r>
      <w:r w:rsidR="00561AFD" w:rsidRPr="00405E0A">
        <w:rPr>
          <w:lang w:val="fr-FR"/>
        </w:rPr>
        <w:t>activités d</w:t>
      </w:r>
      <w:r w:rsidR="00BD3198">
        <w:rPr>
          <w:lang w:val="fr-FR"/>
        </w:rPr>
        <w:t>’</w:t>
      </w:r>
      <w:r w:rsidR="00561AFD" w:rsidRPr="00405E0A">
        <w:rPr>
          <w:lang w:val="fr-FR"/>
        </w:rPr>
        <w:t>information de la Convention</w:t>
      </w:r>
      <w:r w:rsidRPr="00405E0A">
        <w:rPr>
          <w:lang w:val="fr-FR"/>
        </w:rPr>
        <w:t>. Depuis la septième session du Comité, le secrétariat provisoire s</w:t>
      </w:r>
      <w:r w:rsidR="00BD3198">
        <w:rPr>
          <w:lang w:val="fr-FR"/>
        </w:rPr>
        <w:t>’</w:t>
      </w:r>
      <w:r w:rsidRPr="00405E0A">
        <w:rPr>
          <w:lang w:val="fr-FR"/>
        </w:rPr>
        <w:t>est employé à améliorer la diffusion de l</w:t>
      </w:r>
      <w:r w:rsidR="00BD3198">
        <w:rPr>
          <w:lang w:val="fr-FR"/>
        </w:rPr>
        <w:t>’</w:t>
      </w:r>
      <w:r w:rsidRPr="00405E0A">
        <w:rPr>
          <w:lang w:val="fr-FR"/>
        </w:rPr>
        <w:t>information sur le site Web de la Convention, notamment en publiant des documents de référence mis à jour. En plus de matériels d</w:t>
      </w:r>
      <w:r w:rsidR="00BD3198">
        <w:rPr>
          <w:lang w:val="fr-FR"/>
        </w:rPr>
        <w:t>’</w:t>
      </w:r>
      <w:r w:rsidRPr="00405E0A">
        <w:rPr>
          <w:lang w:val="fr-FR"/>
        </w:rPr>
        <w:t>information et de sensibilisation, le site Web contient désormais tous les documents d</w:t>
      </w:r>
      <w:r w:rsidR="00BD3198">
        <w:rPr>
          <w:lang w:val="fr-FR"/>
        </w:rPr>
        <w:t>’</w:t>
      </w:r>
      <w:r w:rsidRPr="00405E0A">
        <w:rPr>
          <w:lang w:val="fr-FR"/>
        </w:rPr>
        <w:t xml:space="preserve">orientation et les formulaires y afférents adoptés à titre provisoire par le Comité, afin de faciliter leur utilisation </w:t>
      </w:r>
      <w:r w:rsidR="00BD3198">
        <w:rPr>
          <w:lang w:val="fr-FR"/>
        </w:rPr>
        <w:t xml:space="preserve">dans </w:t>
      </w:r>
      <w:r w:rsidRPr="00405E0A">
        <w:rPr>
          <w:lang w:val="fr-FR"/>
        </w:rPr>
        <w:t>la mise en œuvre</w:t>
      </w:r>
      <w:r w:rsidR="00BD3198">
        <w:rPr>
          <w:lang w:val="fr-FR"/>
        </w:rPr>
        <w:t xml:space="preserve"> de la Convention</w:t>
      </w:r>
      <w:r w:rsidRPr="00405E0A">
        <w:rPr>
          <w:lang w:val="fr-FR"/>
        </w:rPr>
        <w:t xml:space="preserve">. </w:t>
      </w:r>
      <w:r w:rsidR="00561AFD">
        <w:rPr>
          <w:lang w:val="fr-FR"/>
        </w:rPr>
        <w:t>Il</w:t>
      </w:r>
      <w:r w:rsidRPr="00405E0A">
        <w:rPr>
          <w:lang w:val="fr-FR"/>
        </w:rPr>
        <w:t xml:space="preserve"> a été traduit et est aujourd</w:t>
      </w:r>
      <w:r w:rsidR="00BD3198">
        <w:rPr>
          <w:lang w:val="fr-FR"/>
        </w:rPr>
        <w:t>’</w:t>
      </w:r>
      <w:r w:rsidRPr="00405E0A">
        <w:rPr>
          <w:lang w:val="fr-FR"/>
        </w:rPr>
        <w:t xml:space="preserve">hui disponible et mis à jour en anglais, français et espagnol. </w:t>
      </w:r>
    </w:p>
    <w:p w14:paraId="5D9A5B1A" w14:textId="0FEB1635" w:rsidR="008831FA" w:rsidRPr="00405E0A" w:rsidRDefault="008831FA" w:rsidP="00A21697">
      <w:pPr>
        <w:pStyle w:val="Normalnumber"/>
        <w:rPr>
          <w:color w:val="000000" w:themeColor="text1"/>
          <w:lang w:val="fr-FR"/>
        </w:rPr>
      </w:pPr>
      <w:r w:rsidRPr="00405E0A">
        <w:rPr>
          <w:lang w:val="fr-FR"/>
        </w:rPr>
        <w:t>Le secrétariat provisoire a également travaillé avec l</w:t>
      </w:r>
      <w:r w:rsidR="00BD3198">
        <w:rPr>
          <w:lang w:val="fr-FR"/>
        </w:rPr>
        <w:t xml:space="preserve">’Institut des Nations Unies pour la formation et la recherche </w:t>
      </w:r>
      <w:r w:rsidRPr="00405E0A">
        <w:rPr>
          <w:lang w:val="fr-FR"/>
        </w:rPr>
        <w:t>à la mise en place d</w:t>
      </w:r>
      <w:r w:rsidR="00BD3198">
        <w:rPr>
          <w:lang w:val="fr-FR"/>
        </w:rPr>
        <w:t>’</w:t>
      </w:r>
      <w:r w:rsidRPr="00405E0A">
        <w:rPr>
          <w:lang w:val="fr-FR"/>
        </w:rPr>
        <w:t xml:space="preserve">une plateforme de formation en ligne appelée MercuryLearn et a contribué, </w:t>
      </w:r>
      <w:r w:rsidR="009607B9">
        <w:rPr>
          <w:lang w:val="fr-FR"/>
        </w:rPr>
        <w:t>par le biais de</w:t>
      </w:r>
      <w:r w:rsidRPr="00405E0A">
        <w:rPr>
          <w:lang w:val="fr-FR"/>
        </w:rPr>
        <w:t xml:space="preserve"> l</w:t>
      </w:r>
      <w:r w:rsidR="00BD3198">
        <w:rPr>
          <w:lang w:val="fr-FR"/>
        </w:rPr>
        <w:t>’</w:t>
      </w:r>
      <w:r w:rsidRPr="00405E0A">
        <w:rPr>
          <w:lang w:val="fr-FR"/>
        </w:rPr>
        <w:t xml:space="preserve">Initiative </w:t>
      </w:r>
      <w:r w:rsidR="00A37C55">
        <w:rPr>
          <w:lang w:val="fr-FR"/>
        </w:rPr>
        <w:t xml:space="preserve">de </w:t>
      </w:r>
      <w:r w:rsidRPr="00405E0A">
        <w:rPr>
          <w:lang w:val="fr-FR"/>
        </w:rPr>
        <w:t xml:space="preserve">gestion des informations et des connaissances </w:t>
      </w:r>
      <w:r w:rsidR="00A37C55">
        <w:rPr>
          <w:lang w:val="fr-FR"/>
        </w:rPr>
        <w:t>relatives aux</w:t>
      </w:r>
      <w:r w:rsidRPr="00405E0A">
        <w:rPr>
          <w:lang w:val="fr-FR"/>
        </w:rPr>
        <w:t xml:space="preserve"> accords multilatéraux sur l</w:t>
      </w:r>
      <w:r w:rsidR="00BD3198">
        <w:rPr>
          <w:lang w:val="fr-FR"/>
        </w:rPr>
        <w:t>’</w:t>
      </w:r>
      <w:r w:rsidRPr="00405E0A">
        <w:rPr>
          <w:lang w:val="fr-FR"/>
        </w:rPr>
        <w:t>environnement, à un cours en ligne d</w:t>
      </w:r>
      <w:r w:rsidR="00BD3198">
        <w:rPr>
          <w:lang w:val="fr-FR"/>
        </w:rPr>
        <w:t>’</w:t>
      </w:r>
      <w:r w:rsidR="00780490">
        <w:rPr>
          <w:lang w:val="fr-FR"/>
        </w:rPr>
        <w:t>introduction à la Conven</w:t>
      </w:r>
      <w:r w:rsidR="00A21697">
        <w:rPr>
          <w:lang w:val="fr-FR"/>
        </w:rPr>
        <w:t>ti</w:t>
      </w:r>
      <w:r w:rsidRPr="00405E0A">
        <w:rPr>
          <w:lang w:val="fr-FR"/>
        </w:rPr>
        <w:t xml:space="preserve">on de Minamata accessible depuis le </w:t>
      </w:r>
      <w:r w:rsidR="00A37C55">
        <w:rPr>
          <w:lang w:val="fr-FR"/>
        </w:rPr>
        <w:t>p</w:t>
      </w:r>
      <w:r w:rsidRPr="00405E0A">
        <w:rPr>
          <w:lang w:val="fr-FR"/>
        </w:rPr>
        <w:t>ortail d</w:t>
      </w:r>
      <w:r w:rsidR="00BD3198">
        <w:rPr>
          <w:lang w:val="fr-FR"/>
        </w:rPr>
        <w:t>’</w:t>
      </w:r>
      <w:r w:rsidRPr="00405E0A">
        <w:rPr>
          <w:lang w:val="fr-FR"/>
        </w:rPr>
        <w:t>information des Nations</w:t>
      </w:r>
      <w:r w:rsidR="00A21697">
        <w:rPr>
          <w:lang w:val="fr-FR"/>
        </w:rPr>
        <w:t> </w:t>
      </w:r>
      <w:r w:rsidRPr="00405E0A">
        <w:rPr>
          <w:lang w:val="fr-FR"/>
        </w:rPr>
        <w:t xml:space="preserve">Unies </w:t>
      </w:r>
      <w:r w:rsidR="00A37C55">
        <w:rPr>
          <w:lang w:val="fr-FR"/>
        </w:rPr>
        <w:t>concernant</w:t>
      </w:r>
      <w:r w:rsidRPr="00405E0A">
        <w:rPr>
          <w:lang w:val="fr-FR"/>
        </w:rPr>
        <w:t xml:space="preserve"> les accords multilatéraux sur l</w:t>
      </w:r>
      <w:r w:rsidR="00BD3198">
        <w:rPr>
          <w:lang w:val="fr-FR"/>
        </w:rPr>
        <w:t>’</w:t>
      </w:r>
      <w:r w:rsidRPr="00405E0A">
        <w:rPr>
          <w:lang w:val="fr-FR"/>
        </w:rPr>
        <w:t xml:space="preserve">environnement (InforMEA). </w:t>
      </w:r>
    </w:p>
    <w:p w14:paraId="05A5E2BE" w14:textId="4B4DE7DD" w:rsidR="008831FA" w:rsidRPr="00405E0A" w:rsidRDefault="008831FA" w:rsidP="00A21697">
      <w:pPr>
        <w:pStyle w:val="Normalnumber"/>
        <w:rPr>
          <w:bCs/>
          <w:lang w:val="fr-FR"/>
        </w:rPr>
      </w:pPr>
      <w:r w:rsidRPr="00405E0A">
        <w:rPr>
          <w:lang w:val="fr-FR"/>
        </w:rPr>
        <w:t>Le secrétariat provisoire a par ailleurs élaboré une série de fiches descriptives</w:t>
      </w:r>
      <w:r w:rsidR="00A21697">
        <w:rPr>
          <w:lang w:val="fr-FR"/>
        </w:rPr>
        <w:t>,</w:t>
      </w:r>
      <w:r w:rsidRPr="00405E0A">
        <w:rPr>
          <w:lang w:val="fr-FR"/>
        </w:rPr>
        <w:t xml:space="preserve"> « Devenir Partie à la Convention de Minamata sur le mercure », « La Convention de Minamata sur le mercure en bref » et « Aperçu des principaux articles opérationnels de la Convention de Minamata sur le mercure », disponibles en anglais, français et espagnol sur le site Web de la Convention.</w:t>
      </w:r>
    </w:p>
    <w:p w14:paraId="47F854E3" w14:textId="6C8049A6" w:rsidR="008831FA" w:rsidRPr="00405E0A" w:rsidRDefault="008831FA" w:rsidP="00A21697">
      <w:pPr>
        <w:pStyle w:val="Normalnumber"/>
        <w:rPr>
          <w:lang w:val="fr-FR"/>
        </w:rPr>
      </w:pPr>
      <w:r w:rsidRPr="00405E0A">
        <w:rPr>
          <w:lang w:val="fr-FR"/>
        </w:rPr>
        <w:t>Enfin, il a participé à la réalisation de webinaires portant sur divers aspects de la Convention de Minamata, y compris les émissions et l</w:t>
      </w:r>
      <w:r w:rsidR="00BD3198">
        <w:rPr>
          <w:lang w:val="fr-FR"/>
        </w:rPr>
        <w:t>’</w:t>
      </w:r>
      <w:r w:rsidR="005A5341">
        <w:rPr>
          <w:lang w:val="fr-FR"/>
        </w:rPr>
        <w:t>extraction artisanale et à petite échelle d</w:t>
      </w:r>
      <w:r w:rsidR="00BD3198">
        <w:rPr>
          <w:lang w:val="fr-FR"/>
        </w:rPr>
        <w:t>’</w:t>
      </w:r>
      <w:r w:rsidR="005A5341">
        <w:rPr>
          <w:lang w:val="fr-FR"/>
        </w:rPr>
        <w:t>or</w:t>
      </w:r>
      <w:r w:rsidRPr="00405E0A">
        <w:rPr>
          <w:lang w:val="fr-FR"/>
        </w:rPr>
        <w:t>.</w:t>
      </w:r>
    </w:p>
    <w:p w14:paraId="1CDD5558" w14:textId="564E093C" w:rsidR="000760B6" w:rsidRPr="00405E0A" w:rsidRDefault="008F5063" w:rsidP="00A21697">
      <w:pPr>
        <w:pStyle w:val="CH1"/>
        <w:rPr>
          <w:lang w:val="fr-FR"/>
        </w:rPr>
      </w:pPr>
      <w:r>
        <w:rPr>
          <w:lang w:val="fr-FR"/>
        </w:rPr>
        <w:tab/>
      </w:r>
      <w:r w:rsidR="000760B6" w:rsidRPr="00405E0A">
        <w:rPr>
          <w:lang w:val="fr-FR"/>
        </w:rPr>
        <w:t>IV.</w:t>
      </w:r>
      <w:r w:rsidR="000760B6" w:rsidRPr="00405E0A">
        <w:rPr>
          <w:lang w:val="fr-FR"/>
        </w:rPr>
        <w:tab/>
        <w:t>Autres activités entreprises par le secrétariat provisoire</w:t>
      </w:r>
    </w:p>
    <w:p w14:paraId="721FD261" w14:textId="7B24F169" w:rsidR="000760B6" w:rsidRPr="00405E0A" w:rsidRDefault="000760B6" w:rsidP="00A21697">
      <w:pPr>
        <w:pStyle w:val="Normalnumber"/>
        <w:rPr>
          <w:lang w:val="fr-FR"/>
        </w:rPr>
      </w:pPr>
      <w:r w:rsidRPr="00405E0A">
        <w:rPr>
          <w:lang w:val="fr-FR"/>
        </w:rPr>
        <w:t>Le secrétariat provisoire a participé</w:t>
      </w:r>
      <w:r w:rsidR="009607B9">
        <w:rPr>
          <w:lang w:val="fr-FR"/>
        </w:rPr>
        <w:t>,</w:t>
      </w:r>
      <w:r w:rsidRPr="00405E0A">
        <w:rPr>
          <w:lang w:val="fr-FR"/>
        </w:rPr>
        <w:t xml:space="preserve"> aux côté</w:t>
      </w:r>
      <w:r w:rsidR="009607B9">
        <w:rPr>
          <w:lang w:val="fr-FR"/>
        </w:rPr>
        <w:t>s</w:t>
      </w:r>
      <w:r w:rsidRPr="00405E0A">
        <w:rPr>
          <w:lang w:val="fr-FR"/>
        </w:rPr>
        <w:t xml:space="preserve"> du Service « Produits chimiques </w:t>
      </w:r>
      <w:r w:rsidR="00435F09">
        <w:rPr>
          <w:lang w:val="fr-FR"/>
        </w:rPr>
        <w:t>et santé », du Secrétariat des c</w:t>
      </w:r>
      <w:r w:rsidRPr="00405E0A">
        <w:rPr>
          <w:lang w:val="fr-FR"/>
        </w:rPr>
        <w:t>onventions de Bâle, de Rotterdam et de Stockholm et du secrétariat de l</w:t>
      </w:r>
      <w:r w:rsidR="00BD3198">
        <w:rPr>
          <w:lang w:val="fr-FR"/>
        </w:rPr>
        <w:t>’</w:t>
      </w:r>
      <w:r w:rsidRPr="00405E0A">
        <w:rPr>
          <w:lang w:val="fr-FR"/>
        </w:rPr>
        <w:t xml:space="preserve">Approche stratégique de la gestion internationale des produits chimiques, </w:t>
      </w:r>
      <w:r w:rsidR="009607B9" w:rsidRPr="00405E0A">
        <w:rPr>
          <w:lang w:val="fr-FR"/>
        </w:rPr>
        <w:t>à plusieurs processus</w:t>
      </w:r>
      <w:r w:rsidR="009607B9">
        <w:rPr>
          <w:lang w:val="fr-FR"/>
        </w:rPr>
        <w:t>,</w:t>
      </w:r>
      <w:r w:rsidR="009607B9" w:rsidRPr="00405E0A">
        <w:rPr>
          <w:lang w:val="fr-FR"/>
        </w:rPr>
        <w:t xml:space="preserve"> </w:t>
      </w:r>
      <w:r w:rsidR="009607B9">
        <w:rPr>
          <w:lang w:val="fr-FR"/>
        </w:rPr>
        <w:t>dont celui</w:t>
      </w:r>
      <w:r w:rsidRPr="00405E0A">
        <w:rPr>
          <w:lang w:val="fr-FR"/>
        </w:rPr>
        <w:t xml:space="preserve"> </w:t>
      </w:r>
      <w:r w:rsidR="009607B9">
        <w:rPr>
          <w:lang w:val="fr-FR"/>
        </w:rPr>
        <w:t>d</w:t>
      </w:r>
      <w:r w:rsidR="00BD3198">
        <w:rPr>
          <w:lang w:val="fr-FR"/>
        </w:rPr>
        <w:t>’</w:t>
      </w:r>
      <w:r w:rsidRPr="00405E0A">
        <w:rPr>
          <w:lang w:val="fr-FR"/>
        </w:rPr>
        <w:t xml:space="preserve">examen des projets présentés dans le cadre du </w:t>
      </w:r>
      <w:r w:rsidR="00A21697">
        <w:rPr>
          <w:lang w:val="fr-FR"/>
        </w:rPr>
        <w:t>P</w:t>
      </w:r>
      <w:r w:rsidRPr="00405E0A">
        <w:rPr>
          <w:lang w:val="fr-FR"/>
        </w:rPr>
        <w:t>rogramme spécial d</w:t>
      </w:r>
      <w:r w:rsidR="00BD3198">
        <w:rPr>
          <w:lang w:val="fr-FR"/>
        </w:rPr>
        <w:t>’</w:t>
      </w:r>
      <w:r w:rsidRPr="00405E0A">
        <w:rPr>
          <w:lang w:val="fr-FR"/>
        </w:rPr>
        <w:t>appui au renforcement des institutions nationales pour améliorer la</w:t>
      </w:r>
      <w:r w:rsidR="00435F09">
        <w:rPr>
          <w:lang w:val="fr-FR"/>
        </w:rPr>
        <w:t xml:space="preserve"> mise en œuvre des c</w:t>
      </w:r>
      <w:r w:rsidRPr="00405E0A">
        <w:rPr>
          <w:lang w:val="fr-FR"/>
        </w:rPr>
        <w:t>onventions de Bâle, Rotterdam, Stockholm et Minamata et de l</w:t>
      </w:r>
      <w:r w:rsidR="00BD3198">
        <w:rPr>
          <w:lang w:val="fr-FR"/>
        </w:rPr>
        <w:t>’</w:t>
      </w:r>
      <w:r w:rsidRPr="00405E0A">
        <w:rPr>
          <w:lang w:val="fr-FR"/>
        </w:rPr>
        <w:t xml:space="preserve">Approche stratégique de la gestion internationale des produits chimiques. </w:t>
      </w:r>
    </w:p>
    <w:p w14:paraId="49D6C308" w14:textId="552BB16F" w:rsidR="000760B6" w:rsidRPr="00405E0A" w:rsidRDefault="000760B6" w:rsidP="00A21697">
      <w:pPr>
        <w:pStyle w:val="Normalnumber"/>
        <w:rPr>
          <w:lang w:val="fr-FR"/>
        </w:rPr>
      </w:pPr>
      <w:r w:rsidRPr="00405E0A">
        <w:rPr>
          <w:lang w:val="fr-FR"/>
        </w:rPr>
        <w:t xml:space="preserve">Les membres du secrétariat provisoire ont </w:t>
      </w:r>
      <w:r w:rsidR="00853026">
        <w:rPr>
          <w:lang w:val="fr-FR"/>
        </w:rPr>
        <w:t xml:space="preserve">par ailleurs </w:t>
      </w:r>
      <w:r w:rsidRPr="00405E0A">
        <w:rPr>
          <w:lang w:val="fr-FR"/>
        </w:rPr>
        <w:t>fourni un appui logistique et fonctionnel aux réunions d</w:t>
      </w:r>
      <w:r w:rsidR="00435F09">
        <w:rPr>
          <w:lang w:val="fr-FR"/>
        </w:rPr>
        <w:t>es Conférences des Parties aux c</w:t>
      </w:r>
      <w:r w:rsidRPr="00405E0A">
        <w:rPr>
          <w:lang w:val="fr-FR"/>
        </w:rPr>
        <w:t>onventions de Bâle, de Rotterdam et de Stockholm qui se sont tenues à Genève du 24 avril au 5</w:t>
      </w:r>
      <w:r w:rsidR="00453174">
        <w:rPr>
          <w:lang w:val="fr-FR"/>
        </w:rPr>
        <w:t> </w:t>
      </w:r>
      <w:r w:rsidRPr="00405E0A">
        <w:rPr>
          <w:lang w:val="fr-FR"/>
        </w:rPr>
        <w:t>mai 2017.</w:t>
      </w:r>
    </w:p>
    <w:p w14:paraId="4F04E40B" w14:textId="206F03B5" w:rsidR="008B13C8" w:rsidRPr="00A21697" w:rsidRDefault="00FB2C8D" w:rsidP="00A21697">
      <w:pPr>
        <w:pStyle w:val="Normalnumber"/>
        <w:rPr>
          <w:lang w:val="fr-FR"/>
        </w:rPr>
      </w:pPr>
      <w:r w:rsidRPr="00405E0A">
        <w:rPr>
          <w:lang w:val="fr-FR"/>
        </w:rPr>
        <w:t xml:space="preserve">Le secrétariat provisoire a </w:t>
      </w:r>
      <w:r w:rsidR="00853026">
        <w:rPr>
          <w:lang w:val="fr-FR"/>
        </w:rPr>
        <w:t>en outre</w:t>
      </w:r>
      <w:r w:rsidRPr="00405E0A">
        <w:rPr>
          <w:lang w:val="fr-FR"/>
        </w:rPr>
        <w:t xml:space="preserve"> assisté à des réunions du Conseil du FEM, ainsi qu</w:t>
      </w:r>
      <w:r w:rsidR="00BD3198">
        <w:rPr>
          <w:lang w:val="fr-FR"/>
        </w:rPr>
        <w:t>’</w:t>
      </w:r>
      <w:r w:rsidRPr="00405E0A">
        <w:rPr>
          <w:lang w:val="fr-FR"/>
        </w:rPr>
        <w:t>à des réunions sur la septième reconstitution de la Caisse du FEM. Il a contribué à l</w:t>
      </w:r>
      <w:r w:rsidR="00BD3198">
        <w:rPr>
          <w:lang w:val="fr-FR"/>
        </w:rPr>
        <w:t>’</w:t>
      </w:r>
      <w:r w:rsidRPr="00405E0A">
        <w:rPr>
          <w:lang w:val="fr-FR"/>
        </w:rPr>
        <w:t>élaboration des documents destinés aux débats sur la septième reconstitution de la Caisse du FEM et continue d</w:t>
      </w:r>
      <w:r w:rsidR="00BD3198">
        <w:rPr>
          <w:lang w:val="fr-FR"/>
        </w:rPr>
        <w:t>’</w:t>
      </w:r>
      <w:r w:rsidRPr="00405E0A">
        <w:rPr>
          <w:lang w:val="fr-FR"/>
        </w:rPr>
        <w:t xml:space="preserve">examiner ces documents et de faire des observations </w:t>
      </w:r>
      <w:r w:rsidR="00F4550D">
        <w:rPr>
          <w:lang w:val="fr-FR"/>
        </w:rPr>
        <w:t>à leur</w:t>
      </w:r>
      <w:r w:rsidRPr="00405E0A">
        <w:rPr>
          <w:lang w:val="fr-FR"/>
        </w:rPr>
        <w:t xml:space="preserve"> sujet</w:t>
      </w:r>
      <w:r w:rsidR="00F4550D">
        <w:rPr>
          <w:lang w:val="fr-FR"/>
        </w:rPr>
        <w:t xml:space="preserve"> </w:t>
      </w:r>
      <w:r w:rsidR="00853026">
        <w:rPr>
          <w:lang w:val="fr-FR"/>
        </w:rPr>
        <w:t>dans le cadre de</w:t>
      </w:r>
      <w:r w:rsidR="00F4550D" w:rsidRPr="00405E0A">
        <w:rPr>
          <w:lang w:val="fr-FR"/>
        </w:rPr>
        <w:t xml:space="preserve"> leur </w:t>
      </w:r>
      <w:r w:rsidR="00853026">
        <w:rPr>
          <w:lang w:val="fr-FR"/>
        </w:rPr>
        <w:t>mise au point plus poussée</w:t>
      </w:r>
      <w:r w:rsidRPr="00405E0A">
        <w:rPr>
          <w:lang w:val="fr-FR"/>
        </w:rPr>
        <w:t xml:space="preserve">. </w:t>
      </w:r>
      <w:r w:rsidR="00853026">
        <w:rPr>
          <w:lang w:val="fr-FR"/>
        </w:rPr>
        <w:t>I</w:t>
      </w:r>
      <w:r w:rsidRPr="00405E0A">
        <w:rPr>
          <w:lang w:val="fr-FR"/>
        </w:rPr>
        <w:t xml:space="preserve">l a </w:t>
      </w:r>
      <w:r w:rsidR="00853026">
        <w:rPr>
          <w:lang w:val="fr-FR"/>
        </w:rPr>
        <w:t xml:space="preserve">également </w:t>
      </w:r>
      <w:r w:rsidRPr="00405E0A">
        <w:rPr>
          <w:lang w:val="fr-FR"/>
        </w:rPr>
        <w:t>participé à plusieurs réunions ayant trait au mercure et aux produits chimiques et déchets, à savoir la réunion annuelle commune pour le renforcement de la coopération et de la coordination entre les centre</w:t>
      </w:r>
      <w:r w:rsidR="00435F09">
        <w:rPr>
          <w:lang w:val="fr-FR"/>
        </w:rPr>
        <w:t>s régionaux des c</w:t>
      </w:r>
      <w:r w:rsidRPr="00405E0A">
        <w:rPr>
          <w:lang w:val="fr-FR"/>
        </w:rPr>
        <w:t>onventions de Bâle et de Stockholm, qui s</w:t>
      </w:r>
      <w:r w:rsidR="00BD3198">
        <w:rPr>
          <w:lang w:val="fr-FR"/>
        </w:rPr>
        <w:t>’</w:t>
      </w:r>
      <w:r w:rsidRPr="00405E0A">
        <w:rPr>
          <w:lang w:val="fr-FR"/>
        </w:rPr>
        <w:t>est tenue à Genève du 31</w:t>
      </w:r>
      <w:r w:rsidR="008F5063">
        <w:rPr>
          <w:lang w:val="fr-FR"/>
        </w:rPr>
        <w:t> </w:t>
      </w:r>
      <w:r w:rsidRPr="00405E0A">
        <w:rPr>
          <w:lang w:val="fr-FR"/>
        </w:rPr>
        <w:t>octobre au 2</w:t>
      </w:r>
      <w:r w:rsidR="008F5063">
        <w:rPr>
          <w:lang w:val="fr-FR"/>
        </w:rPr>
        <w:t> </w:t>
      </w:r>
      <w:r w:rsidRPr="00405E0A">
        <w:rPr>
          <w:lang w:val="fr-FR"/>
        </w:rPr>
        <w:t>novembre 2016, la deuxième session de l</w:t>
      </w:r>
      <w:r w:rsidR="00BD3198">
        <w:rPr>
          <w:lang w:val="fr-FR"/>
        </w:rPr>
        <w:t>’</w:t>
      </w:r>
      <w:r w:rsidRPr="00405E0A">
        <w:rPr>
          <w:lang w:val="fr-FR"/>
        </w:rPr>
        <w:t>Assemblée des Nations</w:t>
      </w:r>
      <w:r w:rsidR="00A21697">
        <w:rPr>
          <w:lang w:val="fr-FR"/>
        </w:rPr>
        <w:t> </w:t>
      </w:r>
      <w:r w:rsidRPr="00405E0A">
        <w:rPr>
          <w:lang w:val="fr-FR"/>
        </w:rPr>
        <w:t>Unies pour l</w:t>
      </w:r>
      <w:r w:rsidR="00BD3198">
        <w:rPr>
          <w:lang w:val="fr-FR"/>
        </w:rPr>
        <w:t>’</w:t>
      </w:r>
      <w:r w:rsidRPr="00405E0A">
        <w:rPr>
          <w:lang w:val="fr-FR"/>
        </w:rPr>
        <w:t>environnement et les réunions organisées sous l</w:t>
      </w:r>
      <w:r w:rsidR="00BD3198">
        <w:rPr>
          <w:lang w:val="fr-FR"/>
        </w:rPr>
        <w:t>’</w:t>
      </w:r>
      <w:r w:rsidRPr="00405E0A">
        <w:rPr>
          <w:lang w:val="fr-FR"/>
        </w:rPr>
        <w:t>égide de la Commission économique pour l</w:t>
      </w:r>
      <w:r w:rsidR="00BD3198">
        <w:rPr>
          <w:lang w:val="fr-FR"/>
        </w:rPr>
        <w:t>’</w:t>
      </w:r>
      <w:r w:rsidRPr="00405E0A">
        <w:rPr>
          <w:lang w:val="fr-FR"/>
        </w:rPr>
        <w:t xml:space="preserve">Europe, en particulier en ce qui concerne la Convention sur la pollution atmosphérique transfrontière à longue distance, et participera à la </w:t>
      </w:r>
      <w:r w:rsidR="00A21697">
        <w:rPr>
          <w:lang w:val="fr-FR"/>
        </w:rPr>
        <w:t>treizième </w:t>
      </w:r>
      <w:r w:rsidRPr="00405E0A">
        <w:rPr>
          <w:lang w:val="fr-FR"/>
        </w:rPr>
        <w:t>Conférence internationale sur le mercure en tant que polluant mondial qui se tiendra à Providence dans l</w:t>
      </w:r>
      <w:r w:rsidR="00BD3198">
        <w:rPr>
          <w:lang w:val="fr-FR"/>
        </w:rPr>
        <w:t>’</w:t>
      </w:r>
      <w:r w:rsidRPr="00405E0A">
        <w:rPr>
          <w:lang w:val="fr-FR"/>
        </w:rPr>
        <w:t>État de Rhode Island (États-Unis d</w:t>
      </w:r>
      <w:r w:rsidR="00BD3198">
        <w:rPr>
          <w:lang w:val="fr-FR"/>
        </w:rPr>
        <w:t>’</w:t>
      </w:r>
      <w:r w:rsidRPr="00405E0A">
        <w:rPr>
          <w:lang w:val="fr-FR"/>
        </w:rPr>
        <w:t>Amérique) du</w:t>
      </w:r>
      <w:r w:rsidR="00A21697">
        <w:rPr>
          <w:lang w:val="fr-FR"/>
        </w:rPr>
        <w:t> </w:t>
      </w:r>
      <w:r w:rsidRPr="00405E0A">
        <w:rPr>
          <w:lang w:val="fr-FR"/>
        </w:rPr>
        <w:t>16 au 21</w:t>
      </w:r>
      <w:r w:rsidR="00C34EB0">
        <w:rPr>
          <w:lang w:val="fr-FR"/>
        </w:rPr>
        <w:t> </w:t>
      </w:r>
      <w:r w:rsidRPr="00405E0A">
        <w:rPr>
          <w:lang w:val="fr-FR"/>
        </w:rPr>
        <w:t xml:space="preserve">juillet 2017. </w:t>
      </w:r>
    </w:p>
    <w:p w14:paraId="09AD678B" w14:textId="31AEE712" w:rsidR="000760B6" w:rsidRPr="00405E0A" w:rsidRDefault="001804D2" w:rsidP="00A21697">
      <w:pPr>
        <w:pStyle w:val="CH1"/>
        <w:rPr>
          <w:lang w:val="fr-FR"/>
        </w:rPr>
      </w:pPr>
      <w:r>
        <w:rPr>
          <w:lang w:val="fr-FR"/>
        </w:rPr>
        <w:tab/>
      </w:r>
      <w:r w:rsidR="000760B6" w:rsidRPr="00405E0A">
        <w:rPr>
          <w:lang w:val="fr-FR"/>
        </w:rPr>
        <w:t>V.</w:t>
      </w:r>
      <w:r w:rsidR="000760B6" w:rsidRPr="00405E0A">
        <w:rPr>
          <w:lang w:val="fr-FR"/>
        </w:rPr>
        <w:tab/>
      </w:r>
      <w:r w:rsidR="000760B6" w:rsidRPr="00A21697">
        <w:t>Financement</w:t>
      </w:r>
      <w:r w:rsidR="000760B6" w:rsidRPr="00405E0A">
        <w:rPr>
          <w:lang w:val="fr-FR"/>
        </w:rPr>
        <w:t xml:space="preserve"> pour les travaux du secrétariat provisoire</w:t>
      </w:r>
    </w:p>
    <w:p w14:paraId="5C6A0866" w14:textId="0B8CCC2E" w:rsidR="000760B6" w:rsidRPr="00405E0A" w:rsidRDefault="000760B6" w:rsidP="00A21697">
      <w:pPr>
        <w:pStyle w:val="Normalnumber"/>
        <w:rPr>
          <w:lang w:val="fr-FR"/>
        </w:rPr>
      </w:pPr>
      <w:r w:rsidRPr="00405E0A">
        <w:rPr>
          <w:lang w:val="fr-FR"/>
        </w:rPr>
        <w:t>Le secrétariat provisoire n</w:t>
      </w:r>
      <w:r w:rsidR="00BD3198">
        <w:rPr>
          <w:lang w:val="fr-FR"/>
        </w:rPr>
        <w:t>’</w:t>
      </w:r>
      <w:r w:rsidRPr="00405E0A">
        <w:rPr>
          <w:lang w:val="fr-FR"/>
        </w:rPr>
        <w:t>aurait pu mener les activités susmentionnées sans l</w:t>
      </w:r>
      <w:r w:rsidR="00BD3198">
        <w:rPr>
          <w:lang w:val="fr-FR"/>
        </w:rPr>
        <w:t>’</w:t>
      </w:r>
      <w:r w:rsidRPr="00405E0A">
        <w:rPr>
          <w:lang w:val="fr-FR"/>
        </w:rPr>
        <w:t>appui financier volontaire et généreux de l</w:t>
      </w:r>
      <w:r w:rsidR="00BD3198">
        <w:rPr>
          <w:lang w:val="fr-FR"/>
        </w:rPr>
        <w:t>’</w:t>
      </w:r>
      <w:r w:rsidRPr="00405E0A">
        <w:rPr>
          <w:lang w:val="fr-FR"/>
        </w:rPr>
        <w:t xml:space="preserve">Union européenne et des </w:t>
      </w:r>
      <w:r w:rsidR="00F4550D">
        <w:rPr>
          <w:lang w:val="fr-FR"/>
        </w:rPr>
        <w:t>g</w:t>
      </w:r>
      <w:r w:rsidRPr="00405E0A">
        <w:rPr>
          <w:lang w:val="fr-FR"/>
        </w:rPr>
        <w:t>ouvernements des pays suivants</w:t>
      </w:r>
      <w:r w:rsidR="001804D2">
        <w:rPr>
          <w:lang w:val="fr-FR"/>
        </w:rPr>
        <w:t> </w:t>
      </w:r>
      <w:r w:rsidRPr="00405E0A">
        <w:rPr>
          <w:lang w:val="fr-FR"/>
        </w:rPr>
        <w:t>: Allemagne, Belgique, Canada, Chine, États-Unis d</w:t>
      </w:r>
      <w:r w:rsidR="00BD3198">
        <w:rPr>
          <w:lang w:val="fr-FR"/>
        </w:rPr>
        <w:t>’</w:t>
      </w:r>
      <w:r w:rsidRPr="00405E0A">
        <w:rPr>
          <w:lang w:val="fr-FR"/>
        </w:rPr>
        <w:t xml:space="preserve">Amérique, Finlande, France, Japon, Norvège, Suède et Suisse. </w:t>
      </w:r>
    </w:p>
    <w:p w14:paraId="6AD12724" w14:textId="0B5F56F6" w:rsidR="000760B6" w:rsidRPr="00405E0A" w:rsidRDefault="00B16EAD" w:rsidP="00A21697">
      <w:pPr>
        <w:pStyle w:val="CH1"/>
        <w:rPr>
          <w:lang w:val="fr-FR"/>
        </w:rPr>
      </w:pPr>
      <w:r>
        <w:rPr>
          <w:lang w:val="fr-FR"/>
        </w:rPr>
        <w:lastRenderedPageBreak/>
        <w:tab/>
      </w:r>
      <w:r w:rsidR="000760B6" w:rsidRPr="00405E0A">
        <w:rPr>
          <w:lang w:val="fr-FR"/>
        </w:rPr>
        <w:t>VI.</w:t>
      </w:r>
      <w:r w:rsidR="000760B6" w:rsidRPr="00405E0A">
        <w:rPr>
          <w:lang w:val="fr-FR"/>
        </w:rPr>
        <w:tab/>
        <w:t>Mesures que pourrait prendre la Conférence des Parties</w:t>
      </w:r>
    </w:p>
    <w:p w14:paraId="74D7741B" w14:textId="50F0C63C" w:rsidR="000760B6" w:rsidRPr="00405E0A" w:rsidRDefault="000760B6" w:rsidP="00A21697">
      <w:pPr>
        <w:pStyle w:val="Normalnumber"/>
        <w:rPr>
          <w:lang w:val="fr-FR"/>
        </w:rPr>
      </w:pPr>
      <w:r w:rsidRPr="00405E0A">
        <w:rPr>
          <w:lang w:val="fr-FR"/>
        </w:rPr>
        <w:t xml:space="preserve">La Conférence des Parties souhaitera peut-être prendre note des activités menées à ce jour par le secrétariat provisoire, en particulier </w:t>
      </w:r>
      <w:r w:rsidR="00F4550D">
        <w:rPr>
          <w:lang w:val="fr-FR"/>
        </w:rPr>
        <w:t>lors</w:t>
      </w:r>
      <w:r w:rsidRPr="00405E0A">
        <w:rPr>
          <w:lang w:val="fr-FR"/>
        </w:rPr>
        <w:t xml:space="preserve"> de </w:t>
      </w:r>
      <w:r w:rsidR="00F4550D">
        <w:rPr>
          <w:lang w:val="fr-FR"/>
        </w:rPr>
        <w:t>l</w:t>
      </w:r>
      <w:r w:rsidR="00BD3198">
        <w:rPr>
          <w:lang w:val="fr-FR"/>
        </w:rPr>
        <w:t>’</w:t>
      </w:r>
      <w:r w:rsidRPr="00405E0A">
        <w:rPr>
          <w:lang w:val="fr-FR"/>
        </w:rPr>
        <w:t xml:space="preserve">examen du projet de programme de travail et budget </w:t>
      </w:r>
      <w:r w:rsidR="00F4550D">
        <w:rPr>
          <w:lang w:val="fr-FR"/>
        </w:rPr>
        <w:t>du</w:t>
      </w:r>
      <w:r w:rsidRPr="00405E0A">
        <w:rPr>
          <w:lang w:val="fr-FR"/>
        </w:rPr>
        <w:t xml:space="preserve"> secrétariat permanent, en tenant compte des nouvelles activités que l</w:t>
      </w:r>
      <w:r w:rsidR="00BD3198">
        <w:rPr>
          <w:lang w:val="fr-FR"/>
        </w:rPr>
        <w:t>’</w:t>
      </w:r>
      <w:r w:rsidRPr="00405E0A">
        <w:rPr>
          <w:lang w:val="fr-FR"/>
        </w:rPr>
        <w:t xml:space="preserve">entrée en vigueur de la Convention pourrait rendre nécessaires et des besoins en ressources supplémentaires qui pourraient accompagner ces nouvelles activités.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2"/>
        <w:gridCol w:w="1942"/>
        <w:gridCol w:w="1942"/>
        <w:gridCol w:w="1943"/>
        <w:gridCol w:w="1943"/>
      </w:tblGrid>
      <w:tr w:rsidR="009718A3" w:rsidRPr="00435F09" w14:paraId="180F7F7B" w14:textId="77777777" w:rsidTr="001F2B6B">
        <w:tc>
          <w:tcPr>
            <w:tcW w:w="1942" w:type="dxa"/>
          </w:tcPr>
          <w:p w14:paraId="088E1C89" w14:textId="77777777" w:rsidR="009718A3" w:rsidRPr="00405E0A" w:rsidRDefault="009718A3" w:rsidP="009718A3">
            <w:pPr>
              <w:pStyle w:val="Normal-pool"/>
              <w:spacing w:before="520"/>
              <w:rPr>
                <w:lang w:val="fr-FR"/>
              </w:rPr>
            </w:pPr>
          </w:p>
        </w:tc>
        <w:tc>
          <w:tcPr>
            <w:tcW w:w="1942" w:type="dxa"/>
          </w:tcPr>
          <w:p w14:paraId="4EE95676" w14:textId="77777777" w:rsidR="009718A3" w:rsidRPr="00405E0A" w:rsidRDefault="009718A3" w:rsidP="009718A3">
            <w:pPr>
              <w:pStyle w:val="Normal-pool"/>
              <w:spacing w:before="520"/>
              <w:rPr>
                <w:lang w:val="fr-FR"/>
              </w:rPr>
            </w:pPr>
          </w:p>
        </w:tc>
        <w:tc>
          <w:tcPr>
            <w:tcW w:w="1942" w:type="dxa"/>
            <w:tcBorders>
              <w:bottom w:val="single" w:sz="4" w:space="0" w:color="auto"/>
            </w:tcBorders>
          </w:tcPr>
          <w:p w14:paraId="68A6CA87" w14:textId="77777777" w:rsidR="009718A3" w:rsidRPr="00405E0A" w:rsidRDefault="009718A3" w:rsidP="009718A3">
            <w:pPr>
              <w:pStyle w:val="Normal-pool"/>
              <w:spacing w:before="520"/>
              <w:rPr>
                <w:lang w:val="fr-FR"/>
              </w:rPr>
            </w:pPr>
          </w:p>
        </w:tc>
        <w:tc>
          <w:tcPr>
            <w:tcW w:w="1943" w:type="dxa"/>
          </w:tcPr>
          <w:p w14:paraId="61B478D4" w14:textId="77777777" w:rsidR="009718A3" w:rsidRPr="00405E0A" w:rsidRDefault="009718A3" w:rsidP="009718A3">
            <w:pPr>
              <w:pStyle w:val="Normal-pool"/>
              <w:spacing w:before="520"/>
              <w:rPr>
                <w:lang w:val="fr-FR"/>
              </w:rPr>
            </w:pPr>
          </w:p>
        </w:tc>
        <w:tc>
          <w:tcPr>
            <w:tcW w:w="1943" w:type="dxa"/>
          </w:tcPr>
          <w:p w14:paraId="638C4A69" w14:textId="77777777" w:rsidR="009718A3" w:rsidRPr="00405E0A" w:rsidRDefault="009718A3" w:rsidP="009718A3">
            <w:pPr>
              <w:pStyle w:val="Normal-pool"/>
              <w:spacing w:before="520"/>
              <w:rPr>
                <w:lang w:val="fr-FR"/>
              </w:rPr>
            </w:pPr>
          </w:p>
        </w:tc>
      </w:tr>
    </w:tbl>
    <w:p w14:paraId="259A434A" w14:textId="77777777" w:rsidR="0025267F" w:rsidRPr="00405E0A" w:rsidRDefault="0025267F" w:rsidP="009718A3">
      <w:pPr>
        <w:pStyle w:val="Normal-pool"/>
        <w:rPr>
          <w:lang w:val="fr-FR"/>
        </w:rPr>
      </w:pPr>
    </w:p>
    <w:sectPr w:rsidR="0025267F" w:rsidRPr="00405E0A" w:rsidSect="00C6062B">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BFE24" w14:textId="77777777" w:rsidR="008F7EDB" w:rsidRDefault="008F7EDB">
      <w:r>
        <w:separator/>
      </w:r>
    </w:p>
  </w:endnote>
  <w:endnote w:type="continuationSeparator" w:id="0">
    <w:p w14:paraId="0FF0AC4A" w14:textId="77777777" w:rsidR="008F7EDB" w:rsidRDefault="008F7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F497E" w14:textId="37297328" w:rsidR="00365E83" w:rsidRDefault="00365E83" w:rsidP="00A21697">
    <w:pPr>
      <w:pStyle w:val="Footer-pool"/>
    </w:pPr>
    <w:r>
      <w:rPr>
        <w:rStyle w:val="PageNumber"/>
      </w:rPr>
      <w:fldChar w:fldCharType="begin"/>
    </w:r>
    <w:r>
      <w:rPr>
        <w:rStyle w:val="PageNumber"/>
      </w:rPr>
      <w:instrText xml:space="preserve"> PAGE </w:instrText>
    </w:r>
    <w:r>
      <w:rPr>
        <w:rStyle w:val="PageNumber"/>
      </w:rPr>
      <w:fldChar w:fldCharType="separate"/>
    </w:r>
    <w:r w:rsidR="009A0BBF">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A79E0" w14:textId="2649A4A0" w:rsidR="00365E83" w:rsidRDefault="00365E83" w:rsidP="00A21697">
    <w:pPr>
      <w:pStyle w:val="Footer-pool"/>
      <w:jc w:val="right"/>
    </w:pPr>
    <w:r>
      <w:rPr>
        <w:rStyle w:val="PageNumber"/>
      </w:rPr>
      <w:fldChar w:fldCharType="begin"/>
    </w:r>
    <w:r>
      <w:rPr>
        <w:rStyle w:val="PageNumber"/>
      </w:rPr>
      <w:instrText xml:space="preserve"> PAGE </w:instrText>
    </w:r>
    <w:r>
      <w:rPr>
        <w:rStyle w:val="PageNumber"/>
      </w:rPr>
      <w:fldChar w:fldCharType="separate"/>
    </w:r>
    <w:r w:rsidR="009A0BBF">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30887" w14:textId="36E74618" w:rsidR="00365E83" w:rsidRDefault="00C11DB0">
    <w:pPr>
      <w:pStyle w:val="Footer"/>
    </w:pPr>
    <w:r>
      <w:t>K1707173</w:t>
    </w:r>
    <w:r w:rsidR="00365E83">
      <w:tab/>
    </w:r>
    <w:r w:rsidR="0094531F">
      <w:t>30</w:t>
    </w:r>
    <w:r>
      <w:t>08</w:t>
    </w:r>
    <w:r w:rsidR="00365E83">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108D0" w14:textId="77777777" w:rsidR="008F7EDB" w:rsidRPr="001F2B6B" w:rsidRDefault="008F7EDB" w:rsidP="001F2B6B">
      <w:pPr>
        <w:tabs>
          <w:tab w:val="clear" w:pos="1247"/>
          <w:tab w:val="clear" w:pos="1814"/>
          <w:tab w:val="clear" w:pos="2381"/>
          <w:tab w:val="clear" w:pos="2948"/>
          <w:tab w:val="clear" w:pos="3515"/>
          <w:tab w:val="left" w:pos="624"/>
        </w:tabs>
        <w:spacing w:before="60"/>
        <w:ind w:left="624"/>
        <w:rPr>
          <w:sz w:val="18"/>
          <w:szCs w:val="18"/>
        </w:rPr>
      </w:pPr>
      <w:r w:rsidRPr="001F2B6B">
        <w:rPr>
          <w:sz w:val="18"/>
          <w:szCs w:val="18"/>
        </w:rPr>
        <w:separator/>
      </w:r>
    </w:p>
  </w:footnote>
  <w:footnote w:type="continuationSeparator" w:id="0">
    <w:p w14:paraId="502932D9" w14:textId="77777777" w:rsidR="008F7EDB" w:rsidRDefault="008F7EDB">
      <w:r>
        <w:continuationSeparator/>
      </w:r>
    </w:p>
  </w:footnote>
  <w:footnote w:id="1">
    <w:p w14:paraId="2765D705" w14:textId="77777777" w:rsidR="00365E83" w:rsidRPr="000F4AED" w:rsidRDefault="00365E83" w:rsidP="009718A3">
      <w:pPr>
        <w:tabs>
          <w:tab w:val="left" w:pos="624"/>
        </w:tabs>
        <w:spacing w:before="20" w:after="40"/>
        <w:ind w:left="1247"/>
        <w:rPr>
          <w:sz w:val="18"/>
          <w:szCs w:val="18"/>
        </w:rPr>
      </w:pPr>
      <w:r w:rsidRPr="000F4AED">
        <w:rPr>
          <w:sz w:val="18"/>
          <w:szCs w:val="18"/>
        </w:rPr>
        <w:t>* UNEP/MC/COP.1/1.</w:t>
      </w:r>
    </w:p>
  </w:footnote>
  <w:footnote w:id="2">
    <w:p w14:paraId="08F6A7C5" w14:textId="77777777" w:rsidR="00365E83" w:rsidRPr="000760B6" w:rsidRDefault="00365E83" w:rsidP="001F2B6B">
      <w:pPr>
        <w:pStyle w:val="FootnoteText"/>
        <w:tabs>
          <w:tab w:val="left" w:pos="624"/>
        </w:tabs>
        <w:rPr>
          <w:szCs w:val="18"/>
        </w:rPr>
      </w:pPr>
      <w:r w:rsidRPr="00E87859">
        <w:rPr>
          <w:rStyle w:val="FootnoteReference"/>
          <w:sz w:val="18"/>
        </w:rPr>
        <w:footnoteRef/>
      </w:r>
      <w:r>
        <w:t xml:space="preserve"> http://mercuryconvention.org/Negotiations/Bureau/tabid/5601/language/fr-CH/Default.aspx.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9966B" w14:textId="6D0D7B8D" w:rsidR="00365E83" w:rsidRPr="00CA5CA9" w:rsidRDefault="00365E83" w:rsidP="00A21697">
    <w:pPr>
      <w:pStyle w:val="Header-pool"/>
    </w:pPr>
    <w:r w:rsidRPr="00CA5CA9">
      <w:rPr>
        <w:bCs/>
      </w:rPr>
      <w:t>UNEP</w:t>
    </w:r>
    <w:r w:rsidRPr="00CA5CA9">
      <w:t>/</w:t>
    </w:r>
    <w:r>
      <w:t>MC</w:t>
    </w:r>
    <w:r w:rsidRPr="00CA5CA9">
      <w:t>/</w:t>
    </w:r>
    <w:r>
      <w:t>COP.1</w:t>
    </w:r>
    <w:r w:rsidRPr="00CA5CA9">
      <w:t>/</w:t>
    </w:r>
    <w: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99131" w14:textId="3949C44A" w:rsidR="00365E83" w:rsidRPr="00CA5CA9" w:rsidRDefault="00365E83" w:rsidP="00A21697">
    <w:pPr>
      <w:pStyle w:val="Header-pool"/>
      <w:jc w:val="right"/>
    </w:pPr>
    <w:r w:rsidRPr="00312543">
      <w:t>UNEP/MC/COP.1/</w:t>
    </w:r>
    <w: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88D33" w14:textId="355DDDA9" w:rsidR="00365E83" w:rsidRDefault="00365E83" w:rsidP="00032E4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 w15:restartNumberingAfterBreak="0">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 w15:restartNumberingAfterBreak="0">
    <w:nsid w:val="62291BF8"/>
    <w:multiLevelType w:val="multilevel"/>
    <w:tmpl w:val="F4ACF36E"/>
    <w:numStyleLink w:val="Normallist"/>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fr-CH" w:vendorID="64" w:dllVersion="0" w:nlCheck="1" w:checkStyle="1"/>
  <w:activeWritingStyle w:appName="MSWord" w:lang="fr-BE" w:vendorID="64" w:dllVersion="0" w:nlCheck="1" w:checkStyle="1"/>
  <w:activeWritingStyle w:appName="MSWord" w:lang="fr-CA" w:vendorID="64" w:dllVersion="0" w:nlCheck="1" w:checkStyle="0"/>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7F"/>
    <w:rsid w:val="000001A2"/>
    <w:rsid w:val="00000E4A"/>
    <w:rsid w:val="000016E8"/>
    <w:rsid w:val="000024A3"/>
    <w:rsid w:val="000149E6"/>
    <w:rsid w:val="00023DA9"/>
    <w:rsid w:val="000247B0"/>
    <w:rsid w:val="0002502C"/>
    <w:rsid w:val="00026997"/>
    <w:rsid w:val="00026A08"/>
    <w:rsid w:val="00032E4E"/>
    <w:rsid w:val="00033E0B"/>
    <w:rsid w:val="00035EDE"/>
    <w:rsid w:val="000509B4"/>
    <w:rsid w:val="00051063"/>
    <w:rsid w:val="000553F1"/>
    <w:rsid w:val="0006035B"/>
    <w:rsid w:val="0006096F"/>
    <w:rsid w:val="000649C5"/>
    <w:rsid w:val="00071886"/>
    <w:rsid w:val="000742BC"/>
    <w:rsid w:val="00075D5E"/>
    <w:rsid w:val="000760B6"/>
    <w:rsid w:val="00076CC6"/>
    <w:rsid w:val="00082351"/>
    <w:rsid w:val="00082A0C"/>
    <w:rsid w:val="00082BFB"/>
    <w:rsid w:val="000832C7"/>
    <w:rsid w:val="00083504"/>
    <w:rsid w:val="000849CA"/>
    <w:rsid w:val="0009640C"/>
    <w:rsid w:val="000A035D"/>
    <w:rsid w:val="000A33DF"/>
    <w:rsid w:val="000A5627"/>
    <w:rsid w:val="000B22A2"/>
    <w:rsid w:val="000B3759"/>
    <w:rsid w:val="000B5621"/>
    <w:rsid w:val="000B6C42"/>
    <w:rsid w:val="000B73F9"/>
    <w:rsid w:val="000C2A52"/>
    <w:rsid w:val="000D24D3"/>
    <w:rsid w:val="000D33C0"/>
    <w:rsid w:val="000D4CF6"/>
    <w:rsid w:val="000D6941"/>
    <w:rsid w:val="000E04CD"/>
    <w:rsid w:val="000E671B"/>
    <w:rsid w:val="000F1B80"/>
    <w:rsid w:val="000F4829"/>
    <w:rsid w:val="000F4AED"/>
    <w:rsid w:val="000F6535"/>
    <w:rsid w:val="00111BA9"/>
    <w:rsid w:val="001143B8"/>
    <w:rsid w:val="001202E3"/>
    <w:rsid w:val="00122A33"/>
    <w:rsid w:val="00123699"/>
    <w:rsid w:val="001241FB"/>
    <w:rsid w:val="00126CBE"/>
    <w:rsid w:val="0012782F"/>
    <w:rsid w:val="00127FF5"/>
    <w:rsid w:val="0013059D"/>
    <w:rsid w:val="00136187"/>
    <w:rsid w:val="00141A55"/>
    <w:rsid w:val="0014293F"/>
    <w:rsid w:val="0014397D"/>
    <w:rsid w:val="001441B2"/>
    <w:rsid w:val="001446A3"/>
    <w:rsid w:val="00152B6B"/>
    <w:rsid w:val="00155395"/>
    <w:rsid w:val="00156B6B"/>
    <w:rsid w:val="00160D74"/>
    <w:rsid w:val="0016251F"/>
    <w:rsid w:val="001646EA"/>
    <w:rsid w:val="00167D02"/>
    <w:rsid w:val="001759D8"/>
    <w:rsid w:val="00177D7F"/>
    <w:rsid w:val="001804D2"/>
    <w:rsid w:val="00180C3F"/>
    <w:rsid w:val="00181EC8"/>
    <w:rsid w:val="00184349"/>
    <w:rsid w:val="00187CDE"/>
    <w:rsid w:val="00195F33"/>
    <w:rsid w:val="001A04AA"/>
    <w:rsid w:val="001B1617"/>
    <w:rsid w:val="001B504B"/>
    <w:rsid w:val="001B6273"/>
    <w:rsid w:val="001B6F89"/>
    <w:rsid w:val="001B6F98"/>
    <w:rsid w:val="001C191A"/>
    <w:rsid w:val="001D3874"/>
    <w:rsid w:val="001D7E75"/>
    <w:rsid w:val="001E0D73"/>
    <w:rsid w:val="001E16F2"/>
    <w:rsid w:val="001E1EEC"/>
    <w:rsid w:val="001E4028"/>
    <w:rsid w:val="001E45BD"/>
    <w:rsid w:val="001E54FA"/>
    <w:rsid w:val="001E56D2"/>
    <w:rsid w:val="001E7D56"/>
    <w:rsid w:val="001F0FBB"/>
    <w:rsid w:val="001F2B6B"/>
    <w:rsid w:val="001F4EF3"/>
    <w:rsid w:val="001F52E2"/>
    <w:rsid w:val="001F75DE"/>
    <w:rsid w:val="00200D58"/>
    <w:rsid w:val="002011C1"/>
    <w:rsid w:val="002013BE"/>
    <w:rsid w:val="00201EDC"/>
    <w:rsid w:val="002063A4"/>
    <w:rsid w:val="0021145B"/>
    <w:rsid w:val="00220C23"/>
    <w:rsid w:val="002247F6"/>
    <w:rsid w:val="00225E21"/>
    <w:rsid w:val="002274D8"/>
    <w:rsid w:val="002302E1"/>
    <w:rsid w:val="00234E78"/>
    <w:rsid w:val="00243D36"/>
    <w:rsid w:val="00246151"/>
    <w:rsid w:val="0024616E"/>
    <w:rsid w:val="00247707"/>
    <w:rsid w:val="0025267F"/>
    <w:rsid w:val="00255632"/>
    <w:rsid w:val="0026018E"/>
    <w:rsid w:val="002623CD"/>
    <w:rsid w:val="00262818"/>
    <w:rsid w:val="0027116B"/>
    <w:rsid w:val="00274D37"/>
    <w:rsid w:val="00277CE2"/>
    <w:rsid w:val="0028635C"/>
    <w:rsid w:val="00286740"/>
    <w:rsid w:val="00291EAE"/>
    <w:rsid w:val="002929D8"/>
    <w:rsid w:val="0029570E"/>
    <w:rsid w:val="00296835"/>
    <w:rsid w:val="00297C11"/>
    <w:rsid w:val="002A0509"/>
    <w:rsid w:val="002A237D"/>
    <w:rsid w:val="002A4C53"/>
    <w:rsid w:val="002B0672"/>
    <w:rsid w:val="002B247F"/>
    <w:rsid w:val="002B50D4"/>
    <w:rsid w:val="002C145D"/>
    <w:rsid w:val="002C1B9F"/>
    <w:rsid w:val="002C2C3E"/>
    <w:rsid w:val="002C533E"/>
    <w:rsid w:val="002D027F"/>
    <w:rsid w:val="002D3E15"/>
    <w:rsid w:val="002D7A85"/>
    <w:rsid w:val="002D7B60"/>
    <w:rsid w:val="002E084C"/>
    <w:rsid w:val="002E6C80"/>
    <w:rsid w:val="002F2209"/>
    <w:rsid w:val="002F4761"/>
    <w:rsid w:val="002F5BEB"/>
    <w:rsid w:val="002F5C79"/>
    <w:rsid w:val="002F68EE"/>
    <w:rsid w:val="003019E2"/>
    <w:rsid w:val="00304499"/>
    <w:rsid w:val="00306DBF"/>
    <w:rsid w:val="00310B4B"/>
    <w:rsid w:val="00310BEB"/>
    <w:rsid w:val="00312543"/>
    <w:rsid w:val="0031413F"/>
    <w:rsid w:val="00314854"/>
    <w:rsid w:val="003148BB"/>
    <w:rsid w:val="00317976"/>
    <w:rsid w:val="00320F2F"/>
    <w:rsid w:val="00326E66"/>
    <w:rsid w:val="00332216"/>
    <w:rsid w:val="003338F7"/>
    <w:rsid w:val="00351A1A"/>
    <w:rsid w:val="00352B35"/>
    <w:rsid w:val="00355EA9"/>
    <w:rsid w:val="003578DE"/>
    <w:rsid w:val="00361688"/>
    <w:rsid w:val="003616AB"/>
    <w:rsid w:val="00361855"/>
    <w:rsid w:val="00365E83"/>
    <w:rsid w:val="00367840"/>
    <w:rsid w:val="00372443"/>
    <w:rsid w:val="00377FD5"/>
    <w:rsid w:val="003877D5"/>
    <w:rsid w:val="00391950"/>
    <w:rsid w:val="003929B8"/>
    <w:rsid w:val="00396257"/>
    <w:rsid w:val="00397EB8"/>
    <w:rsid w:val="003A4FD0"/>
    <w:rsid w:val="003A69D1"/>
    <w:rsid w:val="003A7705"/>
    <w:rsid w:val="003A77F1"/>
    <w:rsid w:val="003B1545"/>
    <w:rsid w:val="003B3274"/>
    <w:rsid w:val="003C2885"/>
    <w:rsid w:val="003C3219"/>
    <w:rsid w:val="003C34B1"/>
    <w:rsid w:val="003C409D"/>
    <w:rsid w:val="003C5583"/>
    <w:rsid w:val="003C5BA6"/>
    <w:rsid w:val="003C74CF"/>
    <w:rsid w:val="003D2FCB"/>
    <w:rsid w:val="003D3752"/>
    <w:rsid w:val="003D4BAE"/>
    <w:rsid w:val="003E35DA"/>
    <w:rsid w:val="003E3CCD"/>
    <w:rsid w:val="003E455D"/>
    <w:rsid w:val="003F0E85"/>
    <w:rsid w:val="003F10BE"/>
    <w:rsid w:val="003F5F95"/>
    <w:rsid w:val="004043A7"/>
    <w:rsid w:val="00405E0A"/>
    <w:rsid w:val="00410C55"/>
    <w:rsid w:val="00415FE6"/>
    <w:rsid w:val="00416854"/>
    <w:rsid w:val="00417725"/>
    <w:rsid w:val="00420709"/>
    <w:rsid w:val="00435F09"/>
    <w:rsid w:val="004375DD"/>
    <w:rsid w:val="00437F26"/>
    <w:rsid w:val="00444097"/>
    <w:rsid w:val="00445487"/>
    <w:rsid w:val="0044713F"/>
    <w:rsid w:val="004479F0"/>
    <w:rsid w:val="00447E0D"/>
    <w:rsid w:val="00453174"/>
    <w:rsid w:val="00453A68"/>
    <w:rsid w:val="00454769"/>
    <w:rsid w:val="00465D27"/>
    <w:rsid w:val="00466991"/>
    <w:rsid w:val="004671EC"/>
    <w:rsid w:val="0047064C"/>
    <w:rsid w:val="004822B7"/>
    <w:rsid w:val="00483E03"/>
    <w:rsid w:val="004844FA"/>
    <w:rsid w:val="00490598"/>
    <w:rsid w:val="0049469E"/>
    <w:rsid w:val="004A2217"/>
    <w:rsid w:val="004A24F9"/>
    <w:rsid w:val="004A42E1"/>
    <w:rsid w:val="004B162C"/>
    <w:rsid w:val="004B2ABE"/>
    <w:rsid w:val="004B6021"/>
    <w:rsid w:val="004C3DBE"/>
    <w:rsid w:val="004C5C96"/>
    <w:rsid w:val="004D06A4"/>
    <w:rsid w:val="004E01DD"/>
    <w:rsid w:val="004F1A81"/>
    <w:rsid w:val="004F3976"/>
    <w:rsid w:val="005050D2"/>
    <w:rsid w:val="00511D7B"/>
    <w:rsid w:val="0051272E"/>
    <w:rsid w:val="00514C13"/>
    <w:rsid w:val="00516D71"/>
    <w:rsid w:val="005218D9"/>
    <w:rsid w:val="00521EED"/>
    <w:rsid w:val="0052216E"/>
    <w:rsid w:val="005277A3"/>
    <w:rsid w:val="005330BE"/>
    <w:rsid w:val="005360CF"/>
    <w:rsid w:val="00536186"/>
    <w:rsid w:val="00544CBB"/>
    <w:rsid w:val="00545499"/>
    <w:rsid w:val="00554DFB"/>
    <w:rsid w:val="00561AFD"/>
    <w:rsid w:val="005656D7"/>
    <w:rsid w:val="00567280"/>
    <w:rsid w:val="00571C42"/>
    <w:rsid w:val="0057315F"/>
    <w:rsid w:val="005738A4"/>
    <w:rsid w:val="00576104"/>
    <w:rsid w:val="00580923"/>
    <w:rsid w:val="00580C01"/>
    <w:rsid w:val="00584860"/>
    <w:rsid w:val="00592B21"/>
    <w:rsid w:val="005A5341"/>
    <w:rsid w:val="005B3352"/>
    <w:rsid w:val="005B44BF"/>
    <w:rsid w:val="005B66F5"/>
    <w:rsid w:val="005C4DFD"/>
    <w:rsid w:val="005C5BF7"/>
    <w:rsid w:val="005C67C8"/>
    <w:rsid w:val="005D0249"/>
    <w:rsid w:val="005D18FA"/>
    <w:rsid w:val="005D2120"/>
    <w:rsid w:val="005D25CF"/>
    <w:rsid w:val="005D4FD4"/>
    <w:rsid w:val="005D6E8C"/>
    <w:rsid w:val="005D77D2"/>
    <w:rsid w:val="005E05A1"/>
    <w:rsid w:val="005E3004"/>
    <w:rsid w:val="005E3C86"/>
    <w:rsid w:val="005F100C"/>
    <w:rsid w:val="005F68DA"/>
    <w:rsid w:val="00601BC9"/>
    <w:rsid w:val="0060773B"/>
    <w:rsid w:val="00613FD6"/>
    <w:rsid w:val="00614E24"/>
    <w:rsid w:val="006157B5"/>
    <w:rsid w:val="00617224"/>
    <w:rsid w:val="00620222"/>
    <w:rsid w:val="006233C8"/>
    <w:rsid w:val="00624B58"/>
    <w:rsid w:val="00626FC6"/>
    <w:rsid w:val="006303B4"/>
    <w:rsid w:val="00630ADC"/>
    <w:rsid w:val="00633D3D"/>
    <w:rsid w:val="006343C4"/>
    <w:rsid w:val="006368F1"/>
    <w:rsid w:val="00641703"/>
    <w:rsid w:val="006431A6"/>
    <w:rsid w:val="00643B4C"/>
    <w:rsid w:val="00643E3A"/>
    <w:rsid w:val="006459F6"/>
    <w:rsid w:val="006501AD"/>
    <w:rsid w:val="00651BFA"/>
    <w:rsid w:val="006534F9"/>
    <w:rsid w:val="00654475"/>
    <w:rsid w:val="00655560"/>
    <w:rsid w:val="00656DF0"/>
    <w:rsid w:val="00661446"/>
    <w:rsid w:val="00665A4B"/>
    <w:rsid w:val="00665D0D"/>
    <w:rsid w:val="00684BE1"/>
    <w:rsid w:val="00692E2A"/>
    <w:rsid w:val="006A16FF"/>
    <w:rsid w:val="006A76F2"/>
    <w:rsid w:val="006A7DE0"/>
    <w:rsid w:val="006B333C"/>
    <w:rsid w:val="006B6333"/>
    <w:rsid w:val="006D19D4"/>
    <w:rsid w:val="006D7EFB"/>
    <w:rsid w:val="006E5704"/>
    <w:rsid w:val="006E6672"/>
    <w:rsid w:val="006E6722"/>
    <w:rsid w:val="006F0D46"/>
    <w:rsid w:val="006F7AFF"/>
    <w:rsid w:val="007027B9"/>
    <w:rsid w:val="007066B5"/>
    <w:rsid w:val="007145DA"/>
    <w:rsid w:val="00715E88"/>
    <w:rsid w:val="00721A6D"/>
    <w:rsid w:val="00727DCC"/>
    <w:rsid w:val="007334E8"/>
    <w:rsid w:val="00734CAA"/>
    <w:rsid w:val="00741552"/>
    <w:rsid w:val="00742680"/>
    <w:rsid w:val="007432BD"/>
    <w:rsid w:val="007551E2"/>
    <w:rsid w:val="0075533C"/>
    <w:rsid w:val="00755A53"/>
    <w:rsid w:val="00757581"/>
    <w:rsid w:val="007602F5"/>
    <w:rsid w:val="00760D36"/>
    <w:rsid w:val="007611A0"/>
    <w:rsid w:val="00764A95"/>
    <w:rsid w:val="00773E54"/>
    <w:rsid w:val="00774E34"/>
    <w:rsid w:val="00775D8D"/>
    <w:rsid w:val="00780490"/>
    <w:rsid w:val="0078489D"/>
    <w:rsid w:val="00787240"/>
    <w:rsid w:val="00787688"/>
    <w:rsid w:val="007935E6"/>
    <w:rsid w:val="00796D3F"/>
    <w:rsid w:val="007A1683"/>
    <w:rsid w:val="007A3DC0"/>
    <w:rsid w:val="007A5C12"/>
    <w:rsid w:val="007A7CB0"/>
    <w:rsid w:val="007B68A3"/>
    <w:rsid w:val="007C2541"/>
    <w:rsid w:val="007D66A8"/>
    <w:rsid w:val="007E003F"/>
    <w:rsid w:val="007E5F07"/>
    <w:rsid w:val="007F0CF8"/>
    <w:rsid w:val="007F62CB"/>
    <w:rsid w:val="00805335"/>
    <w:rsid w:val="00805679"/>
    <w:rsid w:val="008115AF"/>
    <w:rsid w:val="008142EC"/>
    <w:rsid w:val="008164F2"/>
    <w:rsid w:val="00820E2B"/>
    <w:rsid w:val="00821395"/>
    <w:rsid w:val="0082260B"/>
    <w:rsid w:val="0082493D"/>
    <w:rsid w:val="00830E26"/>
    <w:rsid w:val="00832107"/>
    <w:rsid w:val="00833D15"/>
    <w:rsid w:val="00843576"/>
    <w:rsid w:val="00843B64"/>
    <w:rsid w:val="008473F4"/>
    <w:rsid w:val="008478FC"/>
    <w:rsid w:val="00851756"/>
    <w:rsid w:val="00851C51"/>
    <w:rsid w:val="00853026"/>
    <w:rsid w:val="00856CDB"/>
    <w:rsid w:val="00867A15"/>
    <w:rsid w:val="00867BFF"/>
    <w:rsid w:val="00871542"/>
    <w:rsid w:val="00871E08"/>
    <w:rsid w:val="00872BF6"/>
    <w:rsid w:val="00873A3D"/>
    <w:rsid w:val="008831FA"/>
    <w:rsid w:val="0088480A"/>
    <w:rsid w:val="00886C30"/>
    <w:rsid w:val="0088757A"/>
    <w:rsid w:val="0089431B"/>
    <w:rsid w:val="00894479"/>
    <w:rsid w:val="00894DA2"/>
    <w:rsid w:val="00895668"/>
    <w:rsid w:val="008957DD"/>
    <w:rsid w:val="00897D98"/>
    <w:rsid w:val="008A2570"/>
    <w:rsid w:val="008A2F23"/>
    <w:rsid w:val="008A6211"/>
    <w:rsid w:val="008A6DF2"/>
    <w:rsid w:val="008A7807"/>
    <w:rsid w:val="008B0CED"/>
    <w:rsid w:val="008B13C8"/>
    <w:rsid w:val="008B4CC9"/>
    <w:rsid w:val="008C5FFF"/>
    <w:rsid w:val="008C796D"/>
    <w:rsid w:val="008D4EF1"/>
    <w:rsid w:val="008D75E4"/>
    <w:rsid w:val="008D7C99"/>
    <w:rsid w:val="008E0FCB"/>
    <w:rsid w:val="008F5063"/>
    <w:rsid w:val="008F6DFE"/>
    <w:rsid w:val="008F7EDB"/>
    <w:rsid w:val="009008EA"/>
    <w:rsid w:val="00901CF2"/>
    <w:rsid w:val="0090529F"/>
    <w:rsid w:val="00905742"/>
    <w:rsid w:val="009068E3"/>
    <w:rsid w:val="00910514"/>
    <w:rsid w:val="00917EEE"/>
    <w:rsid w:val="0092178C"/>
    <w:rsid w:val="00922BA1"/>
    <w:rsid w:val="0092351E"/>
    <w:rsid w:val="00927821"/>
    <w:rsid w:val="00930B88"/>
    <w:rsid w:val="00934554"/>
    <w:rsid w:val="00936773"/>
    <w:rsid w:val="00940DCC"/>
    <w:rsid w:val="0094179A"/>
    <w:rsid w:val="0094459E"/>
    <w:rsid w:val="00944DBC"/>
    <w:rsid w:val="0094531F"/>
    <w:rsid w:val="009456CD"/>
    <w:rsid w:val="00950977"/>
    <w:rsid w:val="00951A7B"/>
    <w:rsid w:val="009541FC"/>
    <w:rsid w:val="009564A6"/>
    <w:rsid w:val="00960425"/>
    <w:rsid w:val="009607B9"/>
    <w:rsid w:val="009612DC"/>
    <w:rsid w:val="00966124"/>
    <w:rsid w:val="00966A53"/>
    <w:rsid w:val="00967621"/>
    <w:rsid w:val="00967E6A"/>
    <w:rsid w:val="009718A3"/>
    <w:rsid w:val="009848E6"/>
    <w:rsid w:val="009907B9"/>
    <w:rsid w:val="00990918"/>
    <w:rsid w:val="009A0BBF"/>
    <w:rsid w:val="009A1BDF"/>
    <w:rsid w:val="009A3A83"/>
    <w:rsid w:val="009B057D"/>
    <w:rsid w:val="009B0D04"/>
    <w:rsid w:val="009B1C44"/>
    <w:rsid w:val="009B30FD"/>
    <w:rsid w:val="009B4A0F"/>
    <w:rsid w:val="009B697B"/>
    <w:rsid w:val="009C11D2"/>
    <w:rsid w:val="009C3362"/>
    <w:rsid w:val="009C45CB"/>
    <w:rsid w:val="009C6C70"/>
    <w:rsid w:val="009C7B0A"/>
    <w:rsid w:val="009D0B63"/>
    <w:rsid w:val="009D32CE"/>
    <w:rsid w:val="009D5CB8"/>
    <w:rsid w:val="009E07B4"/>
    <w:rsid w:val="009E307E"/>
    <w:rsid w:val="009F7611"/>
    <w:rsid w:val="00A018C0"/>
    <w:rsid w:val="00A02EC3"/>
    <w:rsid w:val="00A056B5"/>
    <w:rsid w:val="00A07870"/>
    <w:rsid w:val="00A07C54"/>
    <w:rsid w:val="00A07F19"/>
    <w:rsid w:val="00A1348D"/>
    <w:rsid w:val="00A13C99"/>
    <w:rsid w:val="00A1713B"/>
    <w:rsid w:val="00A21697"/>
    <w:rsid w:val="00A22707"/>
    <w:rsid w:val="00A232EE"/>
    <w:rsid w:val="00A243E5"/>
    <w:rsid w:val="00A2589A"/>
    <w:rsid w:val="00A37C55"/>
    <w:rsid w:val="00A414F6"/>
    <w:rsid w:val="00A4175F"/>
    <w:rsid w:val="00A43A67"/>
    <w:rsid w:val="00A44411"/>
    <w:rsid w:val="00A469FA"/>
    <w:rsid w:val="00A518C4"/>
    <w:rsid w:val="00A53662"/>
    <w:rsid w:val="00A55B01"/>
    <w:rsid w:val="00A56158"/>
    <w:rsid w:val="00A56B5B"/>
    <w:rsid w:val="00A603FF"/>
    <w:rsid w:val="00A619B6"/>
    <w:rsid w:val="00A648CA"/>
    <w:rsid w:val="00A657DD"/>
    <w:rsid w:val="00A65D0C"/>
    <w:rsid w:val="00A666A6"/>
    <w:rsid w:val="00A675FD"/>
    <w:rsid w:val="00A72437"/>
    <w:rsid w:val="00A8048B"/>
    <w:rsid w:val="00A80611"/>
    <w:rsid w:val="00A83B47"/>
    <w:rsid w:val="00A91156"/>
    <w:rsid w:val="00A91D38"/>
    <w:rsid w:val="00A92050"/>
    <w:rsid w:val="00AA5BF4"/>
    <w:rsid w:val="00AB4080"/>
    <w:rsid w:val="00AB5340"/>
    <w:rsid w:val="00AC0A89"/>
    <w:rsid w:val="00AC62F0"/>
    <w:rsid w:val="00AC7252"/>
    <w:rsid w:val="00AC7C96"/>
    <w:rsid w:val="00AD4326"/>
    <w:rsid w:val="00AE237D"/>
    <w:rsid w:val="00AE38EB"/>
    <w:rsid w:val="00AE502A"/>
    <w:rsid w:val="00AE77D5"/>
    <w:rsid w:val="00AF0010"/>
    <w:rsid w:val="00AF2C1F"/>
    <w:rsid w:val="00AF587B"/>
    <w:rsid w:val="00AF5E0A"/>
    <w:rsid w:val="00AF5E0F"/>
    <w:rsid w:val="00AF7A9F"/>
    <w:rsid w:val="00AF7C07"/>
    <w:rsid w:val="00B03E98"/>
    <w:rsid w:val="00B041F7"/>
    <w:rsid w:val="00B06C64"/>
    <w:rsid w:val="00B11CAC"/>
    <w:rsid w:val="00B15A29"/>
    <w:rsid w:val="00B16EAD"/>
    <w:rsid w:val="00B17A26"/>
    <w:rsid w:val="00B22C93"/>
    <w:rsid w:val="00B27589"/>
    <w:rsid w:val="00B36C94"/>
    <w:rsid w:val="00B405B7"/>
    <w:rsid w:val="00B45A38"/>
    <w:rsid w:val="00B52222"/>
    <w:rsid w:val="00B52581"/>
    <w:rsid w:val="00B531DA"/>
    <w:rsid w:val="00B53E6C"/>
    <w:rsid w:val="00B54895"/>
    <w:rsid w:val="00B54FE7"/>
    <w:rsid w:val="00B558AB"/>
    <w:rsid w:val="00B62CB6"/>
    <w:rsid w:val="00B647C6"/>
    <w:rsid w:val="00B655F9"/>
    <w:rsid w:val="00B66901"/>
    <w:rsid w:val="00B70F47"/>
    <w:rsid w:val="00B71151"/>
    <w:rsid w:val="00B71E6D"/>
    <w:rsid w:val="00B72070"/>
    <w:rsid w:val="00B779E1"/>
    <w:rsid w:val="00B77FB3"/>
    <w:rsid w:val="00B81E3A"/>
    <w:rsid w:val="00B8332B"/>
    <w:rsid w:val="00B84EAE"/>
    <w:rsid w:val="00B85CFB"/>
    <w:rsid w:val="00B91EE1"/>
    <w:rsid w:val="00B94602"/>
    <w:rsid w:val="00BA0090"/>
    <w:rsid w:val="00BA1A67"/>
    <w:rsid w:val="00BA6A80"/>
    <w:rsid w:val="00BA6D5D"/>
    <w:rsid w:val="00BB3A5D"/>
    <w:rsid w:val="00BB4ABB"/>
    <w:rsid w:val="00BC041F"/>
    <w:rsid w:val="00BC41A1"/>
    <w:rsid w:val="00BC5810"/>
    <w:rsid w:val="00BD3198"/>
    <w:rsid w:val="00BD506D"/>
    <w:rsid w:val="00BE5B5F"/>
    <w:rsid w:val="00BE7993"/>
    <w:rsid w:val="00BF5992"/>
    <w:rsid w:val="00C027FF"/>
    <w:rsid w:val="00C116AA"/>
    <w:rsid w:val="00C11DB0"/>
    <w:rsid w:val="00C12FD1"/>
    <w:rsid w:val="00C168A7"/>
    <w:rsid w:val="00C172E3"/>
    <w:rsid w:val="00C20A2D"/>
    <w:rsid w:val="00C26F55"/>
    <w:rsid w:val="00C27DCA"/>
    <w:rsid w:val="00C30C63"/>
    <w:rsid w:val="00C30D1F"/>
    <w:rsid w:val="00C30FF3"/>
    <w:rsid w:val="00C34EB0"/>
    <w:rsid w:val="00C36B8B"/>
    <w:rsid w:val="00C415C1"/>
    <w:rsid w:val="00C47DBF"/>
    <w:rsid w:val="00C543FE"/>
    <w:rsid w:val="00C552FF"/>
    <w:rsid w:val="00C558DA"/>
    <w:rsid w:val="00C55AF3"/>
    <w:rsid w:val="00C57E56"/>
    <w:rsid w:val="00C6062B"/>
    <w:rsid w:val="00C724EE"/>
    <w:rsid w:val="00C75781"/>
    <w:rsid w:val="00C771A9"/>
    <w:rsid w:val="00C84759"/>
    <w:rsid w:val="00C854BD"/>
    <w:rsid w:val="00C870D8"/>
    <w:rsid w:val="00C87AAA"/>
    <w:rsid w:val="00C87EEF"/>
    <w:rsid w:val="00CA2EA3"/>
    <w:rsid w:val="00CA5CA9"/>
    <w:rsid w:val="00CA6C7F"/>
    <w:rsid w:val="00CA7280"/>
    <w:rsid w:val="00CB6B35"/>
    <w:rsid w:val="00CC0FC7"/>
    <w:rsid w:val="00CC10A6"/>
    <w:rsid w:val="00CD2011"/>
    <w:rsid w:val="00CD46C5"/>
    <w:rsid w:val="00CD5EB8"/>
    <w:rsid w:val="00CD7044"/>
    <w:rsid w:val="00CE08B9"/>
    <w:rsid w:val="00CE1853"/>
    <w:rsid w:val="00CE524C"/>
    <w:rsid w:val="00CF141F"/>
    <w:rsid w:val="00CF4777"/>
    <w:rsid w:val="00CF65C8"/>
    <w:rsid w:val="00D013F5"/>
    <w:rsid w:val="00D05E3F"/>
    <w:rsid w:val="00D067BB"/>
    <w:rsid w:val="00D1226D"/>
    <w:rsid w:val="00D1352A"/>
    <w:rsid w:val="00D15EC4"/>
    <w:rsid w:val="00D169AF"/>
    <w:rsid w:val="00D25249"/>
    <w:rsid w:val="00D302A4"/>
    <w:rsid w:val="00D335E8"/>
    <w:rsid w:val="00D37EBA"/>
    <w:rsid w:val="00D411B5"/>
    <w:rsid w:val="00D44172"/>
    <w:rsid w:val="00D47BE3"/>
    <w:rsid w:val="00D54235"/>
    <w:rsid w:val="00D63B8C"/>
    <w:rsid w:val="00D651E4"/>
    <w:rsid w:val="00D739CC"/>
    <w:rsid w:val="00D76372"/>
    <w:rsid w:val="00D8093D"/>
    <w:rsid w:val="00D8108C"/>
    <w:rsid w:val="00D842AE"/>
    <w:rsid w:val="00D9211C"/>
    <w:rsid w:val="00D92DE0"/>
    <w:rsid w:val="00D92FEF"/>
    <w:rsid w:val="00D93A0F"/>
    <w:rsid w:val="00D9579D"/>
    <w:rsid w:val="00D95A11"/>
    <w:rsid w:val="00DA1BCA"/>
    <w:rsid w:val="00DA4A45"/>
    <w:rsid w:val="00DB34E0"/>
    <w:rsid w:val="00DB40E1"/>
    <w:rsid w:val="00DB5925"/>
    <w:rsid w:val="00DC46FF"/>
    <w:rsid w:val="00DC5254"/>
    <w:rsid w:val="00DC569D"/>
    <w:rsid w:val="00DC5AB5"/>
    <w:rsid w:val="00DD0B5A"/>
    <w:rsid w:val="00DD1A4F"/>
    <w:rsid w:val="00DD3107"/>
    <w:rsid w:val="00DD7C2C"/>
    <w:rsid w:val="00DE5BDA"/>
    <w:rsid w:val="00DF24B9"/>
    <w:rsid w:val="00DF433C"/>
    <w:rsid w:val="00DF7FC2"/>
    <w:rsid w:val="00E0035A"/>
    <w:rsid w:val="00E06797"/>
    <w:rsid w:val="00E1137A"/>
    <w:rsid w:val="00E1265B"/>
    <w:rsid w:val="00E13B48"/>
    <w:rsid w:val="00E1404F"/>
    <w:rsid w:val="00E2042D"/>
    <w:rsid w:val="00E21C83"/>
    <w:rsid w:val="00E24ADA"/>
    <w:rsid w:val="00E32F59"/>
    <w:rsid w:val="00E41908"/>
    <w:rsid w:val="00E46D9A"/>
    <w:rsid w:val="00E54AC0"/>
    <w:rsid w:val="00E565FF"/>
    <w:rsid w:val="00E65388"/>
    <w:rsid w:val="00E76752"/>
    <w:rsid w:val="00E7741D"/>
    <w:rsid w:val="00E808CD"/>
    <w:rsid w:val="00E81803"/>
    <w:rsid w:val="00E82928"/>
    <w:rsid w:val="00E8348F"/>
    <w:rsid w:val="00E85B7D"/>
    <w:rsid w:val="00E9121B"/>
    <w:rsid w:val="00E9302E"/>
    <w:rsid w:val="00E94F86"/>
    <w:rsid w:val="00E9582E"/>
    <w:rsid w:val="00E96942"/>
    <w:rsid w:val="00E976AB"/>
    <w:rsid w:val="00EA0AE2"/>
    <w:rsid w:val="00EA1159"/>
    <w:rsid w:val="00EA187B"/>
    <w:rsid w:val="00EA39E5"/>
    <w:rsid w:val="00EA57A3"/>
    <w:rsid w:val="00EC13C2"/>
    <w:rsid w:val="00EC2813"/>
    <w:rsid w:val="00EC4197"/>
    <w:rsid w:val="00EC4AE4"/>
    <w:rsid w:val="00EC5A46"/>
    <w:rsid w:val="00EC63E2"/>
    <w:rsid w:val="00EC7AAA"/>
    <w:rsid w:val="00ED366A"/>
    <w:rsid w:val="00ED6BB7"/>
    <w:rsid w:val="00ED76F4"/>
    <w:rsid w:val="00EE1723"/>
    <w:rsid w:val="00EE6754"/>
    <w:rsid w:val="00EF22B3"/>
    <w:rsid w:val="00EF3BE7"/>
    <w:rsid w:val="00EF5D53"/>
    <w:rsid w:val="00F03B69"/>
    <w:rsid w:val="00F07A50"/>
    <w:rsid w:val="00F100D2"/>
    <w:rsid w:val="00F113DA"/>
    <w:rsid w:val="00F114B5"/>
    <w:rsid w:val="00F12DA4"/>
    <w:rsid w:val="00F1495C"/>
    <w:rsid w:val="00F266FC"/>
    <w:rsid w:val="00F3037A"/>
    <w:rsid w:val="00F3465A"/>
    <w:rsid w:val="00F37DC8"/>
    <w:rsid w:val="00F439B3"/>
    <w:rsid w:val="00F4550D"/>
    <w:rsid w:val="00F5671C"/>
    <w:rsid w:val="00F650C3"/>
    <w:rsid w:val="00F65D85"/>
    <w:rsid w:val="00F6700B"/>
    <w:rsid w:val="00F747D1"/>
    <w:rsid w:val="00F8091E"/>
    <w:rsid w:val="00F83855"/>
    <w:rsid w:val="00F83C2A"/>
    <w:rsid w:val="00F8615C"/>
    <w:rsid w:val="00F8673E"/>
    <w:rsid w:val="00F969E5"/>
    <w:rsid w:val="00F96F5C"/>
    <w:rsid w:val="00FA1D9B"/>
    <w:rsid w:val="00FA23C0"/>
    <w:rsid w:val="00FA4972"/>
    <w:rsid w:val="00FA6617"/>
    <w:rsid w:val="00FA6BB0"/>
    <w:rsid w:val="00FB0D87"/>
    <w:rsid w:val="00FB2C8D"/>
    <w:rsid w:val="00FB2DBD"/>
    <w:rsid w:val="00FB53D9"/>
    <w:rsid w:val="00FC6DA0"/>
    <w:rsid w:val="00FD48DF"/>
    <w:rsid w:val="00FD5094"/>
    <w:rsid w:val="00FD5860"/>
    <w:rsid w:val="00FE352D"/>
    <w:rsid w:val="00FE40EB"/>
    <w:rsid w:val="00FE4D02"/>
    <w:rsid w:val="00FE7D62"/>
    <w:rsid w:val="00FF08D3"/>
    <w:rsid w:val="00FF3559"/>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F542014"/>
  <w15:docId w15:val="{CF5CADEF-8098-4A0A-8483-7208A4B61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D3198"/>
    <w:pPr>
      <w:tabs>
        <w:tab w:val="left" w:pos="1247"/>
        <w:tab w:val="left" w:pos="1814"/>
        <w:tab w:val="left" w:pos="2381"/>
        <w:tab w:val="left" w:pos="2948"/>
        <w:tab w:val="left" w:pos="3515"/>
      </w:tabs>
    </w:pPr>
    <w:rPr>
      <w:lang w:val="fr-FR" w:eastAsia="en-US"/>
    </w:rPr>
  </w:style>
  <w:style w:type="paragraph" w:styleId="Heading1">
    <w:name w:val="heading 1"/>
    <w:basedOn w:val="Normal"/>
    <w:next w:val="Normalnumber"/>
    <w:qFormat/>
    <w:rsid w:val="00BD3198"/>
    <w:pPr>
      <w:keepNext/>
      <w:spacing w:before="240" w:after="120"/>
      <w:ind w:left="1247" w:hanging="680"/>
      <w:outlineLvl w:val="0"/>
    </w:pPr>
    <w:rPr>
      <w:b/>
      <w:sz w:val="28"/>
    </w:rPr>
  </w:style>
  <w:style w:type="paragraph" w:styleId="Heading2">
    <w:name w:val="heading 2"/>
    <w:basedOn w:val="Normal"/>
    <w:next w:val="Normalnumber"/>
    <w:qFormat/>
    <w:rsid w:val="00BD3198"/>
    <w:pPr>
      <w:keepNext/>
      <w:spacing w:before="240" w:after="120"/>
      <w:ind w:left="1247" w:hanging="680"/>
      <w:outlineLvl w:val="1"/>
    </w:pPr>
    <w:rPr>
      <w:b/>
      <w:sz w:val="24"/>
      <w:szCs w:val="24"/>
    </w:rPr>
  </w:style>
  <w:style w:type="paragraph" w:styleId="Heading3">
    <w:name w:val="heading 3"/>
    <w:basedOn w:val="Normal"/>
    <w:next w:val="Normalnumber"/>
    <w:qFormat/>
    <w:rsid w:val="00BD3198"/>
    <w:pPr>
      <w:spacing w:after="120"/>
      <w:ind w:left="1247" w:hanging="680"/>
      <w:outlineLvl w:val="2"/>
    </w:pPr>
    <w:rPr>
      <w:b/>
    </w:rPr>
  </w:style>
  <w:style w:type="paragraph" w:styleId="Heading4">
    <w:name w:val="heading 4"/>
    <w:basedOn w:val="Heading3"/>
    <w:next w:val="Normalnumber"/>
    <w:qFormat/>
    <w:rsid w:val="00BD3198"/>
    <w:pPr>
      <w:keepNext/>
      <w:outlineLvl w:val="3"/>
    </w:pPr>
  </w:style>
  <w:style w:type="paragraph" w:styleId="Heading5">
    <w:name w:val="heading 5"/>
    <w:basedOn w:val="Normal"/>
    <w:next w:val="Normal"/>
    <w:qFormat/>
    <w:rsid w:val="00BD3198"/>
    <w:pPr>
      <w:keepNext/>
      <w:outlineLvl w:val="4"/>
    </w:pPr>
    <w:rPr>
      <w:rFonts w:ascii="Univers" w:hAnsi="Univers"/>
      <w:b/>
      <w:sz w:val="24"/>
    </w:rPr>
  </w:style>
  <w:style w:type="paragraph" w:styleId="Heading6">
    <w:name w:val="heading 6"/>
    <w:basedOn w:val="Normal"/>
    <w:next w:val="Normal"/>
    <w:qFormat/>
    <w:rsid w:val="00BD3198"/>
    <w:pPr>
      <w:keepNext/>
      <w:ind w:left="578"/>
      <w:outlineLvl w:val="5"/>
    </w:pPr>
    <w:rPr>
      <w:b/>
      <w:bCs/>
      <w:sz w:val="24"/>
    </w:rPr>
  </w:style>
  <w:style w:type="paragraph" w:styleId="Heading7">
    <w:name w:val="heading 7"/>
    <w:basedOn w:val="Normal"/>
    <w:next w:val="Normal"/>
    <w:qFormat/>
    <w:rsid w:val="00BD3198"/>
    <w:pPr>
      <w:keepNext/>
      <w:widowControl w:val="0"/>
      <w:jc w:val="center"/>
      <w:outlineLvl w:val="6"/>
    </w:pPr>
    <w:rPr>
      <w:snapToGrid w:val="0"/>
      <w:u w:val="single"/>
      <w:lang w:val="en-US"/>
    </w:rPr>
  </w:style>
  <w:style w:type="paragraph" w:styleId="Heading8">
    <w:name w:val="heading 8"/>
    <w:basedOn w:val="Normal"/>
    <w:next w:val="Normal"/>
    <w:qFormat/>
    <w:rsid w:val="00BD3198"/>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BD3198"/>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rsid w:val="00BD319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D3198"/>
  </w:style>
  <w:style w:type="character" w:styleId="PageNumber">
    <w:name w:val="page number"/>
    <w:semiHidden/>
    <w:rsid w:val="00BD3198"/>
    <w:rPr>
      <w:rFonts w:ascii="Times New Roman" w:hAnsi="Times New Roman"/>
      <w:b/>
      <w:sz w:val="18"/>
    </w:rPr>
  </w:style>
  <w:style w:type="table" w:customStyle="1" w:styleId="Tabledocright">
    <w:name w:val="Table_doc_right"/>
    <w:basedOn w:val="TableNormal"/>
    <w:rsid w:val="00BD3198"/>
    <w:pPr>
      <w:spacing w:before="40" w:after="40"/>
    </w:pPr>
    <w:rPr>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BD3198"/>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BD3198"/>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BD3198"/>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BD3198"/>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BD3198"/>
    <w:rPr>
      <w:bCs w:val="0"/>
    </w:rPr>
  </w:style>
  <w:style w:type="paragraph" w:styleId="TableofFigures">
    <w:name w:val="table of figures"/>
    <w:basedOn w:val="Normal"/>
    <w:next w:val="Normal"/>
    <w:autoRedefine/>
    <w:semiHidden/>
    <w:rsid w:val="00BD3198"/>
    <w:pPr>
      <w:tabs>
        <w:tab w:val="clear" w:pos="1814"/>
        <w:tab w:val="clear" w:pos="2381"/>
        <w:tab w:val="clear" w:pos="2948"/>
        <w:tab w:val="clear" w:pos="3515"/>
      </w:tabs>
      <w:ind w:left="1814" w:hanging="567"/>
    </w:pPr>
  </w:style>
  <w:style w:type="paragraph" w:customStyle="1" w:styleId="CH1">
    <w:name w:val="CH1"/>
    <w:basedOn w:val="Normalpool"/>
    <w:next w:val="CH2"/>
    <w:rsid w:val="00BD3198"/>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BD3198"/>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link w:val="CH3Char"/>
    <w:rsid w:val="00BD3198"/>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BD3198"/>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BD3198"/>
    <w:rPr>
      <w:rFonts w:ascii="Arial" w:hAnsi="Arial"/>
      <w:sz w:val="16"/>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BD3198"/>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BD3198"/>
    <w:pPr>
      <w:tabs>
        <w:tab w:val="left" w:pos="4321"/>
        <w:tab w:val="right" w:pos="8641"/>
      </w:tabs>
      <w:spacing w:before="60" w:after="120"/>
    </w:pPr>
    <w:rPr>
      <w:b/>
      <w:sz w:val="18"/>
    </w:rPr>
  </w:style>
  <w:style w:type="paragraph" w:customStyle="1" w:styleId="Headerpool">
    <w:name w:val="Header_pool"/>
    <w:basedOn w:val="Normal"/>
    <w:next w:val="Normal"/>
    <w:semiHidden/>
    <w:rsid w:val="00BD319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autoRedefine/>
    <w:semiHidden/>
    <w:rsid w:val="00BD3198"/>
    <w:pPr>
      <w:tabs>
        <w:tab w:val="left" w:pos="1247"/>
        <w:tab w:val="left" w:pos="1814"/>
        <w:tab w:val="left" w:pos="2381"/>
        <w:tab w:val="left" w:pos="2948"/>
        <w:tab w:val="left" w:pos="3515"/>
        <w:tab w:val="left" w:pos="4082"/>
      </w:tabs>
    </w:pPr>
    <w:rPr>
      <w:lang w:val="fr-CA" w:eastAsia="en-US"/>
    </w:rPr>
  </w:style>
  <w:style w:type="paragraph" w:customStyle="1" w:styleId="Footer-pool">
    <w:name w:val="Footer-pool"/>
    <w:basedOn w:val="Normal-pool"/>
    <w:next w:val="Normal-pool"/>
    <w:rsid w:val="00BD3198"/>
    <w:pPr>
      <w:tabs>
        <w:tab w:val="left" w:pos="4321"/>
        <w:tab w:val="right" w:pos="8641"/>
      </w:tabs>
      <w:spacing w:before="60" w:after="120"/>
    </w:pPr>
    <w:rPr>
      <w:b/>
      <w:sz w:val="18"/>
    </w:rPr>
  </w:style>
  <w:style w:type="paragraph" w:customStyle="1" w:styleId="Header-pool">
    <w:name w:val="Header-pool"/>
    <w:basedOn w:val="Normal-pool"/>
    <w:next w:val="Normal-pool"/>
    <w:rsid w:val="00BD319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BD3198"/>
    <w:pPr>
      <w:tabs>
        <w:tab w:val="left" w:pos="1247"/>
        <w:tab w:val="left" w:pos="1814"/>
        <w:tab w:val="left" w:pos="2381"/>
        <w:tab w:val="left" w:pos="2948"/>
        <w:tab w:val="left" w:pos="3515"/>
        <w:tab w:val="left" w:pos="4082"/>
      </w:tabs>
    </w:pPr>
    <w:rPr>
      <w:lang w:val="fr-CA" w:eastAsia="en-US"/>
    </w:rPr>
  </w:style>
  <w:style w:type="character" w:styleId="FootnoteReference">
    <w:name w:val="footnote reference"/>
    <w:semiHidden/>
    <w:rsid w:val="00BD3198"/>
    <w:rPr>
      <w:rFonts w:ascii="Times New Roman" w:hAnsi="Times New Roman"/>
      <w:color w:val="auto"/>
      <w:sz w:val="20"/>
      <w:szCs w:val="18"/>
      <w:vertAlign w:val="superscript"/>
    </w:rPr>
  </w:style>
  <w:style w:type="paragraph" w:styleId="FootnoteText">
    <w:name w:val="footnote text"/>
    <w:basedOn w:val="Normalpool"/>
    <w:link w:val="FootnoteTextChar"/>
    <w:rsid w:val="00BD3198"/>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CA"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val="fr-CA" w:eastAsia="en-US"/>
    </w:rPr>
  </w:style>
  <w:style w:type="character" w:customStyle="1" w:styleId="CH2Char">
    <w:name w:val="CH2 Char"/>
    <w:link w:val="CH2"/>
    <w:rsid w:val="00312543"/>
    <w:rPr>
      <w:b/>
      <w:sz w:val="24"/>
      <w:szCs w:val="24"/>
      <w:lang w:val="fr-CA" w:eastAsia="en-US"/>
    </w:rPr>
  </w:style>
  <w:style w:type="character" w:customStyle="1" w:styleId="CH3Char">
    <w:name w:val="CH3 Char"/>
    <w:link w:val="CH3"/>
    <w:rsid w:val="00312543"/>
    <w:rPr>
      <w:b/>
      <w:lang w:val="fr-CA" w:eastAsia="en-US"/>
    </w:rPr>
  </w:style>
  <w:style w:type="character" w:customStyle="1" w:styleId="ZZAnxtitleChar">
    <w:name w:val="ZZ_Anx_title Char"/>
    <w:link w:val="ZZAnxtitle"/>
    <w:rsid w:val="00312543"/>
    <w:rPr>
      <w:b/>
      <w:bCs/>
      <w:sz w:val="28"/>
      <w:szCs w:val="26"/>
      <w:lang w:val="fr-CA" w:eastAsia="en-US"/>
    </w:rPr>
  </w:style>
  <w:style w:type="paragraph" w:customStyle="1" w:styleId="Articleheading">
    <w:name w:val="Article heading"/>
    <w:basedOn w:val="Normal"/>
    <w:next w:val="Subtitle"/>
    <w:rsid w:val="00312543"/>
    <w:pPr>
      <w:tabs>
        <w:tab w:val="clear" w:pos="1247"/>
        <w:tab w:val="clear" w:pos="1814"/>
        <w:tab w:val="clear" w:pos="2381"/>
        <w:tab w:val="clear" w:pos="2948"/>
        <w:tab w:val="clear" w:pos="3515"/>
      </w:tabs>
      <w:spacing w:after="240"/>
    </w:pPr>
    <w:rPr>
      <w:sz w:val="28"/>
      <w:szCs w:val="28"/>
    </w:rPr>
  </w:style>
  <w:style w:type="character" w:customStyle="1" w:styleId="ZZAnxheaderChar">
    <w:name w:val="ZZ_Anx_header Char"/>
    <w:link w:val="ZZAnxheader"/>
    <w:rsid w:val="00312543"/>
    <w:rPr>
      <w:b/>
      <w:bCs/>
      <w:sz w:val="28"/>
      <w:szCs w:val="22"/>
      <w:lang w:val="fr-CA"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table" w:customStyle="1" w:styleId="AATable">
    <w:name w:val="AA_Table"/>
    <w:basedOn w:val="TableNormal"/>
    <w:semiHidden/>
    <w:rsid w:val="00BD3198"/>
    <w:rPr>
      <w:lang w:val="fr-FR" w:eastAsia="fr-FR"/>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BD3198"/>
    <w:pPr>
      <w:keepNext/>
      <w:keepLines/>
      <w:suppressAutoHyphens/>
      <w:ind w:right="5103"/>
    </w:pPr>
    <w:rPr>
      <w:b/>
    </w:rPr>
  </w:style>
  <w:style w:type="paragraph" w:customStyle="1" w:styleId="AATitle2">
    <w:name w:val="AA_Title2"/>
    <w:basedOn w:val="AATitle"/>
    <w:rsid w:val="00BD3198"/>
    <w:pPr>
      <w:tabs>
        <w:tab w:val="clear" w:pos="4082"/>
      </w:tabs>
      <w:spacing w:before="120" w:after="120"/>
      <w:ind w:right="4536"/>
    </w:pPr>
  </w:style>
  <w:style w:type="paragraph" w:customStyle="1" w:styleId="BBTitle">
    <w:name w:val="BB_Title"/>
    <w:basedOn w:val="Normalpool"/>
    <w:link w:val="BBTitleChar"/>
    <w:rsid w:val="00BD3198"/>
    <w:pPr>
      <w:keepNext/>
      <w:keepLines/>
      <w:suppressAutoHyphens/>
      <w:spacing w:before="320" w:after="240"/>
      <w:ind w:left="1247" w:right="567"/>
    </w:pPr>
    <w:rPr>
      <w:b/>
      <w:sz w:val="28"/>
      <w:szCs w:val="28"/>
    </w:rPr>
  </w:style>
  <w:style w:type="paragraph" w:styleId="Footer">
    <w:name w:val="footer"/>
    <w:basedOn w:val="Normal"/>
    <w:semiHidden/>
    <w:rsid w:val="00BD3198"/>
    <w:pPr>
      <w:tabs>
        <w:tab w:val="center" w:pos="4320"/>
        <w:tab w:val="right" w:pos="8640"/>
      </w:tabs>
      <w:spacing w:before="60" w:after="120"/>
    </w:pPr>
    <w:rPr>
      <w:sz w:val="18"/>
    </w:rPr>
  </w:style>
  <w:style w:type="paragraph" w:styleId="Header">
    <w:name w:val="header"/>
    <w:basedOn w:val="Normal"/>
    <w:semiHidden/>
    <w:rsid w:val="00BD319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BD3198"/>
    <w:rPr>
      <w:rFonts w:ascii="Times New Roman" w:hAnsi="Times New Roman"/>
      <w:color w:val="auto"/>
      <w:sz w:val="20"/>
      <w:szCs w:val="20"/>
      <w:u w:val="none"/>
      <w:lang w:val="fr-FR"/>
    </w:rPr>
  </w:style>
  <w:style w:type="numbering" w:customStyle="1" w:styleId="Normallist">
    <w:name w:val="Normal_list"/>
    <w:basedOn w:val="NoList"/>
    <w:rsid w:val="00BD3198"/>
    <w:pPr>
      <w:numPr>
        <w:numId w:val="3"/>
      </w:numPr>
    </w:pPr>
  </w:style>
  <w:style w:type="paragraph" w:customStyle="1" w:styleId="NormalNonumber">
    <w:name w:val="Normal_No_number"/>
    <w:basedOn w:val="Normalpool"/>
    <w:rsid w:val="00BD3198"/>
    <w:pPr>
      <w:spacing w:after="120"/>
      <w:ind w:left="1247"/>
    </w:pPr>
  </w:style>
  <w:style w:type="paragraph" w:customStyle="1" w:styleId="Normalnumber">
    <w:name w:val="Normal_number"/>
    <w:basedOn w:val="Normalpool"/>
    <w:rsid w:val="00BD3198"/>
    <w:pPr>
      <w:numPr>
        <w:numId w:val="4"/>
      </w:numPr>
      <w:spacing w:after="120"/>
    </w:pPr>
  </w:style>
  <w:style w:type="paragraph" w:customStyle="1" w:styleId="Titletable">
    <w:name w:val="Title_table"/>
    <w:basedOn w:val="Normalpool"/>
    <w:rsid w:val="00BD3198"/>
    <w:pPr>
      <w:keepNext/>
      <w:keepLines/>
      <w:suppressAutoHyphens/>
      <w:spacing w:after="60"/>
      <w:ind w:left="1247"/>
    </w:pPr>
    <w:rPr>
      <w:b/>
      <w:bCs/>
    </w:rPr>
  </w:style>
  <w:style w:type="paragraph" w:styleId="TOC1">
    <w:name w:val="toc 1"/>
    <w:basedOn w:val="Normalpool"/>
    <w:next w:val="Normalpool"/>
    <w:rsid w:val="00BD3198"/>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BD3198"/>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BD3198"/>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BD3198"/>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BD3198"/>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BD3198"/>
    <w:rPr>
      <w:b/>
      <w:bCs/>
      <w:sz w:val="28"/>
      <w:szCs w:val="22"/>
    </w:rPr>
  </w:style>
  <w:style w:type="paragraph" w:customStyle="1" w:styleId="ZZAnxtitle">
    <w:name w:val="ZZ_Anx_title"/>
    <w:basedOn w:val="Normalpool"/>
    <w:link w:val="ZZAnxtitleChar"/>
    <w:rsid w:val="00BD3198"/>
    <w:pPr>
      <w:spacing w:before="360" w:after="120"/>
      <w:ind w:left="1247"/>
    </w:pPr>
    <w:rPr>
      <w:b/>
      <w:bCs/>
      <w:sz w:val="28"/>
      <w:szCs w:val="26"/>
    </w:rPr>
  </w:style>
  <w:style w:type="paragraph" w:styleId="Revision">
    <w:name w:val="Revision"/>
    <w:hidden/>
    <w:uiPriority w:val="99"/>
    <w:semiHidden/>
    <w:rsid w:val="00255632"/>
    <w:rPr>
      <w:lang w:eastAsia="en-US"/>
    </w:rPr>
  </w:style>
  <w:style w:type="paragraph" w:customStyle="1" w:styleId="Default">
    <w:name w:val="Default"/>
    <w:rsid w:val="0025267F"/>
    <w:pPr>
      <w:autoSpaceDE w:val="0"/>
      <w:autoSpaceDN w:val="0"/>
      <w:adjustRightInd w:val="0"/>
    </w:pPr>
    <w:rPr>
      <w:color w:val="000000"/>
      <w:sz w:val="24"/>
      <w:szCs w:val="24"/>
    </w:rPr>
  </w:style>
  <w:style w:type="character" w:customStyle="1" w:styleId="Normal-poolChar">
    <w:name w:val="Normal-pool Char"/>
    <w:link w:val="Normal-pool"/>
    <w:rsid w:val="0025267F"/>
    <w:rPr>
      <w:lang w:val="fr-CA" w:eastAsia="en-US"/>
    </w:rPr>
  </w:style>
  <w:style w:type="paragraph" w:styleId="NormalWeb">
    <w:name w:val="Normal (Web)"/>
    <w:basedOn w:val="Normal"/>
    <w:uiPriority w:val="99"/>
    <w:unhideWhenUsed/>
    <w:rsid w:val="0025267F"/>
    <w:pPr>
      <w:tabs>
        <w:tab w:val="clear" w:pos="1247"/>
        <w:tab w:val="clear" w:pos="1814"/>
        <w:tab w:val="clear" w:pos="2381"/>
        <w:tab w:val="clear" w:pos="2948"/>
        <w:tab w:val="clear" w:pos="3515"/>
      </w:tabs>
      <w:spacing w:after="240" w:line="225" w:lineRule="atLeast"/>
    </w:pPr>
    <w:rPr>
      <w:sz w:val="24"/>
      <w:szCs w:val="24"/>
      <w:lang w:val="en-US"/>
    </w:rPr>
  </w:style>
  <w:style w:type="character" w:styleId="Strong">
    <w:name w:val="Strong"/>
    <w:uiPriority w:val="22"/>
    <w:qFormat/>
    <w:rsid w:val="000760B6"/>
    <w:rPr>
      <w:b/>
      <w:bCs/>
    </w:rPr>
  </w:style>
  <w:style w:type="character" w:customStyle="1" w:styleId="Inget">
    <w:name w:val="Inget"/>
    <w:rsid w:val="00554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16092">
      <w:bodyDiv w:val="1"/>
      <w:marLeft w:val="0"/>
      <w:marRight w:val="0"/>
      <w:marTop w:val="0"/>
      <w:marBottom w:val="0"/>
      <w:divBdr>
        <w:top w:val="none" w:sz="0" w:space="0" w:color="auto"/>
        <w:left w:val="none" w:sz="0" w:space="0" w:color="auto"/>
        <w:bottom w:val="none" w:sz="0" w:space="0" w:color="auto"/>
        <w:right w:val="none" w:sz="0" w:space="0" w:color="auto"/>
      </w:divBdr>
      <w:divsChild>
        <w:div w:id="614099125">
          <w:marLeft w:val="0"/>
          <w:marRight w:val="0"/>
          <w:marTop w:val="225"/>
          <w:marBottom w:val="0"/>
          <w:divBdr>
            <w:top w:val="none" w:sz="0" w:space="0" w:color="auto"/>
            <w:left w:val="none" w:sz="0" w:space="0" w:color="auto"/>
            <w:bottom w:val="none" w:sz="0" w:space="0" w:color="auto"/>
            <w:right w:val="none" w:sz="0" w:space="0" w:color="auto"/>
          </w:divBdr>
          <w:divsChild>
            <w:div w:id="1774667909">
              <w:marLeft w:val="0"/>
              <w:marRight w:val="0"/>
              <w:marTop w:val="285"/>
              <w:marBottom w:val="0"/>
              <w:divBdr>
                <w:top w:val="none" w:sz="0" w:space="0" w:color="auto"/>
                <w:left w:val="none" w:sz="0" w:space="0" w:color="auto"/>
                <w:bottom w:val="none" w:sz="0" w:space="0" w:color="auto"/>
                <w:right w:val="none" w:sz="0" w:space="0" w:color="auto"/>
              </w:divBdr>
              <w:divsChild>
                <w:div w:id="1569414997">
                  <w:marLeft w:val="0"/>
                  <w:marRight w:val="0"/>
                  <w:marTop w:val="0"/>
                  <w:marBottom w:val="0"/>
                  <w:divBdr>
                    <w:top w:val="none" w:sz="0" w:space="0" w:color="auto"/>
                    <w:left w:val="none" w:sz="0" w:space="0" w:color="auto"/>
                    <w:bottom w:val="none" w:sz="0" w:space="0" w:color="auto"/>
                    <w:right w:val="none" w:sz="0" w:space="0" w:color="auto"/>
                  </w:divBdr>
                  <w:divsChild>
                    <w:div w:id="1053311423">
                      <w:marLeft w:val="0"/>
                      <w:marRight w:val="0"/>
                      <w:marTop w:val="0"/>
                      <w:marBottom w:val="0"/>
                      <w:divBdr>
                        <w:top w:val="none" w:sz="0" w:space="0" w:color="auto"/>
                        <w:left w:val="none" w:sz="0" w:space="0" w:color="auto"/>
                        <w:bottom w:val="none" w:sz="0" w:space="0" w:color="auto"/>
                        <w:right w:val="none" w:sz="0" w:space="0" w:color="auto"/>
                      </w:divBdr>
                      <w:divsChild>
                        <w:div w:id="246236280">
                          <w:marLeft w:val="0"/>
                          <w:marRight w:val="0"/>
                          <w:marTop w:val="0"/>
                          <w:marBottom w:val="0"/>
                          <w:divBdr>
                            <w:top w:val="none" w:sz="0" w:space="0" w:color="auto"/>
                            <w:left w:val="none" w:sz="0" w:space="0" w:color="auto"/>
                            <w:bottom w:val="none" w:sz="0" w:space="0" w:color="auto"/>
                            <w:right w:val="none" w:sz="0" w:space="0" w:color="auto"/>
                          </w:divBdr>
                          <w:divsChild>
                            <w:div w:id="1604148544">
                              <w:marLeft w:val="0"/>
                              <w:marRight w:val="0"/>
                              <w:marTop w:val="0"/>
                              <w:marBottom w:val="0"/>
                              <w:divBdr>
                                <w:top w:val="none" w:sz="0" w:space="0" w:color="auto"/>
                                <w:left w:val="none" w:sz="0" w:space="0" w:color="auto"/>
                                <w:bottom w:val="none" w:sz="0" w:space="0" w:color="auto"/>
                                <w:right w:val="none" w:sz="0" w:space="0" w:color="auto"/>
                              </w:divBdr>
                              <w:divsChild>
                                <w:div w:id="632566046">
                                  <w:marLeft w:val="0"/>
                                  <w:marRight w:val="0"/>
                                  <w:marTop w:val="0"/>
                                  <w:marBottom w:val="0"/>
                                  <w:divBdr>
                                    <w:top w:val="none" w:sz="0" w:space="0" w:color="auto"/>
                                    <w:left w:val="none" w:sz="0" w:space="0" w:color="auto"/>
                                    <w:bottom w:val="none" w:sz="0" w:space="0" w:color="auto"/>
                                    <w:right w:val="none" w:sz="0" w:space="0" w:color="auto"/>
                                  </w:divBdr>
                                  <w:divsChild>
                                    <w:div w:id="115764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549657252">
      <w:bodyDiv w:val="1"/>
      <w:marLeft w:val="0"/>
      <w:marRight w:val="0"/>
      <w:marTop w:val="0"/>
      <w:marBottom w:val="0"/>
      <w:divBdr>
        <w:top w:val="none" w:sz="0" w:space="0" w:color="auto"/>
        <w:left w:val="none" w:sz="0" w:space="0" w:color="auto"/>
        <w:bottom w:val="none" w:sz="0" w:space="0" w:color="auto"/>
        <w:right w:val="none" w:sz="0" w:space="0" w:color="auto"/>
      </w:divBdr>
    </w:div>
    <w:div w:id="1126005969">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0694670">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94639821">
      <w:bodyDiv w:val="1"/>
      <w:marLeft w:val="0"/>
      <w:marRight w:val="0"/>
      <w:marTop w:val="0"/>
      <w:marBottom w:val="0"/>
      <w:divBdr>
        <w:top w:val="none" w:sz="0" w:space="0" w:color="auto"/>
        <w:left w:val="none" w:sz="0" w:space="0" w:color="auto"/>
        <w:bottom w:val="none" w:sz="0" w:space="0" w:color="auto"/>
        <w:right w:val="none" w:sz="0" w:space="0" w:color="auto"/>
      </w:divBdr>
    </w:div>
    <w:div w:id="1637444503">
      <w:bodyDiv w:val="1"/>
      <w:marLeft w:val="0"/>
      <w:marRight w:val="0"/>
      <w:marTop w:val="0"/>
      <w:marBottom w:val="0"/>
      <w:divBdr>
        <w:top w:val="none" w:sz="0" w:space="0" w:color="auto"/>
        <w:left w:val="none" w:sz="0" w:space="0" w:color="auto"/>
        <w:bottom w:val="none" w:sz="0" w:space="0" w:color="auto"/>
        <w:right w:val="none" w:sz="0" w:space="0" w:color="auto"/>
      </w:divBdr>
    </w:div>
    <w:div w:id="1690982450">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
    <w:div w:id="1831868775">
      <w:bodyDiv w:val="1"/>
      <w:marLeft w:val="0"/>
      <w:marRight w:val="0"/>
      <w:marTop w:val="0"/>
      <w:marBottom w:val="0"/>
      <w:divBdr>
        <w:top w:val="none" w:sz="0" w:space="0" w:color="auto"/>
        <w:left w:val="none" w:sz="0" w:space="0" w:color="auto"/>
        <w:bottom w:val="none" w:sz="0" w:space="0" w:color="auto"/>
        <w:right w:val="none" w:sz="0" w:space="0" w:color="auto"/>
      </w:divBdr>
    </w:div>
    <w:div w:id="198615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604E2-4866-473E-8781-5744507A8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3399</Words>
  <Characters>18850</Characters>
  <Application>Microsoft Office Word</Application>
  <DocSecurity>0</DocSecurity>
  <Lines>157</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unon</Company>
  <LinksUpToDate>false</LinksUpToDate>
  <CharactersWithSpaces>22205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Thomas Lieven</cp:lastModifiedBy>
  <cp:revision>2</cp:revision>
  <cp:lastPrinted>2017-04-03T09:04:00Z</cp:lastPrinted>
  <dcterms:created xsi:type="dcterms:W3CDTF">2017-08-30T09:07:00Z</dcterms:created>
  <dcterms:modified xsi:type="dcterms:W3CDTF">2017-08-30T09:07:00Z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diane.belud</vt:lpwstr>
  </property>
  <property fmtid="{D5CDD505-2E9C-101B-9397-08002B2CF9AE}" pid="4" name="GeneratedDate">
    <vt:lpwstr>7/27/2017 8:41:20 AM</vt:lpwstr>
  </property>
  <property fmtid="{D5CDD505-2E9C-101B-9397-08002B2CF9AE}" pid="5" name="OriginalDocID">
    <vt:lpwstr>bc4b0796-db14-4841-8c35-9195cda61a81</vt:lpwstr>
  </property>
</Properties>
</file>