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032E4E" w:rsidRPr="00D25175" w14:paraId="4B9F0F9B" w14:textId="77777777" w:rsidTr="00CB007D">
        <w:trPr>
          <w:cantSplit/>
          <w:trHeight w:val="850"/>
          <w:jc w:val="right"/>
        </w:trPr>
        <w:tc>
          <w:tcPr>
            <w:tcW w:w="1550" w:type="dxa"/>
          </w:tcPr>
          <w:p w14:paraId="2A9B9F9D" w14:textId="7C401BDA" w:rsidR="00032E4E" w:rsidRPr="00CE5716" w:rsidRDefault="00776600" w:rsidP="00023DA9">
            <w:pPr>
              <w:rPr>
                <w:rFonts w:ascii="Univers" w:hAnsi="Univers"/>
                <w:b/>
                <w:noProof/>
                <w:sz w:val="27"/>
                <w:szCs w:val="27"/>
              </w:rPr>
            </w:pPr>
            <w:r w:rsidRPr="00D25175">
              <w:rPr>
                <w:rFonts w:ascii="Arial" w:hAnsi="Arial" w:cs="Arial"/>
                <w:b/>
                <w:noProof/>
                <w:sz w:val="27"/>
                <w:szCs w:val="27"/>
              </w:rPr>
              <w:t>NATIONS</w:t>
            </w:r>
            <w:r>
              <w:rPr>
                <w:rFonts w:ascii="Arial" w:hAnsi="Arial" w:cs="Arial"/>
                <w:b/>
                <w:noProof/>
                <w:sz w:val="27"/>
                <w:szCs w:val="27"/>
              </w:rPr>
              <w:br/>
              <w:t>UNIES</w:t>
            </w:r>
          </w:p>
        </w:tc>
        <w:tc>
          <w:tcPr>
            <w:tcW w:w="4751" w:type="dxa"/>
          </w:tcPr>
          <w:p w14:paraId="2F47229A" w14:textId="4DFEF57C" w:rsidR="00032E4E" w:rsidRPr="00D25175" w:rsidRDefault="00032E4E" w:rsidP="00A807D4">
            <w:pPr>
              <w:rPr>
                <w:rFonts w:ascii="Univers" w:hAnsi="Univers"/>
                <w:b/>
                <w:sz w:val="27"/>
                <w:szCs w:val="27"/>
              </w:rPr>
            </w:pPr>
          </w:p>
        </w:tc>
        <w:tc>
          <w:tcPr>
            <w:tcW w:w="3411" w:type="dxa"/>
          </w:tcPr>
          <w:p w14:paraId="57073C3F" w14:textId="3C441F48" w:rsidR="00032E4E" w:rsidRPr="00D25175" w:rsidRDefault="00776600" w:rsidP="00023DA9">
            <w:pPr>
              <w:jc w:val="right"/>
              <w:rPr>
                <w:rFonts w:ascii="Arial" w:hAnsi="Arial" w:cs="Arial"/>
                <w:b/>
                <w:sz w:val="64"/>
                <w:szCs w:val="64"/>
              </w:rPr>
            </w:pPr>
            <w:r w:rsidRPr="00D25175">
              <w:rPr>
                <w:rFonts w:ascii="Arial" w:hAnsi="Arial" w:cs="Arial"/>
                <w:b/>
                <w:sz w:val="64"/>
                <w:szCs w:val="64"/>
              </w:rPr>
              <w:t>MC</w:t>
            </w:r>
          </w:p>
        </w:tc>
      </w:tr>
      <w:tr w:rsidR="00032E4E" w:rsidRPr="00D25175" w14:paraId="0DEAC680" w14:textId="77777777" w:rsidTr="00CB007D">
        <w:trPr>
          <w:cantSplit/>
          <w:trHeight w:val="281"/>
          <w:jc w:val="right"/>
        </w:trPr>
        <w:tc>
          <w:tcPr>
            <w:tcW w:w="1550" w:type="dxa"/>
            <w:tcBorders>
              <w:bottom w:val="single" w:sz="4" w:space="0" w:color="auto"/>
            </w:tcBorders>
          </w:tcPr>
          <w:p w14:paraId="30269B88" w14:textId="77777777" w:rsidR="00032E4E" w:rsidRPr="00D25175" w:rsidRDefault="00032E4E" w:rsidP="00023DA9">
            <w:pPr>
              <w:rPr>
                <w:noProof/>
                <w:sz w:val="18"/>
                <w:szCs w:val="18"/>
              </w:rPr>
            </w:pPr>
          </w:p>
        </w:tc>
        <w:tc>
          <w:tcPr>
            <w:tcW w:w="4751" w:type="dxa"/>
            <w:tcBorders>
              <w:bottom w:val="single" w:sz="4" w:space="0" w:color="auto"/>
            </w:tcBorders>
          </w:tcPr>
          <w:p w14:paraId="54296B4D" w14:textId="77777777" w:rsidR="00032E4E" w:rsidRPr="00D25175" w:rsidRDefault="00032E4E" w:rsidP="00023DA9">
            <w:pPr>
              <w:rPr>
                <w:rFonts w:ascii="Univers" w:hAnsi="Univers"/>
                <w:b/>
                <w:sz w:val="18"/>
                <w:szCs w:val="18"/>
              </w:rPr>
            </w:pPr>
          </w:p>
        </w:tc>
        <w:tc>
          <w:tcPr>
            <w:tcW w:w="3411" w:type="dxa"/>
            <w:tcBorders>
              <w:bottom w:val="single" w:sz="4" w:space="0" w:color="auto"/>
            </w:tcBorders>
          </w:tcPr>
          <w:p w14:paraId="540639F8" w14:textId="284F17F3" w:rsidR="00032E4E" w:rsidRPr="00D25175" w:rsidRDefault="00032E4E" w:rsidP="00787688">
            <w:pPr>
              <w:rPr>
                <w:noProof/>
                <w:sz w:val="18"/>
                <w:szCs w:val="18"/>
              </w:rPr>
            </w:pPr>
            <w:r w:rsidRPr="008715F8">
              <w:rPr>
                <w:b/>
                <w:sz w:val="28"/>
                <w:szCs w:val="28"/>
                <w:lang w:val="fr-FR"/>
              </w:rPr>
              <w:t>UNEP</w:t>
            </w:r>
            <w:r>
              <w:rPr>
                <w:lang w:val="fr-FR"/>
              </w:rPr>
              <w:t>/MC/COP.1/19</w:t>
            </w:r>
            <w:bookmarkStart w:id="0" w:name="OLE_LINK1"/>
            <w:bookmarkStart w:id="1" w:name="OLE_LINK2"/>
            <w:bookmarkEnd w:id="0"/>
            <w:bookmarkEnd w:id="1"/>
          </w:p>
        </w:tc>
      </w:tr>
      <w:bookmarkStart w:id="2" w:name="_MON_1021710482"/>
      <w:bookmarkEnd w:id="2"/>
      <w:bookmarkStart w:id="3" w:name="_MON_1021710510"/>
      <w:bookmarkEnd w:id="3"/>
      <w:tr w:rsidR="00032E4E" w:rsidRPr="00AB0C99" w14:paraId="34AA74B4" w14:textId="77777777" w:rsidTr="00CB007D">
        <w:trPr>
          <w:cantSplit/>
          <w:trHeight w:val="2549"/>
          <w:jc w:val="right"/>
        </w:trPr>
        <w:tc>
          <w:tcPr>
            <w:tcW w:w="1550" w:type="dxa"/>
            <w:tcBorders>
              <w:top w:val="single" w:sz="4" w:space="0" w:color="auto"/>
              <w:bottom w:val="single" w:sz="24" w:space="0" w:color="auto"/>
            </w:tcBorders>
          </w:tcPr>
          <w:p w14:paraId="02CDC318" w14:textId="77777777" w:rsidR="00032E4E" w:rsidRPr="00D25175" w:rsidRDefault="00032E4E" w:rsidP="00023DA9">
            <w:pPr>
              <w:rPr>
                <w:noProof/>
              </w:rPr>
            </w:pPr>
            <w:r w:rsidRPr="00D25175">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1.65pt" o:ole="" fillcolor="window">
                  <v:imagedata r:id="rId9" o:title=""/>
                </v:shape>
                <o:OLEObject Type="Embed" ProgID="Word.Picture.8" ShapeID="_x0000_i1025" DrawAspect="Content" ObjectID="_1560664204" r:id="rId10"/>
              </w:object>
            </w:r>
            <w:r w:rsidR="00011A16" w:rsidRPr="00D25175">
              <w:rPr>
                <w:noProof/>
                <w:lang w:val="en-US"/>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C211BD" w14:textId="5A2A3E2B" w:rsidR="00032E4E" w:rsidRPr="00066BE9" w:rsidRDefault="008715F8" w:rsidP="008715F8">
            <w:pPr>
              <w:spacing w:before="1200"/>
              <w:rPr>
                <w:rFonts w:ascii="Arial" w:hAnsi="Arial" w:cs="Arial"/>
                <w:b/>
                <w:sz w:val="28"/>
                <w:lang w:val="fr-FR"/>
              </w:rPr>
            </w:pPr>
            <w:r w:rsidRPr="008715F8">
              <w:rPr>
                <w:rFonts w:ascii="Arial" w:hAnsi="Arial" w:cs="Arial"/>
                <w:b/>
                <w:sz w:val="32"/>
                <w:szCs w:val="32"/>
                <w:lang w:val="fr-FR"/>
              </w:rPr>
              <w:t>Progra</w:t>
            </w:r>
            <w:bookmarkStart w:id="4" w:name="_GoBack"/>
            <w:bookmarkEnd w:id="4"/>
            <w:r w:rsidRPr="008715F8">
              <w:rPr>
                <w:rFonts w:ascii="Arial" w:hAnsi="Arial" w:cs="Arial"/>
                <w:b/>
                <w:sz w:val="32"/>
                <w:szCs w:val="32"/>
                <w:lang w:val="fr-FR"/>
              </w:rPr>
              <w:t>mme</w:t>
            </w:r>
            <w:r w:rsidRPr="008715F8">
              <w:rPr>
                <w:rFonts w:ascii="Arial" w:hAnsi="Arial" w:cs="Arial"/>
                <w:b/>
                <w:sz w:val="32"/>
                <w:szCs w:val="32"/>
                <w:lang w:val="fr-FR"/>
              </w:rPr>
              <w:br w:type="textWrapping" w:clear="all"/>
              <w:t>des Nations Unies</w:t>
            </w:r>
            <w:r w:rsidRPr="008715F8">
              <w:rPr>
                <w:rFonts w:ascii="Arial" w:hAnsi="Arial" w:cs="Arial"/>
                <w:b/>
                <w:sz w:val="32"/>
                <w:szCs w:val="32"/>
                <w:lang w:val="fr-FR"/>
              </w:rPr>
              <w:br w:type="textWrapping" w:clear="all"/>
            </w:r>
            <w:r>
              <w:rPr>
                <w:rFonts w:ascii="Arial" w:hAnsi="Arial" w:cs="Arial"/>
                <w:b/>
                <w:sz w:val="32"/>
                <w:szCs w:val="32"/>
                <w:lang w:val="fr-FR"/>
              </w:rPr>
              <w:t>pour l’environn</w:t>
            </w:r>
            <w:r w:rsidR="003F5970">
              <w:rPr>
                <w:rFonts w:ascii="Arial" w:hAnsi="Arial" w:cs="Arial"/>
                <w:b/>
                <w:sz w:val="32"/>
                <w:szCs w:val="32"/>
                <w:lang w:val="fr-FR"/>
              </w:rPr>
              <w:t>e</w:t>
            </w:r>
            <w:r>
              <w:rPr>
                <w:rFonts w:ascii="Arial" w:hAnsi="Arial" w:cs="Arial"/>
                <w:b/>
                <w:sz w:val="32"/>
                <w:szCs w:val="32"/>
                <w:lang w:val="fr-FR"/>
              </w:rPr>
              <w:t>ment</w:t>
            </w:r>
          </w:p>
        </w:tc>
        <w:tc>
          <w:tcPr>
            <w:tcW w:w="3411" w:type="dxa"/>
            <w:tcBorders>
              <w:top w:val="single" w:sz="4" w:space="0" w:color="auto"/>
              <w:bottom w:val="single" w:sz="24" w:space="0" w:color="auto"/>
            </w:tcBorders>
          </w:tcPr>
          <w:p w14:paraId="722F44F8" w14:textId="49737D7F" w:rsidR="00032E4E" w:rsidRPr="00066BE9" w:rsidRDefault="00032E4E" w:rsidP="00787688">
            <w:pPr>
              <w:spacing w:before="120"/>
              <w:rPr>
                <w:lang w:val="fr-FR"/>
              </w:rPr>
            </w:pPr>
            <w:proofErr w:type="spellStart"/>
            <w:r>
              <w:rPr>
                <w:lang w:val="fr-FR"/>
              </w:rPr>
              <w:t>Distr</w:t>
            </w:r>
            <w:proofErr w:type="spellEnd"/>
            <w:r>
              <w:rPr>
                <w:lang w:val="fr-FR"/>
              </w:rPr>
              <w:t xml:space="preserve">. générale </w:t>
            </w:r>
            <w:r w:rsidR="00066BE9">
              <w:rPr>
                <w:lang w:val="fr-FR"/>
              </w:rPr>
              <w:br/>
            </w:r>
            <w:r>
              <w:rPr>
                <w:lang w:val="fr-FR"/>
              </w:rPr>
              <w:t>15 mai 2017</w:t>
            </w:r>
          </w:p>
          <w:p w14:paraId="1A75CF9D" w14:textId="596DBB4B" w:rsidR="00032E4E" w:rsidRPr="00066BE9" w:rsidRDefault="00032E4E" w:rsidP="00CF175C">
            <w:pPr>
              <w:spacing w:before="120"/>
              <w:rPr>
                <w:lang w:val="fr-FR"/>
              </w:rPr>
            </w:pPr>
            <w:r>
              <w:rPr>
                <w:lang w:val="fr-FR"/>
              </w:rPr>
              <w:t xml:space="preserve">Français </w:t>
            </w:r>
            <w:r w:rsidR="00066BE9">
              <w:rPr>
                <w:lang w:val="fr-FR"/>
              </w:rPr>
              <w:br/>
            </w:r>
            <w:r>
              <w:rPr>
                <w:lang w:val="fr-FR"/>
              </w:rPr>
              <w:t>Original : anglais</w:t>
            </w:r>
          </w:p>
        </w:tc>
      </w:tr>
    </w:tbl>
    <w:p w14:paraId="6EA23D1D" w14:textId="0C33F4D1" w:rsidR="00066BE9" w:rsidRDefault="00CB007D" w:rsidP="00776600">
      <w:pPr>
        <w:pStyle w:val="AATitle"/>
        <w:keepNext w:val="0"/>
        <w:keepLines w:val="0"/>
        <w:tabs>
          <w:tab w:val="left" w:pos="4820"/>
        </w:tabs>
        <w:ind w:right="4676"/>
        <w:rPr>
          <w:lang w:val="fr-FR"/>
        </w:rPr>
      </w:pPr>
      <w:r>
        <w:rPr>
          <w:lang w:val="fr-FR"/>
        </w:rPr>
        <w:t>Conférence</w:t>
      </w:r>
      <w:r w:rsidR="00CF175C">
        <w:rPr>
          <w:lang w:val="fr-FR"/>
        </w:rPr>
        <w:t xml:space="preserve"> des Parties à la Convention de </w:t>
      </w:r>
      <w:r>
        <w:rPr>
          <w:lang w:val="fr-FR"/>
        </w:rPr>
        <w:t>Minamata sur le mercure</w:t>
      </w:r>
    </w:p>
    <w:p w14:paraId="26A6CAA0" w14:textId="610F626A" w:rsidR="00E976AB" w:rsidRPr="00066BE9" w:rsidRDefault="00CB007D" w:rsidP="00E976AB">
      <w:pPr>
        <w:pStyle w:val="AATitle"/>
        <w:keepNext w:val="0"/>
        <w:keepLines w:val="0"/>
        <w:rPr>
          <w:lang w:val="fr-FR"/>
        </w:rPr>
      </w:pPr>
      <w:r>
        <w:rPr>
          <w:lang w:val="fr-FR"/>
        </w:rPr>
        <w:t>Première réunion</w:t>
      </w:r>
    </w:p>
    <w:p w14:paraId="67B82F12" w14:textId="36780F78" w:rsidR="00787688" w:rsidRPr="00066BE9" w:rsidRDefault="00787688" w:rsidP="00787688">
      <w:pPr>
        <w:pStyle w:val="AATitle"/>
        <w:rPr>
          <w:b w:val="0"/>
          <w:lang w:val="fr-FR"/>
        </w:rPr>
      </w:pPr>
      <w:r w:rsidRPr="00CE5716">
        <w:rPr>
          <w:b w:val="0"/>
          <w:lang w:val="fr-FR"/>
        </w:rPr>
        <w:t>Genève, 24–29 septembre 2017</w:t>
      </w:r>
    </w:p>
    <w:p w14:paraId="481CF77D" w14:textId="288B17E2" w:rsidR="008A26DF" w:rsidRPr="00066BE9" w:rsidRDefault="008715F8" w:rsidP="008A26DF">
      <w:pPr>
        <w:pStyle w:val="AATitle"/>
        <w:keepNext w:val="0"/>
        <w:keepLines w:val="0"/>
        <w:rPr>
          <w:b w:val="0"/>
          <w:lang w:val="fr-FR"/>
        </w:rPr>
      </w:pPr>
      <w:r>
        <w:rPr>
          <w:b w:val="0"/>
          <w:lang w:val="fr-FR"/>
        </w:rPr>
        <w:t>Point 5 </w:t>
      </w:r>
      <w:r w:rsidR="008A26DF" w:rsidRPr="00CE5716">
        <w:rPr>
          <w:b w:val="0"/>
          <w:lang w:val="fr-FR"/>
        </w:rPr>
        <w:t>c)</w:t>
      </w:r>
      <w:r>
        <w:rPr>
          <w:b w:val="0"/>
          <w:lang w:val="fr-FR"/>
        </w:rPr>
        <w:t> </w:t>
      </w:r>
      <w:r w:rsidR="008A26DF" w:rsidRPr="00CE5716">
        <w:rPr>
          <w:b w:val="0"/>
          <w:lang w:val="fr-FR"/>
        </w:rPr>
        <w:t>iv) de l</w:t>
      </w:r>
      <w:r w:rsidR="00CE5716">
        <w:rPr>
          <w:b w:val="0"/>
          <w:lang w:val="fr-FR"/>
        </w:rPr>
        <w:t>’</w:t>
      </w:r>
      <w:r w:rsidR="008A26DF" w:rsidRPr="00CE5716">
        <w:rPr>
          <w:b w:val="0"/>
          <w:lang w:val="fr-FR"/>
        </w:rPr>
        <w:t>ordre du jour provisoire</w:t>
      </w:r>
      <w:r w:rsidR="008A26DF" w:rsidRPr="008A26DF">
        <w:rPr>
          <w:b w:val="0"/>
          <w:lang w:val="fr-FR"/>
        </w:rPr>
        <w:footnoteReference w:customMarkFollows="1" w:id="1"/>
        <w:t>*</w:t>
      </w:r>
    </w:p>
    <w:p w14:paraId="1A4F5965" w14:textId="3E7D497F" w:rsidR="008A26DF" w:rsidRPr="00066BE9" w:rsidRDefault="008A26DF" w:rsidP="008A26DF">
      <w:pPr>
        <w:pStyle w:val="AATitle2"/>
        <w:spacing w:before="60"/>
        <w:rPr>
          <w:lang w:val="fr-FR"/>
        </w:rPr>
      </w:pPr>
      <w:r>
        <w:rPr>
          <w:lang w:val="fr-FR"/>
        </w:rPr>
        <w:t>Questions appelant un</w:t>
      </w:r>
      <w:r w:rsidR="008715F8">
        <w:rPr>
          <w:lang w:val="fr-FR"/>
        </w:rPr>
        <w:t>e décision de la Conférence des </w:t>
      </w:r>
      <w:r>
        <w:rPr>
          <w:lang w:val="fr-FR"/>
        </w:rPr>
        <w:t xml:space="preserve">Parties à sa première réunion : questions recommandées par le Comité de négociation intergouvernemental : examen du rapport </w:t>
      </w:r>
      <w:r w:rsidR="008715F8">
        <w:rPr>
          <w:lang w:val="fr-FR"/>
        </w:rPr>
        <w:br/>
      </w:r>
      <w:r>
        <w:rPr>
          <w:lang w:val="fr-FR"/>
        </w:rPr>
        <w:t>sur le brûlage à l</w:t>
      </w:r>
      <w:r w:rsidR="00CE5716">
        <w:rPr>
          <w:lang w:val="fr-FR"/>
        </w:rPr>
        <w:t>’</w:t>
      </w:r>
      <w:r>
        <w:rPr>
          <w:lang w:val="fr-FR"/>
        </w:rPr>
        <w:t>air libre</w:t>
      </w:r>
    </w:p>
    <w:p w14:paraId="71252924" w14:textId="47948669" w:rsidR="008A26DF" w:rsidRPr="00066BE9" w:rsidRDefault="008A26DF" w:rsidP="00043A14">
      <w:pPr>
        <w:pStyle w:val="BBTitle"/>
        <w:rPr>
          <w:lang w:val="fr-FR"/>
        </w:rPr>
      </w:pPr>
      <w:r>
        <w:rPr>
          <w:lang w:val="fr-FR"/>
        </w:rPr>
        <w:t>Examen du rapport sur le</w:t>
      </w:r>
      <w:r w:rsidR="008715F8">
        <w:rPr>
          <w:lang w:val="fr-FR"/>
        </w:rPr>
        <w:t>s émissions de mercure liées au </w:t>
      </w:r>
      <w:r>
        <w:rPr>
          <w:lang w:val="fr-FR"/>
        </w:rPr>
        <w:t>brûlage des déchets à l</w:t>
      </w:r>
      <w:r w:rsidR="00CE5716">
        <w:rPr>
          <w:lang w:val="fr-FR"/>
        </w:rPr>
        <w:t>’</w:t>
      </w:r>
      <w:r>
        <w:rPr>
          <w:lang w:val="fr-FR"/>
        </w:rPr>
        <w:t>air libre</w:t>
      </w:r>
    </w:p>
    <w:p w14:paraId="39A845C9" w14:textId="3C8500A2" w:rsidR="008A26DF" w:rsidRPr="00EA47D1" w:rsidRDefault="008A26DF" w:rsidP="008A26DF">
      <w:pPr>
        <w:pStyle w:val="CH2"/>
      </w:pPr>
      <w:r>
        <w:rPr>
          <w:lang w:val="fr-FR"/>
        </w:rPr>
        <w:tab/>
      </w:r>
      <w:r>
        <w:rPr>
          <w:lang w:val="fr-FR"/>
        </w:rPr>
        <w:tab/>
        <w:t>Note du secrétariat</w:t>
      </w:r>
    </w:p>
    <w:p w14:paraId="078A05AB" w14:textId="06B504AC" w:rsidR="008A26DF" w:rsidRPr="00066BE9" w:rsidRDefault="008A26DF" w:rsidP="00043A14">
      <w:pPr>
        <w:pStyle w:val="Normalnumber"/>
        <w:numPr>
          <w:ilvl w:val="0"/>
          <w:numId w:val="23"/>
        </w:numPr>
        <w:tabs>
          <w:tab w:val="clear" w:pos="1247"/>
          <w:tab w:val="clear" w:pos="1814"/>
          <w:tab w:val="clear" w:pos="2381"/>
          <w:tab w:val="clear" w:pos="2948"/>
          <w:tab w:val="clear" w:pos="3515"/>
          <w:tab w:val="clear" w:pos="4082"/>
          <w:tab w:val="left" w:pos="624"/>
        </w:tabs>
        <w:ind w:left="1247"/>
        <w:rPr>
          <w:lang w:val="fr-FR"/>
        </w:rPr>
      </w:pPr>
      <w:r>
        <w:rPr>
          <w:lang w:val="fr-FR"/>
        </w:rPr>
        <w:t>À sa cinquième session, le Comité de négociation intergouvernemental chargé d</w:t>
      </w:r>
      <w:r w:rsidR="00CE5716">
        <w:rPr>
          <w:lang w:val="fr-FR"/>
        </w:rPr>
        <w:t>’</w:t>
      </w:r>
      <w:r>
        <w:rPr>
          <w:lang w:val="fr-FR"/>
        </w:rPr>
        <w:t>élaborer un instrument international juridiquement contraignant sur le mercure a noté que le brûlage des déchets à l</w:t>
      </w:r>
      <w:r w:rsidR="00CE5716">
        <w:rPr>
          <w:lang w:val="fr-FR"/>
        </w:rPr>
        <w:t>’</w:t>
      </w:r>
      <w:r>
        <w:rPr>
          <w:lang w:val="fr-FR"/>
        </w:rPr>
        <w:t>air libre constituait une source potentielle d</w:t>
      </w:r>
      <w:r w:rsidR="00CE5716">
        <w:rPr>
          <w:lang w:val="fr-FR"/>
        </w:rPr>
        <w:t>’</w:t>
      </w:r>
      <w:r>
        <w:rPr>
          <w:lang w:val="fr-FR"/>
        </w:rPr>
        <w:t>émissions dans certains pays. L</w:t>
      </w:r>
      <w:r w:rsidR="00CE5716">
        <w:rPr>
          <w:lang w:val="fr-FR"/>
        </w:rPr>
        <w:t>’</w:t>
      </w:r>
      <w:r>
        <w:rPr>
          <w:lang w:val="fr-FR"/>
        </w:rPr>
        <w:t>inclusion du brûlage à l</w:t>
      </w:r>
      <w:r w:rsidR="00CE5716">
        <w:rPr>
          <w:lang w:val="fr-FR"/>
        </w:rPr>
        <w:t>’</w:t>
      </w:r>
      <w:r>
        <w:rPr>
          <w:lang w:val="fr-FR"/>
        </w:rPr>
        <w:t>air libre dans la liste des sources d</w:t>
      </w:r>
      <w:r w:rsidR="00CE5716">
        <w:rPr>
          <w:lang w:val="fr-FR"/>
        </w:rPr>
        <w:t>’</w:t>
      </w:r>
      <w:r>
        <w:rPr>
          <w:lang w:val="fr-FR"/>
        </w:rPr>
        <w:t>émissions visées par la Convention de Minamata sur le mercure n</w:t>
      </w:r>
      <w:r w:rsidR="00CE5716">
        <w:rPr>
          <w:lang w:val="fr-FR"/>
        </w:rPr>
        <w:t>’</w:t>
      </w:r>
      <w:r w:rsidR="00776600">
        <w:rPr>
          <w:lang w:val="fr-FR"/>
        </w:rPr>
        <w:t>av</w:t>
      </w:r>
      <w:r>
        <w:rPr>
          <w:lang w:val="fr-FR"/>
        </w:rPr>
        <w:t xml:space="preserve">ait pas été appuyée par certains pays </w:t>
      </w:r>
      <w:r w:rsidR="00F81C51">
        <w:rPr>
          <w:lang w:val="fr-FR"/>
        </w:rPr>
        <w:t>en raison de</w:t>
      </w:r>
      <w:r>
        <w:rPr>
          <w:lang w:val="fr-FR"/>
        </w:rPr>
        <w:t xml:space="preserve"> l</w:t>
      </w:r>
      <w:r w:rsidR="00CE5716">
        <w:rPr>
          <w:lang w:val="fr-FR"/>
        </w:rPr>
        <w:t>’</w:t>
      </w:r>
      <w:r>
        <w:rPr>
          <w:lang w:val="fr-FR"/>
        </w:rPr>
        <w:t>absence d</w:t>
      </w:r>
      <w:r w:rsidR="00CE5716">
        <w:rPr>
          <w:lang w:val="fr-FR"/>
        </w:rPr>
        <w:t>’</w:t>
      </w:r>
      <w:r>
        <w:rPr>
          <w:lang w:val="fr-FR"/>
        </w:rPr>
        <w:t xml:space="preserve">informations scientifiques suffisantes. Le secrétariat a été prié de recueillir des informations suffisantes pour </w:t>
      </w:r>
      <w:r w:rsidR="00F81C51">
        <w:rPr>
          <w:lang w:val="fr-FR"/>
        </w:rPr>
        <w:t xml:space="preserve">qu’une </w:t>
      </w:r>
      <w:r>
        <w:rPr>
          <w:lang w:val="fr-FR"/>
        </w:rPr>
        <w:t xml:space="preserve">décision </w:t>
      </w:r>
      <w:r w:rsidR="00F81C51">
        <w:rPr>
          <w:lang w:val="fr-FR"/>
        </w:rPr>
        <w:t xml:space="preserve">puisse être prise </w:t>
      </w:r>
      <w:r>
        <w:rPr>
          <w:lang w:val="fr-FR"/>
        </w:rPr>
        <w:t xml:space="preserve">sur la question et de communiquer le </w:t>
      </w:r>
      <w:r w:rsidR="006E7508">
        <w:rPr>
          <w:lang w:val="fr-FR"/>
        </w:rPr>
        <w:t xml:space="preserve">fruit </w:t>
      </w:r>
      <w:r>
        <w:rPr>
          <w:lang w:val="fr-FR"/>
        </w:rPr>
        <w:t xml:space="preserve">de ses recherches à la Conférence des Parties à la Convention de Minamata à sa première réunion ou </w:t>
      </w:r>
      <w:r w:rsidR="006E7508">
        <w:rPr>
          <w:lang w:val="fr-FR"/>
        </w:rPr>
        <w:t xml:space="preserve">dès que </w:t>
      </w:r>
      <w:r>
        <w:rPr>
          <w:lang w:val="fr-FR"/>
        </w:rPr>
        <w:t>possible.</w:t>
      </w:r>
    </w:p>
    <w:p w14:paraId="550815D6" w14:textId="18559EEF" w:rsidR="008A26DF" w:rsidRPr="00066BE9" w:rsidRDefault="008A26DF" w:rsidP="00043A14">
      <w:pPr>
        <w:pStyle w:val="Normalnumber"/>
        <w:numPr>
          <w:ilvl w:val="0"/>
          <w:numId w:val="22"/>
        </w:numPr>
        <w:tabs>
          <w:tab w:val="clear" w:pos="1247"/>
          <w:tab w:val="clear" w:pos="1814"/>
          <w:tab w:val="clear" w:pos="2381"/>
          <w:tab w:val="clear" w:pos="2948"/>
          <w:tab w:val="clear" w:pos="3515"/>
          <w:tab w:val="clear" w:pos="4082"/>
          <w:tab w:val="left" w:pos="624"/>
        </w:tabs>
        <w:ind w:left="1247"/>
        <w:rPr>
          <w:lang w:val="fr-FR"/>
        </w:rPr>
      </w:pPr>
      <w:r>
        <w:rPr>
          <w:lang w:val="fr-FR"/>
        </w:rPr>
        <w:t>À la suite de la septième session du Comité, le secrétariat a invité les gouvernements et autres intéressés à apporter leur contribution à un rapport sur le brûlage à l</w:t>
      </w:r>
      <w:r w:rsidR="00CE5716">
        <w:rPr>
          <w:lang w:val="fr-FR"/>
        </w:rPr>
        <w:t>’</w:t>
      </w:r>
      <w:r>
        <w:rPr>
          <w:lang w:val="fr-FR"/>
        </w:rPr>
        <w:t xml:space="preserve">air libre. Au cours de la période écoulée depuis la septième session, </w:t>
      </w:r>
      <w:r w:rsidR="006E7508">
        <w:rPr>
          <w:lang w:val="fr-FR"/>
        </w:rPr>
        <w:t xml:space="preserve">des communications ont été reçues de </w:t>
      </w:r>
      <w:r>
        <w:rPr>
          <w:lang w:val="fr-FR"/>
        </w:rPr>
        <w:t>11</w:t>
      </w:r>
      <w:r w:rsidR="00225285">
        <w:rPr>
          <w:lang w:val="fr-FR"/>
        </w:rPr>
        <w:t> </w:t>
      </w:r>
      <w:r>
        <w:rPr>
          <w:lang w:val="fr-FR"/>
        </w:rPr>
        <w:t xml:space="preserve">gouvernements et plusieurs sources non gouvernementales. Le secrétariat a également recueilli des informations provenant de </w:t>
      </w:r>
      <w:r w:rsidR="006E7508">
        <w:rPr>
          <w:lang w:val="fr-FR"/>
        </w:rPr>
        <w:t xml:space="preserve">plusieurs </w:t>
      </w:r>
      <w:r>
        <w:rPr>
          <w:lang w:val="fr-FR"/>
        </w:rPr>
        <w:t xml:space="preserve">autres sources, </w:t>
      </w:r>
      <w:r w:rsidR="006E7508">
        <w:rPr>
          <w:lang w:val="fr-FR"/>
        </w:rPr>
        <w:t xml:space="preserve">notamment </w:t>
      </w:r>
      <w:r>
        <w:rPr>
          <w:lang w:val="fr-FR"/>
        </w:rPr>
        <w:t>les publications du Programme des Nations Unies pour l</w:t>
      </w:r>
      <w:r w:rsidR="00CE5716">
        <w:rPr>
          <w:lang w:val="fr-FR"/>
        </w:rPr>
        <w:t>’</w:t>
      </w:r>
      <w:r>
        <w:rPr>
          <w:lang w:val="fr-FR"/>
        </w:rPr>
        <w:t>environnement et de la Banque mondiale, ainsi que d</w:t>
      </w:r>
      <w:r w:rsidR="00CE5716">
        <w:rPr>
          <w:lang w:val="fr-FR"/>
        </w:rPr>
        <w:t>’</w:t>
      </w:r>
      <w:r>
        <w:rPr>
          <w:lang w:val="fr-FR"/>
        </w:rPr>
        <w:t>un certain nombre d</w:t>
      </w:r>
      <w:r w:rsidR="00CE5716">
        <w:rPr>
          <w:lang w:val="fr-FR"/>
        </w:rPr>
        <w:t>’</w:t>
      </w:r>
      <w:r>
        <w:rPr>
          <w:lang w:val="fr-FR"/>
        </w:rPr>
        <w:t>organisations de la société civile. L</w:t>
      </w:r>
      <w:r w:rsidR="00CE5716">
        <w:rPr>
          <w:lang w:val="fr-FR"/>
        </w:rPr>
        <w:t>’</w:t>
      </w:r>
      <w:r w:rsidR="006E7508">
        <w:rPr>
          <w:lang w:val="fr-FR"/>
        </w:rPr>
        <w:t>analyse</w:t>
      </w:r>
      <w:r>
        <w:rPr>
          <w:lang w:val="fr-FR"/>
        </w:rPr>
        <w:t xml:space="preserve"> des communications et informations recueillies figure dans l</w:t>
      </w:r>
      <w:r w:rsidR="00CE5716">
        <w:rPr>
          <w:lang w:val="fr-FR"/>
        </w:rPr>
        <w:t>’</w:t>
      </w:r>
      <w:r>
        <w:rPr>
          <w:lang w:val="fr-FR"/>
        </w:rPr>
        <w:t xml:space="preserve">annexe </w:t>
      </w:r>
      <w:r w:rsidR="006E7508">
        <w:rPr>
          <w:lang w:val="fr-FR"/>
        </w:rPr>
        <w:t>de</w:t>
      </w:r>
      <w:r>
        <w:rPr>
          <w:lang w:val="fr-FR"/>
        </w:rPr>
        <w:t xml:space="preserve"> la présente note. </w:t>
      </w:r>
    </w:p>
    <w:p w14:paraId="323A8CBB" w14:textId="5A38B0F6" w:rsidR="008A26DF" w:rsidRPr="00066BE9" w:rsidRDefault="008A26DF" w:rsidP="00043A14">
      <w:pPr>
        <w:pStyle w:val="Normalnumber"/>
        <w:numPr>
          <w:ilvl w:val="0"/>
          <w:numId w:val="22"/>
        </w:numPr>
        <w:tabs>
          <w:tab w:val="clear" w:pos="1247"/>
          <w:tab w:val="clear" w:pos="1814"/>
          <w:tab w:val="clear" w:pos="2381"/>
          <w:tab w:val="clear" w:pos="2948"/>
          <w:tab w:val="clear" w:pos="3515"/>
          <w:tab w:val="clear" w:pos="4082"/>
          <w:tab w:val="left" w:pos="624"/>
        </w:tabs>
        <w:ind w:left="1247"/>
        <w:rPr>
          <w:lang w:val="fr-FR"/>
        </w:rPr>
      </w:pPr>
      <w:r>
        <w:rPr>
          <w:lang w:val="fr-FR"/>
        </w:rPr>
        <w:t>À ce stade, seule une quantité limitée d</w:t>
      </w:r>
      <w:r w:rsidR="00CE5716">
        <w:rPr>
          <w:lang w:val="fr-FR"/>
        </w:rPr>
        <w:t>’</w:t>
      </w:r>
      <w:r>
        <w:rPr>
          <w:lang w:val="fr-FR"/>
        </w:rPr>
        <w:t xml:space="preserve">informations chiffrées est disponible. Certaines sources prônent des mesures </w:t>
      </w:r>
      <w:r w:rsidR="006E7508">
        <w:rPr>
          <w:lang w:val="fr-FR"/>
        </w:rPr>
        <w:t xml:space="preserve">destinées </w:t>
      </w:r>
      <w:r>
        <w:rPr>
          <w:lang w:val="fr-FR"/>
        </w:rPr>
        <w:t>à réduire ou éliminer totalement le brûlage à l</w:t>
      </w:r>
      <w:r w:rsidR="00CE5716">
        <w:rPr>
          <w:lang w:val="fr-FR"/>
        </w:rPr>
        <w:t>’</w:t>
      </w:r>
      <w:r>
        <w:rPr>
          <w:lang w:val="fr-FR"/>
        </w:rPr>
        <w:t>air libre dans le cadre d</w:t>
      </w:r>
      <w:r w:rsidR="006E7508">
        <w:rPr>
          <w:lang w:val="fr-FR"/>
        </w:rPr>
        <w:t>’</w:t>
      </w:r>
      <w:r>
        <w:rPr>
          <w:lang w:val="fr-FR"/>
        </w:rPr>
        <w:t>activités de développement durable, soulignant la contribution que de telles mesures apporteraient à la réalisation du Programme de développement durable à l</w:t>
      </w:r>
      <w:r w:rsidR="00CE5716">
        <w:rPr>
          <w:lang w:val="fr-FR"/>
        </w:rPr>
        <w:t>’</w:t>
      </w:r>
      <w:r>
        <w:rPr>
          <w:lang w:val="fr-FR"/>
        </w:rPr>
        <w:t xml:space="preserve">horizon 2030 et des objectifs de développement durable. Il convient de noter que des informations </w:t>
      </w:r>
      <w:r w:rsidR="006E7508">
        <w:rPr>
          <w:lang w:val="fr-FR"/>
        </w:rPr>
        <w:t xml:space="preserve">quantitatives </w:t>
      </w:r>
      <w:r>
        <w:rPr>
          <w:lang w:val="fr-FR"/>
        </w:rPr>
        <w:t xml:space="preserve">supplémentaires sur les </w:t>
      </w:r>
      <w:r w:rsidR="006E7508">
        <w:rPr>
          <w:lang w:val="fr-FR"/>
        </w:rPr>
        <w:t xml:space="preserve">émissions </w:t>
      </w:r>
      <w:r>
        <w:rPr>
          <w:lang w:val="fr-FR"/>
        </w:rPr>
        <w:t xml:space="preserve">de mercure émises </w:t>
      </w:r>
      <w:r w:rsidR="006E7508">
        <w:rPr>
          <w:lang w:val="fr-FR"/>
        </w:rPr>
        <w:t xml:space="preserve">résultant </w:t>
      </w:r>
      <w:r>
        <w:rPr>
          <w:lang w:val="fr-FR"/>
        </w:rPr>
        <w:t>du brûlage à l</w:t>
      </w:r>
      <w:r w:rsidR="00CE5716">
        <w:rPr>
          <w:lang w:val="fr-FR"/>
        </w:rPr>
        <w:t>’</w:t>
      </w:r>
      <w:r>
        <w:rPr>
          <w:lang w:val="fr-FR"/>
        </w:rPr>
        <w:t xml:space="preserve">air libre seront vraisemblablement recueillies par les pays </w:t>
      </w:r>
      <w:r w:rsidR="006E7508">
        <w:rPr>
          <w:lang w:val="fr-FR"/>
        </w:rPr>
        <w:t xml:space="preserve">à l’occasion </w:t>
      </w:r>
      <w:r>
        <w:rPr>
          <w:lang w:val="fr-FR"/>
        </w:rPr>
        <w:t>de l</w:t>
      </w:r>
      <w:r w:rsidR="00CE5716">
        <w:rPr>
          <w:lang w:val="fr-FR"/>
        </w:rPr>
        <w:t>’</w:t>
      </w:r>
      <w:r>
        <w:rPr>
          <w:lang w:val="fr-FR"/>
        </w:rPr>
        <w:t xml:space="preserve">établissement des inventaires du mercure auxquels ils procéderont dans le cadre de leurs évaluations initiales et des préparatifs de la mise en </w:t>
      </w:r>
      <w:r w:rsidR="006E7508">
        <w:rPr>
          <w:lang w:val="fr-FR"/>
        </w:rPr>
        <w:t>œuvre</w:t>
      </w:r>
      <w:r>
        <w:rPr>
          <w:lang w:val="fr-FR"/>
        </w:rPr>
        <w:t xml:space="preserve"> et </w:t>
      </w:r>
      <w:r w:rsidR="006E7508">
        <w:rPr>
          <w:lang w:val="fr-FR"/>
        </w:rPr>
        <w:t xml:space="preserve">de la </w:t>
      </w:r>
      <w:r>
        <w:rPr>
          <w:lang w:val="fr-FR"/>
        </w:rPr>
        <w:t xml:space="preserve">ratification de la Convention de Minamata. </w:t>
      </w:r>
    </w:p>
    <w:p w14:paraId="0B35C18C" w14:textId="72072813" w:rsidR="008A26DF" w:rsidRPr="00066BE9" w:rsidRDefault="008A26DF" w:rsidP="00160554">
      <w:pPr>
        <w:pStyle w:val="CH2"/>
        <w:rPr>
          <w:lang w:val="fr-FR"/>
        </w:rPr>
      </w:pPr>
      <w:r>
        <w:rPr>
          <w:lang w:val="fr-FR"/>
        </w:rPr>
        <w:lastRenderedPageBreak/>
        <w:tab/>
      </w:r>
      <w:r>
        <w:rPr>
          <w:lang w:val="fr-FR"/>
        </w:rPr>
        <w:tab/>
        <w:t>Mesures que pourrait prendre la Conférence des Parties</w:t>
      </w:r>
    </w:p>
    <w:p w14:paraId="284EC2A5" w14:textId="3B47CFF3" w:rsidR="00CE5716" w:rsidRDefault="008A26DF" w:rsidP="00160554">
      <w:pPr>
        <w:pStyle w:val="Normalnumber"/>
        <w:keepNext/>
        <w:keepLines/>
        <w:numPr>
          <w:ilvl w:val="0"/>
          <w:numId w:val="22"/>
        </w:numPr>
        <w:tabs>
          <w:tab w:val="clear" w:pos="1247"/>
          <w:tab w:val="clear" w:pos="1814"/>
          <w:tab w:val="clear" w:pos="2381"/>
          <w:tab w:val="clear" w:pos="2948"/>
          <w:tab w:val="clear" w:pos="3515"/>
          <w:tab w:val="clear" w:pos="4082"/>
          <w:tab w:val="left" w:pos="624"/>
        </w:tabs>
        <w:ind w:left="1247"/>
        <w:rPr>
          <w:lang w:val="fr-FR"/>
        </w:rPr>
      </w:pPr>
      <w:r>
        <w:rPr>
          <w:lang w:val="fr-FR"/>
        </w:rPr>
        <w:t xml:space="preserve">La Conférence des Parties souhaitera peut-être examiner </w:t>
      </w:r>
      <w:r w:rsidR="00CF175C">
        <w:rPr>
          <w:lang w:val="fr-FR"/>
        </w:rPr>
        <w:t>le rapport sur les émissions de </w:t>
      </w:r>
      <w:r>
        <w:rPr>
          <w:lang w:val="fr-FR"/>
        </w:rPr>
        <w:t>mercure liées au brûlage des déchets à l</w:t>
      </w:r>
      <w:r w:rsidR="00CE5716">
        <w:rPr>
          <w:lang w:val="fr-FR"/>
        </w:rPr>
        <w:t>’</w:t>
      </w:r>
      <w:r>
        <w:rPr>
          <w:lang w:val="fr-FR"/>
        </w:rPr>
        <w:t xml:space="preserve">air libre (voir annexe) et peut-être aussi envisager de demander au secrétariat de continuer </w:t>
      </w:r>
      <w:r w:rsidR="006E7508">
        <w:rPr>
          <w:lang w:val="fr-FR"/>
        </w:rPr>
        <w:t xml:space="preserve">à </w:t>
      </w:r>
      <w:r>
        <w:rPr>
          <w:lang w:val="fr-FR"/>
        </w:rPr>
        <w:t>rassembler des informations</w:t>
      </w:r>
      <w:r w:rsidR="00CF175C">
        <w:rPr>
          <w:lang w:val="fr-FR"/>
        </w:rPr>
        <w:t xml:space="preserve"> sur les émissions </w:t>
      </w:r>
      <w:r w:rsidR="006E7508">
        <w:rPr>
          <w:lang w:val="fr-FR"/>
        </w:rPr>
        <w:t xml:space="preserve">résultant </w:t>
      </w:r>
      <w:r w:rsidR="00CF175C">
        <w:rPr>
          <w:lang w:val="fr-FR"/>
        </w:rPr>
        <w:t>du </w:t>
      </w:r>
      <w:r>
        <w:rPr>
          <w:lang w:val="fr-FR"/>
        </w:rPr>
        <w:t>brûlage à l</w:t>
      </w:r>
      <w:r w:rsidR="00CE5716">
        <w:rPr>
          <w:lang w:val="fr-FR"/>
        </w:rPr>
        <w:t>’</w:t>
      </w:r>
      <w:r>
        <w:rPr>
          <w:lang w:val="fr-FR"/>
        </w:rPr>
        <w:t>air libre dans le cadre de son examen général des inve</w:t>
      </w:r>
      <w:r w:rsidR="00CF175C">
        <w:rPr>
          <w:lang w:val="fr-FR"/>
        </w:rPr>
        <w:t xml:space="preserve">ntaires </w:t>
      </w:r>
      <w:r w:rsidR="006E7508">
        <w:rPr>
          <w:lang w:val="fr-FR"/>
        </w:rPr>
        <w:t xml:space="preserve">communiqués </w:t>
      </w:r>
      <w:r w:rsidR="00CF175C">
        <w:rPr>
          <w:lang w:val="fr-FR"/>
        </w:rPr>
        <w:t xml:space="preserve">par les pays. </w:t>
      </w:r>
      <w:r w:rsidR="00CF175C" w:rsidRPr="00CF175C">
        <w:rPr>
          <w:lang w:val="fr-FR"/>
        </w:rPr>
        <w:t>La</w:t>
      </w:r>
      <w:r w:rsidR="003873BB">
        <w:rPr>
          <w:lang w:val="fr-FR"/>
        </w:rPr>
        <w:t xml:space="preserve"> </w:t>
      </w:r>
      <w:r w:rsidRPr="00CF175C">
        <w:rPr>
          <w:lang w:val="fr-FR"/>
        </w:rPr>
        <w:t>Conférence</w:t>
      </w:r>
      <w:r w:rsidR="003873BB">
        <w:rPr>
          <w:lang w:val="fr-FR"/>
        </w:rPr>
        <w:t xml:space="preserve"> des Parties</w:t>
      </w:r>
      <w:r>
        <w:rPr>
          <w:lang w:val="fr-FR"/>
        </w:rPr>
        <w:t xml:space="preserve"> souhaitera peut-être également envisager de demander au secrétariat de mettre ces informations à disposition </w:t>
      </w:r>
      <w:r w:rsidR="006E7508">
        <w:rPr>
          <w:lang w:val="fr-FR"/>
        </w:rPr>
        <w:t>à toutes fins utiles</w:t>
      </w:r>
      <w:r>
        <w:rPr>
          <w:lang w:val="fr-FR"/>
        </w:rPr>
        <w:t xml:space="preserve"> lors des prochaines réunions de la Conférence. </w:t>
      </w:r>
    </w:p>
    <w:p w14:paraId="326F38A8" w14:textId="77777777" w:rsidR="00CE5716" w:rsidRDefault="00CE5716">
      <w:pPr>
        <w:tabs>
          <w:tab w:val="clear" w:pos="1247"/>
          <w:tab w:val="clear" w:pos="1814"/>
          <w:tab w:val="clear" w:pos="2381"/>
          <w:tab w:val="clear" w:pos="2948"/>
          <w:tab w:val="clear" w:pos="3515"/>
        </w:tabs>
        <w:rPr>
          <w:lang w:val="fr-FR"/>
        </w:rPr>
      </w:pPr>
      <w:r>
        <w:rPr>
          <w:lang w:val="fr-FR"/>
        </w:rPr>
        <w:br w:type="page"/>
      </w:r>
    </w:p>
    <w:p w14:paraId="708E02EA" w14:textId="6CD769D2" w:rsidR="008A26DF" w:rsidRPr="00066BE9" w:rsidRDefault="008A26DF" w:rsidP="008A26DF">
      <w:pPr>
        <w:pStyle w:val="ZZAnxheader"/>
        <w:rPr>
          <w:lang w:val="fr-FR"/>
        </w:rPr>
      </w:pPr>
      <w:r>
        <w:rPr>
          <w:lang w:val="fr-FR"/>
        </w:rPr>
        <w:lastRenderedPageBreak/>
        <w:t>Annexe</w:t>
      </w:r>
    </w:p>
    <w:p w14:paraId="1312B615" w14:textId="13EB0D83" w:rsidR="008A26DF" w:rsidRPr="00066BE9" w:rsidRDefault="008A26DF" w:rsidP="008A26DF">
      <w:pPr>
        <w:pStyle w:val="ZZAnxtitle"/>
        <w:rPr>
          <w:lang w:val="fr-FR"/>
        </w:rPr>
      </w:pPr>
      <w:r>
        <w:rPr>
          <w:lang w:val="fr-FR"/>
        </w:rPr>
        <w:t>Rapport sur les émissions de mercure</w:t>
      </w:r>
      <w:r w:rsidR="008715F8">
        <w:rPr>
          <w:lang w:val="fr-FR"/>
        </w:rPr>
        <w:t xml:space="preserve"> liées au brûlage des déchets à </w:t>
      </w:r>
      <w:r>
        <w:rPr>
          <w:lang w:val="fr-FR"/>
        </w:rPr>
        <w:t>l</w:t>
      </w:r>
      <w:r w:rsidR="00CE5716">
        <w:rPr>
          <w:lang w:val="fr-FR"/>
        </w:rPr>
        <w:t>’</w:t>
      </w:r>
      <w:r>
        <w:rPr>
          <w:lang w:val="fr-FR"/>
        </w:rPr>
        <w:t>air libre</w:t>
      </w:r>
    </w:p>
    <w:p w14:paraId="4FE00CD5" w14:textId="4946268A" w:rsidR="008A26DF" w:rsidRPr="00043A14" w:rsidRDefault="008A26DF" w:rsidP="008A26DF">
      <w:pPr>
        <w:pStyle w:val="CH2"/>
        <w:rPr>
          <w:sz w:val="20"/>
          <w:szCs w:val="20"/>
        </w:rPr>
      </w:pPr>
      <w:r>
        <w:rPr>
          <w:lang w:val="fr-FR"/>
        </w:rPr>
        <w:tab/>
      </w:r>
      <w:r w:rsidR="003873BB">
        <w:rPr>
          <w:lang w:val="fr-FR"/>
        </w:rPr>
        <w:t>A.</w:t>
      </w:r>
      <w:r>
        <w:rPr>
          <w:lang w:val="fr-FR"/>
        </w:rPr>
        <w:tab/>
        <w:t>Introduction</w:t>
      </w:r>
    </w:p>
    <w:p w14:paraId="615932F9" w14:textId="4AF05AD5" w:rsidR="008A26DF" w:rsidRPr="00066BE9" w:rsidRDefault="008A26DF" w:rsidP="00043A14">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lang w:val="fr-FR"/>
        </w:rPr>
      </w:pPr>
      <w:r w:rsidRPr="00CE5716">
        <w:rPr>
          <w:b w:val="0"/>
          <w:sz w:val="20"/>
          <w:szCs w:val="20"/>
          <w:lang w:val="fr-FR"/>
        </w:rPr>
        <w:t>La gestion des déchets est une question clef et un défi pour tous les pays, mais en particulier pour les pays en développement et en transition, où les ressources disponibles pour gérer les déchets sont limitées. Les émissions et rejets résultant des activités de gestion des déchets représentent une menace pour la santé publique et l</w:t>
      </w:r>
      <w:r w:rsidR="00CE5716">
        <w:rPr>
          <w:b w:val="0"/>
          <w:sz w:val="20"/>
          <w:szCs w:val="20"/>
          <w:lang w:val="fr-FR"/>
        </w:rPr>
        <w:t>’</w:t>
      </w:r>
      <w:r w:rsidRPr="00CE5716">
        <w:rPr>
          <w:b w:val="0"/>
          <w:sz w:val="20"/>
          <w:szCs w:val="20"/>
          <w:lang w:val="fr-FR"/>
        </w:rPr>
        <w:t>environnement dans ces pays, certains polluants constituant en outre une menace à l</w:t>
      </w:r>
      <w:r w:rsidR="00CE5716">
        <w:rPr>
          <w:b w:val="0"/>
          <w:sz w:val="20"/>
          <w:szCs w:val="20"/>
          <w:lang w:val="fr-FR"/>
        </w:rPr>
        <w:t>’</w:t>
      </w:r>
      <w:r w:rsidRPr="00CE5716">
        <w:rPr>
          <w:b w:val="0"/>
          <w:sz w:val="20"/>
          <w:szCs w:val="20"/>
          <w:lang w:val="fr-FR"/>
        </w:rPr>
        <w:t xml:space="preserve">échelle mondiale </w:t>
      </w:r>
      <w:r w:rsidR="006E7508">
        <w:rPr>
          <w:b w:val="0"/>
          <w:sz w:val="20"/>
          <w:szCs w:val="20"/>
          <w:lang w:val="fr-FR"/>
        </w:rPr>
        <w:t>en raison de</w:t>
      </w:r>
      <w:r w:rsidRPr="00CE5716">
        <w:rPr>
          <w:b w:val="0"/>
          <w:sz w:val="20"/>
          <w:szCs w:val="20"/>
          <w:lang w:val="fr-FR"/>
        </w:rPr>
        <w:t xml:space="preserve"> leurs mouvements transfrontières. </w:t>
      </w:r>
    </w:p>
    <w:p w14:paraId="3605745E" w14:textId="234B2660" w:rsidR="008A26DF" w:rsidRPr="00066BE9" w:rsidRDefault="008A26DF" w:rsidP="00720462">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lang w:val="fr-FR"/>
        </w:rPr>
      </w:pPr>
      <w:r w:rsidRPr="00CE5716">
        <w:rPr>
          <w:b w:val="0"/>
          <w:sz w:val="20"/>
          <w:szCs w:val="20"/>
          <w:lang w:val="fr-FR"/>
        </w:rPr>
        <w:t xml:space="preserve">On trouve du mercure dans toutes sortes de flux de déchets, et pas seulement dans ceux </w:t>
      </w:r>
      <w:r w:rsidR="006E7508">
        <w:rPr>
          <w:b w:val="0"/>
          <w:sz w:val="20"/>
          <w:szCs w:val="20"/>
          <w:lang w:val="fr-FR"/>
        </w:rPr>
        <w:t>classés comme</w:t>
      </w:r>
      <w:r w:rsidRPr="00CE5716">
        <w:rPr>
          <w:b w:val="0"/>
          <w:sz w:val="20"/>
          <w:szCs w:val="20"/>
          <w:lang w:val="fr-FR"/>
        </w:rPr>
        <w:t xml:space="preserve"> dangereux </w:t>
      </w:r>
      <w:r w:rsidR="006E7508">
        <w:rPr>
          <w:b w:val="0"/>
          <w:sz w:val="20"/>
          <w:szCs w:val="20"/>
          <w:lang w:val="fr-FR"/>
        </w:rPr>
        <w:t>du fait de</w:t>
      </w:r>
      <w:r w:rsidRPr="00CE5716">
        <w:rPr>
          <w:b w:val="0"/>
          <w:sz w:val="20"/>
          <w:szCs w:val="20"/>
          <w:lang w:val="fr-FR"/>
        </w:rPr>
        <w:t xml:space="preserve"> la présence confirmée de mercure (tels les déchets de produits contenant du mercure ajouté ou les déchets contaminés par le mercure). La Convention de Mi</w:t>
      </w:r>
      <w:r w:rsidR="00900157">
        <w:rPr>
          <w:b w:val="0"/>
          <w:sz w:val="20"/>
          <w:szCs w:val="20"/>
          <w:lang w:val="fr-FR"/>
        </w:rPr>
        <w:t>namata dispose dans son article </w:t>
      </w:r>
      <w:r w:rsidRPr="00CE5716">
        <w:rPr>
          <w:b w:val="0"/>
          <w:sz w:val="20"/>
          <w:szCs w:val="20"/>
          <w:lang w:val="fr-FR"/>
        </w:rPr>
        <w:t>11 que les déchets de mercure doivent faire l</w:t>
      </w:r>
      <w:r w:rsidR="00CE5716">
        <w:rPr>
          <w:b w:val="0"/>
          <w:sz w:val="20"/>
          <w:szCs w:val="20"/>
          <w:lang w:val="fr-FR"/>
        </w:rPr>
        <w:t>’</w:t>
      </w:r>
      <w:r w:rsidRPr="00CE5716">
        <w:rPr>
          <w:b w:val="0"/>
          <w:sz w:val="20"/>
          <w:szCs w:val="20"/>
          <w:lang w:val="fr-FR"/>
        </w:rPr>
        <w:t>objet d</w:t>
      </w:r>
      <w:r w:rsidR="00CE5716">
        <w:rPr>
          <w:b w:val="0"/>
          <w:sz w:val="20"/>
          <w:szCs w:val="20"/>
          <w:lang w:val="fr-FR"/>
        </w:rPr>
        <w:t>’</w:t>
      </w:r>
      <w:r w:rsidRPr="00CE5716">
        <w:rPr>
          <w:b w:val="0"/>
          <w:sz w:val="20"/>
          <w:szCs w:val="20"/>
          <w:lang w:val="fr-FR"/>
        </w:rPr>
        <w:t xml:space="preserve">une </w:t>
      </w:r>
      <w:r w:rsidR="00213475">
        <w:rPr>
          <w:b w:val="0"/>
          <w:sz w:val="20"/>
          <w:szCs w:val="20"/>
          <w:lang w:val="fr-FR"/>
        </w:rPr>
        <w:t>gestion</w:t>
      </w:r>
      <w:r w:rsidR="00213475" w:rsidRPr="00CE5716">
        <w:rPr>
          <w:b w:val="0"/>
          <w:sz w:val="20"/>
          <w:szCs w:val="20"/>
          <w:lang w:val="fr-FR"/>
        </w:rPr>
        <w:t xml:space="preserve"> </w:t>
      </w:r>
      <w:r w:rsidRPr="00CE5716">
        <w:rPr>
          <w:b w:val="0"/>
          <w:sz w:val="20"/>
          <w:szCs w:val="20"/>
          <w:lang w:val="fr-FR"/>
        </w:rPr>
        <w:t>écologiquement rationnelle, en tenant compte des</w:t>
      </w:r>
      <w:r w:rsidR="00213475">
        <w:rPr>
          <w:b w:val="0"/>
          <w:sz w:val="20"/>
          <w:szCs w:val="20"/>
          <w:lang w:val="fr-FR"/>
        </w:rPr>
        <w:t xml:space="preserve"> </w:t>
      </w:r>
      <w:r w:rsidRPr="00CE5716">
        <w:rPr>
          <w:b w:val="0"/>
          <w:sz w:val="20"/>
          <w:szCs w:val="20"/>
          <w:lang w:val="fr-FR"/>
        </w:rPr>
        <w:t xml:space="preserve">directives techniques élaborées au titre de la Convention de Bâle sur le contrôle des mouvements transfrontières de déchets dangereux et de leur élimination. </w:t>
      </w:r>
    </w:p>
    <w:p w14:paraId="0A4E01EF" w14:textId="65F71D43" w:rsidR="008A26DF" w:rsidRPr="00066BE9" w:rsidRDefault="00E52C98" w:rsidP="00043A14">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lang w:val="fr-FR"/>
        </w:rPr>
      </w:pPr>
      <w:r w:rsidRPr="00CE5716">
        <w:rPr>
          <w:b w:val="0"/>
          <w:sz w:val="20"/>
          <w:szCs w:val="20"/>
          <w:lang w:val="fr-FR"/>
        </w:rPr>
        <w:t>La reconnaissance de la présence de mercure dans les déchets ordinaires a conduit à l</w:t>
      </w:r>
      <w:r w:rsidR="00CE5716">
        <w:rPr>
          <w:b w:val="0"/>
          <w:sz w:val="20"/>
          <w:szCs w:val="20"/>
          <w:lang w:val="fr-FR"/>
        </w:rPr>
        <w:t>’</w:t>
      </w:r>
      <w:r w:rsidRPr="00CE5716">
        <w:rPr>
          <w:b w:val="0"/>
          <w:sz w:val="20"/>
          <w:szCs w:val="20"/>
          <w:lang w:val="fr-FR"/>
        </w:rPr>
        <w:t>inclusion des installations d</w:t>
      </w:r>
      <w:r w:rsidR="00CE5716">
        <w:rPr>
          <w:b w:val="0"/>
          <w:sz w:val="20"/>
          <w:szCs w:val="20"/>
          <w:lang w:val="fr-FR"/>
        </w:rPr>
        <w:t>’</w:t>
      </w:r>
      <w:r w:rsidRPr="00CE5716">
        <w:rPr>
          <w:b w:val="0"/>
          <w:sz w:val="20"/>
          <w:szCs w:val="20"/>
          <w:lang w:val="fr-FR"/>
        </w:rPr>
        <w:t>incinération de déchets dans la liste des sources d</w:t>
      </w:r>
      <w:r w:rsidR="00CE5716">
        <w:rPr>
          <w:b w:val="0"/>
          <w:sz w:val="20"/>
          <w:szCs w:val="20"/>
          <w:lang w:val="fr-FR"/>
        </w:rPr>
        <w:t>’</w:t>
      </w:r>
      <w:r w:rsidR="00900157">
        <w:rPr>
          <w:b w:val="0"/>
          <w:sz w:val="20"/>
          <w:szCs w:val="20"/>
          <w:lang w:val="fr-FR"/>
        </w:rPr>
        <w:t>émissions (voir annexe </w:t>
      </w:r>
      <w:r w:rsidRPr="00CE5716">
        <w:rPr>
          <w:b w:val="0"/>
          <w:sz w:val="20"/>
          <w:szCs w:val="20"/>
          <w:lang w:val="fr-FR"/>
        </w:rPr>
        <w:t>D de la Convention de Minamata) contrôlées au titre de l</w:t>
      </w:r>
      <w:r w:rsidR="00CE5716">
        <w:rPr>
          <w:b w:val="0"/>
          <w:sz w:val="20"/>
          <w:szCs w:val="20"/>
          <w:lang w:val="fr-FR"/>
        </w:rPr>
        <w:t>’</w:t>
      </w:r>
      <w:r w:rsidR="00225285">
        <w:rPr>
          <w:b w:val="0"/>
          <w:sz w:val="20"/>
          <w:szCs w:val="20"/>
          <w:lang w:val="fr-FR"/>
        </w:rPr>
        <w:t>article </w:t>
      </w:r>
      <w:r w:rsidRPr="00CE5716">
        <w:rPr>
          <w:b w:val="0"/>
          <w:sz w:val="20"/>
          <w:szCs w:val="20"/>
          <w:lang w:val="fr-FR"/>
        </w:rPr>
        <w:t>8 de la Convention de Minamata</w:t>
      </w:r>
      <w:r w:rsidR="006E7508">
        <w:rPr>
          <w:b w:val="0"/>
          <w:sz w:val="20"/>
          <w:szCs w:val="20"/>
          <w:lang w:val="fr-FR"/>
        </w:rPr>
        <w:t xml:space="preserve"> (É</w:t>
      </w:r>
      <w:r w:rsidRPr="00CE5716">
        <w:rPr>
          <w:b w:val="0"/>
          <w:sz w:val="20"/>
          <w:szCs w:val="20"/>
          <w:lang w:val="fr-FR"/>
        </w:rPr>
        <w:t>missions</w:t>
      </w:r>
      <w:r w:rsidR="006E7508">
        <w:rPr>
          <w:b w:val="0"/>
          <w:sz w:val="20"/>
          <w:szCs w:val="20"/>
          <w:lang w:val="fr-FR"/>
        </w:rPr>
        <w:t>)</w:t>
      </w:r>
      <w:r w:rsidRPr="00CE5716">
        <w:rPr>
          <w:b w:val="0"/>
          <w:sz w:val="20"/>
          <w:szCs w:val="20"/>
          <w:lang w:val="fr-FR"/>
        </w:rPr>
        <w:t>. Des directives concernant le contrôle et la réduction des émissions de mercure provenant d</w:t>
      </w:r>
      <w:r w:rsidR="00CE5716">
        <w:rPr>
          <w:b w:val="0"/>
          <w:sz w:val="20"/>
          <w:szCs w:val="20"/>
          <w:lang w:val="fr-FR"/>
        </w:rPr>
        <w:t>’</w:t>
      </w:r>
      <w:r w:rsidRPr="00CE5716">
        <w:rPr>
          <w:b w:val="0"/>
          <w:sz w:val="20"/>
          <w:szCs w:val="20"/>
          <w:lang w:val="fr-FR"/>
        </w:rPr>
        <w:t>installations d</w:t>
      </w:r>
      <w:r w:rsidR="00CE5716">
        <w:rPr>
          <w:b w:val="0"/>
          <w:sz w:val="20"/>
          <w:szCs w:val="20"/>
          <w:lang w:val="fr-FR"/>
        </w:rPr>
        <w:t>’</w:t>
      </w:r>
      <w:r w:rsidRPr="00CE5716">
        <w:rPr>
          <w:b w:val="0"/>
          <w:sz w:val="20"/>
          <w:szCs w:val="20"/>
          <w:lang w:val="fr-FR"/>
        </w:rPr>
        <w:t>incinération de déchets ont été adoptées, à titre provisoire, par le Comité de négociation intergouvernemental chargé d</w:t>
      </w:r>
      <w:r w:rsidR="00CE5716">
        <w:rPr>
          <w:b w:val="0"/>
          <w:sz w:val="20"/>
          <w:szCs w:val="20"/>
          <w:lang w:val="fr-FR"/>
        </w:rPr>
        <w:t>’</w:t>
      </w:r>
      <w:r w:rsidRPr="00CE5716">
        <w:rPr>
          <w:b w:val="0"/>
          <w:sz w:val="20"/>
          <w:szCs w:val="20"/>
          <w:lang w:val="fr-FR"/>
        </w:rPr>
        <w:t>élaborer un instrument international juridiquement contraignant sur le mercure, à sa septième session, dans le cadre des orientations générales sur les meilleures techniques disponibles et les meilleures pratiques environnementales</w:t>
      </w:r>
      <w:r w:rsidR="006E7508">
        <w:rPr>
          <w:b w:val="0"/>
          <w:sz w:val="20"/>
          <w:szCs w:val="20"/>
          <w:lang w:val="fr-FR"/>
        </w:rPr>
        <w:t>.</w:t>
      </w:r>
    </w:p>
    <w:p w14:paraId="6DACE1BF" w14:textId="5B8FE1F6" w:rsidR="008A26DF" w:rsidRPr="00066BE9" w:rsidRDefault="005F5AA8" w:rsidP="00043A14">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lang w:val="fr-FR"/>
        </w:rPr>
      </w:pPr>
      <w:r>
        <w:rPr>
          <w:b w:val="0"/>
          <w:sz w:val="20"/>
          <w:szCs w:val="20"/>
          <w:lang w:val="fr-FR"/>
        </w:rPr>
        <w:t>On sait</w:t>
      </w:r>
      <w:r w:rsidR="008A26DF" w:rsidRPr="00CE5716">
        <w:rPr>
          <w:b w:val="0"/>
          <w:sz w:val="20"/>
          <w:szCs w:val="20"/>
          <w:lang w:val="fr-FR"/>
        </w:rPr>
        <w:t xml:space="preserve"> toutefois que</w:t>
      </w:r>
      <w:r>
        <w:rPr>
          <w:b w:val="0"/>
          <w:sz w:val="20"/>
          <w:szCs w:val="20"/>
          <w:lang w:val="fr-FR"/>
        </w:rPr>
        <w:t>,</w:t>
      </w:r>
      <w:r w:rsidR="008A26DF" w:rsidRPr="00CE5716">
        <w:rPr>
          <w:b w:val="0"/>
          <w:sz w:val="20"/>
          <w:szCs w:val="20"/>
          <w:lang w:val="fr-FR"/>
        </w:rPr>
        <w:t xml:space="preserve"> dans de nombreux pays, seule une fraction des déchets éliminés par incinération le sont dans des installations destinées à la gestion des déchets et que l</w:t>
      </w:r>
      <w:r w:rsidR="00CE5716">
        <w:rPr>
          <w:b w:val="0"/>
          <w:sz w:val="20"/>
          <w:szCs w:val="20"/>
          <w:lang w:val="fr-FR"/>
        </w:rPr>
        <w:t>’</w:t>
      </w:r>
      <w:r w:rsidR="008A26DF" w:rsidRPr="00CE5716">
        <w:rPr>
          <w:b w:val="0"/>
          <w:sz w:val="20"/>
          <w:szCs w:val="20"/>
          <w:lang w:val="fr-FR"/>
        </w:rPr>
        <w:t>essentiel est en fait éliminé de manière informelle au moyen de prat</w:t>
      </w:r>
      <w:r w:rsidR="00CE5716">
        <w:rPr>
          <w:b w:val="0"/>
          <w:sz w:val="20"/>
          <w:szCs w:val="20"/>
          <w:lang w:val="fr-FR"/>
        </w:rPr>
        <w:t xml:space="preserve">iques </w:t>
      </w:r>
      <w:r w:rsidR="00AB0C99">
        <w:rPr>
          <w:b w:val="0"/>
          <w:sz w:val="20"/>
          <w:szCs w:val="20"/>
          <w:lang w:val="fr-FR"/>
        </w:rPr>
        <w:t xml:space="preserve">abusivement </w:t>
      </w:r>
      <w:r w:rsidR="00CE5716">
        <w:rPr>
          <w:b w:val="0"/>
          <w:sz w:val="20"/>
          <w:szCs w:val="20"/>
          <w:lang w:val="fr-FR"/>
        </w:rPr>
        <w:t>qualifiées de « </w:t>
      </w:r>
      <w:r w:rsidR="008A26DF" w:rsidRPr="00CE5716">
        <w:rPr>
          <w:b w:val="0"/>
          <w:sz w:val="20"/>
          <w:szCs w:val="20"/>
          <w:lang w:val="fr-FR"/>
        </w:rPr>
        <w:t>brûlage à l</w:t>
      </w:r>
      <w:r w:rsidR="00CE5716">
        <w:rPr>
          <w:b w:val="0"/>
          <w:sz w:val="20"/>
          <w:szCs w:val="20"/>
          <w:lang w:val="fr-FR"/>
        </w:rPr>
        <w:t>’</w:t>
      </w:r>
      <w:r w:rsidR="008A26DF" w:rsidRPr="00CE5716">
        <w:rPr>
          <w:b w:val="0"/>
          <w:sz w:val="20"/>
          <w:szCs w:val="20"/>
          <w:lang w:val="fr-FR"/>
        </w:rPr>
        <w:t>air libre</w:t>
      </w:r>
      <w:r w:rsidR="00CE5716">
        <w:rPr>
          <w:b w:val="0"/>
          <w:sz w:val="20"/>
          <w:szCs w:val="20"/>
          <w:lang w:val="fr-FR"/>
        </w:rPr>
        <w:t> »</w:t>
      </w:r>
      <w:r w:rsidR="008A26DF" w:rsidRPr="00CE5716">
        <w:rPr>
          <w:b w:val="0"/>
          <w:sz w:val="20"/>
          <w:szCs w:val="20"/>
          <w:lang w:val="fr-FR"/>
        </w:rPr>
        <w:t>. La pratique du brûlage à l</w:t>
      </w:r>
      <w:r w:rsidR="00CE5716">
        <w:rPr>
          <w:b w:val="0"/>
          <w:sz w:val="20"/>
          <w:szCs w:val="20"/>
          <w:lang w:val="fr-FR"/>
        </w:rPr>
        <w:t>’</w:t>
      </w:r>
      <w:r w:rsidR="008A26DF" w:rsidRPr="00CE5716">
        <w:rPr>
          <w:b w:val="0"/>
          <w:sz w:val="20"/>
          <w:szCs w:val="20"/>
          <w:lang w:val="fr-FR"/>
        </w:rPr>
        <w:t>air libre débouche sur l</w:t>
      </w:r>
      <w:r w:rsidR="00CE5716">
        <w:rPr>
          <w:b w:val="0"/>
          <w:sz w:val="20"/>
          <w:szCs w:val="20"/>
          <w:lang w:val="fr-FR"/>
        </w:rPr>
        <w:t>’</w:t>
      </w:r>
      <w:r w:rsidR="008A26DF" w:rsidRPr="00CE5716">
        <w:rPr>
          <w:b w:val="0"/>
          <w:sz w:val="20"/>
          <w:szCs w:val="20"/>
          <w:lang w:val="fr-FR"/>
        </w:rPr>
        <w:t>émission incontrôlée dans l</w:t>
      </w:r>
      <w:r w:rsidR="00CE5716">
        <w:rPr>
          <w:b w:val="0"/>
          <w:sz w:val="20"/>
          <w:szCs w:val="20"/>
          <w:lang w:val="fr-FR"/>
        </w:rPr>
        <w:t>’</w:t>
      </w:r>
      <w:r w:rsidR="008A26DF" w:rsidRPr="00CE5716">
        <w:rPr>
          <w:b w:val="0"/>
          <w:sz w:val="20"/>
          <w:szCs w:val="20"/>
          <w:lang w:val="fr-FR"/>
        </w:rPr>
        <w:t xml:space="preserve">environnement de tout un éventail de polluants. Du point de vue de la santé publique, les émissions </w:t>
      </w:r>
      <w:r w:rsidR="00AB0C99">
        <w:rPr>
          <w:b w:val="0"/>
          <w:sz w:val="20"/>
          <w:szCs w:val="20"/>
          <w:lang w:val="fr-FR"/>
        </w:rPr>
        <w:t>résultant</w:t>
      </w:r>
      <w:r w:rsidR="00AB0C99" w:rsidRPr="00CE5716">
        <w:rPr>
          <w:b w:val="0"/>
          <w:sz w:val="20"/>
          <w:szCs w:val="20"/>
          <w:lang w:val="fr-FR"/>
        </w:rPr>
        <w:t xml:space="preserve"> </w:t>
      </w:r>
      <w:r w:rsidR="008A26DF" w:rsidRPr="00CE5716">
        <w:rPr>
          <w:b w:val="0"/>
          <w:sz w:val="20"/>
          <w:szCs w:val="20"/>
          <w:lang w:val="fr-FR"/>
        </w:rPr>
        <w:t>du brûlage à l</w:t>
      </w:r>
      <w:r w:rsidR="00CE5716">
        <w:rPr>
          <w:b w:val="0"/>
          <w:sz w:val="20"/>
          <w:szCs w:val="20"/>
          <w:lang w:val="fr-FR"/>
        </w:rPr>
        <w:t>’</w:t>
      </w:r>
      <w:r w:rsidR="008A26DF" w:rsidRPr="00CE5716">
        <w:rPr>
          <w:b w:val="0"/>
          <w:sz w:val="20"/>
          <w:szCs w:val="20"/>
          <w:lang w:val="fr-FR"/>
        </w:rPr>
        <w:t>air libre posent un risque élevé, et ce</w:t>
      </w:r>
      <w:r w:rsidR="00AB0C99">
        <w:rPr>
          <w:b w:val="0"/>
          <w:sz w:val="20"/>
          <w:szCs w:val="20"/>
          <w:lang w:val="fr-FR"/>
        </w:rPr>
        <w:t>,</w:t>
      </w:r>
      <w:r w:rsidR="008A26DF" w:rsidRPr="00CE5716">
        <w:rPr>
          <w:b w:val="0"/>
          <w:sz w:val="20"/>
          <w:szCs w:val="20"/>
          <w:lang w:val="fr-FR"/>
        </w:rPr>
        <w:t xml:space="preserve"> pour plusieurs raisons. Les émissions prennent généralement la forme de rejets au niveau du sol, d</w:t>
      </w:r>
      <w:r w:rsidR="00CE5716">
        <w:rPr>
          <w:b w:val="0"/>
          <w:sz w:val="20"/>
          <w:szCs w:val="20"/>
          <w:lang w:val="fr-FR"/>
        </w:rPr>
        <w:t>’</w:t>
      </w:r>
      <w:r w:rsidR="008A26DF" w:rsidRPr="00CE5716">
        <w:rPr>
          <w:b w:val="0"/>
          <w:sz w:val="20"/>
          <w:szCs w:val="20"/>
          <w:lang w:val="fr-FR"/>
        </w:rPr>
        <w:t xml:space="preserve">où une plus forte exposition sur le plan local; la nature mixte des déchets </w:t>
      </w:r>
      <w:r w:rsidR="00AB0C99">
        <w:rPr>
          <w:b w:val="0"/>
          <w:sz w:val="20"/>
          <w:szCs w:val="20"/>
          <w:lang w:val="fr-FR"/>
        </w:rPr>
        <w:t>engendre</w:t>
      </w:r>
      <w:r w:rsidR="00AB0C99" w:rsidRPr="00CE5716">
        <w:rPr>
          <w:b w:val="0"/>
          <w:sz w:val="20"/>
          <w:szCs w:val="20"/>
          <w:lang w:val="fr-FR"/>
        </w:rPr>
        <w:t xml:space="preserve"> </w:t>
      </w:r>
      <w:r w:rsidR="008A26DF" w:rsidRPr="00CE5716">
        <w:rPr>
          <w:b w:val="0"/>
          <w:sz w:val="20"/>
          <w:szCs w:val="20"/>
          <w:lang w:val="fr-FR"/>
        </w:rPr>
        <w:t xml:space="preserve">en outre </w:t>
      </w:r>
      <w:r w:rsidR="00AB0C99">
        <w:rPr>
          <w:b w:val="0"/>
          <w:sz w:val="20"/>
          <w:szCs w:val="20"/>
          <w:lang w:val="fr-FR"/>
        </w:rPr>
        <w:t xml:space="preserve">le </w:t>
      </w:r>
      <w:r w:rsidR="008A26DF" w:rsidRPr="00CE5716">
        <w:rPr>
          <w:b w:val="0"/>
          <w:sz w:val="20"/>
          <w:szCs w:val="20"/>
          <w:lang w:val="fr-FR"/>
        </w:rPr>
        <w:t>rejet de toutes sortes de polluants ayant toutes sortes d</w:t>
      </w:r>
      <w:r w:rsidR="00CE5716">
        <w:rPr>
          <w:b w:val="0"/>
          <w:sz w:val="20"/>
          <w:szCs w:val="20"/>
          <w:lang w:val="fr-FR"/>
        </w:rPr>
        <w:t>’</w:t>
      </w:r>
      <w:r w:rsidR="008A26DF" w:rsidRPr="00CE5716">
        <w:rPr>
          <w:b w:val="0"/>
          <w:sz w:val="20"/>
          <w:szCs w:val="20"/>
          <w:lang w:val="fr-FR"/>
        </w:rPr>
        <w:t>effets sur la santé. Il est difficile d</w:t>
      </w:r>
      <w:r w:rsidR="00CE5716">
        <w:rPr>
          <w:b w:val="0"/>
          <w:sz w:val="20"/>
          <w:szCs w:val="20"/>
          <w:lang w:val="fr-FR"/>
        </w:rPr>
        <w:t>’</w:t>
      </w:r>
      <w:r w:rsidR="008A26DF" w:rsidRPr="00CE5716">
        <w:rPr>
          <w:b w:val="0"/>
          <w:sz w:val="20"/>
          <w:szCs w:val="20"/>
          <w:lang w:val="fr-FR"/>
        </w:rPr>
        <w:t>exercer un contrôle sur le brûlage à l</w:t>
      </w:r>
      <w:r w:rsidR="00CE5716">
        <w:rPr>
          <w:b w:val="0"/>
          <w:sz w:val="20"/>
          <w:szCs w:val="20"/>
          <w:lang w:val="fr-FR"/>
        </w:rPr>
        <w:t>’</w:t>
      </w:r>
      <w:r w:rsidR="008A26DF" w:rsidRPr="00CE5716">
        <w:rPr>
          <w:b w:val="0"/>
          <w:sz w:val="20"/>
          <w:szCs w:val="20"/>
          <w:lang w:val="fr-FR"/>
        </w:rPr>
        <w:t>air libre du fait de la dissémination des sites et du rythme souvent intermittent du brûlage. De nombreux effets néfastes pour la santé ont été associés à l</w:t>
      </w:r>
      <w:r w:rsidR="00CE5716">
        <w:rPr>
          <w:b w:val="0"/>
          <w:sz w:val="20"/>
          <w:szCs w:val="20"/>
          <w:lang w:val="fr-FR"/>
        </w:rPr>
        <w:t>’</w:t>
      </w:r>
      <w:r w:rsidR="008A26DF" w:rsidRPr="00CE5716">
        <w:rPr>
          <w:b w:val="0"/>
          <w:sz w:val="20"/>
          <w:szCs w:val="20"/>
          <w:lang w:val="fr-FR"/>
        </w:rPr>
        <w:t>exposition à la fumée émanant du brûlage à l</w:t>
      </w:r>
      <w:r w:rsidR="00CE5716">
        <w:rPr>
          <w:b w:val="0"/>
          <w:sz w:val="20"/>
          <w:szCs w:val="20"/>
          <w:lang w:val="fr-FR"/>
        </w:rPr>
        <w:t>’</w:t>
      </w:r>
      <w:r w:rsidR="008A26DF" w:rsidRPr="00CE5716">
        <w:rPr>
          <w:b w:val="0"/>
          <w:sz w:val="20"/>
          <w:szCs w:val="20"/>
          <w:lang w:val="fr-FR"/>
        </w:rPr>
        <w:t>air libre, y compris des problèmes cardiovasculaires et respiratoires</w:t>
      </w:r>
      <w:r w:rsidR="003873BB">
        <w:rPr>
          <w:b w:val="0"/>
          <w:sz w:val="20"/>
          <w:szCs w:val="20"/>
          <w:lang w:val="fr-FR"/>
        </w:rPr>
        <w:t xml:space="preserve"> </w:t>
      </w:r>
      <w:r w:rsidR="003873BB" w:rsidRPr="00E17857">
        <w:rPr>
          <w:b w:val="0"/>
          <w:bCs w:val="0"/>
          <w:sz w:val="20"/>
          <w:szCs w:val="20"/>
          <w:lang w:val="fr-FR"/>
        </w:rPr>
        <w:t>(</w:t>
      </w:r>
      <w:proofErr w:type="spellStart"/>
      <w:r w:rsidR="003873BB" w:rsidRPr="00E17857">
        <w:rPr>
          <w:b w:val="0"/>
          <w:bCs w:val="0"/>
          <w:sz w:val="20"/>
          <w:szCs w:val="20"/>
          <w:lang w:val="fr-FR"/>
        </w:rPr>
        <w:t>Mavropoulos</w:t>
      </w:r>
      <w:proofErr w:type="spellEnd"/>
      <w:r w:rsidR="003873BB" w:rsidRPr="00E17857">
        <w:rPr>
          <w:b w:val="0"/>
          <w:bCs w:val="0"/>
          <w:sz w:val="20"/>
          <w:szCs w:val="20"/>
          <w:lang w:val="fr-FR"/>
        </w:rPr>
        <w:t>, 2015)</w:t>
      </w:r>
      <w:r w:rsidR="008A26DF" w:rsidRPr="00CE5716">
        <w:rPr>
          <w:b w:val="0"/>
          <w:sz w:val="20"/>
          <w:szCs w:val="20"/>
          <w:lang w:val="fr-FR"/>
        </w:rPr>
        <w:t xml:space="preserve">. </w:t>
      </w:r>
    </w:p>
    <w:p w14:paraId="1C5D57DF" w14:textId="39DC866A" w:rsidR="008A26DF" w:rsidRPr="00066BE9" w:rsidRDefault="008A26DF" w:rsidP="00043A14">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lang w:val="fr-FR"/>
        </w:rPr>
      </w:pPr>
      <w:r w:rsidRPr="00CE5716">
        <w:rPr>
          <w:b w:val="0"/>
          <w:sz w:val="20"/>
          <w:szCs w:val="20"/>
          <w:lang w:val="fr-FR"/>
        </w:rPr>
        <w:t>L</w:t>
      </w:r>
      <w:r w:rsidR="00CE5716">
        <w:rPr>
          <w:b w:val="0"/>
          <w:sz w:val="20"/>
          <w:szCs w:val="20"/>
          <w:lang w:val="fr-FR"/>
        </w:rPr>
        <w:t>’</w:t>
      </w:r>
      <w:r w:rsidRPr="00CE5716">
        <w:rPr>
          <w:b w:val="0"/>
          <w:sz w:val="20"/>
          <w:szCs w:val="20"/>
          <w:lang w:val="fr-FR"/>
        </w:rPr>
        <w:t>élimination du brûlage à l</w:t>
      </w:r>
      <w:r w:rsidR="00CE5716">
        <w:rPr>
          <w:b w:val="0"/>
          <w:sz w:val="20"/>
          <w:szCs w:val="20"/>
          <w:lang w:val="fr-FR"/>
        </w:rPr>
        <w:t>’</w:t>
      </w:r>
      <w:r w:rsidRPr="00CE5716">
        <w:rPr>
          <w:b w:val="0"/>
          <w:sz w:val="20"/>
          <w:szCs w:val="20"/>
          <w:lang w:val="fr-FR"/>
        </w:rPr>
        <w:t>air libre est rattachée aux objectifs de développement durable. Les objectifs de gestion des déchets à l</w:t>
      </w:r>
      <w:r w:rsidR="00CE5716">
        <w:rPr>
          <w:b w:val="0"/>
          <w:sz w:val="20"/>
          <w:szCs w:val="20"/>
          <w:lang w:val="fr-FR"/>
        </w:rPr>
        <w:t>’</w:t>
      </w:r>
      <w:r w:rsidRPr="00CE5716">
        <w:rPr>
          <w:b w:val="0"/>
          <w:sz w:val="20"/>
          <w:szCs w:val="20"/>
          <w:lang w:val="fr-FR"/>
        </w:rPr>
        <w:t xml:space="preserve">échelle mondiale </w:t>
      </w:r>
      <w:r w:rsidR="00AB0C99">
        <w:rPr>
          <w:b w:val="0"/>
          <w:sz w:val="20"/>
          <w:szCs w:val="20"/>
          <w:lang w:val="fr-FR"/>
        </w:rPr>
        <w:t>inscrits</w:t>
      </w:r>
      <w:r w:rsidR="00AB0C99" w:rsidRPr="00CE5716">
        <w:rPr>
          <w:b w:val="0"/>
          <w:sz w:val="20"/>
          <w:szCs w:val="20"/>
          <w:lang w:val="fr-FR"/>
        </w:rPr>
        <w:t xml:space="preserve"> </w:t>
      </w:r>
      <w:r w:rsidRPr="00CE5716">
        <w:rPr>
          <w:b w:val="0"/>
          <w:sz w:val="20"/>
          <w:szCs w:val="20"/>
          <w:lang w:val="fr-FR"/>
        </w:rPr>
        <w:t>dans le Programme de développement durable à l</w:t>
      </w:r>
      <w:r w:rsidR="00CE5716">
        <w:rPr>
          <w:b w:val="0"/>
          <w:sz w:val="20"/>
          <w:szCs w:val="20"/>
          <w:lang w:val="fr-FR"/>
        </w:rPr>
        <w:t>’</w:t>
      </w:r>
      <w:r w:rsidRPr="00CE5716">
        <w:rPr>
          <w:b w:val="0"/>
          <w:sz w:val="20"/>
          <w:szCs w:val="20"/>
          <w:lang w:val="fr-FR"/>
        </w:rPr>
        <w:t>horizon 2030 incluent notamment l</w:t>
      </w:r>
      <w:r w:rsidR="00CE5716">
        <w:rPr>
          <w:b w:val="0"/>
          <w:sz w:val="20"/>
          <w:szCs w:val="20"/>
          <w:lang w:val="fr-FR"/>
        </w:rPr>
        <w:t>’</w:t>
      </w:r>
      <w:r w:rsidRPr="00CE5716">
        <w:rPr>
          <w:b w:val="0"/>
          <w:sz w:val="20"/>
          <w:szCs w:val="20"/>
          <w:lang w:val="fr-FR"/>
        </w:rPr>
        <w:t>élimination du brûlage à l</w:t>
      </w:r>
      <w:r w:rsidR="00CE5716">
        <w:rPr>
          <w:b w:val="0"/>
          <w:sz w:val="20"/>
          <w:szCs w:val="20"/>
          <w:lang w:val="fr-FR"/>
        </w:rPr>
        <w:t>’</w:t>
      </w:r>
      <w:r w:rsidRPr="00CE5716">
        <w:rPr>
          <w:b w:val="0"/>
          <w:sz w:val="20"/>
          <w:szCs w:val="20"/>
          <w:lang w:val="fr-FR"/>
        </w:rPr>
        <w:t>air libre d</w:t>
      </w:r>
      <w:r w:rsidR="00CE5716">
        <w:rPr>
          <w:b w:val="0"/>
          <w:sz w:val="20"/>
          <w:szCs w:val="20"/>
          <w:lang w:val="fr-FR"/>
        </w:rPr>
        <w:t>’</w:t>
      </w:r>
      <w:r w:rsidRPr="00CE5716">
        <w:rPr>
          <w:b w:val="0"/>
          <w:sz w:val="20"/>
          <w:szCs w:val="20"/>
          <w:lang w:val="fr-FR"/>
        </w:rPr>
        <w:t>ici à 2020, ce qui favoriserait la réalisation de plusieurs objectifs de développement durable.</w:t>
      </w:r>
    </w:p>
    <w:p w14:paraId="4400C6AD" w14:textId="42B68BF1" w:rsidR="008A26DF" w:rsidRPr="004A39CE" w:rsidRDefault="008A26DF" w:rsidP="008A26DF">
      <w:pPr>
        <w:pStyle w:val="CH2"/>
        <w:rPr>
          <w:lang w:val="fr-FR"/>
        </w:rPr>
      </w:pPr>
      <w:r w:rsidRPr="00CE5716">
        <w:rPr>
          <w:b w:val="0"/>
          <w:sz w:val="20"/>
          <w:szCs w:val="20"/>
          <w:lang w:val="fr-FR"/>
        </w:rPr>
        <w:tab/>
      </w:r>
      <w:r w:rsidR="003873BB" w:rsidRPr="004A39CE">
        <w:rPr>
          <w:lang w:val="fr-FR"/>
        </w:rPr>
        <w:t>B.</w:t>
      </w:r>
      <w:r w:rsidRPr="004A39CE">
        <w:rPr>
          <w:b w:val="0"/>
          <w:lang w:val="fr-FR"/>
        </w:rPr>
        <w:tab/>
      </w:r>
      <w:r w:rsidRPr="004A39CE">
        <w:rPr>
          <w:lang w:val="fr-FR"/>
        </w:rPr>
        <w:t>Estimations concernant la portée du brûlage à l</w:t>
      </w:r>
      <w:r w:rsidR="00CE5716" w:rsidRPr="004A39CE">
        <w:rPr>
          <w:lang w:val="fr-FR"/>
        </w:rPr>
        <w:t>’</w:t>
      </w:r>
      <w:r w:rsidRPr="004A39CE">
        <w:rPr>
          <w:lang w:val="fr-FR"/>
        </w:rPr>
        <w:t>air libre</w:t>
      </w:r>
    </w:p>
    <w:p w14:paraId="6CD2AB51" w14:textId="176409E9" w:rsidR="008A26DF" w:rsidRPr="00066BE9" w:rsidRDefault="008A26DF" w:rsidP="008A26DF">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lang w:val="fr-FR"/>
        </w:rPr>
      </w:pPr>
      <w:r w:rsidRPr="00CE5716">
        <w:rPr>
          <w:b w:val="0"/>
          <w:sz w:val="20"/>
          <w:szCs w:val="20"/>
          <w:lang w:val="fr-FR"/>
        </w:rPr>
        <w:t xml:space="preserve">Dans le </w:t>
      </w:r>
      <w:r w:rsidRPr="00E17857">
        <w:rPr>
          <w:b w:val="0"/>
          <w:i/>
          <w:sz w:val="20"/>
          <w:szCs w:val="20"/>
          <w:lang w:val="fr-FR"/>
        </w:rPr>
        <w:t xml:space="preserve">Global </w:t>
      </w:r>
      <w:proofErr w:type="spellStart"/>
      <w:r w:rsidRPr="00E17857">
        <w:rPr>
          <w:b w:val="0"/>
          <w:i/>
          <w:sz w:val="20"/>
          <w:szCs w:val="20"/>
          <w:lang w:val="fr-FR"/>
        </w:rPr>
        <w:t>Waste</w:t>
      </w:r>
      <w:proofErr w:type="spellEnd"/>
      <w:r w:rsidRPr="00E17857">
        <w:rPr>
          <w:b w:val="0"/>
          <w:i/>
          <w:sz w:val="20"/>
          <w:szCs w:val="20"/>
          <w:lang w:val="fr-FR"/>
        </w:rPr>
        <w:t xml:space="preserve"> Management Outlook</w:t>
      </w:r>
      <w:r w:rsidRPr="00CE5716">
        <w:rPr>
          <w:b w:val="0"/>
          <w:sz w:val="20"/>
          <w:szCs w:val="20"/>
          <w:lang w:val="fr-FR"/>
        </w:rPr>
        <w:t xml:space="preserve"> (Rapport sur l</w:t>
      </w:r>
      <w:r w:rsidR="00CE5716">
        <w:rPr>
          <w:b w:val="0"/>
          <w:sz w:val="20"/>
          <w:szCs w:val="20"/>
          <w:lang w:val="fr-FR"/>
        </w:rPr>
        <w:t>’</w:t>
      </w:r>
      <w:r w:rsidRPr="00CE5716">
        <w:rPr>
          <w:b w:val="0"/>
          <w:sz w:val="20"/>
          <w:szCs w:val="20"/>
          <w:lang w:val="fr-FR"/>
        </w:rPr>
        <w:t>avenir de la gestion mondiale des déchets) publié par le Programme des Nations Unies pour l</w:t>
      </w:r>
      <w:r w:rsidR="00CE5716">
        <w:rPr>
          <w:b w:val="0"/>
          <w:sz w:val="20"/>
          <w:szCs w:val="20"/>
          <w:lang w:val="fr-FR"/>
        </w:rPr>
        <w:t>’</w:t>
      </w:r>
      <w:r w:rsidRPr="00CE5716">
        <w:rPr>
          <w:b w:val="0"/>
          <w:sz w:val="20"/>
          <w:szCs w:val="20"/>
          <w:lang w:val="fr-FR"/>
        </w:rPr>
        <w:t xml:space="preserve">environnement (PNUE) en 2015, il </w:t>
      </w:r>
      <w:r w:rsidR="00213475">
        <w:rPr>
          <w:b w:val="0"/>
          <w:sz w:val="20"/>
          <w:szCs w:val="20"/>
          <w:lang w:val="fr-FR"/>
        </w:rPr>
        <w:t>est</w:t>
      </w:r>
      <w:r w:rsidR="00213475" w:rsidRPr="00CE5716">
        <w:rPr>
          <w:b w:val="0"/>
          <w:sz w:val="20"/>
          <w:szCs w:val="20"/>
          <w:lang w:val="fr-FR"/>
        </w:rPr>
        <w:t xml:space="preserve"> </w:t>
      </w:r>
      <w:r w:rsidRPr="00CE5716">
        <w:rPr>
          <w:b w:val="0"/>
          <w:sz w:val="20"/>
          <w:szCs w:val="20"/>
          <w:lang w:val="fr-FR"/>
        </w:rPr>
        <w:t>estimé que l</w:t>
      </w:r>
      <w:r w:rsidR="00CE5716">
        <w:rPr>
          <w:b w:val="0"/>
          <w:sz w:val="20"/>
          <w:szCs w:val="20"/>
          <w:lang w:val="fr-FR"/>
        </w:rPr>
        <w:t>’</w:t>
      </w:r>
      <w:r w:rsidRPr="00CE5716">
        <w:rPr>
          <w:b w:val="0"/>
          <w:sz w:val="20"/>
          <w:szCs w:val="20"/>
          <w:lang w:val="fr-FR"/>
        </w:rPr>
        <w:t>élimination incontrôlée des déchets touch</w:t>
      </w:r>
      <w:r w:rsidR="00213475">
        <w:rPr>
          <w:b w:val="0"/>
          <w:sz w:val="20"/>
          <w:szCs w:val="20"/>
          <w:lang w:val="fr-FR"/>
        </w:rPr>
        <w:t>e</w:t>
      </w:r>
      <w:r w:rsidRPr="00CE5716">
        <w:rPr>
          <w:b w:val="0"/>
          <w:sz w:val="20"/>
          <w:szCs w:val="20"/>
          <w:lang w:val="fr-FR"/>
        </w:rPr>
        <w:t xml:space="preserve"> plus de 50</w:t>
      </w:r>
      <w:r w:rsidR="008715F8">
        <w:rPr>
          <w:b w:val="0"/>
          <w:sz w:val="20"/>
          <w:szCs w:val="20"/>
          <w:lang w:val="fr-FR"/>
        </w:rPr>
        <w:t> %</w:t>
      </w:r>
      <w:r w:rsidRPr="00CE5716">
        <w:rPr>
          <w:b w:val="0"/>
          <w:sz w:val="20"/>
          <w:szCs w:val="20"/>
          <w:lang w:val="fr-FR"/>
        </w:rPr>
        <w:t xml:space="preserve"> de la population dans les pays à faible revenu, le taux s</w:t>
      </w:r>
      <w:r w:rsidR="00CE5716">
        <w:rPr>
          <w:b w:val="0"/>
          <w:sz w:val="20"/>
          <w:szCs w:val="20"/>
          <w:lang w:val="fr-FR"/>
        </w:rPr>
        <w:t>’</w:t>
      </w:r>
      <w:r w:rsidR="008715F8">
        <w:rPr>
          <w:b w:val="0"/>
          <w:sz w:val="20"/>
          <w:szCs w:val="20"/>
          <w:lang w:val="fr-FR"/>
        </w:rPr>
        <w:t xml:space="preserve">élevant à près de 100 % </w:t>
      </w:r>
      <w:r w:rsidRPr="00CE5716">
        <w:rPr>
          <w:b w:val="0"/>
          <w:sz w:val="20"/>
          <w:szCs w:val="20"/>
          <w:lang w:val="fr-FR"/>
        </w:rPr>
        <w:t>dans les zones rurales desdits pays. Le rapport estim</w:t>
      </w:r>
      <w:r w:rsidR="00213475">
        <w:rPr>
          <w:b w:val="0"/>
          <w:sz w:val="20"/>
          <w:szCs w:val="20"/>
          <w:lang w:val="fr-FR"/>
        </w:rPr>
        <w:t>e</w:t>
      </w:r>
      <w:r w:rsidRPr="00CE5716">
        <w:rPr>
          <w:b w:val="0"/>
          <w:sz w:val="20"/>
          <w:szCs w:val="20"/>
          <w:lang w:val="fr-FR"/>
        </w:rPr>
        <w:t xml:space="preserve"> qu</w:t>
      </w:r>
      <w:r w:rsidR="00CE5716">
        <w:rPr>
          <w:b w:val="0"/>
          <w:sz w:val="20"/>
          <w:szCs w:val="20"/>
          <w:lang w:val="fr-FR"/>
        </w:rPr>
        <w:t>’</w:t>
      </w:r>
      <w:r w:rsidRPr="00CE5716">
        <w:rPr>
          <w:b w:val="0"/>
          <w:sz w:val="20"/>
          <w:szCs w:val="20"/>
          <w:lang w:val="fr-FR"/>
        </w:rPr>
        <w:t>au moins 3</w:t>
      </w:r>
      <w:r w:rsidR="008715F8">
        <w:rPr>
          <w:b w:val="0"/>
          <w:sz w:val="20"/>
          <w:szCs w:val="20"/>
          <w:lang w:val="fr-FR"/>
        </w:rPr>
        <w:t> </w:t>
      </w:r>
      <w:r w:rsidRPr="00CE5716">
        <w:rPr>
          <w:b w:val="0"/>
          <w:sz w:val="20"/>
          <w:szCs w:val="20"/>
          <w:lang w:val="fr-FR"/>
        </w:rPr>
        <w:t>milliard</w:t>
      </w:r>
      <w:r w:rsidR="008715F8">
        <w:rPr>
          <w:b w:val="0"/>
          <w:sz w:val="20"/>
          <w:szCs w:val="20"/>
          <w:lang w:val="fr-FR"/>
        </w:rPr>
        <w:t>s</w:t>
      </w:r>
      <w:r w:rsidRPr="00CE5716">
        <w:rPr>
          <w:b w:val="0"/>
          <w:sz w:val="20"/>
          <w:szCs w:val="20"/>
          <w:lang w:val="fr-FR"/>
        </w:rPr>
        <w:t xml:space="preserve"> de personnes dans le monde n</w:t>
      </w:r>
      <w:r w:rsidR="00CE5716">
        <w:rPr>
          <w:b w:val="0"/>
          <w:sz w:val="20"/>
          <w:szCs w:val="20"/>
          <w:lang w:val="fr-FR"/>
        </w:rPr>
        <w:t>’</w:t>
      </w:r>
      <w:r w:rsidRPr="00CE5716">
        <w:rPr>
          <w:b w:val="0"/>
          <w:sz w:val="20"/>
          <w:szCs w:val="20"/>
          <w:lang w:val="fr-FR"/>
        </w:rPr>
        <w:t>avaient toujours pas accès à des installations contrôlées d</w:t>
      </w:r>
      <w:r w:rsidR="00CE5716">
        <w:rPr>
          <w:b w:val="0"/>
          <w:sz w:val="20"/>
          <w:szCs w:val="20"/>
          <w:lang w:val="fr-FR"/>
        </w:rPr>
        <w:t>’</w:t>
      </w:r>
      <w:r w:rsidRPr="00CE5716">
        <w:rPr>
          <w:b w:val="0"/>
          <w:sz w:val="20"/>
          <w:szCs w:val="20"/>
          <w:lang w:val="fr-FR"/>
        </w:rPr>
        <w:t>élimination des déchets, une grande partie des déchets étant donc éliminée par le brûlage à l</w:t>
      </w:r>
      <w:r w:rsidR="00CE5716">
        <w:rPr>
          <w:b w:val="0"/>
          <w:sz w:val="20"/>
          <w:szCs w:val="20"/>
          <w:lang w:val="fr-FR"/>
        </w:rPr>
        <w:t>’</w:t>
      </w:r>
      <w:r w:rsidRPr="00CE5716">
        <w:rPr>
          <w:b w:val="0"/>
          <w:sz w:val="20"/>
          <w:szCs w:val="20"/>
          <w:lang w:val="fr-FR"/>
        </w:rPr>
        <w:t>air libre dans des décharges non contrôlées.</w:t>
      </w:r>
    </w:p>
    <w:p w14:paraId="690345C6" w14:textId="48E868A1" w:rsidR="008A26DF" w:rsidRPr="004A39CE" w:rsidRDefault="008A26DF" w:rsidP="008A26DF">
      <w:pPr>
        <w:pStyle w:val="CH2"/>
        <w:rPr>
          <w:lang w:val="fr-FR"/>
        </w:rPr>
      </w:pPr>
      <w:r w:rsidRPr="00CE5716">
        <w:rPr>
          <w:b w:val="0"/>
          <w:sz w:val="20"/>
          <w:szCs w:val="20"/>
          <w:lang w:val="fr-FR"/>
        </w:rPr>
        <w:tab/>
      </w:r>
      <w:r w:rsidR="003873BB" w:rsidRPr="004A39CE">
        <w:rPr>
          <w:lang w:val="fr-FR"/>
        </w:rPr>
        <w:t>C.</w:t>
      </w:r>
      <w:r w:rsidRPr="004A39CE">
        <w:rPr>
          <w:b w:val="0"/>
          <w:lang w:val="fr-FR"/>
        </w:rPr>
        <w:tab/>
      </w:r>
      <w:r w:rsidRPr="004A39CE">
        <w:rPr>
          <w:lang w:val="fr-FR"/>
        </w:rPr>
        <w:t xml:space="preserve">Estimations concernant les émissions de mercure </w:t>
      </w:r>
      <w:r w:rsidR="00C9671D" w:rsidRPr="004A39CE">
        <w:rPr>
          <w:lang w:val="fr-FR"/>
        </w:rPr>
        <w:t xml:space="preserve">résultant </w:t>
      </w:r>
      <w:r w:rsidR="004A39CE">
        <w:rPr>
          <w:lang w:val="fr-FR"/>
        </w:rPr>
        <w:t>du brûlage des </w:t>
      </w:r>
      <w:r w:rsidRPr="004A39CE">
        <w:rPr>
          <w:lang w:val="fr-FR"/>
        </w:rPr>
        <w:t>déchets à l</w:t>
      </w:r>
      <w:r w:rsidR="00CE5716" w:rsidRPr="004A39CE">
        <w:rPr>
          <w:lang w:val="fr-FR"/>
        </w:rPr>
        <w:t>’</w:t>
      </w:r>
      <w:r w:rsidRPr="004A39CE">
        <w:rPr>
          <w:lang w:val="fr-FR"/>
        </w:rPr>
        <w:t>air libre</w:t>
      </w:r>
    </w:p>
    <w:p w14:paraId="3D98A6CE" w14:textId="726D68D2" w:rsidR="008A26DF" w:rsidRPr="00066BE9" w:rsidRDefault="008A26DF" w:rsidP="008A26DF">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lang w:val="fr-FR"/>
        </w:rPr>
      </w:pPr>
      <w:r w:rsidRPr="00CE5716">
        <w:rPr>
          <w:b w:val="0"/>
          <w:sz w:val="20"/>
          <w:szCs w:val="20"/>
          <w:lang w:val="fr-FR"/>
        </w:rPr>
        <w:t xml:space="preserve">Le </w:t>
      </w:r>
      <w:r w:rsidRPr="00E17857">
        <w:rPr>
          <w:b w:val="0"/>
          <w:i/>
          <w:sz w:val="20"/>
          <w:szCs w:val="20"/>
          <w:lang w:val="fr-FR"/>
        </w:rPr>
        <w:t xml:space="preserve">Global Mercury </w:t>
      </w:r>
      <w:proofErr w:type="spellStart"/>
      <w:r w:rsidRPr="00E17857">
        <w:rPr>
          <w:b w:val="0"/>
          <w:i/>
          <w:sz w:val="20"/>
          <w:szCs w:val="20"/>
          <w:lang w:val="fr-FR"/>
        </w:rPr>
        <w:t>Assessment</w:t>
      </w:r>
      <w:proofErr w:type="spellEnd"/>
      <w:r w:rsidRPr="00CE5716">
        <w:rPr>
          <w:b w:val="0"/>
          <w:sz w:val="20"/>
          <w:szCs w:val="20"/>
          <w:lang w:val="fr-FR"/>
        </w:rPr>
        <w:t xml:space="preserve"> (Évaluation mondiale du mercure) du PNUE pour 2013 not</w:t>
      </w:r>
      <w:r w:rsidR="00213475">
        <w:rPr>
          <w:b w:val="0"/>
          <w:sz w:val="20"/>
          <w:szCs w:val="20"/>
          <w:lang w:val="fr-FR"/>
        </w:rPr>
        <w:t>e</w:t>
      </w:r>
      <w:r w:rsidRPr="00CE5716">
        <w:rPr>
          <w:b w:val="0"/>
          <w:sz w:val="20"/>
          <w:szCs w:val="20"/>
          <w:lang w:val="fr-FR"/>
        </w:rPr>
        <w:t xml:space="preserve"> que la part de mercure dans les produits pénétrant le flux de déchets </w:t>
      </w:r>
      <w:r w:rsidR="00213475">
        <w:rPr>
          <w:b w:val="0"/>
          <w:sz w:val="20"/>
          <w:szCs w:val="20"/>
          <w:lang w:val="fr-FR"/>
        </w:rPr>
        <w:t xml:space="preserve">est </w:t>
      </w:r>
      <w:r w:rsidRPr="00CE5716">
        <w:rPr>
          <w:b w:val="0"/>
          <w:sz w:val="20"/>
          <w:szCs w:val="20"/>
          <w:lang w:val="fr-FR"/>
        </w:rPr>
        <w:t xml:space="preserve">répartie entre recyclage, incinération et mise en décharge (cette dernière débouchant peut-être sur de nouveaux rejets de mercure, selon les contrôles en place dans la décharge concernée). Les déchets </w:t>
      </w:r>
      <w:r w:rsidR="00213475">
        <w:rPr>
          <w:b w:val="0"/>
          <w:sz w:val="20"/>
          <w:szCs w:val="20"/>
          <w:lang w:val="fr-FR"/>
        </w:rPr>
        <w:t xml:space="preserve">peuvent </w:t>
      </w:r>
      <w:r w:rsidRPr="00CE5716">
        <w:rPr>
          <w:b w:val="0"/>
          <w:sz w:val="20"/>
          <w:szCs w:val="20"/>
          <w:lang w:val="fr-FR"/>
        </w:rPr>
        <w:t>être subdivi</w:t>
      </w:r>
      <w:r w:rsidR="00776600">
        <w:rPr>
          <w:b w:val="0"/>
          <w:sz w:val="20"/>
          <w:szCs w:val="20"/>
          <w:lang w:val="fr-FR"/>
        </w:rPr>
        <w:t xml:space="preserve">sés entre déchets contrôlés et </w:t>
      </w:r>
      <w:r w:rsidRPr="00CE5716">
        <w:rPr>
          <w:b w:val="0"/>
          <w:sz w:val="20"/>
          <w:szCs w:val="20"/>
          <w:lang w:val="fr-FR"/>
        </w:rPr>
        <w:t>déchets non contrôlés, dans le cas tant de l</w:t>
      </w:r>
      <w:r w:rsidR="00CE5716">
        <w:rPr>
          <w:b w:val="0"/>
          <w:sz w:val="20"/>
          <w:szCs w:val="20"/>
          <w:lang w:val="fr-FR"/>
        </w:rPr>
        <w:t>’</w:t>
      </w:r>
      <w:r w:rsidRPr="00CE5716">
        <w:rPr>
          <w:b w:val="0"/>
          <w:sz w:val="20"/>
          <w:szCs w:val="20"/>
          <w:lang w:val="fr-FR"/>
        </w:rPr>
        <w:t xml:space="preserve">incinération que de la mise en </w:t>
      </w:r>
      <w:r w:rsidRPr="00CE5716">
        <w:rPr>
          <w:b w:val="0"/>
          <w:sz w:val="20"/>
          <w:szCs w:val="20"/>
          <w:lang w:val="fr-FR"/>
        </w:rPr>
        <w:lastRenderedPageBreak/>
        <w:t>décharge. Dans l</w:t>
      </w:r>
      <w:r w:rsidR="00CE5716">
        <w:rPr>
          <w:b w:val="0"/>
          <w:sz w:val="20"/>
          <w:szCs w:val="20"/>
          <w:lang w:val="fr-FR"/>
        </w:rPr>
        <w:t>’</w:t>
      </w:r>
      <w:r w:rsidRPr="00CE5716">
        <w:rPr>
          <w:b w:val="0"/>
          <w:sz w:val="20"/>
          <w:szCs w:val="20"/>
          <w:lang w:val="fr-FR"/>
        </w:rPr>
        <w:t>évaluation, la modélisation avait pour objectif d</w:t>
      </w:r>
      <w:r w:rsidR="00CE5716">
        <w:rPr>
          <w:b w:val="0"/>
          <w:sz w:val="20"/>
          <w:szCs w:val="20"/>
          <w:lang w:val="fr-FR"/>
        </w:rPr>
        <w:t>’</w:t>
      </w:r>
      <w:r w:rsidRPr="00CE5716">
        <w:rPr>
          <w:b w:val="0"/>
          <w:sz w:val="20"/>
          <w:szCs w:val="20"/>
          <w:lang w:val="fr-FR"/>
        </w:rPr>
        <w:t>estimer les émissions de mercure résultant de différentes pratiques de gestion des déchets dans différents pays, à partir d</w:t>
      </w:r>
      <w:r w:rsidR="00CE5716">
        <w:rPr>
          <w:b w:val="0"/>
          <w:sz w:val="20"/>
          <w:szCs w:val="20"/>
          <w:lang w:val="fr-FR"/>
        </w:rPr>
        <w:t>’</w:t>
      </w:r>
      <w:r w:rsidRPr="00CE5716">
        <w:rPr>
          <w:b w:val="0"/>
          <w:sz w:val="20"/>
          <w:szCs w:val="20"/>
          <w:lang w:val="fr-FR"/>
        </w:rPr>
        <w:t xml:space="preserve">estimations </w:t>
      </w:r>
      <w:r w:rsidR="00C9671D">
        <w:rPr>
          <w:b w:val="0"/>
          <w:sz w:val="20"/>
          <w:szCs w:val="20"/>
          <w:lang w:val="fr-FR"/>
        </w:rPr>
        <w:t>du</w:t>
      </w:r>
      <w:r w:rsidRPr="00CE5716">
        <w:rPr>
          <w:b w:val="0"/>
          <w:sz w:val="20"/>
          <w:szCs w:val="20"/>
          <w:lang w:val="fr-FR"/>
        </w:rPr>
        <w:t xml:space="preserve"> niveau de développement. La méthode d</w:t>
      </w:r>
      <w:r w:rsidR="00CE5716">
        <w:rPr>
          <w:b w:val="0"/>
          <w:sz w:val="20"/>
          <w:szCs w:val="20"/>
          <w:lang w:val="fr-FR"/>
        </w:rPr>
        <w:t>’</w:t>
      </w:r>
      <w:r w:rsidRPr="00CE5716">
        <w:rPr>
          <w:b w:val="0"/>
          <w:sz w:val="20"/>
          <w:szCs w:val="20"/>
          <w:lang w:val="fr-FR"/>
        </w:rPr>
        <w:t>évaluation compren</w:t>
      </w:r>
      <w:r w:rsidR="00213475">
        <w:rPr>
          <w:b w:val="0"/>
          <w:sz w:val="20"/>
          <w:szCs w:val="20"/>
          <w:lang w:val="fr-FR"/>
        </w:rPr>
        <w:t>d</w:t>
      </w:r>
      <w:r w:rsidRPr="00CE5716">
        <w:rPr>
          <w:b w:val="0"/>
          <w:sz w:val="20"/>
          <w:szCs w:val="20"/>
          <w:lang w:val="fr-FR"/>
        </w:rPr>
        <w:t xml:space="preserve"> quelques hypothèses relatives aux pratiques de gestion des déchets; l</w:t>
      </w:r>
      <w:r w:rsidR="00CE5716">
        <w:rPr>
          <w:b w:val="0"/>
          <w:sz w:val="20"/>
          <w:szCs w:val="20"/>
          <w:lang w:val="fr-FR"/>
        </w:rPr>
        <w:t>’</w:t>
      </w:r>
      <w:r w:rsidRPr="00CE5716">
        <w:rPr>
          <w:b w:val="0"/>
          <w:sz w:val="20"/>
          <w:szCs w:val="20"/>
          <w:lang w:val="fr-FR"/>
        </w:rPr>
        <w:t>exactitude des estimations devrait s</w:t>
      </w:r>
      <w:r w:rsidR="00CE5716">
        <w:rPr>
          <w:b w:val="0"/>
          <w:sz w:val="20"/>
          <w:szCs w:val="20"/>
          <w:lang w:val="fr-FR"/>
        </w:rPr>
        <w:t>’</w:t>
      </w:r>
      <w:r w:rsidRPr="00CE5716">
        <w:rPr>
          <w:b w:val="0"/>
          <w:sz w:val="20"/>
          <w:szCs w:val="20"/>
          <w:lang w:val="fr-FR"/>
        </w:rPr>
        <w:t>améliorer au fur et à mesure que des données supplémentaires seront recueillies.</w:t>
      </w:r>
    </w:p>
    <w:p w14:paraId="2443F991" w14:textId="6BBE72B4" w:rsidR="008A26DF" w:rsidRPr="00066BE9" w:rsidRDefault="001F5ADF" w:rsidP="00043A14">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lang w:val="fr-FR"/>
        </w:rPr>
      </w:pPr>
      <w:r w:rsidRPr="00CE5716">
        <w:rPr>
          <w:b w:val="0"/>
          <w:sz w:val="20"/>
          <w:szCs w:val="20"/>
          <w:lang w:val="fr-FR"/>
        </w:rPr>
        <w:t>Une méthodologie similaire, présentée dans l</w:t>
      </w:r>
      <w:r w:rsidR="00CE5716">
        <w:rPr>
          <w:b w:val="0"/>
          <w:sz w:val="20"/>
          <w:szCs w:val="20"/>
          <w:lang w:val="fr-FR"/>
        </w:rPr>
        <w:t>’</w:t>
      </w:r>
      <w:r w:rsidRPr="00CE5716">
        <w:rPr>
          <w:b w:val="0"/>
          <w:sz w:val="20"/>
          <w:szCs w:val="20"/>
          <w:lang w:val="fr-FR"/>
        </w:rPr>
        <w:t>Outil d</w:t>
      </w:r>
      <w:r w:rsidR="00CE5716">
        <w:rPr>
          <w:b w:val="0"/>
          <w:sz w:val="20"/>
          <w:szCs w:val="20"/>
          <w:lang w:val="fr-FR"/>
        </w:rPr>
        <w:t>’</w:t>
      </w:r>
      <w:r w:rsidRPr="00CE5716">
        <w:rPr>
          <w:b w:val="0"/>
          <w:sz w:val="20"/>
          <w:szCs w:val="20"/>
          <w:lang w:val="fr-FR"/>
        </w:rPr>
        <w:t>identification et de quantification des rejets de mercure du PNUE, peut être utilisée pour évaluer la quantité de mercure émise lors de la combustion de déchets, à l</w:t>
      </w:r>
      <w:r w:rsidR="00CE5716">
        <w:rPr>
          <w:b w:val="0"/>
          <w:sz w:val="20"/>
          <w:szCs w:val="20"/>
          <w:lang w:val="fr-FR"/>
        </w:rPr>
        <w:t>’</w:t>
      </w:r>
      <w:r w:rsidRPr="00CE5716">
        <w:rPr>
          <w:b w:val="0"/>
          <w:sz w:val="20"/>
          <w:szCs w:val="20"/>
          <w:lang w:val="fr-FR"/>
        </w:rPr>
        <w:t>aide de coefficients servant à estimer le volume de combustion contrôlée par opposition au volume de combustion non contrôlée à l</w:t>
      </w:r>
      <w:r w:rsidR="00CE5716">
        <w:rPr>
          <w:b w:val="0"/>
          <w:sz w:val="20"/>
          <w:szCs w:val="20"/>
          <w:lang w:val="fr-FR"/>
        </w:rPr>
        <w:t>’</w:t>
      </w:r>
      <w:r w:rsidRPr="00CE5716">
        <w:rPr>
          <w:b w:val="0"/>
          <w:sz w:val="20"/>
          <w:szCs w:val="20"/>
          <w:lang w:val="fr-FR"/>
        </w:rPr>
        <w:t>échelle nationale. Les estimations qui en résultent peuvent être affinées moyennant l</w:t>
      </w:r>
      <w:r w:rsidR="00CE5716">
        <w:rPr>
          <w:b w:val="0"/>
          <w:sz w:val="20"/>
          <w:szCs w:val="20"/>
          <w:lang w:val="fr-FR"/>
        </w:rPr>
        <w:t>’</w:t>
      </w:r>
      <w:r w:rsidRPr="00CE5716">
        <w:rPr>
          <w:b w:val="0"/>
          <w:sz w:val="20"/>
          <w:szCs w:val="20"/>
          <w:lang w:val="fr-FR"/>
        </w:rPr>
        <w:t xml:space="preserve">inclusion de données nationales supplémentaires. Les pays établissent actuellement des inventaires de leurs émissions et rejets de mercure dans le cadre de la mise en </w:t>
      </w:r>
      <w:r w:rsidR="00C9671D">
        <w:rPr>
          <w:b w:val="0"/>
          <w:sz w:val="20"/>
          <w:szCs w:val="20"/>
          <w:lang w:val="fr-FR"/>
        </w:rPr>
        <w:t>œuvre</w:t>
      </w:r>
      <w:r w:rsidRPr="00CE5716">
        <w:rPr>
          <w:b w:val="0"/>
          <w:sz w:val="20"/>
          <w:szCs w:val="20"/>
          <w:lang w:val="fr-FR"/>
        </w:rPr>
        <w:t xml:space="preserve"> de la Convention de Minamata, ce qui favoris</w:t>
      </w:r>
      <w:r w:rsidR="008715F8">
        <w:rPr>
          <w:b w:val="0"/>
          <w:sz w:val="20"/>
          <w:szCs w:val="20"/>
          <w:lang w:val="fr-FR"/>
        </w:rPr>
        <w:t xml:space="preserve">era la collecte de plus amples </w:t>
      </w:r>
      <w:r w:rsidRPr="00CE5716">
        <w:rPr>
          <w:b w:val="0"/>
          <w:sz w:val="20"/>
          <w:szCs w:val="20"/>
          <w:lang w:val="fr-FR"/>
        </w:rPr>
        <w:t xml:space="preserve">informations et permettra </w:t>
      </w:r>
      <w:r w:rsidR="00634D5A">
        <w:rPr>
          <w:b w:val="0"/>
          <w:sz w:val="20"/>
          <w:szCs w:val="20"/>
          <w:lang w:val="fr-FR"/>
        </w:rPr>
        <w:t>d’avoir</w:t>
      </w:r>
      <w:r w:rsidR="00634D5A" w:rsidRPr="00CE5716">
        <w:rPr>
          <w:b w:val="0"/>
          <w:sz w:val="20"/>
          <w:szCs w:val="20"/>
          <w:lang w:val="fr-FR"/>
        </w:rPr>
        <w:t xml:space="preserve"> </w:t>
      </w:r>
      <w:r w:rsidRPr="00CE5716">
        <w:rPr>
          <w:b w:val="0"/>
          <w:sz w:val="20"/>
          <w:szCs w:val="20"/>
          <w:lang w:val="fr-FR"/>
        </w:rPr>
        <w:t xml:space="preserve">une idée plus précise de la portée des émissions de mercure. </w:t>
      </w:r>
    </w:p>
    <w:p w14:paraId="5EC9E326" w14:textId="5D64DB53" w:rsidR="008A26DF" w:rsidRPr="004A39CE" w:rsidRDefault="008A26DF" w:rsidP="008A26DF">
      <w:pPr>
        <w:pStyle w:val="CH2"/>
        <w:rPr>
          <w:lang w:val="fr-FR"/>
        </w:rPr>
      </w:pPr>
      <w:r w:rsidRPr="004A39CE">
        <w:rPr>
          <w:b w:val="0"/>
          <w:lang w:val="fr-FR"/>
        </w:rPr>
        <w:tab/>
      </w:r>
      <w:r w:rsidR="00B91B4F" w:rsidRPr="004A39CE">
        <w:rPr>
          <w:lang w:val="fr-FR"/>
        </w:rPr>
        <w:t>D.</w:t>
      </w:r>
      <w:r w:rsidRPr="004A39CE">
        <w:rPr>
          <w:b w:val="0"/>
          <w:lang w:val="fr-FR"/>
        </w:rPr>
        <w:tab/>
      </w:r>
      <w:r w:rsidRPr="004A39CE">
        <w:rPr>
          <w:lang w:val="fr-FR"/>
        </w:rPr>
        <w:t>Informations réunies à partir de communications transm</w:t>
      </w:r>
      <w:r w:rsidR="00225285" w:rsidRPr="004A39CE">
        <w:rPr>
          <w:lang w:val="fr-FR"/>
        </w:rPr>
        <w:t>ises par les pays concernant le </w:t>
      </w:r>
      <w:r w:rsidRPr="004A39CE">
        <w:rPr>
          <w:lang w:val="fr-FR"/>
        </w:rPr>
        <w:t>brûlage des déchets à l</w:t>
      </w:r>
      <w:r w:rsidR="00CE5716" w:rsidRPr="004A39CE">
        <w:rPr>
          <w:lang w:val="fr-FR"/>
        </w:rPr>
        <w:t>’</w:t>
      </w:r>
      <w:r w:rsidRPr="004A39CE">
        <w:rPr>
          <w:lang w:val="fr-FR"/>
        </w:rPr>
        <w:t>air libre</w:t>
      </w:r>
    </w:p>
    <w:p w14:paraId="47B739A8" w14:textId="04435F67" w:rsidR="008110CF" w:rsidRPr="00066BE9" w:rsidRDefault="008A26DF" w:rsidP="00160554">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lang w:val="fr-FR"/>
        </w:rPr>
      </w:pPr>
      <w:r w:rsidRPr="00CE5716">
        <w:rPr>
          <w:b w:val="0"/>
          <w:sz w:val="20"/>
          <w:szCs w:val="20"/>
          <w:lang w:val="fr-FR"/>
        </w:rPr>
        <w:t>Plusieurs pays ont indiqué que le brûlage des déchets à l</w:t>
      </w:r>
      <w:r w:rsidR="00CE5716">
        <w:rPr>
          <w:b w:val="0"/>
          <w:sz w:val="20"/>
          <w:szCs w:val="20"/>
          <w:lang w:val="fr-FR"/>
        </w:rPr>
        <w:t>’</w:t>
      </w:r>
      <w:r w:rsidRPr="00CE5716">
        <w:rPr>
          <w:b w:val="0"/>
          <w:sz w:val="20"/>
          <w:szCs w:val="20"/>
          <w:lang w:val="fr-FR"/>
        </w:rPr>
        <w:t>air libre n</w:t>
      </w:r>
      <w:r w:rsidR="00CE5716">
        <w:rPr>
          <w:b w:val="0"/>
          <w:sz w:val="20"/>
          <w:szCs w:val="20"/>
          <w:lang w:val="fr-FR"/>
        </w:rPr>
        <w:t>’</w:t>
      </w:r>
      <w:r w:rsidRPr="00CE5716">
        <w:rPr>
          <w:b w:val="0"/>
          <w:sz w:val="20"/>
          <w:szCs w:val="20"/>
          <w:lang w:val="fr-FR"/>
        </w:rPr>
        <w:t>était pas autorisé au niveau national. D</w:t>
      </w:r>
      <w:r w:rsidR="00CE5716">
        <w:rPr>
          <w:b w:val="0"/>
          <w:sz w:val="20"/>
          <w:szCs w:val="20"/>
          <w:lang w:val="fr-FR"/>
        </w:rPr>
        <w:t>’</w:t>
      </w:r>
      <w:r w:rsidRPr="00CE5716">
        <w:rPr>
          <w:b w:val="0"/>
          <w:sz w:val="20"/>
          <w:szCs w:val="20"/>
          <w:lang w:val="fr-FR"/>
        </w:rPr>
        <w:t>autres méthodes de traitement des déchets comprenaient le recyclage, le traitement thermique dans un établissement autorisé ou la mise en décharge contrôlée. Certains pays ont mis en place des pratiques permettant d</w:t>
      </w:r>
      <w:r w:rsidR="00CE5716">
        <w:rPr>
          <w:b w:val="0"/>
          <w:sz w:val="20"/>
          <w:szCs w:val="20"/>
          <w:lang w:val="fr-FR"/>
        </w:rPr>
        <w:t>’</w:t>
      </w:r>
      <w:r w:rsidRPr="00CE5716">
        <w:rPr>
          <w:b w:val="0"/>
          <w:sz w:val="20"/>
          <w:szCs w:val="20"/>
          <w:lang w:val="fr-FR"/>
        </w:rPr>
        <w:t>utiliser la chaleur générée par l</w:t>
      </w:r>
      <w:r w:rsidR="00CE5716">
        <w:rPr>
          <w:b w:val="0"/>
          <w:sz w:val="20"/>
          <w:szCs w:val="20"/>
          <w:lang w:val="fr-FR"/>
        </w:rPr>
        <w:t>’</w:t>
      </w:r>
      <w:r w:rsidRPr="00CE5716">
        <w:rPr>
          <w:b w:val="0"/>
          <w:sz w:val="20"/>
          <w:szCs w:val="20"/>
          <w:lang w:val="fr-FR"/>
        </w:rPr>
        <w:t>incinération des déchets pour la production d</w:t>
      </w:r>
      <w:r w:rsidR="00CE5716">
        <w:rPr>
          <w:b w:val="0"/>
          <w:sz w:val="20"/>
          <w:szCs w:val="20"/>
          <w:lang w:val="fr-FR"/>
        </w:rPr>
        <w:t>’</w:t>
      </w:r>
      <w:r w:rsidRPr="00CE5716">
        <w:rPr>
          <w:b w:val="0"/>
          <w:sz w:val="20"/>
          <w:szCs w:val="20"/>
          <w:lang w:val="fr-FR"/>
        </w:rPr>
        <w:t xml:space="preserve">électricité ou le chauffage des bâtiments. Un pays a indiqué que les célébrations religieuses et </w:t>
      </w:r>
      <w:r w:rsidR="00634D5A">
        <w:rPr>
          <w:b w:val="0"/>
          <w:sz w:val="20"/>
          <w:szCs w:val="20"/>
          <w:lang w:val="fr-FR"/>
        </w:rPr>
        <w:t>manifestations</w:t>
      </w:r>
      <w:r w:rsidR="00634D5A" w:rsidRPr="00CE5716">
        <w:rPr>
          <w:b w:val="0"/>
          <w:sz w:val="20"/>
          <w:szCs w:val="20"/>
          <w:lang w:val="fr-FR"/>
        </w:rPr>
        <w:t xml:space="preserve"> </w:t>
      </w:r>
      <w:r w:rsidRPr="00CE5716">
        <w:rPr>
          <w:b w:val="0"/>
          <w:sz w:val="20"/>
          <w:szCs w:val="20"/>
          <w:lang w:val="fr-FR"/>
        </w:rPr>
        <w:t>culturel</w:t>
      </w:r>
      <w:r w:rsidR="00634D5A">
        <w:rPr>
          <w:b w:val="0"/>
          <w:sz w:val="20"/>
          <w:szCs w:val="20"/>
          <w:lang w:val="fr-FR"/>
        </w:rPr>
        <w:t>le</w:t>
      </w:r>
      <w:r w:rsidRPr="00CE5716">
        <w:rPr>
          <w:b w:val="0"/>
          <w:sz w:val="20"/>
          <w:szCs w:val="20"/>
          <w:lang w:val="fr-FR"/>
        </w:rPr>
        <w:t>s sur son territoire impliquaient le brûlage d</w:t>
      </w:r>
      <w:r w:rsidR="00CE5716">
        <w:rPr>
          <w:b w:val="0"/>
          <w:sz w:val="20"/>
          <w:szCs w:val="20"/>
          <w:lang w:val="fr-FR"/>
        </w:rPr>
        <w:t>’</w:t>
      </w:r>
      <w:r w:rsidRPr="00CE5716">
        <w:rPr>
          <w:b w:val="0"/>
          <w:sz w:val="20"/>
          <w:szCs w:val="20"/>
          <w:lang w:val="fr-FR"/>
        </w:rPr>
        <w:t>une certaine quantité de déchets, mais que cette quantité était considérée négligeable et que les niveaux de mercure seraient vraisemblablement bas (c</w:t>
      </w:r>
      <w:r w:rsidR="00CE5716">
        <w:rPr>
          <w:b w:val="0"/>
          <w:sz w:val="20"/>
          <w:szCs w:val="20"/>
          <w:lang w:val="fr-FR"/>
        </w:rPr>
        <w:t>’</w:t>
      </w:r>
      <w:r w:rsidRPr="00CE5716">
        <w:rPr>
          <w:b w:val="0"/>
          <w:sz w:val="20"/>
          <w:szCs w:val="20"/>
          <w:lang w:val="fr-FR"/>
        </w:rPr>
        <w:t>est-à-dire comparables à ceux des objets naturels dans l</w:t>
      </w:r>
      <w:r w:rsidR="00CE5716">
        <w:rPr>
          <w:b w:val="0"/>
          <w:sz w:val="20"/>
          <w:szCs w:val="20"/>
          <w:lang w:val="fr-FR"/>
        </w:rPr>
        <w:t>’</w:t>
      </w:r>
      <w:r w:rsidRPr="00CE5716">
        <w:rPr>
          <w:b w:val="0"/>
          <w:sz w:val="20"/>
          <w:szCs w:val="20"/>
          <w:lang w:val="fr-FR"/>
        </w:rPr>
        <w:t xml:space="preserve">environnement, comme les arbres). </w:t>
      </w:r>
    </w:p>
    <w:p w14:paraId="76BA235C" w14:textId="3EE39958" w:rsidR="008A26DF" w:rsidRPr="00066BE9" w:rsidRDefault="008A26DF" w:rsidP="00043A14">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lang w:val="fr-FR"/>
        </w:rPr>
      </w:pPr>
      <w:r w:rsidRPr="0062159E">
        <w:rPr>
          <w:b w:val="0"/>
          <w:sz w:val="20"/>
          <w:szCs w:val="20"/>
          <w:lang w:val="fr-FR"/>
        </w:rPr>
        <w:t xml:space="preserve">Plusieurs pays ont fourni des informations détaillées concernant leurs pratiques en matière de gestion des déchets. </w:t>
      </w:r>
      <w:r w:rsidRPr="00CE5716">
        <w:rPr>
          <w:b w:val="0"/>
          <w:sz w:val="20"/>
          <w:szCs w:val="20"/>
          <w:lang w:val="fr-FR"/>
        </w:rPr>
        <w:t>Le Costa Rica a fourni des informations concernant les déchets pour 2014. Cette année-là, près de 1,5</w:t>
      </w:r>
      <w:r w:rsidR="008715F8">
        <w:rPr>
          <w:b w:val="0"/>
          <w:sz w:val="20"/>
          <w:szCs w:val="20"/>
          <w:lang w:val="fr-FR"/>
        </w:rPr>
        <w:t> </w:t>
      </w:r>
      <w:r w:rsidRPr="00CE5716">
        <w:rPr>
          <w:b w:val="0"/>
          <w:sz w:val="20"/>
          <w:szCs w:val="20"/>
          <w:lang w:val="fr-FR"/>
        </w:rPr>
        <w:t>million de tonnes de déchets ont été produites. L</w:t>
      </w:r>
      <w:r w:rsidR="00CE5716">
        <w:rPr>
          <w:b w:val="0"/>
          <w:sz w:val="20"/>
          <w:szCs w:val="20"/>
          <w:lang w:val="fr-FR"/>
        </w:rPr>
        <w:t>’</w:t>
      </w:r>
      <w:r w:rsidRPr="00CE5716">
        <w:rPr>
          <w:b w:val="0"/>
          <w:sz w:val="20"/>
          <w:szCs w:val="20"/>
          <w:lang w:val="fr-FR"/>
        </w:rPr>
        <w:t>essentiel des déchets a fait l</w:t>
      </w:r>
      <w:r w:rsidR="00CE5716">
        <w:rPr>
          <w:b w:val="0"/>
          <w:sz w:val="20"/>
          <w:szCs w:val="20"/>
          <w:lang w:val="fr-FR"/>
        </w:rPr>
        <w:t>’</w:t>
      </w:r>
      <w:r w:rsidRPr="00CE5716">
        <w:rPr>
          <w:b w:val="0"/>
          <w:sz w:val="20"/>
          <w:szCs w:val="20"/>
          <w:lang w:val="fr-FR"/>
        </w:rPr>
        <w:t>objet d</w:t>
      </w:r>
      <w:r w:rsidR="00CE5716">
        <w:rPr>
          <w:b w:val="0"/>
          <w:sz w:val="20"/>
          <w:szCs w:val="20"/>
          <w:lang w:val="fr-FR"/>
        </w:rPr>
        <w:t>’</w:t>
      </w:r>
      <w:r w:rsidRPr="00CE5716">
        <w:rPr>
          <w:b w:val="0"/>
          <w:sz w:val="20"/>
          <w:szCs w:val="20"/>
          <w:lang w:val="fr-FR"/>
        </w:rPr>
        <w:t>une mise en décharge. Il a été estimé que quelqu</w:t>
      </w:r>
      <w:r w:rsidR="008715F8">
        <w:rPr>
          <w:b w:val="0"/>
          <w:sz w:val="20"/>
          <w:szCs w:val="20"/>
          <w:lang w:val="fr-FR"/>
        </w:rPr>
        <w:t xml:space="preserve">e 68 % </w:t>
      </w:r>
      <w:r w:rsidRPr="00CE5716">
        <w:rPr>
          <w:b w:val="0"/>
          <w:sz w:val="20"/>
          <w:szCs w:val="20"/>
          <w:lang w:val="fr-FR"/>
        </w:rPr>
        <w:t>des déchets qui n</w:t>
      </w:r>
      <w:r w:rsidR="00CE5716">
        <w:rPr>
          <w:b w:val="0"/>
          <w:sz w:val="20"/>
          <w:szCs w:val="20"/>
          <w:lang w:val="fr-FR"/>
        </w:rPr>
        <w:t>’</w:t>
      </w:r>
      <w:r w:rsidRPr="00CE5716">
        <w:rPr>
          <w:b w:val="0"/>
          <w:sz w:val="20"/>
          <w:szCs w:val="20"/>
          <w:lang w:val="fr-FR"/>
        </w:rPr>
        <w:t>avaient pas été envoyés à la décharge avaient été brûlés. Sur la base des coefficients d</w:t>
      </w:r>
      <w:r w:rsidR="00CE5716">
        <w:rPr>
          <w:b w:val="0"/>
          <w:sz w:val="20"/>
          <w:szCs w:val="20"/>
          <w:lang w:val="fr-FR"/>
        </w:rPr>
        <w:t>’</w:t>
      </w:r>
      <w:r w:rsidRPr="00CE5716">
        <w:rPr>
          <w:b w:val="0"/>
          <w:sz w:val="20"/>
          <w:szCs w:val="20"/>
          <w:lang w:val="fr-FR"/>
        </w:rPr>
        <w:t>émission de l</w:t>
      </w:r>
      <w:r w:rsidR="00CE5716">
        <w:rPr>
          <w:b w:val="0"/>
          <w:sz w:val="20"/>
          <w:szCs w:val="20"/>
          <w:lang w:val="fr-FR"/>
        </w:rPr>
        <w:t>’</w:t>
      </w:r>
      <w:r w:rsidRPr="00CE5716">
        <w:rPr>
          <w:b w:val="0"/>
          <w:sz w:val="20"/>
          <w:szCs w:val="20"/>
          <w:lang w:val="fr-FR"/>
        </w:rPr>
        <w:t>Outil d</w:t>
      </w:r>
      <w:r w:rsidR="00CE5716">
        <w:rPr>
          <w:b w:val="0"/>
          <w:sz w:val="20"/>
          <w:szCs w:val="20"/>
          <w:lang w:val="fr-FR"/>
        </w:rPr>
        <w:t>’</w:t>
      </w:r>
      <w:r w:rsidRPr="00CE5716">
        <w:rPr>
          <w:b w:val="0"/>
          <w:sz w:val="20"/>
          <w:szCs w:val="20"/>
          <w:lang w:val="fr-FR"/>
        </w:rPr>
        <w:t>identification et de quantification des rejets de mercure du PNUE, les émissions de mercure en 2014 ont été esti</w:t>
      </w:r>
      <w:r w:rsidR="008715F8">
        <w:rPr>
          <w:b w:val="0"/>
          <w:sz w:val="20"/>
          <w:szCs w:val="20"/>
          <w:lang w:val="fr-FR"/>
        </w:rPr>
        <w:t>mées à quelque 475 </w:t>
      </w:r>
      <w:r w:rsidR="002D3BA0">
        <w:rPr>
          <w:b w:val="0"/>
          <w:sz w:val="20"/>
          <w:szCs w:val="20"/>
          <w:lang w:val="fr-FR"/>
        </w:rPr>
        <w:t>kg</w:t>
      </w:r>
      <w:r w:rsidRPr="00CE5716">
        <w:rPr>
          <w:b w:val="0"/>
          <w:sz w:val="20"/>
          <w:szCs w:val="20"/>
          <w:lang w:val="fr-FR"/>
        </w:rPr>
        <w:t>.</w:t>
      </w:r>
    </w:p>
    <w:p w14:paraId="5DEB8988" w14:textId="2FFFA0CB" w:rsidR="008A26DF" w:rsidRPr="00066BE9" w:rsidRDefault="008A26DF" w:rsidP="00043A14">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lang w:val="fr-FR"/>
        </w:rPr>
      </w:pPr>
      <w:r w:rsidRPr="00CE5716">
        <w:rPr>
          <w:b w:val="0"/>
          <w:sz w:val="20"/>
          <w:szCs w:val="20"/>
          <w:lang w:val="fr-FR"/>
        </w:rPr>
        <w:t>Le Guatemala a estimé q</w:t>
      </w:r>
      <w:r w:rsidR="00CE5716">
        <w:rPr>
          <w:b w:val="0"/>
          <w:sz w:val="20"/>
          <w:szCs w:val="20"/>
          <w:lang w:val="fr-FR"/>
        </w:rPr>
        <w:t>u’en 2013, il avait produit 240 </w:t>
      </w:r>
      <w:r w:rsidRPr="00CE5716">
        <w:rPr>
          <w:b w:val="0"/>
          <w:sz w:val="20"/>
          <w:szCs w:val="20"/>
          <w:lang w:val="fr-FR"/>
        </w:rPr>
        <w:t>000 tonnes de déchets ordinaires. Il ne disposait toutefois d</w:t>
      </w:r>
      <w:r w:rsidR="00CE5716">
        <w:rPr>
          <w:b w:val="0"/>
          <w:sz w:val="20"/>
          <w:szCs w:val="20"/>
          <w:lang w:val="fr-FR"/>
        </w:rPr>
        <w:t>’</w:t>
      </w:r>
      <w:r w:rsidRPr="00CE5716">
        <w:rPr>
          <w:b w:val="0"/>
          <w:sz w:val="20"/>
          <w:szCs w:val="20"/>
          <w:lang w:val="fr-FR"/>
        </w:rPr>
        <w:t xml:space="preserve">aucune information ou estimation quant à la teneur moyenne en mercure des déchets ou la proportion de déchets ayant été </w:t>
      </w:r>
      <w:proofErr w:type="gramStart"/>
      <w:r w:rsidRPr="00CE5716">
        <w:rPr>
          <w:b w:val="0"/>
          <w:sz w:val="20"/>
          <w:szCs w:val="20"/>
          <w:lang w:val="fr-FR"/>
        </w:rPr>
        <w:t>brûlés</w:t>
      </w:r>
      <w:proofErr w:type="gramEnd"/>
      <w:r w:rsidRPr="00CE5716">
        <w:rPr>
          <w:b w:val="0"/>
          <w:sz w:val="20"/>
          <w:szCs w:val="20"/>
          <w:lang w:val="fr-FR"/>
        </w:rPr>
        <w:t xml:space="preserve"> à l</w:t>
      </w:r>
      <w:r w:rsidR="00CE5716">
        <w:rPr>
          <w:b w:val="0"/>
          <w:sz w:val="20"/>
          <w:szCs w:val="20"/>
          <w:lang w:val="fr-FR"/>
        </w:rPr>
        <w:t>’</w:t>
      </w:r>
      <w:r w:rsidRPr="00CE5716">
        <w:rPr>
          <w:b w:val="0"/>
          <w:sz w:val="20"/>
          <w:szCs w:val="20"/>
          <w:lang w:val="fr-FR"/>
        </w:rPr>
        <w:t xml:space="preserve">air libre. </w:t>
      </w:r>
    </w:p>
    <w:p w14:paraId="3008008C" w14:textId="49BCDA1C" w:rsidR="008A26DF" w:rsidRPr="00066BE9" w:rsidRDefault="008A26DF" w:rsidP="008A26DF">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lang w:val="fr-FR"/>
        </w:rPr>
      </w:pPr>
      <w:r w:rsidRPr="00CE5716">
        <w:rPr>
          <w:b w:val="0"/>
          <w:sz w:val="20"/>
          <w:szCs w:val="20"/>
          <w:lang w:val="fr-FR"/>
        </w:rPr>
        <w:t>Le Monténégro a présenté des informations détaillées concernant les déchets produits sur son territoire. Il a été en mesure de fournir des estimations relatives aux déchets pour diverses catégories, dont les déchets municipaux, les déchets industriels, les déchets de construction, les boues d</w:t>
      </w:r>
      <w:r w:rsidR="00CE5716">
        <w:rPr>
          <w:b w:val="0"/>
          <w:sz w:val="20"/>
          <w:szCs w:val="20"/>
          <w:lang w:val="fr-FR"/>
        </w:rPr>
        <w:t>’</w:t>
      </w:r>
      <w:r w:rsidRPr="00CE5716">
        <w:rPr>
          <w:b w:val="0"/>
          <w:sz w:val="20"/>
          <w:szCs w:val="20"/>
          <w:lang w:val="fr-FR"/>
        </w:rPr>
        <w:t>épuration, les déchets médicaux, les véhicules usagés, les piles et accumulateurs usagés, les déchets d</w:t>
      </w:r>
      <w:r w:rsidR="00CE5716">
        <w:rPr>
          <w:b w:val="0"/>
          <w:sz w:val="20"/>
          <w:szCs w:val="20"/>
          <w:lang w:val="fr-FR"/>
        </w:rPr>
        <w:t>’</w:t>
      </w:r>
      <w:r w:rsidRPr="00CE5716">
        <w:rPr>
          <w:b w:val="0"/>
          <w:sz w:val="20"/>
          <w:szCs w:val="20"/>
          <w:lang w:val="fr-FR"/>
        </w:rPr>
        <w:t>emballages, les pneus usagés, les produits électriques et électroniques usagés et les h</w:t>
      </w:r>
      <w:r w:rsidR="008715F8">
        <w:rPr>
          <w:b w:val="0"/>
          <w:sz w:val="20"/>
          <w:szCs w:val="20"/>
          <w:lang w:val="fr-FR"/>
        </w:rPr>
        <w:t>uiles usées. Il </w:t>
      </w:r>
      <w:r w:rsidRPr="00CE5716">
        <w:rPr>
          <w:b w:val="0"/>
          <w:sz w:val="20"/>
          <w:szCs w:val="20"/>
          <w:lang w:val="fr-FR"/>
        </w:rPr>
        <w:t>ne disposait toutefois d</w:t>
      </w:r>
      <w:r w:rsidR="00CE5716">
        <w:rPr>
          <w:b w:val="0"/>
          <w:sz w:val="20"/>
          <w:szCs w:val="20"/>
          <w:lang w:val="fr-FR"/>
        </w:rPr>
        <w:t>’</w:t>
      </w:r>
      <w:r w:rsidRPr="00CE5716">
        <w:rPr>
          <w:b w:val="0"/>
          <w:sz w:val="20"/>
          <w:szCs w:val="20"/>
          <w:lang w:val="fr-FR"/>
        </w:rPr>
        <w:t>aucune information concernant le pourcentage de déchets éliminés par le brûlage à l</w:t>
      </w:r>
      <w:r w:rsidR="00CE5716">
        <w:rPr>
          <w:b w:val="0"/>
          <w:sz w:val="20"/>
          <w:szCs w:val="20"/>
          <w:lang w:val="fr-FR"/>
        </w:rPr>
        <w:t>’</w:t>
      </w:r>
      <w:r w:rsidRPr="00CE5716">
        <w:rPr>
          <w:b w:val="0"/>
          <w:sz w:val="20"/>
          <w:szCs w:val="20"/>
          <w:lang w:val="fr-FR"/>
        </w:rPr>
        <w:t xml:space="preserve">air libre ou la teneur moyenne en mercure de ses déchets. </w:t>
      </w:r>
    </w:p>
    <w:p w14:paraId="3E09C20B" w14:textId="5C0E42C7" w:rsidR="008A26DF" w:rsidRPr="00066BE9" w:rsidRDefault="008A26DF" w:rsidP="008A26DF">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lang w:val="fr-FR"/>
        </w:rPr>
      </w:pPr>
      <w:r w:rsidRPr="00CE5716">
        <w:rPr>
          <w:b w:val="0"/>
          <w:sz w:val="20"/>
          <w:szCs w:val="20"/>
          <w:lang w:val="fr-FR"/>
        </w:rPr>
        <w:t>L</w:t>
      </w:r>
      <w:r w:rsidR="00CE5716">
        <w:rPr>
          <w:b w:val="0"/>
          <w:sz w:val="20"/>
          <w:szCs w:val="20"/>
          <w:lang w:val="fr-FR"/>
        </w:rPr>
        <w:t>’</w:t>
      </w:r>
      <w:r w:rsidRPr="00CE5716">
        <w:rPr>
          <w:b w:val="0"/>
          <w:sz w:val="20"/>
          <w:szCs w:val="20"/>
          <w:lang w:val="fr-FR"/>
        </w:rPr>
        <w:t>Arabie saoudite a indiqué qu</w:t>
      </w:r>
      <w:r w:rsidR="00CE5716">
        <w:rPr>
          <w:b w:val="0"/>
          <w:sz w:val="20"/>
          <w:szCs w:val="20"/>
          <w:lang w:val="fr-FR"/>
        </w:rPr>
        <w:t>’</w:t>
      </w:r>
      <w:r w:rsidRPr="00CE5716">
        <w:rPr>
          <w:b w:val="0"/>
          <w:sz w:val="20"/>
          <w:szCs w:val="20"/>
          <w:lang w:val="fr-FR"/>
        </w:rPr>
        <w:t>au moment de l</w:t>
      </w:r>
      <w:r w:rsidR="00CE5716">
        <w:rPr>
          <w:b w:val="0"/>
          <w:sz w:val="20"/>
          <w:szCs w:val="20"/>
          <w:lang w:val="fr-FR"/>
        </w:rPr>
        <w:t>’</w:t>
      </w:r>
      <w:r w:rsidRPr="00CE5716">
        <w:rPr>
          <w:b w:val="0"/>
          <w:sz w:val="20"/>
          <w:szCs w:val="20"/>
          <w:lang w:val="fr-FR"/>
        </w:rPr>
        <w:t>établissement du présent rapport, elle ne disposait d</w:t>
      </w:r>
      <w:r w:rsidR="00CE5716">
        <w:rPr>
          <w:b w:val="0"/>
          <w:sz w:val="20"/>
          <w:szCs w:val="20"/>
          <w:lang w:val="fr-FR"/>
        </w:rPr>
        <w:t>’</w:t>
      </w:r>
      <w:r w:rsidRPr="00CE5716">
        <w:rPr>
          <w:b w:val="0"/>
          <w:sz w:val="20"/>
          <w:szCs w:val="20"/>
          <w:lang w:val="fr-FR"/>
        </w:rPr>
        <w:t>aucune information fiable sur les niveaux nationaux d</w:t>
      </w:r>
      <w:r w:rsidR="00CE5716">
        <w:rPr>
          <w:b w:val="0"/>
          <w:sz w:val="20"/>
          <w:szCs w:val="20"/>
          <w:lang w:val="fr-FR"/>
        </w:rPr>
        <w:t>’</w:t>
      </w:r>
      <w:r w:rsidRPr="00CE5716">
        <w:rPr>
          <w:b w:val="0"/>
          <w:sz w:val="20"/>
          <w:szCs w:val="20"/>
          <w:lang w:val="fr-FR"/>
        </w:rPr>
        <w:t>émissions et de rejets de mercure et de composés du mercure. Elle mène actuellement des enquêtes et autres études qui traitent directement de la pollution de l</w:t>
      </w:r>
      <w:r w:rsidR="00CE5716">
        <w:rPr>
          <w:b w:val="0"/>
          <w:sz w:val="20"/>
          <w:szCs w:val="20"/>
          <w:lang w:val="fr-FR"/>
        </w:rPr>
        <w:t>’</w:t>
      </w:r>
      <w:r w:rsidRPr="00CE5716">
        <w:rPr>
          <w:b w:val="0"/>
          <w:sz w:val="20"/>
          <w:szCs w:val="20"/>
          <w:lang w:val="fr-FR"/>
        </w:rPr>
        <w:t>air, y compris le mercure et les composés du mercure, et qui sont axées sur l</w:t>
      </w:r>
      <w:r w:rsidR="00CE5716">
        <w:rPr>
          <w:b w:val="0"/>
          <w:sz w:val="20"/>
          <w:szCs w:val="20"/>
          <w:lang w:val="fr-FR"/>
        </w:rPr>
        <w:t>’</w:t>
      </w:r>
      <w:r w:rsidRPr="00CE5716">
        <w:rPr>
          <w:b w:val="0"/>
          <w:sz w:val="20"/>
          <w:szCs w:val="20"/>
          <w:lang w:val="fr-FR"/>
        </w:rPr>
        <w:t>estimation des émissions liées à ces substances. Dans sa communication, l</w:t>
      </w:r>
      <w:r w:rsidR="00CE5716">
        <w:rPr>
          <w:b w:val="0"/>
          <w:sz w:val="20"/>
          <w:szCs w:val="20"/>
          <w:lang w:val="fr-FR"/>
        </w:rPr>
        <w:t>’</w:t>
      </w:r>
      <w:r w:rsidRPr="00CE5716">
        <w:rPr>
          <w:b w:val="0"/>
          <w:sz w:val="20"/>
          <w:szCs w:val="20"/>
          <w:lang w:val="fr-FR"/>
        </w:rPr>
        <w:t>Arabie saoudite a indiqué qu</w:t>
      </w:r>
      <w:r w:rsidR="00CE5716">
        <w:rPr>
          <w:b w:val="0"/>
          <w:sz w:val="20"/>
          <w:szCs w:val="20"/>
          <w:lang w:val="fr-FR"/>
        </w:rPr>
        <w:t>’</w:t>
      </w:r>
      <w:r w:rsidRPr="00CE5716">
        <w:rPr>
          <w:b w:val="0"/>
          <w:sz w:val="20"/>
          <w:szCs w:val="20"/>
          <w:lang w:val="fr-FR"/>
        </w:rPr>
        <w:t>elle avait déjà pris des mesures pour :</w:t>
      </w:r>
    </w:p>
    <w:p w14:paraId="1765E8E7" w14:textId="1648AD37" w:rsidR="008A26DF" w:rsidRPr="00066BE9" w:rsidRDefault="00AB544E" w:rsidP="008A26DF">
      <w:pPr>
        <w:pStyle w:val="ZZAnxheader"/>
        <w:numPr>
          <w:ilvl w:val="0"/>
          <w:numId w:val="25"/>
        </w:numPr>
        <w:tabs>
          <w:tab w:val="clear" w:pos="1247"/>
          <w:tab w:val="clear" w:pos="1814"/>
          <w:tab w:val="clear" w:pos="2381"/>
          <w:tab w:val="clear" w:pos="2948"/>
          <w:tab w:val="clear" w:pos="3515"/>
          <w:tab w:val="clear" w:pos="4082"/>
          <w:tab w:val="left" w:pos="624"/>
        </w:tabs>
        <w:spacing w:after="120"/>
        <w:ind w:left="2495" w:hanging="624"/>
        <w:rPr>
          <w:b w:val="0"/>
          <w:bCs w:val="0"/>
          <w:sz w:val="20"/>
          <w:szCs w:val="20"/>
          <w:lang w:val="fr-FR"/>
        </w:rPr>
      </w:pPr>
      <w:r w:rsidRPr="00CE5716">
        <w:rPr>
          <w:b w:val="0"/>
          <w:sz w:val="20"/>
          <w:szCs w:val="20"/>
          <w:lang w:val="fr-FR"/>
        </w:rPr>
        <w:t>Réduire au minimum la production de déchets dangereux et d</w:t>
      </w:r>
      <w:r w:rsidR="00CE5716">
        <w:rPr>
          <w:b w:val="0"/>
          <w:sz w:val="20"/>
          <w:szCs w:val="20"/>
          <w:lang w:val="fr-FR"/>
        </w:rPr>
        <w:t>’</w:t>
      </w:r>
      <w:r w:rsidR="008715F8">
        <w:rPr>
          <w:b w:val="0"/>
          <w:sz w:val="20"/>
          <w:szCs w:val="20"/>
          <w:lang w:val="fr-FR"/>
        </w:rPr>
        <w:t>autres déchets (y </w:t>
      </w:r>
      <w:r w:rsidRPr="00CE5716">
        <w:rPr>
          <w:b w:val="0"/>
          <w:sz w:val="20"/>
          <w:szCs w:val="20"/>
          <w:lang w:val="fr-FR"/>
        </w:rPr>
        <w:t>compris le mercure et les composés du mercure), en tenant compte de considérations sociales, techniques et économiques.</w:t>
      </w:r>
    </w:p>
    <w:p w14:paraId="3BA4B5A4" w14:textId="3214EB63" w:rsidR="008A26DF" w:rsidRPr="00066BE9" w:rsidRDefault="00AB544E" w:rsidP="008A26DF">
      <w:pPr>
        <w:pStyle w:val="ZZAnxheader"/>
        <w:numPr>
          <w:ilvl w:val="0"/>
          <w:numId w:val="25"/>
        </w:numPr>
        <w:tabs>
          <w:tab w:val="clear" w:pos="1247"/>
          <w:tab w:val="clear" w:pos="1814"/>
          <w:tab w:val="clear" w:pos="2381"/>
          <w:tab w:val="clear" w:pos="2948"/>
          <w:tab w:val="clear" w:pos="3515"/>
          <w:tab w:val="clear" w:pos="4082"/>
          <w:tab w:val="left" w:pos="624"/>
        </w:tabs>
        <w:spacing w:after="120"/>
        <w:ind w:left="2495" w:hanging="624"/>
        <w:rPr>
          <w:b w:val="0"/>
          <w:bCs w:val="0"/>
          <w:sz w:val="20"/>
          <w:szCs w:val="20"/>
          <w:lang w:val="fr-FR"/>
        </w:rPr>
      </w:pPr>
      <w:r w:rsidRPr="00CE5716">
        <w:rPr>
          <w:b w:val="0"/>
          <w:sz w:val="20"/>
          <w:szCs w:val="20"/>
          <w:lang w:val="fr-FR"/>
        </w:rPr>
        <w:t>Appliquer et faire respecter les normes environnementales nationales pour les polluants atmosphériques (y compris le mercure et les composés du mercure) émanant de toutes les activités anthropiques.</w:t>
      </w:r>
    </w:p>
    <w:p w14:paraId="38D9389C" w14:textId="77522376" w:rsidR="008A26DF" w:rsidRPr="00066BE9" w:rsidRDefault="0092054B" w:rsidP="008A26DF">
      <w:pPr>
        <w:pStyle w:val="ZZAnxheader"/>
        <w:numPr>
          <w:ilvl w:val="0"/>
          <w:numId w:val="25"/>
        </w:numPr>
        <w:tabs>
          <w:tab w:val="clear" w:pos="1247"/>
          <w:tab w:val="clear" w:pos="1814"/>
          <w:tab w:val="clear" w:pos="2381"/>
          <w:tab w:val="clear" w:pos="2948"/>
          <w:tab w:val="clear" w:pos="3515"/>
          <w:tab w:val="clear" w:pos="4082"/>
          <w:tab w:val="left" w:pos="624"/>
        </w:tabs>
        <w:spacing w:after="120"/>
        <w:ind w:left="2495" w:hanging="624"/>
        <w:rPr>
          <w:b w:val="0"/>
          <w:bCs w:val="0"/>
          <w:sz w:val="20"/>
          <w:szCs w:val="20"/>
          <w:lang w:val="fr-FR"/>
        </w:rPr>
      </w:pPr>
      <w:r w:rsidRPr="00CE5716">
        <w:rPr>
          <w:b w:val="0"/>
          <w:sz w:val="20"/>
          <w:szCs w:val="20"/>
          <w:lang w:val="fr-FR"/>
        </w:rPr>
        <w:t>Interdire le brûlage à l</w:t>
      </w:r>
      <w:r w:rsidR="00CE5716">
        <w:rPr>
          <w:b w:val="0"/>
          <w:sz w:val="20"/>
          <w:szCs w:val="20"/>
          <w:lang w:val="fr-FR"/>
        </w:rPr>
        <w:t>’</w:t>
      </w:r>
      <w:r w:rsidRPr="00CE5716">
        <w:rPr>
          <w:b w:val="0"/>
          <w:sz w:val="20"/>
          <w:szCs w:val="20"/>
          <w:lang w:val="fr-FR"/>
        </w:rPr>
        <w:t>air libre des déchets municipaux et autres.</w:t>
      </w:r>
    </w:p>
    <w:p w14:paraId="005D7EF5" w14:textId="7C488B54" w:rsidR="008A26DF" w:rsidRPr="00066BE9" w:rsidRDefault="002D1133" w:rsidP="002F773A">
      <w:pPr>
        <w:pStyle w:val="ZZAnxheader"/>
        <w:keepNext/>
        <w:keepLines/>
        <w:numPr>
          <w:ilvl w:val="0"/>
          <w:numId w:val="25"/>
        </w:numPr>
        <w:tabs>
          <w:tab w:val="clear" w:pos="1247"/>
          <w:tab w:val="clear" w:pos="1814"/>
          <w:tab w:val="clear" w:pos="2381"/>
          <w:tab w:val="clear" w:pos="2948"/>
          <w:tab w:val="clear" w:pos="3515"/>
          <w:tab w:val="clear" w:pos="4082"/>
          <w:tab w:val="left" w:pos="624"/>
        </w:tabs>
        <w:spacing w:after="120"/>
        <w:ind w:left="2495" w:hanging="624"/>
        <w:rPr>
          <w:b w:val="0"/>
          <w:bCs w:val="0"/>
          <w:sz w:val="20"/>
          <w:szCs w:val="20"/>
          <w:lang w:val="fr-FR"/>
        </w:rPr>
      </w:pPr>
      <w:r w:rsidRPr="00CE5716">
        <w:rPr>
          <w:b w:val="0"/>
          <w:sz w:val="20"/>
          <w:szCs w:val="20"/>
          <w:lang w:val="fr-FR"/>
        </w:rPr>
        <w:lastRenderedPageBreak/>
        <w:t>Assurer la mise en place d</w:t>
      </w:r>
      <w:r w:rsidR="00CE5716">
        <w:rPr>
          <w:b w:val="0"/>
          <w:sz w:val="20"/>
          <w:szCs w:val="20"/>
          <w:lang w:val="fr-FR"/>
        </w:rPr>
        <w:t>’</w:t>
      </w:r>
      <w:r w:rsidRPr="00CE5716">
        <w:rPr>
          <w:b w:val="0"/>
          <w:sz w:val="20"/>
          <w:szCs w:val="20"/>
          <w:lang w:val="fr-FR"/>
        </w:rPr>
        <w:t>installations d</w:t>
      </w:r>
      <w:r w:rsidR="00CE5716">
        <w:rPr>
          <w:b w:val="0"/>
          <w:sz w:val="20"/>
          <w:szCs w:val="20"/>
          <w:lang w:val="fr-FR"/>
        </w:rPr>
        <w:t>’</w:t>
      </w:r>
      <w:r w:rsidRPr="00CE5716">
        <w:rPr>
          <w:b w:val="0"/>
          <w:sz w:val="20"/>
          <w:szCs w:val="20"/>
          <w:lang w:val="fr-FR"/>
        </w:rPr>
        <w:t>élimination adéquates en vue d</w:t>
      </w:r>
      <w:r w:rsidR="00CE5716">
        <w:rPr>
          <w:b w:val="0"/>
          <w:sz w:val="20"/>
          <w:szCs w:val="20"/>
          <w:lang w:val="fr-FR"/>
        </w:rPr>
        <w:t>’</w:t>
      </w:r>
      <w:r w:rsidRPr="00CE5716">
        <w:rPr>
          <w:b w:val="0"/>
          <w:sz w:val="20"/>
          <w:szCs w:val="20"/>
          <w:lang w:val="fr-FR"/>
        </w:rPr>
        <w:t>une gestion écologiquement rationnelle des déchets dangereux contenant du mercure et des composés du mercure, lesquelles devront</w:t>
      </w:r>
      <w:r w:rsidR="00634D5A">
        <w:rPr>
          <w:b w:val="0"/>
          <w:sz w:val="20"/>
          <w:szCs w:val="20"/>
          <w:lang w:val="fr-FR"/>
        </w:rPr>
        <w:t>,</w:t>
      </w:r>
      <w:r w:rsidRPr="00CE5716">
        <w:rPr>
          <w:b w:val="0"/>
          <w:sz w:val="20"/>
          <w:szCs w:val="20"/>
          <w:lang w:val="fr-FR"/>
        </w:rPr>
        <w:t xml:space="preserve"> dans la mesure du possible</w:t>
      </w:r>
      <w:r w:rsidR="00634D5A">
        <w:rPr>
          <w:b w:val="0"/>
          <w:sz w:val="20"/>
          <w:szCs w:val="20"/>
          <w:lang w:val="fr-FR"/>
        </w:rPr>
        <w:t>,</w:t>
      </w:r>
      <w:r w:rsidRPr="00CE5716">
        <w:rPr>
          <w:b w:val="0"/>
          <w:sz w:val="20"/>
          <w:szCs w:val="20"/>
          <w:lang w:val="fr-FR"/>
        </w:rPr>
        <w:t xml:space="preserve"> être situées en quelque lieu que ces déchets soient éliminés.</w:t>
      </w:r>
    </w:p>
    <w:p w14:paraId="1DDC3F05" w14:textId="2B9C10B0" w:rsidR="008A26DF" w:rsidRPr="00066BE9" w:rsidRDefault="00720D61" w:rsidP="008A26DF">
      <w:pPr>
        <w:pStyle w:val="ZZAnxheader"/>
        <w:numPr>
          <w:ilvl w:val="0"/>
          <w:numId w:val="25"/>
        </w:numPr>
        <w:tabs>
          <w:tab w:val="clear" w:pos="1247"/>
          <w:tab w:val="clear" w:pos="1814"/>
          <w:tab w:val="clear" w:pos="2381"/>
          <w:tab w:val="clear" w:pos="2948"/>
          <w:tab w:val="clear" w:pos="3515"/>
          <w:tab w:val="clear" w:pos="4082"/>
          <w:tab w:val="left" w:pos="624"/>
        </w:tabs>
        <w:spacing w:after="120"/>
        <w:ind w:left="2495" w:hanging="624"/>
        <w:rPr>
          <w:b w:val="0"/>
          <w:bCs w:val="0"/>
          <w:sz w:val="20"/>
          <w:szCs w:val="20"/>
          <w:lang w:val="fr-FR"/>
        </w:rPr>
      </w:pPr>
      <w:r w:rsidRPr="00CE5716">
        <w:rPr>
          <w:b w:val="0"/>
          <w:sz w:val="20"/>
          <w:szCs w:val="20"/>
          <w:lang w:val="fr-FR"/>
        </w:rPr>
        <w:t>Veiller à ce que les personnes qui s</w:t>
      </w:r>
      <w:r w:rsidR="00CE5716">
        <w:rPr>
          <w:b w:val="0"/>
          <w:sz w:val="20"/>
          <w:szCs w:val="20"/>
          <w:lang w:val="fr-FR"/>
        </w:rPr>
        <w:t>’</w:t>
      </w:r>
      <w:r w:rsidRPr="00CE5716">
        <w:rPr>
          <w:b w:val="0"/>
          <w:sz w:val="20"/>
          <w:szCs w:val="20"/>
          <w:lang w:val="fr-FR"/>
        </w:rPr>
        <w:t>occupent de la gestion des déchets dangereux ou d</w:t>
      </w:r>
      <w:r w:rsidR="00CE5716">
        <w:rPr>
          <w:b w:val="0"/>
          <w:sz w:val="20"/>
          <w:szCs w:val="20"/>
          <w:lang w:val="fr-FR"/>
        </w:rPr>
        <w:t>’</w:t>
      </w:r>
      <w:r w:rsidRPr="00CE5716">
        <w:rPr>
          <w:b w:val="0"/>
          <w:sz w:val="20"/>
          <w:szCs w:val="20"/>
          <w:lang w:val="fr-FR"/>
        </w:rPr>
        <w:t>autres déchets prennent les mesures nécessaires pour prévenir la pollution et, le cas échéant, pour en réduire au minimum les conséquences pour la santé humaine et l</w:t>
      </w:r>
      <w:r w:rsidR="00CE5716">
        <w:rPr>
          <w:b w:val="0"/>
          <w:sz w:val="20"/>
          <w:szCs w:val="20"/>
          <w:lang w:val="fr-FR"/>
        </w:rPr>
        <w:t>’</w:t>
      </w:r>
      <w:r w:rsidRPr="00CE5716">
        <w:rPr>
          <w:b w:val="0"/>
          <w:sz w:val="20"/>
          <w:szCs w:val="20"/>
          <w:lang w:val="fr-FR"/>
        </w:rPr>
        <w:t>environnement.</w:t>
      </w:r>
    </w:p>
    <w:p w14:paraId="256A5745" w14:textId="11277C59" w:rsidR="008A26DF" w:rsidRPr="00066BE9" w:rsidRDefault="005213E1" w:rsidP="00043A14">
      <w:pPr>
        <w:pStyle w:val="ZZAnxheader"/>
        <w:numPr>
          <w:ilvl w:val="0"/>
          <w:numId w:val="25"/>
        </w:numPr>
        <w:tabs>
          <w:tab w:val="clear" w:pos="1247"/>
          <w:tab w:val="clear" w:pos="1814"/>
          <w:tab w:val="clear" w:pos="2381"/>
          <w:tab w:val="clear" w:pos="2948"/>
          <w:tab w:val="clear" w:pos="3515"/>
          <w:tab w:val="clear" w:pos="4082"/>
          <w:tab w:val="left" w:pos="624"/>
        </w:tabs>
        <w:spacing w:after="120"/>
        <w:ind w:left="2495" w:hanging="624"/>
        <w:rPr>
          <w:b w:val="0"/>
          <w:bCs w:val="0"/>
          <w:sz w:val="20"/>
          <w:szCs w:val="20"/>
          <w:lang w:val="fr-FR"/>
        </w:rPr>
      </w:pPr>
      <w:r w:rsidRPr="00CE5716">
        <w:rPr>
          <w:b w:val="0"/>
          <w:sz w:val="20"/>
          <w:szCs w:val="20"/>
          <w:lang w:val="fr-FR"/>
        </w:rPr>
        <w:t>Appliquer et faire respecter les dispositions de la Convention de Bâle, notamment veiller à ce que les mouvements transfrontières de déchets dangereux et d</w:t>
      </w:r>
      <w:r w:rsidR="00CE5716">
        <w:rPr>
          <w:b w:val="0"/>
          <w:sz w:val="20"/>
          <w:szCs w:val="20"/>
          <w:lang w:val="fr-FR"/>
        </w:rPr>
        <w:t>’</w:t>
      </w:r>
      <w:r w:rsidRPr="00CE5716">
        <w:rPr>
          <w:b w:val="0"/>
          <w:sz w:val="20"/>
          <w:szCs w:val="20"/>
          <w:lang w:val="fr-FR"/>
        </w:rPr>
        <w:t xml:space="preserve">autres déchets soient réduits au minimum, </w:t>
      </w:r>
      <w:r w:rsidR="00634D5A">
        <w:rPr>
          <w:b w:val="0"/>
          <w:sz w:val="20"/>
          <w:szCs w:val="20"/>
          <w:lang w:val="fr-FR"/>
        </w:rPr>
        <w:t xml:space="preserve">pour assurer </w:t>
      </w:r>
      <w:r w:rsidRPr="00CE5716">
        <w:rPr>
          <w:b w:val="0"/>
          <w:sz w:val="20"/>
          <w:szCs w:val="20"/>
          <w:lang w:val="fr-FR"/>
        </w:rPr>
        <w:t xml:space="preserve">une gestion efficace et écologiquement rationnelle de ces déchets et protéger </w:t>
      </w:r>
      <w:r w:rsidR="00634D5A">
        <w:rPr>
          <w:b w:val="0"/>
          <w:sz w:val="20"/>
          <w:szCs w:val="20"/>
          <w:lang w:val="fr-FR"/>
        </w:rPr>
        <w:t xml:space="preserve">ainsi </w:t>
      </w:r>
      <w:r w:rsidRPr="00CE5716">
        <w:rPr>
          <w:b w:val="0"/>
          <w:sz w:val="20"/>
          <w:szCs w:val="20"/>
          <w:lang w:val="fr-FR"/>
        </w:rPr>
        <w:t>la santé humaine et l</w:t>
      </w:r>
      <w:r w:rsidR="00CE5716">
        <w:rPr>
          <w:b w:val="0"/>
          <w:sz w:val="20"/>
          <w:szCs w:val="20"/>
          <w:lang w:val="fr-FR"/>
        </w:rPr>
        <w:t>’</w:t>
      </w:r>
      <w:r w:rsidRPr="00CE5716">
        <w:rPr>
          <w:b w:val="0"/>
          <w:sz w:val="20"/>
          <w:szCs w:val="20"/>
          <w:lang w:val="fr-FR"/>
        </w:rPr>
        <w:t>environnement contre les effets nocifs qui pourraient résulter de ces mouvements, et que les exportations soient compatible</w:t>
      </w:r>
      <w:r w:rsidR="00634D5A">
        <w:rPr>
          <w:b w:val="0"/>
          <w:sz w:val="20"/>
          <w:szCs w:val="20"/>
          <w:lang w:val="fr-FR"/>
        </w:rPr>
        <w:t>s</w:t>
      </w:r>
      <w:r w:rsidRPr="00CE5716">
        <w:rPr>
          <w:b w:val="0"/>
          <w:sz w:val="20"/>
          <w:szCs w:val="20"/>
          <w:lang w:val="fr-FR"/>
        </w:rPr>
        <w:t xml:space="preserve"> avec les dispositions de la Convention de Bâle.</w:t>
      </w:r>
    </w:p>
    <w:p w14:paraId="7BA2B99F" w14:textId="43A0FE59" w:rsidR="008A26DF" w:rsidRPr="00066BE9" w:rsidRDefault="0054472E" w:rsidP="008A26DF">
      <w:pPr>
        <w:pStyle w:val="ZZAnxheader"/>
        <w:numPr>
          <w:ilvl w:val="0"/>
          <w:numId w:val="25"/>
        </w:numPr>
        <w:tabs>
          <w:tab w:val="clear" w:pos="1247"/>
          <w:tab w:val="clear" w:pos="1814"/>
          <w:tab w:val="clear" w:pos="2381"/>
          <w:tab w:val="clear" w:pos="2948"/>
          <w:tab w:val="clear" w:pos="3515"/>
          <w:tab w:val="clear" w:pos="4082"/>
          <w:tab w:val="left" w:pos="624"/>
        </w:tabs>
        <w:spacing w:after="120"/>
        <w:ind w:left="2495" w:hanging="624"/>
        <w:rPr>
          <w:b w:val="0"/>
          <w:bCs w:val="0"/>
          <w:sz w:val="20"/>
          <w:szCs w:val="20"/>
          <w:lang w:val="fr-FR"/>
        </w:rPr>
      </w:pPr>
      <w:r w:rsidRPr="00CE5716">
        <w:rPr>
          <w:b w:val="0"/>
          <w:sz w:val="20"/>
          <w:szCs w:val="20"/>
          <w:lang w:val="fr-FR"/>
        </w:rPr>
        <w:t>Empêcher l</w:t>
      </w:r>
      <w:r w:rsidR="00CE5716">
        <w:rPr>
          <w:b w:val="0"/>
          <w:sz w:val="20"/>
          <w:szCs w:val="20"/>
          <w:lang w:val="fr-FR"/>
        </w:rPr>
        <w:t>’</w:t>
      </w:r>
      <w:r w:rsidRPr="00CE5716">
        <w:rPr>
          <w:b w:val="0"/>
          <w:sz w:val="20"/>
          <w:szCs w:val="20"/>
          <w:lang w:val="fr-FR"/>
        </w:rPr>
        <w:t xml:space="preserve">importation de déchets dangereux et autres sur son territoire. </w:t>
      </w:r>
    </w:p>
    <w:p w14:paraId="2CB7F483" w14:textId="6B6A593B" w:rsidR="008A26DF" w:rsidRPr="00066BE9" w:rsidRDefault="008A26DF" w:rsidP="00043A14">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lang w:val="fr-FR"/>
        </w:rPr>
      </w:pPr>
      <w:r w:rsidRPr="00CE5716">
        <w:rPr>
          <w:b w:val="0"/>
          <w:sz w:val="20"/>
          <w:szCs w:val="20"/>
          <w:lang w:val="fr-FR"/>
        </w:rPr>
        <w:t>Le Sénégal a soumis une estimation des émissions et des rejets de mercure provenant du brûlage à l</w:t>
      </w:r>
      <w:r w:rsidR="00CE5716">
        <w:rPr>
          <w:b w:val="0"/>
          <w:sz w:val="20"/>
          <w:szCs w:val="20"/>
          <w:lang w:val="fr-FR"/>
        </w:rPr>
        <w:t>’</w:t>
      </w:r>
      <w:r w:rsidRPr="00CE5716">
        <w:rPr>
          <w:b w:val="0"/>
          <w:sz w:val="20"/>
          <w:szCs w:val="20"/>
          <w:lang w:val="fr-FR"/>
        </w:rPr>
        <w:t>air libre sur son territ</w:t>
      </w:r>
      <w:r w:rsidR="00CE5716">
        <w:rPr>
          <w:b w:val="0"/>
          <w:sz w:val="20"/>
          <w:szCs w:val="20"/>
          <w:lang w:val="fr-FR"/>
        </w:rPr>
        <w:t>oire. Il a estimé que quelque 2</w:t>
      </w:r>
      <w:r w:rsidR="008715F8">
        <w:rPr>
          <w:b w:val="0"/>
          <w:sz w:val="20"/>
          <w:szCs w:val="20"/>
          <w:lang w:val="fr-FR"/>
        </w:rPr>
        <w:t> 557 </w:t>
      </w:r>
      <w:r w:rsidR="00634D5A">
        <w:rPr>
          <w:b w:val="0"/>
          <w:sz w:val="20"/>
          <w:szCs w:val="20"/>
          <w:lang w:val="fr-FR"/>
        </w:rPr>
        <w:t>k</w:t>
      </w:r>
      <w:r w:rsidR="00B14579">
        <w:rPr>
          <w:b w:val="0"/>
          <w:sz w:val="20"/>
          <w:szCs w:val="20"/>
          <w:lang w:val="fr-FR"/>
        </w:rPr>
        <w:t>g</w:t>
      </w:r>
      <w:r w:rsidR="00634D5A" w:rsidRPr="00CE5716">
        <w:rPr>
          <w:b w:val="0"/>
          <w:sz w:val="20"/>
          <w:szCs w:val="20"/>
          <w:lang w:val="fr-FR"/>
        </w:rPr>
        <w:t xml:space="preserve"> </w:t>
      </w:r>
      <w:r w:rsidRPr="00CE5716">
        <w:rPr>
          <w:b w:val="0"/>
          <w:sz w:val="20"/>
          <w:szCs w:val="20"/>
          <w:lang w:val="fr-FR"/>
        </w:rPr>
        <w:t>de mercure avaient été émis dans l</w:t>
      </w:r>
      <w:r w:rsidR="00CE5716">
        <w:rPr>
          <w:b w:val="0"/>
          <w:sz w:val="20"/>
          <w:szCs w:val="20"/>
          <w:lang w:val="fr-FR"/>
        </w:rPr>
        <w:t>’</w:t>
      </w:r>
      <w:r w:rsidRPr="00CE5716">
        <w:rPr>
          <w:b w:val="0"/>
          <w:sz w:val="20"/>
          <w:szCs w:val="20"/>
          <w:lang w:val="fr-FR"/>
        </w:rPr>
        <w:t>atmosphère et qu</w:t>
      </w:r>
      <w:r w:rsidR="00CE5716">
        <w:rPr>
          <w:b w:val="0"/>
          <w:sz w:val="20"/>
          <w:szCs w:val="20"/>
          <w:lang w:val="fr-FR"/>
        </w:rPr>
        <w:t>’</w:t>
      </w:r>
      <w:r w:rsidRPr="00CE5716">
        <w:rPr>
          <w:b w:val="0"/>
          <w:sz w:val="20"/>
          <w:szCs w:val="20"/>
          <w:lang w:val="fr-FR"/>
        </w:rPr>
        <w:t>environ 285</w:t>
      </w:r>
      <w:r w:rsidR="008715F8">
        <w:rPr>
          <w:b w:val="0"/>
          <w:sz w:val="20"/>
          <w:szCs w:val="20"/>
          <w:lang w:val="fr-FR"/>
        </w:rPr>
        <w:t> </w:t>
      </w:r>
      <w:r w:rsidR="00B14579">
        <w:rPr>
          <w:b w:val="0"/>
          <w:sz w:val="20"/>
          <w:szCs w:val="20"/>
          <w:lang w:val="fr-FR"/>
        </w:rPr>
        <w:t>kg</w:t>
      </w:r>
      <w:r w:rsidR="00634D5A" w:rsidRPr="00CE5716" w:rsidDel="00634D5A">
        <w:rPr>
          <w:b w:val="0"/>
          <w:sz w:val="20"/>
          <w:szCs w:val="20"/>
          <w:lang w:val="fr-FR"/>
        </w:rPr>
        <w:t xml:space="preserve"> </w:t>
      </w:r>
      <w:r w:rsidRPr="00CE5716">
        <w:rPr>
          <w:b w:val="0"/>
          <w:sz w:val="20"/>
          <w:szCs w:val="20"/>
          <w:lang w:val="fr-FR"/>
        </w:rPr>
        <w:t xml:space="preserve">de mercure étaient présents dans les déchets qui subsistaient après combustion. </w:t>
      </w:r>
    </w:p>
    <w:p w14:paraId="282C00DC" w14:textId="6EB0C062" w:rsidR="008A26DF" w:rsidRPr="00066BE9" w:rsidRDefault="008A26DF" w:rsidP="008A26DF">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lang w:val="fr-FR"/>
        </w:rPr>
      </w:pPr>
      <w:r w:rsidRPr="00CE5716">
        <w:rPr>
          <w:b w:val="0"/>
          <w:sz w:val="20"/>
          <w:szCs w:val="20"/>
          <w:lang w:val="fr-FR"/>
        </w:rPr>
        <w:t>L</w:t>
      </w:r>
      <w:r w:rsidR="00CE5716">
        <w:rPr>
          <w:b w:val="0"/>
          <w:sz w:val="20"/>
          <w:szCs w:val="20"/>
          <w:lang w:val="fr-FR"/>
        </w:rPr>
        <w:t>’</w:t>
      </w:r>
      <w:r w:rsidRPr="00CE5716">
        <w:rPr>
          <w:b w:val="0"/>
          <w:sz w:val="20"/>
          <w:szCs w:val="20"/>
          <w:lang w:val="fr-FR"/>
        </w:rPr>
        <w:t>Afrique du Sud a indiqué qu</w:t>
      </w:r>
      <w:r w:rsidR="00CE5716">
        <w:rPr>
          <w:b w:val="0"/>
          <w:sz w:val="20"/>
          <w:szCs w:val="20"/>
          <w:lang w:val="fr-FR"/>
        </w:rPr>
        <w:t>’</w:t>
      </w:r>
      <w:r w:rsidRPr="00CE5716">
        <w:rPr>
          <w:b w:val="0"/>
          <w:sz w:val="20"/>
          <w:szCs w:val="20"/>
          <w:lang w:val="fr-FR"/>
        </w:rPr>
        <w:t>elle ne disposait actuellement d</w:t>
      </w:r>
      <w:r w:rsidR="00CE5716">
        <w:rPr>
          <w:b w:val="0"/>
          <w:sz w:val="20"/>
          <w:szCs w:val="20"/>
          <w:lang w:val="fr-FR"/>
        </w:rPr>
        <w:t>’</w:t>
      </w:r>
      <w:r w:rsidRPr="00CE5716">
        <w:rPr>
          <w:b w:val="0"/>
          <w:sz w:val="20"/>
          <w:szCs w:val="20"/>
          <w:lang w:val="fr-FR"/>
        </w:rPr>
        <w:t>aucune information sur le brûlage des déchets à l</w:t>
      </w:r>
      <w:r w:rsidR="00CE5716">
        <w:rPr>
          <w:b w:val="0"/>
          <w:sz w:val="20"/>
          <w:szCs w:val="20"/>
          <w:lang w:val="fr-FR"/>
        </w:rPr>
        <w:t>’</w:t>
      </w:r>
      <w:r w:rsidRPr="00CE5716">
        <w:rPr>
          <w:b w:val="0"/>
          <w:sz w:val="20"/>
          <w:szCs w:val="20"/>
          <w:lang w:val="fr-FR"/>
        </w:rPr>
        <w:t>air libre sur son territoire; l</w:t>
      </w:r>
      <w:r w:rsidR="00CE5716">
        <w:rPr>
          <w:b w:val="0"/>
          <w:sz w:val="20"/>
          <w:szCs w:val="20"/>
          <w:lang w:val="fr-FR"/>
        </w:rPr>
        <w:t>’</w:t>
      </w:r>
      <w:r w:rsidRPr="00CE5716">
        <w:rPr>
          <w:b w:val="0"/>
          <w:sz w:val="20"/>
          <w:szCs w:val="20"/>
          <w:lang w:val="fr-FR"/>
        </w:rPr>
        <w:t>Ouganda a quant à lui fait savoir que l</w:t>
      </w:r>
      <w:r w:rsidR="00CE5716">
        <w:rPr>
          <w:b w:val="0"/>
          <w:sz w:val="20"/>
          <w:szCs w:val="20"/>
          <w:lang w:val="fr-FR"/>
        </w:rPr>
        <w:t>’</w:t>
      </w:r>
      <w:r w:rsidRPr="00CE5716">
        <w:rPr>
          <w:b w:val="0"/>
          <w:sz w:val="20"/>
          <w:szCs w:val="20"/>
          <w:lang w:val="fr-FR"/>
        </w:rPr>
        <w:t>incinération des déchets solides n</w:t>
      </w:r>
      <w:r w:rsidR="00CE5716">
        <w:rPr>
          <w:b w:val="0"/>
          <w:sz w:val="20"/>
          <w:szCs w:val="20"/>
          <w:lang w:val="fr-FR"/>
        </w:rPr>
        <w:t>’</w:t>
      </w:r>
      <w:r w:rsidRPr="00CE5716">
        <w:rPr>
          <w:b w:val="0"/>
          <w:sz w:val="20"/>
          <w:szCs w:val="20"/>
          <w:lang w:val="fr-FR"/>
        </w:rPr>
        <w:t>était en général pas pratiquée sur son territoire, la mise en décharge directe étant le mode de gestion des déchets</w:t>
      </w:r>
      <w:r w:rsidR="00634D5A" w:rsidRPr="00634D5A">
        <w:rPr>
          <w:b w:val="0"/>
          <w:sz w:val="20"/>
          <w:szCs w:val="20"/>
          <w:lang w:val="fr-FR"/>
        </w:rPr>
        <w:t xml:space="preserve"> </w:t>
      </w:r>
      <w:r w:rsidR="00634D5A" w:rsidRPr="00CE5716">
        <w:rPr>
          <w:b w:val="0"/>
          <w:sz w:val="20"/>
          <w:szCs w:val="20"/>
          <w:lang w:val="fr-FR"/>
        </w:rPr>
        <w:t>le plus courant</w:t>
      </w:r>
      <w:r w:rsidRPr="00CE5716">
        <w:rPr>
          <w:b w:val="0"/>
          <w:sz w:val="20"/>
          <w:szCs w:val="20"/>
          <w:lang w:val="fr-FR"/>
        </w:rPr>
        <w:t>.</w:t>
      </w:r>
    </w:p>
    <w:p w14:paraId="3B29C566" w14:textId="5FA1CDE6" w:rsidR="008A26DF" w:rsidRPr="004A39CE" w:rsidRDefault="008A26DF" w:rsidP="008A26DF">
      <w:pPr>
        <w:pStyle w:val="CH2"/>
      </w:pPr>
      <w:r w:rsidRPr="004A39CE">
        <w:rPr>
          <w:b w:val="0"/>
          <w:lang w:val="fr-FR"/>
        </w:rPr>
        <w:tab/>
      </w:r>
      <w:r w:rsidR="00B91B4F" w:rsidRPr="004A39CE">
        <w:rPr>
          <w:lang w:val="fr-FR"/>
        </w:rPr>
        <w:t>E.</w:t>
      </w:r>
      <w:r w:rsidRPr="004A39CE">
        <w:rPr>
          <w:b w:val="0"/>
          <w:lang w:val="fr-FR"/>
        </w:rPr>
        <w:tab/>
      </w:r>
      <w:r w:rsidRPr="004A39CE">
        <w:rPr>
          <w:lang w:val="fr-FR"/>
        </w:rPr>
        <w:t>Conclusions</w:t>
      </w:r>
    </w:p>
    <w:p w14:paraId="4C86ACDA" w14:textId="7058C4CA" w:rsidR="008A26DF" w:rsidRPr="00066BE9" w:rsidRDefault="00B70143" w:rsidP="009C1F65">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lang w:val="fr-FR"/>
        </w:rPr>
      </w:pPr>
      <w:r w:rsidRPr="00CE5716">
        <w:rPr>
          <w:b w:val="0"/>
          <w:sz w:val="20"/>
          <w:szCs w:val="20"/>
          <w:lang w:val="fr-FR"/>
        </w:rPr>
        <w:t>Selon l</w:t>
      </w:r>
      <w:r w:rsidR="00CE5716">
        <w:rPr>
          <w:b w:val="0"/>
          <w:sz w:val="20"/>
          <w:szCs w:val="20"/>
          <w:lang w:val="fr-FR"/>
        </w:rPr>
        <w:t>’</w:t>
      </w:r>
      <w:r w:rsidRPr="00CE5716">
        <w:rPr>
          <w:b w:val="0"/>
          <w:sz w:val="20"/>
          <w:szCs w:val="20"/>
          <w:lang w:val="fr-FR"/>
        </w:rPr>
        <w:t>évaluation mondiale du mercure menée par le PNUE pour 2013, la gestion des déchets (y compris la mise en décharge et l</w:t>
      </w:r>
      <w:r w:rsidR="00CE5716">
        <w:rPr>
          <w:b w:val="0"/>
          <w:sz w:val="20"/>
          <w:szCs w:val="20"/>
          <w:lang w:val="fr-FR"/>
        </w:rPr>
        <w:t>’</w:t>
      </w:r>
      <w:r w:rsidRPr="00CE5716">
        <w:rPr>
          <w:b w:val="0"/>
          <w:sz w:val="20"/>
          <w:szCs w:val="20"/>
          <w:lang w:val="fr-FR"/>
        </w:rPr>
        <w:t xml:space="preserve">incinération contrôlée) contribue pour moins de </w:t>
      </w:r>
      <w:r w:rsidR="00634D5A">
        <w:rPr>
          <w:b w:val="0"/>
          <w:sz w:val="20"/>
          <w:szCs w:val="20"/>
          <w:lang w:val="fr-FR"/>
        </w:rPr>
        <w:t>5 %</w:t>
      </w:r>
      <w:r w:rsidRPr="00CE5716">
        <w:rPr>
          <w:b w:val="0"/>
          <w:sz w:val="20"/>
          <w:szCs w:val="20"/>
          <w:lang w:val="fr-FR"/>
        </w:rPr>
        <w:t xml:space="preserve"> à la totalité des émissions de mercure dans le monde. Les estimations de la contribution du brûlage à l</w:t>
      </w:r>
      <w:r w:rsidR="00CE5716">
        <w:rPr>
          <w:b w:val="0"/>
          <w:sz w:val="20"/>
          <w:szCs w:val="20"/>
          <w:lang w:val="fr-FR"/>
        </w:rPr>
        <w:t>’</w:t>
      </w:r>
      <w:r w:rsidRPr="00CE5716">
        <w:rPr>
          <w:b w:val="0"/>
          <w:sz w:val="20"/>
          <w:szCs w:val="20"/>
          <w:lang w:val="fr-FR"/>
        </w:rPr>
        <w:t xml:space="preserve">air libre vont de </w:t>
      </w:r>
      <w:r w:rsidR="00B14579">
        <w:rPr>
          <w:b w:val="0"/>
          <w:sz w:val="20"/>
          <w:szCs w:val="20"/>
          <w:lang w:val="fr-FR"/>
        </w:rPr>
        <w:t>zéro</w:t>
      </w:r>
      <w:r w:rsidR="00634D5A" w:rsidRPr="00CE5716">
        <w:rPr>
          <w:b w:val="0"/>
          <w:sz w:val="20"/>
          <w:szCs w:val="20"/>
          <w:lang w:val="fr-FR"/>
        </w:rPr>
        <w:t xml:space="preserve"> </w:t>
      </w:r>
      <w:r w:rsidRPr="00CE5716">
        <w:rPr>
          <w:b w:val="0"/>
          <w:sz w:val="20"/>
          <w:szCs w:val="20"/>
          <w:lang w:val="fr-FR"/>
        </w:rPr>
        <w:t>dans certains pays à potentiellement 100</w:t>
      </w:r>
      <w:r w:rsidR="008715F8">
        <w:rPr>
          <w:b w:val="0"/>
          <w:sz w:val="20"/>
          <w:szCs w:val="20"/>
          <w:lang w:val="fr-FR"/>
        </w:rPr>
        <w:t> %</w:t>
      </w:r>
      <w:r w:rsidRPr="00CE5716">
        <w:rPr>
          <w:b w:val="0"/>
          <w:sz w:val="20"/>
          <w:szCs w:val="20"/>
          <w:lang w:val="fr-FR"/>
        </w:rPr>
        <w:t xml:space="preserve"> de l</w:t>
      </w:r>
      <w:r w:rsidR="00CE5716">
        <w:rPr>
          <w:b w:val="0"/>
          <w:sz w:val="20"/>
          <w:szCs w:val="20"/>
          <w:lang w:val="fr-FR"/>
        </w:rPr>
        <w:t>’</w:t>
      </w:r>
      <w:r w:rsidRPr="00CE5716">
        <w:rPr>
          <w:b w:val="0"/>
          <w:sz w:val="20"/>
          <w:szCs w:val="20"/>
          <w:lang w:val="fr-FR"/>
        </w:rPr>
        <w:t>élimination des déchets dans d</w:t>
      </w:r>
      <w:r w:rsidR="00CE5716">
        <w:rPr>
          <w:b w:val="0"/>
          <w:sz w:val="20"/>
          <w:szCs w:val="20"/>
          <w:lang w:val="fr-FR"/>
        </w:rPr>
        <w:t>’</w:t>
      </w:r>
      <w:r w:rsidRPr="00CE5716">
        <w:rPr>
          <w:b w:val="0"/>
          <w:sz w:val="20"/>
          <w:szCs w:val="20"/>
          <w:lang w:val="fr-FR"/>
        </w:rPr>
        <w:t xml:space="preserve">autres. Les estimations des quantités de mercure émises et rejetées deviendront plus précises au fur et à mesure que de nouvelles données seront recueillies </w:t>
      </w:r>
      <w:r w:rsidR="00634D5A">
        <w:rPr>
          <w:b w:val="0"/>
          <w:sz w:val="20"/>
          <w:szCs w:val="20"/>
          <w:lang w:val="fr-FR"/>
        </w:rPr>
        <w:t>–</w:t>
      </w:r>
      <w:r w:rsidR="00225285">
        <w:rPr>
          <w:b w:val="0"/>
          <w:sz w:val="20"/>
          <w:szCs w:val="20"/>
          <w:lang w:val="fr-FR"/>
        </w:rPr>
        <w:t xml:space="preserve"> </w:t>
      </w:r>
      <w:r w:rsidRPr="00CE5716">
        <w:rPr>
          <w:b w:val="0"/>
          <w:sz w:val="20"/>
          <w:szCs w:val="20"/>
          <w:lang w:val="fr-FR"/>
        </w:rPr>
        <w:t xml:space="preserve">un processus déjà en cours dans de nombreux pays dans le cadre des évaluations initiales et des préparatifs en vue de la mise en </w:t>
      </w:r>
      <w:r w:rsidR="00634D5A">
        <w:rPr>
          <w:b w:val="0"/>
          <w:sz w:val="20"/>
          <w:szCs w:val="20"/>
          <w:lang w:val="fr-FR"/>
        </w:rPr>
        <w:t>œuvre</w:t>
      </w:r>
      <w:r w:rsidRPr="00CE5716">
        <w:rPr>
          <w:b w:val="0"/>
          <w:sz w:val="20"/>
          <w:szCs w:val="20"/>
          <w:lang w:val="fr-FR"/>
        </w:rPr>
        <w:t xml:space="preserve"> de la Convention.</w:t>
      </w:r>
    </w:p>
    <w:p w14:paraId="10BE7FA0" w14:textId="73F78F89" w:rsidR="00212E52" w:rsidRPr="00066BE9" w:rsidRDefault="008A26DF" w:rsidP="008A26DF">
      <w:pPr>
        <w:pStyle w:val="ZZAnxheader"/>
        <w:numPr>
          <w:ilvl w:val="0"/>
          <w:numId w:val="24"/>
        </w:numPr>
        <w:tabs>
          <w:tab w:val="clear" w:pos="1247"/>
          <w:tab w:val="clear" w:pos="1814"/>
          <w:tab w:val="clear" w:pos="2381"/>
          <w:tab w:val="clear" w:pos="2948"/>
          <w:tab w:val="clear" w:pos="3515"/>
          <w:tab w:val="clear" w:pos="4082"/>
          <w:tab w:val="left" w:pos="624"/>
        </w:tabs>
        <w:spacing w:after="120"/>
        <w:ind w:left="1247" w:firstLine="0"/>
        <w:rPr>
          <w:b w:val="0"/>
          <w:bCs w:val="0"/>
          <w:sz w:val="20"/>
          <w:szCs w:val="20"/>
          <w:lang w:val="fr-FR"/>
        </w:rPr>
      </w:pPr>
      <w:r w:rsidRPr="00CE5716">
        <w:rPr>
          <w:b w:val="0"/>
          <w:sz w:val="20"/>
          <w:szCs w:val="20"/>
          <w:lang w:val="fr-FR"/>
        </w:rPr>
        <w:t>Les défis liés au brûlage des déchets à l</w:t>
      </w:r>
      <w:r w:rsidR="00CE5716">
        <w:rPr>
          <w:b w:val="0"/>
          <w:sz w:val="20"/>
          <w:szCs w:val="20"/>
          <w:lang w:val="fr-FR"/>
        </w:rPr>
        <w:t>’</w:t>
      </w:r>
      <w:r w:rsidRPr="00CE5716">
        <w:rPr>
          <w:b w:val="0"/>
          <w:sz w:val="20"/>
          <w:szCs w:val="20"/>
          <w:lang w:val="fr-FR"/>
        </w:rPr>
        <w:t>air libre vont toutefois bien au-delà du problème des émissions de mercure. Dans le cadre du programme global de développement, l</w:t>
      </w:r>
      <w:r w:rsidR="00CE5716">
        <w:rPr>
          <w:b w:val="0"/>
          <w:sz w:val="20"/>
          <w:szCs w:val="20"/>
          <w:lang w:val="fr-FR"/>
        </w:rPr>
        <w:t>’</w:t>
      </w:r>
      <w:r w:rsidRPr="00CE5716">
        <w:rPr>
          <w:b w:val="0"/>
          <w:sz w:val="20"/>
          <w:szCs w:val="20"/>
          <w:lang w:val="fr-FR"/>
        </w:rPr>
        <w:t>élimination du brûlage à l</w:t>
      </w:r>
      <w:r w:rsidR="00CE5716">
        <w:rPr>
          <w:b w:val="0"/>
          <w:sz w:val="20"/>
          <w:szCs w:val="20"/>
          <w:lang w:val="fr-FR"/>
        </w:rPr>
        <w:t>’</w:t>
      </w:r>
      <w:r w:rsidRPr="00CE5716">
        <w:rPr>
          <w:b w:val="0"/>
          <w:sz w:val="20"/>
          <w:szCs w:val="20"/>
          <w:lang w:val="fr-FR"/>
        </w:rPr>
        <w:t xml:space="preserve">air libre </w:t>
      </w:r>
      <w:r w:rsidR="00634D5A">
        <w:rPr>
          <w:b w:val="0"/>
          <w:sz w:val="20"/>
          <w:szCs w:val="20"/>
          <w:lang w:val="fr-FR"/>
        </w:rPr>
        <w:t xml:space="preserve">est considérée </w:t>
      </w:r>
      <w:r w:rsidRPr="00CE5716">
        <w:rPr>
          <w:b w:val="0"/>
          <w:sz w:val="20"/>
          <w:szCs w:val="20"/>
          <w:lang w:val="fr-FR"/>
        </w:rPr>
        <w:t xml:space="preserve">comme une priorité pour le développement durable, du fait </w:t>
      </w:r>
      <w:r w:rsidR="00634D5A">
        <w:rPr>
          <w:b w:val="0"/>
          <w:sz w:val="20"/>
          <w:szCs w:val="20"/>
          <w:lang w:val="fr-FR"/>
        </w:rPr>
        <w:t xml:space="preserve">qu’elle contribue </w:t>
      </w:r>
      <w:r w:rsidRPr="00CE5716">
        <w:rPr>
          <w:b w:val="0"/>
          <w:sz w:val="20"/>
          <w:szCs w:val="20"/>
          <w:lang w:val="fr-FR"/>
        </w:rPr>
        <w:t xml:space="preserve">à la réduction de toute une série de polluants atmosphériques et </w:t>
      </w:r>
      <w:r w:rsidR="00634D5A">
        <w:rPr>
          <w:b w:val="0"/>
          <w:sz w:val="20"/>
          <w:szCs w:val="20"/>
          <w:lang w:val="fr-FR"/>
        </w:rPr>
        <w:t xml:space="preserve">procure </w:t>
      </w:r>
      <w:r w:rsidRPr="00CE5716">
        <w:rPr>
          <w:b w:val="0"/>
          <w:sz w:val="20"/>
          <w:szCs w:val="20"/>
          <w:lang w:val="fr-FR"/>
        </w:rPr>
        <w:t xml:space="preserve">des </w:t>
      </w:r>
      <w:r w:rsidR="00634D5A">
        <w:rPr>
          <w:b w:val="0"/>
          <w:sz w:val="20"/>
          <w:szCs w:val="20"/>
          <w:lang w:val="fr-FR"/>
        </w:rPr>
        <w:t>avantages</w:t>
      </w:r>
      <w:r w:rsidR="00634D5A" w:rsidRPr="00CE5716">
        <w:rPr>
          <w:b w:val="0"/>
          <w:sz w:val="20"/>
          <w:szCs w:val="20"/>
          <w:lang w:val="fr-FR"/>
        </w:rPr>
        <w:t xml:space="preserve"> </w:t>
      </w:r>
      <w:r w:rsidRPr="00CE5716">
        <w:rPr>
          <w:b w:val="0"/>
          <w:sz w:val="20"/>
          <w:szCs w:val="20"/>
          <w:lang w:val="fr-FR"/>
        </w:rPr>
        <w:t>sociaux et économiques.</w:t>
      </w:r>
    </w:p>
    <w:p w14:paraId="7702ECE0" w14:textId="77777777" w:rsidR="00212E52" w:rsidRPr="00066BE9" w:rsidRDefault="00212E52">
      <w:pPr>
        <w:tabs>
          <w:tab w:val="clear" w:pos="1247"/>
          <w:tab w:val="clear" w:pos="1814"/>
          <w:tab w:val="clear" w:pos="2381"/>
          <w:tab w:val="clear" w:pos="2948"/>
          <w:tab w:val="clear" w:pos="3515"/>
        </w:tabs>
        <w:rPr>
          <w:lang w:val="fr-FR"/>
        </w:rPr>
      </w:pPr>
      <w:r w:rsidRPr="00066BE9">
        <w:rPr>
          <w:bCs/>
          <w:lang w:val="fr-FR"/>
        </w:rPr>
        <w:br w:type="page"/>
      </w:r>
    </w:p>
    <w:p w14:paraId="1167FAF5" w14:textId="77777777" w:rsidR="008A26DF" w:rsidRPr="00066BE9" w:rsidRDefault="008A26DF" w:rsidP="008A26DF">
      <w:pPr>
        <w:pStyle w:val="CH1"/>
        <w:rPr>
          <w:sz w:val="24"/>
          <w:szCs w:val="24"/>
          <w:lang w:val="fr-FR"/>
        </w:rPr>
      </w:pPr>
      <w:r>
        <w:rPr>
          <w:lang w:val="fr-FR"/>
        </w:rPr>
        <w:lastRenderedPageBreak/>
        <w:tab/>
      </w:r>
      <w:r>
        <w:rPr>
          <w:lang w:val="fr-FR"/>
        </w:rPr>
        <w:tab/>
        <w:t>Références</w:t>
      </w:r>
    </w:p>
    <w:p w14:paraId="7026F654" w14:textId="191BA550" w:rsidR="003873BB" w:rsidRDefault="003873BB" w:rsidP="008A26DF">
      <w:pPr>
        <w:pStyle w:val="Normal-pool"/>
        <w:spacing w:after="120"/>
        <w:ind w:left="1247"/>
        <w:rPr>
          <w:lang w:val="fr-FR"/>
        </w:rPr>
      </w:pPr>
      <w:proofErr w:type="spellStart"/>
      <w:r w:rsidRPr="003F5970">
        <w:rPr>
          <w:lang w:val="fr-FR"/>
        </w:rPr>
        <w:t>Antonis</w:t>
      </w:r>
      <w:proofErr w:type="spellEnd"/>
      <w:r w:rsidRPr="003F5970">
        <w:rPr>
          <w:lang w:val="fr-FR"/>
        </w:rPr>
        <w:t xml:space="preserve"> </w:t>
      </w:r>
      <w:proofErr w:type="spellStart"/>
      <w:r w:rsidRPr="003F5970">
        <w:rPr>
          <w:lang w:val="fr-FR"/>
        </w:rPr>
        <w:t>Mavropoulos</w:t>
      </w:r>
      <w:proofErr w:type="spellEnd"/>
      <w:r w:rsidRPr="003F5970">
        <w:rPr>
          <w:lang w:val="fr-FR"/>
        </w:rPr>
        <w:t>, "</w:t>
      </w:r>
      <w:proofErr w:type="spellStart"/>
      <w:r w:rsidRPr="003F5970">
        <w:rPr>
          <w:lang w:val="fr-FR"/>
        </w:rPr>
        <w:t>Wasted</w:t>
      </w:r>
      <w:proofErr w:type="spellEnd"/>
      <w:r w:rsidRPr="003F5970">
        <w:rPr>
          <w:lang w:val="fr-FR"/>
        </w:rPr>
        <w:t xml:space="preserve"> </w:t>
      </w:r>
      <w:proofErr w:type="spellStart"/>
      <w:r w:rsidRPr="003F5970">
        <w:rPr>
          <w:lang w:val="fr-FR"/>
        </w:rPr>
        <w:t>health</w:t>
      </w:r>
      <w:proofErr w:type="spellEnd"/>
      <w:r w:rsidRPr="003F5970">
        <w:rPr>
          <w:lang w:val="fr-FR"/>
        </w:rPr>
        <w:t xml:space="preserve"> : the </w:t>
      </w:r>
      <w:proofErr w:type="spellStart"/>
      <w:r w:rsidRPr="003F5970">
        <w:rPr>
          <w:lang w:val="fr-FR"/>
        </w:rPr>
        <w:t>tragic</w:t>
      </w:r>
      <w:proofErr w:type="spellEnd"/>
      <w:r w:rsidRPr="003F5970">
        <w:rPr>
          <w:lang w:val="fr-FR"/>
        </w:rPr>
        <w:t xml:space="preserve"> case of </w:t>
      </w:r>
      <w:proofErr w:type="spellStart"/>
      <w:r w:rsidRPr="003F5970">
        <w:rPr>
          <w:lang w:val="fr-FR"/>
        </w:rPr>
        <w:t>dumpsites</w:t>
      </w:r>
      <w:proofErr w:type="spellEnd"/>
      <w:r w:rsidRPr="003F5970">
        <w:rPr>
          <w:lang w:val="fr-FR"/>
        </w:rPr>
        <w:t>" (Santé gaspillée : l’exemple tragique des décharges) (Vienne, Association internationale pour la gestion des déchets solides, juin 2015</w:t>
      </w:r>
      <w:r w:rsidR="00213475">
        <w:rPr>
          <w:lang w:val="fr-FR"/>
        </w:rPr>
        <w:t>)</w:t>
      </w:r>
      <w:r w:rsidRPr="003F5970">
        <w:rPr>
          <w:lang w:val="fr-FR"/>
        </w:rPr>
        <w:t xml:space="preserve">, disponible à l’adresse </w:t>
      </w:r>
      <w:r w:rsidR="00213475">
        <w:rPr>
          <w:lang w:val="fr-FR"/>
        </w:rPr>
        <w:t xml:space="preserve">suivante : </w:t>
      </w:r>
      <w:r w:rsidRPr="003F5970">
        <w:rPr>
          <w:lang w:val="fr-FR"/>
        </w:rPr>
        <w:t>www.iswa.org/fileadmin/galleries/Task_Forces/THE_TRAGIC_CASE_OF_DUMPSITES.pdf.</w:t>
      </w:r>
    </w:p>
    <w:p w14:paraId="5D133403" w14:textId="53A4D339" w:rsidR="008A26DF" w:rsidRPr="00066BE9" w:rsidRDefault="00F40DDB" w:rsidP="008A26DF">
      <w:pPr>
        <w:pStyle w:val="Normal-pool"/>
        <w:spacing w:after="120"/>
        <w:ind w:left="1247"/>
        <w:rPr>
          <w:lang w:val="fr-FR"/>
        </w:rPr>
      </w:pPr>
      <w:r>
        <w:rPr>
          <w:lang w:val="fr-FR"/>
        </w:rPr>
        <w:t>Programme des Nations Unies pour l</w:t>
      </w:r>
      <w:r w:rsidR="00CE5716">
        <w:rPr>
          <w:lang w:val="fr-FR"/>
        </w:rPr>
        <w:t>’</w:t>
      </w:r>
      <w:r>
        <w:rPr>
          <w:lang w:val="fr-FR"/>
        </w:rPr>
        <w:t>environnement</w:t>
      </w:r>
      <w:r w:rsidR="003873BB">
        <w:rPr>
          <w:lang w:val="fr-FR"/>
        </w:rPr>
        <w:t xml:space="preserve"> (2013)</w:t>
      </w:r>
      <w:r>
        <w:rPr>
          <w:lang w:val="fr-FR"/>
        </w:rPr>
        <w:t>, Éval</w:t>
      </w:r>
      <w:r w:rsidR="002819B1">
        <w:rPr>
          <w:lang w:val="fr-FR"/>
        </w:rPr>
        <w:t>uation mondiale du mercure 2013 </w:t>
      </w:r>
      <w:r>
        <w:rPr>
          <w:lang w:val="fr-FR"/>
        </w:rPr>
        <w:t>: sources, émissions, rejets et propagation dans l</w:t>
      </w:r>
      <w:r w:rsidR="00CE5716">
        <w:rPr>
          <w:lang w:val="fr-FR"/>
        </w:rPr>
        <w:t>’</w:t>
      </w:r>
      <w:r>
        <w:rPr>
          <w:lang w:val="fr-FR"/>
        </w:rPr>
        <w:t>environnement (Genève, 2013).</w:t>
      </w:r>
      <w:r w:rsidR="003873BB">
        <w:rPr>
          <w:lang w:val="fr-FR"/>
        </w:rPr>
        <w:t xml:space="preserve"> Disponible à l’adresse </w:t>
      </w:r>
      <w:r w:rsidR="00213475">
        <w:rPr>
          <w:lang w:val="fr-FR"/>
        </w:rPr>
        <w:t xml:space="preserve">suivante : </w:t>
      </w:r>
      <w:r w:rsidR="003873BB" w:rsidRPr="00E17857">
        <w:rPr>
          <w:lang w:val="fr-FR"/>
        </w:rPr>
        <w:t>http://www.unep.org/chemicalsandwaste/what-we-do/technology-and-metals/mercury/global-mercury-assessment.</w:t>
      </w:r>
    </w:p>
    <w:p w14:paraId="44BF3AF8" w14:textId="0245A475" w:rsidR="008A26DF" w:rsidRPr="00066BE9" w:rsidRDefault="00351732">
      <w:pPr>
        <w:pStyle w:val="Normal-pool"/>
        <w:spacing w:after="120"/>
        <w:ind w:left="1247"/>
        <w:rPr>
          <w:lang w:val="fr-FR"/>
        </w:rPr>
      </w:pPr>
      <w:r>
        <w:rPr>
          <w:lang w:val="fr-FR"/>
        </w:rPr>
        <w:t>Rapport sur l</w:t>
      </w:r>
      <w:r w:rsidR="00CE5716">
        <w:rPr>
          <w:lang w:val="fr-FR"/>
        </w:rPr>
        <w:t>’</w:t>
      </w:r>
      <w:r>
        <w:rPr>
          <w:lang w:val="fr-FR"/>
        </w:rPr>
        <w:t>avenir de la gestion mondiale des déchets</w:t>
      </w:r>
      <w:r w:rsidR="003873BB">
        <w:rPr>
          <w:lang w:val="fr-FR"/>
        </w:rPr>
        <w:t xml:space="preserve"> (2015)</w:t>
      </w:r>
      <w:r>
        <w:rPr>
          <w:lang w:val="fr-FR"/>
        </w:rPr>
        <w:t>, disponible à l</w:t>
      </w:r>
      <w:r w:rsidR="00CE5716">
        <w:rPr>
          <w:lang w:val="fr-FR"/>
        </w:rPr>
        <w:t>’</w:t>
      </w:r>
      <w:r>
        <w:rPr>
          <w:lang w:val="fr-FR"/>
        </w:rPr>
        <w:t xml:space="preserve">adresse </w:t>
      </w:r>
      <w:r w:rsidR="00213475">
        <w:rPr>
          <w:lang w:val="fr-FR"/>
        </w:rPr>
        <w:t xml:space="preserve">suivante : </w:t>
      </w:r>
      <w:r>
        <w:rPr>
          <w:lang w:val="fr-FR"/>
        </w:rPr>
        <w:t>www.unep.org/ietc/Portals/136/Publications/Waste%20Management//GWMO%20report/GWMO%20full%20report.pdf.</w:t>
      </w:r>
    </w:p>
    <w:p w14:paraId="77461ACD" w14:textId="7B4A6E4E" w:rsidR="008A26DF" w:rsidRPr="003873BB" w:rsidRDefault="003873BB">
      <w:pPr>
        <w:pStyle w:val="Normal-pool"/>
        <w:spacing w:after="120"/>
        <w:ind w:left="1247"/>
        <w:rPr>
          <w:lang w:val="fr-FR"/>
        </w:rPr>
      </w:pPr>
      <w:r>
        <w:rPr>
          <w:bCs/>
          <w:lang w:val="fr-FR"/>
        </w:rPr>
        <w:t>« </w:t>
      </w:r>
      <w:r w:rsidRPr="003873BB">
        <w:rPr>
          <w:lang w:val="fr-FR"/>
        </w:rPr>
        <w:t>Outil d’identification et de quantification des rejets de mercure</w:t>
      </w:r>
      <w:r>
        <w:rPr>
          <w:bCs/>
          <w:lang w:val="fr-FR"/>
        </w:rPr>
        <w:t> »</w:t>
      </w:r>
      <w:r w:rsidRPr="003873BB">
        <w:rPr>
          <w:bCs/>
          <w:lang w:val="fr-FR"/>
        </w:rPr>
        <w:t xml:space="preserve"> (2017), disponible à l’adresse </w:t>
      </w:r>
      <w:r w:rsidR="00213475">
        <w:rPr>
          <w:bCs/>
          <w:lang w:val="fr-FR"/>
        </w:rPr>
        <w:t xml:space="preserve">suivante : </w:t>
      </w:r>
      <w:r w:rsidRPr="003873BB">
        <w:rPr>
          <w:bCs/>
          <w:lang w:val="fr-FR"/>
        </w:rPr>
        <w:t>http://www.unep.org/chemicalsandwaste/what-we-do/technology-and-metals/mercury/toolkit-identification-and-quantification-mercury-releases.</w:t>
      </w:r>
    </w:p>
    <w:p w14:paraId="52E6451F" w14:textId="77777777" w:rsidR="008A26DF" w:rsidRPr="00066BE9" w:rsidRDefault="008A26DF" w:rsidP="008A26DF">
      <w:pPr>
        <w:pStyle w:val="Normal-pool"/>
        <w:rPr>
          <w:lang w:val="fr-FR"/>
        </w:rPr>
      </w:pPr>
    </w:p>
    <w:tbl>
      <w:tblPr>
        <w:tblW w:w="0" w:type="auto"/>
        <w:tblLayout w:type="fixed"/>
        <w:tblLook w:val="04A0" w:firstRow="1" w:lastRow="0" w:firstColumn="1" w:lastColumn="0" w:noHBand="0" w:noVBand="1"/>
      </w:tblPr>
      <w:tblGrid>
        <w:gridCol w:w="1942"/>
        <w:gridCol w:w="1942"/>
        <w:gridCol w:w="1942"/>
        <w:gridCol w:w="1943"/>
        <w:gridCol w:w="1943"/>
      </w:tblGrid>
      <w:tr w:rsidR="00E976AB" w:rsidRPr="00AB0C99" w14:paraId="6DB0CABC" w14:textId="77777777" w:rsidTr="00990918">
        <w:tc>
          <w:tcPr>
            <w:tcW w:w="1942" w:type="dxa"/>
            <w:shd w:val="clear" w:color="auto" w:fill="auto"/>
          </w:tcPr>
          <w:p w14:paraId="6D3F7C2C" w14:textId="77777777" w:rsidR="00E976AB" w:rsidRPr="00066BE9" w:rsidRDefault="00E976AB" w:rsidP="00990918">
            <w:pPr>
              <w:pStyle w:val="Normal-pool"/>
              <w:spacing w:before="520"/>
              <w:rPr>
                <w:lang w:val="fr-FR"/>
              </w:rPr>
            </w:pPr>
          </w:p>
        </w:tc>
        <w:tc>
          <w:tcPr>
            <w:tcW w:w="1942" w:type="dxa"/>
            <w:shd w:val="clear" w:color="auto" w:fill="auto"/>
          </w:tcPr>
          <w:p w14:paraId="378BA037" w14:textId="77777777" w:rsidR="00E976AB" w:rsidRPr="00066BE9" w:rsidRDefault="00E976AB" w:rsidP="00990918">
            <w:pPr>
              <w:pStyle w:val="Normal-pool"/>
              <w:spacing w:before="520"/>
              <w:rPr>
                <w:lang w:val="fr-FR"/>
              </w:rPr>
            </w:pPr>
          </w:p>
        </w:tc>
        <w:tc>
          <w:tcPr>
            <w:tcW w:w="1942" w:type="dxa"/>
            <w:tcBorders>
              <w:bottom w:val="single" w:sz="4" w:space="0" w:color="auto"/>
            </w:tcBorders>
            <w:shd w:val="clear" w:color="auto" w:fill="auto"/>
          </w:tcPr>
          <w:p w14:paraId="028E3E1E" w14:textId="77777777" w:rsidR="00E976AB" w:rsidRPr="00066BE9" w:rsidRDefault="00E976AB" w:rsidP="00990918">
            <w:pPr>
              <w:pStyle w:val="Normal-pool"/>
              <w:spacing w:before="520"/>
              <w:rPr>
                <w:lang w:val="fr-FR"/>
              </w:rPr>
            </w:pPr>
          </w:p>
        </w:tc>
        <w:tc>
          <w:tcPr>
            <w:tcW w:w="1943" w:type="dxa"/>
            <w:shd w:val="clear" w:color="auto" w:fill="auto"/>
          </w:tcPr>
          <w:p w14:paraId="25F1BA19" w14:textId="77777777" w:rsidR="00E976AB" w:rsidRPr="00066BE9" w:rsidRDefault="00E976AB" w:rsidP="00990918">
            <w:pPr>
              <w:pStyle w:val="Normal-pool"/>
              <w:spacing w:before="520"/>
              <w:rPr>
                <w:lang w:val="fr-FR"/>
              </w:rPr>
            </w:pPr>
          </w:p>
        </w:tc>
        <w:tc>
          <w:tcPr>
            <w:tcW w:w="1943" w:type="dxa"/>
            <w:shd w:val="clear" w:color="auto" w:fill="auto"/>
          </w:tcPr>
          <w:p w14:paraId="457D2993" w14:textId="77777777" w:rsidR="00E976AB" w:rsidRPr="00066BE9" w:rsidRDefault="00E976AB" w:rsidP="00990918">
            <w:pPr>
              <w:pStyle w:val="Normal-pool"/>
              <w:spacing w:before="520"/>
              <w:rPr>
                <w:lang w:val="fr-FR"/>
              </w:rPr>
            </w:pPr>
          </w:p>
        </w:tc>
      </w:tr>
    </w:tbl>
    <w:p w14:paraId="325E8270" w14:textId="77777777" w:rsidR="00032E4E" w:rsidRPr="00066BE9" w:rsidRDefault="00032E4E" w:rsidP="00D013F5">
      <w:pPr>
        <w:pStyle w:val="Normal-pool"/>
        <w:rPr>
          <w:lang w:val="fr-FR"/>
        </w:rPr>
      </w:pPr>
    </w:p>
    <w:sectPr w:rsidR="00032E4E" w:rsidRPr="00066BE9"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23698" w14:textId="77777777" w:rsidR="00DA3D6B" w:rsidRDefault="00DA3D6B">
      <w:r>
        <w:separator/>
      </w:r>
    </w:p>
  </w:endnote>
  <w:endnote w:type="continuationSeparator" w:id="0">
    <w:p w14:paraId="796B5FE3" w14:textId="77777777" w:rsidR="00DA3D6B" w:rsidRDefault="00DA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AA827" w14:textId="77777777" w:rsidR="00225E44" w:rsidRDefault="00225E44">
    <w:pPr>
      <w:pStyle w:val="Footer"/>
    </w:pPr>
    <w:r>
      <w:rPr>
        <w:rStyle w:val="PageNumber"/>
      </w:rPr>
      <w:fldChar w:fldCharType="begin"/>
    </w:r>
    <w:r>
      <w:rPr>
        <w:rStyle w:val="PageNumber"/>
      </w:rPr>
      <w:instrText xml:space="preserve"> PAGE </w:instrText>
    </w:r>
    <w:r>
      <w:rPr>
        <w:rStyle w:val="PageNumber"/>
      </w:rPr>
      <w:fldChar w:fldCharType="separate"/>
    </w:r>
    <w:r w:rsidR="00B970A4">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48B7" w14:textId="77777777" w:rsidR="00225E44" w:rsidRDefault="00225E44"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B970A4">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19573" w14:textId="0487E806" w:rsidR="00225E44" w:rsidRPr="00D25175" w:rsidRDefault="00776600">
    <w:pPr>
      <w:pStyle w:val="Footer"/>
      <w:rPr>
        <w:sz w:val="20"/>
      </w:rPr>
    </w:pPr>
    <w:r>
      <w:rPr>
        <w:lang w:val="fr-FR"/>
      </w:rPr>
      <w:t>K1706019</w:t>
    </w:r>
    <w:r>
      <w:rPr>
        <w:lang w:val="fr-FR"/>
      </w:rPr>
      <w:tab/>
      <w:t>04</w:t>
    </w:r>
    <w:r w:rsidR="00225E44">
      <w:rPr>
        <w:lang w:val="fr-FR"/>
      </w:rPr>
      <w:t>0617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391DE" w14:textId="77777777" w:rsidR="00DA3D6B" w:rsidRDefault="00DA3D6B" w:rsidP="00D92DE0">
      <w:pPr>
        <w:ind w:left="624"/>
      </w:pPr>
      <w:r>
        <w:separator/>
      </w:r>
    </w:p>
  </w:footnote>
  <w:footnote w:type="continuationSeparator" w:id="0">
    <w:p w14:paraId="5E8E3587" w14:textId="77777777" w:rsidR="00DA3D6B" w:rsidRDefault="00DA3D6B">
      <w:r>
        <w:continuationSeparator/>
      </w:r>
    </w:p>
  </w:footnote>
  <w:footnote w:id="1">
    <w:p w14:paraId="577F1B17" w14:textId="396043BB" w:rsidR="008A26DF" w:rsidRPr="008715F8" w:rsidRDefault="008A26DF" w:rsidP="0058023F">
      <w:pPr>
        <w:tabs>
          <w:tab w:val="left" w:pos="624"/>
        </w:tabs>
        <w:spacing w:before="20" w:after="40"/>
        <w:ind w:left="1247"/>
        <w:rPr>
          <w:sz w:val="18"/>
          <w:szCs w:val="18"/>
          <w:lang w:val="fr-FR"/>
        </w:rPr>
      </w:pPr>
      <w:r w:rsidRPr="008715F8">
        <w:rPr>
          <w:sz w:val="18"/>
          <w:szCs w:val="18"/>
          <w:lang w:val="fr-FR"/>
        </w:rPr>
        <w:t>* UNEP/MC/COP.1/1.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F4E3A" w14:textId="6BD6ECD7" w:rsidR="00225E44" w:rsidRPr="00CA5CA9" w:rsidRDefault="00225E44" w:rsidP="001646E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w:t>
    </w:r>
    <w:r w:rsidR="008A26DF">
      <w:rPr>
        <w:szCs w:val="18"/>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91C51" w14:textId="2F48E16D" w:rsidR="00225E44" w:rsidRPr="00CA5CA9" w:rsidRDefault="00225E44"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w:t>
    </w:r>
    <w:r w:rsidR="008A26DF">
      <w:rPr>
        <w:szCs w:val="18"/>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28784" w14:textId="263F7778" w:rsidR="00225E44" w:rsidRDefault="00225E44"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35C757BA"/>
    <w:multiLevelType w:val="hybridMultilevel"/>
    <w:tmpl w:val="7B9A27E6"/>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
    <w:nsid w:val="49B028CC"/>
    <w:multiLevelType w:val="hybridMultilevel"/>
    <w:tmpl w:val="9B5A6E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792C62EB"/>
    <w:multiLevelType w:val="hybridMultilevel"/>
    <w:tmpl w:val="526680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
  </w:num>
  <w:num w:numId="4">
    <w:abstractNumId w:val="5"/>
  </w:num>
  <w:num w:numId="5">
    <w:abstractNumId w:val="5"/>
    <w:lvlOverride w:ilvl="0">
      <w:lvl w:ilvl="0">
        <w:start w:val="1"/>
        <w:numFmt w:val="decimal"/>
        <w:pStyle w:val="Normalnumber"/>
        <w:lvlText w:val="%1."/>
        <w:lvlJc w:val="left"/>
        <w:pPr>
          <w:tabs>
            <w:tab w:val="num" w:pos="1134"/>
          </w:tabs>
          <w:ind w:left="1247" w:firstLine="0"/>
        </w:pPr>
        <w:rPr>
          <w:rFonts w:hint="default"/>
        </w:rPr>
      </w:lvl>
    </w:lvlOverride>
  </w:num>
  <w:num w:numId="6">
    <w:abstractNumId w:val="1"/>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lvlOverride w:ilvl="0">
      <w:lvl w:ilvl="0">
        <w:start w:val="1"/>
        <w:numFmt w:val="decimal"/>
        <w:pStyle w:val="Normalnumber"/>
        <w:lvlText w:val="%1."/>
        <w:lvlJc w:val="left"/>
        <w:pPr>
          <w:tabs>
            <w:tab w:val="num" w:pos="1305"/>
          </w:tabs>
          <w:ind w:left="1418" w:firstLine="0"/>
        </w:pPr>
        <w:rPr>
          <w:rFonts w:hint="default"/>
          <w:b w:val="0"/>
          <w:bCs w:val="0"/>
        </w:rPr>
      </w:lvl>
    </w:lvlOverride>
  </w:num>
  <w:num w:numId="23">
    <w:abstractNumId w:val="5"/>
    <w:lvlOverride w:ilvl="0">
      <w:lvl w:ilvl="0">
        <w:start w:val="1"/>
        <w:numFmt w:val="decimal"/>
        <w:pStyle w:val="Normalnumber"/>
        <w:lvlText w:val="%1."/>
        <w:lvlJc w:val="left"/>
        <w:pPr>
          <w:tabs>
            <w:tab w:val="num" w:pos="1147"/>
          </w:tabs>
          <w:ind w:left="1260"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4">
    <w:abstractNumId w:val="4"/>
    <w:lvlOverride w:ilvl="0">
      <w:lvl w:ilvl="0" w:tplc="0809000F">
        <w:start w:val="1"/>
        <w:numFmt w:val="decimal"/>
        <w:lvlText w:val="%1."/>
        <w:lvlJc w:val="left"/>
        <w:pPr>
          <w:ind w:left="720" w:hanging="360"/>
        </w:pPr>
      </w:lvl>
    </w:lvlOverride>
  </w:num>
  <w:num w:numId="25">
    <w:abstractNumId w:val="6"/>
    <w:lvlOverride w:ilvl="0">
      <w:lvl w:ilvl="0" w:tplc="08090001">
        <w:start w:val="1"/>
        <w:numFmt w:val="bullet"/>
        <w:lvlText w:val=""/>
        <w:lvlJc w:val="left"/>
        <w:pPr>
          <w:ind w:left="1440" w:hanging="360"/>
        </w:pPr>
        <w:rPr>
          <w:rFonts w:ascii="Symbol" w:hAnsi="Symbol" w:hint="default"/>
        </w:rPr>
      </w:lvl>
    </w:lvlOverride>
  </w:num>
  <w:num w:numId="26">
    <w:abstractNumId w:val="5"/>
  </w:num>
  <w:num w:numId="27">
    <w:abstractNumId w:val="5"/>
  </w:num>
  <w:num w:numId="2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0330B"/>
    <w:rsid w:val="000077AD"/>
    <w:rsid w:val="00011A16"/>
    <w:rsid w:val="000144C2"/>
    <w:rsid w:val="000149E6"/>
    <w:rsid w:val="00014F1D"/>
    <w:rsid w:val="00021CD6"/>
    <w:rsid w:val="00023DA9"/>
    <w:rsid w:val="000247B0"/>
    <w:rsid w:val="00026997"/>
    <w:rsid w:val="00026A08"/>
    <w:rsid w:val="00032E4E"/>
    <w:rsid w:val="00033E0B"/>
    <w:rsid w:val="00035EDE"/>
    <w:rsid w:val="00041A09"/>
    <w:rsid w:val="00043A14"/>
    <w:rsid w:val="000509B4"/>
    <w:rsid w:val="00053F8F"/>
    <w:rsid w:val="0006035B"/>
    <w:rsid w:val="0006096F"/>
    <w:rsid w:val="000649C5"/>
    <w:rsid w:val="00066BE9"/>
    <w:rsid w:val="0006710E"/>
    <w:rsid w:val="00071886"/>
    <w:rsid w:val="000741D7"/>
    <w:rsid w:val="000742BC"/>
    <w:rsid w:val="00076CC6"/>
    <w:rsid w:val="00082A0C"/>
    <w:rsid w:val="00083504"/>
    <w:rsid w:val="00091A3E"/>
    <w:rsid w:val="000937A4"/>
    <w:rsid w:val="0009640C"/>
    <w:rsid w:val="000A02EC"/>
    <w:rsid w:val="000A11E0"/>
    <w:rsid w:val="000A27AC"/>
    <w:rsid w:val="000B22A2"/>
    <w:rsid w:val="000B73F9"/>
    <w:rsid w:val="000C2A52"/>
    <w:rsid w:val="000C2A88"/>
    <w:rsid w:val="000D28B0"/>
    <w:rsid w:val="000D33C0"/>
    <w:rsid w:val="000D4CF6"/>
    <w:rsid w:val="000D6941"/>
    <w:rsid w:val="000D6F0B"/>
    <w:rsid w:val="000E40C1"/>
    <w:rsid w:val="000F4829"/>
    <w:rsid w:val="001024C9"/>
    <w:rsid w:val="00114AA1"/>
    <w:rsid w:val="00115B23"/>
    <w:rsid w:val="001202E3"/>
    <w:rsid w:val="00123699"/>
    <w:rsid w:val="001241FB"/>
    <w:rsid w:val="0013059D"/>
    <w:rsid w:val="00134DB6"/>
    <w:rsid w:val="00136187"/>
    <w:rsid w:val="0014059B"/>
    <w:rsid w:val="00141A55"/>
    <w:rsid w:val="0014293F"/>
    <w:rsid w:val="0014397D"/>
    <w:rsid w:val="001446A3"/>
    <w:rsid w:val="00152B6B"/>
    <w:rsid w:val="00155395"/>
    <w:rsid w:val="00155A2F"/>
    <w:rsid w:val="00156B6B"/>
    <w:rsid w:val="00160554"/>
    <w:rsid w:val="00160D74"/>
    <w:rsid w:val="001646EA"/>
    <w:rsid w:val="001654AE"/>
    <w:rsid w:val="00167C79"/>
    <w:rsid w:val="00167D02"/>
    <w:rsid w:val="001710A8"/>
    <w:rsid w:val="001759D8"/>
    <w:rsid w:val="00177D7F"/>
    <w:rsid w:val="00180C3F"/>
    <w:rsid w:val="00181829"/>
    <w:rsid w:val="00181EC8"/>
    <w:rsid w:val="00184349"/>
    <w:rsid w:val="00190E62"/>
    <w:rsid w:val="00195F33"/>
    <w:rsid w:val="001B1617"/>
    <w:rsid w:val="001B504B"/>
    <w:rsid w:val="001B6F98"/>
    <w:rsid w:val="001C191A"/>
    <w:rsid w:val="001D3874"/>
    <w:rsid w:val="001D4E00"/>
    <w:rsid w:val="001D5447"/>
    <w:rsid w:val="001D7E75"/>
    <w:rsid w:val="001E0D73"/>
    <w:rsid w:val="001E4347"/>
    <w:rsid w:val="001E45BD"/>
    <w:rsid w:val="001E56D2"/>
    <w:rsid w:val="001E7D56"/>
    <w:rsid w:val="001E7DFC"/>
    <w:rsid w:val="001F5ADF"/>
    <w:rsid w:val="001F75DE"/>
    <w:rsid w:val="00200D58"/>
    <w:rsid w:val="002011C1"/>
    <w:rsid w:val="002013BE"/>
    <w:rsid w:val="00201EDC"/>
    <w:rsid w:val="002063A4"/>
    <w:rsid w:val="0021145B"/>
    <w:rsid w:val="00212E52"/>
    <w:rsid w:val="00213475"/>
    <w:rsid w:val="00214196"/>
    <w:rsid w:val="00220C23"/>
    <w:rsid w:val="002247F6"/>
    <w:rsid w:val="00225285"/>
    <w:rsid w:val="00225E21"/>
    <w:rsid w:val="00225E44"/>
    <w:rsid w:val="00230569"/>
    <w:rsid w:val="00234E78"/>
    <w:rsid w:val="00235A32"/>
    <w:rsid w:val="00243D36"/>
    <w:rsid w:val="00246151"/>
    <w:rsid w:val="00247707"/>
    <w:rsid w:val="00252456"/>
    <w:rsid w:val="0026018E"/>
    <w:rsid w:val="0026226B"/>
    <w:rsid w:val="00276C34"/>
    <w:rsid w:val="002819B1"/>
    <w:rsid w:val="00286740"/>
    <w:rsid w:val="00290CFA"/>
    <w:rsid w:val="00291EAE"/>
    <w:rsid w:val="002929D8"/>
    <w:rsid w:val="00292CE8"/>
    <w:rsid w:val="002A237D"/>
    <w:rsid w:val="002A4C53"/>
    <w:rsid w:val="002B0672"/>
    <w:rsid w:val="002B247F"/>
    <w:rsid w:val="002B27A9"/>
    <w:rsid w:val="002B50D4"/>
    <w:rsid w:val="002B58BF"/>
    <w:rsid w:val="002C145D"/>
    <w:rsid w:val="002C2C3E"/>
    <w:rsid w:val="002C533E"/>
    <w:rsid w:val="002D027F"/>
    <w:rsid w:val="002D1133"/>
    <w:rsid w:val="002D3BA0"/>
    <w:rsid w:val="002D3E15"/>
    <w:rsid w:val="002D3E52"/>
    <w:rsid w:val="002D7A85"/>
    <w:rsid w:val="002D7B60"/>
    <w:rsid w:val="002E4AB4"/>
    <w:rsid w:val="002F4761"/>
    <w:rsid w:val="002F5C79"/>
    <w:rsid w:val="002F68EE"/>
    <w:rsid w:val="002F773A"/>
    <w:rsid w:val="002F7A33"/>
    <w:rsid w:val="003019E2"/>
    <w:rsid w:val="00304338"/>
    <w:rsid w:val="00305743"/>
    <w:rsid w:val="00310BEB"/>
    <w:rsid w:val="0031413F"/>
    <w:rsid w:val="00314854"/>
    <w:rsid w:val="003148BB"/>
    <w:rsid w:val="00317976"/>
    <w:rsid w:val="00320F2F"/>
    <w:rsid w:val="003228BE"/>
    <w:rsid w:val="00323A5C"/>
    <w:rsid w:val="0032457E"/>
    <w:rsid w:val="00325D38"/>
    <w:rsid w:val="00333D11"/>
    <w:rsid w:val="00351732"/>
    <w:rsid w:val="0035277E"/>
    <w:rsid w:val="003528F9"/>
    <w:rsid w:val="00355EA9"/>
    <w:rsid w:val="003578DE"/>
    <w:rsid w:val="00357A72"/>
    <w:rsid w:val="00361688"/>
    <w:rsid w:val="00363258"/>
    <w:rsid w:val="00363EC2"/>
    <w:rsid w:val="00367432"/>
    <w:rsid w:val="003834D8"/>
    <w:rsid w:val="003873BB"/>
    <w:rsid w:val="003877D5"/>
    <w:rsid w:val="003929B8"/>
    <w:rsid w:val="00393432"/>
    <w:rsid w:val="00393483"/>
    <w:rsid w:val="00396257"/>
    <w:rsid w:val="00397EB8"/>
    <w:rsid w:val="003A4FD0"/>
    <w:rsid w:val="003A69D1"/>
    <w:rsid w:val="003A6E04"/>
    <w:rsid w:val="003A7705"/>
    <w:rsid w:val="003A77F1"/>
    <w:rsid w:val="003B1545"/>
    <w:rsid w:val="003B1CFE"/>
    <w:rsid w:val="003B4C9E"/>
    <w:rsid w:val="003B5C96"/>
    <w:rsid w:val="003C00D1"/>
    <w:rsid w:val="003C3219"/>
    <w:rsid w:val="003C409D"/>
    <w:rsid w:val="003C4544"/>
    <w:rsid w:val="003C5583"/>
    <w:rsid w:val="003C5BA6"/>
    <w:rsid w:val="003C7322"/>
    <w:rsid w:val="003C74CF"/>
    <w:rsid w:val="003D2646"/>
    <w:rsid w:val="003D2C1C"/>
    <w:rsid w:val="003D3752"/>
    <w:rsid w:val="003E35DA"/>
    <w:rsid w:val="003E455D"/>
    <w:rsid w:val="003F0E85"/>
    <w:rsid w:val="003F5970"/>
    <w:rsid w:val="00410C55"/>
    <w:rsid w:val="00416854"/>
    <w:rsid w:val="00416DCF"/>
    <w:rsid w:val="00417310"/>
    <w:rsid w:val="00417725"/>
    <w:rsid w:val="0042266F"/>
    <w:rsid w:val="004302AF"/>
    <w:rsid w:val="00431D71"/>
    <w:rsid w:val="00437F26"/>
    <w:rsid w:val="00440ABB"/>
    <w:rsid w:val="00444097"/>
    <w:rsid w:val="00445487"/>
    <w:rsid w:val="00447076"/>
    <w:rsid w:val="00447E0D"/>
    <w:rsid w:val="00453EA8"/>
    <w:rsid w:val="00454769"/>
    <w:rsid w:val="004547AA"/>
    <w:rsid w:val="00466643"/>
    <w:rsid w:val="00466991"/>
    <w:rsid w:val="0047064C"/>
    <w:rsid w:val="00471555"/>
    <w:rsid w:val="004822B7"/>
    <w:rsid w:val="0049469E"/>
    <w:rsid w:val="004A2217"/>
    <w:rsid w:val="004A24F9"/>
    <w:rsid w:val="004A39CE"/>
    <w:rsid w:val="004A42E1"/>
    <w:rsid w:val="004B162C"/>
    <w:rsid w:val="004B163F"/>
    <w:rsid w:val="004B2ABE"/>
    <w:rsid w:val="004C3DBE"/>
    <w:rsid w:val="004C5C96"/>
    <w:rsid w:val="004D06A4"/>
    <w:rsid w:val="004E5A2B"/>
    <w:rsid w:val="004F1A81"/>
    <w:rsid w:val="004F36B0"/>
    <w:rsid w:val="00501354"/>
    <w:rsid w:val="00501866"/>
    <w:rsid w:val="0050186A"/>
    <w:rsid w:val="005046DA"/>
    <w:rsid w:val="005050D2"/>
    <w:rsid w:val="005213E1"/>
    <w:rsid w:val="005218D9"/>
    <w:rsid w:val="00536186"/>
    <w:rsid w:val="0054472E"/>
    <w:rsid w:val="00544CBB"/>
    <w:rsid w:val="00551B65"/>
    <w:rsid w:val="00554EB0"/>
    <w:rsid w:val="00556704"/>
    <w:rsid w:val="005656D7"/>
    <w:rsid w:val="00565BF4"/>
    <w:rsid w:val="0057315F"/>
    <w:rsid w:val="00576104"/>
    <w:rsid w:val="0058023F"/>
    <w:rsid w:val="00583FF4"/>
    <w:rsid w:val="00586418"/>
    <w:rsid w:val="00592B21"/>
    <w:rsid w:val="005944DF"/>
    <w:rsid w:val="005B1496"/>
    <w:rsid w:val="005B44BF"/>
    <w:rsid w:val="005B7F60"/>
    <w:rsid w:val="005C67C8"/>
    <w:rsid w:val="005D0249"/>
    <w:rsid w:val="005D18FA"/>
    <w:rsid w:val="005D4FD4"/>
    <w:rsid w:val="005D6717"/>
    <w:rsid w:val="005D6E8C"/>
    <w:rsid w:val="005E0057"/>
    <w:rsid w:val="005E3004"/>
    <w:rsid w:val="005F100C"/>
    <w:rsid w:val="005F5AA8"/>
    <w:rsid w:val="005F68DA"/>
    <w:rsid w:val="005F7419"/>
    <w:rsid w:val="00601BC9"/>
    <w:rsid w:val="0060773B"/>
    <w:rsid w:val="00613FD6"/>
    <w:rsid w:val="006157B5"/>
    <w:rsid w:val="00617224"/>
    <w:rsid w:val="0062159E"/>
    <w:rsid w:val="00625A42"/>
    <w:rsid w:val="00626FC6"/>
    <w:rsid w:val="006303B4"/>
    <w:rsid w:val="00630ADC"/>
    <w:rsid w:val="00633D3D"/>
    <w:rsid w:val="00634D5A"/>
    <w:rsid w:val="00641703"/>
    <w:rsid w:val="006431A6"/>
    <w:rsid w:val="00643E3A"/>
    <w:rsid w:val="006459F6"/>
    <w:rsid w:val="006501AD"/>
    <w:rsid w:val="00651BFA"/>
    <w:rsid w:val="0065277B"/>
    <w:rsid w:val="00654475"/>
    <w:rsid w:val="00656DF0"/>
    <w:rsid w:val="00665A4B"/>
    <w:rsid w:val="00667C5D"/>
    <w:rsid w:val="00690E7B"/>
    <w:rsid w:val="00692E2A"/>
    <w:rsid w:val="00692ECD"/>
    <w:rsid w:val="0069496A"/>
    <w:rsid w:val="006A34BE"/>
    <w:rsid w:val="006A41C1"/>
    <w:rsid w:val="006A5C27"/>
    <w:rsid w:val="006A76F2"/>
    <w:rsid w:val="006B09A2"/>
    <w:rsid w:val="006B33F3"/>
    <w:rsid w:val="006B7D29"/>
    <w:rsid w:val="006C3DB7"/>
    <w:rsid w:val="006D19D4"/>
    <w:rsid w:val="006D2D62"/>
    <w:rsid w:val="006D2E9B"/>
    <w:rsid w:val="006D5644"/>
    <w:rsid w:val="006D7EFB"/>
    <w:rsid w:val="006E4765"/>
    <w:rsid w:val="006E6672"/>
    <w:rsid w:val="006E6722"/>
    <w:rsid w:val="006E7508"/>
    <w:rsid w:val="006F7AFF"/>
    <w:rsid w:val="007027B9"/>
    <w:rsid w:val="007066B5"/>
    <w:rsid w:val="007145DA"/>
    <w:rsid w:val="0071548E"/>
    <w:rsid w:val="00715E88"/>
    <w:rsid w:val="00720462"/>
    <w:rsid w:val="00720D61"/>
    <w:rsid w:val="00724F87"/>
    <w:rsid w:val="00734CAA"/>
    <w:rsid w:val="00735F78"/>
    <w:rsid w:val="00740EE2"/>
    <w:rsid w:val="00742680"/>
    <w:rsid w:val="007451E1"/>
    <w:rsid w:val="0075533C"/>
    <w:rsid w:val="00755A18"/>
    <w:rsid w:val="00757581"/>
    <w:rsid w:val="007602F5"/>
    <w:rsid w:val="00760D36"/>
    <w:rsid w:val="007611A0"/>
    <w:rsid w:val="00772574"/>
    <w:rsid w:val="00773E54"/>
    <w:rsid w:val="00776600"/>
    <w:rsid w:val="00787688"/>
    <w:rsid w:val="007935E6"/>
    <w:rsid w:val="00796984"/>
    <w:rsid w:val="00796D3F"/>
    <w:rsid w:val="007A1683"/>
    <w:rsid w:val="007A2028"/>
    <w:rsid w:val="007A5C12"/>
    <w:rsid w:val="007A7CB0"/>
    <w:rsid w:val="007B0B6D"/>
    <w:rsid w:val="007B3761"/>
    <w:rsid w:val="007B68A3"/>
    <w:rsid w:val="007C1232"/>
    <w:rsid w:val="007C2541"/>
    <w:rsid w:val="007D04A5"/>
    <w:rsid w:val="007D223C"/>
    <w:rsid w:val="007D66A8"/>
    <w:rsid w:val="007E003F"/>
    <w:rsid w:val="007F0CF8"/>
    <w:rsid w:val="007F3555"/>
    <w:rsid w:val="007F570D"/>
    <w:rsid w:val="007F62CB"/>
    <w:rsid w:val="00803A10"/>
    <w:rsid w:val="00806118"/>
    <w:rsid w:val="00806C29"/>
    <w:rsid w:val="008110CF"/>
    <w:rsid w:val="00813853"/>
    <w:rsid w:val="008142EC"/>
    <w:rsid w:val="00814D57"/>
    <w:rsid w:val="00815DE2"/>
    <w:rsid w:val="008164F2"/>
    <w:rsid w:val="00821395"/>
    <w:rsid w:val="008279F4"/>
    <w:rsid w:val="00830E26"/>
    <w:rsid w:val="00834368"/>
    <w:rsid w:val="0083441A"/>
    <w:rsid w:val="00843576"/>
    <w:rsid w:val="00843B64"/>
    <w:rsid w:val="00846D4B"/>
    <w:rsid w:val="008478FC"/>
    <w:rsid w:val="00851C51"/>
    <w:rsid w:val="0085524F"/>
    <w:rsid w:val="008644DD"/>
    <w:rsid w:val="00866F81"/>
    <w:rsid w:val="00867BFF"/>
    <w:rsid w:val="00871542"/>
    <w:rsid w:val="008715F8"/>
    <w:rsid w:val="00872BF6"/>
    <w:rsid w:val="00875D5E"/>
    <w:rsid w:val="0088480A"/>
    <w:rsid w:val="0088757A"/>
    <w:rsid w:val="00893D3A"/>
    <w:rsid w:val="0089431B"/>
    <w:rsid w:val="00895668"/>
    <w:rsid w:val="008957DD"/>
    <w:rsid w:val="00897D98"/>
    <w:rsid w:val="008A26DF"/>
    <w:rsid w:val="008A2768"/>
    <w:rsid w:val="008A6DF2"/>
    <w:rsid w:val="008A7807"/>
    <w:rsid w:val="008B4CC9"/>
    <w:rsid w:val="008B6368"/>
    <w:rsid w:val="008C0B15"/>
    <w:rsid w:val="008D75E4"/>
    <w:rsid w:val="008D7C99"/>
    <w:rsid w:val="008E0FCB"/>
    <w:rsid w:val="008E6C73"/>
    <w:rsid w:val="008F6DFE"/>
    <w:rsid w:val="00900007"/>
    <w:rsid w:val="00900157"/>
    <w:rsid w:val="0090529F"/>
    <w:rsid w:val="00910084"/>
    <w:rsid w:val="00910767"/>
    <w:rsid w:val="0091236F"/>
    <w:rsid w:val="00917825"/>
    <w:rsid w:val="0092054B"/>
    <w:rsid w:val="0092178C"/>
    <w:rsid w:val="00927471"/>
    <w:rsid w:val="00930B88"/>
    <w:rsid w:val="00935376"/>
    <w:rsid w:val="00940DCC"/>
    <w:rsid w:val="0094179A"/>
    <w:rsid w:val="0094459E"/>
    <w:rsid w:val="00944DBC"/>
    <w:rsid w:val="00946F15"/>
    <w:rsid w:val="00950977"/>
    <w:rsid w:val="00951A7B"/>
    <w:rsid w:val="00955512"/>
    <w:rsid w:val="009564A6"/>
    <w:rsid w:val="00956AAF"/>
    <w:rsid w:val="00957EF8"/>
    <w:rsid w:val="00961263"/>
    <w:rsid w:val="00966A53"/>
    <w:rsid w:val="00967621"/>
    <w:rsid w:val="00967E6A"/>
    <w:rsid w:val="00982117"/>
    <w:rsid w:val="009902C7"/>
    <w:rsid w:val="009907B9"/>
    <w:rsid w:val="00990918"/>
    <w:rsid w:val="009A3A83"/>
    <w:rsid w:val="009B0D84"/>
    <w:rsid w:val="009B4A0F"/>
    <w:rsid w:val="009C11D2"/>
    <w:rsid w:val="009C1F65"/>
    <w:rsid w:val="009C5C08"/>
    <w:rsid w:val="009C5FFC"/>
    <w:rsid w:val="009C6C70"/>
    <w:rsid w:val="009C7B0A"/>
    <w:rsid w:val="009D0B63"/>
    <w:rsid w:val="009D5CB8"/>
    <w:rsid w:val="009E17CD"/>
    <w:rsid w:val="009E307E"/>
    <w:rsid w:val="00A072C4"/>
    <w:rsid w:val="00A07870"/>
    <w:rsid w:val="00A07C54"/>
    <w:rsid w:val="00A07F19"/>
    <w:rsid w:val="00A1348D"/>
    <w:rsid w:val="00A13C99"/>
    <w:rsid w:val="00A232EE"/>
    <w:rsid w:val="00A252F3"/>
    <w:rsid w:val="00A35D6C"/>
    <w:rsid w:val="00A40357"/>
    <w:rsid w:val="00A4175F"/>
    <w:rsid w:val="00A42E0B"/>
    <w:rsid w:val="00A44411"/>
    <w:rsid w:val="00A469FA"/>
    <w:rsid w:val="00A47445"/>
    <w:rsid w:val="00A53662"/>
    <w:rsid w:val="00A55A0A"/>
    <w:rsid w:val="00A55B01"/>
    <w:rsid w:val="00A56B5B"/>
    <w:rsid w:val="00A603FF"/>
    <w:rsid w:val="00A61013"/>
    <w:rsid w:val="00A61199"/>
    <w:rsid w:val="00A619B6"/>
    <w:rsid w:val="00A63491"/>
    <w:rsid w:val="00A648CA"/>
    <w:rsid w:val="00A657DD"/>
    <w:rsid w:val="00A666A6"/>
    <w:rsid w:val="00A675FD"/>
    <w:rsid w:val="00A67854"/>
    <w:rsid w:val="00A72437"/>
    <w:rsid w:val="00A8048B"/>
    <w:rsid w:val="00A80611"/>
    <w:rsid w:val="00A807D4"/>
    <w:rsid w:val="00A82795"/>
    <w:rsid w:val="00A93E8D"/>
    <w:rsid w:val="00A97FFE"/>
    <w:rsid w:val="00AA0384"/>
    <w:rsid w:val="00AA52D4"/>
    <w:rsid w:val="00AA5BF4"/>
    <w:rsid w:val="00AB0C99"/>
    <w:rsid w:val="00AB5340"/>
    <w:rsid w:val="00AB544E"/>
    <w:rsid w:val="00AC0A89"/>
    <w:rsid w:val="00AC1E6B"/>
    <w:rsid w:val="00AC2885"/>
    <w:rsid w:val="00AC7C96"/>
    <w:rsid w:val="00AD5D6B"/>
    <w:rsid w:val="00AD5EDF"/>
    <w:rsid w:val="00AD6DEE"/>
    <w:rsid w:val="00AE0812"/>
    <w:rsid w:val="00AE237D"/>
    <w:rsid w:val="00AE502A"/>
    <w:rsid w:val="00AF0010"/>
    <w:rsid w:val="00AF2C1F"/>
    <w:rsid w:val="00AF7C07"/>
    <w:rsid w:val="00B06C64"/>
    <w:rsid w:val="00B11CAC"/>
    <w:rsid w:val="00B14579"/>
    <w:rsid w:val="00B15A29"/>
    <w:rsid w:val="00B21142"/>
    <w:rsid w:val="00B22C93"/>
    <w:rsid w:val="00B27589"/>
    <w:rsid w:val="00B405B7"/>
    <w:rsid w:val="00B468C0"/>
    <w:rsid w:val="00B52222"/>
    <w:rsid w:val="00B531DA"/>
    <w:rsid w:val="00B54895"/>
    <w:rsid w:val="00B54FE7"/>
    <w:rsid w:val="00B647C6"/>
    <w:rsid w:val="00B655F9"/>
    <w:rsid w:val="00B66901"/>
    <w:rsid w:val="00B66F60"/>
    <w:rsid w:val="00B70143"/>
    <w:rsid w:val="00B71E6D"/>
    <w:rsid w:val="00B72070"/>
    <w:rsid w:val="00B779E1"/>
    <w:rsid w:val="00B81E3A"/>
    <w:rsid w:val="00B85CFB"/>
    <w:rsid w:val="00B87DDD"/>
    <w:rsid w:val="00B914E9"/>
    <w:rsid w:val="00B91B4F"/>
    <w:rsid w:val="00B91EE1"/>
    <w:rsid w:val="00B93972"/>
    <w:rsid w:val="00B93FBB"/>
    <w:rsid w:val="00B94602"/>
    <w:rsid w:val="00B970A4"/>
    <w:rsid w:val="00BA0090"/>
    <w:rsid w:val="00BA1A67"/>
    <w:rsid w:val="00BA4933"/>
    <w:rsid w:val="00BA6A80"/>
    <w:rsid w:val="00BB05F0"/>
    <w:rsid w:val="00BB3439"/>
    <w:rsid w:val="00BB4ABB"/>
    <w:rsid w:val="00BC419C"/>
    <w:rsid w:val="00BC62BA"/>
    <w:rsid w:val="00BD2A8F"/>
    <w:rsid w:val="00BD552C"/>
    <w:rsid w:val="00BE5B5F"/>
    <w:rsid w:val="00BE7993"/>
    <w:rsid w:val="00BF04B3"/>
    <w:rsid w:val="00BF1A37"/>
    <w:rsid w:val="00BF6D63"/>
    <w:rsid w:val="00C17641"/>
    <w:rsid w:val="00C20818"/>
    <w:rsid w:val="00C26F55"/>
    <w:rsid w:val="00C27483"/>
    <w:rsid w:val="00C30C63"/>
    <w:rsid w:val="00C30FF3"/>
    <w:rsid w:val="00C314F9"/>
    <w:rsid w:val="00C33F02"/>
    <w:rsid w:val="00C34D5C"/>
    <w:rsid w:val="00C36B8B"/>
    <w:rsid w:val="00C415C1"/>
    <w:rsid w:val="00C47DBF"/>
    <w:rsid w:val="00C533CD"/>
    <w:rsid w:val="00C552FF"/>
    <w:rsid w:val="00C558DA"/>
    <w:rsid w:val="00C55AF3"/>
    <w:rsid w:val="00C56B14"/>
    <w:rsid w:val="00C74AAB"/>
    <w:rsid w:val="00C771A9"/>
    <w:rsid w:val="00C80ADD"/>
    <w:rsid w:val="00C84759"/>
    <w:rsid w:val="00C908CE"/>
    <w:rsid w:val="00C93096"/>
    <w:rsid w:val="00C9545A"/>
    <w:rsid w:val="00C9671D"/>
    <w:rsid w:val="00CA5CA9"/>
    <w:rsid w:val="00CA6C7F"/>
    <w:rsid w:val="00CA7E2C"/>
    <w:rsid w:val="00CB007D"/>
    <w:rsid w:val="00CB60CA"/>
    <w:rsid w:val="00CC0FC7"/>
    <w:rsid w:val="00CC10A6"/>
    <w:rsid w:val="00CC2F78"/>
    <w:rsid w:val="00CC7E93"/>
    <w:rsid w:val="00CD5EB8"/>
    <w:rsid w:val="00CD7044"/>
    <w:rsid w:val="00CE08B9"/>
    <w:rsid w:val="00CE3515"/>
    <w:rsid w:val="00CE524C"/>
    <w:rsid w:val="00CE5716"/>
    <w:rsid w:val="00CE66F8"/>
    <w:rsid w:val="00CF141F"/>
    <w:rsid w:val="00CF15AE"/>
    <w:rsid w:val="00CF175C"/>
    <w:rsid w:val="00CF4777"/>
    <w:rsid w:val="00CF52C2"/>
    <w:rsid w:val="00CF6408"/>
    <w:rsid w:val="00CF65C8"/>
    <w:rsid w:val="00CF695F"/>
    <w:rsid w:val="00D013F5"/>
    <w:rsid w:val="00D052EE"/>
    <w:rsid w:val="00D05E3F"/>
    <w:rsid w:val="00D067BB"/>
    <w:rsid w:val="00D1352A"/>
    <w:rsid w:val="00D1638E"/>
    <w:rsid w:val="00D169AF"/>
    <w:rsid w:val="00D200EF"/>
    <w:rsid w:val="00D25175"/>
    <w:rsid w:val="00D25249"/>
    <w:rsid w:val="00D26854"/>
    <w:rsid w:val="00D31988"/>
    <w:rsid w:val="00D3373A"/>
    <w:rsid w:val="00D44172"/>
    <w:rsid w:val="00D47BE3"/>
    <w:rsid w:val="00D63B8C"/>
    <w:rsid w:val="00D739CC"/>
    <w:rsid w:val="00D806F9"/>
    <w:rsid w:val="00D8093D"/>
    <w:rsid w:val="00D8108C"/>
    <w:rsid w:val="00D842AE"/>
    <w:rsid w:val="00D87B6A"/>
    <w:rsid w:val="00D91A66"/>
    <w:rsid w:val="00D9211C"/>
    <w:rsid w:val="00D92363"/>
    <w:rsid w:val="00D92DE0"/>
    <w:rsid w:val="00D92FEF"/>
    <w:rsid w:val="00D931F9"/>
    <w:rsid w:val="00D93A0F"/>
    <w:rsid w:val="00DA1BCA"/>
    <w:rsid w:val="00DA3663"/>
    <w:rsid w:val="00DA3D6B"/>
    <w:rsid w:val="00DB5BB0"/>
    <w:rsid w:val="00DC243E"/>
    <w:rsid w:val="00DC46FF"/>
    <w:rsid w:val="00DC5254"/>
    <w:rsid w:val="00DC569D"/>
    <w:rsid w:val="00DD12E6"/>
    <w:rsid w:val="00DD1A4F"/>
    <w:rsid w:val="00DD3107"/>
    <w:rsid w:val="00DD55F8"/>
    <w:rsid w:val="00DD7C2C"/>
    <w:rsid w:val="00DE5BDA"/>
    <w:rsid w:val="00DF433C"/>
    <w:rsid w:val="00DF519F"/>
    <w:rsid w:val="00E0035A"/>
    <w:rsid w:val="00E06797"/>
    <w:rsid w:val="00E1265B"/>
    <w:rsid w:val="00E12E09"/>
    <w:rsid w:val="00E13B48"/>
    <w:rsid w:val="00E1404F"/>
    <w:rsid w:val="00E17857"/>
    <w:rsid w:val="00E21C83"/>
    <w:rsid w:val="00E24ADA"/>
    <w:rsid w:val="00E304A7"/>
    <w:rsid w:val="00E32F59"/>
    <w:rsid w:val="00E33F2F"/>
    <w:rsid w:val="00E41908"/>
    <w:rsid w:val="00E41A91"/>
    <w:rsid w:val="00E434BA"/>
    <w:rsid w:val="00E43CE0"/>
    <w:rsid w:val="00E46D9A"/>
    <w:rsid w:val="00E52C98"/>
    <w:rsid w:val="00E565FF"/>
    <w:rsid w:val="00E65388"/>
    <w:rsid w:val="00E654EC"/>
    <w:rsid w:val="00E67F20"/>
    <w:rsid w:val="00E73C23"/>
    <w:rsid w:val="00E7741D"/>
    <w:rsid w:val="00E808CD"/>
    <w:rsid w:val="00E80AA2"/>
    <w:rsid w:val="00E8348F"/>
    <w:rsid w:val="00E85B7D"/>
    <w:rsid w:val="00E9121B"/>
    <w:rsid w:val="00E9302E"/>
    <w:rsid w:val="00E976AB"/>
    <w:rsid w:val="00EA0AE2"/>
    <w:rsid w:val="00EA39E5"/>
    <w:rsid w:val="00EA57A3"/>
    <w:rsid w:val="00EA71B4"/>
    <w:rsid w:val="00EB41F2"/>
    <w:rsid w:val="00EC2813"/>
    <w:rsid w:val="00EC5A46"/>
    <w:rsid w:val="00EC63E2"/>
    <w:rsid w:val="00ED0225"/>
    <w:rsid w:val="00ED366A"/>
    <w:rsid w:val="00ED6BB7"/>
    <w:rsid w:val="00EE0943"/>
    <w:rsid w:val="00EF22B3"/>
    <w:rsid w:val="00F03B69"/>
    <w:rsid w:val="00F07A50"/>
    <w:rsid w:val="00F113DA"/>
    <w:rsid w:val="00F1265D"/>
    <w:rsid w:val="00F266FC"/>
    <w:rsid w:val="00F3037A"/>
    <w:rsid w:val="00F3314C"/>
    <w:rsid w:val="00F3465A"/>
    <w:rsid w:val="00F37DC8"/>
    <w:rsid w:val="00F40DDB"/>
    <w:rsid w:val="00F439B3"/>
    <w:rsid w:val="00F64E3B"/>
    <w:rsid w:val="00F650C3"/>
    <w:rsid w:val="00F65D85"/>
    <w:rsid w:val="00F6700B"/>
    <w:rsid w:val="00F7137B"/>
    <w:rsid w:val="00F8091E"/>
    <w:rsid w:val="00F80C3C"/>
    <w:rsid w:val="00F81C51"/>
    <w:rsid w:val="00F8615C"/>
    <w:rsid w:val="00F94207"/>
    <w:rsid w:val="00F9562F"/>
    <w:rsid w:val="00F969E5"/>
    <w:rsid w:val="00F97E99"/>
    <w:rsid w:val="00FA2F2A"/>
    <w:rsid w:val="00FA4972"/>
    <w:rsid w:val="00FA6BB0"/>
    <w:rsid w:val="00FB2DBD"/>
    <w:rsid w:val="00FB783E"/>
    <w:rsid w:val="00FC1941"/>
    <w:rsid w:val="00FD48DF"/>
    <w:rsid w:val="00FD5860"/>
    <w:rsid w:val="00FE352D"/>
    <w:rsid w:val="00FE40EB"/>
    <w:rsid w:val="00FE4D02"/>
    <w:rsid w:val="00FE7D62"/>
    <w:rsid w:val="00FF045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440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8A26DF"/>
    <w:rPr>
      <w:b/>
      <w:sz w:val="28"/>
      <w:szCs w:val="28"/>
      <w:lang w:eastAsia="en-US"/>
    </w:rPr>
  </w:style>
  <w:style w:type="character" w:customStyle="1" w:styleId="CH2Char">
    <w:name w:val="CH2 Char"/>
    <w:link w:val="CH2"/>
    <w:rsid w:val="008A26DF"/>
    <w:rPr>
      <w:b/>
      <w:sz w:val="24"/>
      <w:szCs w:val="24"/>
      <w:lang w:eastAsia="en-US"/>
    </w:rPr>
  </w:style>
  <w:style w:type="character" w:customStyle="1" w:styleId="ZZAnxtitleChar">
    <w:name w:val="ZZ_Anx_title Char"/>
    <w:link w:val="ZZAnxtitle"/>
    <w:rsid w:val="008A26DF"/>
    <w:rPr>
      <w:b/>
      <w:bCs/>
      <w:sz w:val="28"/>
      <w:szCs w:val="26"/>
      <w:lang w:eastAsia="en-US"/>
    </w:rPr>
  </w:style>
  <w:style w:type="character" w:customStyle="1" w:styleId="ZZAnxheaderChar">
    <w:name w:val="ZZ_Anx_header Char"/>
    <w:link w:val="ZZAnxheader"/>
    <w:rsid w:val="008A26DF"/>
    <w:rPr>
      <w:b/>
      <w:bCs/>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8A26DF"/>
    <w:rPr>
      <w:b/>
      <w:sz w:val="28"/>
      <w:szCs w:val="28"/>
      <w:lang w:eastAsia="en-US"/>
    </w:rPr>
  </w:style>
  <w:style w:type="character" w:customStyle="1" w:styleId="CH2Char">
    <w:name w:val="CH2 Char"/>
    <w:link w:val="CH2"/>
    <w:rsid w:val="008A26DF"/>
    <w:rPr>
      <w:b/>
      <w:sz w:val="24"/>
      <w:szCs w:val="24"/>
      <w:lang w:eastAsia="en-US"/>
    </w:rPr>
  </w:style>
  <w:style w:type="character" w:customStyle="1" w:styleId="ZZAnxtitleChar">
    <w:name w:val="ZZ_Anx_title Char"/>
    <w:link w:val="ZZAnxtitle"/>
    <w:rsid w:val="008A26DF"/>
    <w:rPr>
      <w:b/>
      <w:bCs/>
      <w:sz w:val="28"/>
      <w:szCs w:val="26"/>
      <w:lang w:eastAsia="en-US"/>
    </w:rPr>
  </w:style>
  <w:style w:type="character" w:customStyle="1" w:styleId="ZZAnxheaderChar">
    <w:name w:val="ZZ_Anx_header Char"/>
    <w:link w:val="ZZAnxheader"/>
    <w:rsid w:val="008A26DF"/>
    <w:rPr>
      <w:b/>
      <w:bCs/>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0FDF-4743-4DE1-BFF2-1F1BD476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2561</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Tina Rakoto</cp:lastModifiedBy>
  <cp:revision>3</cp:revision>
  <cp:lastPrinted>2017-07-04T06:03:00Z</cp:lastPrinted>
  <dcterms:created xsi:type="dcterms:W3CDTF">2017-07-04T06:03:00Z</dcterms:created>
  <dcterms:modified xsi:type="dcterms:W3CDTF">2017-07-04T06:04:00Z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veronique.racine espinosa</vt:lpwstr>
  </property>
  <property fmtid="{D5CDD505-2E9C-101B-9397-08002B2CF9AE}" pid="4" name="GeneratedDate">
    <vt:lpwstr>6/12/2017 1:12:13 PM</vt:lpwstr>
  </property>
  <property fmtid="{D5CDD505-2E9C-101B-9397-08002B2CF9AE}" pid="5" name="OriginalDocID">
    <vt:lpwstr>f7448546-3efa-45c3-adbc-d586cfc9c317</vt:lpwstr>
  </property>
</Properties>
</file>