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CA0F16" w:rsidRPr="00CA0F16" w:rsidTr="00CA0F16">
        <w:trPr>
          <w:cantSplit/>
          <w:trHeight w:val="850"/>
          <w:jc w:val="right"/>
        </w:trPr>
        <w:tc>
          <w:tcPr>
            <w:tcW w:w="1560" w:type="dxa"/>
            <w:hideMark/>
          </w:tcPr>
          <w:p w:rsidR="00CA0F16" w:rsidRPr="00CA0F16" w:rsidRDefault="00CA0F16">
            <w:pPr>
              <w:rPr>
                <w:rFonts w:ascii="Univers" w:hAnsi="Univers"/>
                <w:b/>
                <w:noProof/>
                <w:sz w:val="27"/>
                <w:szCs w:val="27"/>
                <w:lang w:val="fr-FR" w:eastAsia="zh-CN"/>
              </w:rPr>
            </w:pPr>
            <w:r w:rsidRPr="00CA0F16">
              <w:rPr>
                <w:rFonts w:ascii="Arial" w:hAnsi="Arial" w:cs="Arial"/>
                <w:b/>
                <w:noProof/>
                <w:sz w:val="27"/>
                <w:szCs w:val="27"/>
                <w:lang w:val="fr-FR" w:eastAsia="zh-CN"/>
              </w:rPr>
              <w:t>NATIONS</w:t>
            </w:r>
            <w:r w:rsidRPr="00CA0F16">
              <w:rPr>
                <w:rFonts w:ascii="Arial" w:hAnsi="Arial" w:cs="Arial"/>
                <w:b/>
                <w:noProof/>
                <w:sz w:val="27"/>
                <w:szCs w:val="27"/>
                <w:lang w:val="fr-FR" w:eastAsia="zh-CN"/>
              </w:rPr>
              <w:br/>
              <w:t>UNIES</w:t>
            </w:r>
          </w:p>
        </w:tc>
        <w:tc>
          <w:tcPr>
            <w:tcW w:w="4785" w:type="dxa"/>
          </w:tcPr>
          <w:p w:rsidR="00CA0F16" w:rsidRPr="00CA0F16" w:rsidRDefault="00CA0F16">
            <w:pPr>
              <w:rPr>
                <w:rFonts w:ascii="Univers" w:hAnsi="Univers"/>
                <w:b/>
                <w:sz w:val="27"/>
                <w:szCs w:val="27"/>
                <w:lang w:val="fr-FR" w:eastAsia="zh-CN"/>
              </w:rPr>
            </w:pPr>
          </w:p>
        </w:tc>
        <w:tc>
          <w:tcPr>
            <w:tcW w:w="3435" w:type="dxa"/>
            <w:hideMark/>
          </w:tcPr>
          <w:p w:rsidR="00CA0F16" w:rsidRPr="00CA0F16" w:rsidRDefault="00CA0F16">
            <w:pPr>
              <w:jc w:val="right"/>
              <w:rPr>
                <w:rFonts w:ascii="Arial" w:hAnsi="Arial" w:cs="Arial"/>
                <w:b/>
                <w:sz w:val="64"/>
                <w:szCs w:val="64"/>
                <w:lang w:val="fr-FR" w:eastAsia="zh-CN"/>
              </w:rPr>
            </w:pPr>
            <w:r w:rsidRPr="00CA0F16">
              <w:rPr>
                <w:rFonts w:ascii="Arial" w:hAnsi="Arial" w:cs="Arial"/>
                <w:b/>
                <w:sz w:val="64"/>
                <w:szCs w:val="64"/>
                <w:lang w:val="fr-FR" w:eastAsia="zh-CN"/>
              </w:rPr>
              <w:t>MC</w:t>
            </w:r>
          </w:p>
        </w:tc>
      </w:tr>
      <w:tr w:rsidR="00CA0F16" w:rsidRPr="00CA0F16" w:rsidTr="00CA0F16">
        <w:trPr>
          <w:cantSplit/>
          <w:trHeight w:val="281"/>
          <w:jc w:val="right"/>
        </w:trPr>
        <w:tc>
          <w:tcPr>
            <w:tcW w:w="1560" w:type="dxa"/>
            <w:tcBorders>
              <w:top w:val="nil"/>
              <w:left w:val="nil"/>
              <w:bottom w:val="single" w:sz="4" w:space="0" w:color="auto"/>
              <w:right w:val="nil"/>
            </w:tcBorders>
          </w:tcPr>
          <w:p w:rsidR="00CA0F16" w:rsidRPr="00CA0F16" w:rsidRDefault="00CA0F16">
            <w:pPr>
              <w:rPr>
                <w:noProof/>
                <w:sz w:val="18"/>
                <w:szCs w:val="18"/>
                <w:lang w:val="fr-FR" w:eastAsia="zh-CN"/>
              </w:rPr>
            </w:pPr>
          </w:p>
        </w:tc>
        <w:tc>
          <w:tcPr>
            <w:tcW w:w="4785" w:type="dxa"/>
            <w:tcBorders>
              <w:top w:val="nil"/>
              <w:left w:val="nil"/>
              <w:bottom w:val="single" w:sz="4" w:space="0" w:color="auto"/>
              <w:right w:val="nil"/>
            </w:tcBorders>
          </w:tcPr>
          <w:p w:rsidR="00CA0F16" w:rsidRPr="00CA0F16" w:rsidRDefault="00CA0F16">
            <w:pPr>
              <w:rPr>
                <w:rFonts w:ascii="Univers" w:hAnsi="Univers"/>
                <w:b/>
                <w:sz w:val="18"/>
                <w:szCs w:val="18"/>
                <w:lang w:val="fr-FR" w:eastAsia="zh-CN"/>
              </w:rPr>
            </w:pPr>
          </w:p>
        </w:tc>
        <w:tc>
          <w:tcPr>
            <w:tcW w:w="3435" w:type="dxa"/>
            <w:tcBorders>
              <w:top w:val="nil"/>
              <w:left w:val="nil"/>
              <w:bottom w:val="single" w:sz="4" w:space="0" w:color="auto"/>
              <w:right w:val="nil"/>
            </w:tcBorders>
            <w:hideMark/>
          </w:tcPr>
          <w:p w:rsidR="00CA0F16" w:rsidRPr="00CA0F16" w:rsidRDefault="00CA0F16">
            <w:pPr>
              <w:rPr>
                <w:noProof/>
                <w:sz w:val="18"/>
                <w:szCs w:val="18"/>
                <w:lang w:val="fr-FR" w:eastAsia="zh-CN"/>
              </w:rPr>
            </w:pPr>
            <w:r w:rsidRPr="00CA0F16">
              <w:rPr>
                <w:b/>
                <w:bCs/>
                <w:sz w:val="28"/>
                <w:lang w:val="fr-FR" w:eastAsia="zh-CN"/>
              </w:rPr>
              <w:t>UNEP</w:t>
            </w:r>
            <w:bookmarkStart w:id="0" w:name="OLE_LINK1"/>
            <w:bookmarkStart w:id="1" w:name="OLE_LINK2"/>
            <w:r w:rsidRPr="00CA0F16">
              <w:rPr>
                <w:b/>
                <w:bCs/>
                <w:sz w:val="28"/>
                <w:lang w:val="fr-FR" w:eastAsia="zh-CN"/>
              </w:rPr>
              <w:t>/</w:t>
            </w:r>
            <w:r w:rsidRPr="00CA0F16">
              <w:rPr>
                <w:lang w:val="fr-FR" w:eastAsia="zh-CN"/>
              </w:rPr>
              <w:t>MC/</w:t>
            </w:r>
            <w:bookmarkEnd w:id="0"/>
            <w:bookmarkEnd w:id="1"/>
            <w:r w:rsidRPr="00CA0F16">
              <w:rPr>
                <w:lang w:val="fr-FR" w:eastAsia="zh-CN"/>
              </w:rPr>
              <w:t>COP.1/1</w:t>
            </w:r>
            <w:r w:rsidR="00F14877">
              <w:rPr>
                <w:lang w:val="fr-FR" w:eastAsia="zh-CN"/>
              </w:rPr>
              <w:t>6</w:t>
            </w:r>
          </w:p>
        </w:tc>
      </w:tr>
      <w:bookmarkStart w:id="2" w:name="_MON_1021710510"/>
      <w:bookmarkEnd w:id="2"/>
      <w:tr w:rsidR="00CA0F16" w:rsidRPr="00F16160" w:rsidTr="00CA0F16">
        <w:trPr>
          <w:cantSplit/>
          <w:trHeight w:val="2549"/>
          <w:jc w:val="right"/>
        </w:trPr>
        <w:tc>
          <w:tcPr>
            <w:tcW w:w="1560" w:type="dxa"/>
            <w:tcBorders>
              <w:top w:val="single" w:sz="4" w:space="0" w:color="auto"/>
              <w:left w:val="nil"/>
              <w:bottom w:val="single" w:sz="24" w:space="0" w:color="auto"/>
              <w:right w:val="nil"/>
            </w:tcBorders>
            <w:hideMark/>
          </w:tcPr>
          <w:p w:rsidR="00CA0F16" w:rsidRPr="00CA0F16" w:rsidRDefault="00CA0F16">
            <w:pPr>
              <w:rPr>
                <w:noProof/>
                <w:lang w:val="fr-FR" w:eastAsia="zh-CN"/>
              </w:rPr>
            </w:pPr>
            <w:r w:rsidRPr="00CA0F16">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61.2pt" o:ole="" fillcolor="window">
                  <v:imagedata r:id="rId9" o:title=""/>
                </v:shape>
                <o:OLEObject Type="Embed" ProgID="Word.Picture.8" ShapeID="_x0000_i1025" DrawAspect="Content" ObjectID="_1559379376" r:id="rId10"/>
              </w:object>
            </w:r>
            <w:r w:rsidRPr="00CA0F16">
              <w:rPr>
                <w:noProof/>
                <w:lang w:val="en-US"/>
              </w:rPr>
              <w:drawing>
                <wp:inline distT="0" distB="0" distL="0" distR="0" wp14:anchorId="53EC2476" wp14:editId="253FAA32">
                  <wp:extent cx="723900" cy="771525"/>
                  <wp:effectExtent l="0" t="0" r="0" b="9525"/>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CA0F16" w:rsidRPr="00CA0F16" w:rsidRDefault="00CA0F16">
            <w:pPr>
              <w:spacing w:before="1200"/>
              <w:rPr>
                <w:rFonts w:ascii="Arial" w:hAnsi="Arial" w:cs="Arial"/>
                <w:b/>
                <w:sz w:val="28"/>
                <w:lang w:val="fr-FR" w:eastAsia="zh-CN"/>
              </w:rPr>
            </w:pPr>
            <w:r w:rsidRPr="00CA0F16">
              <w:rPr>
                <w:rFonts w:ascii="Arial" w:hAnsi="Arial" w:cs="Arial"/>
                <w:b/>
                <w:sz w:val="32"/>
                <w:szCs w:val="32"/>
                <w:lang w:val="fr-FR" w:eastAsia="zh-CN"/>
              </w:rPr>
              <w:t>Programme</w:t>
            </w:r>
            <w:r w:rsidRPr="00CA0F16">
              <w:rPr>
                <w:rFonts w:ascii="Arial" w:hAnsi="Arial" w:cs="Arial"/>
                <w:b/>
                <w:sz w:val="32"/>
                <w:szCs w:val="32"/>
                <w:lang w:val="fr-FR" w:eastAsia="zh-CN"/>
              </w:rPr>
              <w:br/>
              <w:t>des Nations Unies</w:t>
            </w:r>
            <w:r w:rsidRPr="00CA0F16">
              <w:rPr>
                <w:rFonts w:ascii="Arial" w:hAnsi="Arial" w:cs="Arial"/>
                <w:b/>
                <w:sz w:val="32"/>
                <w:szCs w:val="32"/>
                <w:lang w:val="fr-FR" w:eastAsia="zh-CN"/>
              </w:rPr>
              <w:br/>
              <w:t>pour l</w:t>
            </w:r>
            <w:r w:rsidR="007A587D">
              <w:rPr>
                <w:rFonts w:ascii="Arial" w:hAnsi="Arial" w:cs="Arial"/>
                <w:b/>
                <w:sz w:val="32"/>
                <w:szCs w:val="32"/>
                <w:lang w:val="fr-FR" w:eastAsia="zh-CN"/>
              </w:rPr>
              <w:t>’</w:t>
            </w:r>
            <w:r w:rsidRPr="00CA0F16">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rsidR="00CA0F16" w:rsidRPr="00CA0F16" w:rsidRDefault="00D86013">
            <w:pPr>
              <w:spacing w:before="120"/>
              <w:rPr>
                <w:lang w:val="fr-FR" w:eastAsia="zh-CN"/>
              </w:rPr>
            </w:pPr>
            <w:r>
              <w:rPr>
                <w:lang w:val="fr-FR" w:eastAsia="zh-CN"/>
              </w:rPr>
              <w:t>Distr. </w:t>
            </w:r>
            <w:r w:rsidR="00DC60FB">
              <w:rPr>
                <w:lang w:val="fr-FR" w:eastAsia="zh-CN"/>
              </w:rPr>
              <w:t>g</w:t>
            </w:r>
            <w:r>
              <w:rPr>
                <w:lang w:val="fr-FR" w:eastAsia="zh-CN"/>
              </w:rPr>
              <w:t xml:space="preserve">énérale </w:t>
            </w:r>
            <w:r>
              <w:rPr>
                <w:lang w:val="fr-FR" w:eastAsia="zh-CN"/>
              </w:rPr>
              <w:br/>
              <w:t>21</w:t>
            </w:r>
            <w:r w:rsidR="00CA0F16" w:rsidRPr="00CA0F16">
              <w:rPr>
                <w:lang w:val="fr-FR" w:eastAsia="zh-CN"/>
              </w:rPr>
              <w:t> </w:t>
            </w:r>
            <w:r w:rsidR="00DC60FB">
              <w:rPr>
                <w:lang w:val="fr-FR" w:eastAsia="zh-CN"/>
              </w:rPr>
              <w:t>avril</w:t>
            </w:r>
            <w:r w:rsidR="00DC60FB" w:rsidRPr="00CA0F16">
              <w:rPr>
                <w:lang w:val="fr-FR" w:eastAsia="zh-CN"/>
              </w:rPr>
              <w:t xml:space="preserve"> </w:t>
            </w:r>
            <w:r w:rsidR="00CA0F16" w:rsidRPr="00CA0F16">
              <w:rPr>
                <w:lang w:val="fr-FR" w:eastAsia="zh-CN"/>
              </w:rPr>
              <w:t>2017</w:t>
            </w:r>
          </w:p>
          <w:p w:rsidR="00CA0F16" w:rsidRPr="00CA0F16" w:rsidRDefault="00CA0F16">
            <w:pPr>
              <w:spacing w:before="240"/>
              <w:rPr>
                <w:lang w:val="fr-FR" w:eastAsia="zh-CN"/>
              </w:rPr>
            </w:pPr>
            <w:r w:rsidRPr="00CA0F16">
              <w:rPr>
                <w:lang w:val="fr-FR" w:eastAsia="zh-CN"/>
              </w:rPr>
              <w:t>Français</w:t>
            </w:r>
            <w:r w:rsidRPr="00CA0F16">
              <w:rPr>
                <w:lang w:val="fr-FR" w:eastAsia="zh-CN"/>
              </w:rPr>
              <w:br/>
              <w:t>Original : anglais</w:t>
            </w:r>
          </w:p>
        </w:tc>
      </w:tr>
    </w:tbl>
    <w:p w:rsidR="00CA0F16" w:rsidRPr="00CA0F16" w:rsidRDefault="00CA0F16" w:rsidP="00CA0F16">
      <w:pPr>
        <w:pStyle w:val="AATitle"/>
        <w:rPr>
          <w:lang w:val="fr-FR"/>
        </w:rPr>
      </w:pPr>
      <w:r w:rsidRPr="00CA0F16">
        <w:rPr>
          <w:lang w:val="fr-FR"/>
        </w:rPr>
        <w:t xml:space="preserve">Conférence des Parties à la </w:t>
      </w:r>
      <w:r w:rsidRPr="00CA0F16">
        <w:rPr>
          <w:lang w:val="fr-FR"/>
        </w:rPr>
        <w:br/>
        <w:t>Convention de Minamata sur le mercure</w:t>
      </w:r>
    </w:p>
    <w:p w:rsidR="00CA0F16" w:rsidRPr="00B012C6" w:rsidRDefault="00CA0F16" w:rsidP="00CA0F16">
      <w:pPr>
        <w:pStyle w:val="AATitle"/>
        <w:rPr>
          <w:lang w:val="fr-FR"/>
        </w:rPr>
      </w:pPr>
      <w:r w:rsidRPr="00B012C6">
        <w:rPr>
          <w:lang w:val="fr-FR"/>
        </w:rPr>
        <w:t>Première réunion</w:t>
      </w:r>
    </w:p>
    <w:p w:rsidR="00E976AB" w:rsidRPr="00CA0F16" w:rsidRDefault="00CA0F16" w:rsidP="00CA0F16">
      <w:pPr>
        <w:pStyle w:val="AATitle"/>
        <w:rPr>
          <w:b w:val="0"/>
          <w:lang w:val="fr-FR"/>
        </w:rPr>
      </w:pPr>
      <w:r w:rsidRPr="00CA0F16">
        <w:rPr>
          <w:b w:val="0"/>
          <w:lang w:val="fr-FR"/>
        </w:rPr>
        <w:t>Genève, 24–29 septembre 2017</w:t>
      </w:r>
    </w:p>
    <w:p w:rsidR="00775D8D" w:rsidRPr="00D86013" w:rsidRDefault="00775D8D" w:rsidP="00775D8D">
      <w:pPr>
        <w:pStyle w:val="AATitle"/>
        <w:keepNext w:val="0"/>
        <w:keepLines w:val="0"/>
        <w:rPr>
          <w:b w:val="0"/>
          <w:lang w:val="fr-FR"/>
        </w:rPr>
      </w:pPr>
      <w:r w:rsidRPr="00D86013">
        <w:rPr>
          <w:b w:val="0"/>
          <w:lang w:val="fr-FR"/>
        </w:rPr>
        <w:t>Point 5 c) i) de l</w:t>
      </w:r>
      <w:r w:rsidR="007A587D" w:rsidRPr="00D86013">
        <w:rPr>
          <w:b w:val="0"/>
          <w:lang w:val="fr-FR"/>
        </w:rPr>
        <w:t>’</w:t>
      </w:r>
      <w:r w:rsidRPr="00D86013">
        <w:rPr>
          <w:b w:val="0"/>
          <w:lang w:val="fr-FR"/>
        </w:rPr>
        <w:t>ordre du jour provisoire</w:t>
      </w:r>
      <w:r w:rsidRPr="00D86013">
        <w:rPr>
          <w:b w:val="0"/>
          <w:lang w:val="fr-FR"/>
        </w:rPr>
        <w:footnoteReference w:customMarkFollows="1" w:id="1"/>
        <w:t>*</w:t>
      </w:r>
    </w:p>
    <w:p w:rsidR="0025267F" w:rsidRPr="00CA0F16" w:rsidRDefault="0025267F" w:rsidP="0025267F">
      <w:pPr>
        <w:pStyle w:val="AATitle2"/>
        <w:spacing w:before="60"/>
        <w:rPr>
          <w:lang w:val="fr-FR"/>
        </w:rPr>
      </w:pPr>
      <w:r w:rsidRPr="00CA0F16">
        <w:rPr>
          <w:lang w:val="fr-FR"/>
        </w:rPr>
        <w:t>Questions appelant un</w:t>
      </w:r>
      <w:r w:rsidR="00B012C6">
        <w:rPr>
          <w:lang w:val="fr-FR"/>
        </w:rPr>
        <w:t>e décision de la Conférence des </w:t>
      </w:r>
      <w:r w:rsidRPr="00CA0F16">
        <w:rPr>
          <w:lang w:val="fr-FR"/>
        </w:rPr>
        <w:t>Parties à sa première réunion : questions recommandées par le Comité de négociation intergouvernementa</w:t>
      </w:r>
      <w:r w:rsidR="00BF66A6">
        <w:rPr>
          <w:lang w:val="fr-FR"/>
        </w:rPr>
        <w:t>l </w:t>
      </w:r>
      <w:r w:rsidR="00B012C6">
        <w:rPr>
          <w:lang w:val="fr-FR"/>
        </w:rPr>
        <w:t>: adoption des formulaires de </w:t>
      </w:r>
      <w:r w:rsidRPr="00CA0F16">
        <w:rPr>
          <w:lang w:val="fr-FR"/>
        </w:rPr>
        <w:t>demande de dérogation aux dates d</w:t>
      </w:r>
      <w:r w:rsidR="007A587D">
        <w:rPr>
          <w:lang w:val="fr-FR"/>
        </w:rPr>
        <w:t>’</w:t>
      </w:r>
      <w:r w:rsidR="00B012C6">
        <w:rPr>
          <w:lang w:val="fr-FR"/>
        </w:rPr>
        <w:t>abandon définitif </w:t>
      </w:r>
      <w:r w:rsidRPr="00CA0F16">
        <w:rPr>
          <w:lang w:val="fr-FR"/>
        </w:rPr>
        <w:t>figurant dans l</w:t>
      </w:r>
      <w:r w:rsidR="007A587D">
        <w:rPr>
          <w:lang w:val="fr-FR"/>
        </w:rPr>
        <w:t>’</w:t>
      </w:r>
      <w:r w:rsidR="00B012C6">
        <w:rPr>
          <w:lang w:val="fr-FR"/>
        </w:rPr>
        <w:t>Annexe </w:t>
      </w:r>
      <w:r w:rsidRPr="00CA0F16">
        <w:rPr>
          <w:lang w:val="fr-FR"/>
        </w:rPr>
        <w:t>A et l</w:t>
      </w:r>
      <w:r w:rsidR="007A587D">
        <w:rPr>
          <w:lang w:val="fr-FR"/>
        </w:rPr>
        <w:t>’</w:t>
      </w:r>
      <w:r w:rsidR="00B012C6">
        <w:rPr>
          <w:lang w:val="fr-FR"/>
        </w:rPr>
        <w:t>Annexe </w:t>
      </w:r>
      <w:r w:rsidRPr="00CA0F16">
        <w:rPr>
          <w:lang w:val="fr-FR"/>
        </w:rPr>
        <w:t>B</w:t>
      </w:r>
    </w:p>
    <w:p w:rsidR="0025267F" w:rsidRPr="00CA0F16" w:rsidRDefault="0025267F" w:rsidP="0025267F">
      <w:pPr>
        <w:pStyle w:val="BBTitle"/>
        <w:rPr>
          <w:lang w:val="fr-FR"/>
        </w:rPr>
      </w:pPr>
      <w:r w:rsidRPr="00CA0F16">
        <w:rPr>
          <w:lang w:val="fr-FR"/>
        </w:rPr>
        <w:t>Formulaires</w:t>
      </w:r>
      <w:r w:rsidR="00814639">
        <w:rPr>
          <w:lang w:val="fr-FR"/>
        </w:rPr>
        <w:t xml:space="preserve"> </w:t>
      </w:r>
      <w:r w:rsidR="00914FB0">
        <w:rPr>
          <w:lang w:val="fr-FR"/>
        </w:rPr>
        <w:t>d’</w:t>
      </w:r>
      <w:r w:rsidRPr="00CA0F16">
        <w:rPr>
          <w:lang w:val="fr-FR"/>
        </w:rPr>
        <w:t>enregistre</w:t>
      </w:r>
      <w:r w:rsidR="00914FB0">
        <w:rPr>
          <w:lang w:val="fr-FR"/>
        </w:rPr>
        <w:t>ment de</w:t>
      </w:r>
      <w:r w:rsidRPr="00CA0F16">
        <w:rPr>
          <w:lang w:val="fr-FR"/>
        </w:rPr>
        <w:t xml:space="preserve"> dérogation</w:t>
      </w:r>
      <w:r w:rsidR="00914FB0">
        <w:rPr>
          <w:lang w:val="fr-FR"/>
        </w:rPr>
        <w:t>s</w:t>
      </w:r>
      <w:r w:rsidRPr="00CA0F16">
        <w:rPr>
          <w:lang w:val="fr-FR"/>
        </w:rPr>
        <w:t xml:space="preserve"> aux dates d</w:t>
      </w:r>
      <w:r w:rsidR="007A587D">
        <w:rPr>
          <w:lang w:val="fr-FR"/>
        </w:rPr>
        <w:t>’</w:t>
      </w:r>
      <w:r w:rsidRPr="00CA0F16">
        <w:rPr>
          <w:lang w:val="fr-FR"/>
        </w:rPr>
        <w:t>abandon définitif figurant dans l</w:t>
      </w:r>
      <w:r w:rsidR="007A587D">
        <w:rPr>
          <w:lang w:val="fr-FR"/>
        </w:rPr>
        <w:t>’</w:t>
      </w:r>
      <w:r w:rsidR="00D86013">
        <w:rPr>
          <w:lang w:val="fr-FR"/>
        </w:rPr>
        <w:t>Annexe </w:t>
      </w:r>
      <w:r w:rsidRPr="00CA0F16">
        <w:rPr>
          <w:lang w:val="fr-FR"/>
        </w:rPr>
        <w:t>A et l</w:t>
      </w:r>
      <w:r w:rsidR="007A587D">
        <w:rPr>
          <w:lang w:val="fr-FR"/>
        </w:rPr>
        <w:t>’</w:t>
      </w:r>
      <w:r w:rsidR="00D86013">
        <w:rPr>
          <w:lang w:val="fr-FR"/>
        </w:rPr>
        <w:t>Annexe B, y </w:t>
      </w:r>
      <w:r w:rsidRPr="00CA0F16">
        <w:rPr>
          <w:lang w:val="fr-FR"/>
        </w:rPr>
        <w:t>compris les informations à fournir lors de l</w:t>
      </w:r>
      <w:r w:rsidR="007A587D">
        <w:rPr>
          <w:lang w:val="fr-FR"/>
        </w:rPr>
        <w:t>’</w:t>
      </w:r>
      <w:r w:rsidRPr="00CA0F16">
        <w:rPr>
          <w:lang w:val="fr-FR"/>
        </w:rPr>
        <w:t>enregistrement d</w:t>
      </w:r>
      <w:r w:rsidR="007A587D">
        <w:rPr>
          <w:lang w:val="fr-FR"/>
        </w:rPr>
        <w:t>’</w:t>
      </w:r>
      <w:r w:rsidRPr="00CA0F16">
        <w:rPr>
          <w:lang w:val="fr-FR"/>
        </w:rPr>
        <w:t>une dérogation</w:t>
      </w:r>
      <w:r w:rsidR="00914FB0">
        <w:rPr>
          <w:lang w:val="fr-FR"/>
        </w:rPr>
        <w:t>,</w:t>
      </w:r>
      <w:r w:rsidRPr="00CA0F16">
        <w:rPr>
          <w:lang w:val="fr-FR"/>
        </w:rPr>
        <w:t xml:space="preserve"> et </w:t>
      </w:r>
      <w:r w:rsidR="00914FB0">
        <w:rPr>
          <w:lang w:val="fr-FR"/>
        </w:rPr>
        <w:t>modèles de</w:t>
      </w:r>
      <w:r w:rsidRPr="00CA0F16">
        <w:rPr>
          <w:lang w:val="fr-FR"/>
        </w:rPr>
        <w:t xml:space="preserve"> registre des dérogations</w:t>
      </w:r>
    </w:p>
    <w:p w:rsidR="0025267F" w:rsidRPr="00CA0F16" w:rsidRDefault="0025267F" w:rsidP="0025267F">
      <w:pPr>
        <w:pStyle w:val="CH2"/>
        <w:rPr>
          <w:lang w:val="fr-FR"/>
        </w:rPr>
      </w:pPr>
      <w:r w:rsidRPr="00CA0F16">
        <w:rPr>
          <w:lang w:val="fr-FR"/>
        </w:rPr>
        <w:tab/>
      </w:r>
      <w:r w:rsidRPr="00CA0F16">
        <w:rPr>
          <w:lang w:val="fr-FR"/>
        </w:rPr>
        <w:tab/>
        <w:t>Note du secrétariat</w:t>
      </w:r>
    </w:p>
    <w:p w:rsidR="0025267F" w:rsidRPr="00CA0F16" w:rsidRDefault="00BF66A6" w:rsidP="0025267F">
      <w:pPr>
        <w:pStyle w:val="Normalnumber"/>
        <w:numPr>
          <w:ilvl w:val="0"/>
          <w:numId w:val="20"/>
        </w:numPr>
        <w:tabs>
          <w:tab w:val="clear" w:pos="1134"/>
          <w:tab w:val="num" w:pos="624"/>
        </w:tabs>
        <w:rPr>
          <w:lang w:val="fr-FR"/>
        </w:rPr>
      </w:pPr>
      <w:r>
        <w:rPr>
          <w:lang w:val="fr-FR"/>
        </w:rPr>
        <w:t>Le paragraphe </w:t>
      </w:r>
      <w:r w:rsidR="005D77D2" w:rsidRPr="00CA0F16">
        <w:rPr>
          <w:lang w:val="fr-FR"/>
        </w:rPr>
        <w:t>1 de l</w:t>
      </w:r>
      <w:r w:rsidR="007A587D">
        <w:rPr>
          <w:lang w:val="fr-FR"/>
        </w:rPr>
        <w:t>’</w:t>
      </w:r>
      <w:r>
        <w:rPr>
          <w:lang w:val="fr-FR"/>
        </w:rPr>
        <w:t>article </w:t>
      </w:r>
      <w:r w:rsidR="005D77D2" w:rsidRPr="00CA0F16">
        <w:rPr>
          <w:lang w:val="fr-FR"/>
        </w:rPr>
        <w:t>6 de la Convention de Minamata sur le mercure prévoit que tout État ou organisation régionale d</w:t>
      </w:r>
      <w:r w:rsidR="007A587D">
        <w:rPr>
          <w:lang w:val="fr-FR"/>
        </w:rPr>
        <w:t>’</w:t>
      </w:r>
      <w:r w:rsidR="005D77D2" w:rsidRPr="00CA0F16">
        <w:rPr>
          <w:lang w:val="fr-FR"/>
        </w:rPr>
        <w:t>intégration économique peut faire enregistrer une ou plusieurs dérogations aux dates d</w:t>
      </w:r>
      <w:r w:rsidR="007A587D">
        <w:rPr>
          <w:lang w:val="fr-FR"/>
        </w:rPr>
        <w:t>’</w:t>
      </w:r>
      <w:r w:rsidR="005D77D2" w:rsidRPr="00CA0F16">
        <w:rPr>
          <w:lang w:val="fr-FR"/>
        </w:rPr>
        <w:t>abandon définitif figurant dans l</w:t>
      </w:r>
      <w:r w:rsidR="007A587D">
        <w:rPr>
          <w:lang w:val="fr-FR"/>
        </w:rPr>
        <w:t>’</w:t>
      </w:r>
      <w:r w:rsidR="005D77D2" w:rsidRPr="00CA0F16">
        <w:rPr>
          <w:lang w:val="fr-FR"/>
        </w:rPr>
        <w:t xml:space="preserve">Annexe A pour les produits contenant du mercure ajouté et </w:t>
      </w:r>
      <w:r w:rsidR="00DC60FB">
        <w:rPr>
          <w:lang w:val="fr-FR"/>
        </w:rPr>
        <w:t xml:space="preserve">dans </w:t>
      </w:r>
      <w:r w:rsidR="005D77D2" w:rsidRPr="00CA0F16">
        <w:rPr>
          <w:lang w:val="fr-FR"/>
        </w:rPr>
        <w:t>l</w:t>
      </w:r>
      <w:r w:rsidR="007A587D">
        <w:rPr>
          <w:lang w:val="fr-FR"/>
        </w:rPr>
        <w:t>’</w:t>
      </w:r>
      <w:r w:rsidR="005D77D2" w:rsidRPr="00CA0F16">
        <w:rPr>
          <w:lang w:val="fr-FR"/>
        </w:rPr>
        <w:t xml:space="preserve">Annexe B pour les procédés de fabrication </w:t>
      </w:r>
      <w:r w:rsidR="00DC60FB">
        <w:rPr>
          <w:lang w:val="fr-FR"/>
        </w:rPr>
        <w:t xml:space="preserve">utilisant </w:t>
      </w:r>
      <w:r w:rsidR="005D77D2" w:rsidRPr="00CA0F16">
        <w:rPr>
          <w:lang w:val="fr-FR"/>
        </w:rPr>
        <w:t xml:space="preserve">du mercure ou des composés du mercure, moyennant notification écrite adressée au </w:t>
      </w:r>
      <w:r w:rsidR="00DC60FB">
        <w:rPr>
          <w:lang w:val="fr-FR"/>
        </w:rPr>
        <w:t>s</w:t>
      </w:r>
      <w:r w:rsidR="005D77D2" w:rsidRPr="00CA0F16">
        <w:rPr>
          <w:lang w:val="fr-FR"/>
        </w:rPr>
        <w:t>ecrétariat lorsqu</w:t>
      </w:r>
      <w:r w:rsidR="007A587D">
        <w:rPr>
          <w:lang w:val="fr-FR"/>
        </w:rPr>
        <w:t>’</w:t>
      </w:r>
      <w:r w:rsidR="005D77D2" w:rsidRPr="00CA0F16">
        <w:rPr>
          <w:lang w:val="fr-FR"/>
        </w:rPr>
        <w:t xml:space="preserve">il ou elle devient </w:t>
      </w:r>
      <w:r>
        <w:rPr>
          <w:lang w:val="fr-FR"/>
        </w:rPr>
        <w:t>P</w:t>
      </w:r>
      <w:r w:rsidR="005D77D2" w:rsidRPr="00CA0F16">
        <w:rPr>
          <w:lang w:val="fr-FR"/>
        </w:rPr>
        <w:t xml:space="preserve">artie à la Convention ou, dans le cas </w:t>
      </w:r>
      <w:r w:rsidR="00DC60FB">
        <w:rPr>
          <w:lang w:val="fr-FR"/>
        </w:rPr>
        <w:t xml:space="preserve">d’un </w:t>
      </w:r>
      <w:r w:rsidR="005D77D2" w:rsidRPr="00CA0F16">
        <w:rPr>
          <w:lang w:val="fr-FR"/>
        </w:rPr>
        <w:t>amendement à l</w:t>
      </w:r>
      <w:r w:rsidR="007A587D">
        <w:rPr>
          <w:lang w:val="fr-FR"/>
        </w:rPr>
        <w:t>’</w:t>
      </w:r>
      <w:r>
        <w:rPr>
          <w:lang w:val="fr-FR"/>
        </w:rPr>
        <w:t>A</w:t>
      </w:r>
      <w:r w:rsidR="005D77D2" w:rsidRPr="00CA0F16">
        <w:rPr>
          <w:lang w:val="fr-FR"/>
        </w:rPr>
        <w:t>nnexe A ou</w:t>
      </w:r>
      <w:r w:rsidR="00DC60FB">
        <w:rPr>
          <w:lang w:val="fr-FR"/>
        </w:rPr>
        <w:t> </w:t>
      </w:r>
      <w:r w:rsidR="005D77D2" w:rsidRPr="00CA0F16">
        <w:rPr>
          <w:lang w:val="fr-FR"/>
        </w:rPr>
        <w:t>B, au plus tard à la date d</w:t>
      </w:r>
      <w:r w:rsidR="007A587D">
        <w:rPr>
          <w:lang w:val="fr-FR"/>
        </w:rPr>
        <w:t>’</w:t>
      </w:r>
      <w:r w:rsidR="005D77D2" w:rsidRPr="00CA0F16">
        <w:rPr>
          <w:lang w:val="fr-FR"/>
        </w:rPr>
        <w:t>entrée en vigueur de l</w:t>
      </w:r>
      <w:r w:rsidR="007A587D">
        <w:rPr>
          <w:lang w:val="fr-FR"/>
        </w:rPr>
        <w:t>’</w:t>
      </w:r>
      <w:r w:rsidR="005D77D2" w:rsidRPr="00CA0F16">
        <w:rPr>
          <w:lang w:val="fr-FR"/>
        </w:rPr>
        <w:t>amendement concerné pour cette Partie. Un tel enregistrement est accompagné d</w:t>
      </w:r>
      <w:r w:rsidR="007A587D">
        <w:rPr>
          <w:lang w:val="fr-FR"/>
        </w:rPr>
        <w:t>’</w:t>
      </w:r>
      <w:r w:rsidR="005D77D2" w:rsidRPr="00CA0F16">
        <w:rPr>
          <w:lang w:val="fr-FR"/>
        </w:rPr>
        <w:t>une déclaration expliquant les raisons pour lesquelles la Partie a besoin de la dérogation. Le paragraphe</w:t>
      </w:r>
      <w:r>
        <w:rPr>
          <w:lang w:val="fr-FR"/>
        </w:rPr>
        <w:t> </w:t>
      </w:r>
      <w:r w:rsidR="005D77D2" w:rsidRPr="00CA0F16">
        <w:rPr>
          <w:lang w:val="fr-FR"/>
        </w:rPr>
        <w:t xml:space="preserve">2 </w:t>
      </w:r>
      <w:r>
        <w:rPr>
          <w:lang w:val="fr-FR"/>
        </w:rPr>
        <w:t xml:space="preserve">de l’article 6 </w:t>
      </w:r>
      <w:r w:rsidR="005D77D2" w:rsidRPr="00CA0F16">
        <w:rPr>
          <w:lang w:val="fr-FR"/>
        </w:rPr>
        <w:t>prévoit qu</w:t>
      </w:r>
      <w:r w:rsidR="007A587D">
        <w:rPr>
          <w:lang w:val="fr-FR"/>
        </w:rPr>
        <w:t>’</w:t>
      </w:r>
      <w:r w:rsidR="005D77D2" w:rsidRPr="00CA0F16">
        <w:rPr>
          <w:lang w:val="fr-FR"/>
        </w:rPr>
        <w:t xml:space="preserve">une dérogation peut être enregistrée soit pour une catégorie </w:t>
      </w:r>
      <w:r w:rsidR="00CA0F16" w:rsidRPr="00CA0F16">
        <w:rPr>
          <w:lang w:val="fr-FR"/>
        </w:rPr>
        <w:t>figurant</w:t>
      </w:r>
      <w:r w:rsidR="00CA0F16">
        <w:rPr>
          <w:lang w:val="fr-FR"/>
        </w:rPr>
        <w:t xml:space="preserve"> </w:t>
      </w:r>
      <w:r w:rsidR="00CA0F16" w:rsidRPr="00CA0F16">
        <w:rPr>
          <w:lang w:val="fr-FR"/>
        </w:rPr>
        <w:t>à</w:t>
      </w:r>
      <w:r w:rsidR="005D77D2" w:rsidRPr="00CA0F16">
        <w:rPr>
          <w:lang w:val="fr-FR"/>
        </w:rPr>
        <w:t xml:space="preserve"> l</w:t>
      </w:r>
      <w:r w:rsidR="007A587D">
        <w:rPr>
          <w:lang w:val="fr-FR"/>
        </w:rPr>
        <w:t>’</w:t>
      </w:r>
      <w:r w:rsidR="005D77D2" w:rsidRPr="00CA0F16">
        <w:rPr>
          <w:lang w:val="fr-FR"/>
        </w:rPr>
        <w:t>Annexe A ou B soit pour une sous-catégorie identifiée par tout État ou organisation régionale d</w:t>
      </w:r>
      <w:r w:rsidR="007A587D">
        <w:rPr>
          <w:lang w:val="fr-FR"/>
        </w:rPr>
        <w:t>’</w:t>
      </w:r>
      <w:r w:rsidR="005D77D2" w:rsidRPr="00CA0F16">
        <w:rPr>
          <w:lang w:val="fr-FR"/>
        </w:rPr>
        <w:t xml:space="preserve">intégration économique. </w:t>
      </w:r>
    </w:p>
    <w:p w:rsidR="0025267F" w:rsidRPr="00CA0F16" w:rsidRDefault="005D77D2" w:rsidP="0025267F">
      <w:pPr>
        <w:pStyle w:val="Normalnumber"/>
        <w:numPr>
          <w:ilvl w:val="0"/>
          <w:numId w:val="20"/>
        </w:numPr>
        <w:tabs>
          <w:tab w:val="clear" w:pos="1134"/>
          <w:tab w:val="num" w:pos="624"/>
        </w:tabs>
        <w:rPr>
          <w:lang w:val="fr-FR"/>
        </w:rPr>
      </w:pPr>
      <w:r w:rsidRPr="00CA0F16">
        <w:rPr>
          <w:lang w:val="fr-FR"/>
        </w:rPr>
        <w:t xml:space="preserve">Le </w:t>
      </w:r>
      <w:r w:rsidR="00BF66A6">
        <w:rPr>
          <w:lang w:val="fr-FR"/>
        </w:rPr>
        <w:t>paragraphe </w:t>
      </w:r>
      <w:r w:rsidRPr="00CA0F16">
        <w:rPr>
          <w:lang w:val="fr-FR"/>
        </w:rPr>
        <w:t>3 de l</w:t>
      </w:r>
      <w:r w:rsidR="007A587D">
        <w:rPr>
          <w:lang w:val="fr-FR"/>
        </w:rPr>
        <w:t>’</w:t>
      </w:r>
      <w:r w:rsidRPr="00CA0F16">
        <w:rPr>
          <w:lang w:val="fr-FR"/>
        </w:rPr>
        <w:t>article</w:t>
      </w:r>
      <w:r w:rsidR="00BF66A6">
        <w:rPr>
          <w:lang w:val="fr-FR"/>
        </w:rPr>
        <w:t> </w:t>
      </w:r>
      <w:r w:rsidRPr="00CA0F16">
        <w:rPr>
          <w:lang w:val="fr-FR"/>
        </w:rPr>
        <w:t xml:space="preserve">6 </w:t>
      </w:r>
      <w:r w:rsidR="00DC60FB">
        <w:rPr>
          <w:lang w:val="fr-FR"/>
        </w:rPr>
        <w:t>dispose</w:t>
      </w:r>
      <w:r w:rsidR="00DC60FB" w:rsidRPr="00CA0F16">
        <w:rPr>
          <w:lang w:val="fr-FR"/>
        </w:rPr>
        <w:t xml:space="preserve"> </w:t>
      </w:r>
      <w:r w:rsidRPr="00CA0F16">
        <w:rPr>
          <w:lang w:val="fr-FR"/>
        </w:rPr>
        <w:t xml:space="preserve">en outre que chaque Partie qui a une ou plusieurs dérogations est inscrite dans un registre établi et tenu à jour par le </w:t>
      </w:r>
      <w:r w:rsidR="00814639">
        <w:rPr>
          <w:lang w:val="fr-FR"/>
        </w:rPr>
        <w:t>s</w:t>
      </w:r>
      <w:r w:rsidRPr="00CA0F16">
        <w:rPr>
          <w:lang w:val="fr-FR"/>
        </w:rPr>
        <w:t>ecrétariat, qui le rend accessible au public</w:t>
      </w:r>
      <w:r w:rsidR="00BF66A6">
        <w:rPr>
          <w:lang w:val="fr-FR"/>
        </w:rPr>
        <w:t>. Comme indiqué au paragraphe </w:t>
      </w:r>
      <w:r w:rsidRPr="00CA0F16">
        <w:rPr>
          <w:lang w:val="fr-FR"/>
        </w:rPr>
        <w:t>4 de l</w:t>
      </w:r>
      <w:r w:rsidR="007A587D">
        <w:rPr>
          <w:lang w:val="fr-FR"/>
        </w:rPr>
        <w:t>’</w:t>
      </w:r>
      <w:r w:rsidRPr="00CA0F16">
        <w:rPr>
          <w:lang w:val="fr-FR"/>
        </w:rPr>
        <w:t>article</w:t>
      </w:r>
      <w:r w:rsidR="00BF66A6">
        <w:rPr>
          <w:lang w:val="fr-FR"/>
        </w:rPr>
        <w:t> </w:t>
      </w:r>
      <w:r w:rsidRPr="00CA0F16">
        <w:rPr>
          <w:lang w:val="fr-FR"/>
        </w:rPr>
        <w:t>6, le registre comprend une liste des Parties qui ont une ou plusieurs dérogations, la ou les</w:t>
      </w:r>
      <w:bookmarkStart w:id="3" w:name="_GoBack"/>
      <w:bookmarkEnd w:id="3"/>
      <w:r w:rsidRPr="00CA0F16">
        <w:rPr>
          <w:lang w:val="fr-FR"/>
        </w:rPr>
        <w:t xml:space="preserve"> dérogations enregistrées pour chaque Partie et la date d</w:t>
      </w:r>
      <w:r w:rsidR="007A587D">
        <w:rPr>
          <w:lang w:val="fr-FR"/>
        </w:rPr>
        <w:t>’</w:t>
      </w:r>
      <w:r w:rsidRPr="00CA0F16">
        <w:rPr>
          <w:lang w:val="fr-FR"/>
        </w:rPr>
        <w:t>expiration de chaque dérogation.</w:t>
      </w:r>
    </w:p>
    <w:p w:rsidR="0025267F" w:rsidRPr="00CA0F16" w:rsidRDefault="00BF66A6" w:rsidP="0025267F">
      <w:pPr>
        <w:pStyle w:val="Normalnumber"/>
        <w:numPr>
          <w:ilvl w:val="0"/>
          <w:numId w:val="20"/>
        </w:numPr>
        <w:tabs>
          <w:tab w:val="clear" w:pos="1134"/>
          <w:tab w:val="num" w:pos="624"/>
        </w:tabs>
        <w:rPr>
          <w:lang w:val="fr-FR"/>
        </w:rPr>
      </w:pPr>
      <w:r>
        <w:rPr>
          <w:lang w:val="fr-FR"/>
        </w:rPr>
        <w:t>Par le paragraphe </w:t>
      </w:r>
      <w:r w:rsidR="005D77D2" w:rsidRPr="00CA0F16">
        <w:rPr>
          <w:lang w:val="fr-FR"/>
        </w:rPr>
        <w:t>5 de sa résolution relative aux dispositions pro</w:t>
      </w:r>
      <w:r w:rsidR="00386DC5">
        <w:rPr>
          <w:lang w:val="fr-FR"/>
        </w:rPr>
        <w:t xml:space="preserve">visoires (UNEP(DTIE)/Hg/CONF/4, </w:t>
      </w:r>
      <w:r w:rsidR="005D77D2" w:rsidRPr="00CA0F16">
        <w:rPr>
          <w:lang w:val="fr-FR"/>
        </w:rPr>
        <w:t>annexe</w:t>
      </w:r>
      <w:r>
        <w:rPr>
          <w:lang w:val="fr-FR"/>
        </w:rPr>
        <w:t> </w:t>
      </w:r>
      <w:r w:rsidR="005D77D2" w:rsidRPr="00CA0F16">
        <w:rPr>
          <w:lang w:val="fr-FR"/>
        </w:rPr>
        <w:t xml:space="preserve">I), la Conférence de plénipotentiaires </w:t>
      </w:r>
      <w:r w:rsidR="00814639">
        <w:rPr>
          <w:lang w:val="fr-FR"/>
        </w:rPr>
        <w:t>relative à</w:t>
      </w:r>
      <w:r w:rsidR="00814639" w:rsidRPr="00CA0F16">
        <w:rPr>
          <w:lang w:val="fr-FR"/>
        </w:rPr>
        <w:t xml:space="preserve"> </w:t>
      </w:r>
      <w:r w:rsidR="005D77D2" w:rsidRPr="00CA0F16">
        <w:rPr>
          <w:lang w:val="fr-FR"/>
        </w:rPr>
        <w:t>la Convention de Minamata a décidé que le Comité de négociation intergouvernemental chargé d</w:t>
      </w:r>
      <w:r w:rsidR="007A587D">
        <w:rPr>
          <w:lang w:val="fr-FR"/>
        </w:rPr>
        <w:t>’</w:t>
      </w:r>
      <w:r w:rsidR="005D77D2" w:rsidRPr="00CA0F16">
        <w:rPr>
          <w:lang w:val="fr-FR"/>
        </w:rPr>
        <w:t>élaborer un instrument international juridiquement contraignant sur le mercure devrait élaborer et adopter provisoirement, en attendant une décision de la Conférence des Parties, les éléments nécessaires à l</w:t>
      </w:r>
      <w:r w:rsidR="007A587D">
        <w:rPr>
          <w:lang w:val="fr-FR"/>
        </w:rPr>
        <w:t>’</w:t>
      </w:r>
      <w:r w:rsidR="005D77D2" w:rsidRPr="00CA0F16">
        <w:rPr>
          <w:lang w:val="fr-FR"/>
        </w:rPr>
        <w:t xml:space="preserve">application effective de la Convention dès son entrée en vigueur, en particulier le formulaire à utiliser pour faire enregistrer </w:t>
      </w:r>
      <w:r w:rsidR="005D77D2" w:rsidRPr="00CA0F16">
        <w:rPr>
          <w:lang w:val="fr-FR"/>
        </w:rPr>
        <w:lastRenderedPageBreak/>
        <w:t>une dérogation, les informations à fournir lors de l</w:t>
      </w:r>
      <w:r w:rsidR="007A587D">
        <w:rPr>
          <w:lang w:val="fr-FR"/>
        </w:rPr>
        <w:t>’</w:t>
      </w:r>
      <w:r w:rsidR="005D77D2" w:rsidRPr="00CA0F16">
        <w:rPr>
          <w:lang w:val="fr-FR"/>
        </w:rPr>
        <w:t>enregistrement d</w:t>
      </w:r>
      <w:r w:rsidR="007A587D">
        <w:rPr>
          <w:lang w:val="fr-FR"/>
        </w:rPr>
        <w:t>’</w:t>
      </w:r>
      <w:r w:rsidR="005D77D2" w:rsidRPr="00CA0F16">
        <w:rPr>
          <w:lang w:val="fr-FR"/>
        </w:rPr>
        <w:t xml:space="preserve">une dérogation et le registre des dérogations que le </w:t>
      </w:r>
      <w:r w:rsidR="00814639">
        <w:rPr>
          <w:lang w:val="fr-FR"/>
        </w:rPr>
        <w:t>s</w:t>
      </w:r>
      <w:r w:rsidR="005D77D2" w:rsidRPr="00CA0F16">
        <w:rPr>
          <w:lang w:val="fr-FR"/>
        </w:rPr>
        <w:t xml:space="preserve">ecrétariat doit tenir à jour. </w:t>
      </w:r>
    </w:p>
    <w:p w:rsidR="0025267F" w:rsidRPr="00CA0F16" w:rsidRDefault="0021614E" w:rsidP="0025267F">
      <w:pPr>
        <w:pStyle w:val="Normalnumber"/>
        <w:numPr>
          <w:ilvl w:val="0"/>
          <w:numId w:val="20"/>
        </w:numPr>
        <w:tabs>
          <w:tab w:val="clear" w:pos="1134"/>
          <w:tab w:val="num" w:pos="624"/>
        </w:tabs>
        <w:rPr>
          <w:lang w:val="fr-FR"/>
        </w:rPr>
      </w:pPr>
      <w:r>
        <w:rPr>
          <w:lang w:val="fr-FR"/>
        </w:rPr>
        <w:t>Donnant suite</w:t>
      </w:r>
      <w:r w:rsidR="0025267F" w:rsidRPr="00CA0F16">
        <w:rPr>
          <w:lang w:val="fr-FR"/>
        </w:rPr>
        <w:t xml:space="preserve"> à cette </w:t>
      </w:r>
      <w:r>
        <w:rPr>
          <w:lang w:val="fr-FR"/>
        </w:rPr>
        <w:t>résolution</w:t>
      </w:r>
      <w:r w:rsidR="0025267F" w:rsidRPr="00CA0F16">
        <w:rPr>
          <w:lang w:val="fr-FR"/>
        </w:rPr>
        <w:t xml:space="preserve">, le Comité </w:t>
      </w:r>
      <w:r>
        <w:rPr>
          <w:lang w:val="fr-FR"/>
        </w:rPr>
        <w:t xml:space="preserve">a, </w:t>
      </w:r>
      <w:r w:rsidR="0025267F" w:rsidRPr="00CA0F16">
        <w:rPr>
          <w:lang w:val="fr-FR"/>
        </w:rPr>
        <w:t>à sa sixième session</w:t>
      </w:r>
      <w:r>
        <w:rPr>
          <w:lang w:val="fr-FR"/>
        </w:rPr>
        <w:t>,</w:t>
      </w:r>
      <w:r w:rsidR="0025267F" w:rsidRPr="00CA0F16">
        <w:rPr>
          <w:lang w:val="fr-FR"/>
        </w:rPr>
        <w:t xml:space="preserve"> élaboré et adopté à titre provisoire, </w:t>
      </w:r>
      <w:r>
        <w:rPr>
          <w:lang w:val="fr-FR"/>
        </w:rPr>
        <w:t xml:space="preserve">en attendant que </w:t>
      </w:r>
      <w:r w:rsidR="0025267F" w:rsidRPr="00CA0F16">
        <w:rPr>
          <w:lang w:val="fr-FR"/>
        </w:rPr>
        <w:t xml:space="preserve">la Conférence des Parties </w:t>
      </w:r>
      <w:r>
        <w:rPr>
          <w:lang w:val="fr-FR"/>
        </w:rPr>
        <w:t xml:space="preserve">les examine et, éventuellement, les adopte </w:t>
      </w:r>
      <w:r w:rsidR="0025267F" w:rsidRPr="00CA0F16">
        <w:rPr>
          <w:lang w:val="fr-FR"/>
        </w:rPr>
        <w:t xml:space="preserve">à sa première réunion, deux formulaires </w:t>
      </w:r>
      <w:r>
        <w:rPr>
          <w:lang w:val="fr-FR"/>
        </w:rPr>
        <w:t>d’</w:t>
      </w:r>
      <w:r w:rsidR="0025267F" w:rsidRPr="00CA0F16">
        <w:rPr>
          <w:lang w:val="fr-FR"/>
        </w:rPr>
        <w:t>enregistre</w:t>
      </w:r>
      <w:r>
        <w:rPr>
          <w:lang w:val="fr-FR"/>
        </w:rPr>
        <w:t>ment de</w:t>
      </w:r>
      <w:r w:rsidR="0025267F" w:rsidRPr="00CA0F16">
        <w:rPr>
          <w:lang w:val="fr-FR"/>
        </w:rPr>
        <w:t xml:space="preserve"> dérogation</w:t>
      </w:r>
      <w:r>
        <w:rPr>
          <w:lang w:val="fr-FR"/>
        </w:rPr>
        <w:t>s</w:t>
      </w:r>
      <w:r w:rsidR="0025267F" w:rsidRPr="00CA0F16">
        <w:rPr>
          <w:lang w:val="fr-FR"/>
        </w:rPr>
        <w:t xml:space="preserve"> aux dates d</w:t>
      </w:r>
      <w:r w:rsidR="007A587D">
        <w:rPr>
          <w:lang w:val="fr-FR"/>
        </w:rPr>
        <w:t>’</w:t>
      </w:r>
      <w:r w:rsidR="0025267F" w:rsidRPr="00CA0F16">
        <w:rPr>
          <w:lang w:val="fr-FR"/>
        </w:rPr>
        <w:t>abandon définitif figurant dans la Convention par un État ou une organisation d</w:t>
      </w:r>
      <w:r w:rsidR="007A587D">
        <w:rPr>
          <w:lang w:val="fr-FR"/>
        </w:rPr>
        <w:t>’</w:t>
      </w:r>
      <w:r w:rsidR="0025267F" w:rsidRPr="00CA0F16">
        <w:rPr>
          <w:lang w:val="fr-FR"/>
        </w:rPr>
        <w:t>intégration économique régionale lorsqu</w:t>
      </w:r>
      <w:r w:rsidR="007A587D">
        <w:rPr>
          <w:lang w:val="fr-FR"/>
        </w:rPr>
        <w:t>’</w:t>
      </w:r>
      <w:r w:rsidR="0025267F" w:rsidRPr="00CA0F16">
        <w:rPr>
          <w:lang w:val="fr-FR"/>
        </w:rPr>
        <w:t xml:space="preserve">il ou elle devient </w:t>
      </w:r>
      <w:r w:rsidR="00BF66A6">
        <w:rPr>
          <w:lang w:val="fr-FR"/>
        </w:rPr>
        <w:t>P</w:t>
      </w:r>
      <w:r w:rsidR="0025267F" w:rsidRPr="00CA0F16">
        <w:rPr>
          <w:lang w:val="fr-FR"/>
        </w:rPr>
        <w:t xml:space="preserve">artie </w:t>
      </w:r>
      <w:r>
        <w:rPr>
          <w:lang w:val="fr-FR"/>
        </w:rPr>
        <w:t>(</w:t>
      </w:r>
      <w:r w:rsidR="0025267F" w:rsidRPr="00CA0F16">
        <w:rPr>
          <w:lang w:val="fr-FR"/>
        </w:rPr>
        <w:t>un pour les produits contenant du mercure ajouté figurant dans la première partie de l</w:t>
      </w:r>
      <w:r w:rsidR="007A587D">
        <w:rPr>
          <w:lang w:val="fr-FR"/>
        </w:rPr>
        <w:t>’</w:t>
      </w:r>
      <w:r w:rsidR="0025267F" w:rsidRPr="00CA0F16">
        <w:rPr>
          <w:lang w:val="fr-FR"/>
        </w:rPr>
        <w:t>Annexe</w:t>
      </w:r>
      <w:r w:rsidR="00BF66A6">
        <w:rPr>
          <w:lang w:val="fr-FR"/>
        </w:rPr>
        <w:t> </w:t>
      </w:r>
      <w:r w:rsidR="0025267F" w:rsidRPr="00CA0F16">
        <w:rPr>
          <w:lang w:val="fr-FR"/>
        </w:rPr>
        <w:t>A et l</w:t>
      </w:r>
      <w:r w:rsidR="007A587D">
        <w:rPr>
          <w:lang w:val="fr-FR"/>
        </w:rPr>
        <w:t>’</w:t>
      </w:r>
      <w:r w:rsidR="0025267F" w:rsidRPr="00CA0F16">
        <w:rPr>
          <w:lang w:val="fr-FR"/>
        </w:rPr>
        <w:t xml:space="preserve">autre pour les procédés de fabrication </w:t>
      </w:r>
      <w:r>
        <w:rPr>
          <w:lang w:val="fr-FR"/>
        </w:rPr>
        <w:t xml:space="preserve">utilisant </w:t>
      </w:r>
      <w:r w:rsidR="0025267F" w:rsidRPr="00CA0F16">
        <w:rPr>
          <w:lang w:val="fr-FR"/>
        </w:rPr>
        <w:t>du mercure ou des composés du mercure figurant dans la première partie de l</w:t>
      </w:r>
      <w:r w:rsidR="007A587D">
        <w:rPr>
          <w:lang w:val="fr-FR"/>
        </w:rPr>
        <w:t>’</w:t>
      </w:r>
      <w:r w:rsidR="00BF66A6">
        <w:rPr>
          <w:lang w:val="fr-FR"/>
        </w:rPr>
        <w:t>Annexe </w:t>
      </w:r>
      <w:r w:rsidR="0025267F" w:rsidRPr="00CA0F16">
        <w:rPr>
          <w:lang w:val="fr-FR"/>
        </w:rPr>
        <w:t>B</w:t>
      </w:r>
      <w:r>
        <w:rPr>
          <w:lang w:val="fr-FR"/>
        </w:rPr>
        <w:t>)</w:t>
      </w:r>
      <w:r w:rsidR="0025267F" w:rsidRPr="00CA0F16">
        <w:rPr>
          <w:lang w:val="fr-FR"/>
        </w:rPr>
        <w:t xml:space="preserve">; et deux </w:t>
      </w:r>
      <w:r w:rsidR="00914FB0">
        <w:rPr>
          <w:lang w:val="fr-FR"/>
        </w:rPr>
        <w:t>modèles de</w:t>
      </w:r>
      <w:r w:rsidR="0025267F" w:rsidRPr="00CA0F16">
        <w:rPr>
          <w:lang w:val="fr-FR"/>
        </w:rPr>
        <w:t xml:space="preserve"> registre des dérogations que le secrétariat doit tenir à jour </w:t>
      </w:r>
      <w:r>
        <w:rPr>
          <w:lang w:val="fr-FR"/>
        </w:rPr>
        <w:t>(</w:t>
      </w:r>
      <w:r w:rsidR="0025267F" w:rsidRPr="00CA0F16">
        <w:rPr>
          <w:lang w:val="fr-FR"/>
        </w:rPr>
        <w:t>un pour cha</w:t>
      </w:r>
      <w:r>
        <w:rPr>
          <w:lang w:val="fr-FR"/>
        </w:rPr>
        <w:t>que</w:t>
      </w:r>
      <w:r w:rsidR="0025267F" w:rsidRPr="00CA0F16">
        <w:rPr>
          <w:lang w:val="fr-FR"/>
        </w:rPr>
        <w:t xml:space="preserve"> annexe</w:t>
      </w:r>
      <w:r>
        <w:rPr>
          <w:lang w:val="fr-FR"/>
        </w:rPr>
        <w:t>)</w:t>
      </w:r>
      <w:r w:rsidR="00BF66A6">
        <w:rPr>
          <w:lang w:val="fr-FR"/>
        </w:rPr>
        <w:t>.</w:t>
      </w:r>
      <w:r w:rsidR="0025267F" w:rsidRPr="00CA0F16">
        <w:rPr>
          <w:lang w:val="fr-FR"/>
        </w:rPr>
        <w:t xml:space="preserve"> Les formulaires </w:t>
      </w:r>
      <w:r>
        <w:rPr>
          <w:lang w:val="fr-FR"/>
        </w:rPr>
        <w:t>d’</w:t>
      </w:r>
      <w:r w:rsidR="0025267F" w:rsidRPr="00CA0F16">
        <w:rPr>
          <w:lang w:val="fr-FR"/>
        </w:rPr>
        <w:t>enregistre</w:t>
      </w:r>
      <w:r>
        <w:rPr>
          <w:lang w:val="fr-FR"/>
        </w:rPr>
        <w:t>ment de</w:t>
      </w:r>
      <w:r w:rsidR="0025267F" w:rsidRPr="00CA0F16">
        <w:rPr>
          <w:lang w:val="fr-FR"/>
        </w:rPr>
        <w:t xml:space="preserve"> dérogation</w:t>
      </w:r>
      <w:r>
        <w:rPr>
          <w:lang w:val="fr-FR"/>
        </w:rPr>
        <w:t>s</w:t>
      </w:r>
      <w:r w:rsidR="0025267F" w:rsidRPr="00CA0F16">
        <w:rPr>
          <w:lang w:val="fr-FR"/>
        </w:rPr>
        <w:t xml:space="preserve"> </w:t>
      </w:r>
      <w:r>
        <w:rPr>
          <w:lang w:val="fr-FR"/>
        </w:rPr>
        <w:t xml:space="preserve">précisent </w:t>
      </w:r>
      <w:r w:rsidR="0025267F" w:rsidRPr="00CA0F16">
        <w:rPr>
          <w:lang w:val="fr-FR"/>
        </w:rPr>
        <w:t xml:space="preserve">également les informations </w:t>
      </w:r>
      <w:r>
        <w:rPr>
          <w:lang w:val="fr-FR"/>
        </w:rPr>
        <w:t xml:space="preserve">devant être </w:t>
      </w:r>
      <w:r w:rsidR="0025267F" w:rsidRPr="00CA0F16">
        <w:rPr>
          <w:lang w:val="fr-FR"/>
        </w:rPr>
        <w:t>fourni</w:t>
      </w:r>
      <w:r>
        <w:rPr>
          <w:lang w:val="fr-FR"/>
        </w:rPr>
        <w:t>es</w:t>
      </w:r>
      <w:r w:rsidR="0025267F" w:rsidRPr="00CA0F16">
        <w:rPr>
          <w:lang w:val="fr-FR"/>
        </w:rPr>
        <w:t xml:space="preserve"> lors de l</w:t>
      </w:r>
      <w:r w:rsidR="007A587D">
        <w:rPr>
          <w:lang w:val="fr-FR"/>
        </w:rPr>
        <w:t>’</w:t>
      </w:r>
      <w:r w:rsidR="0025267F" w:rsidRPr="00CA0F16">
        <w:rPr>
          <w:lang w:val="fr-FR"/>
        </w:rPr>
        <w:t>enregistrement d</w:t>
      </w:r>
      <w:r w:rsidR="007A587D">
        <w:rPr>
          <w:lang w:val="fr-FR"/>
        </w:rPr>
        <w:t>’</w:t>
      </w:r>
      <w:r w:rsidR="0025267F" w:rsidRPr="00CA0F16">
        <w:rPr>
          <w:lang w:val="fr-FR"/>
        </w:rPr>
        <w:t>une dérogation. Les formulaires adoptés à titre provisoire sont reproduits dans l</w:t>
      </w:r>
      <w:r w:rsidR="007A587D">
        <w:rPr>
          <w:lang w:val="fr-FR"/>
        </w:rPr>
        <w:t>’</w:t>
      </w:r>
      <w:r w:rsidR="00131574">
        <w:rPr>
          <w:lang w:val="fr-FR"/>
        </w:rPr>
        <w:t>annexe </w:t>
      </w:r>
      <w:r w:rsidR="0025267F" w:rsidRPr="00CA0F16">
        <w:rPr>
          <w:lang w:val="fr-FR"/>
        </w:rPr>
        <w:t xml:space="preserve">II </w:t>
      </w:r>
      <w:r>
        <w:rPr>
          <w:lang w:val="fr-FR"/>
        </w:rPr>
        <w:t>de</w:t>
      </w:r>
      <w:r w:rsidR="0025267F" w:rsidRPr="00CA0F16">
        <w:rPr>
          <w:lang w:val="fr-FR"/>
        </w:rPr>
        <w:t xml:space="preserve"> la présente note.</w:t>
      </w:r>
    </w:p>
    <w:p w:rsidR="0025267F" w:rsidRPr="00CA0F16" w:rsidRDefault="0025267F" w:rsidP="0025267F">
      <w:pPr>
        <w:pStyle w:val="CH2"/>
        <w:rPr>
          <w:lang w:val="fr-FR"/>
        </w:rPr>
      </w:pPr>
      <w:r w:rsidRPr="00CA0F16">
        <w:rPr>
          <w:lang w:val="fr-FR"/>
        </w:rPr>
        <w:tab/>
      </w:r>
      <w:r w:rsidRPr="00CA0F16">
        <w:rPr>
          <w:lang w:val="fr-FR"/>
        </w:rPr>
        <w:tab/>
        <w:t>Mesures que pourrait prendre la Conférence des Parties</w:t>
      </w:r>
    </w:p>
    <w:p w:rsidR="0025267F" w:rsidRPr="00CA0F16" w:rsidRDefault="0025267F" w:rsidP="0025267F">
      <w:pPr>
        <w:pStyle w:val="Normalnumber"/>
        <w:numPr>
          <w:ilvl w:val="0"/>
          <w:numId w:val="20"/>
        </w:numPr>
        <w:tabs>
          <w:tab w:val="clear" w:pos="1134"/>
          <w:tab w:val="num" w:pos="624"/>
        </w:tabs>
        <w:rPr>
          <w:lang w:val="fr-FR"/>
        </w:rPr>
      </w:pPr>
      <w:r w:rsidRPr="00CA0F16">
        <w:rPr>
          <w:lang w:val="fr-FR"/>
        </w:rPr>
        <w:t xml:space="preserve">Un projet de décision relatif aux formulaires </w:t>
      </w:r>
      <w:r w:rsidR="0021614E">
        <w:rPr>
          <w:lang w:val="fr-FR"/>
        </w:rPr>
        <w:t>d’</w:t>
      </w:r>
      <w:r w:rsidRPr="00CA0F16">
        <w:rPr>
          <w:lang w:val="fr-FR"/>
        </w:rPr>
        <w:t>enregistre</w:t>
      </w:r>
      <w:r w:rsidR="0021614E">
        <w:rPr>
          <w:lang w:val="fr-FR"/>
        </w:rPr>
        <w:t>ment de</w:t>
      </w:r>
      <w:r w:rsidRPr="00CA0F16">
        <w:rPr>
          <w:lang w:val="fr-FR"/>
        </w:rPr>
        <w:t xml:space="preserve"> dérogation</w:t>
      </w:r>
      <w:r w:rsidR="0021614E">
        <w:rPr>
          <w:lang w:val="fr-FR"/>
        </w:rPr>
        <w:t>s</w:t>
      </w:r>
      <w:r w:rsidRPr="00CA0F16">
        <w:rPr>
          <w:lang w:val="fr-FR"/>
        </w:rPr>
        <w:t>, y compris les informations à fournir lors de l</w:t>
      </w:r>
      <w:r w:rsidR="007A587D">
        <w:rPr>
          <w:lang w:val="fr-FR"/>
        </w:rPr>
        <w:t>’</w:t>
      </w:r>
      <w:r w:rsidRPr="00CA0F16">
        <w:rPr>
          <w:lang w:val="fr-FR"/>
        </w:rPr>
        <w:t>enregistrement d</w:t>
      </w:r>
      <w:r w:rsidR="007A587D">
        <w:rPr>
          <w:lang w:val="fr-FR"/>
        </w:rPr>
        <w:t>’</w:t>
      </w:r>
      <w:r w:rsidRPr="00CA0F16">
        <w:rPr>
          <w:lang w:val="fr-FR"/>
        </w:rPr>
        <w:t>une dérogation, ainsi qu</w:t>
      </w:r>
      <w:r w:rsidR="007A587D">
        <w:rPr>
          <w:lang w:val="fr-FR"/>
        </w:rPr>
        <w:t>’</w:t>
      </w:r>
      <w:r w:rsidRPr="00CA0F16">
        <w:rPr>
          <w:lang w:val="fr-FR"/>
        </w:rPr>
        <w:t xml:space="preserve">aux </w:t>
      </w:r>
      <w:r w:rsidR="00914FB0">
        <w:rPr>
          <w:lang w:val="fr-FR"/>
        </w:rPr>
        <w:t xml:space="preserve">modèles de </w:t>
      </w:r>
      <w:r w:rsidRPr="00CA0F16">
        <w:rPr>
          <w:lang w:val="fr-FR"/>
        </w:rPr>
        <w:t>registre des dérogations figure dans l</w:t>
      </w:r>
      <w:r w:rsidR="007A587D">
        <w:rPr>
          <w:lang w:val="fr-FR"/>
        </w:rPr>
        <w:t>’</w:t>
      </w:r>
      <w:r w:rsidR="00457519">
        <w:rPr>
          <w:lang w:val="fr-FR"/>
        </w:rPr>
        <w:t>annexe </w:t>
      </w:r>
      <w:r w:rsidRPr="00CA0F16">
        <w:rPr>
          <w:lang w:val="fr-FR"/>
        </w:rPr>
        <w:t xml:space="preserve">I </w:t>
      </w:r>
      <w:r w:rsidR="0021614E">
        <w:rPr>
          <w:lang w:val="fr-FR"/>
        </w:rPr>
        <w:t>de</w:t>
      </w:r>
      <w:r w:rsidRPr="00CA0F16">
        <w:rPr>
          <w:lang w:val="fr-FR"/>
        </w:rPr>
        <w:t xml:space="preserve"> la présente note.</w:t>
      </w:r>
    </w:p>
    <w:p w:rsidR="0025267F" w:rsidRPr="00CA0F16" w:rsidRDefault="0025267F" w:rsidP="0025267F">
      <w:pPr>
        <w:pStyle w:val="Normalnumber"/>
        <w:numPr>
          <w:ilvl w:val="0"/>
          <w:numId w:val="20"/>
        </w:numPr>
        <w:tabs>
          <w:tab w:val="clear" w:pos="1134"/>
          <w:tab w:val="num" w:pos="624"/>
        </w:tabs>
        <w:rPr>
          <w:lang w:val="fr-FR"/>
        </w:rPr>
      </w:pPr>
      <w:r w:rsidRPr="00CA0F16">
        <w:rPr>
          <w:lang w:val="fr-FR"/>
        </w:rPr>
        <w:t>La Conférence des Parties souhaitera peut-être examiner et adopter le projet de décision figurant dans l</w:t>
      </w:r>
      <w:r w:rsidR="007A587D">
        <w:rPr>
          <w:lang w:val="fr-FR"/>
        </w:rPr>
        <w:t>’</w:t>
      </w:r>
      <w:r w:rsidRPr="00CA0F16">
        <w:rPr>
          <w:lang w:val="fr-FR"/>
        </w:rPr>
        <w:t>annexe</w:t>
      </w:r>
      <w:r w:rsidR="00560DB0">
        <w:rPr>
          <w:lang w:val="fr-FR"/>
        </w:rPr>
        <w:t> </w:t>
      </w:r>
      <w:r w:rsidRPr="00CA0F16">
        <w:rPr>
          <w:lang w:val="fr-FR"/>
        </w:rPr>
        <w:t>I et les formulaires adoptés à titre provisoire tels que présentés par le Comité et figurant dans l</w:t>
      </w:r>
      <w:r w:rsidR="007A587D">
        <w:rPr>
          <w:lang w:val="fr-FR"/>
        </w:rPr>
        <w:t>’</w:t>
      </w:r>
      <w:r w:rsidR="00457519">
        <w:rPr>
          <w:lang w:val="fr-FR"/>
        </w:rPr>
        <w:t>annexe </w:t>
      </w:r>
      <w:r w:rsidRPr="00CA0F16">
        <w:rPr>
          <w:lang w:val="fr-FR"/>
        </w:rPr>
        <w:t>II.</w:t>
      </w:r>
    </w:p>
    <w:p w:rsidR="0025267F" w:rsidRPr="00CA0F16" w:rsidRDefault="0025267F" w:rsidP="0025267F">
      <w:pPr>
        <w:pStyle w:val="Normalnumber"/>
        <w:numPr>
          <w:ilvl w:val="0"/>
          <w:numId w:val="0"/>
        </w:numPr>
        <w:ind w:left="1247"/>
        <w:rPr>
          <w:lang w:val="fr-FR"/>
        </w:rPr>
      </w:pPr>
      <w:r w:rsidRPr="00CA0F16">
        <w:rPr>
          <w:lang w:val="fr-FR"/>
        </w:rPr>
        <w:br w:type="page"/>
      </w:r>
    </w:p>
    <w:p w:rsidR="0025267F" w:rsidRPr="008C0712" w:rsidRDefault="0025267F" w:rsidP="0025267F">
      <w:pPr>
        <w:pStyle w:val="ZZAnxheader"/>
        <w:rPr>
          <w:lang w:val="fr-FR"/>
        </w:rPr>
      </w:pPr>
      <w:r w:rsidRPr="008C0712">
        <w:rPr>
          <w:lang w:val="fr-FR"/>
        </w:rPr>
        <w:lastRenderedPageBreak/>
        <w:t>Annexe</w:t>
      </w:r>
      <w:r w:rsidR="00080BA5">
        <w:rPr>
          <w:lang w:val="fr-FR"/>
        </w:rPr>
        <w:t> </w:t>
      </w:r>
      <w:r w:rsidRPr="008C0712">
        <w:rPr>
          <w:lang w:val="fr-FR"/>
        </w:rPr>
        <w:t xml:space="preserve">I </w:t>
      </w:r>
    </w:p>
    <w:p w:rsidR="0025267F" w:rsidRPr="008C0712" w:rsidRDefault="00080BA5" w:rsidP="0025267F">
      <w:pPr>
        <w:pStyle w:val="ZZAnxtitle"/>
        <w:rPr>
          <w:lang w:val="fr-FR"/>
        </w:rPr>
      </w:pPr>
      <w:r>
        <w:rPr>
          <w:lang w:val="fr-FR"/>
        </w:rPr>
        <w:t>Projet de décision </w:t>
      </w:r>
      <w:r w:rsidR="0025267F" w:rsidRPr="008C0712">
        <w:rPr>
          <w:lang w:val="fr-FR"/>
        </w:rPr>
        <w:t>MC-1/X</w:t>
      </w:r>
      <w:r w:rsidR="00910A7A">
        <w:rPr>
          <w:lang w:val="fr-FR"/>
        </w:rPr>
        <w:t>X</w:t>
      </w:r>
      <w:r w:rsidR="00560DB0">
        <w:rPr>
          <w:lang w:val="fr-FR"/>
        </w:rPr>
        <w:t> </w:t>
      </w:r>
      <w:r w:rsidR="0025267F" w:rsidRPr="008C0712">
        <w:rPr>
          <w:lang w:val="fr-FR"/>
        </w:rPr>
        <w:t>: Form</w:t>
      </w:r>
      <w:r>
        <w:rPr>
          <w:lang w:val="fr-FR"/>
        </w:rPr>
        <w:t xml:space="preserve">ulaires </w:t>
      </w:r>
      <w:r w:rsidR="0008796B">
        <w:rPr>
          <w:lang w:val="fr-FR"/>
        </w:rPr>
        <w:t>d’</w:t>
      </w:r>
      <w:r>
        <w:rPr>
          <w:lang w:val="fr-FR"/>
        </w:rPr>
        <w:t>enregistre</w:t>
      </w:r>
      <w:r w:rsidR="0008796B">
        <w:rPr>
          <w:lang w:val="fr-FR"/>
        </w:rPr>
        <w:t>ment de</w:t>
      </w:r>
      <w:r>
        <w:rPr>
          <w:lang w:val="fr-FR"/>
        </w:rPr>
        <w:t> </w:t>
      </w:r>
      <w:r w:rsidR="008C0712" w:rsidRPr="008C0712">
        <w:rPr>
          <w:lang w:val="fr-FR"/>
        </w:rPr>
        <w:t>dérogation</w:t>
      </w:r>
      <w:r w:rsidR="0008796B">
        <w:rPr>
          <w:lang w:val="fr-FR"/>
        </w:rPr>
        <w:t>s</w:t>
      </w:r>
      <w:r w:rsidR="008C0712" w:rsidRPr="008C0712">
        <w:rPr>
          <w:lang w:val="fr-FR"/>
        </w:rPr>
        <w:t xml:space="preserve"> aux dates d’</w:t>
      </w:r>
      <w:r>
        <w:rPr>
          <w:lang w:val="fr-FR"/>
        </w:rPr>
        <w:t>abandon définitif figurant dans </w:t>
      </w:r>
      <w:r w:rsidR="008C0712" w:rsidRPr="008C0712">
        <w:rPr>
          <w:lang w:val="fr-FR"/>
        </w:rPr>
        <w:t xml:space="preserve">l’Annexe A et l’Annexe B et </w:t>
      </w:r>
      <w:r w:rsidR="00914FB0">
        <w:rPr>
          <w:lang w:val="fr-FR"/>
        </w:rPr>
        <w:t>modèles de</w:t>
      </w:r>
      <w:r w:rsidR="00560DB0">
        <w:rPr>
          <w:lang w:val="fr-FR"/>
        </w:rPr>
        <w:t xml:space="preserve"> registre des </w:t>
      </w:r>
      <w:r w:rsidR="008C0712" w:rsidRPr="008C0712">
        <w:rPr>
          <w:lang w:val="fr-FR"/>
        </w:rPr>
        <w:t>dérogations</w:t>
      </w:r>
    </w:p>
    <w:p w:rsidR="0025267F" w:rsidRPr="008C0712" w:rsidRDefault="008C0712" w:rsidP="0025267F">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8C0712">
        <w:rPr>
          <w:i/>
          <w:lang w:val="fr-FR"/>
        </w:rPr>
        <w:t>La</w:t>
      </w:r>
      <w:r w:rsidR="0025267F" w:rsidRPr="008C0712">
        <w:rPr>
          <w:i/>
          <w:lang w:val="fr-FR"/>
        </w:rPr>
        <w:t xml:space="preserve"> Conf</w:t>
      </w:r>
      <w:r w:rsidRPr="008C0712">
        <w:rPr>
          <w:i/>
          <w:lang w:val="fr-FR"/>
        </w:rPr>
        <w:t>é</w:t>
      </w:r>
      <w:r w:rsidR="0025267F" w:rsidRPr="008C0712">
        <w:rPr>
          <w:i/>
          <w:lang w:val="fr-FR"/>
        </w:rPr>
        <w:t xml:space="preserve">rence </w:t>
      </w:r>
      <w:r w:rsidRPr="008C0712">
        <w:rPr>
          <w:i/>
          <w:lang w:val="fr-FR"/>
        </w:rPr>
        <w:t>des</w:t>
      </w:r>
      <w:r w:rsidR="0025267F" w:rsidRPr="008C0712">
        <w:rPr>
          <w:i/>
          <w:lang w:val="fr-FR"/>
        </w:rPr>
        <w:t xml:space="preserve"> Parties</w:t>
      </w:r>
    </w:p>
    <w:p w:rsidR="0025267F" w:rsidRPr="008C0712" w:rsidRDefault="0025267F"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8C0712">
        <w:rPr>
          <w:i/>
          <w:lang w:val="fr-FR"/>
        </w:rPr>
        <w:t>Adopt</w:t>
      </w:r>
      <w:r w:rsidR="008C0712" w:rsidRPr="008C0712">
        <w:rPr>
          <w:i/>
          <w:lang w:val="fr-FR"/>
        </w:rPr>
        <w:t>e</w:t>
      </w:r>
      <w:r w:rsidRPr="008C0712">
        <w:rPr>
          <w:i/>
          <w:lang w:val="fr-FR"/>
        </w:rPr>
        <w:t xml:space="preserve"> </w:t>
      </w:r>
      <w:r w:rsidR="008C0712" w:rsidRPr="008C0712">
        <w:rPr>
          <w:lang w:val="fr-FR"/>
        </w:rPr>
        <w:t xml:space="preserve">les formulaires </w:t>
      </w:r>
      <w:r w:rsidR="00910A7A">
        <w:rPr>
          <w:lang w:val="fr-FR"/>
        </w:rPr>
        <w:t>d’</w:t>
      </w:r>
      <w:r w:rsidR="008C0712" w:rsidRPr="008C0712">
        <w:rPr>
          <w:lang w:val="fr-FR"/>
        </w:rPr>
        <w:t>enregistre</w:t>
      </w:r>
      <w:r w:rsidR="00910A7A">
        <w:rPr>
          <w:lang w:val="fr-FR"/>
        </w:rPr>
        <w:t>ment de</w:t>
      </w:r>
      <w:r w:rsidR="008C0712" w:rsidRPr="008C0712">
        <w:rPr>
          <w:lang w:val="fr-FR"/>
        </w:rPr>
        <w:t xml:space="preserve"> dérogation</w:t>
      </w:r>
      <w:r w:rsidR="00910A7A">
        <w:rPr>
          <w:lang w:val="fr-FR"/>
        </w:rPr>
        <w:t>s</w:t>
      </w:r>
      <w:r w:rsidR="008C0712" w:rsidRPr="008C0712">
        <w:rPr>
          <w:lang w:val="fr-FR"/>
        </w:rPr>
        <w:t xml:space="preserve"> </w:t>
      </w:r>
      <w:r w:rsidR="00910A7A">
        <w:rPr>
          <w:lang w:val="fr-FR"/>
        </w:rPr>
        <w:t>conformément aux</w:t>
      </w:r>
      <w:r w:rsidR="008C0712">
        <w:rPr>
          <w:lang w:val="fr-FR"/>
        </w:rPr>
        <w:t xml:space="preserve"> </w:t>
      </w:r>
      <w:r w:rsidR="00560DB0">
        <w:rPr>
          <w:lang w:val="fr-FR"/>
        </w:rPr>
        <w:t>paragraphes 1 et 2 de l’article </w:t>
      </w:r>
      <w:r w:rsidR="008C0712" w:rsidRPr="008C0712">
        <w:rPr>
          <w:lang w:val="fr-FR"/>
        </w:rPr>
        <w:t>6, tels qu’ils figur</w:t>
      </w:r>
      <w:r w:rsidR="00B65694">
        <w:rPr>
          <w:lang w:val="fr-FR"/>
        </w:rPr>
        <w:t>e</w:t>
      </w:r>
      <w:r w:rsidR="008C0712" w:rsidRPr="008C0712">
        <w:rPr>
          <w:lang w:val="fr-FR"/>
        </w:rPr>
        <w:t xml:space="preserve">nt dans l’annexe </w:t>
      </w:r>
      <w:r w:rsidR="00910A7A">
        <w:rPr>
          <w:lang w:val="fr-FR"/>
        </w:rPr>
        <w:t>de</w:t>
      </w:r>
      <w:r w:rsidR="008C0712" w:rsidRPr="008C0712">
        <w:rPr>
          <w:lang w:val="fr-FR"/>
        </w:rPr>
        <w:t xml:space="preserve"> la présente décision</w:t>
      </w:r>
      <w:r w:rsidRPr="008C0712">
        <w:rPr>
          <w:iCs/>
          <w:lang w:val="fr-FR"/>
        </w:rPr>
        <w:t>;</w:t>
      </w:r>
    </w:p>
    <w:p w:rsidR="0025267F" w:rsidRPr="008C0712" w:rsidRDefault="008C0712"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8C0712">
        <w:rPr>
          <w:i/>
          <w:lang w:val="fr-FR"/>
        </w:rPr>
        <w:t>Adopte également</w:t>
      </w:r>
      <w:r w:rsidR="0025267F" w:rsidRPr="008C0712">
        <w:rPr>
          <w:i/>
          <w:lang w:val="fr-FR"/>
        </w:rPr>
        <w:t xml:space="preserve"> </w:t>
      </w:r>
      <w:r w:rsidRPr="008C0712">
        <w:rPr>
          <w:lang w:val="fr-FR"/>
        </w:rPr>
        <w:t xml:space="preserve">les </w:t>
      </w:r>
      <w:r w:rsidR="00914FB0">
        <w:rPr>
          <w:lang w:val="fr-FR"/>
        </w:rPr>
        <w:t>modèles de</w:t>
      </w:r>
      <w:r>
        <w:rPr>
          <w:lang w:val="fr-FR"/>
        </w:rPr>
        <w:t xml:space="preserve"> registre des dérogations</w:t>
      </w:r>
      <w:r w:rsidRPr="008C0712">
        <w:rPr>
          <w:lang w:val="fr-FR"/>
        </w:rPr>
        <w:t xml:space="preserve"> </w:t>
      </w:r>
      <w:r>
        <w:rPr>
          <w:lang w:val="fr-FR"/>
        </w:rPr>
        <w:t>visé aux</w:t>
      </w:r>
      <w:r w:rsidRPr="008C0712">
        <w:rPr>
          <w:lang w:val="fr-FR"/>
        </w:rPr>
        <w:t xml:space="preserve"> paragraphes</w:t>
      </w:r>
      <w:r w:rsidR="00910A7A">
        <w:rPr>
          <w:lang w:val="fr-FR"/>
        </w:rPr>
        <w:t> </w:t>
      </w:r>
      <w:r w:rsidRPr="008C0712">
        <w:rPr>
          <w:lang w:val="fr-FR"/>
        </w:rPr>
        <w:t>3 et 4 d</w:t>
      </w:r>
      <w:r>
        <w:rPr>
          <w:lang w:val="fr-FR"/>
        </w:rPr>
        <w:t>e l’article</w:t>
      </w:r>
      <w:r w:rsidR="00560DB0">
        <w:rPr>
          <w:lang w:val="fr-FR"/>
        </w:rPr>
        <w:t> </w:t>
      </w:r>
      <w:r>
        <w:rPr>
          <w:lang w:val="fr-FR"/>
        </w:rPr>
        <w:t xml:space="preserve">6, tels qu’ils figurent dans l’annexe </w:t>
      </w:r>
      <w:r w:rsidR="00910A7A">
        <w:rPr>
          <w:lang w:val="fr-FR"/>
        </w:rPr>
        <w:t>de</w:t>
      </w:r>
      <w:r>
        <w:rPr>
          <w:lang w:val="fr-FR"/>
        </w:rPr>
        <w:t xml:space="preserve"> la présente décision;</w:t>
      </w:r>
    </w:p>
    <w:p w:rsidR="0025267F" w:rsidRPr="008C0712" w:rsidRDefault="008C0712" w:rsidP="0025267F">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Pr>
          <w:i/>
          <w:lang w:val="fr-FR"/>
        </w:rPr>
        <w:t>Prie</w:t>
      </w:r>
      <w:r w:rsidR="0025267F" w:rsidRPr="008C0712">
        <w:rPr>
          <w:i/>
          <w:lang w:val="fr-FR"/>
        </w:rPr>
        <w:t xml:space="preserve"> </w:t>
      </w:r>
      <w:r w:rsidRPr="008C0712">
        <w:rPr>
          <w:iCs/>
          <w:lang w:val="fr-FR"/>
        </w:rPr>
        <w:t>le</w:t>
      </w:r>
      <w:r w:rsidR="0025267F" w:rsidRPr="008C0712">
        <w:rPr>
          <w:iCs/>
          <w:lang w:val="fr-FR"/>
        </w:rPr>
        <w:t xml:space="preserve"> </w:t>
      </w:r>
      <w:r w:rsidR="00111BA9" w:rsidRPr="008C0712">
        <w:rPr>
          <w:iCs/>
          <w:lang w:val="fr-FR"/>
        </w:rPr>
        <w:t xml:space="preserve">secretariat </w:t>
      </w:r>
      <w:r w:rsidRPr="008C0712">
        <w:rPr>
          <w:iCs/>
          <w:lang w:val="fr-FR"/>
        </w:rPr>
        <w:t xml:space="preserve">de mettre à la disposition des États et des organisations d’intégration économique </w:t>
      </w:r>
      <w:r>
        <w:rPr>
          <w:iCs/>
          <w:lang w:val="fr-FR"/>
        </w:rPr>
        <w:t xml:space="preserve">régionale les formulaires </w:t>
      </w:r>
      <w:r w:rsidR="00910A7A">
        <w:rPr>
          <w:iCs/>
          <w:lang w:val="fr-FR"/>
        </w:rPr>
        <w:t>d’</w:t>
      </w:r>
      <w:r>
        <w:rPr>
          <w:iCs/>
          <w:lang w:val="fr-FR"/>
        </w:rPr>
        <w:t>enregistre</w:t>
      </w:r>
      <w:r w:rsidR="00910A7A">
        <w:rPr>
          <w:iCs/>
          <w:lang w:val="fr-FR"/>
        </w:rPr>
        <w:t>ment de</w:t>
      </w:r>
      <w:r>
        <w:rPr>
          <w:iCs/>
          <w:lang w:val="fr-FR"/>
        </w:rPr>
        <w:t xml:space="preserve"> dérogation</w:t>
      </w:r>
      <w:r w:rsidR="00910A7A">
        <w:rPr>
          <w:iCs/>
          <w:lang w:val="fr-FR"/>
        </w:rPr>
        <w:t>s mentionnés ci-dessus</w:t>
      </w:r>
      <w:r>
        <w:rPr>
          <w:iCs/>
          <w:lang w:val="fr-FR"/>
        </w:rPr>
        <w:t>;</w:t>
      </w:r>
    </w:p>
    <w:p w:rsidR="0025267F" w:rsidRPr="00A55CB8" w:rsidRDefault="00A55CB8" w:rsidP="00111BA9">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A55CB8">
        <w:rPr>
          <w:i/>
          <w:lang w:val="fr-FR"/>
        </w:rPr>
        <w:t>Charge</w:t>
      </w:r>
      <w:r w:rsidR="0025267F" w:rsidRPr="00A55CB8">
        <w:rPr>
          <w:i/>
          <w:lang w:val="fr-FR"/>
        </w:rPr>
        <w:t xml:space="preserve"> </w:t>
      </w:r>
      <w:r w:rsidRPr="00A55CB8">
        <w:rPr>
          <w:iCs/>
          <w:lang w:val="fr-FR"/>
        </w:rPr>
        <w:t>le</w:t>
      </w:r>
      <w:r w:rsidR="0025267F" w:rsidRPr="00A55CB8">
        <w:rPr>
          <w:iCs/>
          <w:lang w:val="fr-FR"/>
        </w:rPr>
        <w:t xml:space="preserve"> </w:t>
      </w:r>
      <w:r w:rsidR="00111BA9" w:rsidRPr="00A55CB8">
        <w:rPr>
          <w:iCs/>
          <w:lang w:val="fr-FR"/>
        </w:rPr>
        <w:t>secretariat</w:t>
      </w:r>
      <w:r w:rsidRPr="00A55CB8">
        <w:rPr>
          <w:iCs/>
          <w:lang w:val="fr-FR"/>
        </w:rPr>
        <w:t xml:space="preserve"> d’établir le regist</w:t>
      </w:r>
      <w:r w:rsidR="00302A51">
        <w:rPr>
          <w:iCs/>
          <w:lang w:val="fr-FR"/>
        </w:rPr>
        <w:t>re</w:t>
      </w:r>
      <w:r w:rsidRPr="00A55CB8">
        <w:rPr>
          <w:iCs/>
          <w:lang w:val="fr-FR"/>
        </w:rPr>
        <w:t xml:space="preserve"> des dérogations conformément aux </w:t>
      </w:r>
      <w:r w:rsidR="00914FB0">
        <w:rPr>
          <w:iCs/>
          <w:lang w:val="fr-FR"/>
        </w:rPr>
        <w:t>modèles</w:t>
      </w:r>
      <w:r w:rsidR="00914FB0" w:rsidRPr="00A55CB8">
        <w:rPr>
          <w:iCs/>
          <w:lang w:val="fr-FR"/>
        </w:rPr>
        <w:t xml:space="preserve"> </w:t>
      </w:r>
      <w:r w:rsidRPr="00A55CB8">
        <w:rPr>
          <w:iCs/>
          <w:lang w:val="fr-FR"/>
        </w:rPr>
        <w:t>mentionnés</w:t>
      </w:r>
      <w:r>
        <w:rPr>
          <w:iCs/>
          <w:lang w:val="fr-FR"/>
        </w:rPr>
        <w:t xml:space="preserve"> ci-dessus, de le tenir à jour et de le rendre accessible au public.</w:t>
      </w:r>
    </w:p>
    <w:p w:rsidR="0025267F" w:rsidRPr="008C0712" w:rsidRDefault="0025267F" w:rsidP="0025267F">
      <w:pPr>
        <w:pStyle w:val="ZZAnxheader"/>
        <w:rPr>
          <w:lang w:val="fr-FR"/>
        </w:rPr>
      </w:pPr>
      <w:r w:rsidRPr="00A55CB8">
        <w:rPr>
          <w:lang w:val="fr-FR"/>
        </w:rPr>
        <w:br w:type="page"/>
      </w:r>
    </w:p>
    <w:p w:rsidR="0096339A" w:rsidRPr="00D76EAA" w:rsidRDefault="0089455A" w:rsidP="0096339A">
      <w:pPr>
        <w:pStyle w:val="ZZAnxheader"/>
        <w:rPr>
          <w:lang w:val="fr-FR"/>
        </w:rPr>
      </w:pPr>
      <w:r>
        <w:rPr>
          <w:lang w:val="fr-FR"/>
        </w:rPr>
        <w:lastRenderedPageBreak/>
        <w:t>Annexe </w:t>
      </w:r>
      <w:r w:rsidR="0096339A" w:rsidRPr="00D76EAA">
        <w:rPr>
          <w:lang w:val="fr-FR"/>
        </w:rPr>
        <w:t>II</w:t>
      </w:r>
    </w:p>
    <w:p w:rsidR="0096339A" w:rsidRPr="00D76EAA" w:rsidRDefault="0096339A" w:rsidP="0096339A">
      <w:pPr>
        <w:pStyle w:val="ZZAnxtitle"/>
        <w:rPr>
          <w:lang w:val="fr-FR"/>
        </w:rPr>
      </w:pPr>
      <w:r w:rsidRPr="00D76EAA">
        <w:rPr>
          <w:lang w:val="fr-FR"/>
        </w:rPr>
        <w:t>Projet de form</w:t>
      </w:r>
      <w:bookmarkStart w:id="4" w:name="_DV_M29"/>
      <w:bookmarkEnd w:id="4"/>
      <w:r w:rsidRPr="00D76EAA">
        <w:rPr>
          <w:lang w:val="fr-FR"/>
        </w:rPr>
        <w:t xml:space="preserve">ulaire </w:t>
      </w:r>
      <w:r w:rsidR="00910A7A">
        <w:rPr>
          <w:lang w:val="fr-FR"/>
        </w:rPr>
        <w:t>d</w:t>
      </w:r>
      <w:r>
        <w:rPr>
          <w:lang w:val="fr-FR"/>
        </w:rPr>
        <w:t>’</w:t>
      </w:r>
      <w:r w:rsidRPr="00D76EAA">
        <w:rPr>
          <w:lang w:val="fr-FR"/>
        </w:rPr>
        <w:t xml:space="preserve">enregistrement de dérogations </w:t>
      </w:r>
      <w:r w:rsidR="00C2048A">
        <w:rPr>
          <w:lang w:val="fr-FR"/>
        </w:rPr>
        <w:br/>
      </w:r>
      <w:r w:rsidRPr="00D76EAA">
        <w:rPr>
          <w:lang w:val="fr-FR"/>
        </w:rPr>
        <w:t xml:space="preserve">concernant des produits ou procédés visés dans </w:t>
      </w:r>
      <w:r w:rsidR="00C2048A">
        <w:rPr>
          <w:lang w:val="fr-FR"/>
        </w:rPr>
        <w:t xml:space="preserve">la première partie </w:t>
      </w:r>
      <w:r w:rsidR="00C2048A">
        <w:rPr>
          <w:lang w:val="fr-FR"/>
        </w:rPr>
        <w:br/>
        <w:t>des Annexes </w:t>
      </w:r>
      <w:r w:rsidRPr="00D76EAA">
        <w:rPr>
          <w:lang w:val="fr-FR"/>
        </w:rPr>
        <w:t>A et B</w:t>
      </w:r>
    </w:p>
    <w:p w:rsidR="0096339A" w:rsidRPr="00D76EAA" w:rsidRDefault="0096339A" w:rsidP="0096339A">
      <w:pPr>
        <w:pStyle w:val="ZZAnxtitle"/>
        <w:rPr>
          <w:lang w:val="fr-FR"/>
        </w:rPr>
      </w:pPr>
      <w:r w:rsidRPr="00D76EAA">
        <w:rPr>
          <w:lang w:val="fr-FR"/>
        </w:rPr>
        <w:t>Annexe A : Produits contenant du mercure ajouté</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851"/>
        <w:gridCol w:w="1275"/>
        <w:gridCol w:w="1276"/>
        <w:gridCol w:w="1985"/>
        <w:gridCol w:w="141"/>
        <w:gridCol w:w="1843"/>
      </w:tblGrid>
      <w:tr w:rsidR="0096339A" w:rsidRPr="00F16160" w:rsidTr="00321654">
        <w:trPr>
          <w:trHeight w:val="915"/>
        </w:trPr>
        <w:tc>
          <w:tcPr>
            <w:tcW w:w="9748" w:type="dxa"/>
            <w:gridSpan w:val="7"/>
            <w:shd w:val="clear" w:color="auto" w:fill="000000"/>
            <w:vAlign w:val="center"/>
          </w:tcPr>
          <w:p w:rsidR="0096339A" w:rsidRPr="0096339A" w:rsidRDefault="0096339A" w:rsidP="00321654">
            <w:pPr>
              <w:rPr>
                <w:b/>
                <w:szCs w:val="18"/>
                <w:lang w:val="fr-FR"/>
              </w:rPr>
            </w:pPr>
            <w:r w:rsidRPr="0096339A">
              <w:rPr>
                <w:b/>
                <w:szCs w:val="18"/>
                <w:lang w:val="fr-FR"/>
              </w:rPr>
              <w:t>ENREGISTREMENT DE DÉROGATION AU TITRE DE L’ARTICLE 4</w:t>
            </w:r>
          </w:p>
        </w:tc>
      </w:tr>
      <w:tr w:rsidR="0096339A" w:rsidRPr="00C2048A" w:rsidTr="00321654">
        <w:trPr>
          <w:trHeight w:val="215"/>
        </w:trPr>
        <w:tc>
          <w:tcPr>
            <w:tcW w:w="9748" w:type="dxa"/>
            <w:gridSpan w:val="7"/>
            <w:shd w:val="clear" w:color="auto" w:fill="auto"/>
            <w:vAlign w:val="center"/>
          </w:tcPr>
          <w:p w:rsidR="0096339A" w:rsidRPr="00C2048A" w:rsidRDefault="0096339A" w:rsidP="00321654">
            <w:pPr>
              <w:spacing w:after="80"/>
              <w:rPr>
                <w:b/>
                <w:szCs w:val="18"/>
                <w:lang w:val="fr-FR"/>
              </w:rPr>
            </w:pPr>
            <w:r w:rsidRPr="00C2048A">
              <w:rPr>
                <w:b/>
                <w:szCs w:val="18"/>
                <w:lang w:val="fr-FR"/>
              </w:rPr>
              <w:t>PARTIE :</w:t>
            </w:r>
          </w:p>
          <w:p w:rsidR="0096339A" w:rsidRPr="00C2048A" w:rsidRDefault="0096339A" w:rsidP="00321654">
            <w:pPr>
              <w:spacing w:after="80"/>
              <w:rPr>
                <w:b/>
                <w:szCs w:val="18"/>
                <w:lang w:val="fr-FR"/>
              </w:rPr>
            </w:pPr>
          </w:p>
        </w:tc>
      </w:tr>
      <w:tr w:rsidR="0096339A" w:rsidRPr="00F16160" w:rsidTr="00321654">
        <w:tc>
          <w:tcPr>
            <w:tcW w:w="9748" w:type="dxa"/>
            <w:gridSpan w:val="7"/>
            <w:shd w:val="clear" w:color="auto" w:fill="auto"/>
          </w:tcPr>
          <w:p w:rsidR="0096339A" w:rsidRPr="00D76EAA" w:rsidRDefault="0096339A" w:rsidP="00914FB0">
            <w:pPr>
              <w:pStyle w:val="Normal-pool"/>
              <w:spacing w:after="80"/>
              <w:rPr>
                <w:lang w:val="fr-FR"/>
              </w:rPr>
            </w:pPr>
            <w:r w:rsidRPr="00D76EAA">
              <w:rPr>
                <w:lang w:val="fr-FR"/>
              </w:rPr>
              <w:t xml:space="preserve">Par la présente, le </w:t>
            </w:r>
            <w:r w:rsidR="00914FB0">
              <w:rPr>
                <w:lang w:val="fr-FR"/>
              </w:rPr>
              <w:t>s</w:t>
            </w:r>
            <w:r w:rsidRPr="00D76EAA">
              <w:rPr>
                <w:lang w:val="fr-FR"/>
              </w:rPr>
              <w:t>ecrétariat de la Convention de Minamata est informé de l</w:t>
            </w:r>
            <w:r>
              <w:rPr>
                <w:lang w:val="fr-FR"/>
              </w:rPr>
              <w:t>’</w:t>
            </w:r>
            <w:r w:rsidRPr="00D76EAA">
              <w:rPr>
                <w:lang w:val="fr-FR"/>
              </w:rPr>
              <w:t>enregistrement de la dérogation suivante, conformément au paragraphe 1 de l</w:t>
            </w:r>
            <w:r>
              <w:rPr>
                <w:lang w:val="fr-FR"/>
              </w:rPr>
              <w:t>’</w:t>
            </w:r>
            <w:r w:rsidRPr="00D76EAA">
              <w:rPr>
                <w:lang w:val="fr-FR"/>
              </w:rPr>
              <w:t>article 6 de la Convention. Aucune dérogation n</w:t>
            </w:r>
            <w:r>
              <w:rPr>
                <w:lang w:val="fr-FR"/>
              </w:rPr>
              <w:t>’</w:t>
            </w:r>
            <w:r w:rsidRPr="00D76EAA">
              <w:rPr>
                <w:lang w:val="fr-FR"/>
              </w:rPr>
              <w:t>est requise pour les produits non mentionnés à l</w:t>
            </w:r>
            <w:r>
              <w:rPr>
                <w:lang w:val="fr-FR"/>
              </w:rPr>
              <w:t>’</w:t>
            </w:r>
            <w:r w:rsidRPr="00D76EAA">
              <w:rPr>
                <w:lang w:val="fr-FR"/>
              </w:rPr>
              <w:t>Annexe A.</w:t>
            </w:r>
          </w:p>
        </w:tc>
      </w:tr>
      <w:tr w:rsidR="0096339A" w:rsidRPr="00F16160" w:rsidTr="00321654">
        <w:tc>
          <w:tcPr>
            <w:tcW w:w="4503" w:type="dxa"/>
            <w:gridSpan w:val="3"/>
            <w:shd w:val="clear" w:color="auto" w:fill="auto"/>
          </w:tcPr>
          <w:p w:rsidR="0096339A" w:rsidRPr="0096339A" w:rsidRDefault="0096339A" w:rsidP="00321654">
            <w:pPr>
              <w:pStyle w:val="Normal-pool"/>
              <w:spacing w:after="80"/>
              <w:rPr>
                <w:b/>
                <w:lang w:val="fr-FR"/>
              </w:rPr>
            </w:pPr>
            <w:r w:rsidRPr="0096339A">
              <w:rPr>
                <w:rStyle w:val="DeltaViewInsertion"/>
                <w:b/>
                <w:color w:val="auto"/>
                <w:u w:val="none"/>
                <w:lang w:val="fr-FR"/>
              </w:rPr>
              <w:t>Produits contenant du mercure ajouté visés dans la première partie de l’Annexe A</w:t>
            </w:r>
          </w:p>
        </w:tc>
        <w:tc>
          <w:tcPr>
            <w:tcW w:w="3402" w:type="dxa"/>
            <w:gridSpan w:val="3"/>
            <w:shd w:val="clear" w:color="auto" w:fill="auto"/>
          </w:tcPr>
          <w:p w:rsidR="0096339A" w:rsidRPr="00D76EAA" w:rsidRDefault="0096339A" w:rsidP="00321654">
            <w:pPr>
              <w:pStyle w:val="Normal-pool"/>
              <w:spacing w:after="80"/>
              <w:rPr>
                <w:b/>
                <w:lang w:val="fr-FR"/>
              </w:rPr>
            </w:pPr>
            <w:r w:rsidRPr="00D76EAA">
              <w:rPr>
                <w:b/>
                <w:lang w:val="fr-FR"/>
              </w:rPr>
              <w:t>Catégorie ou sous-catégorie pour laquelle la dérogation est enregistrée et activités concernées (fabrication, importation et/ou exportation)</w:t>
            </w:r>
          </w:p>
        </w:tc>
        <w:tc>
          <w:tcPr>
            <w:tcW w:w="1843" w:type="dxa"/>
            <w:shd w:val="clear" w:color="auto" w:fill="auto"/>
          </w:tcPr>
          <w:p w:rsidR="0096339A" w:rsidRPr="0096339A" w:rsidRDefault="0096339A" w:rsidP="00321654">
            <w:pPr>
              <w:spacing w:after="80"/>
              <w:rPr>
                <w:b/>
                <w:szCs w:val="18"/>
                <w:lang w:val="fr-FR"/>
              </w:rPr>
            </w:pPr>
            <w:r w:rsidRPr="0096339A">
              <w:rPr>
                <w:b/>
                <w:szCs w:val="18"/>
                <w:lang w:val="fr-FR"/>
              </w:rPr>
              <w:t xml:space="preserve">Durée de la dérogation </w:t>
            </w:r>
            <w:r w:rsidRPr="0096339A">
              <w:rPr>
                <w:b/>
                <w:szCs w:val="18"/>
                <w:lang w:val="fr-FR"/>
              </w:rPr>
              <w:br/>
              <w:t xml:space="preserve">(si moins de </w:t>
            </w:r>
            <w:r w:rsidRPr="0096339A">
              <w:rPr>
                <w:b/>
                <w:lang w:val="fr-FR" w:eastAsia="fr-CA"/>
              </w:rPr>
              <w:t xml:space="preserve">cinq ans après </w:t>
            </w:r>
            <w:r w:rsidRPr="0096339A">
              <w:rPr>
                <w:b/>
                <w:lang w:val="fr-FR" w:eastAsia="fr-CA"/>
              </w:rPr>
              <w:br/>
              <w:t>la date d’abandon définitif)</w:t>
            </w: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pacing w:after="80"/>
              <w:rPr>
                <w:szCs w:val="18"/>
                <w:lang w:val="fr-FR"/>
              </w:rPr>
            </w:pPr>
            <w:r w:rsidRPr="0096339A">
              <w:rPr>
                <w:lang w:val="fr-FR"/>
              </w:rPr>
              <w:t>Piles, à l’exception des piles boutons zinc-oxyde d’argent et zinc-air à teneur en mercure &lt; 2 %</w:t>
            </w:r>
          </w:p>
        </w:tc>
        <w:tc>
          <w:tcPr>
            <w:tcW w:w="3402" w:type="dxa"/>
            <w:gridSpan w:val="3"/>
            <w:shd w:val="clear" w:color="auto" w:fill="auto"/>
          </w:tcPr>
          <w:p w:rsidR="0096339A" w:rsidRPr="0096339A" w:rsidRDefault="0096339A" w:rsidP="00321654">
            <w:pPr>
              <w:spacing w:after="80"/>
              <w:rPr>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szCs w:val="18"/>
                <w:lang w:val="fr-FR"/>
              </w:rPr>
            </w:pP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pacing w:after="80"/>
              <w:rPr>
                <w:rFonts w:eastAsia="SimSun"/>
                <w:szCs w:val="18"/>
                <w:lang w:val="fr-FR"/>
              </w:rPr>
            </w:pPr>
            <w:r w:rsidRPr="0096339A">
              <w:rPr>
                <w:lang w:val="fr-FR"/>
              </w:rPr>
              <w:t>Commutateurs et relais, à l’exception des ponts de mesure de capacité et de perte à très haute précision et des commutateurs et relais radio haute fréquence pour instruments de surveillance et de contrôle possédant une teneur maximale en mercure de 20 mg par pont, commutateur ou relais</w:t>
            </w:r>
          </w:p>
        </w:tc>
        <w:tc>
          <w:tcPr>
            <w:tcW w:w="3402" w:type="dxa"/>
            <w:gridSpan w:val="3"/>
            <w:shd w:val="clear" w:color="auto" w:fill="auto"/>
          </w:tcPr>
          <w:p w:rsidR="0096339A" w:rsidRPr="0096339A" w:rsidRDefault="0096339A" w:rsidP="00321654">
            <w:pPr>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napToGrid w:val="0"/>
              <w:spacing w:after="80"/>
              <w:rPr>
                <w:rFonts w:eastAsia="SimSun"/>
                <w:lang w:val="fr-FR"/>
              </w:rPr>
            </w:pPr>
            <w:r w:rsidRPr="0096339A">
              <w:rPr>
                <w:lang w:val="fr-FR"/>
              </w:rPr>
              <w:t>Lampes fluorescentes compactes d’éclairage ordinaire de puissance ≤ 30 W à teneur en mercure supérieure à 5 mg par bec de lampe</w:t>
            </w:r>
          </w:p>
        </w:tc>
        <w:tc>
          <w:tcPr>
            <w:tcW w:w="3402" w:type="dxa"/>
            <w:gridSpan w:val="3"/>
            <w:shd w:val="clear" w:color="auto" w:fill="auto"/>
          </w:tcPr>
          <w:p w:rsidR="0096339A" w:rsidRPr="0096339A" w:rsidRDefault="0096339A" w:rsidP="00321654">
            <w:pPr>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napToGrid w:val="0"/>
              <w:spacing w:after="80"/>
              <w:rPr>
                <w:rFonts w:eastAsia="SimSun"/>
                <w:lang w:val="fr-FR"/>
              </w:rPr>
            </w:pPr>
            <w:r w:rsidRPr="0096339A">
              <w:rPr>
                <w:lang w:val="fr-FR"/>
              </w:rPr>
              <w:t>Tubes fluorescents linéaires d’éclairage ordinaire </w:t>
            </w:r>
            <w:r w:rsidRPr="0096339A">
              <w:rPr>
                <w:rFonts w:eastAsia="SimSun"/>
                <w:lang w:val="fr-FR"/>
              </w:rPr>
              <w:t>:</w:t>
            </w:r>
          </w:p>
          <w:p w:rsidR="0096339A" w:rsidRPr="0096339A" w:rsidRDefault="0096339A" w:rsidP="00321654">
            <w:pPr>
              <w:tabs>
                <w:tab w:val="clear" w:pos="1814"/>
                <w:tab w:val="clear" w:pos="2381"/>
                <w:tab w:val="clear" w:pos="2948"/>
                <w:tab w:val="clear" w:pos="3515"/>
              </w:tabs>
              <w:suppressAutoHyphens/>
              <w:spacing w:after="80"/>
              <w:ind w:left="228" w:hanging="228"/>
              <w:rPr>
                <w:rFonts w:eastAsia="SimSun"/>
                <w:lang w:val="fr-FR"/>
              </w:rPr>
            </w:pPr>
            <w:r w:rsidRPr="0096339A">
              <w:rPr>
                <w:lang w:val="fr-FR"/>
              </w:rPr>
              <w:t>a) au phosphore à trois bandes de puissance &lt; 60 W à teneur en mercure supérieure à 5 mg par lampe</w:t>
            </w:r>
            <w:r w:rsidRPr="0096339A">
              <w:rPr>
                <w:rFonts w:eastAsia="SimSun"/>
                <w:lang w:val="fr-FR"/>
              </w:rPr>
              <w:t>;</w:t>
            </w:r>
          </w:p>
          <w:p w:rsidR="0096339A" w:rsidRPr="0096339A" w:rsidRDefault="0096339A" w:rsidP="00321654">
            <w:pPr>
              <w:tabs>
                <w:tab w:val="clear" w:pos="1814"/>
                <w:tab w:val="clear" w:pos="2381"/>
                <w:tab w:val="clear" w:pos="2948"/>
                <w:tab w:val="clear" w:pos="3515"/>
              </w:tabs>
              <w:suppressAutoHyphens/>
              <w:spacing w:after="80"/>
              <w:ind w:left="228" w:hanging="228"/>
              <w:rPr>
                <w:rFonts w:eastAsia="SimSun"/>
                <w:szCs w:val="18"/>
                <w:lang w:val="fr-FR"/>
              </w:rPr>
            </w:pPr>
            <w:r w:rsidRPr="0096339A">
              <w:rPr>
                <w:lang w:val="fr-FR"/>
              </w:rPr>
              <w:t>b) au phosphore d’halophosphate de puissance ≤ 40 W à teneur en mercure supérieure à 10 mg par lampe.</w:t>
            </w:r>
          </w:p>
        </w:tc>
        <w:tc>
          <w:tcPr>
            <w:tcW w:w="3402" w:type="dxa"/>
            <w:gridSpan w:val="3"/>
            <w:shd w:val="clear" w:color="auto" w:fill="auto"/>
          </w:tcPr>
          <w:p w:rsidR="0096339A" w:rsidRPr="0096339A" w:rsidRDefault="0096339A" w:rsidP="00321654">
            <w:pPr>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pacing w:after="80"/>
              <w:rPr>
                <w:rFonts w:eastAsia="SimSun"/>
                <w:szCs w:val="18"/>
                <w:lang w:val="fr-FR"/>
              </w:rPr>
            </w:pPr>
            <w:r w:rsidRPr="0096339A">
              <w:rPr>
                <w:lang w:val="fr-FR"/>
              </w:rPr>
              <w:t>Lampes d’éclairage ordinaire à vapeur de mercure sous haute pression</w:t>
            </w:r>
          </w:p>
        </w:tc>
        <w:tc>
          <w:tcPr>
            <w:tcW w:w="3402" w:type="dxa"/>
            <w:gridSpan w:val="3"/>
            <w:shd w:val="clear" w:color="auto" w:fill="auto"/>
          </w:tcPr>
          <w:p w:rsidR="0096339A" w:rsidRPr="0096339A" w:rsidRDefault="0096339A" w:rsidP="00321654">
            <w:pPr>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snapToGrid w:val="0"/>
              <w:spacing w:after="80"/>
              <w:rPr>
                <w:rFonts w:eastAsia="SimSun"/>
                <w:lang w:val="fr-FR"/>
              </w:rPr>
            </w:pPr>
            <w:r w:rsidRPr="0096339A">
              <w:rPr>
                <w:lang w:val="fr-FR"/>
              </w:rPr>
              <w:t>Mercure contenu dans les lampes fluorescentes à cathode froide et à électrodes externes pour affichages électroniques </w:t>
            </w:r>
            <w:r w:rsidRPr="0096339A">
              <w:rPr>
                <w:rFonts w:eastAsia="SimSun"/>
                <w:lang w:val="fr-FR"/>
              </w:rPr>
              <w:t xml:space="preserve">: </w:t>
            </w:r>
          </w:p>
          <w:p w:rsidR="0096339A" w:rsidRPr="0096339A" w:rsidRDefault="0096339A" w:rsidP="00321654">
            <w:pPr>
              <w:tabs>
                <w:tab w:val="clear" w:pos="1814"/>
                <w:tab w:val="clear" w:pos="2381"/>
                <w:tab w:val="clear" w:pos="2948"/>
                <w:tab w:val="clear" w:pos="3515"/>
              </w:tabs>
              <w:spacing w:after="80"/>
              <w:ind w:left="228" w:hanging="228"/>
              <w:rPr>
                <w:rFonts w:eastAsia="SimSun"/>
                <w:lang w:val="fr-FR"/>
              </w:rPr>
            </w:pPr>
            <w:r w:rsidRPr="0096339A">
              <w:rPr>
                <w:rFonts w:eastAsia="SimSun"/>
                <w:lang w:val="fr-FR"/>
              </w:rPr>
              <w:t xml:space="preserve">a) </w:t>
            </w:r>
            <w:r w:rsidRPr="0096339A">
              <w:rPr>
                <w:lang w:val="fr-FR"/>
              </w:rPr>
              <w:t>de faible longueur (≤ 500 mm) à teneur en mercure supérieure à 3,5 mg par lampe;</w:t>
            </w:r>
          </w:p>
          <w:p w:rsidR="0096339A" w:rsidRPr="0096339A" w:rsidRDefault="0096339A" w:rsidP="00321654">
            <w:pPr>
              <w:tabs>
                <w:tab w:val="clear" w:pos="1814"/>
                <w:tab w:val="clear" w:pos="2381"/>
                <w:tab w:val="clear" w:pos="2948"/>
                <w:tab w:val="clear" w:pos="3515"/>
              </w:tabs>
              <w:spacing w:after="80"/>
              <w:ind w:left="228" w:hanging="228"/>
              <w:rPr>
                <w:rFonts w:eastAsia="SimSun"/>
                <w:lang w:val="fr-FR"/>
              </w:rPr>
            </w:pPr>
            <w:r w:rsidRPr="0096339A">
              <w:rPr>
                <w:rFonts w:eastAsia="SimSun"/>
                <w:lang w:val="fr-FR"/>
              </w:rPr>
              <w:t xml:space="preserve">b) </w:t>
            </w:r>
            <w:r w:rsidRPr="0096339A">
              <w:rPr>
                <w:lang w:val="fr-FR"/>
              </w:rPr>
              <w:t>de longueur moyenne (&gt; 500 mm et ≤ 1 500 mm) à teneur en mercure supérieure à 5 mg par lampe;</w:t>
            </w:r>
          </w:p>
          <w:p w:rsidR="0096339A" w:rsidRPr="0096339A" w:rsidRDefault="0096339A" w:rsidP="00321654">
            <w:pPr>
              <w:tabs>
                <w:tab w:val="clear" w:pos="1814"/>
                <w:tab w:val="clear" w:pos="2381"/>
                <w:tab w:val="clear" w:pos="2948"/>
                <w:tab w:val="clear" w:pos="3515"/>
              </w:tabs>
              <w:spacing w:after="80"/>
              <w:rPr>
                <w:rFonts w:eastAsia="SimSun"/>
                <w:szCs w:val="18"/>
                <w:lang w:val="fr-FR"/>
              </w:rPr>
            </w:pPr>
            <w:r w:rsidRPr="0096339A">
              <w:rPr>
                <w:rFonts w:eastAsia="SimSun"/>
                <w:lang w:val="fr-FR"/>
              </w:rPr>
              <w:t xml:space="preserve">c) </w:t>
            </w:r>
            <w:r w:rsidRPr="0096339A">
              <w:rPr>
                <w:lang w:val="fr-FR"/>
              </w:rPr>
              <w:t>de grande longueur (&gt; 1 500 mm) à teneur en mercure supérieure à 13 mg par lampe</w:t>
            </w:r>
          </w:p>
        </w:tc>
        <w:tc>
          <w:tcPr>
            <w:tcW w:w="3402" w:type="dxa"/>
            <w:gridSpan w:val="3"/>
            <w:shd w:val="clear" w:color="auto" w:fill="auto"/>
          </w:tcPr>
          <w:p w:rsidR="0096339A" w:rsidRPr="0096339A" w:rsidRDefault="0096339A" w:rsidP="00321654">
            <w:pPr>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keepNext/>
              <w:keepLines/>
              <w:tabs>
                <w:tab w:val="clear" w:pos="1814"/>
                <w:tab w:val="clear" w:pos="2381"/>
                <w:tab w:val="clear" w:pos="2948"/>
                <w:tab w:val="clear" w:pos="3515"/>
              </w:tabs>
              <w:spacing w:after="80"/>
              <w:rPr>
                <w:rFonts w:eastAsia="SimSun"/>
                <w:szCs w:val="18"/>
                <w:lang w:val="fr-FR"/>
              </w:rPr>
            </w:pPr>
            <w:r w:rsidRPr="0096339A">
              <w:rPr>
                <w:lang w:val="fr-FR"/>
              </w:rPr>
              <w:lastRenderedPageBreak/>
              <w:t>Cosmétiques (à teneur en mercure supérieure à 1 ppm), y compris les savons et crèmes de blanchissement de la peau, mais à l’exclusion des cosmétiques pour la zone oculaire dans lesquels le mercure est utilisé comme agent de conservation pour lequel aucun substitut efficace et sans danger n’est disponible</w:t>
            </w:r>
            <w:r w:rsidRPr="00D76EAA">
              <w:rPr>
                <w:rStyle w:val="FootnoteReference"/>
              </w:rPr>
              <w:footnoteReference w:id="2"/>
            </w:r>
          </w:p>
        </w:tc>
        <w:tc>
          <w:tcPr>
            <w:tcW w:w="3402" w:type="dxa"/>
            <w:gridSpan w:val="3"/>
            <w:shd w:val="clear" w:color="auto" w:fill="auto"/>
          </w:tcPr>
          <w:p w:rsidR="0096339A" w:rsidRPr="0096339A" w:rsidRDefault="0096339A" w:rsidP="00321654">
            <w:pPr>
              <w:keepNext/>
              <w:keepLines/>
              <w:spacing w:after="80"/>
              <w:rPr>
                <w:rFonts w:eastAsia="SimSun"/>
                <w:szCs w:val="18"/>
                <w:lang w:val="fr-FR"/>
              </w:rPr>
            </w:pPr>
          </w:p>
        </w:tc>
        <w:tc>
          <w:tcPr>
            <w:tcW w:w="1843" w:type="dxa"/>
            <w:shd w:val="clear" w:color="auto" w:fill="auto"/>
          </w:tcPr>
          <w:p w:rsidR="0096339A" w:rsidRPr="0096339A" w:rsidRDefault="0096339A" w:rsidP="00321654">
            <w:pPr>
              <w:tabs>
                <w:tab w:val="clear" w:pos="3515"/>
                <w:tab w:val="left" w:pos="601"/>
                <w:tab w:val="left" w:pos="3011"/>
              </w:tabs>
              <w:spacing w:after="80"/>
              <w:ind w:left="-84" w:firstLine="84"/>
              <w:rPr>
                <w:rFonts w:eastAsia="SimSun"/>
                <w:szCs w:val="18"/>
                <w:lang w:val="fr-FR"/>
              </w:rPr>
            </w:pPr>
          </w:p>
        </w:tc>
      </w:tr>
      <w:tr w:rsidR="0096339A" w:rsidRPr="00F16160" w:rsidTr="00321654">
        <w:tc>
          <w:tcPr>
            <w:tcW w:w="4503" w:type="dxa"/>
            <w:gridSpan w:val="3"/>
            <w:shd w:val="clear" w:color="auto" w:fill="auto"/>
          </w:tcPr>
          <w:p w:rsidR="0096339A" w:rsidRPr="0096339A" w:rsidRDefault="0096339A" w:rsidP="00321654">
            <w:pPr>
              <w:keepNext/>
              <w:keepLines/>
              <w:tabs>
                <w:tab w:val="clear" w:pos="1814"/>
                <w:tab w:val="clear" w:pos="2381"/>
                <w:tab w:val="clear" w:pos="2948"/>
                <w:tab w:val="clear" w:pos="3515"/>
              </w:tabs>
              <w:spacing w:after="80"/>
              <w:rPr>
                <w:rFonts w:eastAsia="SimSun"/>
                <w:szCs w:val="18"/>
                <w:lang w:val="fr-FR"/>
              </w:rPr>
            </w:pPr>
            <w:r w:rsidRPr="0096339A">
              <w:rPr>
                <w:lang w:val="fr-FR"/>
              </w:rPr>
              <w:t>Pesticides, biocides et antiseptiques locaux</w:t>
            </w:r>
          </w:p>
        </w:tc>
        <w:tc>
          <w:tcPr>
            <w:tcW w:w="3402" w:type="dxa"/>
            <w:gridSpan w:val="3"/>
            <w:shd w:val="clear" w:color="auto" w:fill="auto"/>
          </w:tcPr>
          <w:p w:rsidR="0096339A" w:rsidRPr="0096339A" w:rsidRDefault="0096339A" w:rsidP="00321654">
            <w:pPr>
              <w:keepNext/>
              <w:keepLines/>
              <w:spacing w:after="80"/>
              <w:rPr>
                <w:rFonts w:eastAsia="SimSun"/>
                <w:szCs w:val="18"/>
                <w:lang w:val="fr-FR"/>
              </w:rPr>
            </w:pPr>
          </w:p>
        </w:tc>
        <w:tc>
          <w:tcPr>
            <w:tcW w:w="1843" w:type="dxa"/>
            <w:shd w:val="clear" w:color="auto" w:fill="auto"/>
          </w:tcPr>
          <w:p w:rsidR="0096339A" w:rsidRPr="0096339A" w:rsidRDefault="0096339A" w:rsidP="00321654">
            <w:pPr>
              <w:keepNext/>
              <w:keepLines/>
              <w:tabs>
                <w:tab w:val="clear" w:pos="3515"/>
                <w:tab w:val="left" w:pos="601"/>
                <w:tab w:val="left" w:pos="3011"/>
              </w:tabs>
              <w:spacing w:after="80"/>
              <w:ind w:left="-84" w:firstLine="84"/>
              <w:rPr>
                <w:rFonts w:eastAsia="SimSun"/>
                <w:szCs w:val="18"/>
                <w:lang w:val="fr-FR"/>
              </w:rPr>
            </w:pPr>
          </w:p>
        </w:tc>
      </w:tr>
      <w:tr w:rsidR="0096339A" w:rsidRPr="00D76EAA" w:rsidTr="00321654">
        <w:tc>
          <w:tcPr>
            <w:tcW w:w="4503" w:type="dxa"/>
            <w:gridSpan w:val="3"/>
            <w:shd w:val="clear" w:color="auto" w:fill="auto"/>
          </w:tcPr>
          <w:p w:rsidR="0096339A" w:rsidRPr="0096339A" w:rsidRDefault="0096339A" w:rsidP="00321654">
            <w:pPr>
              <w:tabs>
                <w:tab w:val="clear" w:pos="1814"/>
                <w:tab w:val="clear" w:pos="2381"/>
                <w:tab w:val="clear" w:pos="2948"/>
                <w:tab w:val="clear" w:pos="3515"/>
              </w:tabs>
              <w:rPr>
                <w:rFonts w:eastAsia="SimSun"/>
                <w:lang w:val="fr-FR"/>
              </w:rPr>
            </w:pPr>
            <w:r w:rsidRPr="0096339A">
              <w:rPr>
                <w:lang w:val="fr-FR"/>
              </w:rPr>
              <w:t xml:space="preserve">Les instruments de mesure non électroniques </w:t>
            </w:r>
            <w:r w:rsidRPr="0096339A">
              <w:rPr>
                <w:lang w:val="fr-FR"/>
              </w:rPr>
              <w:br/>
              <w:t>ci-après, à l’exception de ceux incorporés dans des équipements de grande taille ou utilisés pour des mesures à haute précision, lorsqu’aucune solution de remplacement convenable sans mercure n’est disponible </w:t>
            </w:r>
            <w:r w:rsidRPr="0096339A">
              <w:rPr>
                <w:rFonts w:eastAsia="SimSun"/>
                <w:lang w:val="fr-FR"/>
              </w:rPr>
              <w:t>:</w:t>
            </w:r>
          </w:p>
          <w:p w:rsidR="0096339A" w:rsidRPr="0096339A" w:rsidRDefault="0096339A" w:rsidP="00321654">
            <w:pPr>
              <w:tabs>
                <w:tab w:val="clear" w:pos="1814"/>
                <w:tab w:val="clear" w:pos="2381"/>
                <w:tab w:val="clear" w:pos="2948"/>
                <w:tab w:val="clear" w:pos="3515"/>
              </w:tabs>
              <w:rPr>
                <w:rFonts w:eastAsia="SimSun"/>
                <w:lang w:val="fr-FR"/>
              </w:rPr>
            </w:pPr>
            <w:r w:rsidRPr="0096339A">
              <w:rPr>
                <w:rFonts w:eastAsia="SimSun"/>
                <w:lang w:val="fr-FR"/>
              </w:rPr>
              <w:t xml:space="preserve">a) baromètres; </w:t>
            </w:r>
          </w:p>
          <w:p w:rsidR="0096339A" w:rsidRPr="0096339A" w:rsidRDefault="0096339A" w:rsidP="00321654">
            <w:pPr>
              <w:tabs>
                <w:tab w:val="clear" w:pos="1814"/>
                <w:tab w:val="clear" w:pos="2381"/>
                <w:tab w:val="clear" w:pos="2948"/>
                <w:tab w:val="clear" w:pos="3515"/>
              </w:tabs>
              <w:rPr>
                <w:rFonts w:eastAsia="SimSun"/>
                <w:lang w:val="fr-FR"/>
              </w:rPr>
            </w:pPr>
            <w:r w:rsidRPr="0096339A">
              <w:rPr>
                <w:rFonts w:eastAsia="SimSun"/>
                <w:lang w:val="fr-FR"/>
              </w:rPr>
              <w:t xml:space="preserve">b) hygromètres; </w:t>
            </w:r>
          </w:p>
          <w:p w:rsidR="0096339A" w:rsidRPr="0096339A" w:rsidRDefault="0096339A" w:rsidP="00321654">
            <w:pPr>
              <w:tabs>
                <w:tab w:val="clear" w:pos="1814"/>
                <w:tab w:val="clear" w:pos="2381"/>
                <w:tab w:val="clear" w:pos="2948"/>
                <w:tab w:val="clear" w:pos="3515"/>
              </w:tabs>
              <w:rPr>
                <w:rFonts w:eastAsia="SimSun"/>
                <w:lang w:val="fr-FR"/>
              </w:rPr>
            </w:pPr>
            <w:r w:rsidRPr="0096339A">
              <w:rPr>
                <w:rFonts w:eastAsia="SimSun"/>
                <w:lang w:val="fr-FR"/>
              </w:rPr>
              <w:t xml:space="preserve">c) manomètres; </w:t>
            </w:r>
          </w:p>
          <w:p w:rsidR="0096339A" w:rsidRPr="00D76EAA" w:rsidRDefault="0096339A" w:rsidP="00321654">
            <w:pPr>
              <w:tabs>
                <w:tab w:val="clear" w:pos="1814"/>
                <w:tab w:val="clear" w:pos="2381"/>
                <w:tab w:val="clear" w:pos="2948"/>
                <w:tab w:val="clear" w:pos="3515"/>
              </w:tabs>
              <w:rPr>
                <w:rFonts w:eastAsia="SimSun"/>
              </w:rPr>
            </w:pPr>
            <w:r w:rsidRPr="00D76EAA">
              <w:rPr>
                <w:rFonts w:eastAsia="SimSun"/>
              </w:rPr>
              <w:t>d) thermomètres;</w:t>
            </w:r>
          </w:p>
          <w:p w:rsidR="0096339A" w:rsidRPr="00D76EAA" w:rsidRDefault="0096339A" w:rsidP="00321654">
            <w:pPr>
              <w:keepNext/>
              <w:keepLines/>
              <w:tabs>
                <w:tab w:val="clear" w:pos="1814"/>
                <w:tab w:val="clear" w:pos="2381"/>
                <w:tab w:val="clear" w:pos="2948"/>
                <w:tab w:val="clear" w:pos="3515"/>
              </w:tabs>
              <w:spacing w:after="80"/>
              <w:rPr>
                <w:rFonts w:eastAsia="SimSun"/>
                <w:szCs w:val="18"/>
              </w:rPr>
            </w:pPr>
            <w:r w:rsidRPr="00D76EAA">
              <w:rPr>
                <w:rFonts w:eastAsia="SimSun"/>
              </w:rPr>
              <w:t>e) sphygmomanomètres</w:t>
            </w:r>
          </w:p>
        </w:tc>
        <w:tc>
          <w:tcPr>
            <w:tcW w:w="3402" w:type="dxa"/>
            <w:gridSpan w:val="3"/>
            <w:shd w:val="clear" w:color="auto" w:fill="auto"/>
          </w:tcPr>
          <w:p w:rsidR="0096339A" w:rsidRPr="00D76EAA" w:rsidRDefault="0096339A" w:rsidP="00321654">
            <w:pPr>
              <w:keepNext/>
              <w:keepLines/>
              <w:spacing w:after="80"/>
              <w:rPr>
                <w:rFonts w:eastAsia="SimSun"/>
                <w:szCs w:val="18"/>
              </w:rPr>
            </w:pPr>
          </w:p>
        </w:tc>
        <w:tc>
          <w:tcPr>
            <w:tcW w:w="1843" w:type="dxa"/>
            <w:shd w:val="clear" w:color="auto" w:fill="auto"/>
          </w:tcPr>
          <w:p w:rsidR="0096339A" w:rsidRPr="00D76EAA" w:rsidRDefault="0096339A" w:rsidP="00321654">
            <w:pPr>
              <w:keepNext/>
              <w:keepLines/>
              <w:tabs>
                <w:tab w:val="clear" w:pos="3515"/>
                <w:tab w:val="left" w:pos="601"/>
                <w:tab w:val="left" w:pos="3011"/>
              </w:tabs>
              <w:spacing w:after="80"/>
              <w:ind w:left="-84" w:firstLine="84"/>
              <w:rPr>
                <w:rFonts w:eastAsia="SimSun"/>
                <w:szCs w:val="18"/>
              </w:rPr>
            </w:pPr>
          </w:p>
        </w:tc>
      </w:tr>
      <w:tr w:rsidR="0096339A" w:rsidRPr="00F16160" w:rsidTr="00321654">
        <w:tc>
          <w:tcPr>
            <w:tcW w:w="9748" w:type="dxa"/>
            <w:gridSpan w:val="7"/>
            <w:shd w:val="clear" w:color="auto" w:fill="auto"/>
          </w:tcPr>
          <w:p w:rsidR="0096339A" w:rsidRPr="0096339A" w:rsidRDefault="0096339A" w:rsidP="00321654">
            <w:pPr>
              <w:pStyle w:val="Normal-pool"/>
              <w:spacing w:before="120" w:after="120"/>
              <w:rPr>
                <w:rStyle w:val="DeltaViewInsertion"/>
                <w:rFonts w:eastAsia="SimSun"/>
                <w:color w:val="auto"/>
                <w:u w:val="none"/>
                <w:lang w:val="fr-FR"/>
              </w:rPr>
            </w:pPr>
            <w:bookmarkStart w:id="5" w:name="_DV_C111"/>
            <w:r w:rsidRPr="0096339A">
              <w:rPr>
                <w:rStyle w:val="DeltaViewInsertion"/>
                <w:rFonts w:eastAsia="SimSun"/>
                <w:color w:val="auto"/>
                <w:u w:val="none"/>
                <w:lang w:val="fr-FR"/>
              </w:rPr>
              <w:t>Prière de joindre, pour chacune des catégories de produits visées dans la première partie de l’Annexe A, une déclaration expliquant la nécessité d’une dérogation</w:t>
            </w:r>
            <w:bookmarkEnd w:id="5"/>
            <w:r w:rsidRPr="0096339A">
              <w:rPr>
                <w:rStyle w:val="DeltaViewInsertion"/>
                <w:rFonts w:eastAsia="SimSun"/>
                <w:color w:val="auto"/>
                <w:u w:val="none"/>
                <w:lang w:val="fr-FR"/>
              </w:rPr>
              <w:t>.</w:t>
            </w:r>
          </w:p>
          <w:p w:rsidR="0096339A" w:rsidRPr="0096339A" w:rsidRDefault="0096339A" w:rsidP="00321654">
            <w:pPr>
              <w:pStyle w:val="Normal-pool"/>
              <w:spacing w:before="120" w:after="120"/>
              <w:rPr>
                <w:rStyle w:val="DeltaViewInsertion"/>
                <w:rFonts w:eastAsia="SimSun"/>
                <w:color w:val="auto"/>
                <w:u w:val="none"/>
                <w:lang w:val="fr-FR"/>
              </w:rPr>
            </w:pPr>
            <w:r w:rsidRPr="0096339A">
              <w:rPr>
                <w:rStyle w:val="DeltaViewInsertion"/>
                <w:rFonts w:eastAsia="SimSun"/>
                <w:color w:val="auto"/>
                <w:u w:val="none"/>
                <w:lang w:val="fr-FR"/>
              </w:rPr>
              <w:t>Le cas échéant, chaque Partie peut inclure dans ses explications sur la nécessité d’une dérogation, ou ajouter à ces dernières, des informations sur :</w:t>
            </w:r>
          </w:p>
          <w:p w:rsidR="0096339A" w:rsidRPr="0096339A" w:rsidRDefault="0096339A" w:rsidP="0096339A">
            <w:pPr>
              <w:pStyle w:val="Normal-pool"/>
              <w:numPr>
                <w:ilvl w:val="0"/>
                <w:numId w:val="33"/>
              </w:numPr>
              <w:tabs>
                <w:tab w:val="clear" w:pos="1247"/>
                <w:tab w:val="left" w:pos="851"/>
              </w:tabs>
              <w:spacing w:after="120"/>
              <w:ind w:left="850" w:hanging="493"/>
              <w:rPr>
                <w:rStyle w:val="DeltaViewInsertion"/>
                <w:rFonts w:eastAsia="SimSun"/>
                <w:color w:val="auto"/>
                <w:u w:val="none"/>
                <w:lang w:val="fr-FR"/>
              </w:rPr>
            </w:pPr>
            <w:r w:rsidRPr="0096339A">
              <w:rPr>
                <w:lang w:val="fr-FR"/>
              </w:rPr>
              <w:t>Tout calendrier ou plan d’action adopté concernant l’arrêt progressif des importations, des exportations ou de la fabrication, ou la modification des spécifications de fabrication de façon à respecter les teneurs en mercure des produits figurant dans l’annexe A;</w:t>
            </w:r>
          </w:p>
          <w:p w:rsidR="0096339A" w:rsidRPr="00D76EAA" w:rsidRDefault="0096339A" w:rsidP="0096339A">
            <w:pPr>
              <w:pStyle w:val="Normal-pool"/>
              <w:numPr>
                <w:ilvl w:val="0"/>
                <w:numId w:val="33"/>
              </w:numPr>
              <w:tabs>
                <w:tab w:val="clear" w:pos="1247"/>
                <w:tab w:val="left" w:pos="851"/>
              </w:tabs>
              <w:spacing w:after="120"/>
              <w:ind w:left="850" w:hanging="493"/>
              <w:rPr>
                <w:rFonts w:eastAsia="SimSun"/>
                <w:lang w:val="fr-FR"/>
              </w:rPr>
            </w:pPr>
            <w:r w:rsidRPr="0096339A">
              <w:rPr>
                <w:rStyle w:val="DeltaViewInsertion"/>
                <w:rFonts w:eastAsia="SimSun"/>
                <w:color w:val="auto"/>
                <w:u w:val="none"/>
                <w:lang w:val="fr-FR"/>
              </w:rPr>
              <w:t xml:space="preserve">Les stocks </w:t>
            </w:r>
            <w:r w:rsidRPr="0096339A">
              <w:rPr>
                <w:lang w:val="fr-FR"/>
              </w:rPr>
              <w:t>disponibles</w:t>
            </w:r>
            <w:r w:rsidRPr="0096339A">
              <w:rPr>
                <w:rStyle w:val="DeltaViewInsertion"/>
                <w:rFonts w:eastAsia="SimSun"/>
                <w:color w:val="auto"/>
                <w:u w:val="none"/>
                <w:lang w:val="fr-FR"/>
              </w:rPr>
              <w:t xml:space="preserve"> au niveau national pour les produits considérés.</w:t>
            </w:r>
          </w:p>
        </w:tc>
      </w:tr>
      <w:tr w:rsidR="0096339A" w:rsidRPr="00F16160" w:rsidTr="00321654">
        <w:trPr>
          <w:trHeight w:val="443"/>
        </w:trPr>
        <w:tc>
          <w:tcPr>
            <w:tcW w:w="9748" w:type="dxa"/>
            <w:gridSpan w:val="7"/>
            <w:shd w:val="clear" w:color="auto" w:fill="000000"/>
            <w:vAlign w:val="center"/>
          </w:tcPr>
          <w:p w:rsidR="0096339A" w:rsidRPr="0096339A" w:rsidRDefault="0096339A" w:rsidP="00321654">
            <w:pPr>
              <w:rPr>
                <w:b/>
                <w:szCs w:val="18"/>
                <w:lang w:val="fr-FR"/>
              </w:rPr>
            </w:pPr>
            <w:r w:rsidRPr="0096339A">
              <w:rPr>
                <w:b/>
                <w:szCs w:val="18"/>
                <w:lang w:val="fr-FR"/>
              </w:rPr>
              <w:t>LA PRÉSENTE NOTIFICATION EST ADRESSÉE PAR :</w:t>
            </w:r>
          </w:p>
        </w:tc>
      </w:tr>
      <w:tr w:rsidR="0096339A" w:rsidRPr="00D76EAA" w:rsidTr="00321654">
        <w:tc>
          <w:tcPr>
            <w:tcW w:w="2377" w:type="dxa"/>
            <w:shd w:val="clear" w:color="auto" w:fill="auto"/>
          </w:tcPr>
          <w:p w:rsidR="0096339A" w:rsidRPr="00D76EAA" w:rsidRDefault="0096339A" w:rsidP="00321654">
            <w:pPr>
              <w:rPr>
                <w:rFonts w:eastAsia="SimSun"/>
              </w:rPr>
            </w:pPr>
            <w:r w:rsidRPr="00D76EAA">
              <w:rPr>
                <w:rFonts w:eastAsia="SimSun"/>
              </w:rPr>
              <w:t>Nom</w:t>
            </w:r>
            <w:r>
              <w:rPr>
                <w:rFonts w:eastAsia="SimSun"/>
              </w:rPr>
              <w:t> :</w:t>
            </w:r>
          </w:p>
        </w:tc>
        <w:tc>
          <w:tcPr>
            <w:tcW w:w="5387" w:type="dxa"/>
            <w:gridSpan w:val="4"/>
            <w:shd w:val="clear" w:color="auto" w:fill="auto"/>
          </w:tcPr>
          <w:p w:rsidR="0096339A" w:rsidRPr="00D76EAA" w:rsidRDefault="0096339A" w:rsidP="00321654">
            <w:pPr>
              <w:rPr>
                <w:rFonts w:eastAsia="SimSun"/>
              </w:rPr>
            </w:pPr>
          </w:p>
        </w:tc>
        <w:tc>
          <w:tcPr>
            <w:tcW w:w="1984" w:type="dxa"/>
            <w:gridSpan w:val="2"/>
            <w:shd w:val="clear" w:color="auto" w:fill="auto"/>
          </w:tcPr>
          <w:p w:rsidR="0096339A" w:rsidRPr="00D76EAA" w:rsidRDefault="0096339A" w:rsidP="00321654">
            <w:pPr>
              <w:rPr>
                <w:rFonts w:eastAsia="SimSun"/>
              </w:rPr>
            </w:pPr>
          </w:p>
        </w:tc>
      </w:tr>
      <w:tr w:rsidR="0096339A" w:rsidRPr="00D76EAA" w:rsidTr="00321654">
        <w:tc>
          <w:tcPr>
            <w:tcW w:w="2377" w:type="dxa"/>
            <w:shd w:val="clear" w:color="auto" w:fill="auto"/>
          </w:tcPr>
          <w:p w:rsidR="0096339A" w:rsidRPr="00D76EAA" w:rsidRDefault="0096339A" w:rsidP="00321654">
            <w:pPr>
              <w:rPr>
                <w:rFonts w:eastAsia="SimSun"/>
              </w:rPr>
            </w:pPr>
            <w:r w:rsidRPr="00D76EAA">
              <w:rPr>
                <w:rFonts w:eastAsia="SimSun"/>
              </w:rPr>
              <w:t>Institution/département</w:t>
            </w:r>
            <w:r>
              <w:rPr>
                <w:rFonts w:eastAsia="SimSun"/>
              </w:rPr>
              <w:t> :</w:t>
            </w:r>
          </w:p>
        </w:tc>
        <w:tc>
          <w:tcPr>
            <w:tcW w:w="5387" w:type="dxa"/>
            <w:gridSpan w:val="4"/>
            <w:shd w:val="clear" w:color="auto" w:fill="auto"/>
          </w:tcPr>
          <w:p w:rsidR="0096339A" w:rsidRPr="00D76EAA" w:rsidRDefault="0096339A" w:rsidP="00321654">
            <w:pPr>
              <w:rPr>
                <w:rFonts w:eastAsia="SimSun"/>
              </w:rPr>
            </w:pPr>
          </w:p>
        </w:tc>
        <w:tc>
          <w:tcPr>
            <w:tcW w:w="1984" w:type="dxa"/>
            <w:gridSpan w:val="2"/>
            <w:shd w:val="clear" w:color="auto" w:fill="auto"/>
          </w:tcPr>
          <w:p w:rsidR="0096339A" w:rsidRPr="00D76EAA" w:rsidRDefault="0096339A" w:rsidP="00321654">
            <w:pPr>
              <w:rPr>
                <w:rFonts w:eastAsia="SimSun"/>
              </w:rPr>
            </w:pPr>
          </w:p>
        </w:tc>
      </w:tr>
      <w:tr w:rsidR="0096339A" w:rsidRPr="00D76EAA" w:rsidTr="00321654">
        <w:tc>
          <w:tcPr>
            <w:tcW w:w="2377" w:type="dxa"/>
            <w:shd w:val="clear" w:color="auto" w:fill="auto"/>
          </w:tcPr>
          <w:p w:rsidR="0096339A" w:rsidRPr="00D76EAA" w:rsidRDefault="0096339A" w:rsidP="00321654">
            <w:pPr>
              <w:rPr>
                <w:rFonts w:eastAsia="SimSun"/>
              </w:rPr>
            </w:pPr>
            <w:r w:rsidRPr="00D76EAA">
              <w:rPr>
                <w:rFonts w:eastAsia="SimSun"/>
              </w:rPr>
              <w:t>Adresse</w:t>
            </w:r>
            <w:r>
              <w:rPr>
                <w:rFonts w:eastAsia="SimSun"/>
              </w:rPr>
              <w:t xml:space="preserve"> : </w:t>
            </w:r>
          </w:p>
        </w:tc>
        <w:tc>
          <w:tcPr>
            <w:tcW w:w="5387" w:type="dxa"/>
            <w:gridSpan w:val="4"/>
            <w:shd w:val="clear" w:color="auto" w:fill="auto"/>
          </w:tcPr>
          <w:p w:rsidR="0096339A" w:rsidRPr="00D76EAA" w:rsidRDefault="0096339A" w:rsidP="00321654">
            <w:pPr>
              <w:rPr>
                <w:rFonts w:eastAsia="SimSun"/>
              </w:rPr>
            </w:pPr>
          </w:p>
        </w:tc>
        <w:tc>
          <w:tcPr>
            <w:tcW w:w="1984" w:type="dxa"/>
            <w:gridSpan w:val="2"/>
            <w:shd w:val="clear" w:color="auto" w:fill="auto"/>
          </w:tcPr>
          <w:p w:rsidR="0096339A" w:rsidRPr="00D76EAA" w:rsidRDefault="0096339A" w:rsidP="00321654">
            <w:pPr>
              <w:rPr>
                <w:rFonts w:eastAsia="SimSun"/>
              </w:rPr>
            </w:pPr>
          </w:p>
        </w:tc>
      </w:tr>
      <w:tr w:rsidR="0096339A" w:rsidRPr="00D76EAA" w:rsidTr="00321654">
        <w:tc>
          <w:tcPr>
            <w:tcW w:w="3228" w:type="dxa"/>
            <w:gridSpan w:val="2"/>
            <w:shd w:val="clear" w:color="auto" w:fill="auto"/>
          </w:tcPr>
          <w:p w:rsidR="0096339A" w:rsidRPr="00D76EAA" w:rsidRDefault="0096339A" w:rsidP="00321654">
            <w:pPr>
              <w:rPr>
                <w:rFonts w:eastAsia="SimSun"/>
              </w:rPr>
            </w:pPr>
            <w:r w:rsidRPr="00D76EAA">
              <w:rPr>
                <w:rFonts w:eastAsia="SimSun"/>
              </w:rPr>
              <w:t>Téléphone</w:t>
            </w:r>
            <w:r w:rsidR="00A265EC">
              <w:rPr>
                <w:rFonts w:eastAsia="SimSun"/>
              </w:rPr>
              <w:t> </w:t>
            </w:r>
            <w:r w:rsidRPr="00D76EAA">
              <w:rPr>
                <w:rFonts w:eastAsia="SimSun"/>
              </w:rPr>
              <w:t>:</w:t>
            </w:r>
          </w:p>
        </w:tc>
        <w:tc>
          <w:tcPr>
            <w:tcW w:w="2551" w:type="dxa"/>
            <w:gridSpan w:val="2"/>
            <w:shd w:val="clear" w:color="auto" w:fill="auto"/>
          </w:tcPr>
          <w:p w:rsidR="0096339A" w:rsidRPr="00D76EAA" w:rsidRDefault="0096339A" w:rsidP="00A265EC">
            <w:pPr>
              <w:rPr>
                <w:rFonts w:eastAsia="SimSun"/>
              </w:rPr>
            </w:pPr>
            <w:r w:rsidRPr="00D76EAA">
              <w:rPr>
                <w:rFonts w:eastAsia="SimSun"/>
              </w:rPr>
              <w:t>Fax</w:t>
            </w:r>
            <w:r w:rsidR="00A265EC">
              <w:rPr>
                <w:rFonts w:eastAsia="SimSun"/>
              </w:rPr>
              <w:t> </w:t>
            </w:r>
            <w:r w:rsidRPr="00D76EAA">
              <w:rPr>
                <w:rFonts w:eastAsia="SimSun"/>
              </w:rPr>
              <w:t>:</w:t>
            </w:r>
          </w:p>
        </w:tc>
        <w:tc>
          <w:tcPr>
            <w:tcW w:w="1985" w:type="dxa"/>
            <w:shd w:val="clear" w:color="auto" w:fill="auto"/>
          </w:tcPr>
          <w:p w:rsidR="0096339A" w:rsidRPr="00D76EAA" w:rsidRDefault="0096339A" w:rsidP="00A265EC">
            <w:pPr>
              <w:rPr>
                <w:rFonts w:eastAsia="SimSun"/>
              </w:rPr>
            </w:pPr>
            <w:r w:rsidRPr="00D76EAA">
              <w:rPr>
                <w:rFonts w:eastAsia="SimSun"/>
              </w:rPr>
              <w:t>Mél</w:t>
            </w:r>
            <w:r w:rsidR="00A265EC">
              <w:rPr>
                <w:rFonts w:eastAsia="SimSun"/>
              </w:rPr>
              <w:t> </w:t>
            </w:r>
            <w:r w:rsidRPr="00D76EAA">
              <w:rPr>
                <w:rFonts w:eastAsia="SimSun"/>
              </w:rPr>
              <w:t>:</w:t>
            </w:r>
          </w:p>
        </w:tc>
        <w:tc>
          <w:tcPr>
            <w:tcW w:w="1984" w:type="dxa"/>
            <w:gridSpan w:val="2"/>
            <w:shd w:val="clear" w:color="auto" w:fill="auto"/>
          </w:tcPr>
          <w:p w:rsidR="0096339A" w:rsidRPr="00D76EAA" w:rsidRDefault="0096339A" w:rsidP="00321654">
            <w:pPr>
              <w:rPr>
                <w:rFonts w:eastAsia="SimSun"/>
              </w:rPr>
            </w:pPr>
          </w:p>
        </w:tc>
      </w:tr>
      <w:tr w:rsidR="0096339A" w:rsidRPr="00D76EAA" w:rsidTr="00321654">
        <w:tc>
          <w:tcPr>
            <w:tcW w:w="2377" w:type="dxa"/>
            <w:tcBorders>
              <w:bottom w:val="single" w:sz="4" w:space="0" w:color="auto"/>
            </w:tcBorders>
            <w:shd w:val="clear" w:color="auto" w:fill="auto"/>
          </w:tcPr>
          <w:p w:rsidR="0096339A" w:rsidRPr="00D76EAA" w:rsidRDefault="0096339A" w:rsidP="00321654">
            <w:pPr>
              <w:rPr>
                <w:rFonts w:eastAsia="SimSun"/>
              </w:rPr>
            </w:pPr>
            <w:r w:rsidRPr="00D76EAA">
              <w:rPr>
                <w:rFonts w:eastAsia="SimSun"/>
              </w:rPr>
              <w:t>Signature</w:t>
            </w:r>
            <w:r>
              <w:rPr>
                <w:rFonts w:eastAsia="SimSun"/>
              </w:rPr>
              <w:t xml:space="preserve"> : </w:t>
            </w:r>
          </w:p>
        </w:tc>
        <w:tc>
          <w:tcPr>
            <w:tcW w:w="3402" w:type="dxa"/>
            <w:gridSpan w:val="3"/>
            <w:tcBorders>
              <w:bottom w:val="single" w:sz="4" w:space="0" w:color="auto"/>
            </w:tcBorders>
            <w:shd w:val="clear" w:color="auto" w:fill="auto"/>
          </w:tcPr>
          <w:p w:rsidR="0096339A" w:rsidRPr="00D76EAA" w:rsidRDefault="0096339A" w:rsidP="00321654">
            <w:pPr>
              <w:rPr>
                <w:rFonts w:eastAsia="SimSun"/>
              </w:rPr>
            </w:pPr>
          </w:p>
        </w:tc>
        <w:tc>
          <w:tcPr>
            <w:tcW w:w="1985" w:type="dxa"/>
            <w:tcBorders>
              <w:bottom w:val="single" w:sz="4" w:space="0" w:color="auto"/>
            </w:tcBorders>
            <w:shd w:val="clear" w:color="auto" w:fill="auto"/>
          </w:tcPr>
          <w:p w:rsidR="0096339A" w:rsidRPr="00D76EAA" w:rsidRDefault="0096339A" w:rsidP="00A265EC">
            <w:pPr>
              <w:rPr>
                <w:rFonts w:eastAsia="SimSun"/>
              </w:rPr>
            </w:pPr>
            <w:r w:rsidRPr="00D76EAA">
              <w:rPr>
                <w:rFonts w:eastAsia="SimSun"/>
              </w:rPr>
              <w:t>Date</w:t>
            </w:r>
            <w:r w:rsidR="00A265EC">
              <w:rPr>
                <w:rFonts w:eastAsia="SimSun"/>
              </w:rPr>
              <w:t> </w:t>
            </w:r>
            <w:r w:rsidRPr="00D76EAA">
              <w:rPr>
                <w:rFonts w:eastAsia="SimSun"/>
              </w:rPr>
              <w:t>: (</w:t>
            </w:r>
            <w:r w:rsidRPr="00D76EAA">
              <w:rPr>
                <w:rFonts w:eastAsia="SimSun"/>
                <w:i/>
              </w:rPr>
              <w:t>jj/mm/aaaa</w:t>
            </w:r>
            <w:r w:rsidRPr="00D76EAA">
              <w:rPr>
                <w:rFonts w:eastAsia="SimSun"/>
              </w:rPr>
              <w:t>)</w:t>
            </w:r>
          </w:p>
        </w:tc>
        <w:tc>
          <w:tcPr>
            <w:tcW w:w="1984" w:type="dxa"/>
            <w:gridSpan w:val="2"/>
            <w:tcBorders>
              <w:bottom w:val="single" w:sz="4" w:space="0" w:color="auto"/>
            </w:tcBorders>
            <w:shd w:val="clear" w:color="auto" w:fill="auto"/>
          </w:tcPr>
          <w:p w:rsidR="0096339A" w:rsidRPr="00D76EAA" w:rsidRDefault="0096339A" w:rsidP="00321654">
            <w:pPr>
              <w:rPr>
                <w:rFonts w:eastAsia="SimSun"/>
              </w:rPr>
            </w:pPr>
          </w:p>
        </w:tc>
      </w:tr>
      <w:tr w:rsidR="0096339A" w:rsidRPr="00D76EAA" w:rsidTr="00321654">
        <w:tc>
          <w:tcPr>
            <w:tcW w:w="9748" w:type="dxa"/>
            <w:gridSpan w:val="7"/>
            <w:tcBorders>
              <w:bottom w:val="single" w:sz="4" w:space="0" w:color="auto"/>
            </w:tcBorders>
            <w:shd w:val="clear" w:color="auto" w:fill="auto"/>
          </w:tcPr>
          <w:p w:rsidR="0096339A" w:rsidRPr="00D76EAA" w:rsidRDefault="0096339A" w:rsidP="00321654">
            <w:pPr>
              <w:rPr>
                <w:rFonts w:eastAsia="SimSun"/>
              </w:rPr>
            </w:pPr>
          </w:p>
        </w:tc>
      </w:tr>
      <w:tr w:rsidR="0096339A" w:rsidRPr="00F16160" w:rsidTr="00321654">
        <w:trPr>
          <w:trHeight w:val="339"/>
        </w:trPr>
        <w:tc>
          <w:tcPr>
            <w:tcW w:w="9748" w:type="dxa"/>
            <w:gridSpan w:val="7"/>
            <w:shd w:val="clear" w:color="auto" w:fill="000000"/>
            <w:vAlign w:val="center"/>
          </w:tcPr>
          <w:p w:rsidR="0096339A" w:rsidRPr="0096339A" w:rsidRDefault="0096339A" w:rsidP="00321654">
            <w:pPr>
              <w:rPr>
                <w:rFonts w:eastAsia="SimSun"/>
                <w:szCs w:val="24"/>
                <w:lang w:val="fr-FR"/>
              </w:rPr>
            </w:pPr>
            <w:r w:rsidRPr="0096339A">
              <w:rPr>
                <w:b/>
                <w:szCs w:val="18"/>
                <w:lang w:val="fr-FR"/>
              </w:rPr>
              <w:t>VEUILLEZ RENVOYER LE FORMULAIRE REMPLI AU :</w:t>
            </w:r>
          </w:p>
        </w:tc>
      </w:tr>
      <w:tr w:rsidR="0096339A" w:rsidRPr="00F16160" w:rsidTr="00321654">
        <w:tc>
          <w:tcPr>
            <w:tcW w:w="5779" w:type="dxa"/>
            <w:gridSpan w:val="4"/>
            <w:shd w:val="clear" w:color="auto" w:fill="auto"/>
            <w:vAlign w:val="center"/>
          </w:tcPr>
          <w:p w:rsidR="0096339A" w:rsidRPr="0096339A" w:rsidRDefault="0096339A" w:rsidP="00321654">
            <w:pPr>
              <w:pBdr>
                <w:bottom w:val="single" w:sz="4" w:space="1" w:color="auto"/>
              </w:pBdr>
              <w:rPr>
                <w:lang w:val="fr-FR"/>
              </w:rPr>
            </w:pPr>
            <w:r w:rsidRPr="0096339A">
              <w:rPr>
                <w:lang w:val="fr-FR"/>
              </w:rPr>
              <w:t>Secrétariat de la Convention de Minamata sur le mercure</w:t>
            </w:r>
          </w:p>
          <w:p w:rsidR="0096339A" w:rsidRPr="0096339A" w:rsidRDefault="0096339A" w:rsidP="00321654">
            <w:pPr>
              <w:pBdr>
                <w:bottom w:val="single" w:sz="4" w:space="1" w:color="auto"/>
              </w:pBdr>
              <w:rPr>
                <w:lang w:val="fr-FR"/>
              </w:rPr>
            </w:pPr>
            <w:r w:rsidRPr="0096339A">
              <w:rPr>
                <w:lang w:val="fr-FR"/>
              </w:rPr>
              <w:t>Programme des Nations Unies pour l’environnement (PNUE)</w:t>
            </w:r>
          </w:p>
          <w:p w:rsidR="0096339A" w:rsidRPr="0096339A" w:rsidRDefault="0096339A" w:rsidP="00321654">
            <w:pPr>
              <w:pBdr>
                <w:bottom w:val="single" w:sz="4" w:space="1" w:color="auto"/>
              </w:pBdr>
              <w:rPr>
                <w:lang w:val="fr-FR"/>
              </w:rPr>
            </w:pPr>
            <w:r w:rsidRPr="0096339A">
              <w:rPr>
                <w:lang w:val="fr-FR"/>
              </w:rPr>
              <w:t>11–13, chemin des Anémones, CH–1219 Châtelaine</w:t>
            </w:r>
          </w:p>
          <w:p w:rsidR="0096339A" w:rsidRPr="0096339A" w:rsidRDefault="0096339A" w:rsidP="00321654">
            <w:pPr>
              <w:pBdr>
                <w:bottom w:val="single" w:sz="4" w:space="1" w:color="auto"/>
              </w:pBdr>
              <w:rPr>
                <w:rFonts w:eastAsia="SimSun"/>
                <w:szCs w:val="24"/>
                <w:lang w:val="fr-FR"/>
              </w:rPr>
            </w:pPr>
            <w:r w:rsidRPr="0096339A">
              <w:rPr>
                <w:lang w:val="fr-FR"/>
              </w:rPr>
              <w:t>Genève (Suisse)</w:t>
            </w:r>
          </w:p>
        </w:tc>
        <w:tc>
          <w:tcPr>
            <w:tcW w:w="3969" w:type="dxa"/>
            <w:gridSpan w:val="3"/>
            <w:shd w:val="clear" w:color="auto" w:fill="auto"/>
            <w:vAlign w:val="center"/>
          </w:tcPr>
          <w:p w:rsidR="0096339A" w:rsidRPr="0096339A" w:rsidRDefault="0096339A" w:rsidP="00321654">
            <w:pPr>
              <w:rPr>
                <w:lang w:val="fr-FR"/>
              </w:rPr>
            </w:pPr>
            <w:r w:rsidRPr="0096339A">
              <w:rPr>
                <w:lang w:val="fr-FR"/>
              </w:rPr>
              <w:t>Fax : +41 22 797 3460</w:t>
            </w:r>
          </w:p>
          <w:p w:rsidR="0096339A" w:rsidRPr="0096339A" w:rsidRDefault="0096339A" w:rsidP="00321654">
            <w:pPr>
              <w:rPr>
                <w:rFonts w:eastAsia="SimSun"/>
                <w:szCs w:val="24"/>
                <w:lang w:val="fr-FR"/>
              </w:rPr>
            </w:pPr>
            <w:r w:rsidRPr="0096339A">
              <w:rPr>
                <w:lang w:val="fr-FR"/>
              </w:rPr>
              <w:t>Mél : mercury.chemicals@unep.org</w:t>
            </w:r>
          </w:p>
        </w:tc>
      </w:tr>
    </w:tbl>
    <w:p w:rsidR="0096339A" w:rsidRPr="00D76EAA" w:rsidRDefault="0096339A" w:rsidP="0096339A">
      <w:pPr>
        <w:pStyle w:val="ZZAnxtitle"/>
        <w:rPr>
          <w:lang w:val="fr-FR"/>
        </w:rPr>
      </w:pPr>
      <w:r>
        <w:rPr>
          <w:lang w:val="fr-FR"/>
        </w:rPr>
        <w:br w:type="page"/>
      </w:r>
      <w:r w:rsidRPr="00D76EAA">
        <w:rPr>
          <w:lang w:val="fr-FR"/>
        </w:rPr>
        <w:lastRenderedPageBreak/>
        <w:t>Annexe B : Procédés utilisant du mercure</w:t>
      </w:r>
    </w:p>
    <w:tbl>
      <w:tblPr>
        <w:tblW w:w="836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84"/>
        <w:gridCol w:w="567"/>
        <w:gridCol w:w="1275"/>
        <w:gridCol w:w="1276"/>
        <w:gridCol w:w="851"/>
        <w:gridCol w:w="283"/>
        <w:gridCol w:w="851"/>
        <w:gridCol w:w="1984"/>
      </w:tblGrid>
      <w:tr w:rsidR="0096339A" w:rsidRPr="00F16160" w:rsidTr="00085EC6">
        <w:trPr>
          <w:trHeight w:val="856"/>
        </w:trPr>
        <w:tc>
          <w:tcPr>
            <w:tcW w:w="8363" w:type="dxa"/>
            <w:gridSpan w:val="9"/>
            <w:shd w:val="clear" w:color="auto" w:fill="000000"/>
            <w:vAlign w:val="center"/>
          </w:tcPr>
          <w:p w:rsidR="0096339A" w:rsidRPr="00085EC6" w:rsidRDefault="0096339A" w:rsidP="00321654">
            <w:pPr>
              <w:rPr>
                <w:rFonts w:eastAsia="SimSun"/>
                <w:b/>
                <w:lang w:val="fr-FR"/>
              </w:rPr>
            </w:pPr>
            <w:r w:rsidRPr="00085EC6">
              <w:rPr>
                <w:rFonts w:eastAsia="SimSun"/>
                <w:b/>
                <w:lang w:val="fr-FR"/>
              </w:rPr>
              <w:t xml:space="preserve">ENREGISTREMENT </w:t>
            </w:r>
            <w:r w:rsidRPr="00085EC6">
              <w:rPr>
                <w:b/>
                <w:lang w:val="fr-FR"/>
              </w:rPr>
              <w:t>DE DÉROGATION AU TITRE DE L’ARTICLE 5</w:t>
            </w:r>
          </w:p>
        </w:tc>
      </w:tr>
      <w:tr w:rsidR="0096339A" w:rsidRPr="00085EC6" w:rsidTr="00085EC6">
        <w:tc>
          <w:tcPr>
            <w:tcW w:w="8363" w:type="dxa"/>
            <w:gridSpan w:val="9"/>
            <w:shd w:val="clear" w:color="auto" w:fill="auto"/>
          </w:tcPr>
          <w:p w:rsidR="0096339A" w:rsidRPr="00085EC6" w:rsidRDefault="0096339A" w:rsidP="00321654">
            <w:pPr>
              <w:rPr>
                <w:rStyle w:val="uficommentbody"/>
                <w:b/>
              </w:rPr>
            </w:pPr>
            <w:r w:rsidRPr="00085EC6">
              <w:rPr>
                <w:rStyle w:val="uficommentbody"/>
                <w:b/>
              </w:rPr>
              <w:t>PARTIE :</w:t>
            </w:r>
          </w:p>
          <w:p w:rsidR="0096339A" w:rsidRPr="00085EC6" w:rsidRDefault="0096339A" w:rsidP="00321654">
            <w:pPr>
              <w:rPr>
                <w:rFonts w:eastAsia="SimSun"/>
                <w:b/>
              </w:rPr>
            </w:pPr>
          </w:p>
        </w:tc>
      </w:tr>
      <w:tr w:rsidR="0096339A" w:rsidRPr="00F16160" w:rsidTr="00085EC6">
        <w:trPr>
          <w:trHeight w:val="522"/>
        </w:trPr>
        <w:tc>
          <w:tcPr>
            <w:tcW w:w="8363" w:type="dxa"/>
            <w:gridSpan w:val="9"/>
            <w:shd w:val="clear" w:color="auto" w:fill="auto"/>
            <w:vAlign w:val="center"/>
          </w:tcPr>
          <w:p w:rsidR="0096339A" w:rsidRPr="00085EC6" w:rsidRDefault="0096339A" w:rsidP="00A265EC">
            <w:pPr>
              <w:spacing w:after="80"/>
              <w:rPr>
                <w:rFonts w:eastAsia="SimSun"/>
                <w:lang w:val="fr-FR"/>
              </w:rPr>
            </w:pPr>
            <w:r w:rsidRPr="00085EC6">
              <w:rPr>
                <w:lang w:val="fr-FR"/>
              </w:rPr>
              <w:t xml:space="preserve">Par la présente, le </w:t>
            </w:r>
            <w:r w:rsidR="00914FB0" w:rsidRPr="00085EC6">
              <w:rPr>
                <w:lang w:val="fr-FR"/>
              </w:rPr>
              <w:t>s</w:t>
            </w:r>
            <w:r w:rsidRPr="00085EC6">
              <w:rPr>
                <w:lang w:val="fr-FR"/>
              </w:rPr>
              <w:t>ecrétariat de la Convention de Minamata est informé de l’enregistrement de la dérogation suiva</w:t>
            </w:r>
            <w:r w:rsidR="00A265EC">
              <w:rPr>
                <w:lang w:val="fr-FR"/>
              </w:rPr>
              <w:t>nte, conformément au paragraphe </w:t>
            </w:r>
            <w:r w:rsidRPr="00085EC6">
              <w:rPr>
                <w:lang w:val="fr-FR"/>
              </w:rPr>
              <w:t>1 de l’article</w:t>
            </w:r>
            <w:r w:rsidR="00A265EC">
              <w:rPr>
                <w:lang w:val="fr-FR"/>
              </w:rPr>
              <w:t> </w:t>
            </w:r>
            <w:r w:rsidRPr="00085EC6">
              <w:rPr>
                <w:lang w:val="fr-FR"/>
              </w:rPr>
              <w:t>6 de la Convention.</w:t>
            </w:r>
          </w:p>
        </w:tc>
      </w:tr>
      <w:tr w:rsidR="0096339A" w:rsidRPr="00F16160" w:rsidTr="00085EC6">
        <w:tc>
          <w:tcPr>
            <w:tcW w:w="3118" w:type="dxa"/>
            <w:gridSpan w:val="4"/>
            <w:shd w:val="clear" w:color="auto" w:fill="auto"/>
          </w:tcPr>
          <w:p w:rsidR="0096339A" w:rsidRPr="00085EC6" w:rsidRDefault="0096339A" w:rsidP="00321654">
            <w:pPr>
              <w:pStyle w:val="Normal-pool"/>
              <w:spacing w:after="80"/>
              <w:rPr>
                <w:rFonts w:eastAsia="SimSun"/>
                <w:b/>
                <w:lang w:val="fr-FR"/>
              </w:rPr>
            </w:pPr>
            <w:r w:rsidRPr="00085EC6">
              <w:rPr>
                <w:rFonts w:eastAsia="SimSun"/>
                <w:b/>
                <w:lang w:val="fr-FR"/>
              </w:rPr>
              <w:t xml:space="preserve">Procédés de fabrication </w:t>
            </w:r>
            <w:r w:rsidRPr="00085EC6">
              <w:rPr>
                <w:b/>
                <w:lang w:val="fr-FR"/>
              </w:rPr>
              <w:t xml:space="preserve">utilisant du mercure ou des composés du mercure </w:t>
            </w:r>
            <w:bookmarkStart w:id="6" w:name="_DV_C112"/>
            <w:r w:rsidRPr="00085EC6">
              <w:rPr>
                <w:rStyle w:val="DeltaViewInsertion"/>
                <w:rFonts w:eastAsia="SimSun"/>
                <w:b/>
                <w:color w:val="auto"/>
                <w:u w:val="none"/>
                <w:lang w:val="fr-FR"/>
              </w:rPr>
              <w:t>visés dans la première partie de l’Annexe B</w:t>
            </w:r>
            <w:bookmarkEnd w:id="6"/>
          </w:p>
        </w:tc>
        <w:tc>
          <w:tcPr>
            <w:tcW w:w="2410" w:type="dxa"/>
            <w:gridSpan w:val="3"/>
            <w:shd w:val="clear" w:color="auto" w:fill="auto"/>
          </w:tcPr>
          <w:p w:rsidR="0096339A" w:rsidRPr="00085EC6" w:rsidRDefault="0096339A" w:rsidP="00321654">
            <w:pPr>
              <w:spacing w:after="80"/>
              <w:rPr>
                <w:rStyle w:val="DeltaViewInsertion"/>
                <w:rFonts w:eastAsia="SimSun"/>
                <w:b/>
                <w:color w:val="auto"/>
                <w:u w:val="none"/>
                <w:lang w:val="fr-FR"/>
              </w:rPr>
            </w:pPr>
            <w:r w:rsidRPr="00085EC6">
              <w:rPr>
                <w:rStyle w:val="DeltaViewInsertion"/>
                <w:rFonts w:eastAsia="SimSun"/>
                <w:b/>
                <w:color w:val="auto"/>
                <w:u w:val="none"/>
                <w:lang w:val="fr-FR"/>
              </w:rPr>
              <w:t>Catégorie ou sous-catégorie pour laquelle la dérogation est enregistrée</w:t>
            </w:r>
          </w:p>
        </w:tc>
        <w:tc>
          <w:tcPr>
            <w:tcW w:w="2835" w:type="dxa"/>
            <w:gridSpan w:val="2"/>
            <w:shd w:val="clear" w:color="auto" w:fill="auto"/>
          </w:tcPr>
          <w:p w:rsidR="0096339A" w:rsidRPr="00085EC6" w:rsidRDefault="0096339A" w:rsidP="00321654">
            <w:pPr>
              <w:spacing w:after="80"/>
              <w:rPr>
                <w:rFonts w:eastAsia="SimSun"/>
                <w:lang w:val="fr-FR"/>
              </w:rPr>
            </w:pPr>
            <w:r w:rsidRPr="00085EC6">
              <w:rPr>
                <w:b/>
                <w:lang w:val="fr-FR"/>
              </w:rPr>
              <w:t xml:space="preserve">Durée de la dérogation </w:t>
            </w:r>
            <w:r w:rsidRPr="00085EC6">
              <w:rPr>
                <w:b/>
                <w:lang w:val="fr-FR"/>
              </w:rPr>
              <w:br/>
              <w:t xml:space="preserve">(si moins de </w:t>
            </w:r>
            <w:r w:rsidRPr="00085EC6">
              <w:rPr>
                <w:b/>
                <w:lang w:val="fr-FR" w:eastAsia="fr-CA"/>
              </w:rPr>
              <w:t>cinq ans après la date d’abandon définitif)</w:t>
            </w:r>
          </w:p>
        </w:tc>
      </w:tr>
      <w:tr w:rsidR="0096339A" w:rsidRPr="00085EC6" w:rsidTr="00085EC6">
        <w:tc>
          <w:tcPr>
            <w:tcW w:w="3118" w:type="dxa"/>
            <w:gridSpan w:val="4"/>
            <w:shd w:val="clear" w:color="auto" w:fill="auto"/>
          </w:tcPr>
          <w:p w:rsidR="0096339A" w:rsidRPr="00085EC6" w:rsidRDefault="0096339A" w:rsidP="00321654">
            <w:pPr>
              <w:spacing w:after="80"/>
              <w:rPr>
                <w:rFonts w:eastAsia="SimSun"/>
              </w:rPr>
            </w:pPr>
            <w:r w:rsidRPr="00085EC6">
              <w:t>Production de chlore</w:t>
            </w:r>
            <w:r w:rsidRPr="00085EC6">
              <w:noBreakHyphen/>
              <w:t>alcali</w:t>
            </w:r>
          </w:p>
        </w:tc>
        <w:tc>
          <w:tcPr>
            <w:tcW w:w="2410" w:type="dxa"/>
            <w:gridSpan w:val="3"/>
            <w:shd w:val="clear" w:color="auto" w:fill="auto"/>
          </w:tcPr>
          <w:p w:rsidR="0096339A" w:rsidRPr="00085EC6" w:rsidRDefault="0096339A" w:rsidP="00321654">
            <w:pPr>
              <w:spacing w:after="80"/>
              <w:rPr>
                <w:rFonts w:eastAsia="SimSun"/>
              </w:rPr>
            </w:pPr>
          </w:p>
        </w:tc>
        <w:tc>
          <w:tcPr>
            <w:tcW w:w="2835" w:type="dxa"/>
            <w:gridSpan w:val="2"/>
            <w:shd w:val="clear" w:color="auto" w:fill="auto"/>
          </w:tcPr>
          <w:p w:rsidR="0096339A" w:rsidRPr="00085EC6" w:rsidRDefault="0096339A" w:rsidP="00321654">
            <w:pPr>
              <w:spacing w:after="80"/>
              <w:rPr>
                <w:rFonts w:eastAsia="SimSun"/>
              </w:rPr>
            </w:pPr>
          </w:p>
        </w:tc>
      </w:tr>
      <w:tr w:rsidR="0096339A" w:rsidRPr="00F16160" w:rsidTr="00085EC6">
        <w:tc>
          <w:tcPr>
            <w:tcW w:w="3118" w:type="dxa"/>
            <w:gridSpan w:val="4"/>
            <w:shd w:val="clear" w:color="auto" w:fill="auto"/>
          </w:tcPr>
          <w:p w:rsidR="0096339A" w:rsidRPr="00085EC6" w:rsidRDefault="0096339A" w:rsidP="00321654">
            <w:pPr>
              <w:spacing w:after="80"/>
              <w:rPr>
                <w:rFonts w:eastAsia="SimSun"/>
                <w:lang w:val="fr-FR"/>
              </w:rPr>
            </w:pPr>
            <w:r w:rsidRPr="00085EC6">
              <w:rPr>
                <w:lang w:val="fr-FR"/>
              </w:rPr>
              <w:t>Production d’acétaldéhyde dans laquelle du mercure ou des composés du mercure sont utilisés comme catalyseurs</w:t>
            </w:r>
          </w:p>
        </w:tc>
        <w:tc>
          <w:tcPr>
            <w:tcW w:w="2410" w:type="dxa"/>
            <w:gridSpan w:val="3"/>
            <w:shd w:val="clear" w:color="auto" w:fill="auto"/>
          </w:tcPr>
          <w:p w:rsidR="0096339A" w:rsidRPr="00085EC6" w:rsidRDefault="0096339A" w:rsidP="00321654">
            <w:pPr>
              <w:spacing w:after="80"/>
              <w:rPr>
                <w:rFonts w:eastAsia="SimSun"/>
                <w:lang w:val="fr-FR"/>
              </w:rPr>
            </w:pPr>
          </w:p>
        </w:tc>
        <w:tc>
          <w:tcPr>
            <w:tcW w:w="2835" w:type="dxa"/>
            <w:gridSpan w:val="2"/>
            <w:shd w:val="clear" w:color="auto" w:fill="auto"/>
          </w:tcPr>
          <w:p w:rsidR="0096339A" w:rsidRPr="00085EC6" w:rsidRDefault="0096339A" w:rsidP="00321654">
            <w:pPr>
              <w:spacing w:after="80"/>
              <w:rPr>
                <w:rFonts w:eastAsia="SimSun"/>
                <w:lang w:val="fr-FR"/>
              </w:rPr>
            </w:pPr>
          </w:p>
        </w:tc>
      </w:tr>
      <w:tr w:rsidR="0096339A" w:rsidRPr="00F16160" w:rsidTr="00085EC6">
        <w:trPr>
          <w:trHeight w:val="259"/>
        </w:trPr>
        <w:tc>
          <w:tcPr>
            <w:tcW w:w="8363" w:type="dxa"/>
            <w:gridSpan w:val="9"/>
            <w:shd w:val="clear" w:color="auto" w:fill="auto"/>
          </w:tcPr>
          <w:p w:rsidR="0096339A" w:rsidRPr="00085EC6" w:rsidRDefault="0096339A" w:rsidP="00321654">
            <w:pPr>
              <w:pStyle w:val="Normal-pool"/>
              <w:spacing w:before="120" w:after="120"/>
              <w:rPr>
                <w:rStyle w:val="DeltaViewInsertion"/>
                <w:rFonts w:eastAsia="SimSun"/>
                <w:color w:val="auto"/>
                <w:u w:val="none"/>
                <w:lang w:val="fr-FR"/>
              </w:rPr>
            </w:pPr>
            <w:r w:rsidRPr="00085EC6">
              <w:rPr>
                <w:rStyle w:val="DeltaViewInsertion"/>
                <w:rFonts w:eastAsia="SimSun"/>
                <w:color w:val="auto"/>
                <w:u w:val="none"/>
                <w:lang w:val="fr-FR"/>
              </w:rPr>
              <w:t>Prière de joindre, pour chacune des catégories de procédés concernées, une déclaration expliquant la nécessité d’une dérogation.</w:t>
            </w:r>
          </w:p>
          <w:p w:rsidR="0096339A" w:rsidRPr="00085EC6" w:rsidRDefault="0096339A" w:rsidP="00321654">
            <w:pPr>
              <w:pStyle w:val="Normal-pool"/>
              <w:spacing w:before="120" w:after="120"/>
              <w:rPr>
                <w:rStyle w:val="DeltaViewInsertion"/>
                <w:rFonts w:eastAsia="SimSun"/>
                <w:color w:val="auto"/>
                <w:u w:val="none"/>
                <w:lang w:val="fr-FR"/>
              </w:rPr>
            </w:pPr>
            <w:r w:rsidRPr="00085EC6">
              <w:rPr>
                <w:rStyle w:val="DeltaViewInsertion"/>
                <w:rFonts w:eastAsia="SimSun"/>
                <w:color w:val="auto"/>
                <w:u w:val="none"/>
                <w:lang w:val="fr-FR"/>
              </w:rPr>
              <w:t>Le cas échéant, chaque Partie peut inclure dans ses explications sur la nécessité d’une dérogation, ou ajouter à ces dernières, des informations sur :</w:t>
            </w:r>
          </w:p>
          <w:p w:rsidR="0096339A" w:rsidRPr="00085EC6" w:rsidRDefault="0096339A" w:rsidP="0096339A">
            <w:pPr>
              <w:pStyle w:val="Normal-pool"/>
              <w:numPr>
                <w:ilvl w:val="0"/>
                <w:numId w:val="33"/>
              </w:numPr>
              <w:tabs>
                <w:tab w:val="clear" w:pos="1247"/>
                <w:tab w:val="left" w:pos="851"/>
              </w:tabs>
              <w:spacing w:after="120"/>
              <w:ind w:left="850" w:hanging="493"/>
              <w:rPr>
                <w:rStyle w:val="DeltaViewInsertion"/>
                <w:rFonts w:eastAsia="SimSun"/>
                <w:color w:val="auto"/>
                <w:u w:val="none"/>
                <w:lang w:val="fr-FR"/>
              </w:rPr>
            </w:pPr>
            <w:r w:rsidRPr="00085EC6">
              <w:rPr>
                <w:lang w:val="fr-FR"/>
              </w:rPr>
              <w:t>Tout calendrier ou plan d’action adopté concernant l’arrêt progressif du recours au mercure dans les installations de production;</w:t>
            </w:r>
          </w:p>
          <w:p w:rsidR="0096339A" w:rsidRPr="00085EC6" w:rsidRDefault="0096339A" w:rsidP="0096339A">
            <w:pPr>
              <w:pStyle w:val="Normal-pool"/>
              <w:numPr>
                <w:ilvl w:val="0"/>
                <w:numId w:val="33"/>
              </w:numPr>
              <w:tabs>
                <w:tab w:val="clear" w:pos="1247"/>
                <w:tab w:val="left" w:pos="851"/>
              </w:tabs>
              <w:spacing w:after="120"/>
              <w:ind w:left="850" w:hanging="493"/>
              <w:rPr>
                <w:rFonts w:eastAsia="SimSun"/>
                <w:lang w:val="fr-FR"/>
              </w:rPr>
            </w:pPr>
            <w:r w:rsidRPr="00085EC6">
              <w:rPr>
                <w:rStyle w:val="DeltaViewInsertion"/>
                <w:rFonts w:eastAsia="SimSun"/>
                <w:color w:val="auto"/>
                <w:u w:val="none"/>
                <w:lang w:val="fr-FR"/>
              </w:rPr>
              <w:t>Les détails des installations pour lesquelles la dérogation est enregistrée, y compris leur capacité et la consommation annuelle de mercure prévue.</w:t>
            </w:r>
          </w:p>
        </w:tc>
      </w:tr>
      <w:tr w:rsidR="0096339A" w:rsidRPr="00F16160" w:rsidTr="00085EC6">
        <w:trPr>
          <w:trHeight w:val="427"/>
        </w:trPr>
        <w:tc>
          <w:tcPr>
            <w:tcW w:w="8363" w:type="dxa"/>
            <w:gridSpan w:val="9"/>
            <w:shd w:val="clear" w:color="auto" w:fill="000000"/>
            <w:vAlign w:val="center"/>
          </w:tcPr>
          <w:p w:rsidR="0096339A" w:rsidRPr="00085EC6" w:rsidRDefault="0096339A" w:rsidP="00321654">
            <w:pPr>
              <w:rPr>
                <w:b/>
                <w:lang w:val="fr-FR"/>
              </w:rPr>
            </w:pPr>
            <w:r w:rsidRPr="00085EC6">
              <w:rPr>
                <w:b/>
                <w:lang w:val="fr-FR"/>
              </w:rPr>
              <w:t>LA PRÉSENTE NOTIFICATION EST ADRESSÉE PAR</w:t>
            </w:r>
            <w:r w:rsidRPr="00085EC6">
              <w:rPr>
                <w:lang w:val="fr-FR"/>
              </w:rPr>
              <w:t> </w:t>
            </w:r>
            <w:r w:rsidRPr="00085EC6">
              <w:rPr>
                <w:b/>
                <w:lang w:val="fr-FR"/>
              </w:rPr>
              <w:t>:</w:t>
            </w:r>
          </w:p>
        </w:tc>
      </w:tr>
      <w:tr w:rsidR="0096339A" w:rsidRPr="00085EC6" w:rsidTr="005508E3">
        <w:tc>
          <w:tcPr>
            <w:tcW w:w="1276" w:type="dxa"/>
            <w:gridSpan w:val="2"/>
            <w:shd w:val="clear" w:color="auto" w:fill="auto"/>
          </w:tcPr>
          <w:p w:rsidR="0096339A" w:rsidRPr="00085EC6" w:rsidRDefault="0096339A" w:rsidP="00321654">
            <w:pPr>
              <w:rPr>
                <w:rFonts w:eastAsia="SimSun"/>
              </w:rPr>
            </w:pPr>
            <w:r w:rsidRPr="00085EC6">
              <w:rPr>
                <w:rFonts w:eastAsia="SimSun"/>
              </w:rPr>
              <w:t>Nom</w:t>
            </w:r>
          </w:p>
        </w:tc>
        <w:tc>
          <w:tcPr>
            <w:tcW w:w="5103" w:type="dxa"/>
            <w:gridSpan w:val="6"/>
            <w:shd w:val="clear" w:color="auto" w:fill="auto"/>
          </w:tcPr>
          <w:p w:rsidR="0096339A" w:rsidRPr="00085EC6" w:rsidRDefault="0096339A" w:rsidP="00321654">
            <w:pPr>
              <w:rPr>
                <w:rFonts w:eastAsia="SimSun"/>
              </w:rPr>
            </w:pPr>
          </w:p>
        </w:tc>
        <w:tc>
          <w:tcPr>
            <w:tcW w:w="1984" w:type="dxa"/>
            <w:shd w:val="clear" w:color="auto" w:fill="auto"/>
          </w:tcPr>
          <w:p w:rsidR="0096339A" w:rsidRPr="00085EC6" w:rsidRDefault="0096339A" w:rsidP="00321654">
            <w:pPr>
              <w:rPr>
                <w:rFonts w:eastAsia="SimSun"/>
              </w:rPr>
            </w:pPr>
          </w:p>
        </w:tc>
      </w:tr>
      <w:tr w:rsidR="0096339A" w:rsidRPr="005508E3" w:rsidTr="005508E3">
        <w:tc>
          <w:tcPr>
            <w:tcW w:w="1276" w:type="dxa"/>
            <w:gridSpan w:val="2"/>
            <w:shd w:val="clear" w:color="auto" w:fill="auto"/>
          </w:tcPr>
          <w:p w:rsidR="0096339A" w:rsidRPr="005508E3" w:rsidRDefault="0096339A" w:rsidP="00321654">
            <w:pPr>
              <w:rPr>
                <w:rFonts w:eastAsia="SimSun"/>
                <w:lang w:val="fr-FR"/>
              </w:rPr>
            </w:pPr>
            <w:r w:rsidRPr="005508E3">
              <w:rPr>
                <w:rFonts w:eastAsia="SimSun"/>
                <w:lang w:val="fr-FR"/>
              </w:rPr>
              <w:t>Institution/</w:t>
            </w:r>
            <w:bookmarkStart w:id="7" w:name="_DV_C115"/>
            <w:r w:rsidR="005508E3" w:rsidRPr="005508E3">
              <w:rPr>
                <w:rFonts w:eastAsia="SimSun"/>
                <w:lang w:val="fr-FR"/>
              </w:rPr>
              <w:br/>
            </w:r>
            <w:r w:rsidRPr="005508E3">
              <w:rPr>
                <w:rFonts w:eastAsia="SimSun"/>
                <w:lang w:val="fr-FR"/>
              </w:rPr>
              <w:t>dé</w:t>
            </w:r>
            <w:bookmarkStart w:id="8" w:name="_DV_M38"/>
            <w:bookmarkEnd w:id="7"/>
            <w:bookmarkEnd w:id="8"/>
            <w:r w:rsidRPr="005508E3">
              <w:rPr>
                <w:rFonts w:eastAsia="SimSun"/>
                <w:lang w:val="fr-FR"/>
              </w:rPr>
              <w:t>partement</w:t>
            </w:r>
          </w:p>
        </w:tc>
        <w:tc>
          <w:tcPr>
            <w:tcW w:w="5103" w:type="dxa"/>
            <w:gridSpan w:val="6"/>
            <w:shd w:val="clear" w:color="auto" w:fill="auto"/>
          </w:tcPr>
          <w:p w:rsidR="0096339A" w:rsidRPr="005508E3" w:rsidRDefault="0096339A" w:rsidP="00321654">
            <w:pPr>
              <w:rPr>
                <w:rFonts w:eastAsia="SimSun"/>
                <w:lang w:val="fr-FR"/>
              </w:rPr>
            </w:pPr>
          </w:p>
        </w:tc>
        <w:tc>
          <w:tcPr>
            <w:tcW w:w="1984" w:type="dxa"/>
            <w:shd w:val="clear" w:color="auto" w:fill="auto"/>
          </w:tcPr>
          <w:p w:rsidR="0096339A" w:rsidRPr="005508E3" w:rsidRDefault="0096339A" w:rsidP="00321654">
            <w:pPr>
              <w:rPr>
                <w:rFonts w:eastAsia="SimSun"/>
                <w:lang w:val="fr-FR"/>
              </w:rPr>
            </w:pPr>
          </w:p>
        </w:tc>
      </w:tr>
      <w:tr w:rsidR="0096339A" w:rsidRPr="005508E3" w:rsidTr="005508E3">
        <w:trPr>
          <w:trHeight w:val="70"/>
        </w:trPr>
        <w:tc>
          <w:tcPr>
            <w:tcW w:w="1276" w:type="dxa"/>
            <w:gridSpan w:val="2"/>
            <w:shd w:val="clear" w:color="auto" w:fill="auto"/>
          </w:tcPr>
          <w:p w:rsidR="0096339A" w:rsidRPr="005508E3" w:rsidRDefault="0096339A" w:rsidP="00321654">
            <w:pPr>
              <w:rPr>
                <w:rFonts w:eastAsia="SimSun"/>
                <w:lang w:val="fr-FR"/>
              </w:rPr>
            </w:pPr>
            <w:r w:rsidRPr="005508E3">
              <w:rPr>
                <w:rFonts w:eastAsia="SimSun"/>
                <w:lang w:val="fr-FR"/>
              </w:rPr>
              <w:t>Adresse</w:t>
            </w:r>
          </w:p>
        </w:tc>
        <w:tc>
          <w:tcPr>
            <w:tcW w:w="5103" w:type="dxa"/>
            <w:gridSpan w:val="6"/>
            <w:shd w:val="clear" w:color="auto" w:fill="auto"/>
          </w:tcPr>
          <w:p w:rsidR="0096339A" w:rsidRPr="005508E3" w:rsidRDefault="0096339A" w:rsidP="00321654">
            <w:pPr>
              <w:rPr>
                <w:rFonts w:eastAsia="SimSun"/>
                <w:lang w:val="fr-FR"/>
              </w:rPr>
            </w:pPr>
          </w:p>
        </w:tc>
        <w:tc>
          <w:tcPr>
            <w:tcW w:w="1984" w:type="dxa"/>
            <w:shd w:val="clear" w:color="auto" w:fill="auto"/>
          </w:tcPr>
          <w:p w:rsidR="0096339A" w:rsidRPr="005508E3" w:rsidRDefault="0096339A" w:rsidP="00321654">
            <w:pPr>
              <w:rPr>
                <w:rFonts w:eastAsia="SimSun"/>
                <w:lang w:val="fr-FR"/>
              </w:rPr>
            </w:pPr>
          </w:p>
        </w:tc>
      </w:tr>
      <w:tr w:rsidR="0096339A" w:rsidRPr="005508E3" w:rsidTr="00085EC6">
        <w:tc>
          <w:tcPr>
            <w:tcW w:w="1843" w:type="dxa"/>
            <w:gridSpan w:val="3"/>
            <w:shd w:val="clear" w:color="auto" w:fill="auto"/>
          </w:tcPr>
          <w:p w:rsidR="0096339A" w:rsidRPr="005508E3" w:rsidRDefault="0096339A" w:rsidP="00321654">
            <w:pPr>
              <w:rPr>
                <w:rFonts w:eastAsia="SimSun"/>
                <w:lang w:val="fr-FR"/>
              </w:rPr>
            </w:pPr>
            <w:r w:rsidRPr="005508E3">
              <w:rPr>
                <w:rFonts w:eastAsia="SimSun"/>
                <w:lang w:val="fr-FR"/>
              </w:rPr>
              <w:t>Téléphone</w:t>
            </w:r>
            <w:r w:rsidR="005508E3">
              <w:rPr>
                <w:rFonts w:eastAsia="SimSun"/>
                <w:lang w:val="fr-FR"/>
              </w:rPr>
              <w:t> </w:t>
            </w:r>
            <w:r w:rsidRPr="005508E3">
              <w:rPr>
                <w:rFonts w:eastAsia="SimSun"/>
                <w:lang w:val="fr-FR"/>
              </w:rPr>
              <w:t>:</w:t>
            </w:r>
          </w:p>
        </w:tc>
        <w:tc>
          <w:tcPr>
            <w:tcW w:w="2551" w:type="dxa"/>
            <w:gridSpan w:val="2"/>
            <w:shd w:val="clear" w:color="auto" w:fill="auto"/>
          </w:tcPr>
          <w:p w:rsidR="0096339A" w:rsidRPr="005508E3" w:rsidRDefault="0096339A" w:rsidP="00321654">
            <w:pPr>
              <w:rPr>
                <w:rFonts w:eastAsia="SimSun"/>
                <w:lang w:val="fr-FR"/>
              </w:rPr>
            </w:pPr>
            <w:r w:rsidRPr="005508E3">
              <w:rPr>
                <w:rFonts w:eastAsia="SimSun"/>
                <w:lang w:val="fr-FR"/>
              </w:rPr>
              <w:t>Fax</w:t>
            </w:r>
            <w:r w:rsidR="005508E3">
              <w:rPr>
                <w:rFonts w:eastAsia="SimSun"/>
                <w:lang w:val="fr-FR"/>
              </w:rPr>
              <w:t> </w:t>
            </w:r>
            <w:r w:rsidRPr="005508E3">
              <w:rPr>
                <w:rFonts w:eastAsia="SimSun"/>
                <w:lang w:val="fr-FR"/>
              </w:rPr>
              <w:t>:</w:t>
            </w:r>
          </w:p>
        </w:tc>
        <w:tc>
          <w:tcPr>
            <w:tcW w:w="1985" w:type="dxa"/>
            <w:gridSpan w:val="3"/>
            <w:shd w:val="clear" w:color="auto" w:fill="auto"/>
          </w:tcPr>
          <w:p w:rsidR="0096339A" w:rsidRPr="005508E3" w:rsidRDefault="0096339A" w:rsidP="00321654">
            <w:pPr>
              <w:rPr>
                <w:rFonts w:eastAsia="SimSun"/>
                <w:lang w:val="fr-FR"/>
              </w:rPr>
            </w:pPr>
            <w:r w:rsidRPr="005508E3">
              <w:rPr>
                <w:rFonts w:eastAsia="SimSun"/>
                <w:lang w:val="fr-FR"/>
              </w:rPr>
              <w:t>Mél</w:t>
            </w:r>
            <w:r w:rsidR="005508E3">
              <w:rPr>
                <w:rFonts w:eastAsia="SimSun"/>
                <w:lang w:val="fr-FR"/>
              </w:rPr>
              <w:t> </w:t>
            </w:r>
            <w:r w:rsidRPr="005508E3">
              <w:rPr>
                <w:rFonts w:eastAsia="SimSun"/>
                <w:lang w:val="fr-FR"/>
              </w:rPr>
              <w:t>:</w:t>
            </w:r>
          </w:p>
        </w:tc>
        <w:tc>
          <w:tcPr>
            <w:tcW w:w="1984" w:type="dxa"/>
            <w:shd w:val="clear" w:color="auto" w:fill="auto"/>
          </w:tcPr>
          <w:p w:rsidR="0096339A" w:rsidRPr="005508E3" w:rsidRDefault="0096339A" w:rsidP="00321654">
            <w:pPr>
              <w:rPr>
                <w:rFonts w:eastAsia="SimSun"/>
                <w:lang w:val="fr-FR"/>
              </w:rPr>
            </w:pPr>
          </w:p>
        </w:tc>
      </w:tr>
      <w:tr w:rsidR="0096339A" w:rsidRPr="005508E3" w:rsidTr="00085EC6">
        <w:trPr>
          <w:trHeight w:val="231"/>
        </w:trPr>
        <w:tc>
          <w:tcPr>
            <w:tcW w:w="992" w:type="dxa"/>
            <w:shd w:val="clear" w:color="auto" w:fill="auto"/>
          </w:tcPr>
          <w:p w:rsidR="0096339A" w:rsidRPr="005508E3" w:rsidRDefault="0096339A" w:rsidP="00321654">
            <w:pPr>
              <w:rPr>
                <w:rFonts w:eastAsia="SimSun"/>
                <w:lang w:val="fr-FR"/>
              </w:rPr>
            </w:pPr>
            <w:r w:rsidRPr="005508E3">
              <w:rPr>
                <w:rFonts w:eastAsia="SimSun"/>
                <w:lang w:val="fr-FR"/>
              </w:rPr>
              <w:t>Signature</w:t>
            </w:r>
          </w:p>
        </w:tc>
        <w:tc>
          <w:tcPr>
            <w:tcW w:w="3402" w:type="dxa"/>
            <w:gridSpan w:val="4"/>
            <w:shd w:val="clear" w:color="auto" w:fill="auto"/>
          </w:tcPr>
          <w:p w:rsidR="0096339A" w:rsidRPr="005508E3" w:rsidRDefault="0096339A" w:rsidP="00321654">
            <w:pPr>
              <w:rPr>
                <w:rFonts w:eastAsia="SimSun"/>
                <w:lang w:val="fr-FR"/>
              </w:rPr>
            </w:pPr>
          </w:p>
        </w:tc>
        <w:tc>
          <w:tcPr>
            <w:tcW w:w="1985" w:type="dxa"/>
            <w:gridSpan w:val="3"/>
            <w:shd w:val="clear" w:color="auto" w:fill="auto"/>
          </w:tcPr>
          <w:p w:rsidR="0096339A" w:rsidRPr="005508E3" w:rsidRDefault="0096339A" w:rsidP="00321654">
            <w:pPr>
              <w:rPr>
                <w:rFonts w:eastAsia="SimSun"/>
                <w:lang w:val="fr-FR"/>
              </w:rPr>
            </w:pPr>
            <w:r w:rsidRPr="005508E3">
              <w:rPr>
                <w:rFonts w:eastAsia="SimSun"/>
                <w:lang w:val="fr-FR"/>
              </w:rPr>
              <w:t>Date</w:t>
            </w:r>
            <w:r w:rsidR="005508E3">
              <w:rPr>
                <w:rFonts w:eastAsia="SimSun"/>
                <w:lang w:val="fr-FR"/>
              </w:rPr>
              <w:t> </w:t>
            </w:r>
            <w:r w:rsidRPr="005508E3">
              <w:rPr>
                <w:rFonts w:eastAsia="SimSun"/>
                <w:lang w:val="fr-FR"/>
              </w:rPr>
              <w:t>: (</w:t>
            </w:r>
            <w:r w:rsidRPr="005508E3">
              <w:rPr>
                <w:rFonts w:eastAsia="SimSun"/>
                <w:i/>
                <w:lang w:val="fr-FR"/>
              </w:rPr>
              <w:t>jj/mm/aaaa</w:t>
            </w:r>
            <w:r w:rsidRPr="005508E3">
              <w:rPr>
                <w:rFonts w:eastAsia="SimSun"/>
                <w:lang w:val="fr-FR"/>
              </w:rPr>
              <w:t>)</w:t>
            </w:r>
          </w:p>
        </w:tc>
        <w:tc>
          <w:tcPr>
            <w:tcW w:w="1984" w:type="dxa"/>
            <w:shd w:val="clear" w:color="auto" w:fill="auto"/>
          </w:tcPr>
          <w:p w:rsidR="0096339A" w:rsidRPr="005508E3" w:rsidRDefault="0096339A" w:rsidP="00321654">
            <w:pPr>
              <w:rPr>
                <w:rFonts w:eastAsia="SimSun"/>
                <w:lang w:val="fr-FR"/>
              </w:rPr>
            </w:pPr>
          </w:p>
        </w:tc>
      </w:tr>
      <w:tr w:rsidR="0096339A" w:rsidRPr="00F16160" w:rsidTr="00085EC6">
        <w:trPr>
          <w:trHeight w:val="454"/>
        </w:trPr>
        <w:tc>
          <w:tcPr>
            <w:tcW w:w="8363" w:type="dxa"/>
            <w:gridSpan w:val="9"/>
            <w:shd w:val="clear" w:color="auto" w:fill="000000"/>
            <w:vAlign w:val="center"/>
          </w:tcPr>
          <w:p w:rsidR="0096339A" w:rsidRPr="00085EC6" w:rsidRDefault="0096339A" w:rsidP="00321654">
            <w:pPr>
              <w:rPr>
                <w:b/>
                <w:lang w:val="fr-FR"/>
              </w:rPr>
            </w:pPr>
            <w:r w:rsidRPr="00085EC6">
              <w:rPr>
                <w:b/>
                <w:lang w:val="fr-FR"/>
              </w:rPr>
              <w:t>VEUILLEZ RETOURNER LE FORMULAIRE REMPLI AU :</w:t>
            </w:r>
          </w:p>
        </w:tc>
      </w:tr>
      <w:tr w:rsidR="0096339A" w:rsidRPr="00F16160" w:rsidTr="00355468">
        <w:trPr>
          <w:trHeight w:val="240"/>
        </w:trPr>
        <w:tc>
          <w:tcPr>
            <w:tcW w:w="5245" w:type="dxa"/>
            <w:gridSpan w:val="6"/>
            <w:shd w:val="clear" w:color="auto" w:fill="auto"/>
            <w:vAlign w:val="center"/>
          </w:tcPr>
          <w:p w:rsidR="0096339A" w:rsidRPr="00085EC6" w:rsidRDefault="0096339A" w:rsidP="00085EC6">
            <w:pPr>
              <w:rPr>
                <w:lang w:val="fr-FR"/>
              </w:rPr>
            </w:pPr>
            <w:r w:rsidRPr="00085EC6">
              <w:rPr>
                <w:lang w:val="fr-FR"/>
              </w:rPr>
              <w:t>Secrétariat de la Convention de Minamata sur le mercure</w:t>
            </w:r>
          </w:p>
          <w:p w:rsidR="0096339A" w:rsidRPr="00085EC6" w:rsidRDefault="0096339A" w:rsidP="00085EC6">
            <w:pPr>
              <w:rPr>
                <w:lang w:val="fr-FR"/>
              </w:rPr>
            </w:pPr>
            <w:r w:rsidRPr="00085EC6">
              <w:rPr>
                <w:lang w:val="fr-FR"/>
              </w:rPr>
              <w:t>Programme des Nations Unies pour l’environnement (PNUE)</w:t>
            </w:r>
          </w:p>
          <w:p w:rsidR="0096339A" w:rsidRPr="00085EC6" w:rsidRDefault="0096339A" w:rsidP="00085EC6">
            <w:pPr>
              <w:rPr>
                <w:lang w:val="fr-FR"/>
              </w:rPr>
            </w:pPr>
            <w:r w:rsidRPr="00085EC6">
              <w:rPr>
                <w:lang w:val="fr-FR"/>
              </w:rPr>
              <w:t>11–13, chemin des Anémones, CH–1219 Châtelaine</w:t>
            </w:r>
          </w:p>
          <w:p w:rsidR="0096339A" w:rsidRPr="00085EC6" w:rsidRDefault="0096339A" w:rsidP="00085EC6">
            <w:pPr>
              <w:rPr>
                <w:lang w:val="fr-FR"/>
              </w:rPr>
            </w:pPr>
            <w:r w:rsidRPr="00085EC6">
              <w:rPr>
                <w:lang w:val="fr-FR"/>
              </w:rPr>
              <w:t>Genève (Suisse)</w:t>
            </w:r>
          </w:p>
        </w:tc>
        <w:tc>
          <w:tcPr>
            <w:tcW w:w="3118" w:type="dxa"/>
            <w:gridSpan w:val="3"/>
            <w:shd w:val="clear" w:color="auto" w:fill="auto"/>
            <w:vAlign w:val="center"/>
          </w:tcPr>
          <w:p w:rsidR="0096339A" w:rsidRPr="00085EC6" w:rsidRDefault="0096339A" w:rsidP="00321654">
            <w:pPr>
              <w:rPr>
                <w:lang w:val="fr-FR"/>
              </w:rPr>
            </w:pPr>
            <w:r w:rsidRPr="00085EC6">
              <w:rPr>
                <w:lang w:val="fr-FR"/>
              </w:rPr>
              <w:t>Fax : +41 22 797 3460</w:t>
            </w:r>
          </w:p>
          <w:p w:rsidR="0096339A" w:rsidRPr="00085EC6" w:rsidRDefault="0096339A" w:rsidP="00321654">
            <w:pPr>
              <w:rPr>
                <w:rFonts w:eastAsia="SimSun"/>
                <w:lang w:val="fr-FR"/>
              </w:rPr>
            </w:pPr>
            <w:r w:rsidRPr="00085EC6">
              <w:rPr>
                <w:lang w:val="fr-FR"/>
              </w:rPr>
              <w:t>Mél : mercury.chemicals@unep.org</w:t>
            </w:r>
          </w:p>
        </w:tc>
      </w:tr>
    </w:tbl>
    <w:p w:rsidR="0096339A" w:rsidRPr="00D76EAA" w:rsidRDefault="0096339A" w:rsidP="0096339A">
      <w:pPr>
        <w:pStyle w:val="Normal-pool"/>
        <w:rPr>
          <w:lang w:val="fr-FR"/>
        </w:rPr>
      </w:pPr>
    </w:p>
    <w:p w:rsidR="0096339A" w:rsidRPr="00355468" w:rsidRDefault="0096339A" w:rsidP="0096339A">
      <w:pPr>
        <w:pStyle w:val="ZZAnxtitle"/>
        <w:jc w:val="center"/>
        <w:rPr>
          <w:sz w:val="24"/>
          <w:szCs w:val="24"/>
          <w:lang w:val="fr-FR"/>
        </w:rPr>
      </w:pPr>
      <w:r w:rsidRPr="00D76EAA">
        <w:rPr>
          <w:lang w:val="fr-FR"/>
        </w:rPr>
        <w:br w:type="page"/>
      </w:r>
      <w:r w:rsidRPr="00355468">
        <w:rPr>
          <w:sz w:val="24"/>
          <w:szCs w:val="24"/>
          <w:lang w:val="fr-FR"/>
        </w:rPr>
        <w:lastRenderedPageBreak/>
        <w:t>Projet de modèle de registre des dérogations aux dates d’abandon définitif prévues dans la première partie de l’Annexe A de</w:t>
      </w:r>
      <w:r w:rsidR="00355468" w:rsidRPr="00355468">
        <w:rPr>
          <w:sz w:val="24"/>
          <w:szCs w:val="24"/>
          <w:lang w:val="fr-FR"/>
        </w:rPr>
        <w:t> la </w:t>
      </w:r>
      <w:r w:rsidRPr="00355468">
        <w:rPr>
          <w:sz w:val="24"/>
          <w:szCs w:val="24"/>
          <w:lang w:val="fr-FR"/>
        </w:rPr>
        <w:t xml:space="preserve">Convention </w:t>
      </w:r>
      <w:r w:rsidR="00355468">
        <w:rPr>
          <w:sz w:val="24"/>
          <w:szCs w:val="24"/>
          <w:lang w:val="fr-FR"/>
        </w:rPr>
        <w:br/>
      </w:r>
      <w:r w:rsidRPr="00355468">
        <w:rPr>
          <w:sz w:val="24"/>
          <w:szCs w:val="24"/>
          <w:lang w:val="fr-FR"/>
        </w:rPr>
        <w:t>de Minamata sur le mercure</w:t>
      </w: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58"/>
        <w:gridCol w:w="2410"/>
        <w:gridCol w:w="2516"/>
      </w:tblGrid>
      <w:tr w:rsidR="0096339A" w:rsidRPr="00F16160" w:rsidTr="00355468">
        <w:trPr>
          <w:tblHeader/>
          <w:jc w:val="right"/>
        </w:trPr>
        <w:tc>
          <w:tcPr>
            <w:tcW w:w="879" w:type="dxa"/>
            <w:tcBorders>
              <w:top w:val="single" w:sz="4" w:space="0" w:color="auto"/>
              <w:left w:val="single" w:sz="4" w:space="0" w:color="auto"/>
              <w:bottom w:val="single" w:sz="4" w:space="0" w:color="auto"/>
              <w:right w:val="single" w:sz="4" w:space="0" w:color="auto"/>
            </w:tcBorders>
            <w:hideMark/>
          </w:tcPr>
          <w:p w:rsidR="0096339A" w:rsidRPr="00D76EAA" w:rsidRDefault="0096339A" w:rsidP="00321654">
            <w:pPr>
              <w:rPr>
                <w:b/>
                <w:i/>
                <w:sz w:val="18"/>
              </w:rPr>
            </w:pPr>
            <w:r w:rsidRPr="00D76EAA">
              <w:rPr>
                <w:b/>
                <w:i/>
                <w:sz w:val="18"/>
              </w:rPr>
              <w:t>Partie</w:t>
            </w:r>
          </w:p>
        </w:tc>
        <w:tc>
          <w:tcPr>
            <w:tcW w:w="2558" w:type="dxa"/>
            <w:tcBorders>
              <w:top w:val="single" w:sz="4" w:space="0" w:color="auto"/>
              <w:left w:val="single" w:sz="4" w:space="0" w:color="auto"/>
              <w:bottom w:val="single" w:sz="4" w:space="0" w:color="auto"/>
              <w:right w:val="single" w:sz="4" w:space="0" w:color="auto"/>
            </w:tcBorders>
            <w:hideMark/>
          </w:tcPr>
          <w:p w:rsidR="0096339A" w:rsidRPr="00D76EAA" w:rsidRDefault="0096339A" w:rsidP="00321654">
            <w:pPr>
              <w:pStyle w:val="NormalWeb"/>
              <w:rPr>
                <w:b/>
                <w:i/>
                <w:sz w:val="18"/>
                <w:lang w:val="fr-FR"/>
              </w:rPr>
            </w:pPr>
            <w:r w:rsidRPr="00D76EAA">
              <w:rPr>
                <w:b/>
                <w:i/>
                <w:sz w:val="18"/>
                <w:lang w:val="fr-FR"/>
              </w:rPr>
              <w:t>Indiquer la catégorie</w:t>
            </w:r>
            <w:r w:rsidRPr="00D76EAA">
              <w:rPr>
                <w:rStyle w:val="Strong"/>
                <w:b w:val="0"/>
                <w:i/>
                <w:sz w:val="18"/>
                <w:lang w:val="fr-FR"/>
              </w:rPr>
              <w:t>/s</w:t>
            </w:r>
            <w:r w:rsidRPr="00D76EAA">
              <w:rPr>
                <w:b/>
                <w:i/>
                <w:sz w:val="18"/>
                <w:lang w:val="fr-FR"/>
              </w:rPr>
              <w:t>ous-catégorie spécifique pour laquelle la dérogation est enregistrée et activités concernées (fabrication, importation et/ou exportation)</w:t>
            </w:r>
          </w:p>
        </w:tc>
        <w:tc>
          <w:tcPr>
            <w:tcW w:w="2410" w:type="dxa"/>
            <w:tcBorders>
              <w:top w:val="single" w:sz="4" w:space="0" w:color="auto"/>
              <w:left w:val="single" w:sz="4" w:space="0" w:color="auto"/>
              <w:bottom w:val="single" w:sz="4" w:space="0" w:color="auto"/>
              <w:right w:val="single" w:sz="4" w:space="0" w:color="auto"/>
            </w:tcBorders>
            <w:hideMark/>
          </w:tcPr>
          <w:p w:rsidR="0096339A" w:rsidRPr="0096339A" w:rsidRDefault="0096339A" w:rsidP="00321654">
            <w:pPr>
              <w:rPr>
                <w:b/>
                <w:i/>
                <w:sz w:val="18"/>
                <w:lang w:val="fr-FR"/>
              </w:rPr>
            </w:pPr>
            <w:r w:rsidRPr="0096339A">
              <w:rPr>
                <w:b/>
                <w:i/>
                <w:sz w:val="18"/>
                <w:lang w:val="fr-FR"/>
              </w:rPr>
              <w:t>Motif de la dérogation</w:t>
            </w:r>
          </w:p>
          <w:p w:rsidR="0096339A" w:rsidRPr="0096339A" w:rsidRDefault="0096339A" w:rsidP="00321654">
            <w:pPr>
              <w:rPr>
                <w:b/>
                <w:i/>
                <w:sz w:val="18"/>
                <w:lang w:val="fr-FR"/>
              </w:rPr>
            </w:pPr>
          </w:p>
          <w:p w:rsidR="0096339A" w:rsidRPr="0096339A" w:rsidRDefault="0096339A" w:rsidP="00321654">
            <w:pPr>
              <w:rPr>
                <w:i/>
                <w:sz w:val="18"/>
                <w:lang w:val="fr-FR"/>
              </w:rPr>
            </w:pPr>
            <w:r w:rsidRPr="0096339A">
              <w:rPr>
                <w:b/>
                <w:i/>
                <w:sz w:val="18"/>
                <w:lang w:val="fr-FR"/>
              </w:rPr>
              <w:t xml:space="preserve">Fourni dans </w:t>
            </w:r>
            <w:r w:rsidRPr="0096339A">
              <w:rPr>
                <w:i/>
                <w:sz w:val="18"/>
                <w:lang w:val="fr-FR"/>
              </w:rPr>
              <w:t>(hyperlien vers la déclaration présentée par la Partie)</w:t>
            </w:r>
          </w:p>
        </w:tc>
        <w:tc>
          <w:tcPr>
            <w:tcW w:w="2516" w:type="dxa"/>
            <w:tcBorders>
              <w:top w:val="single" w:sz="4" w:space="0" w:color="auto"/>
              <w:left w:val="single" w:sz="4" w:space="0" w:color="auto"/>
              <w:bottom w:val="single" w:sz="4" w:space="0" w:color="auto"/>
              <w:right w:val="single" w:sz="4" w:space="0" w:color="auto"/>
            </w:tcBorders>
            <w:hideMark/>
          </w:tcPr>
          <w:p w:rsidR="0096339A" w:rsidRPr="0096339A" w:rsidRDefault="0096339A" w:rsidP="00321654">
            <w:pPr>
              <w:rPr>
                <w:b/>
                <w:i/>
                <w:sz w:val="18"/>
                <w:lang w:val="fr-FR"/>
              </w:rPr>
            </w:pPr>
            <w:r w:rsidRPr="0096339A">
              <w:rPr>
                <w:b/>
                <w:i/>
                <w:sz w:val="18"/>
                <w:lang w:val="fr-FR"/>
              </w:rPr>
              <w:t>Date d’expiration de la dérogation</w:t>
            </w:r>
            <w:r w:rsidRPr="0096339A">
              <w:rPr>
                <w:b/>
                <w:i/>
                <w:sz w:val="18"/>
                <w:vertAlign w:val="superscript"/>
                <w:lang w:val="fr-FR"/>
              </w:rPr>
              <w:t>a</w:t>
            </w:r>
          </w:p>
        </w:tc>
      </w:tr>
    </w:tbl>
    <w:p w:rsidR="0096339A" w:rsidRPr="00D76EAA" w:rsidRDefault="0096339A" w:rsidP="0096339A">
      <w:pPr>
        <w:pStyle w:val="Normal-pool"/>
        <w:ind w:left="1276"/>
        <w:rPr>
          <w:sz w:val="16"/>
          <w:szCs w:val="16"/>
          <w:lang w:val="fr-FR"/>
        </w:rPr>
      </w:pPr>
      <w:r w:rsidRPr="00D76EAA">
        <w:rPr>
          <w:sz w:val="16"/>
          <w:szCs w:val="16"/>
          <w:vertAlign w:val="superscript"/>
          <w:lang w:val="fr-FR"/>
        </w:rPr>
        <w:t xml:space="preserve">a  </w:t>
      </w:r>
      <w:r w:rsidRPr="00D76EAA">
        <w:rPr>
          <w:sz w:val="16"/>
          <w:szCs w:val="16"/>
          <w:lang w:val="fr-FR"/>
        </w:rPr>
        <w:t>À moins que la Partie n</w:t>
      </w:r>
      <w:r>
        <w:rPr>
          <w:sz w:val="16"/>
          <w:szCs w:val="16"/>
          <w:lang w:val="fr-FR"/>
        </w:rPr>
        <w:t>’</w:t>
      </w:r>
      <w:r w:rsidRPr="00D76EAA">
        <w:rPr>
          <w:sz w:val="16"/>
          <w:szCs w:val="16"/>
          <w:lang w:val="fr-FR"/>
        </w:rPr>
        <w:t>indique une autre date, toutes les dérogations expirent cinq ans après la date d</w:t>
      </w:r>
      <w:r>
        <w:rPr>
          <w:sz w:val="16"/>
          <w:szCs w:val="16"/>
          <w:lang w:val="fr-FR"/>
        </w:rPr>
        <w:t>’</w:t>
      </w:r>
      <w:r w:rsidRPr="00D76EAA">
        <w:rPr>
          <w:sz w:val="16"/>
          <w:szCs w:val="16"/>
          <w:lang w:val="fr-FR"/>
        </w:rPr>
        <w:t>abandon applicable figurant dans la première partie de l</w:t>
      </w:r>
      <w:r>
        <w:rPr>
          <w:sz w:val="16"/>
          <w:szCs w:val="16"/>
          <w:lang w:val="fr-FR"/>
        </w:rPr>
        <w:t>’</w:t>
      </w:r>
      <w:r w:rsidRPr="00D76EAA">
        <w:rPr>
          <w:sz w:val="16"/>
          <w:szCs w:val="16"/>
          <w:lang w:val="fr-FR"/>
        </w:rPr>
        <w:t>Annexe A.</w:t>
      </w:r>
    </w:p>
    <w:p w:rsidR="0096339A" w:rsidRPr="00355468" w:rsidRDefault="0096339A" w:rsidP="0096339A">
      <w:pPr>
        <w:pStyle w:val="ZZAnxtitle"/>
        <w:jc w:val="center"/>
        <w:rPr>
          <w:sz w:val="24"/>
          <w:szCs w:val="24"/>
          <w:lang w:val="fr-FR"/>
        </w:rPr>
      </w:pPr>
      <w:r w:rsidRPr="00355468">
        <w:rPr>
          <w:sz w:val="24"/>
          <w:szCs w:val="24"/>
          <w:lang w:val="fr-FR"/>
        </w:rPr>
        <w:t>Projet de modèle de registre des dérogations aux dates d’abandon définitif prévues dans la première partie de l’</w:t>
      </w:r>
      <w:r w:rsidR="00355468">
        <w:rPr>
          <w:sz w:val="24"/>
          <w:szCs w:val="24"/>
          <w:lang w:val="fr-FR"/>
        </w:rPr>
        <w:t>Annexe </w:t>
      </w:r>
      <w:r w:rsidRPr="00355468">
        <w:rPr>
          <w:sz w:val="24"/>
          <w:szCs w:val="24"/>
          <w:lang w:val="fr-FR"/>
        </w:rPr>
        <w:t>B de</w:t>
      </w:r>
      <w:r w:rsidRPr="00355468">
        <w:rPr>
          <w:sz w:val="24"/>
          <w:szCs w:val="24"/>
          <w:lang w:val="fr-FR"/>
        </w:rPr>
        <w:br/>
        <w:t>la Convention de Minamata sur le mercure</w:t>
      </w: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556"/>
        <w:gridCol w:w="2410"/>
        <w:gridCol w:w="2516"/>
      </w:tblGrid>
      <w:tr w:rsidR="0096339A" w:rsidRPr="00F16160" w:rsidTr="00355468">
        <w:trPr>
          <w:tblHeader/>
          <w:jc w:val="right"/>
        </w:trPr>
        <w:tc>
          <w:tcPr>
            <w:tcW w:w="881" w:type="dxa"/>
            <w:tcBorders>
              <w:top w:val="single" w:sz="4" w:space="0" w:color="auto"/>
              <w:left w:val="single" w:sz="4" w:space="0" w:color="auto"/>
              <w:bottom w:val="single" w:sz="4" w:space="0" w:color="auto"/>
              <w:right w:val="single" w:sz="4" w:space="0" w:color="auto"/>
            </w:tcBorders>
            <w:hideMark/>
          </w:tcPr>
          <w:p w:rsidR="0096339A" w:rsidRPr="00D76EAA" w:rsidRDefault="0096339A" w:rsidP="00321654">
            <w:pPr>
              <w:rPr>
                <w:b/>
                <w:i/>
                <w:sz w:val="18"/>
              </w:rPr>
            </w:pPr>
            <w:r w:rsidRPr="00D76EAA">
              <w:rPr>
                <w:b/>
                <w:i/>
                <w:sz w:val="18"/>
              </w:rPr>
              <w:t>Partie</w:t>
            </w:r>
          </w:p>
        </w:tc>
        <w:tc>
          <w:tcPr>
            <w:tcW w:w="2556" w:type="dxa"/>
            <w:tcBorders>
              <w:top w:val="single" w:sz="4" w:space="0" w:color="auto"/>
              <w:left w:val="single" w:sz="4" w:space="0" w:color="auto"/>
              <w:bottom w:val="single" w:sz="4" w:space="0" w:color="auto"/>
              <w:right w:val="single" w:sz="4" w:space="0" w:color="auto"/>
            </w:tcBorders>
            <w:hideMark/>
          </w:tcPr>
          <w:p w:rsidR="0096339A" w:rsidRPr="00D76EAA" w:rsidRDefault="0096339A" w:rsidP="00321654">
            <w:pPr>
              <w:pStyle w:val="NormalWeb"/>
              <w:rPr>
                <w:b/>
                <w:i/>
                <w:sz w:val="18"/>
                <w:lang w:val="fr-FR"/>
              </w:rPr>
            </w:pPr>
            <w:r w:rsidRPr="00D76EAA">
              <w:rPr>
                <w:b/>
                <w:i/>
                <w:sz w:val="18"/>
                <w:lang w:val="fr-FR"/>
              </w:rPr>
              <w:t>Catégorie</w:t>
            </w:r>
            <w:r w:rsidRPr="00D76EAA">
              <w:rPr>
                <w:rStyle w:val="Strong"/>
                <w:b w:val="0"/>
                <w:i/>
                <w:sz w:val="18"/>
                <w:lang w:val="fr-FR"/>
              </w:rPr>
              <w:t>/s</w:t>
            </w:r>
            <w:r w:rsidRPr="00D76EAA">
              <w:rPr>
                <w:b/>
                <w:i/>
                <w:sz w:val="18"/>
                <w:lang w:val="fr-FR"/>
              </w:rPr>
              <w:t>ous-catégorie pour laquelle une dérogation est enregistrée</w:t>
            </w:r>
          </w:p>
          <w:p w:rsidR="0096339A" w:rsidRPr="00D76EAA" w:rsidRDefault="0096339A" w:rsidP="00321654">
            <w:pPr>
              <w:pStyle w:val="NormalWeb"/>
              <w:rPr>
                <w:b/>
                <w:i/>
                <w:sz w:val="18"/>
                <w:lang w:val="fr-FR"/>
              </w:rPr>
            </w:pPr>
          </w:p>
        </w:tc>
        <w:tc>
          <w:tcPr>
            <w:tcW w:w="2410" w:type="dxa"/>
            <w:tcBorders>
              <w:top w:val="single" w:sz="4" w:space="0" w:color="auto"/>
              <w:left w:val="single" w:sz="4" w:space="0" w:color="auto"/>
              <w:bottom w:val="single" w:sz="4" w:space="0" w:color="auto"/>
              <w:right w:val="single" w:sz="4" w:space="0" w:color="auto"/>
            </w:tcBorders>
            <w:hideMark/>
          </w:tcPr>
          <w:p w:rsidR="0096339A" w:rsidRPr="0096339A" w:rsidRDefault="0096339A" w:rsidP="00321654">
            <w:pPr>
              <w:rPr>
                <w:b/>
                <w:i/>
                <w:sz w:val="18"/>
                <w:lang w:val="fr-FR"/>
              </w:rPr>
            </w:pPr>
            <w:r w:rsidRPr="0096339A">
              <w:rPr>
                <w:b/>
                <w:i/>
                <w:sz w:val="18"/>
                <w:lang w:val="fr-FR"/>
              </w:rPr>
              <w:t>Motif de la dérogation</w:t>
            </w:r>
          </w:p>
          <w:p w:rsidR="0096339A" w:rsidRPr="0096339A" w:rsidRDefault="0096339A" w:rsidP="00321654">
            <w:pPr>
              <w:rPr>
                <w:b/>
                <w:i/>
                <w:sz w:val="18"/>
                <w:lang w:val="fr-FR"/>
              </w:rPr>
            </w:pPr>
          </w:p>
          <w:p w:rsidR="0096339A" w:rsidRPr="0096339A" w:rsidRDefault="0096339A" w:rsidP="00321654">
            <w:pPr>
              <w:rPr>
                <w:i/>
                <w:sz w:val="18"/>
                <w:lang w:val="fr-FR"/>
              </w:rPr>
            </w:pPr>
            <w:r w:rsidRPr="0096339A">
              <w:rPr>
                <w:b/>
                <w:i/>
                <w:sz w:val="18"/>
                <w:lang w:val="fr-FR"/>
              </w:rPr>
              <w:t xml:space="preserve">Fourni dans </w:t>
            </w:r>
            <w:r w:rsidRPr="0096339A">
              <w:rPr>
                <w:i/>
                <w:sz w:val="18"/>
                <w:lang w:val="fr-FR"/>
              </w:rPr>
              <w:t>(hyperlien vers la déclaration présentée par la Partie)</w:t>
            </w:r>
          </w:p>
        </w:tc>
        <w:tc>
          <w:tcPr>
            <w:tcW w:w="2516" w:type="dxa"/>
            <w:tcBorders>
              <w:top w:val="single" w:sz="4" w:space="0" w:color="auto"/>
              <w:left w:val="single" w:sz="4" w:space="0" w:color="auto"/>
              <w:bottom w:val="single" w:sz="4" w:space="0" w:color="auto"/>
              <w:right w:val="single" w:sz="4" w:space="0" w:color="auto"/>
            </w:tcBorders>
            <w:hideMark/>
          </w:tcPr>
          <w:p w:rsidR="0096339A" w:rsidRPr="0096339A" w:rsidRDefault="0096339A" w:rsidP="00321654">
            <w:pPr>
              <w:rPr>
                <w:b/>
                <w:i/>
                <w:sz w:val="18"/>
                <w:lang w:val="fr-FR"/>
              </w:rPr>
            </w:pPr>
            <w:r w:rsidRPr="0096339A">
              <w:rPr>
                <w:b/>
                <w:i/>
                <w:sz w:val="18"/>
                <w:lang w:val="fr-FR"/>
              </w:rPr>
              <w:t>Date d’expiration de la dérogation</w:t>
            </w:r>
            <w:r w:rsidRPr="0096339A">
              <w:rPr>
                <w:b/>
                <w:i/>
                <w:sz w:val="18"/>
                <w:vertAlign w:val="superscript"/>
                <w:lang w:val="fr-FR"/>
              </w:rPr>
              <w:t>a</w:t>
            </w:r>
          </w:p>
        </w:tc>
      </w:tr>
    </w:tbl>
    <w:p w:rsidR="00483E03" w:rsidRPr="0096339A" w:rsidRDefault="0096339A" w:rsidP="00C30D1F">
      <w:pPr>
        <w:pStyle w:val="ZZAnxheader"/>
        <w:tabs>
          <w:tab w:val="clear" w:pos="1247"/>
          <w:tab w:val="left" w:pos="0"/>
        </w:tabs>
        <w:spacing w:before="120"/>
        <w:ind w:left="1247"/>
        <w:rPr>
          <w:b w:val="0"/>
          <w:sz w:val="16"/>
          <w:szCs w:val="16"/>
          <w:lang w:val="fr-FR"/>
        </w:rPr>
      </w:pPr>
      <w:r>
        <w:rPr>
          <w:b w:val="0"/>
          <w:sz w:val="18"/>
          <w:szCs w:val="18"/>
          <w:vertAlign w:val="superscript"/>
          <w:lang w:val="fr-FR"/>
        </w:rPr>
        <w:t xml:space="preserve">a </w:t>
      </w:r>
      <w:r w:rsidRPr="00D76EAA">
        <w:rPr>
          <w:b w:val="0"/>
          <w:sz w:val="16"/>
          <w:szCs w:val="16"/>
          <w:lang w:val="fr-FR"/>
        </w:rPr>
        <w:t>À moins que la Partie n</w:t>
      </w:r>
      <w:r>
        <w:rPr>
          <w:b w:val="0"/>
          <w:sz w:val="16"/>
          <w:szCs w:val="16"/>
          <w:lang w:val="fr-FR"/>
        </w:rPr>
        <w:t>’</w:t>
      </w:r>
      <w:r w:rsidRPr="00D76EAA">
        <w:rPr>
          <w:b w:val="0"/>
          <w:sz w:val="16"/>
          <w:szCs w:val="16"/>
          <w:lang w:val="fr-FR"/>
        </w:rPr>
        <w:t>indique une autre date, toutes les dérogations expirent cinq ans après la date d</w:t>
      </w:r>
      <w:r>
        <w:rPr>
          <w:b w:val="0"/>
          <w:sz w:val="16"/>
          <w:szCs w:val="16"/>
          <w:lang w:val="fr-FR"/>
        </w:rPr>
        <w:t>’</w:t>
      </w:r>
      <w:r w:rsidRPr="00D76EAA">
        <w:rPr>
          <w:b w:val="0"/>
          <w:sz w:val="16"/>
          <w:szCs w:val="16"/>
          <w:lang w:val="fr-FR"/>
        </w:rPr>
        <w:t xml:space="preserve">abandon </w:t>
      </w:r>
      <w:r>
        <w:rPr>
          <w:b w:val="0"/>
          <w:sz w:val="16"/>
          <w:szCs w:val="16"/>
          <w:lang w:val="fr-FR"/>
        </w:rPr>
        <w:t xml:space="preserve">définitif </w:t>
      </w:r>
      <w:r w:rsidRPr="00D76EAA">
        <w:rPr>
          <w:b w:val="0"/>
          <w:sz w:val="16"/>
          <w:szCs w:val="16"/>
          <w:lang w:val="fr-FR"/>
        </w:rPr>
        <w:t>applicable figurant dans la première partie de l</w:t>
      </w:r>
      <w:r>
        <w:rPr>
          <w:b w:val="0"/>
          <w:sz w:val="16"/>
          <w:szCs w:val="16"/>
          <w:lang w:val="fr-FR"/>
        </w:rPr>
        <w:t>’</w:t>
      </w:r>
      <w:r w:rsidRPr="00D76EAA">
        <w:rPr>
          <w:b w:val="0"/>
          <w:sz w:val="16"/>
          <w:szCs w:val="16"/>
          <w:lang w:val="fr-FR"/>
        </w:rPr>
        <w:t>Annexe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F16160" w:rsidTr="000832C7">
        <w:tc>
          <w:tcPr>
            <w:tcW w:w="1942" w:type="dxa"/>
          </w:tcPr>
          <w:p w:rsidR="000832C7" w:rsidRPr="0096339A" w:rsidRDefault="000832C7" w:rsidP="000832C7">
            <w:pPr>
              <w:pStyle w:val="Normal-pool"/>
              <w:spacing w:before="520"/>
              <w:rPr>
                <w:lang w:val="fr-FR"/>
              </w:rPr>
            </w:pPr>
          </w:p>
        </w:tc>
        <w:tc>
          <w:tcPr>
            <w:tcW w:w="1942" w:type="dxa"/>
          </w:tcPr>
          <w:p w:rsidR="000832C7" w:rsidRPr="0096339A" w:rsidRDefault="000832C7" w:rsidP="000832C7">
            <w:pPr>
              <w:pStyle w:val="Normal-pool"/>
              <w:spacing w:before="520"/>
              <w:rPr>
                <w:lang w:val="fr-FR"/>
              </w:rPr>
            </w:pPr>
          </w:p>
        </w:tc>
        <w:tc>
          <w:tcPr>
            <w:tcW w:w="1942" w:type="dxa"/>
            <w:tcBorders>
              <w:bottom w:val="single" w:sz="4" w:space="0" w:color="auto"/>
            </w:tcBorders>
          </w:tcPr>
          <w:p w:rsidR="000832C7" w:rsidRPr="0096339A" w:rsidRDefault="000832C7" w:rsidP="000832C7">
            <w:pPr>
              <w:pStyle w:val="Normal-pool"/>
              <w:spacing w:before="520"/>
              <w:rPr>
                <w:lang w:val="fr-FR"/>
              </w:rPr>
            </w:pPr>
          </w:p>
        </w:tc>
        <w:tc>
          <w:tcPr>
            <w:tcW w:w="1943" w:type="dxa"/>
          </w:tcPr>
          <w:p w:rsidR="000832C7" w:rsidRPr="0096339A" w:rsidRDefault="000832C7" w:rsidP="000832C7">
            <w:pPr>
              <w:pStyle w:val="Normal-pool"/>
              <w:spacing w:before="520"/>
              <w:rPr>
                <w:lang w:val="fr-FR"/>
              </w:rPr>
            </w:pPr>
          </w:p>
        </w:tc>
        <w:tc>
          <w:tcPr>
            <w:tcW w:w="1943" w:type="dxa"/>
          </w:tcPr>
          <w:p w:rsidR="000832C7" w:rsidRPr="0096339A" w:rsidRDefault="000832C7" w:rsidP="000832C7">
            <w:pPr>
              <w:pStyle w:val="Normal-pool"/>
              <w:spacing w:before="520"/>
              <w:rPr>
                <w:lang w:val="fr-FR"/>
              </w:rPr>
            </w:pPr>
          </w:p>
        </w:tc>
      </w:tr>
    </w:tbl>
    <w:p w:rsidR="00F83855" w:rsidRPr="0096339A" w:rsidRDefault="00F83855" w:rsidP="000832C7">
      <w:pPr>
        <w:pStyle w:val="Normal-pool"/>
        <w:rPr>
          <w:lang w:val="fr-FR"/>
        </w:rPr>
      </w:pPr>
    </w:p>
    <w:sectPr w:rsidR="00F83855" w:rsidRPr="0096339A"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33" w:rsidRDefault="007A1D33">
      <w:r>
        <w:separator/>
      </w:r>
    </w:p>
  </w:endnote>
  <w:endnote w:type="continuationSeparator" w:id="0">
    <w:p w:rsidR="007A1D33" w:rsidRDefault="007A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pPr>
      <w:pStyle w:val="Footer"/>
    </w:pPr>
    <w:r>
      <w:rPr>
        <w:rStyle w:val="PageNumber"/>
      </w:rPr>
      <w:fldChar w:fldCharType="begin"/>
    </w:r>
    <w:r>
      <w:rPr>
        <w:rStyle w:val="PageNumber"/>
      </w:rPr>
      <w:instrText xml:space="preserve"> PAGE </w:instrText>
    </w:r>
    <w:r>
      <w:rPr>
        <w:rStyle w:val="PageNumber"/>
      </w:rPr>
      <w:fldChar w:fldCharType="separate"/>
    </w:r>
    <w:r w:rsidR="005A54D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A54D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BF66A6">
    <w:pPr>
      <w:pStyle w:val="Footer"/>
    </w:pPr>
    <w:r>
      <w:rPr>
        <w:lang w:val="fr-FR"/>
      </w:rPr>
      <w:t>K1703728</w:t>
    </w:r>
    <w:r>
      <w:rPr>
        <w:lang w:val="fr-FR"/>
      </w:rPr>
      <w:tab/>
      <w:t>1</w:t>
    </w:r>
    <w:r w:rsidR="00E10453">
      <w:rPr>
        <w:lang w:val="fr-FR"/>
      </w:rPr>
      <w:t>9</w:t>
    </w:r>
    <w:r>
      <w:rPr>
        <w:lang w:val="fr-FR"/>
      </w:rPr>
      <w:t>06</w:t>
    </w:r>
    <w:r w:rsidR="00C870D8">
      <w:rPr>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33" w:rsidRDefault="007A1D33" w:rsidP="00851756">
      <w:pPr>
        <w:spacing w:before="60"/>
        <w:ind w:left="624"/>
      </w:pPr>
      <w:r>
        <w:separator/>
      </w:r>
    </w:p>
  </w:footnote>
  <w:footnote w:type="continuationSeparator" w:id="0">
    <w:p w:rsidR="007A1D33" w:rsidRDefault="007A1D33">
      <w:r>
        <w:continuationSeparator/>
      </w:r>
    </w:p>
  </w:footnote>
  <w:footnote w:id="1">
    <w:p w:rsidR="00C870D8" w:rsidRPr="00BF66A6" w:rsidRDefault="00C870D8" w:rsidP="00775D8D">
      <w:pPr>
        <w:tabs>
          <w:tab w:val="left" w:pos="624"/>
        </w:tabs>
        <w:spacing w:before="20" w:after="40"/>
        <w:ind w:left="1247"/>
        <w:rPr>
          <w:sz w:val="18"/>
          <w:szCs w:val="18"/>
          <w:lang w:val="fr-FR"/>
        </w:rPr>
      </w:pPr>
      <w:r w:rsidRPr="00BF66A6">
        <w:rPr>
          <w:sz w:val="18"/>
          <w:szCs w:val="18"/>
          <w:lang w:val="fr-FR"/>
        </w:rPr>
        <w:t>* UNEP/MC/COP.1/1.</w:t>
      </w:r>
    </w:p>
  </w:footnote>
  <w:footnote w:id="2">
    <w:p w:rsidR="0096339A" w:rsidRPr="00451752" w:rsidRDefault="0096339A" w:rsidP="0096339A">
      <w:pPr>
        <w:pStyle w:val="FootnoteText"/>
      </w:pPr>
      <w:r>
        <w:rPr>
          <w:rStyle w:val="FootnoteReference"/>
        </w:rPr>
        <w:footnoteRef/>
      </w:r>
      <w:r>
        <w:t xml:space="preserve"> </w:t>
      </w:r>
      <w:r w:rsidRPr="00451752">
        <w:t>Les cosmétiques, savons et crèmes qui contiennent du mercure sous forme de contaminant à l’état de traces ne sont pas visés.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C30D1F">
      <w:rPr>
        <w:szCs w:val="18"/>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jc w:val="right"/>
      <w:rPr>
        <w:szCs w:val="18"/>
      </w:rPr>
    </w:pPr>
    <w:r w:rsidRPr="00312543">
      <w:rPr>
        <w:bCs/>
        <w:szCs w:val="18"/>
      </w:rPr>
      <w:t>UNEP/MC/COP.1/</w:t>
    </w:r>
    <w:r w:rsidR="00C30D1F">
      <w:rPr>
        <w:bCs/>
        <w:szCs w:val="18"/>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4B361008"/>
    <w:multiLevelType w:val="hybridMultilevel"/>
    <w:tmpl w:val="7532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16BB0"/>
    <w:multiLevelType w:val="hybridMultilevel"/>
    <w:tmpl w:val="1878FCE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4">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DCF7CD8"/>
    <w:multiLevelType w:val="hybridMultilevel"/>
    <w:tmpl w:val="8550E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4"/>
  </w:num>
  <w:num w:numId="4">
    <w:abstractNumId w:val="9"/>
  </w:num>
  <w:num w:numId="5">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8"/>
  </w:num>
  <w:num w:numId="19">
    <w:abstractNumId w:val="9"/>
    <w:lvlOverride w:ilvl="1">
      <w:lvl w:ilvl="1">
        <w:start w:val="1"/>
        <w:numFmt w:val="lowerLetter"/>
        <w:lvlText w:val="(%2)"/>
        <w:lvlJc w:val="left"/>
        <w:pPr>
          <w:tabs>
            <w:tab w:val="num" w:pos="1134"/>
          </w:tabs>
          <w:ind w:left="1247" w:firstLine="567"/>
        </w:pPr>
        <w:rPr>
          <w:rFonts w:hint="default"/>
        </w:rPr>
      </w:lvl>
    </w:lvlOverride>
  </w:num>
  <w:num w:numId="20">
    <w:abstractNumId w:val="10"/>
  </w:num>
  <w:num w:numId="21">
    <w:abstractNumId w:val="7"/>
  </w:num>
  <w:num w:numId="22">
    <w:abstractNumId w:val="3"/>
  </w:num>
  <w:num w:numId="23">
    <w:abstractNumId w:val="13"/>
  </w:num>
  <w:num w:numId="24">
    <w:abstractNumId w:val="12"/>
  </w:num>
  <w:num w:numId="25">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num>
  <w:num w:numId="27">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num>
  <w:num w:numId="31">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5D5E"/>
    <w:rsid w:val="00076CC6"/>
    <w:rsid w:val="00080BA5"/>
    <w:rsid w:val="00082A0C"/>
    <w:rsid w:val="00082BFB"/>
    <w:rsid w:val="000832C7"/>
    <w:rsid w:val="00083504"/>
    <w:rsid w:val="000849CA"/>
    <w:rsid w:val="00085EC6"/>
    <w:rsid w:val="0008796B"/>
    <w:rsid w:val="0009640C"/>
    <w:rsid w:val="000A035D"/>
    <w:rsid w:val="000A33DF"/>
    <w:rsid w:val="000A5627"/>
    <w:rsid w:val="000A5EA8"/>
    <w:rsid w:val="000B22A2"/>
    <w:rsid w:val="000B5621"/>
    <w:rsid w:val="000B6C42"/>
    <w:rsid w:val="000B73F9"/>
    <w:rsid w:val="000C2A52"/>
    <w:rsid w:val="000D24D3"/>
    <w:rsid w:val="000D33C0"/>
    <w:rsid w:val="000D4CF6"/>
    <w:rsid w:val="000D6941"/>
    <w:rsid w:val="000E04CD"/>
    <w:rsid w:val="000F1B80"/>
    <w:rsid w:val="000F4829"/>
    <w:rsid w:val="000F6535"/>
    <w:rsid w:val="00111BA9"/>
    <w:rsid w:val="001143B8"/>
    <w:rsid w:val="001202E3"/>
    <w:rsid w:val="00123699"/>
    <w:rsid w:val="001241FB"/>
    <w:rsid w:val="00126CBE"/>
    <w:rsid w:val="0013059D"/>
    <w:rsid w:val="00131574"/>
    <w:rsid w:val="00136187"/>
    <w:rsid w:val="00141A55"/>
    <w:rsid w:val="0014293F"/>
    <w:rsid w:val="0014397D"/>
    <w:rsid w:val="001446A3"/>
    <w:rsid w:val="00152B6B"/>
    <w:rsid w:val="00155395"/>
    <w:rsid w:val="00156B6B"/>
    <w:rsid w:val="00160D74"/>
    <w:rsid w:val="0016251F"/>
    <w:rsid w:val="001646EA"/>
    <w:rsid w:val="00165A7E"/>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1614E"/>
    <w:rsid w:val="00220C23"/>
    <w:rsid w:val="002247F6"/>
    <w:rsid w:val="00225E21"/>
    <w:rsid w:val="002274D8"/>
    <w:rsid w:val="00234E78"/>
    <w:rsid w:val="00243D36"/>
    <w:rsid w:val="00246151"/>
    <w:rsid w:val="0024616E"/>
    <w:rsid w:val="00247707"/>
    <w:rsid w:val="0025267F"/>
    <w:rsid w:val="00255632"/>
    <w:rsid w:val="0026018E"/>
    <w:rsid w:val="002623CD"/>
    <w:rsid w:val="0027116B"/>
    <w:rsid w:val="00274D37"/>
    <w:rsid w:val="00277CE2"/>
    <w:rsid w:val="0028635C"/>
    <w:rsid w:val="00286740"/>
    <w:rsid w:val="00291EAE"/>
    <w:rsid w:val="002929D8"/>
    <w:rsid w:val="0029570E"/>
    <w:rsid w:val="002A0509"/>
    <w:rsid w:val="002A237D"/>
    <w:rsid w:val="002A4C53"/>
    <w:rsid w:val="002B0672"/>
    <w:rsid w:val="002B247F"/>
    <w:rsid w:val="002B50D4"/>
    <w:rsid w:val="002C0640"/>
    <w:rsid w:val="002C145D"/>
    <w:rsid w:val="002C2C3E"/>
    <w:rsid w:val="002C533E"/>
    <w:rsid w:val="002D027F"/>
    <w:rsid w:val="002D3E15"/>
    <w:rsid w:val="002D7A85"/>
    <w:rsid w:val="002D7B60"/>
    <w:rsid w:val="002E6C80"/>
    <w:rsid w:val="002F4761"/>
    <w:rsid w:val="002F5C79"/>
    <w:rsid w:val="002F68EE"/>
    <w:rsid w:val="003019E2"/>
    <w:rsid w:val="00302A51"/>
    <w:rsid w:val="00304499"/>
    <w:rsid w:val="00310B4B"/>
    <w:rsid w:val="00310BEB"/>
    <w:rsid w:val="00312543"/>
    <w:rsid w:val="0031413F"/>
    <w:rsid w:val="00314854"/>
    <w:rsid w:val="003148BB"/>
    <w:rsid w:val="00317976"/>
    <w:rsid w:val="00320F2F"/>
    <w:rsid w:val="00326E66"/>
    <w:rsid w:val="00332216"/>
    <w:rsid w:val="003338F7"/>
    <w:rsid w:val="00355468"/>
    <w:rsid w:val="00355EA9"/>
    <w:rsid w:val="003578DE"/>
    <w:rsid w:val="00361688"/>
    <w:rsid w:val="003616AB"/>
    <w:rsid w:val="00361855"/>
    <w:rsid w:val="00372443"/>
    <w:rsid w:val="00377FD5"/>
    <w:rsid w:val="00386DC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E0D"/>
    <w:rsid w:val="00453A68"/>
    <w:rsid w:val="00454769"/>
    <w:rsid w:val="0045751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508E3"/>
    <w:rsid w:val="00560DB0"/>
    <w:rsid w:val="005656D7"/>
    <w:rsid w:val="00567280"/>
    <w:rsid w:val="00571C42"/>
    <w:rsid w:val="0057315F"/>
    <w:rsid w:val="005738A4"/>
    <w:rsid w:val="00576104"/>
    <w:rsid w:val="00580923"/>
    <w:rsid w:val="00582AB7"/>
    <w:rsid w:val="00584860"/>
    <w:rsid w:val="00592B21"/>
    <w:rsid w:val="005A54DA"/>
    <w:rsid w:val="005B44BF"/>
    <w:rsid w:val="005B66F5"/>
    <w:rsid w:val="005C4DFD"/>
    <w:rsid w:val="005C67C8"/>
    <w:rsid w:val="005D0249"/>
    <w:rsid w:val="005D18FA"/>
    <w:rsid w:val="005D2120"/>
    <w:rsid w:val="005D25CF"/>
    <w:rsid w:val="005D4FD4"/>
    <w:rsid w:val="005D6E8C"/>
    <w:rsid w:val="005D77D2"/>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1D33"/>
    <w:rsid w:val="007A3DC0"/>
    <w:rsid w:val="007A587D"/>
    <w:rsid w:val="007A5C12"/>
    <w:rsid w:val="007A7CB0"/>
    <w:rsid w:val="007B68A3"/>
    <w:rsid w:val="007C2541"/>
    <w:rsid w:val="007D66A8"/>
    <w:rsid w:val="007E003F"/>
    <w:rsid w:val="007E5F07"/>
    <w:rsid w:val="007F0CF8"/>
    <w:rsid w:val="007F62CB"/>
    <w:rsid w:val="00805335"/>
    <w:rsid w:val="008142EC"/>
    <w:rsid w:val="00814639"/>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75DFA"/>
    <w:rsid w:val="0088480A"/>
    <w:rsid w:val="0088757A"/>
    <w:rsid w:val="0089431B"/>
    <w:rsid w:val="00894479"/>
    <w:rsid w:val="0089455A"/>
    <w:rsid w:val="00894DA2"/>
    <w:rsid w:val="00895668"/>
    <w:rsid w:val="008957DD"/>
    <w:rsid w:val="00897D98"/>
    <w:rsid w:val="008A2570"/>
    <w:rsid w:val="008A2F23"/>
    <w:rsid w:val="008A6DF2"/>
    <w:rsid w:val="008A7807"/>
    <w:rsid w:val="008B0CED"/>
    <w:rsid w:val="008B4CC9"/>
    <w:rsid w:val="008C0712"/>
    <w:rsid w:val="008C5FFF"/>
    <w:rsid w:val="008D4EF1"/>
    <w:rsid w:val="008D75E4"/>
    <w:rsid w:val="008D7C99"/>
    <w:rsid w:val="008E0FCB"/>
    <w:rsid w:val="008F6DFE"/>
    <w:rsid w:val="009008EA"/>
    <w:rsid w:val="0090529F"/>
    <w:rsid w:val="00905742"/>
    <w:rsid w:val="00910A7A"/>
    <w:rsid w:val="00914FB0"/>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12DC"/>
    <w:rsid w:val="0096339A"/>
    <w:rsid w:val="00966A53"/>
    <w:rsid w:val="00967621"/>
    <w:rsid w:val="00967E6A"/>
    <w:rsid w:val="009907B9"/>
    <w:rsid w:val="00990918"/>
    <w:rsid w:val="009A3A83"/>
    <w:rsid w:val="009B0D04"/>
    <w:rsid w:val="009B1C44"/>
    <w:rsid w:val="009B30FD"/>
    <w:rsid w:val="009B4A0F"/>
    <w:rsid w:val="009B697B"/>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2707"/>
    <w:rsid w:val="00A232EE"/>
    <w:rsid w:val="00A243E5"/>
    <w:rsid w:val="00A2589A"/>
    <w:rsid w:val="00A265EC"/>
    <w:rsid w:val="00A414F6"/>
    <w:rsid w:val="00A4175F"/>
    <w:rsid w:val="00A43A67"/>
    <w:rsid w:val="00A44411"/>
    <w:rsid w:val="00A469FA"/>
    <w:rsid w:val="00A518C4"/>
    <w:rsid w:val="00A53662"/>
    <w:rsid w:val="00A55B01"/>
    <w:rsid w:val="00A55CB8"/>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12C6"/>
    <w:rsid w:val="00B03E98"/>
    <w:rsid w:val="00B041F7"/>
    <w:rsid w:val="00B06C64"/>
    <w:rsid w:val="00B11CAC"/>
    <w:rsid w:val="00B1201E"/>
    <w:rsid w:val="00B15A29"/>
    <w:rsid w:val="00B17A26"/>
    <w:rsid w:val="00B22C93"/>
    <w:rsid w:val="00B27589"/>
    <w:rsid w:val="00B405B7"/>
    <w:rsid w:val="00B45A38"/>
    <w:rsid w:val="00B52222"/>
    <w:rsid w:val="00B52581"/>
    <w:rsid w:val="00B531DA"/>
    <w:rsid w:val="00B53E6C"/>
    <w:rsid w:val="00B54895"/>
    <w:rsid w:val="00B54FE7"/>
    <w:rsid w:val="00B62CB6"/>
    <w:rsid w:val="00B647C6"/>
    <w:rsid w:val="00B655F9"/>
    <w:rsid w:val="00B65694"/>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BF66A6"/>
    <w:rsid w:val="00C027FF"/>
    <w:rsid w:val="00C116AA"/>
    <w:rsid w:val="00C12FD1"/>
    <w:rsid w:val="00C168A7"/>
    <w:rsid w:val="00C172E3"/>
    <w:rsid w:val="00C2048A"/>
    <w:rsid w:val="00C20A2D"/>
    <w:rsid w:val="00C26F55"/>
    <w:rsid w:val="00C27DCA"/>
    <w:rsid w:val="00C30C63"/>
    <w:rsid w:val="00C30D1F"/>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0F16"/>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4172"/>
    <w:rsid w:val="00D47BE3"/>
    <w:rsid w:val="00D63B8C"/>
    <w:rsid w:val="00D651E4"/>
    <w:rsid w:val="00D739CC"/>
    <w:rsid w:val="00D8093D"/>
    <w:rsid w:val="00D8108C"/>
    <w:rsid w:val="00D842AE"/>
    <w:rsid w:val="00D86013"/>
    <w:rsid w:val="00D9211C"/>
    <w:rsid w:val="00D92DE0"/>
    <w:rsid w:val="00D92FEF"/>
    <w:rsid w:val="00D93A0F"/>
    <w:rsid w:val="00D9579D"/>
    <w:rsid w:val="00DA1BCA"/>
    <w:rsid w:val="00DA4A45"/>
    <w:rsid w:val="00DB34E0"/>
    <w:rsid w:val="00DB5925"/>
    <w:rsid w:val="00DC46FF"/>
    <w:rsid w:val="00DC5254"/>
    <w:rsid w:val="00DC569D"/>
    <w:rsid w:val="00DC5AB5"/>
    <w:rsid w:val="00DC60FB"/>
    <w:rsid w:val="00DD0B5A"/>
    <w:rsid w:val="00DD1A4F"/>
    <w:rsid w:val="00DD3107"/>
    <w:rsid w:val="00DD7C2C"/>
    <w:rsid w:val="00DE5BDA"/>
    <w:rsid w:val="00DF433C"/>
    <w:rsid w:val="00E0035A"/>
    <w:rsid w:val="00E06797"/>
    <w:rsid w:val="00E10453"/>
    <w:rsid w:val="00E1265B"/>
    <w:rsid w:val="00E13B48"/>
    <w:rsid w:val="00E1404F"/>
    <w:rsid w:val="00E2042D"/>
    <w:rsid w:val="00E21C83"/>
    <w:rsid w:val="00E24ADA"/>
    <w:rsid w:val="00E32F59"/>
    <w:rsid w:val="00E35FD4"/>
    <w:rsid w:val="00E41908"/>
    <w:rsid w:val="00E46D9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877"/>
    <w:rsid w:val="00F1495C"/>
    <w:rsid w:val="00F16160"/>
    <w:rsid w:val="00F17F64"/>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0D87"/>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paragraph" w:customStyle="1" w:styleId="AnnexHeading">
    <w:name w:val="Annex Heading"/>
    <w:basedOn w:val="Normal"/>
    <w:rsid w:val="0096339A"/>
    <w:pPr>
      <w:keepNext/>
      <w:tabs>
        <w:tab w:val="clear" w:pos="1247"/>
        <w:tab w:val="clear" w:pos="1814"/>
        <w:tab w:val="clear" w:pos="2381"/>
        <w:tab w:val="clear" w:pos="2948"/>
        <w:tab w:val="clear" w:pos="3515"/>
      </w:tabs>
      <w:spacing w:after="240"/>
      <w:jc w:val="center"/>
    </w:pPr>
    <w:rPr>
      <w:b/>
      <w:sz w:val="32"/>
      <w:szCs w:val="32"/>
      <w:lang w:val="en-US"/>
    </w:rPr>
  </w:style>
  <w:style w:type="character" w:customStyle="1" w:styleId="FootnoteTextChar2">
    <w:name w:val="Footnote Text Char2"/>
    <w:rsid w:val="0096339A"/>
    <w:rPr>
      <w:sz w:val="18"/>
      <w:lang w:val="fr-FR" w:eastAsia="en-US" w:bidi="ar-SA"/>
    </w:rPr>
  </w:style>
  <w:style w:type="character" w:styleId="Strong">
    <w:name w:val="Strong"/>
    <w:uiPriority w:val="22"/>
    <w:qFormat/>
    <w:rsid w:val="0096339A"/>
    <w:rPr>
      <w:b/>
      <w:bCs/>
    </w:rPr>
  </w:style>
  <w:style w:type="character" w:customStyle="1" w:styleId="DeltaViewInsertion">
    <w:name w:val="DeltaView Insertion"/>
    <w:uiPriority w:val="99"/>
    <w:rsid w:val="0096339A"/>
    <w:rPr>
      <w:color w:val="0000FF"/>
      <w:u w:val="double"/>
    </w:rPr>
  </w:style>
  <w:style w:type="character" w:customStyle="1" w:styleId="uficommentbody">
    <w:name w:val="uficommentbody"/>
    <w:rsid w:val="00963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rsid w:val="0025267F"/>
    <w:rPr>
      <w:lang w:eastAsia="en-US"/>
    </w:rPr>
  </w:style>
  <w:style w:type="paragraph" w:styleId="NormalWeb">
    <w:name w:val="Normal (Web)"/>
    <w:basedOn w:val="Normal"/>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paragraph" w:customStyle="1" w:styleId="AnnexHeading">
    <w:name w:val="Annex Heading"/>
    <w:basedOn w:val="Normal"/>
    <w:rsid w:val="0096339A"/>
    <w:pPr>
      <w:keepNext/>
      <w:tabs>
        <w:tab w:val="clear" w:pos="1247"/>
        <w:tab w:val="clear" w:pos="1814"/>
        <w:tab w:val="clear" w:pos="2381"/>
        <w:tab w:val="clear" w:pos="2948"/>
        <w:tab w:val="clear" w:pos="3515"/>
      </w:tabs>
      <w:spacing w:after="240"/>
      <w:jc w:val="center"/>
    </w:pPr>
    <w:rPr>
      <w:b/>
      <w:sz w:val="32"/>
      <w:szCs w:val="32"/>
      <w:lang w:val="en-US"/>
    </w:rPr>
  </w:style>
  <w:style w:type="character" w:customStyle="1" w:styleId="FootnoteTextChar2">
    <w:name w:val="Footnote Text Char2"/>
    <w:rsid w:val="0096339A"/>
    <w:rPr>
      <w:sz w:val="18"/>
      <w:lang w:val="fr-FR" w:eastAsia="en-US" w:bidi="ar-SA"/>
    </w:rPr>
  </w:style>
  <w:style w:type="character" w:styleId="Strong">
    <w:name w:val="Strong"/>
    <w:uiPriority w:val="22"/>
    <w:qFormat/>
    <w:rsid w:val="0096339A"/>
    <w:rPr>
      <w:b/>
      <w:bCs/>
    </w:rPr>
  </w:style>
  <w:style w:type="character" w:customStyle="1" w:styleId="DeltaViewInsertion">
    <w:name w:val="DeltaView Insertion"/>
    <w:uiPriority w:val="99"/>
    <w:rsid w:val="0096339A"/>
    <w:rPr>
      <w:color w:val="0000FF"/>
      <w:u w:val="double"/>
    </w:rPr>
  </w:style>
  <w:style w:type="character" w:customStyle="1" w:styleId="uficommentbody">
    <w:name w:val="uficommentbody"/>
    <w:rsid w:val="0096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28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3749645">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87EC-0252-45D6-BD6B-27C6CD07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2017-04-03T09:04:00Z</cp:lastPrinted>
  <dcterms:created xsi:type="dcterms:W3CDTF">2017-06-19T09:09:00Z</dcterms:created>
  <dcterms:modified xsi:type="dcterms:W3CDTF">2017-06-19T09:09:00Z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6/7/2017 3:12:51 PM</vt:lpwstr>
  </property>
  <property fmtid="{D5CDD505-2E9C-101B-9397-08002B2CF9AE}" pid="5" name="OriginalDocID">
    <vt:lpwstr>ebff1906-0b10-4334-a73f-172d548d6900</vt:lpwstr>
  </property>
</Properties>
</file>